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92C49" w14:textId="6116C81D" w:rsidR="003913A5" w:rsidRDefault="00F15A1C" w:rsidP="003913A5">
      <w:pPr>
        <w:spacing w:after="0" w:line="240" w:lineRule="auto"/>
        <w:jc w:val="both"/>
        <w:rPr>
          <w:rFonts w:ascii="Times New Roman" w:eastAsia="Calibri" w:hAnsi="Times New Roman" w:cs="Arial"/>
          <w:b/>
          <w:sz w:val="32"/>
          <w:szCs w:val="32"/>
        </w:rPr>
      </w:pPr>
      <w:r w:rsidRPr="00F15A1C">
        <w:rPr>
          <w:rFonts w:ascii="Times New Roman" w:eastAsia="Calibri" w:hAnsi="Times New Roman" w:cs="Arial"/>
          <w:b/>
          <w:sz w:val="32"/>
          <w:szCs w:val="32"/>
        </w:rPr>
        <w:t xml:space="preserve">Transfer of Training in Malaysian TVET Institutions: The Role of Attitude, Organisational Commitment, </w:t>
      </w:r>
      <w:r w:rsidR="00EE3D52" w:rsidRPr="00F15A1C">
        <w:rPr>
          <w:rFonts w:ascii="Times New Roman" w:eastAsia="Calibri" w:hAnsi="Times New Roman" w:cs="Arial"/>
          <w:b/>
          <w:sz w:val="32"/>
          <w:szCs w:val="32"/>
        </w:rPr>
        <w:t>Perceived Importance</w:t>
      </w:r>
      <w:r w:rsidR="00EE3D52">
        <w:rPr>
          <w:rFonts w:ascii="Times New Roman" w:eastAsia="Calibri" w:hAnsi="Times New Roman" w:cs="Arial"/>
          <w:b/>
          <w:sz w:val="32"/>
          <w:szCs w:val="32"/>
        </w:rPr>
        <w:t xml:space="preserve"> </w:t>
      </w:r>
      <w:r w:rsidRPr="00F15A1C">
        <w:rPr>
          <w:rFonts w:ascii="Times New Roman" w:eastAsia="Calibri" w:hAnsi="Times New Roman" w:cs="Arial"/>
          <w:b/>
          <w:sz w:val="32"/>
          <w:szCs w:val="32"/>
        </w:rPr>
        <w:t xml:space="preserve">and </w:t>
      </w:r>
      <w:r w:rsidR="00EE3D52">
        <w:rPr>
          <w:rFonts w:ascii="Times New Roman" w:eastAsia="Calibri" w:hAnsi="Times New Roman" w:cs="Arial"/>
          <w:b/>
          <w:sz w:val="32"/>
          <w:szCs w:val="32"/>
        </w:rPr>
        <w:t>Gender Differences</w:t>
      </w:r>
    </w:p>
    <w:p w14:paraId="6167CC27" w14:textId="77777777" w:rsidR="00F15A1C" w:rsidRPr="003913A5" w:rsidRDefault="00F15A1C" w:rsidP="003913A5">
      <w:pPr>
        <w:spacing w:after="0" w:line="240" w:lineRule="auto"/>
        <w:jc w:val="both"/>
        <w:rPr>
          <w:rFonts w:ascii="Times New Roman" w:eastAsia="Calibri" w:hAnsi="Times New Roman" w:cs="Arial"/>
          <w:b/>
          <w:sz w:val="24"/>
          <w:szCs w:val="24"/>
          <w:lang w:val="en-GB"/>
        </w:rPr>
      </w:pPr>
    </w:p>
    <w:p w14:paraId="6CA4CDA0" w14:textId="27F71C64" w:rsidR="003913A5" w:rsidRPr="003913A5" w:rsidRDefault="001B6494" w:rsidP="003913A5">
      <w:pPr>
        <w:spacing w:after="0" w:line="240" w:lineRule="auto"/>
        <w:jc w:val="center"/>
        <w:rPr>
          <w:rFonts w:ascii="Times New Roman" w:eastAsia="Calibri" w:hAnsi="Times New Roman" w:cs="Arial"/>
          <w:b/>
          <w:sz w:val="24"/>
          <w:vertAlign w:val="superscript"/>
          <w:lang w:val="en-GB"/>
        </w:rPr>
      </w:pPr>
      <w:proofErr w:type="spellStart"/>
      <w:r>
        <w:rPr>
          <w:rFonts w:ascii="Times New Roman" w:eastAsia="Calibri" w:hAnsi="Times New Roman" w:cs="Arial"/>
          <w:b/>
          <w:sz w:val="24"/>
          <w:lang w:val="en-GB"/>
        </w:rPr>
        <w:t>Mohd</w:t>
      </w:r>
      <w:proofErr w:type="spellEnd"/>
      <w:r>
        <w:rPr>
          <w:rFonts w:ascii="Times New Roman" w:eastAsia="Calibri" w:hAnsi="Times New Roman" w:cs="Arial"/>
          <w:b/>
          <w:sz w:val="24"/>
          <w:lang w:val="en-GB"/>
        </w:rPr>
        <w:t xml:space="preserve"> </w:t>
      </w:r>
      <w:proofErr w:type="spellStart"/>
      <w:r>
        <w:rPr>
          <w:rFonts w:ascii="Times New Roman" w:eastAsia="Calibri" w:hAnsi="Times New Roman" w:cs="Arial"/>
          <w:b/>
          <w:sz w:val="24"/>
          <w:lang w:val="en-GB"/>
        </w:rPr>
        <w:t>Sallehin</w:t>
      </w:r>
      <w:proofErr w:type="spellEnd"/>
      <w:r>
        <w:rPr>
          <w:rFonts w:ascii="Times New Roman" w:eastAsia="Calibri" w:hAnsi="Times New Roman" w:cs="Arial"/>
          <w:b/>
          <w:sz w:val="24"/>
          <w:lang w:val="en-GB"/>
        </w:rPr>
        <w:t xml:space="preserve"> Jusoh</w:t>
      </w:r>
      <w:r w:rsidR="003913A5" w:rsidRPr="003913A5">
        <w:rPr>
          <w:rFonts w:ascii="Times New Roman" w:eastAsia="Calibri" w:hAnsi="Times New Roman" w:cs="Arial"/>
          <w:b/>
          <w:sz w:val="24"/>
          <w:vertAlign w:val="superscript"/>
          <w:lang w:val="en-GB"/>
        </w:rPr>
        <w:t>1</w:t>
      </w:r>
    </w:p>
    <w:p w14:paraId="09715C8E" w14:textId="625A7FF6" w:rsidR="003913A5" w:rsidRPr="003913A5" w:rsidRDefault="001B6494" w:rsidP="003913A5">
      <w:pPr>
        <w:spacing w:after="0" w:line="240" w:lineRule="auto"/>
        <w:jc w:val="center"/>
        <w:rPr>
          <w:rFonts w:ascii="Times New Roman" w:eastAsia="Calibri" w:hAnsi="Times New Roman" w:cs="Arial"/>
          <w:b/>
          <w:color w:val="FF0000"/>
          <w:sz w:val="24"/>
          <w:vertAlign w:val="superscript"/>
          <w:lang w:val="en-GB"/>
        </w:rPr>
      </w:pPr>
      <w:r>
        <w:rPr>
          <w:rFonts w:ascii="Times New Roman" w:eastAsia="Calibri" w:hAnsi="Times New Roman" w:cs="Arial"/>
          <w:b/>
          <w:sz w:val="24"/>
        </w:rPr>
        <w:t>Nik Sarina Nik Md Salleh</w:t>
      </w:r>
      <w:r w:rsidR="003913A5" w:rsidRPr="003913A5">
        <w:rPr>
          <w:rFonts w:ascii="Times New Roman" w:eastAsia="Calibri" w:hAnsi="Times New Roman" w:cs="Arial"/>
          <w:b/>
          <w:spacing w:val="4"/>
          <w:sz w:val="24"/>
          <w:vertAlign w:val="superscript"/>
          <w:lang w:val="es-ES_tradnl"/>
        </w:rPr>
        <w:t>2</w:t>
      </w:r>
    </w:p>
    <w:p w14:paraId="5CF85693" w14:textId="675635EF" w:rsidR="003913A5" w:rsidRDefault="0019755B" w:rsidP="003913A5">
      <w:pPr>
        <w:spacing w:after="0" w:line="240" w:lineRule="auto"/>
        <w:jc w:val="center"/>
        <w:rPr>
          <w:rFonts w:ascii="Times New Roman" w:eastAsia="Calibri" w:hAnsi="Times New Roman" w:cs="Arial"/>
          <w:b/>
          <w:color w:val="FF0000"/>
          <w:spacing w:val="4"/>
          <w:sz w:val="24"/>
          <w:vertAlign w:val="superscript"/>
          <w:lang w:val="es-ES_tradnl"/>
        </w:rPr>
      </w:pPr>
      <w:proofErr w:type="spellStart"/>
      <w:r w:rsidRPr="0019755B">
        <w:rPr>
          <w:rFonts w:ascii="Times New Roman" w:eastAsia="Calibri" w:hAnsi="Times New Roman" w:cs="Arial"/>
          <w:b/>
          <w:sz w:val="24"/>
        </w:rPr>
        <w:t>Hasrudy</w:t>
      </w:r>
      <w:proofErr w:type="spellEnd"/>
      <w:r w:rsidRPr="0019755B">
        <w:rPr>
          <w:rFonts w:ascii="Times New Roman" w:eastAsia="Calibri" w:hAnsi="Times New Roman" w:cs="Arial"/>
          <w:b/>
          <w:sz w:val="24"/>
        </w:rPr>
        <w:t xml:space="preserve"> </w:t>
      </w:r>
      <w:proofErr w:type="spellStart"/>
      <w:r w:rsidRPr="0019755B">
        <w:rPr>
          <w:rFonts w:ascii="Times New Roman" w:eastAsia="Calibri" w:hAnsi="Times New Roman" w:cs="Arial"/>
          <w:b/>
          <w:sz w:val="24"/>
        </w:rPr>
        <w:t>Tanjung</w:t>
      </w:r>
      <w:proofErr w:type="spellEnd"/>
      <w:r w:rsidR="003913A5" w:rsidRPr="003913A5">
        <w:rPr>
          <w:rFonts w:ascii="Times New Roman" w:eastAsia="Calibri" w:hAnsi="Times New Roman" w:cs="Arial"/>
          <w:b/>
          <w:spacing w:val="4"/>
          <w:sz w:val="24"/>
          <w:vertAlign w:val="superscript"/>
          <w:lang w:val="es-ES_tradnl"/>
        </w:rPr>
        <w:t>3</w:t>
      </w:r>
    </w:p>
    <w:p w14:paraId="08E00EEF" w14:textId="51F399F7" w:rsidR="003913A5" w:rsidRDefault="003913A5" w:rsidP="007753B0">
      <w:pPr>
        <w:spacing w:after="0" w:line="240" w:lineRule="auto"/>
        <w:jc w:val="center"/>
        <w:rPr>
          <w:rFonts w:ascii="Times New Roman" w:eastAsia="Calibri" w:hAnsi="Times New Roman" w:cs="Arial"/>
          <w:b/>
          <w:sz w:val="32"/>
          <w:szCs w:val="32"/>
          <w:lang w:val="en-GB"/>
        </w:rPr>
      </w:pPr>
    </w:p>
    <w:p w14:paraId="5ED43EA6" w14:textId="54B8E676" w:rsidR="003913A5" w:rsidRPr="003913A5" w:rsidRDefault="0019755B" w:rsidP="0019755B">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eastAsia="Calibri" w:hAnsi="Times New Roman" w:cs="Arial"/>
          <w:sz w:val="20"/>
          <w:szCs w:val="20"/>
          <w:lang w:val="en-US"/>
        </w:rPr>
      </w:pPr>
      <w:r>
        <w:rPr>
          <w:rFonts w:ascii="Times New Roman" w:eastAsia="Calibri" w:hAnsi="Times New Roman" w:cs="Arial"/>
          <w:sz w:val="20"/>
          <w:szCs w:val="20"/>
          <w:vertAlign w:val="superscript"/>
          <w:lang w:val="en-US"/>
        </w:rPr>
        <w:t>1</w:t>
      </w:r>
      <w:r w:rsidR="00A847BC" w:rsidRPr="00A847BC">
        <w:t xml:space="preserve"> </w:t>
      </w:r>
      <w:r w:rsidRPr="0019755B">
        <w:rPr>
          <w:rFonts w:ascii="Times New Roman" w:eastAsia="Calibri" w:hAnsi="Times New Roman" w:cs="Arial"/>
          <w:sz w:val="20"/>
          <w:szCs w:val="20"/>
        </w:rPr>
        <w:t xml:space="preserve">Department of Mechanical Engineering, </w:t>
      </w:r>
      <w:proofErr w:type="spellStart"/>
      <w:r w:rsidRPr="0019755B">
        <w:rPr>
          <w:rFonts w:ascii="Times New Roman" w:eastAsia="Calibri" w:hAnsi="Times New Roman" w:cs="Arial"/>
          <w:sz w:val="20"/>
          <w:szCs w:val="20"/>
        </w:rPr>
        <w:t>Politeknik</w:t>
      </w:r>
      <w:proofErr w:type="spellEnd"/>
      <w:r w:rsidRPr="0019755B">
        <w:rPr>
          <w:rFonts w:ascii="Times New Roman" w:eastAsia="Calibri" w:hAnsi="Times New Roman" w:cs="Arial"/>
          <w:sz w:val="20"/>
          <w:szCs w:val="20"/>
        </w:rPr>
        <w:t xml:space="preserve"> Sultan </w:t>
      </w:r>
      <w:proofErr w:type="spellStart"/>
      <w:r w:rsidRPr="0019755B">
        <w:rPr>
          <w:rFonts w:ascii="Times New Roman" w:eastAsia="Calibri" w:hAnsi="Times New Roman" w:cs="Arial"/>
          <w:sz w:val="20"/>
          <w:szCs w:val="20"/>
        </w:rPr>
        <w:t>Mizan</w:t>
      </w:r>
      <w:proofErr w:type="spellEnd"/>
      <w:r w:rsidRPr="0019755B">
        <w:rPr>
          <w:rFonts w:ascii="Times New Roman" w:eastAsia="Calibri" w:hAnsi="Times New Roman" w:cs="Arial"/>
          <w:sz w:val="20"/>
          <w:szCs w:val="20"/>
        </w:rPr>
        <w:t xml:space="preserve"> Zainal </w:t>
      </w:r>
      <w:proofErr w:type="spellStart"/>
      <w:r w:rsidRPr="0019755B">
        <w:rPr>
          <w:rFonts w:ascii="Times New Roman" w:eastAsia="Calibri" w:hAnsi="Times New Roman" w:cs="Arial"/>
          <w:sz w:val="20"/>
          <w:szCs w:val="20"/>
        </w:rPr>
        <w:t>Abidin</w:t>
      </w:r>
      <w:proofErr w:type="spellEnd"/>
      <w:r w:rsidRPr="0019755B">
        <w:rPr>
          <w:rFonts w:ascii="Times New Roman" w:eastAsia="Calibri" w:hAnsi="Times New Roman" w:cs="Arial"/>
          <w:sz w:val="20"/>
          <w:szCs w:val="20"/>
        </w:rPr>
        <w:t>, Dungun Terengganu</w:t>
      </w:r>
      <w:r>
        <w:rPr>
          <w:rFonts w:ascii="Times New Roman" w:eastAsia="Calibri" w:hAnsi="Times New Roman" w:cs="Arial"/>
          <w:sz w:val="20"/>
          <w:szCs w:val="20"/>
        </w:rPr>
        <w:t>,</w:t>
      </w:r>
      <w:r w:rsidRPr="0019755B">
        <w:rPr>
          <w:rFonts w:ascii="Times New Roman" w:eastAsia="Calibri" w:hAnsi="Times New Roman" w:cs="Arial"/>
          <w:sz w:val="20"/>
          <w:szCs w:val="20"/>
        </w:rPr>
        <w:t xml:space="preserve"> Malaysia</w:t>
      </w:r>
    </w:p>
    <w:p w14:paraId="0F744983" w14:textId="096798D8" w:rsidR="003913A5" w:rsidRDefault="003913A5" w:rsidP="0019755B">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eastAsia="Calibri" w:hAnsi="Times New Roman" w:cs="Arial"/>
          <w:sz w:val="20"/>
          <w:szCs w:val="20"/>
        </w:rPr>
      </w:pPr>
      <w:r w:rsidRPr="003913A5">
        <w:rPr>
          <w:rFonts w:ascii="Times New Roman" w:eastAsia="Calibri" w:hAnsi="Times New Roman" w:cs="Arial"/>
          <w:sz w:val="20"/>
          <w:szCs w:val="20"/>
          <w:vertAlign w:val="superscript"/>
          <w:lang w:val="en-US"/>
        </w:rPr>
        <w:t>2</w:t>
      </w:r>
      <w:r w:rsidR="00A847BC" w:rsidRPr="00A847BC">
        <w:t xml:space="preserve"> </w:t>
      </w:r>
      <w:r w:rsidR="00A847BC" w:rsidRPr="00A847BC">
        <w:rPr>
          <w:rFonts w:ascii="Times New Roman" w:eastAsia="Calibri" w:hAnsi="Times New Roman" w:cs="Arial"/>
          <w:sz w:val="20"/>
          <w:szCs w:val="20"/>
        </w:rPr>
        <w:t xml:space="preserve">Faculty of Business &amp; Management, </w:t>
      </w:r>
      <w:proofErr w:type="spellStart"/>
      <w:r w:rsidR="00A847BC" w:rsidRPr="00A847BC">
        <w:rPr>
          <w:rFonts w:ascii="Times New Roman" w:eastAsia="Calibri" w:hAnsi="Times New Roman" w:cs="Arial"/>
          <w:sz w:val="20"/>
          <w:szCs w:val="20"/>
        </w:rPr>
        <w:t>Universiti</w:t>
      </w:r>
      <w:proofErr w:type="spellEnd"/>
      <w:r w:rsidR="00A847BC" w:rsidRPr="00A847BC">
        <w:rPr>
          <w:rFonts w:ascii="Times New Roman" w:eastAsia="Calibri" w:hAnsi="Times New Roman" w:cs="Arial"/>
          <w:sz w:val="20"/>
          <w:szCs w:val="20"/>
        </w:rPr>
        <w:t xml:space="preserve"> </w:t>
      </w:r>
      <w:proofErr w:type="spellStart"/>
      <w:r w:rsidR="00A847BC" w:rsidRPr="00A847BC">
        <w:rPr>
          <w:rFonts w:ascii="Times New Roman" w:eastAsia="Calibri" w:hAnsi="Times New Roman" w:cs="Arial"/>
          <w:sz w:val="20"/>
          <w:szCs w:val="20"/>
        </w:rPr>
        <w:t>Teknologi</w:t>
      </w:r>
      <w:proofErr w:type="spellEnd"/>
      <w:r w:rsidR="00A847BC" w:rsidRPr="00A847BC">
        <w:rPr>
          <w:rFonts w:ascii="Times New Roman" w:eastAsia="Calibri" w:hAnsi="Times New Roman" w:cs="Arial"/>
          <w:sz w:val="20"/>
          <w:szCs w:val="20"/>
        </w:rPr>
        <w:t xml:space="preserve"> MARA </w:t>
      </w:r>
      <w:proofErr w:type="spellStart"/>
      <w:r w:rsidR="00A847BC" w:rsidRPr="00A847BC">
        <w:rPr>
          <w:rFonts w:ascii="Times New Roman" w:eastAsia="Calibri" w:hAnsi="Times New Roman" w:cs="Arial"/>
          <w:sz w:val="20"/>
          <w:szCs w:val="20"/>
        </w:rPr>
        <w:t>Cawangan</w:t>
      </w:r>
      <w:proofErr w:type="spellEnd"/>
      <w:r w:rsidR="00A847BC" w:rsidRPr="00A847BC">
        <w:rPr>
          <w:rFonts w:ascii="Times New Roman" w:eastAsia="Calibri" w:hAnsi="Times New Roman" w:cs="Arial"/>
          <w:sz w:val="20"/>
          <w:szCs w:val="20"/>
        </w:rPr>
        <w:t xml:space="preserve"> Kelantan, Malaysia</w:t>
      </w:r>
    </w:p>
    <w:p w14:paraId="665F58A1" w14:textId="7FC08F93" w:rsidR="0019755B" w:rsidRPr="003913A5" w:rsidRDefault="0019755B" w:rsidP="0019755B">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eastAsia="Calibri" w:hAnsi="Times New Roman" w:cs="Arial"/>
          <w:sz w:val="20"/>
          <w:szCs w:val="20"/>
          <w:lang w:val="en-US"/>
        </w:rPr>
      </w:pPr>
      <w:r>
        <w:rPr>
          <w:rFonts w:ascii="Times New Roman" w:eastAsia="Calibri" w:hAnsi="Times New Roman" w:cs="Arial"/>
          <w:sz w:val="20"/>
          <w:szCs w:val="20"/>
          <w:vertAlign w:val="superscript"/>
          <w:lang w:val="en-US"/>
        </w:rPr>
        <w:t>3</w:t>
      </w:r>
      <w:r w:rsidRPr="0019755B">
        <w:rPr>
          <w:rFonts w:ascii="Times New Roman" w:eastAsia="Calibri" w:hAnsi="Times New Roman" w:cs="Arial"/>
          <w:sz w:val="20"/>
          <w:szCs w:val="20"/>
        </w:rPr>
        <w:t xml:space="preserve"> Department of Management, </w:t>
      </w:r>
      <w:proofErr w:type="spellStart"/>
      <w:r w:rsidRPr="0019755B">
        <w:rPr>
          <w:rFonts w:ascii="Times New Roman" w:eastAsia="Calibri" w:hAnsi="Times New Roman" w:cs="Arial"/>
          <w:sz w:val="20"/>
          <w:szCs w:val="20"/>
        </w:rPr>
        <w:t>Universitas</w:t>
      </w:r>
      <w:proofErr w:type="spellEnd"/>
      <w:r w:rsidRPr="0019755B">
        <w:rPr>
          <w:rFonts w:ascii="Times New Roman" w:eastAsia="Calibri" w:hAnsi="Times New Roman" w:cs="Arial"/>
          <w:sz w:val="20"/>
          <w:szCs w:val="20"/>
        </w:rPr>
        <w:t xml:space="preserve"> Muhammadiyah Sumatera Utara, Indonesia</w:t>
      </w:r>
    </w:p>
    <w:p w14:paraId="28F55D5E" w14:textId="354CCC12" w:rsidR="00FD4065" w:rsidRPr="00642389" w:rsidRDefault="00FD4065" w:rsidP="00E76F1A">
      <w:pPr>
        <w:spacing w:line="240" w:lineRule="auto"/>
        <w:rPr>
          <w:rFonts w:ascii="Times New Roman" w:eastAsia="Times New Roman" w:hAnsi="Times New Roman" w:cs="Times New Roman"/>
          <w:sz w:val="24"/>
          <w:szCs w:val="24"/>
          <w:lang w:val="ms-MY" w:eastAsia="en-MY"/>
        </w:rPr>
      </w:pPr>
      <w:r w:rsidRPr="00642389">
        <w:rPr>
          <w:rFonts w:ascii="Times New Roman" w:eastAsia="Times New Roman" w:hAnsi="Times New Roman" w:cs="Times New Roman"/>
          <w:sz w:val="24"/>
          <w:szCs w:val="24"/>
          <w:lang w:val="ms-MY" w:eastAsia="en-MY"/>
        </w:rPr>
        <w:t>___________________________________________________________________________</w:t>
      </w:r>
    </w:p>
    <w:p w14:paraId="1C12941B" w14:textId="5EF303F7" w:rsidR="003913A5" w:rsidRPr="00F60B44" w:rsidRDefault="003913A5" w:rsidP="003913A5">
      <w:pPr>
        <w:spacing w:after="0" w:line="240" w:lineRule="auto"/>
        <w:jc w:val="both"/>
        <w:rPr>
          <w:rFonts w:ascii="Times New Roman" w:eastAsia="Calibri" w:hAnsi="Times New Roman" w:cs="Times New Roman"/>
          <w:bCs/>
          <w:i/>
          <w:sz w:val="24"/>
          <w:szCs w:val="24"/>
          <w:lang w:val="en-US"/>
        </w:rPr>
      </w:pPr>
      <w:r w:rsidRPr="003913A5">
        <w:rPr>
          <w:rFonts w:ascii="Times New Roman" w:eastAsia="Calibri" w:hAnsi="Times New Roman" w:cs="Arial"/>
          <w:b/>
          <w:bCs/>
          <w:i/>
          <w:sz w:val="24"/>
          <w:szCs w:val="27"/>
          <w:lang w:val="en-GB"/>
        </w:rPr>
        <w:t>Abstract:</w:t>
      </w:r>
      <w:r w:rsidRPr="003913A5">
        <w:rPr>
          <w:rFonts w:ascii="Times New Roman" w:eastAsia="Calibri" w:hAnsi="Times New Roman" w:cs="Arial"/>
          <w:b/>
          <w:bCs/>
          <w:i/>
          <w:color w:val="FF0000"/>
          <w:sz w:val="24"/>
          <w:szCs w:val="27"/>
          <w:lang w:val="en-GB"/>
        </w:rPr>
        <w:t xml:space="preserve"> </w:t>
      </w:r>
      <w:r w:rsidR="007A1DC4" w:rsidRPr="007A1DC4">
        <w:rPr>
          <w:rFonts w:ascii="Times New Roman" w:eastAsia="Calibri" w:hAnsi="Times New Roman" w:cs="Times New Roman"/>
          <w:bCs/>
          <w:i/>
          <w:sz w:val="24"/>
          <w:szCs w:val="24"/>
          <w:lang w:val="en-US"/>
        </w:rPr>
        <w:t>Technical and Vocational Education and Training (TVET) is a central pillar of Malaysia’s human capital development strategy, particularly in producing industry-ready graduates aligned with Industry 4.0 requirements. The effectiveness of this system is highly dependent on TVET lecturers’ ability to transfer training outcomes into actual teaching practice. However, despite substantial investment in professional development, training transfer among lecturers remains inconsistent and insufficiently examined.</w:t>
      </w:r>
      <w:r w:rsidR="007A1DC4">
        <w:rPr>
          <w:rFonts w:ascii="Times New Roman" w:eastAsia="Calibri" w:hAnsi="Times New Roman" w:cs="Times New Roman"/>
          <w:bCs/>
          <w:i/>
          <w:sz w:val="24"/>
          <w:szCs w:val="24"/>
          <w:lang w:val="en-US"/>
        </w:rPr>
        <w:t xml:space="preserve"> </w:t>
      </w:r>
      <w:r w:rsidR="007A1DC4" w:rsidRPr="007A1DC4">
        <w:rPr>
          <w:rFonts w:ascii="Times New Roman" w:eastAsia="Calibri" w:hAnsi="Times New Roman" w:cs="Times New Roman"/>
          <w:bCs/>
          <w:i/>
          <w:sz w:val="24"/>
          <w:szCs w:val="24"/>
          <w:lang w:val="en-US"/>
        </w:rPr>
        <w:t>This conceptual paper proposes a study involving TVET lecturers in Malaysian higher learning institutions as respondents to investigate transfer of training. The study is guided by three objectives: (</w:t>
      </w:r>
      <w:proofErr w:type="spellStart"/>
      <w:r w:rsidR="007A1DC4" w:rsidRPr="007A1DC4">
        <w:rPr>
          <w:rFonts w:ascii="Times New Roman" w:eastAsia="Calibri" w:hAnsi="Times New Roman" w:cs="Times New Roman"/>
          <w:bCs/>
          <w:i/>
          <w:sz w:val="24"/>
          <w:szCs w:val="24"/>
          <w:lang w:val="en-US"/>
        </w:rPr>
        <w:t>i</w:t>
      </w:r>
      <w:proofErr w:type="spellEnd"/>
      <w:r w:rsidR="007A1DC4" w:rsidRPr="007A1DC4">
        <w:rPr>
          <w:rFonts w:ascii="Times New Roman" w:eastAsia="Calibri" w:hAnsi="Times New Roman" w:cs="Times New Roman"/>
          <w:bCs/>
          <w:i/>
          <w:sz w:val="24"/>
          <w:szCs w:val="24"/>
          <w:lang w:val="en-US"/>
        </w:rPr>
        <w:t>) to assess the level of training transfer, (ii) to examine gender differences, and (iii) to determine the influence of attitude, organisational commitment, and perceived importance on training transfer.</w:t>
      </w:r>
      <w:r w:rsidR="007A1DC4">
        <w:rPr>
          <w:rFonts w:ascii="Times New Roman" w:eastAsia="Calibri" w:hAnsi="Times New Roman" w:cs="Times New Roman"/>
          <w:bCs/>
          <w:i/>
          <w:sz w:val="24"/>
          <w:szCs w:val="24"/>
          <w:lang w:val="en-US"/>
        </w:rPr>
        <w:t xml:space="preserve"> </w:t>
      </w:r>
      <w:r w:rsidR="007A1DC4" w:rsidRPr="007A1DC4">
        <w:rPr>
          <w:rFonts w:ascii="Times New Roman" w:eastAsia="Calibri" w:hAnsi="Times New Roman" w:cs="Times New Roman"/>
          <w:bCs/>
          <w:i/>
          <w:sz w:val="24"/>
          <w:szCs w:val="24"/>
          <w:lang w:val="en-US"/>
        </w:rPr>
        <w:t xml:space="preserve">The study is underpinned by the Theory of Planned </w:t>
      </w:r>
      <w:proofErr w:type="spellStart"/>
      <w:r w:rsidR="007A1DC4" w:rsidRPr="007A1DC4">
        <w:rPr>
          <w:rFonts w:ascii="Times New Roman" w:eastAsia="Calibri" w:hAnsi="Times New Roman" w:cs="Times New Roman"/>
          <w:bCs/>
          <w:i/>
          <w:sz w:val="24"/>
          <w:szCs w:val="24"/>
          <w:lang w:val="en-US"/>
        </w:rPr>
        <w:t>Behaviour</w:t>
      </w:r>
      <w:proofErr w:type="spellEnd"/>
      <w:r w:rsidR="007A1DC4" w:rsidRPr="007A1DC4">
        <w:rPr>
          <w:rFonts w:ascii="Times New Roman" w:eastAsia="Calibri" w:hAnsi="Times New Roman" w:cs="Times New Roman"/>
          <w:bCs/>
          <w:i/>
          <w:sz w:val="24"/>
          <w:szCs w:val="24"/>
          <w:lang w:val="en-US"/>
        </w:rPr>
        <w:t xml:space="preserve"> (TPB), which explains how attitude, organisational commitment, and perceived importance shape </w:t>
      </w:r>
      <w:proofErr w:type="spellStart"/>
      <w:r w:rsidR="007A1DC4" w:rsidRPr="007A1DC4">
        <w:rPr>
          <w:rFonts w:ascii="Times New Roman" w:eastAsia="Calibri" w:hAnsi="Times New Roman" w:cs="Times New Roman"/>
          <w:bCs/>
          <w:i/>
          <w:sz w:val="24"/>
          <w:szCs w:val="24"/>
          <w:lang w:val="en-US"/>
        </w:rPr>
        <w:t>behavioural</w:t>
      </w:r>
      <w:proofErr w:type="spellEnd"/>
      <w:r w:rsidR="007A1DC4" w:rsidRPr="007A1DC4">
        <w:rPr>
          <w:rFonts w:ascii="Times New Roman" w:eastAsia="Calibri" w:hAnsi="Times New Roman" w:cs="Times New Roman"/>
          <w:bCs/>
          <w:i/>
          <w:sz w:val="24"/>
          <w:szCs w:val="24"/>
          <w:lang w:val="en-US"/>
        </w:rPr>
        <w:t xml:space="preserve"> intention and subsequently influence training transfer. Gender Role Theory is integrated to account for possible gender-based differences, particularly in male-dominated technical fields such as automotive and mechanical engineering. A quantitative cross-sectional survey design is proposed, with data </w:t>
      </w:r>
      <w:proofErr w:type="spellStart"/>
      <w:r w:rsidR="007A1DC4" w:rsidRPr="007A1DC4">
        <w:rPr>
          <w:rFonts w:ascii="Times New Roman" w:eastAsia="Calibri" w:hAnsi="Times New Roman" w:cs="Times New Roman"/>
          <w:bCs/>
          <w:i/>
          <w:sz w:val="24"/>
          <w:szCs w:val="24"/>
          <w:lang w:val="en-US"/>
        </w:rPr>
        <w:t>analysed</w:t>
      </w:r>
      <w:proofErr w:type="spellEnd"/>
      <w:r w:rsidR="007A1DC4" w:rsidRPr="007A1DC4">
        <w:rPr>
          <w:rFonts w:ascii="Times New Roman" w:eastAsia="Calibri" w:hAnsi="Times New Roman" w:cs="Times New Roman"/>
          <w:bCs/>
          <w:i/>
          <w:sz w:val="24"/>
          <w:szCs w:val="24"/>
          <w:lang w:val="en-US"/>
        </w:rPr>
        <w:t xml:space="preserve"> using descriptive statistics, independent sample t-tests, and multiple regression analysis via SPSS.</w:t>
      </w:r>
      <w:r w:rsidR="007A1DC4">
        <w:rPr>
          <w:rFonts w:ascii="Times New Roman" w:eastAsia="Calibri" w:hAnsi="Times New Roman" w:cs="Times New Roman"/>
          <w:bCs/>
          <w:i/>
          <w:sz w:val="24"/>
          <w:szCs w:val="24"/>
          <w:lang w:val="en-US"/>
        </w:rPr>
        <w:t xml:space="preserve"> </w:t>
      </w:r>
      <w:r w:rsidR="007A1DC4" w:rsidRPr="007A1DC4">
        <w:rPr>
          <w:rFonts w:ascii="Times New Roman" w:eastAsia="Calibri" w:hAnsi="Times New Roman" w:cs="Times New Roman"/>
          <w:bCs/>
          <w:i/>
          <w:sz w:val="24"/>
          <w:szCs w:val="24"/>
          <w:lang w:val="en-US"/>
        </w:rPr>
        <w:t xml:space="preserve">This study is expected to extend the literature by integrating TPB and Gender Role Theory in explaining training transfer among TVET lecturers in Malaysia, while providing practical implications for enhancing the effectiveness of professional development </w:t>
      </w:r>
      <w:proofErr w:type="spellStart"/>
      <w:r w:rsidR="007A1DC4" w:rsidRPr="007A1DC4">
        <w:rPr>
          <w:rFonts w:ascii="Times New Roman" w:eastAsia="Calibri" w:hAnsi="Times New Roman" w:cs="Times New Roman"/>
          <w:bCs/>
          <w:i/>
          <w:sz w:val="24"/>
          <w:szCs w:val="24"/>
          <w:lang w:val="en-US"/>
        </w:rPr>
        <w:t>programmes</w:t>
      </w:r>
      <w:proofErr w:type="spellEnd"/>
      <w:r w:rsidR="007A1DC4" w:rsidRPr="007A1DC4">
        <w:rPr>
          <w:rFonts w:ascii="Times New Roman" w:eastAsia="Calibri" w:hAnsi="Times New Roman" w:cs="Times New Roman"/>
          <w:bCs/>
          <w:i/>
          <w:sz w:val="24"/>
          <w:szCs w:val="24"/>
          <w:lang w:val="en-US"/>
        </w:rPr>
        <w:t>.</w:t>
      </w:r>
    </w:p>
    <w:p w14:paraId="277B754B" w14:textId="77777777" w:rsidR="00D73B78" w:rsidRPr="003913A5" w:rsidRDefault="00D73B78" w:rsidP="003913A5">
      <w:pPr>
        <w:spacing w:after="0" w:line="240" w:lineRule="auto"/>
        <w:jc w:val="both"/>
        <w:rPr>
          <w:rFonts w:ascii="Times New Roman" w:eastAsia="Calibri" w:hAnsi="Times New Roman" w:cs="Arial"/>
          <w:i/>
          <w:sz w:val="24"/>
          <w:lang w:val="en-GB"/>
        </w:rPr>
      </w:pPr>
    </w:p>
    <w:p w14:paraId="54CFBD0D" w14:textId="344FFFE3" w:rsidR="003913A5" w:rsidRPr="003913A5" w:rsidRDefault="003913A5" w:rsidP="003913A5">
      <w:pPr>
        <w:spacing w:after="0" w:line="240" w:lineRule="auto"/>
        <w:jc w:val="both"/>
        <w:rPr>
          <w:rFonts w:ascii="Times New Roman" w:eastAsia="Calibri" w:hAnsi="Times New Roman" w:cs="Arial"/>
          <w:sz w:val="24"/>
          <w:lang w:val="en-GB"/>
        </w:rPr>
      </w:pPr>
      <w:r w:rsidRPr="003913A5">
        <w:rPr>
          <w:rFonts w:ascii="Times New Roman" w:eastAsia="Calibri" w:hAnsi="Times New Roman" w:cs="Arial"/>
          <w:b/>
          <w:i/>
          <w:sz w:val="24"/>
          <w:lang w:val="en-GB"/>
        </w:rPr>
        <w:t>Keywords:</w:t>
      </w:r>
      <w:r w:rsidRPr="003913A5">
        <w:rPr>
          <w:rFonts w:ascii="Times New Roman" w:eastAsia="Calibri" w:hAnsi="Times New Roman" w:cs="Arial"/>
          <w:sz w:val="24"/>
          <w:lang w:val="en-GB"/>
        </w:rPr>
        <w:t xml:space="preserve"> </w:t>
      </w:r>
      <w:r w:rsidR="00D8790E">
        <w:rPr>
          <w:rFonts w:ascii="Times New Roman" w:eastAsia="Calibri" w:hAnsi="Times New Roman" w:cs="Arial"/>
          <w:i/>
          <w:sz w:val="24"/>
        </w:rPr>
        <w:t>T</w:t>
      </w:r>
      <w:r w:rsidR="00D8790E" w:rsidRPr="00D8790E">
        <w:rPr>
          <w:rFonts w:ascii="Times New Roman" w:eastAsia="Calibri" w:hAnsi="Times New Roman" w:cs="Arial"/>
          <w:i/>
          <w:sz w:val="24"/>
        </w:rPr>
        <w:t xml:space="preserve">ransfer of training, TVET lecturers, attitude, organisational commitment, perceived importance, </w:t>
      </w:r>
      <w:r w:rsidR="00B235DE">
        <w:rPr>
          <w:rFonts w:ascii="Times New Roman" w:eastAsia="Calibri" w:hAnsi="Times New Roman" w:cs="Arial"/>
          <w:i/>
          <w:sz w:val="24"/>
        </w:rPr>
        <w:t>gender differences</w:t>
      </w:r>
      <w:r w:rsidR="00274A1A">
        <w:rPr>
          <w:rFonts w:ascii="Times New Roman" w:eastAsia="Calibri" w:hAnsi="Times New Roman" w:cs="Arial"/>
          <w:i/>
          <w:sz w:val="24"/>
        </w:rPr>
        <w:t>, TPB, Gender Role Theory</w:t>
      </w:r>
    </w:p>
    <w:p w14:paraId="210BAF38" w14:textId="667A63BD" w:rsidR="0095528D" w:rsidRDefault="00FD4065" w:rsidP="00945447">
      <w:pPr>
        <w:spacing w:line="240" w:lineRule="auto"/>
        <w:jc w:val="both"/>
        <w:rPr>
          <w:rFonts w:ascii="Times New Roman" w:hAnsi="Times New Roman" w:cs="Times New Roman"/>
          <w:sz w:val="24"/>
          <w:szCs w:val="24"/>
          <w:lang w:val="ms-MY"/>
        </w:rPr>
      </w:pPr>
      <w:r w:rsidRPr="00642389">
        <w:rPr>
          <w:rFonts w:ascii="Times New Roman" w:hAnsi="Times New Roman" w:cs="Times New Roman"/>
          <w:sz w:val="24"/>
          <w:szCs w:val="24"/>
          <w:lang w:val="ms-MY"/>
        </w:rPr>
        <w:t>___________________________________________________________________________</w:t>
      </w:r>
    </w:p>
    <w:p w14:paraId="166C20EE" w14:textId="4B608122" w:rsidR="003913A5" w:rsidRPr="005848B8" w:rsidRDefault="003913A5" w:rsidP="003913A5">
      <w:pPr>
        <w:spacing w:after="0" w:line="240" w:lineRule="auto"/>
        <w:jc w:val="both"/>
        <w:rPr>
          <w:rFonts w:ascii="Times New Roman" w:eastAsia="Calibri" w:hAnsi="Times New Roman" w:cs="Arial"/>
          <w:b/>
          <w:color w:val="FF0000"/>
          <w:sz w:val="24"/>
          <w:u w:val="single"/>
          <w:lang w:val="en-GB"/>
        </w:rPr>
      </w:pPr>
      <w:r w:rsidRPr="003913A5">
        <w:rPr>
          <w:rFonts w:ascii="Times New Roman" w:eastAsia="Calibri" w:hAnsi="Times New Roman" w:cs="Arial"/>
          <w:b/>
          <w:sz w:val="24"/>
          <w:lang w:val="en-GB"/>
        </w:rPr>
        <w:t xml:space="preserve">Introduction </w:t>
      </w:r>
    </w:p>
    <w:p w14:paraId="61D85C07" w14:textId="77777777" w:rsidR="002E5CFF" w:rsidRPr="002E5CFF" w:rsidRDefault="002E5CFF" w:rsidP="002E5CFF">
      <w:pPr>
        <w:spacing w:after="0" w:line="240" w:lineRule="auto"/>
        <w:jc w:val="both"/>
        <w:rPr>
          <w:rFonts w:ascii="Times New Roman" w:eastAsia="Calibri" w:hAnsi="Times New Roman" w:cs="Arial"/>
          <w:sz w:val="24"/>
          <w:lang w:val="en-US"/>
        </w:rPr>
      </w:pPr>
      <w:r w:rsidRPr="002E5CFF">
        <w:rPr>
          <w:rFonts w:ascii="Times New Roman" w:eastAsia="Calibri" w:hAnsi="Times New Roman" w:cs="Arial"/>
          <w:sz w:val="24"/>
          <w:lang w:val="en-US"/>
        </w:rPr>
        <w:t xml:space="preserve">Technical and Vocational Education and Training (TVET) has become a strategic component of Malaysia’s human capital development agenda in preparing a highly skilled workforce aligned with industrial transformation, </w:t>
      </w:r>
      <w:proofErr w:type="spellStart"/>
      <w:r w:rsidRPr="002E5CFF">
        <w:rPr>
          <w:rFonts w:ascii="Times New Roman" w:eastAsia="Calibri" w:hAnsi="Times New Roman" w:cs="Arial"/>
          <w:sz w:val="24"/>
          <w:lang w:val="en-US"/>
        </w:rPr>
        <w:t>digitalisation</w:t>
      </w:r>
      <w:proofErr w:type="spellEnd"/>
      <w:r w:rsidRPr="002E5CFF">
        <w:rPr>
          <w:rFonts w:ascii="Times New Roman" w:eastAsia="Calibri" w:hAnsi="Times New Roman" w:cs="Arial"/>
          <w:sz w:val="24"/>
          <w:lang w:val="en-US"/>
        </w:rPr>
        <w:t xml:space="preserve">, and the demands of Industry 4.0. The effectiveness of TVET institutions is highly dependent on the competencies and professional capabilities of TVET lecturers, as they play a central role in delivering technical knowledge, practical skills, and industry-relevant competencies to students. Consequently, continuous professional development and structured training </w:t>
      </w:r>
      <w:proofErr w:type="spellStart"/>
      <w:r w:rsidRPr="002E5CFF">
        <w:rPr>
          <w:rFonts w:ascii="Times New Roman" w:eastAsia="Calibri" w:hAnsi="Times New Roman" w:cs="Arial"/>
          <w:sz w:val="24"/>
          <w:lang w:val="en-US"/>
        </w:rPr>
        <w:t>programmes</w:t>
      </w:r>
      <w:proofErr w:type="spellEnd"/>
      <w:r w:rsidRPr="002E5CFF">
        <w:rPr>
          <w:rFonts w:ascii="Times New Roman" w:eastAsia="Calibri" w:hAnsi="Times New Roman" w:cs="Arial"/>
          <w:sz w:val="24"/>
          <w:lang w:val="en-US"/>
        </w:rPr>
        <w:t xml:space="preserve"> are extensively implemented to </w:t>
      </w:r>
      <w:r w:rsidRPr="002E5CFF">
        <w:rPr>
          <w:rFonts w:ascii="Times New Roman" w:eastAsia="Calibri" w:hAnsi="Times New Roman" w:cs="Arial"/>
          <w:sz w:val="24"/>
          <w:lang w:val="en-US"/>
        </w:rPr>
        <w:lastRenderedPageBreak/>
        <w:t>enhance lecturers’ pedagogical effectiveness, technical expertise, digital literacy, and industry engagement capabilities.</w:t>
      </w:r>
    </w:p>
    <w:p w14:paraId="397FEDC9" w14:textId="77777777" w:rsidR="002E5CFF" w:rsidRDefault="002E5CFF" w:rsidP="002E5CFF">
      <w:pPr>
        <w:spacing w:after="0" w:line="240" w:lineRule="auto"/>
        <w:jc w:val="both"/>
        <w:rPr>
          <w:rFonts w:ascii="Times New Roman" w:eastAsia="Calibri" w:hAnsi="Times New Roman" w:cs="Arial"/>
          <w:sz w:val="24"/>
          <w:lang w:val="en-US"/>
        </w:rPr>
      </w:pPr>
    </w:p>
    <w:p w14:paraId="3265E7C8" w14:textId="0C7CDC41" w:rsidR="002E5CFF" w:rsidRPr="002E5CFF" w:rsidRDefault="002E5CFF" w:rsidP="002E5CFF">
      <w:pPr>
        <w:spacing w:after="0" w:line="240" w:lineRule="auto"/>
        <w:jc w:val="both"/>
        <w:rPr>
          <w:rFonts w:ascii="Times New Roman" w:eastAsia="Calibri" w:hAnsi="Times New Roman" w:cs="Arial"/>
          <w:sz w:val="24"/>
          <w:lang w:val="en-US"/>
        </w:rPr>
      </w:pPr>
      <w:r w:rsidRPr="002E5CFF">
        <w:rPr>
          <w:rFonts w:ascii="Times New Roman" w:eastAsia="Calibri" w:hAnsi="Times New Roman" w:cs="Arial"/>
          <w:sz w:val="24"/>
          <w:lang w:val="en-US"/>
        </w:rPr>
        <w:t xml:space="preserve">Despite substantial investments in training and development initiatives, the effectiveness of such </w:t>
      </w:r>
      <w:proofErr w:type="spellStart"/>
      <w:r w:rsidRPr="002E5CFF">
        <w:rPr>
          <w:rFonts w:ascii="Times New Roman" w:eastAsia="Calibri" w:hAnsi="Times New Roman" w:cs="Arial"/>
          <w:sz w:val="24"/>
          <w:lang w:val="en-US"/>
        </w:rPr>
        <w:t>programmes</w:t>
      </w:r>
      <w:proofErr w:type="spellEnd"/>
      <w:r w:rsidRPr="002E5CFF">
        <w:rPr>
          <w:rFonts w:ascii="Times New Roman" w:eastAsia="Calibri" w:hAnsi="Times New Roman" w:cs="Arial"/>
          <w:sz w:val="24"/>
          <w:lang w:val="en-US"/>
        </w:rPr>
        <w:t xml:space="preserve"> remains questionable if the acquired knowledge and skills are not effectively transferred into workplace practice. Transfer of training refers to the extent to which trainees apply, </w:t>
      </w:r>
      <w:proofErr w:type="spellStart"/>
      <w:r w:rsidRPr="002E5CFF">
        <w:rPr>
          <w:rFonts w:ascii="Times New Roman" w:eastAsia="Calibri" w:hAnsi="Times New Roman" w:cs="Arial"/>
          <w:sz w:val="24"/>
          <w:lang w:val="en-US"/>
        </w:rPr>
        <w:t>generalise</w:t>
      </w:r>
      <w:proofErr w:type="spellEnd"/>
      <w:r w:rsidRPr="002E5CFF">
        <w:rPr>
          <w:rFonts w:ascii="Times New Roman" w:eastAsia="Calibri" w:hAnsi="Times New Roman" w:cs="Arial"/>
          <w:sz w:val="24"/>
          <w:lang w:val="en-US"/>
        </w:rPr>
        <w:t>, and maintain the knowledge, skills, and attitudes acquired during training in their actual job environment (Baldwin &amp; Ford, 1988). In TVET education, effective transfer of training is particularly critical because lecturers are expected to continuously integrate newly acquired competencies into classroom instruction, workshop practice, curriculum delivery, competency-based assessment, and industry-linked learning activities. However, empirical evidence consistently indicates that training transfer remains suboptimal. Saks and Belcourt (2006) estimated that only 10% to 40% of training content is effectively applied in the workplace, while Blume et al. (2019) confirmed that transfer of training continues to be a persistent challenge across professional sectors.</w:t>
      </w:r>
      <w:r>
        <w:rPr>
          <w:rFonts w:ascii="Times New Roman" w:eastAsia="Calibri" w:hAnsi="Times New Roman" w:cs="Arial"/>
          <w:sz w:val="24"/>
          <w:lang w:val="en-US"/>
        </w:rPr>
        <w:t xml:space="preserve"> A</w:t>
      </w:r>
      <w:r w:rsidRPr="002E5CFF">
        <w:rPr>
          <w:rFonts w:ascii="Times New Roman" w:eastAsia="Calibri" w:hAnsi="Times New Roman" w:cs="Arial"/>
          <w:sz w:val="24"/>
          <w:lang w:val="en-US"/>
        </w:rPr>
        <w:t>lthough graduate employability rates</w:t>
      </w:r>
      <w:r>
        <w:rPr>
          <w:rFonts w:ascii="Times New Roman" w:eastAsia="Calibri" w:hAnsi="Times New Roman" w:cs="Arial"/>
          <w:sz w:val="24"/>
          <w:lang w:val="en-US"/>
        </w:rPr>
        <w:t xml:space="preserve"> in Malaysia</w:t>
      </w:r>
      <w:r w:rsidRPr="002E5CFF">
        <w:rPr>
          <w:rFonts w:ascii="Times New Roman" w:eastAsia="Calibri" w:hAnsi="Times New Roman" w:cs="Arial"/>
          <w:sz w:val="24"/>
          <w:lang w:val="en-US"/>
        </w:rPr>
        <w:t xml:space="preserve"> remain relatively strong, issues such as skill mismatch, insufficient workplace readiness, communication gaps, and limited adaptability continue to be raised by industry stakeholders and policymakers (Ministry of Higher Education Malaysia, 2023). These challenges suggest potential limitations in the effectiveness of training transfer among TVET lecturers, which may indirectly influence instructional quality and student competency outcomes. Furthermore, lecturers often encounter barriers such as workload pressure, limited institutional support, insufficient opportunities for skill application, and resistance to pedagogical change, all of which may hinder the effective application of newly acquired competencies (</w:t>
      </w:r>
      <w:proofErr w:type="spellStart"/>
      <w:r w:rsidRPr="002E5CFF">
        <w:rPr>
          <w:rFonts w:ascii="Times New Roman" w:eastAsia="Calibri" w:hAnsi="Times New Roman" w:cs="Arial"/>
          <w:sz w:val="24"/>
          <w:lang w:val="en-US"/>
        </w:rPr>
        <w:t>Gegenfurtner</w:t>
      </w:r>
      <w:proofErr w:type="spellEnd"/>
      <w:r w:rsidRPr="002E5CFF">
        <w:rPr>
          <w:rFonts w:ascii="Times New Roman" w:eastAsia="Calibri" w:hAnsi="Times New Roman" w:cs="Arial"/>
          <w:sz w:val="24"/>
          <w:lang w:val="en-US"/>
        </w:rPr>
        <w:t>, 2020).</w:t>
      </w:r>
    </w:p>
    <w:p w14:paraId="7600D20B" w14:textId="77777777" w:rsidR="002E5CFF" w:rsidRDefault="002E5CFF" w:rsidP="002E5CFF">
      <w:pPr>
        <w:spacing w:after="0" w:line="240" w:lineRule="auto"/>
        <w:jc w:val="both"/>
        <w:rPr>
          <w:rFonts w:ascii="Times New Roman" w:eastAsia="Calibri" w:hAnsi="Times New Roman" w:cs="Arial"/>
          <w:sz w:val="24"/>
          <w:lang w:val="en-US"/>
        </w:rPr>
      </w:pPr>
    </w:p>
    <w:p w14:paraId="690D1A88" w14:textId="36BFC54C" w:rsidR="002E5CFF" w:rsidRDefault="002E5CFF" w:rsidP="002E5CFF">
      <w:pPr>
        <w:spacing w:after="0" w:line="240" w:lineRule="auto"/>
        <w:jc w:val="both"/>
        <w:rPr>
          <w:rFonts w:ascii="Times New Roman" w:eastAsia="Calibri" w:hAnsi="Times New Roman" w:cs="Arial"/>
          <w:sz w:val="24"/>
          <w:lang w:val="en-US"/>
        </w:rPr>
      </w:pPr>
      <w:r w:rsidRPr="002E5CFF">
        <w:rPr>
          <w:rFonts w:ascii="Times New Roman" w:eastAsia="Calibri" w:hAnsi="Times New Roman" w:cs="Arial"/>
          <w:sz w:val="24"/>
          <w:lang w:val="en-US"/>
        </w:rPr>
        <w:t xml:space="preserve">To explain the psychological mechanisms underlying training transfer, this study is grounded </w:t>
      </w:r>
    </w:p>
    <w:p w14:paraId="5EB0405A" w14:textId="75400601" w:rsidR="002E5CFF" w:rsidRPr="002E5CFF" w:rsidRDefault="002E5CFF" w:rsidP="002E5CFF">
      <w:pPr>
        <w:spacing w:after="0" w:line="240" w:lineRule="auto"/>
        <w:jc w:val="both"/>
        <w:rPr>
          <w:rFonts w:ascii="Times New Roman" w:eastAsia="Calibri" w:hAnsi="Times New Roman" w:cs="Arial"/>
          <w:sz w:val="24"/>
          <w:lang w:val="en-US"/>
        </w:rPr>
      </w:pPr>
      <w:r w:rsidRPr="002E5CFF">
        <w:rPr>
          <w:rFonts w:ascii="Times New Roman" w:eastAsia="Calibri" w:hAnsi="Times New Roman" w:cs="Arial"/>
          <w:sz w:val="24"/>
          <w:lang w:val="en-US"/>
        </w:rPr>
        <w:t xml:space="preserve">in the Theory of Planned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(TPB). TPB posits that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is directly influenced by </w:t>
      </w:r>
      <w:proofErr w:type="spellStart"/>
      <w:r w:rsidRPr="002E5CFF">
        <w:rPr>
          <w:rFonts w:ascii="Times New Roman" w:eastAsia="Calibri" w:hAnsi="Times New Roman" w:cs="Arial"/>
          <w:sz w:val="24"/>
          <w:lang w:val="en-US"/>
        </w:rPr>
        <w:t>behavioural</w:t>
      </w:r>
      <w:proofErr w:type="spellEnd"/>
      <w:r w:rsidRPr="002E5CFF">
        <w:rPr>
          <w:rFonts w:ascii="Times New Roman" w:eastAsia="Calibri" w:hAnsi="Times New Roman" w:cs="Arial"/>
          <w:sz w:val="24"/>
          <w:lang w:val="en-US"/>
        </w:rPr>
        <w:t xml:space="preserve"> intention, which is shaped by three core determinants: attitude toward the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subjective norms, and perceived </w:t>
      </w:r>
      <w:proofErr w:type="spellStart"/>
      <w:r w:rsidRPr="002E5CFF">
        <w:rPr>
          <w:rFonts w:ascii="Times New Roman" w:eastAsia="Calibri" w:hAnsi="Times New Roman" w:cs="Arial"/>
          <w:sz w:val="24"/>
          <w:lang w:val="en-US"/>
        </w:rPr>
        <w:t>behavioural</w:t>
      </w:r>
      <w:proofErr w:type="spellEnd"/>
      <w:r w:rsidRPr="002E5CFF">
        <w:rPr>
          <w:rFonts w:ascii="Times New Roman" w:eastAsia="Calibri" w:hAnsi="Times New Roman" w:cs="Arial"/>
          <w:sz w:val="24"/>
          <w:lang w:val="en-US"/>
        </w:rPr>
        <w:t xml:space="preserve"> control (</w:t>
      </w:r>
      <w:proofErr w:type="spellStart"/>
      <w:r w:rsidRPr="002E5CFF">
        <w:rPr>
          <w:rFonts w:ascii="Times New Roman" w:eastAsia="Calibri" w:hAnsi="Times New Roman" w:cs="Arial"/>
          <w:sz w:val="24"/>
          <w:lang w:val="en-US"/>
        </w:rPr>
        <w:t>Ajzen</w:t>
      </w:r>
      <w:proofErr w:type="spellEnd"/>
      <w:r w:rsidRPr="002E5CFF">
        <w:rPr>
          <w:rFonts w:ascii="Times New Roman" w:eastAsia="Calibri" w:hAnsi="Times New Roman" w:cs="Arial"/>
          <w:sz w:val="24"/>
          <w:lang w:val="en-US"/>
        </w:rPr>
        <w:t xml:space="preserve">, 1991). In the context of this study, attitude, organisational commitment, and perceived importance of training are </w:t>
      </w:r>
      <w:proofErr w:type="spellStart"/>
      <w:r w:rsidRPr="002E5CFF">
        <w:rPr>
          <w:rFonts w:ascii="Times New Roman" w:eastAsia="Calibri" w:hAnsi="Times New Roman" w:cs="Arial"/>
          <w:sz w:val="24"/>
          <w:lang w:val="en-US"/>
        </w:rPr>
        <w:t>conceptualised</w:t>
      </w:r>
      <w:proofErr w:type="spellEnd"/>
      <w:r w:rsidRPr="002E5CFF">
        <w:rPr>
          <w:rFonts w:ascii="Times New Roman" w:eastAsia="Calibri" w:hAnsi="Times New Roman" w:cs="Arial"/>
          <w:sz w:val="24"/>
          <w:lang w:val="en-US"/>
        </w:rPr>
        <w:t xml:space="preserve"> as key determinants that influence TVET lecturers’ </w:t>
      </w:r>
      <w:proofErr w:type="spellStart"/>
      <w:r w:rsidRPr="002E5CFF">
        <w:rPr>
          <w:rFonts w:ascii="Times New Roman" w:eastAsia="Calibri" w:hAnsi="Times New Roman" w:cs="Arial"/>
          <w:sz w:val="24"/>
          <w:lang w:val="en-US"/>
        </w:rPr>
        <w:t>behavioural</w:t>
      </w:r>
      <w:proofErr w:type="spellEnd"/>
      <w:r w:rsidRPr="002E5CFF">
        <w:rPr>
          <w:rFonts w:ascii="Times New Roman" w:eastAsia="Calibri" w:hAnsi="Times New Roman" w:cs="Arial"/>
          <w:sz w:val="24"/>
          <w:lang w:val="en-US"/>
        </w:rPr>
        <w:t xml:space="preserve"> intention to apply training outcomes, which subsequently affects the actual transfer of training.</w:t>
      </w:r>
      <w:r>
        <w:rPr>
          <w:rFonts w:ascii="Times New Roman" w:eastAsia="Calibri" w:hAnsi="Times New Roman" w:cs="Arial"/>
          <w:sz w:val="24"/>
          <w:lang w:val="en-US"/>
        </w:rPr>
        <w:t xml:space="preserve"> </w:t>
      </w:r>
      <w:r w:rsidRPr="002E5CFF">
        <w:rPr>
          <w:rFonts w:ascii="Times New Roman" w:eastAsia="Calibri" w:hAnsi="Times New Roman" w:cs="Arial"/>
          <w:sz w:val="24"/>
          <w:lang w:val="en-US"/>
        </w:rPr>
        <w:t xml:space="preserve">Attitude reflects lecturers’ evaluative disposition toward training and the application of acquired competencies in teaching practice. Organisational commitment represents the psychological attachment and sense of responsibility lecturers have toward their institution, which may strengthen their intention to align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with institutional goals and expectations. Perceived importance of training reflects the degree to which lecturers perceive training content as relevant, valuable, and applicable to their professional roles. Within the TPB framework, </w:t>
      </w:r>
      <w:proofErr w:type="spellStart"/>
      <w:r w:rsidRPr="002E5CFF">
        <w:rPr>
          <w:rFonts w:ascii="Times New Roman" w:eastAsia="Calibri" w:hAnsi="Times New Roman" w:cs="Arial"/>
          <w:sz w:val="24"/>
          <w:lang w:val="en-US"/>
        </w:rPr>
        <w:t>favourable</w:t>
      </w:r>
      <w:proofErr w:type="spellEnd"/>
      <w:r w:rsidRPr="002E5CFF">
        <w:rPr>
          <w:rFonts w:ascii="Times New Roman" w:eastAsia="Calibri" w:hAnsi="Times New Roman" w:cs="Arial"/>
          <w:sz w:val="24"/>
          <w:lang w:val="en-US"/>
        </w:rPr>
        <w:t xml:space="preserve"> attitudes, strong organisational commitment, and high perceived importance are expected to strengthen </w:t>
      </w:r>
      <w:proofErr w:type="spellStart"/>
      <w:r w:rsidRPr="002E5CFF">
        <w:rPr>
          <w:rFonts w:ascii="Times New Roman" w:eastAsia="Calibri" w:hAnsi="Times New Roman" w:cs="Arial"/>
          <w:sz w:val="24"/>
          <w:lang w:val="en-US"/>
        </w:rPr>
        <w:t>behavioural</w:t>
      </w:r>
      <w:proofErr w:type="spellEnd"/>
      <w:r w:rsidRPr="002E5CFF">
        <w:rPr>
          <w:rFonts w:ascii="Times New Roman" w:eastAsia="Calibri" w:hAnsi="Times New Roman" w:cs="Arial"/>
          <w:sz w:val="24"/>
          <w:lang w:val="en-US"/>
        </w:rPr>
        <w:t xml:space="preserve"> intention, thereby increasing the likelihood of effective transfer of training in TVET settings.</w:t>
      </w:r>
      <w:r w:rsidR="00E97316">
        <w:rPr>
          <w:rFonts w:ascii="Times New Roman" w:eastAsia="Calibri" w:hAnsi="Times New Roman" w:cs="Arial"/>
          <w:sz w:val="24"/>
          <w:lang w:val="en-US"/>
        </w:rPr>
        <w:t xml:space="preserve"> </w:t>
      </w:r>
      <w:r w:rsidRPr="002E5CFF">
        <w:rPr>
          <w:rFonts w:ascii="Times New Roman" w:eastAsia="Calibri" w:hAnsi="Times New Roman" w:cs="Arial"/>
          <w:sz w:val="24"/>
          <w:lang w:val="en-US"/>
        </w:rPr>
        <w:t xml:space="preserve">In addition to psychological determinants, demographic factors may also influence training transfer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This study further draws on Gender Role Theory, which posits that gender differences in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perception, and workplace experiences are shaped by socially constructed norms and expectations. According to this theory, men and women are </w:t>
      </w:r>
      <w:proofErr w:type="spellStart"/>
      <w:r w:rsidRPr="002E5CFF">
        <w:rPr>
          <w:rFonts w:ascii="Times New Roman" w:eastAsia="Calibri" w:hAnsi="Times New Roman" w:cs="Arial"/>
          <w:sz w:val="24"/>
          <w:lang w:val="en-US"/>
        </w:rPr>
        <w:t>socialised</w:t>
      </w:r>
      <w:proofErr w:type="spellEnd"/>
      <w:r w:rsidRPr="002E5CFF">
        <w:rPr>
          <w:rFonts w:ascii="Times New Roman" w:eastAsia="Calibri" w:hAnsi="Times New Roman" w:cs="Arial"/>
          <w:sz w:val="24"/>
          <w:lang w:val="en-US"/>
        </w:rPr>
        <w:t xml:space="preserve"> into different roles, which influence their confidence, learning engagement, access to opportunities, and </w:t>
      </w:r>
      <w:proofErr w:type="spellStart"/>
      <w:r w:rsidRPr="002E5CFF">
        <w:rPr>
          <w:rFonts w:ascii="Times New Roman" w:eastAsia="Calibri" w:hAnsi="Times New Roman" w:cs="Arial"/>
          <w:sz w:val="24"/>
          <w:lang w:val="en-US"/>
        </w:rPr>
        <w:t>behavioural</w:t>
      </w:r>
      <w:proofErr w:type="spellEnd"/>
      <w:r w:rsidRPr="002E5CFF">
        <w:rPr>
          <w:rFonts w:ascii="Times New Roman" w:eastAsia="Calibri" w:hAnsi="Times New Roman" w:cs="Arial"/>
          <w:sz w:val="24"/>
          <w:lang w:val="en-US"/>
        </w:rPr>
        <w:t xml:space="preserve"> expression in professional settings. In male-dominated technical fields such as automotive engineering, mechanical </w:t>
      </w:r>
      <w:r w:rsidRPr="002E5CFF">
        <w:rPr>
          <w:rFonts w:ascii="Times New Roman" w:eastAsia="Calibri" w:hAnsi="Times New Roman" w:cs="Arial"/>
          <w:sz w:val="24"/>
          <w:lang w:val="en-US"/>
        </w:rPr>
        <w:lastRenderedPageBreak/>
        <w:t>engineering, welding, and electrical technology within TVET institutions, gendered expectations may shape lecturers’ experiences in applying newly acquired competencies.</w:t>
      </w:r>
      <w:r>
        <w:rPr>
          <w:rFonts w:ascii="Times New Roman" w:eastAsia="Calibri" w:hAnsi="Times New Roman" w:cs="Arial"/>
          <w:sz w:val="24"/>
          <w:lang w:val="en-US"/>
        </w:rPr>
        <w:t xml:space="preserve"> </w:t>
      </w:r>
      <w:r w:rsidRPr="002E5CFF">
        <w:rPr>
          <w:rFonts w:ascii="Times New Roman" w:eastAsia="Calibri" w:hAnsi="Times New Roman" w:cs="Arial"/>
          <w:sz w:val="24"/>
          <w:lang w:val="en-US"/>
        </w:rPr>
        <w:t>Within this context, male and female TVET lecturers may differ in terms of exposure to technical tasks, confidence in applying new skills, and institutional support received for professional development. Such differences may influence the extent to which training is effectively transferred into teaching and learning practices. However, empirical findings on gender differences in training transfer remain inconsistent, and there is limited evidence specifically focusing on TVET lecturers in Malaysia. Therefore, applying Gender Role Theory provides a relevant framework for examining whether significant differences exist in transfer of training between male and female lecturers in TVET institutions.</w:t>
      </w:r>
    </w:p>
    <w:p w14:paraId="608C377F" w14:textId="77777777" w:rsidR="002E5CFF" w:rsidRDefault="002E5CFF" w:rsidP="002E5CFF">
      <w:pPr>
        <w:spacing w:after="0" w:line="240" w:lineRule="auto"/>
        <w:jc w:val="both"/>
        <w:rPr>
          <w:rFonts w:ascii="Times New Roman" w:eastAsia="Calibri" w:hAnsi="Times New Roman" w:cs="Arial"/>
          <w:sz w:val="24"/>
          <w:lang w:val="en-US"/>
        </w:rPr>
      </w:pPr>
    </w:p>
    <w:p w14:paraId="19123E27" w14:textId="1CA9B1FA" w:rsidR="002E5CFF" w:rsidRPr="002E5CFF" w:rsidRDefault="002E5CFF" w:rsidP="002E5CFF">
      <w:pPr>
        <w:spacing w:after="0" w:line="240" w:lineRule="auto"/>
        <w:jc w:val="both"/>
        <w:rPr>
          <w:rFonts w:ascii="Times New Roman" w:eastAsia="Calibri" w:hAnsi="Times New Roman" w:cs="Arial"/>
          <w:sz w:val="24"/>
          <w:lang w:val="en-US"/>
        </w:rPr>
      </w:pPr>
      <w:r w:rsidRPr="002E5CFF">
        <w:rPr>
          <w:rFonts w:ascii="Times New Roman" w:eastAsia="Calibri" w:hAnsi="Times New Roman" w:cs="Arial"/>
          <w:sz w:val="24"/>
          <w:lang w:val="en-US"/>
        </w:rPr>
        <w:t xml:space="preserve">Although transfer of training has been extensively studied in corporate and general educational contexts, limited empirical attention has been given to TVET lecturers, particularly within the Malaysian higher education and vocational education system. Existing studies have largely focused on organisational training effectiveness and employee performance, with insufficient emphasis on the combined influence of psychological determinants (as explained by TPB) and gender-based differences (as explained by Gender Role Theory) in shaping training transfer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among TVET educators.</w:t>
      </w:r>
      <w:r>
        <w:rPr>
          <w:rFonts w:ascii="Times New Roman" w:eastAsia="Calibri" w:hAnsi="Times New Roman" w:cs="Arial"/>
          <w:sz w:val="24"/>
          <w:lang w:val="en-US"/>
        </w:rPr>
        <w:t xml:space="preserve"> </w:t>
      </w:r>
      <w:r w:rsidRPr="002E5CFF">
        <w:rPr>
          <w:rFonts w:ascii="Times New Roman" w:eastAsia="Calibri" w:hAnsi="Times New Roman" w:cs="Arial"/>
          <w:sz w:val="24"/>
          <w:lang w:val="en-US"/>
        </w:rPr>
        <w:t xml:space="preserve">Therefore, this study seeks to address these gaps by focusing on three main objectives: (1) to measure the level of transfer of training among TVET lecturers, (2) to examine differences in transfer of training based on gender, and (3) to </w:t>
      </w:r>
      <w:r w:rsidR="00000833">
        <w:rPr>
          <w:rFonts w:ascii="Times New Roman" w:eastAsia="Calibri" w:hAnsi="Times New Roman" w:cs="Arial"/>
          <w:sz w:val="24"/>
          <w:lang w:val="en-US"/>
        </w:rPr>
        <w:t>identify</w:t>
      </w:r>
      <w:r w:rsidRPr="002E5CFF">
        <w:rPr>
          <w:rFonts w:ascii="Times New Roman" w:eastAsia="Calibri" w:hAnsi="Times New Roman" w:cs="Arial"/>
          <w:sz w:val="24"/>
          <w:lang w:val="en-US"/>
        </w:rPr>
        <w:t xml:space="preserve"> the influence of attitude, organisational commitment, and perceived importance on transfer of training among TVET lecturers. Understanding these relationships is essential to ensure that investments in professional development translate into effective instructional practice, improved teaching quality, and enhanced graduate employability within the Malaysian TVET ecosystem.</w:t>
      </w:r>
    </w:p>
    <w:p w14:paraId="47174C2C" w14:textId="77777777" w:rsidR="0019755B" w:rsidRPr="003913A5" w:rsidRDefault="0019755B" w:rsidP="00E775B6">
      <w:pPr>
        <w:spacing w:after="0" w:line="240" w:lineRule="auto"/>
        <w:jc w:val="both"/>
        <w:rPr>
          <w:rFonts w:ascii="Times New Roman" w:eastAsia="Calibri" w:hAnsi="Times New Roman" w:cs="Times New Roman"/>
          <w:sz w:val="24"/>
          <w:lang w:val="en-GB"/>
        </w:rPr>
      </w:pPr>
    </w:p>
    <w:p w14:paraId="33797DC0" w14:textId="1C0BCA36" w:rsidR="003913A5" w:rsidRPr="003913A5" w:rsidRDefault="00E413FB" w:rsidP="003913A5">
      <w:pPr>
        <w:spacing w:after="0" w:line="240" w:lineRule="auto"/>
        <w:jc w:val="both"/>
        <w:rPr>
          <w:rFonts w:ascii="Times New Roman" w:eastAsia="Calibri" w:hAnsi="Times New Roman" w:cs="Arial"/>
          <w:b/>
          <w:color w:val="FF0000"/>
          <w:sz w:val="24"/>
          <w:lang w:val="en-GB"/>
        </w:rPr>
      </w:pPr>
      <w:r>
        <w:rPr>
          <w:rFonts w:ascii="Times New Roman" w:eastAsia="Calibri" w:hAnsi="Times New Roman" w:cs="Arial"/>
          <w:b/>
          <w:sz w:val="24"/>
          <w:lang w:val="en-GB"/>
        </w:rPr>
        <w:t xml:space="preserve">Transfer of training </w:t>
      </w:r>
    </w:p>
    <w:p w14:paraId="21DF1E02" w14:textId="063B58B0" w:rsidR="00EC0BC7" w:rsidRPr="00AD3201" w:rsidRDefault="00EC0BC7" w:rsidP="00EC0BC7">
      <w:pPr>
        <w:spacing w:after="0" w:line="240" w:lineRule="auto"/>
        <w:jc w:val="both"/>
        <w:rPr>
          <w:rFonts w:ascii="Times New Roman" w:eastAsia="Calibri" w:hAnsi="Times New Roman" w:cs="Arial"/>
          <w:sz w:val="24"/>
          <w:lang w:val="en-US"/>
        </w:rPr>
      </w:pPr>
      <w:r w:rsidRPr="00AD3201">
        <w:rPr>
          <w:rFonts w:ascii="Times New Roman" w:eastAsia="Calibri" w:hAnsi="Times New Roman" w:cs="Arial"/>
          <w:sz w:val="24"/>
          <w:lang w:val="en-US"/>
        </w:rPr>
        <w:t xml:space="preserve">Transfer of training refers to the extent to which knowledge, skills, and abilities acquired through training are applied, </w:t>
      </w:r>
      <w:proofErr w:type="spellStart"/>
      <w:r w:rsidRPr="00AD3201">
        <w:rPr>
          <w:rFonts w:ascii="Times New Roman" w:eastAsia="Calibri" w:hAnsi="Times New Roman" w:cs="Arial"/>
          <w:sz w:val="24"/>
          <w:lang w:val="en-US"/>
        </w:rPr>
        <w:t>generalised</w:t>
      </w:r>
      <w:proofErr w:type="spellEnd"/>
      <w:r w:rsidRPr="00AD3201">
        <w:rPr>
          <w:rFonts w:ascii="Times New Roman" w:eastAsia="Calibri" w:hAnsi="Times New Roman" w:cs="Arial"/>
          <w:sz w:val="24"/>
          <w:lang w:val="en-US"/>
        </w:rPr>
        <w:t xml:space="preserve">, and sustained in the workplace. The foundational model by Baldwin and Ford </w:t>
      </w:r>
      <w:proofErr w:type="spellStart"/>
      <w:r w:rsidRPr="00AD3201">
        <w:rPr>
          <w:rFonts w:ascii="Times New Roman" w:eastAsia="Calibri" w:hAnsi="Times New Roman" w:cs="Arial"/>
          <w:sz w:val="24"/>
          <w:lang w:val="en-US"/>
        </w:rPr>
        <w:t>conceptualises</w:t>
      </w:r>
      <w:proofErr w:type="spellEnd"/>
      <w:r w:rsidRPr="00AD3201">
        <w:rPr>
          <w:rFonts w:ascii="Times New Roman" w:eastAsia="Calibri" w:hAnsi="Times New Roman" w:cs="Arial"/>
          <w:sz w:val="24"/>
          <w:lang w:val="en-US"/>
        </w:rPr>
        <w:t xml:space="preserve"> transfer as being influenced by trainee characteristics, training design, and the work environment, and it remains widely used in human resource development research to explain why training does not consistently translate into improved job performance. Empirical evidence shows that training transfer remains a persistent challenge, with only about 10%–40% of training content effectively applied in practice (Blume et al., 2019; Saks &amp; Belcourt, 2006). Its effectiveness is shaped by both individual factors (e.g., motivation, self-efficacy, attitudes) and organisational factors (e.g., supervisory support, learning culture, and opportunities to apply skills) (Burke &amp; Hutchins, 2007; Grossman &amp; Salas, 2011). In educational contexts, particularly higher education, training transfer is critical for sustaining improvements in teaching practice; however, professional development often fails to produce lasting </w:t>
      </w:r>
      <w:proofErr w:type="spellStart"/>
      <w:r w:rsidRPr="00AD3201">
        <w:rPr>
          <w:rFonts w:ascii="Times New Roman" w:eastAsia="Calibri" w:hAnsi="Times New Roman" w:cs="Arial"/>
          <w:sz w:val="24"/>
          <w:lang w:val="en-US"/>
        </w:rPr>
        <w:t>behavioural</w:t>
      </w:r>
      <w:proofErr w:type="spellEnd"/>
      <w:r w:rsidRPr="00AD3201">
        <w:rPr>
          <w:rFonts w:ascii="Times New Roman" w:eastAsia="Calibri" w:hAnsi="Times New Roman" w:cs="Arial"/>
          <w:sz w:val="24"/>
          <w:lang w:val="en-US"/>
        </w:rPr>
        <w:t xml:space="preserve"> change without strong institutional reinforcement (</w:t>
      </w:r>
      <w:proofErr w:type="spellStart"/>
      <w:r w:rsidRPr="00AD3201">
        <w:rPr>
          <w:rFonts w:ascii="Times New Roman" w:eastAsia="Calibri" w:hAnsi="Times New Roman" w:cs="Arial"/>
          <w:sz w:val="24"/>
          <w:lang w:val="en-US"/>
        </w:rPr>
        <w:t>Gegenfurtner</w:t>
      </w:r>
      <w:proofErr w:type="spellEnd"/>
      <w:r w:rsidRPr="00AD3201">
        <w:rPr>
          <w:rFonts w:ascii="Times New Roman" w:eastAsia="Calibri" w:hAnsi="Times New Roman" w:cs="Arial"/>
          <w:sz w:val="24"/>
          <w:lang w:val="en-US"/>
        </w:rPr>
        <w:t>, 2020).</w:t>
      </w:r>
      <w:r w:rsidR="00D17D67" w:rsidRPr="00AD3201">
        <w:rPr>
          <w:rFonts w:ascii="Times New Roman" w:eastAsia="Calibri" w:hAnsi="Times New Roman" w:cs="Arial"/>
          <w:sz w:val="24"/>
          <w:lang w:val="en-US"/>
        </w:rPr>
        <w:t xml:space="preserve"> </w:t>
      </w:r>
      <w:r w:rsidR="00D17D67" w:rsidRPr="00AD3201">
        <w:rPr>
          <w:rFonts w:ascii="Times New Roman" w:eastAsia="Calibri" w:hAnsi="Times New Roman" w:cs="Arial"/>
          <w:sz w:val="24"/>
        </w:rPr>
        <w:t xml:space="preserve">Salleh, Amin, and </w:t>
      </w:r>
      <w:proofErr w:type="spellStart"/>
      <w:r w:rsidR="00D17D67" w:rsidRPr="00AD3201">
        <w:rPr>
          <w:rFonts w:ascii="Times New Roman" w:eastAsia="Calibri" w:hAnsi="Times New Roman" w:cs="Arial"/>
          <w:sz w:val="24"/>
        </w:rPr>
        <w:t>Mamat</w:t>
      </w:r>
      <w:proofErr w:type="spellEnd"/>
      <w:r w:rsidR="00D17D67" w:rsidRPr="00AD3201">
        <w:rPr>
          <w:rFonts w:ascii="Times New Roman" w:eastAsia="Calibri" w:hAnsi="Times New Roman" w:cs="Arial"/>
          <w:sz w:val="24"/>
        </w:rPr>
        <w:t xml:space="preserve"> (2017) emphasised that training transfer among academic staff is significantly influenced by employee readiness, training design, and work environment, indicating that both individual and organisational factors are essential in determining the extent to which training is effectively applied in the workplace.</w:t>
      </w:r>
    </w:p>
    <w:p w14:paraId="609084B6" w14:textId="77777777" w:rsidR="00EC0BC7" w:rsidRPr="00AD3201" w:rsidRDefault="00EC0BC7" w:rsidP="00EC0BC7">
      <w:pPr>
        <w:spacing w:after="0" w:line="240" w:lineRule="auto"/>
        <w:jc w:val="both"/>
        <w:rPr>
          <w:rFonts w:ascii="Times New Roman" w:eastAsia="Calibri" w:hAnsi="Times New Roman" w:cs="Arial"/>
          <w:sz w:val="24"/>
          <w:lang w:val="en-US"/>
        </w:rPr>
      </w:pPr>
    </w:p>
    <w:p w14:paraId="078EE6E1" w14:textId="04A59D4F" w:rsidR="00EC0BC7" w:rsidRPr="00EC0BC7" w:rsidRDefault="00EC0BC7" w:rsidP="00EC0BC7">
      <w:pPr>
        <w:spacing w:after="0" w:line="240" w:lineRule="auto"/>
        <w:jc w:val="both"/>
        <w:rPr>
          <w:rFonts w:ascii="Times New Roman" w:eastAsia="Calibri" w:hAnsi="Times New Roman" w:cs="Arial"/>
          <w:sz w:val="24"/>
          <w:lang w:val="en-US"/>
        </w:rPr>
      </w:pPr>
      <w:r w:rsidRPr="00AD3201">
        <w:rPr>
          <w:rFonts w:ascii="Times New Roman" w:eastAsia="Calibri" w:hAnsi="Times New Roman" w:cs="Arial"/>
          <w:sz w:val="24"/>
          <w:lang w:val="en-US"/>
        </w:rPr>
        <w:t xml:space="preserve">In the Technical and Vocational Education and Training (TVET) context, transfer of training is especially significant as lecturers are required to continuously update their competencies in </w:t>
      </w:r>
      <w:r w:rsidRPr="00AD3201">
        <w:rPr>
          <w:rFonts w:ascii="Times New Roman" w:eastAsia="Calibri" w:hAnsi="Times New Roman" w:cs="Arial"/>
          <w:sz w:val="24"/>
          <w:lang w:val="en-US"/>
        </w:rPr>
        <w:lastRenderedPageBreak/>
        <w:t xml:space="preserve">response to rapid industrial and technological change. TVET lecturers must translate training outcomes into practical, competency-based teaching in workshops and industry-linked learning environments. However, literature indicates that transfer is often constrained by barriers such as heavy workloads, limited access to modern equipment, insufficient institutional support, lack of post-training reinforcement, and misalignment between training content and workplace needs (Cheng &amp; Ho, 2001; </w:t>
      </w:r>
      <w:proofErr w:type="spellStart"/>
      <w:r w:rsidRPr="00AD3201">
        <w:rPr>
          <w:rFonts w:ascii="Times New Roman" w:eastAsia="Calibri" w:hAnsi="Times New Roman" w:cs="Arial"/>
          <w:sz w:val="24"/>
          <w:lang w:val="en-US"/>
        </w:rPr>
        <w:t>Gegenfurtner</w:t>
      </w:r>
      <w:proofErr w:type="spellEnd"/>
      <w:r w:rsidRPr="00AD3201">
        <w:rPr>
          <w:rFonts w:ascii="Times New Roman" w:eastAsia="Calibri" w:hAnsi="Times New Roman" w:cs="Arial"/>
          <w:sz w:val="24"/>
          <w:lang w:val="en-US"/>
        </w:rPr>
        <w:t>, 2020). In the Malaysian context, despite strong government investment in TVET and high graduate employability rates, concerns persist regarding the development of soft skills, critical thinking, and workplace readiness, suggesting gaps in training application at the instructional level. Studies further highlight that organisational support, reinforcement mechanisms, and institutional differences significantly influence lecturers’ ability to transfer training effectively (Noor et al., 2022). Consequently, understanding the level and determinants of training transfer among TVET lecturers in Malaysia remains essential for enhancing teaching quality and graduate outcomes.</w:t>
      </w:r>
    </w:p>
    <w:p w14:paraId="2C0A24BA" w14:textId="044B1608" w:rsidR="003913A5" w:rsidRPr="003913A5" w:rsidRDefault="003913A5" w:rsidP="00A10C91">
      <w:pPr>
        <w:spacing w:after="0" w:line="240" w:lineRule="auto"/>
        <w:jc w:val="both"/>
        <w:rPr>
          <w:rFonts w:ascii="Times New Roman" w:eastAsia="Calibri" w:hAnsi="Times New Roman" w:cs="Arial"/>
          <w:b/>
          <w:color w:val="FF0000"/>
          <w:sz w:val="24"/>
          <w:lang w:val="en-GB"/>
        </w:rPr>
      </w:pPr>
    </w:p>
    <w:p w14:paraId="1C2FB057" w14:textId="760573D1" w:rsidR="003913A5" w:rsidRPr="003913A5" w:rsidRDefault="00234F88" w:rsidP="007D4F79">
      <w:pPr>
        <w:spacing w:after="0" w:line="240" w:lineRule="auto"/>
        <w:ind w:firstLine="720"/>
        <w:jc w:val="both"/>
        <w:rPr>
          <w:rFonts w:ascii="Times New Roman" w:eastAsia="Calibri" w:hAnsi="Times New Roman" w:cs="Arial"/>
          <w:b/>
          <w:color w:val="FF0000"/>
          <w:sz w:val="24"/>
          <w:lang w:val="en-GB"/>
        </w:rPr>
      </w:pPr>
      <w:r>
        <w:rPr>
          <w:rFonts w:ascii="Times New Roman" w:eastAsia="Calibri" w:hAnsi="Times New Roman" w:cs="Arial"/>
          <w:b/>
          <w:sz w:val="24"/>
          <w:lang w:val="en-GB"/>
        </w:rPr>
        <w:t>Gender and Transfer of training</w:t>
      </w:r>
    </w:p>
    <w:p w14:paraId="6551E5DF" w14:textId="0AC3B159" w:rsidR="002C175D" w:rsidRPr="002C175D" w:rsidRDefault="002C175D" w:rsidP="002C175D">
      <w:pPr>
        <w:spacing w:after="0" w:line="240" w:lineRule="auto"/>
        <w:jc w:val="both"/>
        <w:rPr>
          <w:rFonts w:ascii="Times New Roman" w:eastAsia="Calibri" w:hAnsi="Times New Roman" w:cs="Times New Roman"/>
          <w:sz w:val="24"/>
          <w:szCs w:val="24"/>
          <w:lang w:val="en-US"/>
        </w:rPr>
      </w:pPr>
      <w:r w:rsidRPr="002C175D">
        <w:rPr>
          <w:rFonts w:ascii="Times New Roman" w:eastAsia="Calibri" w:hAnsi="Times New Roman" w:cs="Times New Roman"/>
          <w:sz w:val="24"/>
          <w:szCs w:val="24"/>
          <w:lang w:val="en-US"/>
        </w:rPr>
        <w:t xml:space="preserve">Research on gender differences has long been explored across various social science domains, including negotiation skills, leadership, and learning </w:t>
      </w:r>
      <w:proofErr w:type="spellStart"/>
      <w:r w:rsidRPr="002C175D">
        <w:rPr>
          <w:rFonts w:ascii="Times New Roman" w:eastAsia="Calibri" w:hAnsi="Times New Roman" w:cs="Times New Roman"/>
          <w:sz w:val="24"/>
          <w:szCs w:val="24"/>
          <w:lang w:val="en-US"/>
        </w:rPr>
        <w:t>behaviour</w:t>
      </w:r>
      <w:proofErr w:type="spellEnd"/>
      <w:r w:rsidRPr="002C175D">
        <w:rPr>
          <w:rFonts w:ascii="Times New Roman" w:eastAsia="Calibri" w:hAnsi="Times New Roman" w:cs="Times New Roman"/>
          <w:sz w:val="24"/>
          <w:szCs w:val="24"/>
          <w:lang w:val="en-US"/>
        </w:rPr>
        <w:t xml:space="preserve">. Studies have examined how males and females differ in negotiation approaches (Stevens, </w:t>
      </w:r>
      <w:proofErr w:type="spellStart"/>
      <w:r w:rsidRPr="002C175D">
        <w:rPr>
          <w:rFonts w:ascii="Times New Roman" w:eastAsia="Calibri" w:hAnsi="Times New Roman" w:cs="Times New Roman"/>
          <w:sz w:val="24"/>
          <w:szCs w:val="24"/>
          <w:lang w:val="en-US"/>
        </w:rPr>
        <w:t>Bavetta</w:t>
      </w:r>
      <w:proofErr w:type="spellEnd"/>
      <w:r w:rsidRPr="002C175D">
        <w:rPr>
          <w:rFonts w:ascii="Times New Roman" w:eastAsia="Calibri" w:hAnsi="Times New Roman" w:cs="Times New Roman"/>
          <w:sz w:val="24"/>
          <w:szCs w:val="24"/>
          <w:lang w:val="en-US"/>
        </w:rPr>
        <w:t xml:space="preserve">, &amp; Gist, 1993), emotional intelligence and transformational leadership (Mandell &amp; </w:t>
      </w:r>
      <w:proofErr w:type="spellStart"/>
      <w:r w:rsidRPr="002C175D">
        <w:rPr>
          <w:rFonts w:ascii="Times New Roman" w:eastAsia="Calibri" w:hAnsi="Times New Roman" w:cs="Times New Roman"/>
          <w:sz w:val="24"/>
          <w:szCs w:val="24"/>
          <w:lang w:val="en-US"/>
        </w:rPr>
        <w:t>Pherwani</w:t>
      </w:r>
      <w:proofErr w:type="spellEnd"/>
      <w:r w:rsidRPr="002C175D">
        <w:rPr>
          <w:rFonts w:ascii="Times New Roman" w:eastAsia="Calibri" w:hAnsi="Times New Roman" w:cs="Times New Roman"/>
          <w:sz w:val="24"/>
          <w:szCs w:val="24"/>
          <w:lang w:val="en-US"/>
        </w:rPr>
        <w:t xml:space="preserve">, 2003), as well as preferred learning styles (Philbin, Meier, Huffman, &amp; </w:t>
      </w:r>
      <w:proofErr w:type="spellStart"/>
      <w:r w:rsidRPr="002C175D">
        <w:rPr>
          <w:rFonts w:ascii="Times New Roman" w:eastAsia="Calibri" w:hAnsi="Times New Roman" w:cs="Times New Roman"/>
          <w:sz w:val="24"/>
          <w:szCs w:val="24"/>
          <w:lang w:val="en-US"/>
        </w:rPr>
        <w:t>Boverie</w:t>
      </w:r>
      <w:proofErr w:type="spellEnd"/>
      <w:r w:rsidRPr="002C175D">
        <w:rPr>
          <w:rFonts w:ascii="Times New Roman" w:eastAsia="Calibri" w:hAnsi="Times New Roman" w:cs="Times New Roman"/>
          <w:sz w:val="24"/>
          <w:szCs w:val="24"/>
          <w:lang w:val="en-US"/>
        </w:rPr>
        <w:t xml:space="preserve">, 1995). For example, the application of Kolb’s Learning Style Inventory demonstrated that male learners tend to align more closely with traditional instructional methods, whereas female learners often show stronger preferences for reflective, collaborative, and experiential learning approaches. Nevertheless, findings regarding gender differences in actual performance outcomes remain inconclusive, as some studies reported no significant differences in negotiation performance between males and females (Stevens et al., 1993). Within the training literature, </w:t>
      </w:r>
      <w:proofErr w:type="spellStart"/>
      <w:r w:rsidRPr="002C175D">
        <w:rPr>
          <w:rFonts w:ascii="Times New Roman" w:eastAsia="Calibri" w:hAnsi="Times New Roman" w:cs="Times New Roman"/>
          <w:sz w:val="24"/>
          <w:szCs w:val="24"/>
          <w:lang w:val="en-US"/>
        </w:rPr>
        <w:t>Tziner</w:t>
      </w:r>
      <w:proofErr w:type="spellEnd"/>
      <w:r w:rsidRPr="002C175D">
        <w:rPr>
          <w:rFonts w:ascii="Times New Roman" w:eastAsia="Calibri" w:hAnsi="Times New Roman" w:cs="Times New Roman"/>
          <w:sz w:val="24"/>
          <w:szCs w:val="24"/>
          <w:lang w:val="en-US"/>
        </w:rPr>
        <w:t xml:space="preserve"> and </w:t>
      </w:r>
      <w:proofErr w:type="spellStart"/>
      <w:r w:rsidRPr="002C175D">
        <w:rPr>
          <w:rFonts w:ascii="Times New Roman" w:eastAsia="Calibri" w:hAnsi="Times New Roman" w:cs="Times New Roman"/>
          <w:sz w:val="24"/>
          <w:szCs w:val="24"/>
          <w:lang w:val="en-US"/>
        </w:rPr>
        <w:t>Falbe</w:t>
      </w:r>
      <w:proofErr w:type="spellEnd"/>
      <w:r w:rsidRPr="002C175D">
        <w:rPr>
          <w:rFonts w:ascii="Times New Roman" w:eastAsia="Calibri" w:hAnsi="Times New Roman" w:cs="Times New Roman"/>
          <w:sz w:val="24"/>
          <w:szCs w:val="24"/>
          <w:lang w:val="en-US"/>
        </w:rPr>
        <w:t xml:space="preserve"> (1993) further identified gender as a contributing factor influencing motivation to transfer training, suggesting that individual and contextual factors may interact differently across genders.</w:t>
      </w:r>
      <w:r>
        <w:rPr>
          <w:rFonts w:ascii="Times New Roman" w:eastAsia="Calibri" w:hAnsi="Times New Roman" w:cs="Times New Roman"/>
          <w:sz w:val="24"/>
          <w:szCs w:val="24"/>
          <w:lang w:val="en-US"/>
        </w:rPr>
        <w:t xml:space="preserve"> </w:t>
      </w:r>
      <w:r w:rsidRPr="002C175D">
        <w:rPr>
          <w:rFonts w:ascii="Times New Roman" w:eastAsia="Calibri" w:hAnsi="Times New Roman" w:cs="Times New Roman"/>
          <w:sz w:val="24"/>
          <w:szCs w:val="24"/>
          <w:lang w:val="en-US"/>
        </w:rPr>
        <w:t xml:space="preserve">These gender-based differences can be further explained through Gender Role Theory, which posits that societal expectations and culturally constructed gender roles shape individuals’ attitudes, </w:t>
      </w:r>
      <w:proofErr w:type="spellStart"/>
      <w:r w:rsidRPr="002C175D">
        <w:rPr>
          <w:rFonts w:ascii="Times New Roman" w:eastAsia="Calibri" w:hAnsi="Times New Roman" w:cs="Times New Roman"/>
          <w:sz w:val="24"/>
          <w:szCs w:val="24"/>
          <w:lang w:val="en-US"/>
        </w:rPr>
        <w:t>behaviours</w:t>
      </w:r>
      <w:proofErr w:type="spellEnd"/>
      <w:r w:rsidRPr="002C175D">
        <w:rPr>
          <w:rFonts w:ascii="Times New Roman" w:eastAsia="Calibri" w:hAnsi="Times New Roman" w:cs="Times New Roman"/>
          <w:sz w:val="24"/>
          <w:szCs w:val="24"/>
          <w:lang w:val="en-US"/>
        </w:rPr>
        <w:t xml:space="preserve">, and workplace experiences. According to the theory, men and women are often </w:t>
      </w:r>
      <w:proofErr w:type="spellStart"/>
      <w:r w:rsidRPr="002C175D">
        <w:rPr>
          <w:rFonts w:ascii="Times New Roman" w:eastAsia="Calibri" w:hAnsi="Times New Roman" w:cs="Times New Roman"/>
          <w:sz w:val="24"/>
          <w:szCs w:val="24"/>
          <w:lang w:val="en-US"/>
        </w:rPr>
        <w:t>socialised</w:t>
      </w:r>
      <w:proofErr w:type="spellEnd"/>
      <w:r w:rsidRPr="002C175D">
        <w:rPr>
          <w:rFonts w:ascii="Times New Roman" w:eastAsia="Calibri" w:hAnsi="Times New Roman" w:cs="Times New Roman"/>
          <w:sz w:val="24"/>
          <w:szCs w:val="24"/>
          <w:lang w:val="en-US"/>
        </w:rPr>
        <w:t xml:space="preserve"> into different </w:t>
      </w:r>
      <w:proofErr w:type="spellStart"/>
      <w:r w:rsidRPr="002C175D">
        <w:rPr>
          <w:rFonts w:ascii="Times New Roman" w:eastAsia="Calibri" w:hAnsi="Times New Roman" w:cs="Times New Roman"/>
          <w:sz w:val="24"/>
          <w:szCs w:val="24"/>
          <w:lang w:val="en-US"/>
        </w:rPr>
        <w:t>behavioural</w:t>
      </w:r>
      <w:proofErr w:type="spellEnd"/>
      <w:r w:rsidRPr="002C175D">
        <w:rPr>
          <w:rFonts w:ascii="Times New Roman" w:eastAsia="Calibri" w:hAnsi="Times New Roman" w:cs="Times New Roman"/>
          <w:sz w:val="24"/>
          <w:szCs w:val="24"/>
          <w:lang w:val="en-US"/>
        </w:rPr>
        <w:t xml:space="preserve"> orientations, influencing how they perceive learning opportunities, professional responsibilities, and organisational expectations. In occupational settings, particularly within male-dominated technical environments, gender norms may influence access to opportunities, confidence in applying newly acquired skills, and engagement in professional development activities. Consequently, male and female employees may demonstrate different levels of motivation, learning engagement, and </w:t>
      </w:r>
      <w:proofErr w:type="spellStart"/>
      <w:r w:rsidRPr="002C175D">
        <w:rPr>
          <w:rFonts w:ascii="Times New Roman" w:eastAsia="Calibri" w:hAnsi="Times New Roman" w:cs="Times New Roman"/>
          <w:sz w:val="24"/>
          <w:szCs w:val="24"/>
          <w:lang w:val="en-US"/>
        </w:rPr>
        <w:t>behavioural</w:t>
      </w:r>
      <w:proofErr w:type="spellEnd"/>
      <w:r w:rsidRPr="002C175D">
        <w:rPr>
          <w:rFonts w:ascii="Times New Roman" w:eastAsia="Calibri" w:hAnsi="Times New Roman" w:cs="Times New Roman"/>
          <w:sz w:val="24"/>
          <w:szCs w:val="24"/>
          <w:lang w:val="en-US"/>
        </w:rPr>
        <w:t xml:space="preserve"> application following training interventions.</w:t>
      </w:r>
    </w:p>
    <w:p w14:paraId="4C476083" w14:textId="77777777" w:rsidR="002C175D" w:rsidRDefault="002C175D" w:rsidP="002C175D">
      <w:pPr>
        <w:spacing w:after="0" w:line="240" w:lineRule="auto"/>
        <w:jc w:val="both"/>
        <w:rPr>
          <w:rFonts w:ascii="Times New Roman" w:eastAsia="Calibri" w:hAnsi="Times New Roman" w:cs="Times New Roman"/>
          <w:sz w:val="24"/>
          <w:szCs w:val="24"/>
          <w:lang w:val="en-US"/>
        </w:rPr>
      </w:pPr>
    </w:p>
    <w:p w14:paraId="4FC468AE" w14:textId="2DF88A9A" w:rsidR="002C175D" w:rsidRPr="002C175D" w:rsidRDefault="002C175D" w:rsidP="002C175D">
      <w:pPr>
        <w:spacing w:after="0" w:line="240" w:lineRule="auto"/>
        <w:jc w:val="both"/>
        <w:rPr>
          <w:rFonts w:ascii="Times New Roman" w:eastAsia="Calibri" w:hAnsi="Times New Roman" w:cs="Times New Roman"/>
          <w:sz w:val="24"/>
          <w:szCs w:val="24"/>
          <w:lang w:val="en-US"/>
        </w:rPr>
      </w:pPr>
      <w:r w:rsidRPr="002C175D">
        <w:rPr>
          <w:rFonts w:ascii="Times New Roman" w:eastAsia="Calibri" w:hAnsi="Times New Roman" w:cs="Times New Roman"/>
          <w:sz w:val="24"/>
          <w:szCs w:val="24"/>
          <w:lang w:val="en-US"/>
        </w:rPr>
        <w:t xml:space="preserve">In educational and Technical and Vocational Education and Training (TVET) contexts, gender differences continue to emerge in relation to professional development participation and technology adoption. Studies among educators indicate that female teachers often report higher engagement in structured professional development activities and greater inclination toward self-directed learning strategies, particularly in integrating educational technologies into teaching practices (Alghamdi &amp; Higgins, 2015). Within the broader TVET sector, gender composition among lecturers is becoming increasingly important, as recent international reports indicate growing female participation in technical and vocational education professions </w:t>
      </w:r>
      <w:r w:rsidRPr="002C175D">
        <w:rPr>
          <w:rFonts w:ascii="Times New Roman" w:eastAsia="Calibri" w:hAnsi="Times New Roman" w:cs="Times New Roman"/>
          <w:sz w:val="24"/>
          <w:szCs w:val="24"/>
          <w:lang w:val="en-US"/>
        </w:rPr>
        <w:lastRenderedPageBreak/>
        <w:t>alongside differing professional development experiences between male and female lecturers (UNESCO-UNEVOC, 2022; World Bank, 2023). Female TVET educators are frequently reported to place greater emphasis on pedagogical enhancement and instructional innovation, which may positively influence their application of training knowledge and skills, especially within technology-enhanced teaching environments.</w:t>
      </w:r>
      <w:r w:rsidR="00E97316">
        <w:rPr>
          <w:rFonts w:ascii="Times New Roman" w:eastAsia="Calibri" w:hAnsi="Times New Roman" w:cs="Times New Roman"/>
          <w:sz w:val="24"/>
          <w:szCs w:val="24"/>
          <w:lang w:val="en-US"/>
        </w:rPr>
        <w:t xml:space="preserve"> </w:t>
      </w:r>
      <w:r w:rsidRPr="002C175D">
        <w:rPr>
          <w:rFonts w:ascii="Times New Roman" w:eastAsia="Calibri" w:hAnsi="Times New Roman" w:cs="Times New Roman"/>
          <w:sz w:val="24"/>
          <w:szCs w:val="24"/>
          <w:lang w:val="en-US"/>
        </w:rPr>
        <w:t>The relevance of Gender Role Theory becomes particularly significant within Malaysian TVET institutions, where several technical disciplines such as automotive, mechanical engineering, welding, and machining remain predominantly male-oriented. In such environments, organisational culture and traditional gender expectations may shape lecturers’ professional experiences differently. Female lecturers may encounter distinct challenges related to workplace inclusion, access to technical responsibilities, or opportunities to apply newly acquired competencies, while male lecturers may experience stronger alignment with established technical work cultures. These differing experiences may subsequently influence the extent to which training knowledge, skills, and attitudes are transferred into workplace practice.</w:t>
      </w:r>
      <w:r>
        <w:rPr>
          <w:rFonts w:ascii="Times New Roman" w:eastAsia="Calibri" w:hAnsi="Times New Roman" w:cs="Times New Roman"/>
          <w:sz w:val="24"/>
          <w:szCs w:val="24"/>
          <w:lang w:val="en-US"/>
        </w:rPr>
        <w:t xml:space="preserve"> </w:t>
      </w:r>
      <w:r w:rsidRPr="002C175D">
        <w:rPr>
          <w:rFonts w:ascii="Times New Roman" w:eastAsia="Calibri" w:hAnsi="Times New Roman" w:cs="Times New Roman"/>
          <w:sz w:val="24"/>
          <w:szCs w:val="24"/>
          <w:lang w:val="en-US"/>
        </w:rPr>
        <w:t xml:space="preserve">Despite growing attention toward transfer of training in Malaysian higher education, existing studies have primarily focused on trainee characteristics, organisational commitment, and workplace factors, with limited emphasis on gender-based differences among TVET lecturers, particularly within male-dominated technical disciplines. Therefore, integrating Gender Role Theory provides a relevant theoretical lens for understanding how socially constructed gender roles may influence training transfer </w:t>
      </w:r>
      <w:proofErr w:type="spellStart"/>
      <w:r w:rsidRPr="002C175D">
        <w:rPr>
          <w:rFonts w:ascii="Times New Roman" w:eastAsia="Calibri" w:hAnsi="Times New Roman" w:cs="Times New Roman"/>
          <w:sz w:val="24"/>
          <w:szCs w:val="24"/>
          <w:lang w:val="en-US"/>
        </w:rPr>
        <w:t>behaviours</w:t>
      </w:r>
      <w:proofErr w:type="spellEnd"/>
      <w:r w:rsidRPr="002C175D">
        <w:rPr>
          <w:rFonts w:ascii="Times New Roman" w:eastAsia="Calibri" w:hAnsi="Times New Roman" w:cs="Times New Roman"/>
          <w:sz w:val="24"/>
          <w:szCs w:val="24"/>
          <w:lang w:val="en-US"/>
        </w:rPr>
        <w:t xml:space="preserve"> among TVET educators in Malaysia. Accordingly, the following hypothesis is proposed:</w:t>
      </w:r>
    </w:p>
    <w:p w14:paraId="0FC7B30C"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36B38550" w14:textId="30F7E8BC" w:rsidR="00234F88" w:rsidRPr="00234F88" w:rsidRDefault="00234F88" w:rsidP="00234F88">
      <w:pPr>
        <w:spacing w:after="0" w:line="240" w:lineRule="auto"/>
        <w:jc w:val="center"/>
        <w:rPr>
          <w:rFonts w:ascii="Times New Roman" w:eastAsia="Calibri" w:hAnsi="Times New Roman" w:cs="Times New Roman"/>
          <w:i/>
          <w:iCs/>
          <w:sz w:val="24"/>
          <w:szCs w:val="24"/>
          <w:lang w:val="en-US"/>
        </w:rPr>
      </w:pPr>
      <w:r w:rsidRPr="00234F88">
        <w:rPr>
          <w:rFonts w:ascii="Times New Roman" w:eastAsia="Calibri" w:hAnsi="Times New Roman" w:cs="Times New Roman"/>
          <w:i/>
          <w:iCs/>
          <w:sz w:val="24"/>
          <w:szCs w:val="24"/>
          <w:lang w:val="en-US"/>
        </w:rPr>
        <w:t>H1: There is a significant difference in transfer of training based on gender.</w:t>
      </w:r>
    </w:p>
    <w:p w14:paraId="5DF1A781" w14:textId="1AB3DB34" w:rsidR="00234F88" w:rsidRDefault="00234F88" w:rsidP="00090C88">
      <w:pPr>
        <w:spacing w:after="0" w:line="240" w:lineRule="auto"/>
        <w:jc w:val="both"/>
        <w:rPr>
          <w:rFonts w:ascii="Times New Roman" w:eastAsia="Calibri" w:hAnsi="Times New Roman" w:cs="Times New Roman"/>
          <w:sz w:val="24"/>
          <w:szCs w:val="24"/>
        </w:rPr>
      </w:pPr>
    </w:p>
    <w:p w14:paraId="2390A504" w14:textId="77777777" w:rsidR="00234F88" w:rsidRPr="00234F88" w:rsidRDefault="00234F88" w:rsidP="00234F88">
      <w:pPr>
        <w:spacing w:after="0" w:line="240" w:lineRule="auto"/>
        <w:ind w:firstLine="720"/>
        <w:jc w:val="both"/>
        <w:rPr>
          <w:rFonts w:ascii="Times New Roman" w:eastAsia="Calibri" w:hAnsi="Times New Roman" w:cs="Times New Roman"/>
          <w:b/>
          <w:sz w:val="24"/>
          <w:szCs w:val="24"/>
          <w:lang w:val="en-GB"/>
        </w:rPr>
      </w:pPr>
      <w:r w:rsidRPr="00234F88">
        <w:rPr>
          <w:rFonts w:ascii="Times New Roman" w:eastAsia="Calibri" w:hAnsi="Times New Roman" w:cs="Times New Roman"/>
          <w:b/>
          <w:sz w:val="24"/>
          <w:szCs w:val="24"/>
          <w:lang w:val="en-GB"/>
        </w:rPr>
        <w:t>Attitudes</w:t>
      </w:r>
    </w:p>
    <w:p w14:paraId="0AD5C0E5" w14:textId="77777777" w:rsidR="000A47EB" w:rsidRPr="000A47EB" w:rsidRDefault="000A47EB" w:rsidP="000A47EB">
      <w:pPr>
        <w:spacing w:after="0" w:line="240" w:lineRule="auto"/>
        <w:jc w:val="both"/>
        <w:rPr>
          <w:rFonts w:ascii="Times New Roman" w:eastAsia="Calibri" w:hAnsi="Times New Roman" w:cs="Times New Roman"/>
          <w:sz w:val="24"/>
          <w:szCs w:val="24"/>
          <w:lang w:val="en-US"/>
        </w:rPr>
      </w:pPr>
      <w:r w:rsidRPr="000A47EB">
        <w:rPr>
          <w:rFonts w:ascii="Times New Roman" w:eastAsia="Calibri" w:hAnsi="Times New Roman" w:cs="Times New Roman"/>
          <w:sz w:val="24"/>
          <w:szCs w:val="24"/>
          <w:lang w:val="en-US"/>
        </w:rPr>
        <w:t xml:space="preserve">Attitude is commonly defined as an individual’s evaluative disposition or perception toward a particular </w:t>
      </w:r>
      <w:proofErr w:type="spellStart"/>
      <w:r w:rsidRPr="000A47EB">
        <w:rPr>
          <w:rFonts w:ascii="Times New Roman" w:eastAsia="Calibri" w:hAnsi="Times New Roman" w:cs="Times New Roman"/>
          <w:sz w:val="24"/>
          <w:szCs w:val="24"/>
          <w:lang w:val="en-US"/>
        </w:rPr>
        <w:t>behaviour</w:t>
      </w:r>
      <w:proofErr w:type="spellEnd"/>
      <w:r w:rsidRPr="000A47EB">
        <w:rPr>
          <w:rFonts w:ascii="Times New Roman" w:eastAsia="Calibri" w:hAnsi="Times New Roman" w:cs="Times New Roman"/>
          <w:sz w:val="24"/>
          <w:szCs w:val="24"/>
          <w:lang w:val="en-US"/>
        </w:rPr>
        <w:t xml:space="preserve">, which significantly influences willingness to engage in learning and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change (</w:t>
      </w:r>
      <w:proofErr w:type="spellStart"/>
      <w:r w:rsidRPr="000A47EB">
        <w:rPr>
          <w:rFonts w:ascii="Times New Roman" w:eastAsia="Calibri" w:hAnsi="Times New Roman" w:cs="Times New Roman"/>
          <w:sz w:val="24"/>
          <w:szCs w:val="24"/>
          <w:lang w:val="en-US"/>
        </w:rPr>
        <w:t>Nollen</w:t>
      </w:r>
      <w:proofErr w:type="spellEnd"/>
      <w:r w:rsidRPr="000A47EB">
        <w:rPr>
          <w:rFonts w:ascii="Times New Roman" w:eastAsia="Calibri" w:hAnsi="Times New Roman" w:cs="Times New Roman"/>
          <w:sz w:val="24"/>
          <w:szCs w:val="24"/>
          <w:lang w:val="en-US"/>
        </w:rPr>
        <w:t xml:space="preserve"> &amp; Gaertner, 1991). Within training contexts, positive attitudes are widely </w:t>
      </w:r>
      <w:proofErr w:type="spellStart"/>
      <w:r w:rsidRPr="000A47EB">
        <w:rPr>
          <w:rFonts w:ascii="Times New Roman" w:eastAsia="Calibri" w:hAnsi="Times New Roman" w:cs="Times New Roman"/>
          <w:sz w:val="24"/>
          <w:szCs w:val="24"/>
          <w:lang w:val="en-US"/>
        </w:rPr>
        <w:t>recognised</w:t>
      </w:r>
      <w:proofErr w:type="spellEnd"/>
      <w:r w:rsidRPr="000A47EB">
        <w:rPr>
          <w:rFonts w:ascii="Times New Roman" w:eastAsia="Calibri" w:hAnsi="Times New Roman" w:cs="Times New Roman"/>
          <w:sz w:val="24"/>
          <w:szCs w:val="24"/>
          <w:lang w:val="en-US"/>
        </w:rPr>
        <w:t xml:space="preserve"> as an important determinant of employees’ readiness to acquire, retain, and apply newly developed knowledge, skills, and abilities (KSAs) in workplace settings. The relationship between attitude and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application can be effectively explained through Theory of Planned Behavior, which posits that an individual’s </w:t>
      </w:r>
      <w:proofErr w:type="spellStart"/>
      <w:r w:rsidRPr="000A47EB">
        <w:rPr>
          <w:rFonts w:ascii="Times New Roman" w:eastAsia="Calibri" w:hAnsi="Times New Roman" w:cs="Times New Roman"/>
          <w:sz w:val="24"/>
          <w:szCs w:val="24"/>
          <w:lang w:val="en-US"/>
        </w:rPr>
        <w:t>behaviour</w:t>
      </w:r>
      <w:proofErr w:type="spellEnd"/>
      <w:r w:rsidRPr="000A47EB">
        <w:rPr>
          <w:rFonts w:ascii="Times New Roman" w:eastAsia="Calibri" w:hAnsi="Times New Roman" w:cs="Times New Roman"/>
          <w:sz w:val="24"/>
          <w:szCs w:val="24"/>
          <w:lang w:val="en-US"/>
        </w:rPr>
        <w:t xml:space="preserve"> is primarily influenced by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intention, and that intention is shaped by three key components: attitude toward the </w:t>
      </w:r>
      <w:proofErr w:type="spellStart"/>
      <w:r w:rsidRPr="000A47EB">
        <w:rPr>
          <w:rFonts w:ascii="Times New Roman" w:eastAsia="Calibri" w:hAnsi="Times New Roman" w:cs="Times New Roman"/>
          <w:sz w:val="24"/>
          <w:szCs w:val="24"/>
          <w:lang w:val="en-US"/>
        </w:rPr>
        <w:t>behaviour</w:t>
      </w:r>
      <w:proofErr w:type="spellEnd"/>
      <w:r w:rsidRPr="000A47EB">
        <w:rPr>
          <w:rFonts w:ascii="Times New Roman" w:eastAsia="Calibri" w:hAnsi="Times New Roman" w:cs="Times New Roman"/>
          <w:sz w:val="24"/>
          <w:szCs w:val="24"/>
          <w:lang w:val="en-US"/>
        </w:rPr>
        <w:t xml:space="preserve">, subjective norms, and perceived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control. According to the theory, individuals who possess </w:t>
      </w:r>
      <w:proofErr w:type="spellStart"/>
      <w:r w:rsidRPr="000A47EB">
        <w:rPr>
          <w:rFonts w:ascii="Times New Roman" w:eastAsia="Calibri" w:hAnsi="Times New Roman" w:cs="Times New Roman"/>
          <w:sz w:val="24"/>
          <w:szCs w:val="24"/>
          <w:lang w:val="en-US"/>
        </w:rPr>
        <w:t>favourable</w:t>
      </w:r>
      <w:proofErr w:type="spellEnd"/>
      <w:r w:rsidRPr="000A47EB">
        <w:rPr>
          <w:rFonts w:ascii="Times New Roman" w:eastAsia="Calibri" w:hAnsi="Times New Roman" w:cs="Times New Roman"/>
          <w:sz w:val="24"/>
          <w:szCs w:val="24"/>
          <w:lang w:val="en-US"/>
        </w:rPr>
        <w:t xml:space="preserve"> attitudes toward a </w:t>
      </w:r>
      <w:proofErr w:type="spellStart"/>
      <w:r w:rsidRPr="000A47EB">
        <w:rPr>
          <w:rFonts w:ascii="Times New Roman" w:eastAsia="Calibri" w:hAnsi="Times New Roman" w:cs="Times New Roman"/>
          <w:sz w:val="24"/>
          <w:szCs w:val="24"/>
          <w:lang w:val="en-US"/>
        </w:rPr>
        <w:t>behaviour</w:t>
      </w:r>
      <w:proofErr w:type="spellEnd"/>
      <w:r w:rsidRPr="000A47EB">
        <w:rPr>
          <w:rFonts w:ascii="Times New Roman" w:eastAsia="Calibri" w:hAnsi="Times New Roman" w:cs="Times New Roman"/>
          <w:sz w:val="24"/>
          <w:szCs w:val="24"/>
          <w:lang w:val="en-US"/>
        </w:rPr>
        <w:t xml:space="preserve"> are more likely to develop stronger intentions to perform that </w:t>
      </w:r>
      <w:proofErr w:type="spellStart"/>
      <w:r w:rsidRPr="000A47EB">
        <w:rPr>
          <w:rFonts w:ascii="Times New Roman" w:eastAsia="Calibri" w:hAnsi="Times New Roman" w:cs="Times New Roman"/>
          <w:sz w:val="24"/>
          <w:szCs w:val="24"/>
          <w:lang w:val="en-US"/>
        </w:rPr>
        <w:t>behaviour</w:t>
      </w:r>
      <w:proofErr w:type="spellEnd"/>
      <w:r w:rsidRPr="000A47EB">
        <w:rPr>
          <w:rFonts w:ascii="Times New Roman" w:eastAsia="Calibri" w:hAnsi="Times New Roman" w:cs="Times New Roman"/>
          <w:sz w:val="24"/>
          <w:szCs w:val="24"/>
          <w:lang w:val="en-US"/>
        </w:rPr>
        <w:t xml:space="preserve">, thereby increasing the likelihood of actual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implementation.</w:t>
      </w:r>
    </w:p>
    <w:p w14:paraId="530C7308" w14:textId="77777777" w:rsidR="000A47EB" w:rsidRDefault="000A47EB" w:rsidP="000A47EB">
      <w:pPr>
        <w:spacing w:after="0" w:line="240" w:lineRule="auto"/>
        <w:jc w:val="both"/>
        <w:rPr>
          <w:rFonts w:ascii="Times New Roman" w:eastAsia="Calibri" w:hAnsi="Times New Roman" w:cs="Times New Roman"/>
          <w:sz w:val="24"/>
          <w:szCs w:val="24"/>
          <w:lang w:val="en-US"/>
        </w:rPr>
      </w:pPr>
    </w:p>
    <w:p w14:paraId="04B77932" w14:textId="3626AA2A" w:rsidR="000A47EB" w:rsidRPr="000A47EB" w:rsidRDefault="000A47EB" w:rsidP="000A47EB">
      <w:pPr>
        <w:spacing w:after="0" w:line="240" w:lineRule="auto"/>
        <w:jc w:val="both"/>
        <w:rPr>
          <w:rFonts w:ascii="Times New Roman" w:eastAsia="Calibri" w:hAnsi="Times New Roman" w:cs="Times New Roman"/>
          <w:sz w:val="24"/>
          <w:szCs w:val="24"/>
          <w:lang w:val="en-US"/>
        </w:rPr>
      </w:pPr>
      <w:r w:rsidRPr="000A47EB">
        <w:rPr>
          <w:rFonts w:ascii="Times New Roman" w:eastAsia="Calibri" w:hAnsi="Times New Roman" w:cs="Times New Roman"/>
          <w:sz w:val="24"/>
          <w:szCs w:val="24"/>
          <w:lang w:val="en-US"/>
        </w:rPr>
        <w:t xml:space="preserve">In the context of training and development, Theory of Planned Behavior suggests that lecturers who perceive training positively are more likely to develop intentions to </w:t>
      </w:r>
      <w:proofErr w:type="spellStart"/>
      <w:r w:rsidRPr="000A47EB">
        <w:rPr>
          <w:rFonts w:ascii="Times New Roman" w:eastAsia="Calibri" w:hAnsi="Times New Roman" w:cs="Times New Roman"/>
          <w:sz w:val="24"/>
          <w:szCs w:val="24"/>
          <w:lang w:val="en-US"/>
        </w:rPr>
        <w:t>utilise</w:t>
      </w:r>
      <w:proofErr w:type="spellEnd"/>
      <w:r w:rsidRPr="000A47EB">
        <w:rPr>
          <w:rFonts w:ascii="Times New Roman" w:eastAsia="Calibri" w:hAnsi="Times New Roman" w:cs="Times New Roman"/>
          <w:sz w:val="24"/>
          <w:szCs w:val="24"/>
          <w:lang w:val="en-US"/>
        </w:rPr>
        <w:t xml:space="preserve"> newly acquired competencies in their professional practice. Positive attitudes toward training enhance lecturers’ motivation to learn, willingness to participate actively in professional development activities, and readiness to apply learned competencies within teaching and learning environments. In addition, subjective norms such as institutional expectations, peer influence, and administrative support may further encourage lecturers to transfer training outcomes into workplace practice. Perceived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control, which reflects individuals’ perceptions regarding their capability and opportunity to perform a </w:t>
      </w:r>
      <w:proofErr w:type="spellStart"/>
      <w:r w:rsidRPr="000A47EB">
        <w:rPr>
          <w:rFonts w:ascii="Times New Roman" w:eastAsia="Calibri" w:hAnsi="Times New Roman" w:cs="Times New Roman"/>
          <w:sz w:val="24"/>
          <w:szCs w:val="24"/>
          <w:lang w:val="en-US"/>
        </w:rPr>
        <w:t>behaviour</w:t>
      </w:r>
      <w:proofErr w:type="spellEnd"/>
      <w:r w:rsidRPr="000A47EB">
        <w:rPr>
          <w:rFonts w:ascii="Times New Roman" w:eastAsia="Calibri" w:hAnsi="Times New Roman" w:cs="Times New Roman"/>
          <w:sz w:val="24"/>
          <w:szCs w:val="24"/>
          <w:lang w:val="en-US"/>
        </w:rPr>
        <w:t xml:space="preserve">, also contributes to the extent </w:t>
      </w:r>
      <w:r w:rsidRPr="000A47EB">
        <w:rPr>
          <w:rFonts w:ascii="Times New Roman" w:eastAsia="Calibri" w:hAnsi="Times New Roman" w:cs="Times New Roman"/>
          <w:sz w:val="24"/>
          <w:szCs w:val="24"/>
          <w:lang w:val="en-US"/>
        </w:rPr>
        <w:lastRenderedPageBreak/>
        <w:t xml:space="preserve">to which lecturers feel confident in implementing newly acquired pedagogical or technical skills following training participation (Hughey &amp; </w:t>
      </w:r>
      <w:proofErr w:type="spellStart"/>
      <w:r w:rsidRPr="000A47EB">
        <w:rPr>
          <w:rFonts w:ascii="Times New Roman" w:eastAsia="Calibri" w:hAnsi="Times New Roman" w:cs="Times New Roman"/>
          <w:sz w:val="24"/>
          <w:szCs w:val="24"/>
          <w:lang w:val="en-US"/>
        </w:rPr>
        <w:t>Mussnug</w:t>
      </w:r>
      <w:proofErr w:type="spellEnd"/>
      <w:r w:rsidRPr="000A47EB">
        <w:rPr>
          <w:rFonts w:ascii="Times New Roman" w:eastAsia="Calibri" w:hAnsi="Times New Roman" w:cs="Times New Roman"/>
          <w:sz w:val="24"/>
          <w:szCs w:val="24"/>
          <w:lang w:val="en-US"/>
        </w:rPr>
        <w:t xml:space="preserve">, 1997). Therefore, attitude serves as a critical psychological mechanism influencing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intention and subsequent transfer of training.</w:t>
      </w:r>
      <w:r>
        <w:rPr>
          <w:rFonts w:ascii="Times New Roman" w:eastAsia="Calibri" w:hAnsi="Times New Roman" w:cs="Times New Roman"/>
          <w:sz w:val="24"/>
          <w:szCs w:val="24"/>
          <w:lang w:val="en-US"/>
        </w:rPr>
        <w:t xml:space="preserve"> </w:t>
      </w:r>
      <w:r w:rsidRPr="000A47EB">
        <w:rPr>
          <w:rFonts w:ascii="Times New Roman" w:eastAsia="Calibri" w:hAnsi="Times New Roman" w:cs="Times New Roman"/>
          <w:sz w:val="24"/>
          <w:szCs w:val="24"/>
          <w:lang w:val="en-US"/>
        </w:rPr>
        <w:t xml:space="preserve">Previous literature consistently highlights the importance of attitude in determining training effectiveness and transfer outcomes. Positive job-related attitudes have been associated with higher motivation to learn and greater likelihood of applying acquired skills in workplace settings, although the relationship may vary according to organisational and contextual factors (Grau et al., 2002; Cheng &amp; Ho, 1998). Attitude is also strongly linked to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intention, which functions as an important mechanism for translating learning into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action, particularly in technology-enabled environments (Long, DuBois, &amp; </w:t>
      </w:r>
      <w:proofErr w:type="spellStart"/>
      <w:r w:rsidRPr="000A47EB">
        <w:rPr>
          <w:rFonts w:ascii="Times New Roman" w:eastAsia="Calibri" w:hAnsi="Times New Roman" w:cs="Times New Roman"/>
          <w:sz w:val="24"/>
          <w:szCs w:val="24"/>
          <w:lang w:val="en-US"/>
        </w:rPr>
        <w:t>Faley</w:t>
      </w:r>
      <w:proofErr w:type="spellEnd"/>
      <w:r w:rsidRPr="000A47EB">
        <w:rPr>
          <w:rFonts w:ascii="Times New Roman" w:eastAsia="Calibri" w:hAnsi="Times New Roman" w:cs="Times New Roman"/>
          <w:sz w:val="24"/>
          <w:szCs w:val="24"/>
          <w:lang w:val="en-US"/>
        </w:rPr>
        <w:t xml:space="preserve">, 2008). From the perspective of Theory of Planned Behavior, </w:t>
      </w:r>
      <w:proofErr w:type="spellStart"/>
      <w:r w:rsidRPr="000A47EB">
        <w:rPr>
          <w:rFonts w:ascii="Times New Roman" w:eastAsia="Calibri" w:hAnsi="Times New Roman" w:cs="Times New Roman"/>
          <w:sz w:val="24"/>
          <w:szCs w:val="24"/>
          <w:lang w:val="en-US"/>
        </w:rPr>
        <w:t>favourable</w:t>
      </w:r>
      <w:proofErr w:type="spellEnd"/>
      <w:r w:rsidRPr="000A47EB">
        <w:rPr>
          <w:rFonts w:ascii="Times New Roman" w:eastAsia="Calibri" w:hAnsi="Times New Roman" w:cs="Times New Roman"/>
          <w:sz w:val="24"/>
          <w:szCs w:val="24"/>
          <w:lang w:val="en-US"/>
        </w:rPr>
        <w:t xml:space="preserve"> attitudes toward training strengthen lecturers’ intentions to integrate newly acquired competencies into instructional practice, thereby increasing the likelihood of effective transfer of training.</w:t>
      </w:r>
    </w:p>
    <w:p w14:paraId="2E88B9F2" w14:textId="77777777" w:rsidR="000A47EB" w:rsidRDefault="000A47EB" w:rsidP="000A47EB">
      <w:pPr>
        <w:spacing w:after="0" w:line="240" w:lineRule="auto"/>
        <w:jc w:val="both"/>
        <w:rPr>
          <w:rFonts w:ascii="Times New Roman" w:eastAsia="Calibri" w:hAnsi="Times New Roman" w:cs="Times New Roman"/>
          <w:sz w:val="24"/>
          <w:szCs w:val="24"/>
          <w:lang w:val="en-US"/>
        </w:rPr>
      </w:pPr>
    </w:p>
    <w:p w14:paraId="60B9AC86" w14:textId="4446A9ED" w:rsidR="000A47EB" w:rsidRPr="000A47EB" w:rsidRDefault="000A47EB" w:rsidP="000A47EB">
      <w:pPr>
        <w:spacing w:after="0" w:line="240" w:lineRule="auto"/>
        <w:jc w:val="both"/>
        <w:rPr>
          <w:rFonts w:ascii="Times New Roman" w:eastAsia="Calibri" w:hAnsi="Times New Roman" w:cs="Times New Roman"/>
          <w:sz w:val="24"/>
          <w:szCs w:val="24"/>
          <w:lang w:val="en-US"/>
        </w:rPr>
      </w:pPr>
      <w:r w:rsidRPr="000A47EB">
        <w:rPr>
          <w:rFonts w:ascii="Times New Roman" w:eastAsia="Calibri" w:hAnsi="Times New Roman" w:cs="Times New Roman"/>
          <w:sz w:val="24"/>
          <w:szCs w:val="24"/>
          <w:lang w:val="en-US"/>
        </w:rPr>
        <w:t xml:space="preserve">Recent research within educational and TVET settings further reinforces the importance of attitude in shaping professional learning and instructional transformation. Studies involving TVET educators in Malaysia indicate that positive attitudes toward digital competence and Industrial Revolution 4.0 (IR4.0) technologies are positively associated with teaching readiness and instructional effectiveness (Omar et al., 2020; </w:t>
      </w:r>
      <w:proofErr w:type="spellStart"/>
      <w:r w:rsidRPr="000A47EB">
        <w:rPr>
          <w:rFonts w:ascii="Times New Roman" w:eastAsia="Calibri" w:hAnsi="Times New Roman" w:cs="Times New Roman"/>
          <w:sz w:val="24"/>
          <w:szCs w:val="24"/>
          <w:lang w:val="en-US"/>
        </w:rPr>
        <w:t>Mansor</w:t>
      </w:r>
      <w:proofErr w:type="spellEnd"/>
      <w:r w:rsidRPr="000A47EB">
        <w:rPr>
          <w:rFonts w:ascii="Times New Roman" w:eastAsia="Calibri" w:hAnsi="Times New Roman" w:cs="Times New Roman"/>
          <w:sz w:val="24"/>
          <w:szCs w:val="24"/>
          <w:lang w:val="en-US"/>
        </w:rPr>
        <w:t xml:space="preserve"> et al., 2025). Similarly, research highlights that successful integration of emerging technologies in TVET teaching and learning depends not only on technological infrastructure but also on educators’ openness, confidence, and positive perceptions toward training initiatives (</w:t>
      </w:r>
      <w:proofErr w:type="spellStart"/>
      <w:r w:rsidRPr="000A47EB">
        <w:rPr>
          <w:rFonts w:ascii="Times New Roman" w:eastAsia="Calibri" w:hAnsi="Times New Roman" w:cs="Times New Roman"/>
          <w:sz w:val="24"/>
          <w:szCs w:val="24"/>
          <w:lang w:val="en-US"/>
        </w:rPr>
        <w:t>Zulnaidi</w:t>
      </w:r>
      <w:proofErr w:type="spellEnd"/>
      <w:r w:rsidRPr="000A47EB">
        <w:rPr>
          <w:rFonts w:ascii="Times New Roman" w:eastAsia="Calibri" w:hAnsi="Times New Roman" w:cs="Times New Roman"/>
          <w:sz w:val="24"/>
          <w:szCs w:val="24"/>
          <w:lang w:val="en-US"/>
        </w:rPr>
        <w:t xml:space="preserve"> et al., 2020; </w:t>
      </w:r>
      <w:proofErr w:type="spellStart"/>
      <w:r w:rsidRPr="000A47EB">
        <w:rPr>
          <w:rFonts w:ascii="Times New Roman" w:eastAsia="Calibri" w:hAnsi="Times New Roman" w:cs="Times New Roman"/>
          <w:sz w:val="24"/>
          <w:szCs w:val="24"/>
          <w:lang w:val="en-US"/>
        </w:rPr>
        <w:t>Ridzuan</w:t>
      </w:r>
      <w:proofErr w:type="spellEnd"/>
      <w:r w:rsidRPr="000A47EB">
        <w:rPr>
          <w:rFonts w:ascii="Times New Roman" w:eastAsia="Calibri" w:hAnsi="Times New Roman" w:cs="Times New Roman"/>
          <w:sz w:val="24"/>
          <w:szCs w:val="24"/>
          <w:lang w:val="en-US"/>
        </w:rPr>
        <w:t xml:space="preserve">, 2020). These findings support the assumptions of Theory of Planned Behavior, whereby positive attitudes strengthen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intentions and subsequently increase the probability of actual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implementation.</w:t>
      </w:r>
      <w:r>
        <w:rPr>
          <w:rFonts w:ascii="Times New Roman" w:eastAsia="Calibri" w:hAnsi="Times New Roman" w:cs="Times New Roman"/>
          <w:sz w:val="24"/>
          <w:szCs w:val="24"/>
          <w:lang w:val="en-US"/>
        </w:rPr>
        <w:t xml:space="preserve"> </w:t>
      </w:r>
      <w:r w:rsidRPr="000A47EB">
        <w:rPr>
          <w:rFonts w:ascii="Times New Roman" w:eastAsia="Calibri" w:hAnsi="Times New Roman" w:cs="Times New Roman"/>
          <w:sz w:val="24"/>
          <w:szCs w:val="24"/>
          <w:lang w:val="en-US"/>
        </w:rPr>
        <w:t xml:space="preserve">In the Malaysian TVET context, lecturers play an essential role in translating training outcomes into competency-based and industry-aligned instructional practices. Their attitudes toward training therefore become a critical determinant of whether newly acquired pedagogical and technical competencies are effectively transferred into workshops, laboratories, and classroom environments. Lecturers who demonstrate positive attitudes toward professional development are expected to exhibit stronger intentions to apply learned competencies, leading to greater transfer of training. Conversely, negative or indifferent attitudes may weaken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intention and reduce the likelihood of training application despite participation in training </w:t>
      </w:r>
      <w:proofErr w:type="spellStart"/>
      <w:r w:rsidRPr="000A47EB">
        <w:rPr>
          <w:rFonts w:ascii="Times New Roman" w:eastAsia="Calibri" w:hAnsi="Times New Roman" w:cs="Times New Roman"/>
          <w:sz w:val="24"/>
          <w:szCs w:val="24"/>
          <w:lang w:val="en-US"/>
        </w:rPr>
        <w:t>programmes</w:t>
      </w:r>
      <w:proofErr w:type="spellEnd"/>
      <w:r w:rsidRPr="000A47EB">
        <w:rPr>
          <w:rFonts w:ascii="Times New Roman" w:eastAsia="Calibri" w:hAnsi="Times New Roman" w:cs="Times New Roman"/>
          <w:sz w:val="24"/>
          <w:szCs w:val="24"/>
          <w:lang w:val="en-US"/>
        </w:rPr>
        <w:t xml:space="preserve">. Given the increasing emphasis on </w:t>
      </w:r>
      <w:proofErr w:type="spellStart"/>
      <w:r w:rsidRPr="000A47EB">
        <w:rPr>
          <w:rFonts w:ascii="Times New Roman" w:eastAsia="Calibri" w:hAnsi="Times New Roman" w:cs="Times New Roman"/>
          <w:sz w:val="24"/>
          <w:szCs w:val="24"/>
          <w:lang w:val="en-US"/>
        </w:rPr>
        <w:t>digitalisation</w:t>
      </w:r>
      <w:proofErr w:type="spellEnd"/>
      <w:r w:rsidRPr="000A47EB">
        <w:rPr>
          <w:rFonts w:ascii="Times New Roman" w:eastAsia="Calibri" w:hAnsi="Times New Roman" w:cs="Times New Roman"/>
          <w:sz w:val="24"/>
          <w:szCs w:val="24"/>
          <w:lang w:val="en-US"/>
        </w:rPr>
        <w:t xml:space="preserve">, IR4.0 integration, and industry-driven curriculum transformation within Malaysian TVET institutions, attitude remains a significant psychological factor influencing lecturers’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intention and transfer of training outcomes. Accordingly, the following hypothesis is proposed:</w:t>
      </w:r>
    </w:p>
    <w:p w14:paraId="488EFFCB"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57994C72" w14:textId="6761D038" w:rsidR="00BE1339" w:rsidRDefault="00234F88" w:rsidP="001E2F92">
      <w:pPr>
        <w:spacing w:after="0" w:line="240" w:lineRule="auto"/>
        <w:ind w:left="990" w:hanging="450"/>
        <w:rPr>
          <w:rFonts w:ascii="Times New Roman" w:eastAsia="Calibri" w:hAnsi="Times New Roman" w:cs="Times New Roman"/>
          <w:i/>
          <w:iCs/>
          <w:sz w:val="24"/>
          <w:szCs w:val="24"/>
          <w:lang w:val="en-US"/>
        </w:rPr>
      </w:pPr>
      <w:r w:rsidRPr="00234F88">
        <w:rPr>
          <w:rFonts w:ascii="Times New Roman" w:eastAsia="Calibri" w:hAnsi="Times New Roman" w:cs="Times New Roman"/>
          <w:i/>
          <w:iCs/>
          <w:sz w:val="24"/>
          <w:szCs w:val="24"/>
          <w:lang w:val="en-US"/>
        </w:rPr>
        <w:t xml:space="preserve">H2a: Attitude has a significant relationship </w:t>
      </w:r>
      <w:r w:rsidR="001E2F92" w:rsidRPr="001E2F92">
        <w:rPr>
          <w:rFonts w:ascii="Times New Roman" w:eastAsia="Calibri" w:hAnsi="Times New Roman" w:cs="Times New Roman"/>
          <w:i/>
          <w:iCs/>
          <w:sz w:val="24"/>
          <w:szCs w:val="24"/>
          <w:lang w:val="en-US"/>
        </w:rPr>
        <w:t>with the transfer of training among TVET</w:t>
      </w:r>
      <w:r w:rsidR="001E2F92">
        <w:rPr>
          <w:rFonts w:ascii="Times New Roman" w:eastAsia="Calibri" w:hAnsi="Times New Roman" w:cs="Times New Roman"/>
          <w:i/>
          <w:iCs/>
          <w:sz w:val="24"/>
          <w:szCs w:val="24"/>
          <w:lang w:val="en-US"/>
        </w:rPr>
        <w:t xml:space="preserve"> </w:t>
      </w:r>
      <w:r w:rsidR="001E2F92" w:rsidRPr="001E2F92">
        <w:rPr>
          <w:rFonts w:ascii="Times New Roman" w:eastAsia="Calibri" w:hAnsi="Times New Roman" w:cs="Times New Roman"/>
          <w:i/>
          <w:iCs/>
          <w:sz w:val="24"/>
          <w:szCs w:val="24"/>
          <w:lang w:val="en-US"/>
        </w:rPr>
        <w:t>lecturers</w:t>
      </w:r>
    </w:p>
    <w:p w14:paraId="2E7DD048" w14:textId="77777777" w:rsidR="001E2F92" w:rsidRPr="001E2F92" w:rsidRDefault="001E2F92" w:rsidP="001E2F92">
      <w:pPr>
        <w:spacing w:after="0" w:line="240" w:lineRule="auto"/>
        <w:ind w:left="990" w:hanging="450"/>
        <w:rPr>
          <w:rFonts w:ascii="Times New Roman" w:eastAsia="Calibri" w:hAnsi="Times New Roman" w:cs="Times New Roman"/>
          <w:i/>
          <w:iCs/>
          <w:sz w:val="24"/>
          <w:szCs w:val="24"/>
          <w:lang w:val="en-US"/>
        </w:rPr>
      </w:pPr>
    </w:p>
    <w:p w14:paraId="219DB2B7" w14:textId="26E0112D" w:rsidR="007D4F79" w:rsidRPr="007D4F79" w:rsidRDefault="00E413FB" w:rsidP="007D4F79">
      <w:pPr>
        <w:spacing w:after="0" w:line="240" w:lineRule="auto"/>
        <w:ind w:firstLine="720"/>
        <w:jc w:val="both"/>
        <w:rPr>
          <w:rFonts w:ascii="Times New Roman" w:eastAsia="Calibri" w:hAnsi="Times New Roman" w:cs="Arial"/>
          <w:b/>
          <w:bCs/>
          <w:iCs/>
          <w:sz w:val="24"/>
          <w:lang w:val="en-GB"/>
        </w:rPr>
      </w:pPr>
      <w:r>
        <w:rPr>
          <w:rFonts w:ascii="Times New Roman" w:eastAsia="Calibri" w:hAnsi="Times New Roman" w:cs="Arial"/>
          <w:b/>
          <w:bCs/>
          <w:iCs/>
          <w:sz w:val="24"/>
          <w:lang w:val="en-GB"/>
        </w:rPr>
        <w:t>Organisational commitment</w:t>
      </w:r>
    </w:p>
    <w:p w14:paraId="303A0053" w14:textId="2CC1C8DD" w:rsidR="00000833" w:rsidRPr="00000833" w:rsidRDefault="00000833" w:rsidP="00283867">
      <w:pPr>
        <w:spacing w:after="0" w:line="240" w:lineRule="auto"/>
        <w:jc w:val="both"/>
        <w:rPr>
          <w:rFonts w:ascii="Times New Roman" w:eastAsia="Calibri" w:hAnsi="Times New Roman" w:cs="Arial"/>
          <w:bCs/>
          <w:iCs/>
          <w:sz w:val="24"/>
          <w:lang w:val="en-US"/>
        </w:rPr>
      </w:pPr>
      <w:r w:rsidRPr="00000833">
        <w:rPr>
          <w:rFonts w:ascii="Times New Roman" w:eastAsia="Calibri" w:hAnsi="Times New Roman" w:cs="Arial"/>
          <w:bCs/>
          <w:iCs/>
          <w:sz w:val="24"/>
          <w:lang w:val="en-US"/>
        </w:rPr>
        <w:t xml:space="preserve">Organisational commitment refers to the psychological attachment, identification, and involvement an individual has with their </w:t>
      </w:r>
      <w:proofErr w:type="spellStart"/>
      <w:r w:rsidRPr="00000833">
        <w:rPr>
          <w:rFonts w:ascii="Times New Roman" w:eastAsia="Calibri" w:hAnsi="Times New Roman" w:cs="Arial"/>
          <w:bCs/>
          <w:iCs/>
          <w:sz w:val="24"/>
          <w:lang w:val="en-US"/>
        </w:rPr>
        <w:t>organisation</w:t>
      </w:r>
      <w:proofErr w:type="spellEnd"/>
      <w:r w:rsidRPr="00000833">
        <w:rPr>
          <w:rFonts w:ascii="Times New Roman" w:eastAsia="Calibri" w:hAnsi="Times New Roman" w:cs="Arial"/>
          <w:bCs/>
          <w:iCs/>
          <w:sz w:val="24"/>
          <w:lang w:val="en-US"/>
        </w:rPr>
        <w:t xml:space="preserve">, which influences their willingness to exert effort and remain within the </w:t>
      </w:r>
      <w:proofErr w:type="spellStart"/>
      <w:r w:rsidRPr="00000833">
        <w:rPr>
          <w:rFonts w:ascii="Times New Roman" w:eastAsia="Calibri" w:hAnsi="Times New Roman" w:cs="Arial"/>
          <w:bCs/>
          <w:iCs/>
          <w:sz w:val="24"/>
          <w:lang w:val="en-US"/>
        </w:rPr>
        <w:t>organisation</w:t>
      </w:r>
      <w:proofErr w:type="spellEnd"/>
      <w:r w:rsidRPr="00000833">
        <w:rPr>
          <w:rFonts w:ascii="Times New Roman" w:eastAsia="Calibri" w:hAnsi="Times New Roman" w:cs="Arial"/>
          <w:bCs/>
          <w:iCs/>
          <w:sz w:val="24"/>
          <w:lang w:val="en-US"/>
        </w:rPr>
        <w:t xml:space="preserve"> (Meyer &amp; Allen, 1991). Within the training and development literature, organisational commitment is widely </w:t>
      </w:r>
      <w:proofErr w:type="spellStart"/>
      <w:r w:rsidRPr="00000833">
        <w:rPr>
          <w:rFonts w:ascii="Times New Roman" w:eastAsia="Calibri" w:hAnsi="Times New Roman" w:cs="Arial"/>
          <w:bCs/>
          <w:iCs/>
          <w:sz w:val="24"/>
          <w:lang w:val="en-US"/>
        </w:rPr>
        <w:t>recognised</w:t>
      </w:r>
      <w:proofErr w:type="spellEnd"/>
      <w:r w:rsidRPr="00000833">
        <w:rPr>
          <w:rFonts w:ascii="Times New Roman" w:eastAsia="Calibri" w:hAnsi="Times New Roman" w:cs="Arial"/>
          <w:bCs/>
          <w:iCs/>
          <w:sz w:val="24"/>
          <w:lang w:val="en-US"/>
        </w:rPr>
        <w:t xml:space="preserve"> as a critical determinant of whether employees translate learning from training into actual workplace </w:t>
      </w:r>
      <w:proofErr w:type="spellStart"/>
      <w:r w:rsidRPr="00000833">
        <w:rPr>
          <w:rFonts w:ascii="Times New Roman" w:eastAsia="Calibri" w:hAnsi="Times New Roman" w:cs="Arial"/>
          <w:bCs/>
          <w:iCs/>
          <w:sz w:val="24"/>
          <w:lang w:val="en-US"/>
        </w:rPr>
        <w:lastRenderedPageBreak/>
        <w:t>behaviour</w:t>
      </w:r>
      <w:proofErr w:type="spellEnd"/>
      <w:r w:rsidRPr="00000833">
        <w:rPr>
          <w:rFonts w:ascii="Times New Roman" w:eastAsia="Calibri" w:hAnsi="Times New Roman" w:cs="Arial"/>
          <w:bCs/>
          <w:iCs/>
          <w:sz w:val="24"/>
          <w:lang w:val="en-US"/>
        </w:rPr>
        <w:t xml:space="preserve">, particularly through its influence on motivation, responsibility, and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persistence.</w:t>
      </w:r>
      <w:r>
        <w:rPr>
          <w:rFonts w:ascii="Times New Roman" w:eastAsia="Calibri" w:hAnsi="Times New Roman" w:cs="Arial"/>
          <w:bCs/>
          <w:iCs/>
          <w:sz w:val="24"/>
          <w:lang w:val="en-US"/>
        </w:rPr>
        <w:t xml:space="preserve"> </w:t>
      </w:r>
      <w:r w:rsidRPr="00000833">
        <w:rPr>
          <w:rFonts w:ascii="Times New Roman" w:eastAsia="Calibri" w:hAnsi="Times New Roman" w:cs="Arial"/>
          <w:bCs/>
          <w:iCs/>
          <w:sz w:val="24"/>
          <w:lang w:val="en-US"/>
        </w:rPr>
        <w:t xml:space="preserve">This relationship can be effectively explained through the Theory of Planned </w:t>
      </w:r>
      <w:proofErr w:type="spellStart"/>
      <w:r w:rsidRPr="00000833">
        <w:rPr>
          <w:rFonts w:ascii="Times New Roman" w:eastAsia="Calibri" w:hAnsi="Times New Roman" w:cs="Arial"/>
          <w:bCs/>
          <w:iCs/>
          <w:sz w:val="24"/>
          <w:lang w:val="en-US"/>
        </w:rPr>
        <w:t>Behaviour</w:t>
      </w:r>
      <w:proofErr w:type="spellEnd"/>
      <w:r w:rsidRPr="00000833">
        <w:rPr>
          <w:rFonts w:ascii="Times New Roman" w:eastAsia="Calibri" w:hAnsi="Times New Roman" w:cs="Arial"/>
          <w:bCs/>
          <w:iCs/>
          <w:sz w:val="24"/>
          <w:lang w:val="en-US"/>
        </w:rPr>
        <w:t xml:space="preserve"> (TPB), which posits that </w:t>
      </w:r>
      <w:proofErr w:type="spellStart"/>
      <w:r w:rsidRPr="00000833">
        <w:rPr>
          <w:rFonts w:ascii="Times New Roman" w:eastAsia="Calibri" w:hAnsi="Times New Roman" w:cs="Arial"/>
          <w:bCs/>
          <w:iCs/>
          <w:sz w:val="24"/>
          <w:lang w:val="en-US"/>
        </w:rPr>
        <w:t>behaviour</w:t>
      </w:r>
      <w:proofErr w:type="spellEnd"/>
      <w:r w:rsidRPr="00000833">
        <w:rPr>
          <w:rFonts w:ascii="Times New Roman" w:eastAsia="Calibri" w:hAnsi="Times New Roman" w:cs="Arial"/>
          <w:bCs/>
          <w:iCs/>
          <w:sz w:val="24"/>
          <w:lang w:val="en-US"/>
        </w:rPr>
        <w:t xml:space="preserve"> is primarily determined by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and that intention is shaped by attitudinal and normative factors as well as perceived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control (</w:t>
      </w:r>
      <w:proofErr w:type="spellStart"/>
      <w:r w:rsidRPr="00000833">
        <w:rPr>
          <w:rFonts w:ascii="Times New Roman" w:eastAsia="Calibri" w:hAnsi="Times New Roman" w:cs="Arial"/>
          <w:bCs/>
          <w:iCs/>
          <w:sz w:val="24"/>
          <w:lang w:val="en-US"/>
        </w:rPr>
        <w:t>Ajzen</w:t>
      </w:r>
      <w:proofErr w:type="spellEnd"/>
      <w:r w:rsidRPr="00000833">
        <w:rPr>
          <w:rFonts w:ascii="Times New Roman" w:eastAsia="Calibri" w:hAnsi="Times New Roman" w:cs="Arial"/>
          <w:bCs/>
          <w:iCs/>
          <w:sz w:val="24"/>
          <w:lang w:val="en-US"/>
        </w:rPr>
        <w:t xml:space="preserve">, 1991). From a TPB perspective, organisational commitment can be </w:t>
      </w:r>
      <w:proofErr w:type="spellStart"/>
      <w:r w:rsidRPr="00000833">
        <w:rPr>
          <w:rFonts w:ascii="Times New Roman" w:eastAsia="Calibri" w:hAnsi="Times New Roman" w:cs="Arial"/>
          <w:bCs/>
          <w:iCs/>
          <w:sz w:val="24"/>
          <w:lang w:val="en-US"/>
        </w:rPr>
        <w:t>conceptualised</w:t>
      </w:r>
      <w:proofErr w:type="spellEnd"/>
      <w:r w:rsidRPr="00000833">
        <w:rPr>
          <w:rFonts w:ascii="Times New Roman" w:eastAsia="Calibri" w:hAnsi="Times New Roman" w:cs="Arial"/>
          <w:bCs/>
          <w:iCs/>
          <w:sz w:val="24"/>
          <w:lang w:val="en-US"/>
        </w:rPr>
        <w:t xml:space="preserve"> as a key antecedent that strengthens employees’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to apply training outcomes. Employees with strong affective commitment are more likely to </w:t>
      </w:r>
      <w:proofErr w:type="spellStart"/>
      <w:r w:rsidRPr="00000833">
        <w:rPr>
          <w:rFonts w:ascii="Times New Roman" w:eastAsia="Calibri" w:hAnsi="Times New Roman" w:cs="Arial"/>
          <w:bCs/>
          <w:iCs/>
          <w:sz w:val="24"/>
          <w:lang w:val="en-US"/>
        </w:rPr>
        <w:t>internalise</w:t>
      </w:r>
      <w:proofErr w:type="spellEnd"/>
      <w:r w:rsidRPr="00000833">
        <w:rPr>
          <w:rFonts w:ascii="Times New Roman" w:eastAsia="Calibri" w:hAnsi="Times New Roman" w:cs="Arial"/>
          <w:bCs/>
          <w:iCs/>
          <w:sz w:val="24"/>
          <w:lang w:val="en-US"/>
        </w:rPr>
        <w:t xml:space="preserve"> organisational goals and align their actions with institutional expectations, thereby increasing their intention to transfer newly acquired knowledge, skills, and abilities (KSAs) into job performance. In TPB terms, organisational commitment reinforces intention through alignment with perceived organisational norms and expectations, ultimately increasing the likelihood of actual training transfer </w:t>
      </w:r>
      <w:proofErr w:type="spellStart"/>
      <w:r w:rsidRPr="00000833">
        <w:rPr>
          <w:rFonts w:ascii="Times New Roman" w:eastAsia="Calibri" w:hAnsi="Times New Roman" w:cs="Arial"/>
          <w:bCs/>
          <w:iCs/>
          <w:sz w:val="24"/>
          <w:lang w:val="en-US"/>
        </w:rPr>
        <w:t>behaviour</w:t>
      </w:r>
      <w:proofErr w:type="spellEnd"/>
      <w:r w:rsidRPr="00000833">
        <w:rPr>
          <w:rFonts w:ascii="Times New Roman" w:eastAsia="Calibri" w:hAnsi="Times New Roman" w:cs="Arial"/>
          <w:bCs/>
          <w:iCs/>
          <w:sz w:val="24"/>
          <w:lang w:val="en-US"/>
        </w:rPr>
        <w:t>.</w:t>
      </w:r>
    </w:p>
    <w:p w14:paraId="18CA3A20" w14:textId="77777777" w:rsidR="00000833" w:rsidRDefault="00000833" w:rsidP="00000833">
      <w:pPr>
        <w:spacing w:after="0" w:line="240" w:lineRule="auto"/>
        <w:jc w:val="both"/>
        <w:rPr>
          <w:rFonts w:ascii="Times New Roman" w:eastAsia="Calibri" w:hAnsi="Times New Roman" w:cs="Arial"/>
          <w:bCs/>
          <w:iCs/>
          <w:sz w:val="24"/>
          <w:lang w:val="en-US"/>
        </w:rPr>
      </w:pPr>
    </w:p>
    <w:p w14:paraId="6055AE63" w14:textId="16157F22" w:rsidR="00000833" w:rsidRPr="00000833" w:rsidRDefault="00000833" w:rsidP="00000833">
      <w:pPr>
        <w:spacing w:after="0" w:line="240" w:lineRule="auto"/>
        <w:jc w:val="both"/>
        <w:rPr>
          <w:rFonts w:ascii="Times New Roman" w:eastAsia="Calibri" w:hAnsi="Times New Roman" w:cs="Arial"/>
          <w:bCs/>
          <w:iCs/>
          <w:sz w:val="24"/>
          <w:lang w:val="en-US"/>
        </w:rPr>
      </w:pPr>
      <w:r w:rsidRPr="00000833">
        <w:rPr>
          <w:rFonts w:ascii="Times New Roman" w:eastAsia="Calibri" w:hAnsi="Times New Roman" w:cs="Arial"/>
          <w:bCs/>
          <w:iCs/>
          <w:sz w:val="24"/>
          <w:lang w:val="en-US"/>
        </w:rPr>
        <w:t xml:space="preserve">Employees who demonstrate high organisational commitment tend to perceive institutional goals as personally meaningful and are therefore more motivated to apply newly acquired competencies in their work. Conversely, low commitment may weaken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reduce perceived obligation to apply training content, and subsequently limit the extent of training transfer, even when learning has taken place. Accordingly, within the TPB framework, organisational commitment indirectly influences training transfer through its effect on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and alignment with organisational expectations.</w:t>
      </w:r>
      <w:r>
        <w:rPr>
          <w:rFonts w:ascii="Times New Roman" w:eastAsia="Calibri" w:hAnsi="Times New Roman" w:cs="Arial"/>
          <w:bCs/>
          <w:iCs/>
          <w:sz w:val="24"/>
          <w:lang w:val="en-US"/>
        </w:rPr>
        <w:t xml:space="preserve"> </w:t>
      </w:r>
      <w:r w:rsidRPr="00000833">
        <w:rPr>
          <w:rFonts w:ascii="Times New Roman" w:eastAsia="Calibri" w:hAnsi="Times New Roman" w:cs="Arial"/>
          <w:bCs/>
          <w:iCs/>
          <w:sz w:val="24"/>
          <w:lang w:val="en-US"/>
        </w:rPr>
        <w:t xml:space="preserve">Empirical evidence consistently supports the positive relationship between organisational commitment and training transfer. A meta-analytic review by Colquitt et al. (2000) highlights that motivational variables, including commitment-related constructs, play a significant role in determining learning outcomes and transfer effectiveness. Similarly, </w:t>
      </w:r>
      <w:proofErr w:type="spellStart"/>
      <w:r w:rsidRPr="00000833">
        <w:rPr>
          <w:rFonts w:ascii="Times New Roman" w:eastAsia="Calibri" w:hAnsi="Times New Roman" w:cs="Arial"/>
          <w:bCs/>
          <w:iCs/>
          <w:sz w:val="24"/>
          <w:lang w:val="en-US"/>
        </w:rPr>
        <w:t>Chiaburu</w:t>
      </w:r>
      <w:proofErr w:type="spellEnd"/>
      <w:r w:rsidRPr="00000833">
        <w:rPr>
          <w:rFonts w:ascii="Times New Roman" w:eastAsia="Calibri" w:hAnsi="Times New Roman" w:cs="Arial"/>
          <w:bCs/>
          <w:iCs/>
          <w:sz w:val="24"/>
          <w:lang w:val="en-US"/>
        </w:rPr>
        <w:t xml:space="preserve"> and </w:t>
      </w:r>
      <w:proofErr w:type="spellStart"/>
      <w:r w:rsidRPr="00000833">
        <w:rPr>
          <w:rFonts w:ascii="Times New Roman" w:eastAsia="Calibri" w:hAnsi="Times New Roman" w:cs="Arial"/>
          <w:bCs/>
          <w:iCs/>
          <w:sz w:val="24"/>
          <w:lang w:val="en-US"/>
        </w:rPr>
        <w:t>Marinova</w:t>
      </w:r>
      <w:proofErr w:type="spellEnd"/>
      <w:r w:rsidRPr="00000833">
        <w:rPr>
          <w:rFonts w:ascii="Times New Roman" w:eastAsia="Calibri" w:hAnsi="Times New Roman" w:cs="Arial"/>
          <w:bCs/>
          <w:iCs/>
          <w:sz w:val="24"/>
          <w:lang w:val="en-US"/>
        </w:rPr>
        <w:t xml:space="preserve"> (2005) found that employees with higher organisational commitment exhibit stronger transfer intentions, particularly when supported by conducive work environments. More recent studies further reinforce this relationship, indicating that organisational commitment enhances employees’ willingness to invest effort in post-training application and sustain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change over time (</w:t>
      </w:r>
      <w:proofErr w:type="spellStart"/>
      <w:r w:rsidRPr="00000833">
        <w:rPr>
          <w:rFonts w:ascii="Times New Roman" w:eastAsia="Calibri" w:hAnsi="Times New Roman" w:cs="Arial"/>
          <w:bCs/>
          <w:iCs/>
          <w:sz w:val="24"/>
          <w:lang w:val="en-US"/>
        </w:rPr>
        <w:t>Alshaikh</w:t>
      </w:r>
      <w:proofErr w:type="spellEnd"/>
      <w:r w:rsidRPr="00000833">
        <w:rPr>
          <w:rFonts w:ascii="Times New Roman" w:eastAsia="Calibri" w:hAnsi="Times New Roman" w:cs="Arial"/>
          <w:bCs/>
          <w:iCs/>
          <w:sz w:val="24"/>
          <w:lang w:val="en-US"/>
        </w:rPr>
        <w:t xml:space="preserve"> et al., 2021; Kim et al., 2023). These findings are consistent with TPB’s proposition that stronger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intentions increase the likelihood of actual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enactment.</w:t>
      </w:r>
    </w:p>
    <w:p w14:paraId="704AC6F5" w14:textId="77777777" w:rsidR="00000833" w:rsidRDefault="00000833" w:rsidP="00000833">
      <w:pPr>
        <w:spacing w:after="0" w:line="240" w:lineRule="auto"/>
        <w:jc w:val="both"/>
        <w:rPr>
          <w:rFonts w:ascii="Times New Roman" w:eastAsia="Calibri" w:hAnsi="Times New Roman" w:cs="Arial"/>
          <w:bCs/>
          <w:iCs/>
          <w:sz w:val="24"/>
          <w:lang w:val="en-US"/>
        </w:rPr>
      </w:pPr>
    </w:p>
    <w:p w14:paraId="629446B0" w14:textId="3944578F" w:rsidR="00000833" w:rsidRPr="00000833" w:rsidRDefault="00000833" w:rsidP="00000833">
      <w:pPr>
        <w:spacing w:after="0" w:line="240" w:lineRule="auto"/>
        <w:jc w:val="both"/>
        <w:rPr>
          <w:rFonts w:ascii="Times New Roman" w:eastAsia="Calibri" w:hAnsi="Times New Roman" w:cs="Arial"/>
          <w:bCs/>
          <w:iCs/>
          <w:sz w:val="24"/>
          <w:lang w:val="en-US"/>
        </w:rPr>
      </w:pPr>
      <w:r>
        <w:rPr>
          <w:rFonts w:ascii="Times New Roman" w:eastAsia="Calibri" w:hAnsi="Times New Roman" w:cs="Arial"/>
          <w:bCs/>
          <w:iCs/>
          <w:sz w:val="24"/>
          <w:lang w:val="en-US"/>
        </w:rPr>
        <w:t>O</w:t>
      </w:r>
      <w:r w:rsidRPr="00000833">
        <w:rPr>
          <w:rFonts w:ascii="Times New Roman" w:eastAsia="Calibri" w:hAnsi="Times New Roman" w:cs="Arial"/>
          <w:bCs/>
          <w:iCs/>
          <w:sz w:val="24"/>
          <w:lang w:val="en-US"/>
        </w:rPr>
        <w:t xml:space="preserve">rganisational commitment is particularly important due to the dual role of lecturers as educators and industry-aligned skills facilitators. TVET lecturers are expected to continuously update their competencies in response to evolving industrial technologies, </w:t>
      </w:r>
      <w:proofErr w:type="spellStart"/>
      <w:r w:rsidRPr="00000833">
        <w:rPr>
          <w:rFonts w:ascii="Times New Roman" w:eastAsia="Calibri" w:hAnsi="Times New Roman" w:cs="Arial"/>
          <w:bCs/>
          <w:iCs/>
          <w:sz w:val="24"/>
          <w:lang w:val="en-US"/>
        </w:rPr>
        <w:t>digitalisation</w:t>
      </w:r>
      <w:proofErr w:type="spellEnd"/>
      <w:r w:rsidRPr="00000833">
        <w:rPr>
          <w:rFonts w:ascii="Times New Roman" w:eastAsia="Calibri" w:hAnsi="Times New Roman" w:cs="Arial"/>
          <w:bCs/>
          <w:iCs/>
          <w:sz w:val="24"/>
          <w:lang w:val="en-US"/>
        </w:rPr>
        <w:t xml:space="preserve">, and competency-based education requirements. Across Malaysian TVET institutions, which include polytechnics, community colleges, and universities, variations in institutional culture, leadership practices, and support systems may influence lecturers’ professional </w:t>
      </w:r>
      <w:proofErr w:type="spellStart"/>
      <w:r w:rsidRPr="00000833">
        <w:rPr>
          <w:rFonts w:ascii="Times New Roman" w:eastAsia="Calibri" w:hAnsi="Times New Roman" w:cs="Arial"/>
          <w:bCs/>
          <w:iCs/>
          <w:sz w:val="24"/>
          <w:lang w:val="en-US"/>
        </w:rPr>
        <w:t>behaviours</w:t>
      </w:r>
      <w:proofErr w:type="spellEnd"/>
      <w:r w:rsidRPr="00000833">
        <w:rPr>
          <w:rFonts w:ascii="Times New Roman" w:eastAsia="Calibri" w:hAnsi="Times New Roman" w:cs="Arial"/>
          <w:bCs/>
          <w:iCs/>
          <w:sz w:val="24"/>
          <w:lang w:val="en-US"/>
        </w:rPr>
        <w:t>.</w:t>
      </w:r>
      <w:r>
        <w:rPr>
          <w:rFonts w:ascii="Times New Roman" w:eastAsia="Calibri" w:hAnsi="Times New Roman" w:cs="Arial"/>
          <w:bCs/>
          <w:iCs/>
          <w:sz w:val="24"/>
          <w:lang w:val="en-US"/>
        </w:rPr>
        <w:t xml:space="preserve"> </w:t>
      </w:r>
      <w:r w:rsidRPr="00000833">
        <w:rPr>
          <w:rFonts w:ascii="Times New Roman" w:eastAsia="Calibri" w:hAnsi="Times New Roman" w:cs="Arial"/>
          <w:bCs/>
          <w:iCs/>
          <w:sz w:val="24"/>
          <w:lang w:val="en-US"/>
        </w:rPr>
        <w:t xml:space="preserve">Under such institutional arrangements, organisational commitment shapes how lecturers interpret institutional expectations and how strongly they intend to apply training outcomes in teaching practice. Evidence indicates that lecturers with higher organisational commitment are more likely to perceive training as relevant to institutional goals and therefore demonstrate stronger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and greater application of acquired skills in instructional delivery (Noor et al., 2022; Rahman &amp; Ismail, 2024). This aligns with TPB, where perceived normative expectations and attitudinal alignment with organisational goals strengthen intention, which subsequently enhances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performance.</w:t>
      </w:r>
      <w:r>
        <w:rPr>
          <w:rFonts w:ascii="Times New Roman" w:eastAsia="Calibri" w:hAnsi="Times New Roman" w:cs="Arial"/>
          <w:bCs/>
          <w:iCs/>
          <w:sz w:val="24"/>
          <w:lang w:val="en-US"/>
        </w:rPr>
        <w:t xml:space="preserve"> </w:t>
      </w:r>
      <w:r w:rsidRPr="00000833">
        <w:rPr>
          <w:rFonts w:ascii="Times New Roman" w:eastAsia="Calibri" w:hAnsi="Times New Roman" w:cs="Arial"/>
          <w:bCs/>
          <w:iCs/>
          <w:sz w:val="24"/>
          <w:lang w:val="en-US"/>
        </w:rPr>
        <w:t xml:space="preserve">However, factors such as workload pressure, limited institutional reinforcement, and inconsistent organisational support </w:t>
      </w:r>
      <w:r w:rsidRPr="00000833">
        <w:rPr>
          <w:rFonts w:ascii="Times New Roman" w:eastAsia="Calibri" w:hAnsi="Times New Roman" w:cs="Arial"/>
          <w:bCs/>
          <w:iCs/>
          <w:sz w:val="24"/>
          <w:lang w:val="en-US"/>
        </w:rPr>
        <w:lastRenderedPageBreak/>
        <w:t xml:space="preserve">may weaken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and reduce the strength of the commitment–transfer relationship, particularly among lecturers with lower levels of organisational commitment. Recent Malaysian TVET studies further suggest that organisational commitment interacts with perceived organisational support, where supportive institutional environments strengthen lecturers’ motivation and intention to apply training outcomes in teaching and learning processes (Zainal et al., 2023). From a TPB perspective, these environmental conditions enhance perceived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control and reinforce normative influence, thereby increasing the likelihood of training transfer.</w:t>
      </w:r>
      <w:r>
        <w:rPr>
          <w:rFonts w:ascii="Times New Roman" w:eastAsia="Calibri" w:hAnsi="Times New Roman" w:cs="Arial"/>
          <w:bCs/>
          <w:iCs/>
          <w:sz w:val="24"/>
          <w:lang w:val="en-US"/>
        </w:rPr>
        <w:t xml:space="preserve"> </w:t>
      </w:r>
      <w:r w:rsidRPr="00000833">
        <w:rPr>
          <w:rFonts w:ascii="Times New Roman" w:eastAsia="Calibri" w:hAnsi="Times New Roman" w:cs="Arial"/>
          <w:bCs/>
          <w:iCs/>
          <w:sz w:val="24"/>
          <w:lang w:val="en-US"/>
        </w:rPr>
        <w:t xml:space="preserve">Therefore, integrating organisational commitment within the Theory of Planned </w:t>
      </w:r>
      <w:proofErr w:type="spellStart"/>
      <w:r w:rsidRPr="00000833">
        <w:rPr>
          <w:rFonts w:ascii="Times New Roman" w:eastAsia="Calibri" w:hAnsi="Times New Roman" w:cs="Arial"/>
          <w:bCs/>
          <w:iCs/>
          <w:sz w:val="24"/>
          <w:lang w:val="en-US"/>
        </w:rPr>
        <w:t>Behaviour</w:t>
      </w:r>
      <w:proofErr w:type="spellEnd"/>
      <w:r w:rsidRPr="00000833">
        <w:rPr>
          <w:rFonts w:ascii="Times New Roman" w:eastAsia="Calibri" w:hAnsi="Times New Roman" w:cs="Arial"/>
          <w:bCs/>
          <w:iCs/>
          <w:sz w:val="24"/>
          <w:lang w:val="en-US"/>
        </w:rPr>
        <w:t xml:space="preserve"> framework provides a comprehensive explanation of how psychological attachment to the </w:t>
      </w:r>
      <w:proofErr w:type="spellStart"/>
      <w:r w:rsidRPr="00000833">
        <w:rPr>
          <w:rFonts w:ascii="Times New Roman" w:eastAsia="Calibri" w:hAnsi="Times New Roman" w:cs="Arial"/>
          <w:bCs/>
          <w:iCs/>
          <w:sz w:val="24"/>
          <w:lang w:val="en-US"/>
        </w:rPr>
        <w:t>organisation</w:t>
      </w:r>
      <w:proofErr w:type="spellEnd"/>
      <w:r w:rsidRPr="00000833">
        <w:rPr>
          <w:rFonts w:ascii="Times New Roman" w:eastAsia="Calibri" w:hAnsi="Times New Roman" w:cs="Arial"/>
          <w:bCs/>
          <w:iCs/>
          <w:sz w:val="24"/>
          <w:lang w:val="en-US"/>
        </w:rPr>
        <w:t xml:space="preserve"> translates into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and ultimately influences transfer of training among TVET lecturers. Strengthening organisational commitment is thus essential to reinforce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enhance the effectiveness of professional development initiatives, and ensure meaningful application of training outcomes in instructional practice. Based on the above discussion, it is proposed that:</w:t>
      </w:r>
    </w:p>
    <w:p w14:paraId="0D2C5845" w14:textId="77777777" w:rsidR="001E2F92" w:rsidRPr="001E2F92" w:rsidRDefault="001E2F92" w:rsidP="001E2F92">
      <w:pPr>
        <w:spacing w:after="0" w:line="240" w:lineRule="auto"/>
        <w:ind w:firstLine="720"/>
        <w:jc w:val="both"/>
        <w:rPr>
          <w:rFonts w:ascii="Times New Roman" w:eastAsia="Calibri" w:hAnsi="Times New Roman" w:cs="Arial"/>
          <w:bCs/>
          <w:iCs/>
          <w:sz w:val="24"/>
          <w:lang w:val="en-US"/>
        </w:rPr>
      </w:pPr>
    </w:p>
    <w:p w14:paraId="519B73D7" w14:textId="252883E3" w:rsidR="001E2F92" w:rsidRPr="001E2F92" w:rsidRDefault="001E2F92" w:rsidP="001E2F92">
      <w:pPr>
        <w:spacing w:after="0" w:line="240" w:lineRule="auto"/>
        <w:ind w:left="1350" w:hanging="630"/>
        <w:jc w:val="both"/>
        <w:rPr>
          <w:rFonts w:ascii="Times New Roman" w:eastAsia="Calibri" w:hAnsi="Times New Roman" w:cs="Arial"/>
          <w:i/>
          <w:sz w:val="24"/>
          <w:lang w:val="en-US"/>
        </w:rPr>
      </w:pPr>
      <w:r w:rsidRPr="001E2F92">
        <w:rPr>
          <w:rFonts w:ascii="Times New Roman" w:eastAsia="Calibri" w:hAnsi="Times New Roman" w:cs="Arial"/>
          <w:i/>
          <w:sz w:val="24"/>
          <w:lang w:val="en-US"/>
        </w:rPr>
        <w:t>H2b: Organisational commitment has a significant relationship with the transfer of training among TVET lecturers</w:t>
      </w:r>
    </w:p>
    <w:p w14:paraId="01A257D8" w14:textId="77777777" w:rsidR="001E2F92" w:rsidRPr="001E2F92" w:rsidRDefault="001E2F92" w:rsidP="001E2F92">
      <w:pPr>
        <w:spacing w:after="0" w:line="240" w:lineRule="auto"/>
        <w:ind w:firstLine="720"/>
        <w:jc w:val="both"/>
        <w:rPr>
          <w:rFonts w:ascii="Times New Roman" w:eastAsia="Calibri" w:hAnsi="Times New Roman" w:cs="Arial"/>
          <w:bCs/>
          <w:iCs/>
          <w:sz w:val="24"/>
          <w:lang w:val="en-US"/>
        </w:rPr>
      </w:pPr>
    </w:p>
    <w:p w14:paraId="475F9620" w14:textId="42588C62" w:rsidR="007D4F79" w:rsidRPr="007D4F79" w:rsidRDefault="00E413FB" w:rsidP="004C10A4">
      <w:pPr>
        <w:spacing w:after="0" w:line="240" w:lineRule="auto"/>
        <w:ind w:firstLine="720"/>
        <w:jc w:val="both"/>
        <w:rPr>
          <w:rFonts w:ascii="Times New Roman" w:eastAsia="Calibri" w:hAnsi="Times New Roman" w:cs="Arial"/>
          <w:b/>
          <w:bCs/>
          <w:iCs/>
          <w:sz w:val="24"/>
          <w:lang w:val="en-GB"/>
        </w:rPr>
      </w:pPr>
      <w:r>
        <w:rPr>
          <w:rFonts w:ascii="Times New Roman" w:eastAsia="Calibri" w:hAnsi="Times New Roman" w:cs="Arial"/>
          <w:b/>
          <w:bCs/>
          <w:iCs/>
          <w:sz w:val="24"/>
          <w:lang w:val="en-GB"/>
        </w:rPr>
        <w:t>Perceived importance</w:t>
      </w:r>
    </w:p>
    <w:p w14:paraId="30BED3BF" w14:textId="0F2A7366" w:rsidR="00283867" w:rsidRPr="00283867" w:rsidRDefault="00283867" w:rsidP="00283867">
      <w:pPr>
        <w:spacing w:after="0" w:line="240" w:lineRule="auto"/>
        <w:jc w:val="both"/>
        <w:rPr>
          <w:rFonts w:ascii="Times New Roman" w:eastAsia="Calibri" w:hAnsi="Times New Roman" w:cs="Arial"/>
          <w:bCs/>
          <w:iCs/>
          <w:sz w:val="24"/>
          <w:lang w:val="en-US"/>
        </w:rPr>
      </w:pPr>
      <w:r w:rsidRPr="00283867">
        <w:rPr>
          <w:rFonts w:ascii="Times New Roman" w:eastAsia="Calibri" w:hAnsi="Times New Roman" w:cs="Arial"/>
          <w:bCs/>
          <w:iCs/>
          <w:sz w:val="24"/>
          <w:lang w:val="en-US"/>
        </w:rPr>
        <w:t xml:space="preserve">Perceived importance refers to the extent to which individuals believe that training content is relevant, valuable, and meaningful for improving their job performance. Within the training and development literature, it is </w:t>
      </w:r>
      <w:proofErr w:type="spellStart"/>
      <w:r w:rsidRPr="00283867">
        <w:rPr>
          <w:rFonts w:ascii="Times New Roman" w:eastAsia="Calibri" w:hAnsi="Times New Roman" w:cs="Arial"/>
          <w:bCs/>
          <w:iCs/>
          <w:sz w:val="24"/>
          <w:lang w:val="en-US"/>
        </w:rPr>
        <w:t>recognised</w:t>
      </w:r>
      <w:proofErr w:type="spellEnd"/>
      <w:r w:rsidRPr="00283867">
        <w:rPr>
          <w:rFonts w:ascii="Times New Roman" w:eastAsia="Calibri" w:hAnsi="Times New Roman" w:cs="Arial"/>
          <w:bCs/>
          <w:iCs/>
          <w:sz w:val="24"/>
          <w:lang w:val="en-US"/>
        </w:rPr>
        <w:t xml:space="preserve"> as a key cognitive factor that shapes learners’ engagement, motivation, and willingness to apply newly acquired knowledge and skills in the workplace. When employees perceive training as important and directly applicable to their job requirements, they are more likely to invest effort in learning and subsequently transfer acquired competencies into practice (Noe, 1986; </w:t>
      </w:r>
      <w:proofErr w:type="spellStart"/>
      <w:r w:rsidRPr="00283867">
        <w:rPr>
          <w:rFonts w:ascii="Times New Roman" w:eastAsia="Calibri" w:hAnsi="Times New Roman" w:cs="Arial"/>
          <w:bCs/>
          <w:iCs/>
          <w:sz w:val="24"/>
          <w:lang w:val="en-US"/>
        </w:rPr>
        <w:t>Chiaburu</w:t>
      </w:r>
      <w:proofErr w:type="spellEnd"/>
      <w:r w:rsidRPr="00283867">
        <w:rPr>
          <w:rFonts w:ascii="Times New Roman" w:eastAsia="Calibri" w:hAnsi="Times New Roman" w:cs="Arial"/>
          <w:bCs/>
          <w:iCs/>
          <w:sz w:val="24"/>
          <w:lang w:val="en-US"/>
        </w:rPr>
        <w:t xml:space="preserve"> &amp; Lindsay, 2008). This aligns with Expectancy Theory, which suggests that individuals are more motivated to engage in </w:t>
      </w:r>
      <w:proofErr w:type="spellStart"/>
      <w:r w:rsidRPr="00283867">
        <w:rPr>
          <w:rFonts w:ascii="Times New Roman" w:eastAsia="Calibri" w:hAnsi="Times New Roman" w:cs="Arial"/>
          <w:bCs/>
          <w:iCs/>
          <w:sz w:val="24"/>
          <w:lang w:val="en-US"/>
        </w:rPr>
        <w:t>behaviours</w:t>
      </w:r>
      <w:proofErr w:type="spellEnd"/>
      <w:r w:rsidRPr="00283867">
        <w:rPr>
          <w:rFonts w:ascii="Times New Roman" w:eastAsia="Calibri" w:hAnsi="Times New Roman" w:cs="Arial"/>
          <w:bCs/>
          <w:iCs/>
          <w:sz w:val="24"/>
          <w:lang w:val="en-US"/>
        </w:rPr>
        <w:t xml:space="preserve"> that they perceive as useful and likely to lead to valued outcomes.</w:t>
      </w:r>
      <w:r>
        <w:rPr>
          <w:rFonts w:ascii="Times New Roman" w:eastAsia="Calibri" w:hAnsi="Times New Roman" w:cs="Arial"/>
          <w:bCs/>
          <w:iCs/>
          <w:sz w:val="24"/>
          <w:lang w:val="en-US"/>
        </w:rPr>
        <w:t xml:space="preserve"> </w:t>
      </w:r>
      <w:r w:rsidRPr="00283867">
        <w:rPr>
          <w:rFonts w:ascii="Times New Roman" w:eastAsia="Calibri" w:hAnsi="Times New Roman" w:cs="Arial"/>
          <w:bCs/>
          <w:iCs/>
          <w:sz w:val="24"/>
          <w:lang w:val="en-US"/>
        </w:rPr>
        <w:t xml:space="preserve">This relationship can be further strengthened and theoretically explained through the Theory of Planned </w:t>
      </w:r>
      <w:proofErr w:type="spellStart"/>
      <w:r w:rsidRPr="00283867">
        <w:rPr>
          <w:rFonts w:ascii="Times New Roman" w:eastAsia="Calibri" w:hAnsi="Times New Roman" w:cs="Arial"/>
          <w:bCs/>
          <w:iCs/>
          <w:sz w:val="24"/>
          <w:lang w:val="en-US"/>
        </w:rPr>
        <w:t>Behaviour</w:t>
      </w:r>
      <w:proofErr w:type="spellEnd"/>
      <w:r w:rsidRPr="00283867">
        <w:rPr>
          <w:rFonts w:ascii="Times New Roman" w:eastAsia="Calibri" w:hAnsi="Times New Roman" w:cs="Arial"/>
          <w:bCs/>
          <w:iCs/>
          <w:sz w:val="24"/>
          <w:lang w:val="en-US"/>
        </w:rPr>
        <w:t xml:space="preserve"> (TPB). According to TPB, </w:t>
      </w:r>
      <w:proofErr w:type="spellStart"/>
      <w:r w:rsidRPr="00283867">
        <w:rPr>
          <w:rFonts w:ascii="Times New Roman" w:eastAsia="Calibri" w:hAnsi="Times New Roman" w:cs="Arial"/>
          <w:bCs/>
          <w:iCs/>
          <w:sz w:val="24"/>
          <w:lang w:val="en-US"/>
        </w:rPr>
        <w:t>behaviour</w:t>
      </w:r>
      <w:proofErr w:type="spellEnd"/>
      <w:r w:rsidRPr="00283867">
        <w:rPr>
          <w:rFonts w:ascii="Times New Roman" w:eastAsia="Calibri" w:hAnsi="Times New Roman" w:cs="Arial"/>
          <w:bCs/>
          <w:iCs/>
          <w:sz w:val="24"/>
          <w:lang w:val="en-US"/>
        </w:rPr>
        <w:t xml:space="preserve"> is primarily determined by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intention, which is shaped by attitudes, subjective norms, and perceived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control (</w:t>
      </w:r>
      <w:proofErr w:type="spellStart"/>
      <w:r w:rsidRPr="00283867">
        <w:rPr>
          <w:rFonts w:ascii="Times New Roman" w:eastAsia="Calibri" w:hAnsi="Times New Roman" w:cs="Arial"/>
          <w:bCs/>
          <w:iCs/>
          <w:sz w:val="24"/>
          <w:lang w:val="en-US"/>
        </w:rPr>
        <w:t>Ajzen</w:t>
      </w:r>
      <w:proofErr w:type="spellEnd"/>
      <w:r w:rsidRPr="00283867">
        <w:rPr>
          <w:rFonts w:ascii="Times New Roman" w:eastAsia="Calibri" w:hAnsi="Times New Roman" w:cs="Arial"/>
          <w:bCs/>
          <w:iCs/>
          <w:sz w:val="24"/>
          <w:lang w:val="en-US"/>
        </w:rPr>
        <w:t xml:space="preserve">, 1991). In this framework, perceived importance functions as a key attitudinal belief structure, where individuals evaluate whether training is meaningful, relevant, and beneficial to their job role. When TVET lecturers perceive training as highly important, this strengthens their positive attitude toward applying the training content, which in turn increases their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intention to transfer training into actual teaching practice. Stronger intention subsequently increases the likelihood of actual training transfer in classroom and workshop settings.</w:t>
      </w:r>
    </w:p>
    <w:p w14:paraId="573E9145" w14:textId="77777777" w:rsidR="00E97316" w:rsidRDefault="00E97316" w:rsidP="00283867">
      <w:pPr>
        <w:spacing w:after="0" w:line="240" w:lineRule="auto"/>
        <w:jc w:val="both"/>
        <w:rPr>
          <w:rFonts w:ascii="Times New Roman" w:eastAsia="Calibri" w:hAnsi="Times New Roman" w:cs="Arial"/>
          <w:bCs/>
          <w:iCs/>
          <w:sz w:val="24"/>
          <w:lang w:val="en-US"/>
        </w:rPr>
      </w:pPr>
    </w:p>
    <w:p w14:paraId="0365E32C" w14:textId="32EA07EB" w:rsidR="00283867" w:rsidRPr="00283867" w:rsidRDefault="00283867" w:rsidP="00283867">
      <w:pPr>
        <w:spacing w:after="0" w:line="240" w:lineRule="auto"/>
        <w:jc w:val="both"/>
        <w:rPr>
          <w:rFonts w:ascii="Times New Roman" w:eastAsia="Calibri" w:hAnsi="Times New Roman" w:cs="Arial"/>
          <w:bCs/>
          <w:iCs/>
          <w:sz w:val="24"/>
          <w:lang w:val="en-US"/>
        </w:rPr>
      </w:pPr>
      <w:bookmarkStart w:id="0" w:name="_GoBack"/>
      <w:bookmarkEnd w:id="0"/>
      <w:r w:rsidRPr="00283867">
        <w:rPr>
          <w:rFonts w:ascii="Times New Roman" w:eastAsia="Calibri" w:hAnsi="Times New Roman" w:cs="Arial"/>
          <w:bCs/>
          <w:iCs/>
          <w:sz w:val="24"/>
          <w:lang w:val="en-US"/>
        </w:rPr>
        <w:t xml:space="preserve">In Technical and Vocational Education and Training (TVET) institutions, particularly Malaysian polytechnics, perceived importance is strongly influenced by the alignment between training content and departmental </w:t>
      </w:r>
      <w:proofErr w:type="spellStart"/>
      <w:r w:rsidRPr="00283867">
        <w:rPr>
          <w:rFonts w:ascii="Times New Roman" w:eastAsia="Calibri" w:hAnsi="Times New Roman" w:cs="Arial"/>
          <w:bCs/>
          <w:iCs/>
          <w:sz w:val="24"/>
          <w:lang w:val="en-US"/>
        </w:rPr>
        <w:t>specialisation</w:t>
      </w:r>
      <w:proofErr w:type="spellEnd"/>
      <w:r w:rsidRPr="00283867">
        <w:rPr>
          <w:rFonts w:ascii="Times New Roman" w:eastAsia="Calibri" w:hAnsi="Times New Roman" w:cs="Arial"/>
          <w:bCs/>
          <w:iCs/>
          <w:sz w:val="24"/>
          <w:lang w:val="en-US"/>
        </w:rPr>
        <w:t xml:space="preserve">. For instance, lecturers in the Automotive Engineering Department are more likely to transfer training when professional development </w:t>
      </w:r>
      <w:proofErr w:type="spellStart"/>
      <w:r w:rsidRPr="00283867">
        <w:rPr>
          <w:rFonts w:ascii="Times New Roman" w:eastAsia="Calibri" w:hAnsi="Times New Roman" w:cs="Arial"/>
          <w:bCs/>
          <w:iCs/>
          <w:sz w:val="24"/>
          <w:lang w:val="en-US"/>
        </w:rPr>
        <w:t>programmes</w:t>
      </w:r>
      <w:proofErr w:type="spellEnd"/>
      <w:r w:rsidRPr="00283867">
        <w:rPr>
          <w:rFonts w:ascii="Times New Roman" w:eastAsia="Calibri" w:hAnsi="Times New Roman" w:cs="Arial"/>
          <w:bCs/>
          <w:iCs/>
          <w:sz w:val="24"/>
          <w:lang w:val="en-US"/>
        </w:rPr>
        <w:t xml:space="preserve"> include hands-on exposure to emerging automotive diagnostic systems, electric vehicle (EV) technologies, and </w:t>
      </w:r>
      <w:proofErr w:type="spellStart"/>
      <w:r w:rsidRPr="00283867">
        <w:rPr>
          <w:rFonts w:ascii="Times New Roman" w:eastAsia="Calibri" w:hAnsi="Times New Roman" w:cs="Arial"/>
          <w:bCs/>
          <w:iCs/>
          <w:sz w:val="24"/>
          <w:lang w:val="en-US"/>
        </w:rPr>
        <w:t>computerised</w:t>
      </w:r>
      <w:proofErr w:type="spellEnd"/>
      <w:r w:rsidRPr="00283867">
        <w:rPr>
          <w:rFonts w:ascii="Times New Roman" w:eastAsia="Calibri" w:hAnsi="Times New Roman" w:cs="Arial"/>
          <w:bCs/>
          <w:iCs/>
          <w:sz w:val="24"/>
          <w:lang w:val="en-US"/>
        </w:rPr>
        <w:t xml:space="preserve"> engine management systems. If such training is perceived as directly relevant to workshop teaching—such as engine troubleshooting, vehicle diagnostics, or hybrid system maintenance—lecturers are more likely to intend to apply these </w:t>
      </w:r>
      <w:r w:rsidRPr="00283867">
        <w:rPr>
          <w:rFonts w:ascii="Times New Roman" w:eastAsia="Calibri" w:hAnsi="Times New Roman" w:cs="Arial"/>
          <w:bCs/>
          <w:iCs/>
          <w:sz w:val="24"/>
          <w:lang w:val="en-US"/>
        </w:rPr>
        <w:lastRenderedPageBreak/>
        <w:t>competencies in student practical sessions.</w:t>
      </w:r>
      <w:r>
        <w:rPr>
          <w:rFonts w:ascii="Times New Roman" w:eastAsia="Calibri" w:hAnsi="Times New Roman" w:cs="Arial"/>
          <w:bCs/>
          <w:iCs/>
          <w:sz w:val="24"/>
          <w:lang w:val="en-US"/>
        </w:rPr>
        <w:t xml:space="preserve"> </w:t>
      </w:r>
      <w:r w:rsidRPr="00283867">
        <w:rPr>
          <w:rFonts w:ascii="Times New Roman" w:eastAsia="Calibri" w:hAnsi="Times New Roman" w:cs="Arial"/>
          <w:bCs/>
          <w:iCs/>
          <w:sz w:val="24"/>
          <w:lang w:val="en-US"/>
        </w:rPr>
        <w:t>Similarly, in the Mechanical Engineering Department, training that focuses on CNC machining, advanced manufacturing processes, CAD/CAM software, or Industry 4.0 automation systems is more likely to be perceived as important when lecturers see a clear connection to curriculum delivery and competency-based assessment. From a TPB perspective, this perceived relevance strengthens lecturers’ attitudes toward applying the training, increases their intention to integrate new skills into laboratory instruction, and ultimately enhances the actual transfer of training into teaching practice.</w:t>
      </w:r>
      <w:r>
        <w:rPr>
          <w:rFonts w:ascii="Times New Roman" w:eastAsia="Calibri" w:hAnsi="Times New Roman" w:cs="Arial"/>
          <w:bCs/>
          <w:iCs/>
          <w:sz w:val="24"/>
          <w:lang w:val="en-US"/>
        </w:rPr>
        <w:t xml:space="preserve"> </w:t>
      </w:r>
      <w:r w:rsidRPr="00283867">
        <w:rPr>
          <w:rFonts w:ascii="Times New Roman" w:eastAsia="Calibri" w:hAnsi="Times New Roman" w:cs="Arial"/>
          <w:bCs/>
          <w:iCs/>
          <w:sz w:val="24"/>
          <w:lang w:val="en-US"/>
        </w:rPr>
        <w:t xml:space="preserve">Conversely, when training is perceived as too theoretical, outdated, or poorly aligned with workshop requirements, lecturers may develop weaker attitudes toward application, resulting in lower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intention and reduced transfer of training. Even if knowledge acquisition occurs, the absence of perceived importance weakens the intention–</w:t>
      </w:r>
      <w:proofErr w:type="spellStart"/>
      <w:r w:rsidRPr="00283867">
        <w:rPr>
          <w:rFonts w:ascii="Times New Roman" w:eastAsia="Calibri" w:hAnsi="Times New Roman" w:cs="Arial"/>
          <w:bCs/>
          <w:iCs/>
          <w:sz w:val="24"/>
          <w:lang w:val="en-US"/>
        </w:rPr>
        <w:t>behaviour</w:t>
      </w:r>
      <w:proofErr w:type="spellEnd"/>
      <w:r w:rsidRPr="00283867">
        <w:rPr>
          <w:rFonts w:ascii="Times New Roman" w:eastAsia="Calibri" w:hAnsi="Times New Roman" w:cs="Arial"/>
          <w:bCs/>
          <w:iCs/>
          <w:sz w:val="24"/>
          <w:lang w:val="en-US"/>
        </w:rPr>
        <w:t xml:space="preserve"> link proposed by TPB, thereby limiting actual application in teaching environments.</w:t>
      </w:r>
    </w:p>
    <w:p w14:paraId="342845A0" w14:textId="77777777" w:rsidR="00283867" w:rsidRDefault="00283867" w:rsidP="00283867">
      <w:pPr>
        <w:spacing w:after="0" w:line="240" w:lineRule="auto"/>
        <w:jc w:val="both"/>
        <w:rPr>
          <w:rFonts w:ascii="Times New Roman" w:eastAsia="Calibri" w:hAnsi="Times New Roman" w:cs="Arial"/>
          <w:bCs/>
          <w:iCs/>
          <w:sz w:val="24"/>
          <w:lang w:val="en-US"/>
        </w:rPr>
      </w:pPr>
    </w:p>
    <w:p w14:paraId="565B6FDD" w14:textId="26EC1F08" w:rsidR="001E2F92" w:rsidRDefault="00283867" w:rsidP="001E2F92">
      <w:pPr>
        <w:spacing w:after="0" w:line="240" w:lineRule="auto"/>
        <w:jc w:val="both"/>
        <w:rPr>
          <w:rFonts w:ascii="Times New Roman" w:eastAsia="Calibri" w:hAnsi="Times New Roman" w:cs="Arial"/>
          <w:bCs/>
          <w:iCs/>
          <w:sz w:val="24"/>
          <w:lang w:val="en-US"/>
        </w:rPr>
      </w:pPr>
      <w:r w:rsidRPr="00283867">
        <w:rPr>
          <w:rFonts w:ascii="Times New Roman" w:eastAsia="Calibri" w:hAnsi="Times New Roman" w:cs="Arial"/>
          <w:bCs/>
          <w:iCs/>
          <w:sz w:val="24"/>
          <w:lang w:val="en-US"/>
        </w:rPr>
        <w:t xml:space="preserve">Empirical evidence consistently supports the relationship between perceived training importance and transfer outcomes. Employees who view training content as relevant to their job tasks demonstrate higher levels of learning retention and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application after training (Colquitt, </w:t>
      </w:r>
      <w:proofErr w:type="spellStart"/>
      <w:r w:rsidRPr="00283867">
        <w:rPr>
          <w:rFonts w:ascii="Times New Roman" w:eastAsia="Calibri" w:hAnsi="Times New Roman" w:cs="Arial"/>
          <w:bCs/>
          <w:iCs/>
          <w:sz w:val="24"/>
          <w:lang w:val="en-US"/>
        </w:rPr>
        <w:t>LePine</w:t>
      </w:r>
      <w:proofErr w:type="spellEnd"/>
      <w:r w:rsidRPr="00283867">
        <w:rPr>
          <w:rFonts w:ascii="Times New Roman" w:eastAsia="Calibri" w:hAnsi="Times New Roman" w:cs="Arial"/>
          <w:bCs/>
          <w:iCs/>
          <w:sz w:val="24"/>
          <w:lang w:val="en-US"/>
        </w:rPr>
        <w:t xml:space="preserve">, &amp; Noe, 2000). Hutchins and Burke (2007) further </w:t>
      </w:r>
      <w:proofErr w:type="spellStart"/>
      <w:r w:rsidRPr="00283867">
        <w:rPr>
          <w:rFonts w:ascii="Times New Roman" w:eastAsia="Calibri" w:hAnsi="Times New Roman" w:cs="Arial"/>
          <w:bCs/>
          <w:iCs/>
          <w:sz w:val="24"/>
          <w:lang w:val="en-US"/>
        </w:rPr>
        <w:t>emphasised</w:t>
      </w:r>
      <w:proofErr w:type="spellEnd"/>
      <w:r w:rsidRPr="00283867">
        <w:rPr>
          <w:rFonts w:ascii="Times New Roman" w:eastAsia="Calibri" w:hAnsi="Times New Roman" w:cs="Arial"/>
          <w:bCs/>
          <w:iCs/>
          <w:sz w:val="24"/>
          <w:lang w:val="en-US"/>
        </w:rPr>
        <w:t xml:space="preserve"> that perceived utility of training significantly enhances transfer motivation, which serves as a critical antecedent of actual training application. More recent research also confirms that perceived importance positively influences both immediate training reactions and long-term transfer </w:t>
      </w:r>
      <w:proofErr w:type="spellStart"/>
      <w:r w:rsidRPr="00283867">
        <w:rPr>
          <w:rFonts w:ascii="Times New Roman" w:eastAsia="Calibri" w:hAnsi="Times New Roman" w:cs="Arial"/>
          <w:bCs/>
          <w:iCs/>
          <w:sz w:val="24"/>
          <w:lang w:val="en-US"/>
        </w:rPr>
        <w:t>behaviour</w:t>
      </w:r>
      <w:proofErr w:type="spellEnd"/>
      <w:r w:rsidRPr="00283867">
        <w:rPr>
          <w:rFonts w:ascii="Times New Roman" w:eastAsia="Calibri" w:hAnsi="Times New Roman" w:cs="Arial"/>
          <w:bCs/>
          <w:iCs/>
          <w:sz w:val="24"/>
          <w:lang w:val="en-US"/>
        </w:rPr>
        <w:t xml:space="preserve"> by strengthening individuals’ intention to apply newly acquired competencies in their work environment (Blume et al., 2019; Saks et al., 2021).</w:t>
      </w:r>
      <w:r>
        <w:rPr>
          <w:rFonts w:ascii="Times New Roman" w:eastAsia="Calibri" w:hAnsi="Times New Roman" w:cs="Arial"/>
          <w:bCs/>
          <w:iCs/>
          <w:sz w:val="24"/>
          <w:lang w:val="en-US"/>
        </w:rPr>
        <w:t xml:space="preserve"> </w:t>
      </w:r>
      <w:r w:rsidRPr="00283867">
        <w:rPr>
          <w:rFonts w:ascii="Times New Roman" w:eastAsia="Calibri" w:hAnsi="Times New Roman" w:cs="Arial"/>
          <w:bCs/>
          <w:iCs/>
          <w:sz w:val="24"/>
          <w:lang w:val="en-US"/>
        </w:rPr>
        <w:t xml:space="preserve">Within vocational and educational settings, perceived importance plays a particularly significant role because training is expected to directly enhance instructional quality and student competency outcomes. Educators who perceive strong alignment between training content and industry requirements are more likely to integrate new pedagogical strategies, tools, and technologies into their teaching practice. In Malaysian TVET institutions, this is especially critical given the rapid evolution of industrial technologies such as automation, robotics, and electric mobility systems. Studies further indicate that perceived importance is closely linked to perceived job relevance, where educators who </w:t>
      </w:r>
      <w:proofErr w:type="spellStart"/>
      <w:r w:rsidRPr="00283867">
        <w:rPr>
          <w:rFonts w:ascii="Times New Roman" w:eastAsia="Calibri" w:hAnsi="Times New Roman" w:cs="Arial"/>
          <w:bCs/>
          <w:iCs/>
          <w:sz w:val="24"/>
          <w:lang w:val="en-US"/>
        </w:rPr>
        <w:t>recognise</w:t>
      </w:r>
      <w:proofErr w:type="spellEnd"/>
      <w:r w:rsidRPr="00283867">
        <w:rPr>
          <w:rFonts w:ascii="Times New Roman" w:eastAsia="Calibri" w:hAnsi="Times New Roman" w:cs="Arial"/>
          <w:bCs/>
          <w:iCs/>
          <w:sz w:val="24"/>
          <w:lang w:val="en-US"/>
        </w:rPr>
        <w:t xml:space="preserve"> strong alignment between training and instructional responsibilities demonstrate higher levels of skill application in teaching, assessment, and workshop management practices (Noor et al., 2022; Zainal et al., 2023).</w:t>
      </w:r>
      <w:r>
        <w:rPr>
          <w:rFonts w:ascii="Times New Roman" w:eastAsia="Calibri" w:hAnsi="Times New Roman" w:cs="Arial"/>
          <w:bCs/>
          <w:iCs/>
          <w:sz w:val="24"/>
          <w:lang w:val="en-US"/>
        </w:rPr>
        <w:t xml:space="preserve"> </w:t>
      </w:r>
      <w:r w:rsidRPr="00283867">
        <w:rPr>
          <w:rFonts w:ascii="Times New Roman" w:eastAsia="Calibri" w:hAnsi="Times New Roman" w:cs="Arial"/>
          <w:bCs/>
          <w:iCs/>
          <w:sz w:val="24"/>
          <w:lang w:val="en-US"/>
        </w:rPr>
        <w:t xml:space="preserve">From a TPB standpoint, perceived importance strengthens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intention by enhancing positive attitude toward training application, thereby increasing the likelihood that TVET lecturers will translate training content into actual instructional practice. Hence, perceived importance operates as a key cognitive determinant that bridges training exposure and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execution in workplace settings.</w:t>
      </w:r>
      <w:r>
        <w:rPr>
          <w:rFonts w:ascii="Times New Roman" w:eastAsia="Calibri" w:hAnsi="Times New Roman" w:cs="Arial"/>
          <w:bCs/>
          <w:iCs/>
          <w:sz w:val="24"/>
          <w:lang w:val="en-US"/>
        </w:rPr>
        <w:t xml:space="preserve"> Therefore, it is proposed that</w:t>
      </w:r>
      <w:r w:rsidR="001E2F92" w:rsidRPr="001E2F92">
        <w:rPr>
          <w:rFonts w:ascii="Times New Roman" w:eastAsia="Calibri" w:hAnsi="Times New Roman" w:cs="Arial"/>
          <w:bCs/>
          <w:iCs/>
          <w:sz w:val="24"/>
          <w:lang w:val="en-US"/>
        </w:rPr>
        <w:t>:</w:t>
      </w:r>
    </w:p>
    <w:p w14:paraId="461E7462" w14:textId="77777777" w:rsidR="001E2F92" w:rsidRPr="001E2F92" w:rsidRDefault="001E2F92" w:rsidP="001E2F92">
      <w:pPr>
        <w:spacing w:after="0" w:line="240" w:lineRule="auto"/>
        <w:jc w:val="both"/>
        <w:rPr>
          <w:rFonts w:ascii="Times New Roman" w:eastAsia="Calibri" w:hAnsi="Times New Roman" w:cs="Arial"/>
          <w:bCs/>
          <w:iCs/>
          <w:sz w:val="24"/>
          <w:lang w:val="en-US"/>
        </w:rPr>
      </w:pPr>
    </w:p>
    <w:p w14:paraId="695CA997" w14:textId="4011B243" w:rsidR="001E2F92" w:rsidRPr="001E2F92" w:rsidRDefault="001E2F92" w:rsidP="001E2F92">
      <w:pPr>
        <w:spacing w:after="0" w:line="240" w:lineRule="auto"/>
        <w:ind w:left="1170" w:hanging="450"/>
        <w:rPr>
          <w:rFonts w:ascii="Times New Roman" w:eastAsia="Calibri" w:hAnsi="Times New Roman" w:cs="Arial"/>
          <w:i/>
          <w:iCs/>
          <w:sz w:val="24"/>
          <w:lang w:val="en-US"/>
        </w:rPr>
      </w:pPr>
      <w:r w:rsidRPr="001E2F92">
        <w:rPr>
          <w:rFonts w:ascii="Times New Roman" w:eastAsia="Calibri" w:hAnsi="Times New Roman" w:cs="Arial"/>
          <w:i/>
          <w:iCs/>
          <w:sz w:val="24"/>
          <w:lang w:val="en-US"/>
        </w:rPr>
        <w:t>H2</w:t>
      </w:r>
      <w:r>
        <w:rPr>
          <w:rFonts w:ascii="Times New Roman" w:eastAsia="Calibri" w:hAnsi="Times New Roman" w:cs="Arial"/>
          <w:i/>
          <w:iCs/>
          <w:sz w:val="24"/>
          <w:lang w:val="en-US"/>
        </w:rPr>
        <w:t>c</w:t>
      </w:r>
      <w:r w:rsidRPr="001E2F92">
        <w:rPr>
          <w:rFonts w:ascii="Times New Roman" w:eastAsia="Calibri" w:hAnsi="Times New Roman" w:cs="Arial"/>
          <w:i/>
          <w:iCs/>
          <w:sz w:val="24"/>
          <w:lang w:val="en-US"/>
        </w:rPr>
        <w:t xml:space="preserve">: </w:t>
      </w:r>
      <w:r w:rsidR="005E0132">
        <w:rPr>
          <w:rFonts w:ascii="Times New Roman" w:eastAsia="Calibri" w:hAnsi="Times New Roman" w:cs="Arial"/>
          <w:i/>
          <w:iCs/>
          <w:sz w:val="24"/>
          <w:lang w:val="en-US"/>
        </w:rPr>
        <w:t>Perceived importance</w:t>
      </w:r>
      <w:r w:rsidRPr="001E2F92">
        <w:rPr>
          <w:rFonts w:ascii="Times New Roman" w:eastAsia="Calibri" w:hAnsi="Times New Roman" w:cs="Arial"/>
          <w:i/>
          <w:iCs/>
          <w:sz w:val="24"/>
          <w:lang w:val="en-US"/>
        </w:rPr>
        <w:t xml:space="preserve"> has a significant relationship with the transfer of training among TVET lecturers</w:t>
      </w:r>
    </w:p>
    <w:p w14:paraId="0B07B092" w14:textId="77777777" w:rsidR="0041382A" w:rsidRDefault="0041382A" w:rsidP="003913A5">
      <w:pPr>
        <w:spacing w:after="0" w:line="240" w:lineRule="auto"/>
        <w:jc w:val="both"/>
        <w:rPr>
          <w:rFonts w:ascii="Times New Roman" w:eastAsia="Calibri" w:hAnsi="Times New Roman" w:cs="Arial"/>
          <w:bCs/>
          <w:iCs/>
          <w:sz w:val="24"/>
        </w:rPr>
      </w:pPr>
    </w:p>
    <w:p w14:paraId="32C3C5E5" w14:textId="77777777" w:rsidR="00BE1339" w:rsidRPr="007D4F79" w:rsidRDefault="00BE1339" w:rsidP="003913A5">
      <w:pPr>
        <w:spacing w:after="0" w:line="240" w:lineRule="auto"/>
        <w:jc w:val="both"/>
        <w:rPr>
          <w:rFonts w:ascii="Times New Roman" w:eastAsia="Calibri" w:hAnsi="Times New Roman" w:cs="Arial"/>
          <w:bCs/>
          <w:iCs/>
          <w:sz w:val="24"/>
          <w:lang w:val="en-GB"/>
        </w:rPr>
      </w:pPr>
    </w:p>
    <w:p w14:paraId="32274582" w14:textId="777722A8" w:rsidR="000964BF" w:rsidRPr="000964BF" w:rsidRDefault="000964BF" w:rsidP="000964BF">
      <w:pPr>
        <w:spacing w:after="0" w:line="240" w:lineRule="auto"/>
        <w:jc w:val="both"/>
        <w:rPr>
          <w:rFonts w:ascii="Times New Roman" w:eastAsia="Calibri" w:hAnsi="Times New Roman" w:cs="Arial"/>
          <w:b/>
          <w:sz w:val="24"/>
          <w:lang w:val="en-GB"/>
        </w:rPr>
      </w:pPr>
      <w:r>
        <w:rPr>
          <w:rFonts w:ascii="Times New Roman" w:eastAsia="Calibri" w:hAnsi="Times New Roman" w:cs="Arial"/>
          <w:b/>
          <w:sz w:val="24"/>
          <w:lang w:val="en-GB"/>
        </w:rPr>
        <w:t>Methodologies</w:t>
      </w:r>
      <w:r w:rsidR="0030319A" w:rsidRPr="0030319A">
        <w:rPr>
          <w:rFonts w:ascii="Times New Roman" w:eastAsia="Calibri" w:hAnsi="Times New Roman" w:cs="Arial"/>
          <w:b/>
          <w:color w:val="EE0000"/>
          <w:sz w:val="24"/>
          <w:lang w:val="en-GB"/>
        </w:rPr>
        <w:t xml:space="preserve"> </w:t>
      </w:r>
    </w:p>
    <w:p w14:paraId="4522A1BD" w14:textId="016171C3" w:rsidR="002C7C6C" w:rsidRPr="002C7C6C" w:rsidRDefault="002C7C6C" w:rsidP="002C7C6C">
      <w:pPr>
        <w:spacing w:after="0" w:line="240" w:lineRule="auto"/>
        <w:jc w:val="both"/>
        <w:rPr>
          <w:rFonts w:ascii="Times New Roman" w:eastAsia="Calibri" w:hAnsi="Times New Roman" w:cs="Arial"/>
          <w:sz w:val="24"/>
          <w:lang w:val="en-US"/>
        </w:rPr>
      </w:pPr>
      <w:r w:rsidRPr="002C7C6C">
        <w:rPr>
          <w:rFonts w:ascii="Times New Roman" w:eastAsia="Calibri" w:hAnsi="Times New Roman" w:cs="Arial"/>
          <w:sz w:val="24"/>
          <w:lang w:val="en-US"/>
        </w:rPr>
        <w:t>This conceptual paper adopts a quantitative, cross-sectional survey design to examine transfer of training among TVET lecturers in Malaysian higher learning institutions. The study is guided by three objectives: (</w:t>
      </w:r>
      <w:proofErr w:type="spellStart"/>
      <w:r w:rsidRPr="002C7C6C">
        <w:rPr>
          <w:rFonts w:ascii="Times New Roman" w:eastAsia="Calibri" w:hAnsi="Times New Roman" w:cs="Arial"/>
          <w:sz w:val="24"/>
          <w:lang w:val="en-US"/>
        </w:rPr>
        <w:t>i</w:t>
      </w:r>
      <w:proofErr w:type="spellEnd"/>
      <w:r w:rsidRPr="002C7C6C">
        <w:rPr>
          <w:rFonts w:ascii="Times New Roman" w:eastAsia="Calibri" w:hAnsi="Times New Roman" w:cs="Arial"/>
          <w:sz w:val="24"/>
          <w:lang w:val="en-US"/>
        </w:rPr>
        <w:t xml:space="preserve">) to identify the level of transfer of training, (ii) to examine gender differences in transfer of training, and (iii) to determine the influence of attitude, organisational </w:t>
      </w:r>
      <w:r w:rsidRPr="002C7C6C">
        <w:rPr>
          <w:rFonts w:ascii="Times New Roman" w:eastAsia="Calibri" w:hAnsi="Times New Roman" w:cs="Arial"/>
          <w:sz w:val="24"/>
          <w:lang w:val="en-US"/>
        </w:rPr>
        <w:lastRenderedPageBreak/>
        <w:t>commitment, and perceived importance on transfer of training.</w:t>
      </w:r>
      <w:r>
        <w:rPr>
          <w:rFonts w:ascii="Times New Roman" w:eastAsia="Calibri" w:hAnsi="Times New Roman" w:cs="Arial"/>
          <w:sz w:val="24"/>
          <w:lang w:val="en-US"/>
        </w:rPr>
        <w:t xml:space="preserve"> </w:t>
      </w:r>
      <w:r w:rsidRPr="002C7C6C">
        <w:rPr>
          <w:rFonts w:ascii="Times New Roman" w:eastAsia="Calibri" w:hAnsi="Times New Roman" w:cs="Arial"/>
          <w:sz w:val="24"/>
          <w:lang w:val="en-US"/>
        </w:rPr>
        <w:t>The population of interest comprises TVET lecturers across Malaysian higher learning institutions, including polytechnics, community colleges, public universities, and other TVET-related institutions. Although a single official figure for TVET lecturers is not available, Malaysia’s TVET ecosystem is extensive, consisting of approximately 1,398 TVET institutions nationwide as of 2024–2025 under various ministries and agencies (Department of Statistics Malaysia, 2024; TVET Malaysia, 2025). The sector has also experienced rapid growth, with enrolment increasing from around 423,267 in 2024 to over 490,000 in 2025 (The Star, 2025; New Straits Times, 2025), reflecting rising demand for instructional personnel. Based on institutional expansion and standard lecturer-to-student ratios, the number of TVET lecturers is estimated at approximately 8,000 to 12,000 nationwide.</w:t>
      </w:r>
    </w:p>
    <w:p w14:paraId="05929DE4" w14:textId="77777777" w:rsidR="002C7C6C" w:rsidRDefault="002C7C6C" w:rsidP="002C7C6C">
      <w:pPr>
        <w:spacing w:after="0" w:line="240" w:lineRule="auto"/>
        <w:jc w:val="both"/>
        <w:rPr>
          <w:rFonts w:ascii="Times New Roman" w:eastAsia="Calibri" w:hAnsi="Times New Roman" w:cs="Arial"/>
          <w:sz w:val="24"/>
          <w:lang w:val="en-US"/>
        </w:rPr>
      </w:pPr>
    </w:p>
    <w:p w14:paraId="52DA1C85" w14:textId="753ECB5D" w:rsidR="002C7C6C" w:rsidRPr="002C7C6C" w:rsidRDefault="002C7C6C" w:rsidP="002C7C6C">
      <w:pPr>
        <w:spacing w:after="0" w:line="240" w:lineRule="auto"/>
        <w:jc w:val="both"/>
        <w:rPr>
          <w:rFonts w:ascii="Times New Roman" w:eastAsia="Calibri" w:hAnsi="Times New Roman" w:cs="Arial"/>
          <w:sz w:val="24"/>
          <w:lang w:val="en-US"/>
        </w:rPr>
      </w:pPr>
      <w:r w:rsidRPr="002C7C6C">
        <w:rPr>
          <w:rFonts w:ascii="Times New Roman" w:eastAsia="Calibri" w:hAnsi="Times New Roman" w:cs="Arial"/>
          <w:sz w:val="24"/>
          <w:lang w:val="en-US"/>
        </w:rPr>
        <w:t xml:space="preserve">Data will be collected using a structured questionnaire adapted from established instruments in training transfer and organisational </w:t>
      </w:r>
      <w:proofErr w:type="spellStart"/>
      <w:r w:rsidRPr="002C7C6C">
        <w:rPr>
          <w:rFonts w:ascii="Times New Roman" w:eastAsia="Calibri" w:hAnsi="Times New Roman" w:cs="Arial"/>
          <w:sz w:val="24"/>
          <w:lang w:val="en-US"/>
        </w:rPr>
        <w:t>behaviour</w:t>
      </w:r>
      <w:proofErr w:type="spellEnd"/>
      <w:r w:rsidRPr="002C7C6C">
        <w:rPr>
          <w:rFonts w:ascii="Times New Roman" w:eastAsia="Calibri" w:hAnsi="Times New Roman" w:cs="Arial"/>
          <w:sz w:val="24"/>
          <w:lang w:val="en-US"/>
        </w:rPr>
        <w:t xml:space="preserve"> literature. The dependent variable, transfer of training, is adapted from Baldwin and Ford (1988), Holton et al. (2000), and Burke and Hutchins (2007). The independent variables include attitude toward training, organisational commitment, and perceived importance of training. Attitude is grounded in </w:t>
      </w:r>
      <w:proofErr w:type="spellStart"/>
      <w:r w:rsidRPr="002C7C6C">
        <w:rPr>
          <w:rFonts w:ascii="Times New Roman" w:eastAsia="Calibri" w:hAnsi="Times New Roman" w:cs="Arial"/>
          <w:sz w:val="24"/>
          <w:lang w:val="en-US"/>
        </w:rPr>
        <w:t>Ajzen’s</w:t>
      </w:r>
      <w:proofErr w:type="spellEnd"/>
      <w:r w:rsidRPr="002C7C6C">
        <w:rPr>
          <w:rFonts w:ascii="Times New Roman" w:eastAsia="Calibri" w:hAnsi="Times New Roman" w:cs="Arial"/>
          <w:sz w:val="24"/>
          <w:lang w:val="en-US"/>
        </w:rPr>
        <w:t xml:space="preserve"> (1991) Theory of Planned </w:t>
      </w:r>
      <w:proofErr w:type="spellStart"/>
      <w:r w:rsidRPr="002C7C6C">
        <w:rPr>
          <w:rFonts w:ascii="Times New Roman" w:eastAsia="Calibri" w:hAnsi="Times New Roman" w:cs="Arial"/>
          <w:sz w:val="24"/>
          <w:lang w:val="en-US"/>
        </w:rPr>
        <w:t>Behaviour</w:t>
      </w:r>
      <w:proofErr w:type="spellEnd"/>
      <w:r w:rsidRPr="002C7C6C">
        <w:rPr>
          <w:rFonts w:ascii="Times New Roman" w:eastAsia="Calibri" w:hAnsi="Times New Roman" w:cs="Arial"/>
          <w:sz w:val="24"/>
          <w:lang w:val="en-US"/>
        </w:rPr>
        <w:t>, organisational commitment is adapted from Meyer and Allen (1997), and perceived importance is derived from training relevance and utility literature.</w:t>
      </w:r>
      <w:r>
        <w:rPr>
          <w:rFonts w:ascii="Times New Roman" w:eastAsia="Calibri" w:hAnsi="Times New Roman" w:cs="Arial"/>
          <w:sz w:val="24"/>
          <w:lang w:val="en-US"/>
        </w:rPr>
        <w:t xml:space="preserve"> </w:t>
      </w:r>
      <w:r w:rsidRPr="002C7C6C">
        <w:rPr>
          <w:rFonts w:ascii="Times New Roman" w:eastAsia="Calibri" w:hAnsi="Times New Roman" w:cs="Arial"/>
          <w:sz w:val="24"/>
          <w:lang w:val="en-US"/>
        </w:rPr>
        <w:t xml:space="preserve">All constructs will be measured using a five-point Likert scale ranging from 1 (strongly disagree) to 5 (strongly agree), which is widely used in </w:t>
      </w:r>
      <w:proofErr w:type="spellStart"/>
      <w:r w:rsidRPr="002C7C6C">
        <w:rPr>
          <w:rFonts w:ascii="Times New Roman" w:eastAsia="Calibri" w:hAnsi="Times New Roman" w:cs="Arial"/>
          <w:sz w:val="24"/>
          <w:lang w:val="en-US"/>
        </w:rPr>
        <w:t>behavioural</w:t>
      </w:r>
      <w:proofErr w:type="spellEnd"/>
      <w:r w:rsidRPr="002C7C6C">
        <w:rPr>
          <w:rFonts w:ascii="Times New Roman" w:eastAsia="Calibri" w:hAnsi="Times New Roman" w:cs="Arial"/>
          <w:sz w:val="24"/>
          <w:lang w:val="en-US"/>
        </w:rPr>
        <w:t xml:space="preserve"> research due to its reliability and suitability for statistical analysis (Dawes, 2008; </w:t>
      </w:r>
      <w:proofErr w:type="spellStart"/>
      <w:r w:rsidRPr="002C7C6C">
        <w:rPr>
          <w:rFonts w:ascii="Times New Roman" w:eastAsia="Calibri" w:hAnsi="Times New Roman" w:cs="Arial"/>
          <w:sz w:val="24"/>
          <w:lang w:val="en-US"/>
        </w:rPr>
        <w:t>Chomeya</w:t>
      </w:r>
      <w:proofErr w:type="spellEnd"/>
      <w:r w:rsidRPr="002C7C6C">
        <w:rPr>
          <w:rFonts w:ascii="Times New Roman" w:eastAsia="Calibri" w:hAnsi="Times New Roman" w:cs="Arial"/>
          <w:sz w:val="24"/>
          <w:lang w:val="en-US"/>
        </w:rPr>
        <w:t>, 2010).</w:t>
      </w:r>
      <w:r>
        <w:rPr>
          <w:rFonts w:ascii="Times New Roman" w:eastAsia="Calibri" w:hAnsi="Times New Roman" w:cs="Arial"/>
          <w:sz w:val="24"/>
          <w:lang w:val="en-US"/>
        </w:rPr>
        <w:t xml:space="preserve"> </w:t>
      </w:r>
      <w:r w:rsidRPr="002C7C6C">
        <w:rPr>
          <w:rFonts w:ascii="Times New Roman" w:eastAsia="Calibri" w:hAnsi="Times New Roman" w:cs="Arial"/>
          <w:sz w:val="24"/>
          <w:lang w:val="en-US"/>
        </w:rPr>
        <w:t>To ensure validity and reliability, content validity will be established through expert review involving TVET academics and practitioners, while construct validity is supported through the use of previously validated instruments. A pilot study will be conducted to assess internal consistency using Cronbach’s alpha, with values above 0.70 considered acceptable (Nunnally &amp; Bernstein, 1994).</w:t>
      </w:r>
    </w:p>
    <w:p w14:paraId="53068D34" w14:textId="77777777" w:rsidR="002C7C6C" w:rsidRDefault="002C7C6C" w:rsidP="002C7C6C">
      <w:pPr>
        <w:spacing w:after="0" w:line="240" w:lineRule="auto"/>
        <w:jc w:val="both"/>
        <w:rPr>
          <w:rFonts w:ascii="Times New Roman" w:eastAsia="Calibri" w:hAnsi="Times New Roman" w:cs="Arial"/>
          <w:sz w:val="24"/>
          <w:lang w:val="en-US"/>
        </w:rPr>
      </w:pPr>
    </w:p>
    <w:p w14:paraId="1484F881" w14:textId="050CB19D" w:rsidR="002C7C6C" w:rsidRPr="002C7C6C" w:rsidRDefault="002C7C6C" w:rsidP="002C7C6C">
      <w:pPr>
        <w:spacing w:after="0" w:line="240" w:lineRule="auto"/>
        <w:jc w:val="both"/>
        <w:rPr>
          <w:rFonts w:ascii="Times New Roman" w:eastAsia="Calibri" w:hAnsi="Times New Roman" w:cs="Arial"/>
          <w:sz w:val="24"/>
          <w:lang w:val="en-US"/>
        </w:rPr>
      </w:pPr>
      <w:r w:rsidRPr="002C7C6C">
        <w:rPr>
          <w:rFonts w:ascii="Times New Roman" w:eastAsia="Calibri" w:hAnsi="Times New Roman" w:cs="Arial"/>
          <w:sz w:val="24"/>
          <w:lang w:val="en-US"/>
        </w:rPr>
        <w:t xml:space="preserve">A simple random sampling technique will be employed to ensure equal probability of selection among TVET lecturers. Sample size will be determined using </w:t>
      </w:r>
      <w:proofErr w:type="spellStart"/>
      <w:r w:rsidRPr="002C7C6C">
        <w:rPr>
          <w:rFonts w:ascii="Times New Roman" w:eastAsia="Calibri" w:hAnsi="Times New Roman" w:cs="Arial"/>
          <w:sz w:val="24"/>
          <w:lang w:val="en-US"/>
        </w:rPr>
        <w:t>Krejcie</w:t>
      </w:r>
      <w:proofErr w:type="spellEnd"/>
      <w:r w:rsidRPr="002C7C6C">
        <w:rPr>
          <w:rFonts w:ascii="Times New Roman" w:eastAsia="Calibri" w:hAnsi="Times New Roman" w:cs="Arial"/>
          <w:sz w:val="24"/>
          <w:lang w:val="en-US"/>
        </w:rPr>
        <w:t xml:space="preserve"> and Morgan (1970), while a minimum threshold of over 100 respondents is considered adequate for statistical analysis, in line with recommendations by Sekaran and Bougie (2016) and Hair et al. (2019).</w:t>
      </w:r>
    </w:p>
    <w:p w14:paraId="4C3E2CB4" w14:textId="77777777" w:rsidR="002C7C6C" w:rsidRPr="002C7C6C" w:rsidRDefault="002C7C6C" w:rsidP="002C7C6C">
      <w:pPr>
        <w:spacing w:after="0" w:line="240" w:lineRule="auto"/>
        <w:jc w:val="both"/>
        <w:rPr>
          <w:rFonts w:ascii="Times New Roman" w:eastAsia="Calibri" w:hAnsi="Times New Roman" w:cs="Arial"/>
          <w:sz w:val="24"/>
          <w:lang w:val="en-US"/>
        </w:rPr>
      </w:pPr>
      <w:r w:rsidRPr="002C7C6C">
        <w:rPr>
          <w:rFonts w:ascii="Times New Roman" w:eastAsia="Calibri" w:hAnsi="Times New Roman" w:cs="Arial"/>
          <w:sz w:val="24"/>
          <w:lang w:val="en-US"/>
        </w:rPr>
        <w:t>Data analysis will be performed using SPSS software. Descriptive statistics will be used to determine the level of transfer of training. Independent sample t-tests will examine gender differences, while multiple regression analysis will assess the influence of attitude, organisational commitment, and perceived importance on transfer of training among TVET lecturers.</w:t>
      </w:r>
    </w:p>
    <w:p w14:paraId="42E45BD4" w14:textId="77777777" w:rsidR="00BE1339" w:rsidRDefault="00BE1339" w:rsidP="00CF19B6">
      <w:pPr>
        <w:spacing w:after="0" w:line="240" w:lineRule="auto"/>
        <w:jc w:val="both"/>
        <w:rPr>
          <w:rFonts w:ascii="Times New Roman" w:eastAsia="Calibri" w:hAnsi="Times New Roman" w:cs="Arial"/>
          <w:sz w:val="24"/>
          <w:lang w:val="en-GB"/>
        </w:rPr>
      </w:pPr>
    </w:p>
    <w:p w14:paraId="48D55690" w14:textId="4523085F" w:rsidR="00F27153" w:rsidRPr="00F27153" w:rsidRDefault="00F27153" w:rsidP="00F27153">
      <w:pPr>
        <w:spacing w:after="0" w:line="240" w:lineRule="auto"/>
        <w:rPr>
          <w:rFonts w:ascii="Times New Roman" w:eastAsia="Calibri" w:hAnsi="Times New Roman" w:cs="Arial"/>
          <w:b/>
          <w:sz w:val="24"/>
          <w:lang w:val="en-GB"/>
        </w:rPr>
      </w:pPr>
      <w:r>
        <w:rPr>
          <w:rFonts w:ascii="Times New Roman" w:eastAsia="Calibri" w:hAnsi="Times New Roman" w:cs="Arial"/>
          <w:b/>
          <w:sz w:val="24"/>
          <w:lang w:val="en-GB"/>
        </w:rPr>
        <w:t xml:space="preserve">Conclusion </w:t>
      </w:r>
    </w:p>
    <w:p w14:paraId="54A8D88F" w14:textId="19D63CA1" w:rsidR="003E2A11" w:rsidRPr="003E2A11" w:rsidRDefault="003E2A11" w:rsidP="003E2A11">
      <w:pPr>
        <w:spacing w:after="0" w:line="240" w:lineRule="auto"/>
        <w:jc w:val="both"/>
        <w:rPr>
          <w:rFonts w:ascii="Times New Roman" w:eastAsia="Calibri" w:hAnsi="Times New Roman" w:cs="Arial"/>
          <w:bCs/>
          <w:sz w:val="24"/>
          <w:lang w:val="en-US"/>
        </w:rPr>
      </w:pPr>
      <w:r w:rsidRPr="003E2A11">
        <w:rPr>
          <w:rFonts w:ascii="Times New Roman" w:eastAsia="Calibri" w:hAnsi="Times New Roman" w:cs="Arial"/>
          <w:bCs/>
          <w:sz w:val="24"/>
          <w:lang w:val="en-US"/>
        </w:rPr>
        <w:t xml:space="preserve">This conceptual paper highlights the importance of understanding transfer of training among TVET lecturers as a key mechanism for improving instructional quality and ensuring effective implementation of industry-relevant competencies in Malaysian higher education institutions. Despite extensive investment in professional development, the persistence of low or inconsistent training transfer underscores the need to examine both psychological and demographic determinants influencing </w:t>
      </w:r>
      <w:proofErr w:type="spellStart"/>
      <w:r w:rsidRPr="003E2A11">
        <w:rPr>
          <w:rFonts w:ascii="Times New Roman" w:eastAsia="Calibri" w:hAnsi="Times New Roman" w:cs="Arial"/>
          <w:bCs/>
          <w:sz w:val="24"/>
          <w:lang w:val="en-US"/>
        </w:rPr>
        <w:t>behavioural</w:t>
      </w:r>
      <w:proofErr w:type="spellEnd"/>
      <w:r w:rsidRPr="003E2A11">
        <w:rPr>
          <w:rFonts w:ascii="Times New Roman" w:eastAsia="Calibri" w:hAnsi="Times New Roman" w:cs="Arial"/>
          <w:bCs/>
          <w:sz w:val="24"/>
          <w:lang w:val="en-US"/>
        </w:rPr>
        <w:t xml:space="preserve"> application in the workplace.</w:t>
      </w:r>
      <w:r>
        <w:rPr>
          <w:rFonts w:ascii="Times New Roman" w:eastAsia="Calibri" w:hAnsi="Times New Roman" w:cs="Arial"/>
          <w:bCs/>
          <w:sz w:val="24"/>
          <w:lang w:val="en-US"/>
        </w:rPr>
        <w:t xml:space="preserve"> </w:t>
      </w:r>
      <w:r w:rsidRPr="003E2A11">
        <w:rPr>
          <w:rFonts w:ascii="Times New Roman" w:eastAsia="Calibri" w:hAnsi="Times New Roman" w:cs="Arial"/>
          <w:bCs/>
          <w:sz w:val="24"/>
          <w:lang w:val="en-US"/>
        </w:rPr>
        <w:t xml:space="preserve">By integrating the Theory of Planned </w:t>
      </w:r>
      <w:proofErr w:type="spellStart"/>
      <w:r w:rsidRPr="003E2A11">
        <w:rPr>
          <w:rFonts w:ascii="Times New Roman" w:eastAsia="Calibri" w:hAnsi="Times New Roman" w:cs="Arial"/>
          <w:bCs/>
          <w:sz w:val="24"/>
          <w:lang w:val="en-US"/>
        </w:rPr>
        <w:t>Behaviour</w:t>
      </w:r>
      <w:proofErr w:type="spellEnd"/>
      <w:r w:rsidRPr="003E2A11">
        <w:rPr>
          <w:rFonts w:ascii="Times New Roman" w:eastAsia="Calibri" w:hAnsi="Times New Roman" w:cs="Arial"/>
          <w:bCs/>
          <w:sz w:val="24"/>
          <w:lang w:val="en-US"/>
        </w:rPr>
        <w:t xml:space="preserve"> (TPB), this study explains how attitude, organisational commitment, and perceived importance collectively shape lecturers’ </w:t>
      </w:r>
      <w:proofErr w:type="spellStart"/>
      <w:r w:rsidRPr="003E2A11">
        <w:rPr>
          <w:rFonts w:ascii="Times New Roman" w:eastAsia="Calibri" w:hAnsi="Times New Roman" w:cs="Arial"/>
          <w:bCs/>
          <w:sz w:val="24"/>
          <w:lang w:val="en-US"/>
        </w:rPr>
        <w:t>behavioural</w:t>
      </w:r>
      <w:proofErr w:type="spellEnd"/>
      <w:r w:rsidRPr="003E2A11">
        <w:rPr>
          <w:rFonts w:ascii="Times New Roman" w:eastAsia="Calibri" w:hAnsi="Times New Roman" w:cs="Arial"/>
          <w:bCs/>
          <w:sz w:val="24"/>
          <w:lang w:val="en-US"/>
        </w:rPr>
        <w:t xml:space="preserve"> intention to apply training outcomes, which subsequently determines the extent of </w:t>
      </w:r>
      <w:r w:rsidRPr="003E2A11">
        <w:rPr>
          <w:rFonts w:ascii="Times New Roman" w:eastAsia="Calibri" w:hAnsi="Times New Roman" w:cs="Arial"/>
          <w:bCs/>
          <w:sz w:val="24"/>
          <w:lang w:val="en-US"/>
        </w:rPr>
        <w:lastRenderedPageBreak/>
        <w:t xml:space="preserve">training transfer. These constructs provide a structured explanation of how cognitive and motivational factors influence the translation of learning into practice. Furthermore, the incorporation of Gender Role Theory extends the conceptual framework by </w:t>
      </w:r>
      <w:proofErr w:type="spellStart"/>
      <w:r w:rsidRPr="003E2A11">
        <w:rPr>
          <w:rFonts w:ascii="Times New Roman" w:eastAsia="Calibri" w:hAnsi="Times New Roman" w:cs="Arial"/>
          <w:bCs/>
          <w:sz w:val="24"/>
          <w:lang w:val="en-US"/>
        </w:rPr>
        <w:t>recognising</w:t>
      </w:r>
      <w:proofErr w:type="spellEnd"/>
      <w:r w:rsidRPr="003E2A11">
        <w:rPr>
          <w:rFonts w:ascii="Times New Roman" w:eastAsia="Calibri" w:hAnsi="Times New Roman" w:cs="Arial"/>
          <w:bCs/>
          <w:sz w:val="24"/>
          <w:lang w:val="en-US"/>
        </w:rPr>
        <w:t xml:space="preserve"> that socially constructed gender expectations may influence access to opportunities, confidence, and </w:t>
      </w:r>
      <w:proofErr w:type="spellStart"/>
      <w:r w:rsidRPr="003E2A11">
        <w:rPr>
          <w:rFonts w:ascii="Times New Roman" w:eastAsia="Calibri" w:hAnsi="Times New Roman" w:cs="Arial"/>
          <w:bCs/>
          <w:sz w:val="24"/>
          <w:lang w:val="en-US"/>
        </w:rPr>
        <w:t>behavioural</w:t>
      </w:r>
      <w:proofErr w:type="spellEnd"/>
      <w:r w:rsidRPr="003E2A11">
        <w:rPr>
          <w:rFonts w:ascii="Times New Roman" w:eastAsia="Calibri" w:hAnsi="Times New Roman" w:cs="Arial"/>
          <w:bCs/>
          <w:sz w:val="24"/>
          <w:lang w:val="en-US"/>
        </w:rPr>
        <w:t xml:space="preserve"> application, particularly within male-dominated technical disciplines in TVET institutions.</w:t>
      </w:r>
      <w:r>
        <w:rPr>
          <w:rFonts w:ascii="Times New Roman" w:eastAsia="Calibri" w:hAnsi="Times New Roman" w:cs="Arial"/>
          <w:bCs/>
          <w:sz w:val="24"/>
          <w:lang w:val="en-US"/>
        </w:rPr>
        <w:t xml:space="preserve"> </w:t>
      </w:r>
      <w:r w:rsidRPr="003E2A11">
        <w:rPr>
          <w:rFonts w:ascii="Times New Roman" w:eastAsia="Calibri" w:hAnsi="Times New Roman" w:cs="Arial"/>
          <w:bCs/>
          <w:sz w:val="24"/>
          <w:lang w:val="en-US"/>
        </w:rPr>
        <w:t xml:space="preserve">Overall, this study contributes a comprehensive conceptual framework that combines individual, organisational, and socio-demographic perspectives to explain transfer of training among TVET lecturers in Malaysia. The proposed model not only addresses a significant research gap in the TVET literature but also provides practical insights for enhancing the effectiveness of professional development </w:t>
      </w:r>
      <w:proofErr w:type="spellStart"/>
      <w:r w:rsidRPr="003E2A11">
        <w:rPr>
          <w:rFonts w:ascii="Times New Roman" w:eastAsia="Calibri" w:hAnsi="Times New Roman" w:cs="Arial"/>
          <w:bCs/>
          <w:sz w:val="24"/>
          <w:lang w:val="en-US"/>
        </w:rPr>
        <w:t>programmes</w:t>
      </w:r>
      <w:proofErr w:type="spellEnd"/>
      <w:r w:rsidRPr="003E2A11">
        <w:rPr>
          <w:rFonts w:ascii="Times New Roman" w:eastAsia="Calibri" w:hAnsi="Times New Roman" w:cs="Arial"/>
          <w:bCs/>
          <w:sz w:val="24"/>
          <w:lang w:val="en-US"/>
        </w:rPr>
        <w:t xml:space="preserve">. Strengthening psychological readiness, improving institutional support, and ensuring gender-inclusive training environments are essential to </w:t>
      </w:r>
      <w:proofErr w:type="spellStart"/>
      <w:r w:rsidRPr="003E2A11">
        <w:rPr>
          <w:rFonts w:ascii="Times New Roman" w:eastAsia="Calibri" w:hAnsi="Times New Roman" w:cs="Arial"/>
          <w:bCs/>
          <w:sz w:val="24"/>
          <w:lang w:val="en-US"/>
        </w:rPr>
        <w:t>maximising</w:t>
      </w:r>
      <w:proofErr w:type="spellEnd"/>
      <w:r w:rsidRPr="003E2A11">
        <w:rPr>
          <w:rFonts w:ascii="Times New Roman" w:eastAsia="Calibri" w:hAnsi="Times New Roman" w:cs="Arial"/>
          <w:bCs/>
          <w:sz w:val="24"/>
          <w:lang w:val="en-US"/>
        </w:rPr>
        <w:t xml:space="preserve"> the impact of training investments and improving teaching and learning outcomes in the Malaysian TVET system.</w:t>
      </w:r>
    </w:p>
    <w:p w14:paraId="1678E6DF" w14:textId="77777777" w:rsidR="00227F81" w:rsidRDefault="00227F81" w:rsidP="00227F81">
      <w:pPr>
        <w:spacing w:after="0" w:line="240" w:lineRule="auto"/>
        <w:jc w:val="both"/>
        <w:rPr>
          <w:rFonts w:ascii="Times New Roman" w:eastAsia="Calibri" w:hAnsi="Times New Roman" w:cs="Arial"/>
          <w:bCs/>
          <w:sz w:val="24"/>
          <w:lang w:val="en-GB"/>
        </w:rPr>
      </w:pPr>
    </w:p>
    <w:p w14:paraId="1363B9C8" w14:textId="7BF52B79" w:rsidR="00AA3A12" w:rsidRDefault="00F60B44" w:rsidP="006C65DB">
      <w:pPr>
        <w:spacing w:after="0" w:line="240" w:lineRule="auto"/>
        <w:rPr>
          <w:rFonts w:ascii="Times New Roman" w:eastAsia="Calibri" w:hAnsi="Times New Roman" w:cs="Arial"/>
          <w:b/>
          <w:sz w:val="24"/>
          <w:lang w:val="en-GB"/>
        </w:rPr>
      </w:pPr>
      <w:r>
        <w:rPr>
          <w:rFonts w:ascii="Times New Roman" w:eastAsia="Calibri" w:hAnsi="Times New Roman" w:cs="Arial"/>
          <w:b/>
          <w:sz w:val="24"/>
          <w:lang w:val="en-GB"/>
        </w:rPr>
        <w:t>References</w:t>
      </w:r>
    </w:p>
    <w:p w14:paraId="713C6DBC"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Ajzen</w:t>
      </w:r>
      <w:proofErr w:type="spellEnd"/>
      <w:r w:rsidRPr="00154823">
        <w:rPr>
          <w:rFonts w:ascii="Times New Roman" w:eastAsia="Times New Roman" w:hAnsi="Times New Roman" w:cs="Times New Roman"/>
          <w:sz w:val="24"/>
          <w:szCs w:val="24"/>
          <w:lang w:val="en-US"/>
        </w:rPr>
        <w:t xml:space="preserve">, I. (1991). The theory of planned behavior. </w:t>
      </w:r>
      <w:r w:rsidRPr="00154823">
        <w:rPr>
          <w:rFonts w:ascii="Times New Roman" w:eastAsia="Times New Roman" w:hAnsi="Times New Roman" w:cs="Times New Roman"/>
          <w:i/>
          <w:iCs/>
          <w:sz w:val="24"/>
          <w:szCs w:val="24"/>
          <w:lang w:val="en-US"/>
        </w:rPr>
        <w:t>Organizational Behavior and Human Decision Processes, 50</w:t>
      </w:r>
      <w:r w:rsidRPr="00154823">
        <w:rPr>
          <w:rFonts w:ascii="Times New Roman" w:eastAsia="Times New Roman" w:hAnsi="Times New Roman" w:cs="Times New Roman"/>
          <w:sz w:val="24"/>
          <w:szCs w:val="24"/>
          <w:lang w:val="en-US"/>
        </w:rPr>
        <w:t xml:space="preserve">(2), 179–211. </w:t>
      </w:r>
      <w:hyperlink r:id="rId8" w:tgtFrame="_new" w:history="1">
        <w:r w:rsidRPr="00154823">
          <w:rPr>
            <w:rFonts w:ascii="Times New Roman" w:eastAsia="Times New Roman" w:hAnsi="Times New Roman" w:cs="Times New Roman"/>
            <w:color w:val="0000FF"/>
            <w:sz w:val="24"/>
            <w:szCs w:val="24"/>
            <w:u w:val="single"/>
            <w:lang w:val="en-US"/>
          </w:rPr>
          <w:t>https://doi.org/10.1016/0749-5978(91)90020-T</w:t>
        </w:r>
      </w:hyperlink>
    </w:p>
    <w:p w14:paraId="364AB2FE"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Alghamdi, A. K. H., &amp; Higgins, S. E. (2015). Learning styles and educational technology use among teachers. </w:t>
      </w:r>
      <w:r w:rsidRPr="00154823">
        <w:rPr>
          <w:rFonts w:ascii="Times New Roman" w:eastAsia="Times New Roman" w:hAnsi="Times New Roman" w:cs="Times New Roman"/>
          <w:i/>
          <w:iCs/>
          <w:sz w:val="24"/>
          <w:szCs w:val="24"/>
          <w:lang w:val="en-US"/>
        </w:rPr>
        <w:t>International Journal of Instructional Technology and Distance Learning, 12</w:t>
      </w:r>
      <w:r w:rsidRPr="00154823">
        <w:rPr>
          <w:rFonts w:ascii="Times New Roman" w:eastAsia="Times New Roman" w:hAnsi="Times New Roman" w:cs="Times New Roman"/>
          <w:sz w:val="24"/>
          <w:szCs w:val="24"/>
          <w:lang w:val="en-US"/>
        </w:rPr>
        <w:t>(3), 3–16.</w:t>
      </w:r>
    </w:p>
    <w:p w14:paraId="6AC1911D"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Alshaikh</w:t>
      </w:r>
      <w:proofErr w:type="spellEnd"/>
      <w:r w:rsidRPr="00154823">
        <w:rPr>
          <w:rFonts w:ascii="Times New Roman" w:eastAsia="Times New Roman" w:hAnsi="Times New Roman" w:cs="Times New Roman"/>
          <w:sz w:val="24"/>
          <w:szCs w:val="24"/>
          <w:lang w:val="en-US"/>
        </w:rPr>
        <w:t xml:space="preserve">, M. E., Hamid, M. R. A., &amp; Ismail, I. A. (2021). Organizational commitment and employee training transfer: Evidence from service organizations. </w:t>
      </w:r>
      <w:r w:rsidRPr="00154823">
        <w:rPr>
          <w:rFonts w:ascii="Times New Roman" w:eastAsia="Times New Roman" w:hAnsi="Times New Roman" w:cs="Times New Roman"/>
          <w:i/>
          <w:iCs/>
          <w:sz w:val="24"/>
          <w:szCs w:val="24"/>
          <w:lang w:val="en-US"/>
        </w:rPr>
        <w:t>Human Resource Development International, 24</w:t>
      </w:r>
      <w:r w:rsidRPr="00154823">
        <w:rPr>
          <w:rFonts w:ascii="Times New Roman" w:eastAsia="Times New Roman" w:hAnsi="Times New Roman" w:cs="Times New Roman"/>
          <w:sz w:val="24"/>
          <w:szCs w:val="24"/>
          <w:lang w:val="en-US"/>
        </w:rPr>
        <w:t>(5), 1–18.</w:t>
      </w:r>
    </w:p>
    <w:p w14:paraId="1EE8F362"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Baldwin, T. T., &amp; Ford, J. K. (1988). Transfer of training: A review and directions for future research. </w:t>
      </w:r>
      <w:r w:rsidRPr="00154823">
        <w:rPr>
          <w:rFonts w:ascii="Times New Roman" w:eastAsia="Times New Roman" w:hAnsi="Times New Roman" w:cs="Times New Roman"/>
          <w:i/>
          <w:iCs/>
          <w:sz w:val="24"/>
          <w:szCs w:val="24"/>
          <w:lang w:val="en-US"/>
        </w:rPr>
        <w:t>Personnel Psychology, 41</w:t>
      </w:r>
      <w:r w:rsidRPr="00154823">
        <w:rPr>
          <w:rFonts w:ascii="Times New Roman" w:eastAsia="Times New Roman" w:hAnsi="Times New Roman" w:cs="Times New Roman"/>
          <w:sz w:val="24"/>
          <w:szCs w:val="24"/>
          <w:lang w:val="en-US"/>
        </w:rPr>
        <w:t xml:space="preserve">(1), 63–105. </w:t>
      </w:r>
      <w:hyperlink r:id="rId9" w:tgtFrame="_new" w:history="1">
        <w:r w:rsidRPr="00154823">
          <w:rPr>
            <w:rFonts w:ascii="Times New Roman" w:eastAsia="Times New Roman" w:hAnsi="Times New Roman" w:cs="Times New Roman"/>
            <w:color w:val="0000FF"/>
            <w:sz w:val="24"/>
            <w:szCs w:val="24"/>
            <w:u w:val="single"/>
            <w:lang w:val="en-US"/>
          </w:rPr>
          <w:t>https://doi.org/10.1111/j.1744-6570.1988.tb00632.x</w:t>
        </w:r>
      </w:hyperlink>
    </w:p>
    <w:p w14:paraId="69CDB504"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Blume, B. D., Ford, J. K., Baldwin, T. T., &amp; Huang, J. L. (2019). Transfer of training: A meta-analytic review. </w:t>
      </w:r>
      <w:r w:rsidRPr="00154823">
        <w:rPr>
          <w:rFonts w:ascii="Times New Roman" w:eastAsia="Times New Roman" w:hAnsi="Times New Roman" w:cs="Times New Roman"/>
          <w:i/>
          <w:iCs/>
          <w:sz w:val="24"/>
          <w:szCs w:val="24"/>
          <w:lang w:val="en-US"/>
        </w:rPr>
        <w:t>Journal of Management, 45</w:t>
      </w:r>
      <w:r w:rsidRPr="00154823">
        <w:rPr>
          <w:rFonts w:ascii="Times New Roman" w:eastAsia="Times New Roman" w:hAnsi="Times New Roman" w:cs="Times New Roman"/>
          <w:sz w:val="24"/>
          <w:szCs w:val="24"/>
          <w:lang w:val="en-US"/>
        </w:rPr>
        <w:t xml:space="preserve">(4), 1245–1278. </w:t>
      </w:r>
      <w:hyperlink r:id="rId10" w:tgtFrame="_new" w:history="1">
        <w:r w:rsidRPr="00154823">
          <w:rPr>
            <w:rFonts w:ascii="Times New Roman" w:eastAsia="Times New Roman" w:hAnsi="Times New Roman" w:cs="Times New Roman"/>
            <w:color w:val="0000FF"/>
            <w:sz w:val="24"/>
            <w:szCs w:val="24"/>
            <w:u w:val="single"/>
            <w:lang w:val="en-US"/>
          </w:rPr>
          <w:t>https://doi.org/10.1177/0149206316660737</w:t>
        </w:r>
      </w:hyperlink>
    </w:p>
    <w:p w14:paraId="13A6400F"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Burke, L. A., &amp; Hutchins, H. M. (2007). Training transfer: An integrative literature review. </w:t>
      </w:r>
      <w:r w:rsidRPr="00154823">
        <w:rPr>
          <w:rFonts w:ascii="Times New Roman" w:eastAsia="Times New Roman" w:hAnsi="Times New Roman" w:cs="Times New Roman"/>
          <w:i/>
          <w:iCs/>
          <w:sz w:val="24"/>
          <w:szCs w:val="24"/>
          <w:lang w:val="en-US"/>
        </w:rPr>
        <w:t>Human Resource Development Review, 6</w:t>
      </w:r>
      <w:r w:rsidRPr="00154823">
        <w:rPr>
          <w:rFonts w:ascii="Times New Roman" w:eastAsia="Times New Roman" w:hAnsi="Times New Roman" w:cs="Times New Roman"/>
          <w:sz w:val="24"/>
          <w:szCs w:val="24"/>
          <w:lang w:val="en-US"/>
        </w:rPr>
        <w:t xml:space="preserve">(3), 263–296. </w:t>
      </w:r>
      <w:hyperlink r:id="rId11" w:tgtFrame="_new" w:history="1">
        <w:r w:rsidRPr="00154823">
          <w:rPr>
            <w:rFonts w:ascii="Times New Roman" w:eastAsia="Times New Roman" w:hAnsi="Times New Roman" w:cs="Times New Roman"/>
            <w:color w:val="0000FF"/>
            <w:sz w:val="24"/>
            <w:szCs w:val="24"/>
            <w:u w:val="single"/>
            <w:lang w:val="en-US"/>
          </w:rPr>
          <w:t>https://doi.org/10.1177/1534484307303035</w:t>
        </w:r>
      </w:hyperlink>
    </w:p>
    <w:p w14:paraId="6BF43E9D"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Cheng, E. W. L., &amp; Ho, D. C. K. (1998). The effects of attitudinal and organizational factors on transfer outcome. </w:t>
      </w:r>
      <w:r w:rsidRPr="00154823">
        <w:rPr>
          <w:rFonts w:ascii="Times New Roman" w:eastAsia="Times New Roman" w:hAnsi="Times New Roman" w:cs="Times New Roman"/>
          <w:i/>
          <w:iCs/>
          <w:sz w:val="24"/>
          <w:szCs w:val="24"/>
          <w:lang w:val="en-US"/>
        </w:rPr>
        <w:t>Journal of Managerial Psychology, 13</w:t>
      </w:r>
      <w:r w:rsidRPr="00154823">
        <w:rPr>
          <w:rFonts w:ascii="Times New Roman" w:eastAsia="Times New Roman" w:hAnsi="Times New Roman" w:cs="Times New Roman"/>
          <w:sz w:val="24"/>
          <w:szCs w:val="24"/>
          <w:lang w:val="en-US"/>
        </w:rPr>
        <w:t>(5/6), 425–441.</w:t>
      </w:r>
    </w:p>
    <w:p w14:paraId="1412EB99"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Chiaburu</w:t>
      </w:r>
      <w:proofErr w:type="spellEnd"/>
      <w:r w:rsidRPr="00154823">
        <w:rPr>
          <w:rFonts w:ascii="Times New Roman" w:eastAsia="Times New Roman" w:hAnsi="Times New Roman" w:cs="Times New Roman"/>
          <w:sz w:val="24"/>
          <w:szCs w:val="24"/>
          <w:lang w:val="en-US"/>
        </w:rPr>
        <w:t xml:space="preserve">, D. S., &amp; Lindsay, D. R. (2008). Can do or will do? The importance of training utility perceptions. </w:t>
      </w:r>
      <w:r w:rsidRPr="00154823">
        <w:rPr>
          <w:rFonts w:ascii="Times New Roman" w:eastAsia="Times New Roman" w:hAnsi="Times New Roman" w:cs="Times New Roman"/>
          <w:i/>
          <w:iCs/>
          <w:sz w:val="24"/>
          <w:szCs w:val="24"/>
          <w:lang w:val="en-US"/>
        </w:rPr>
        <w:t>Human Resource Development International, 11</w:t>
      </w:r>
      <w:r w:rsidRPr="00154823">
        <w:rPr>
          <w:rFonts w:ascii="Times New Roman" w:eastAsia="Times New Roman" w:hAnsi="Times New Roman" w:cs="Times New Roman"/>
          <w:sz w:val="24"/>
          <w:szCs w:val="24"/>
          <w:lang w:val="en-US"/>
        </w:rPr>
        <w:t xml:space="preserve">(2), 199–215. </w:t>
      </w:r>
      <w:hyperlink r:id="rId12" w:tgtFrame="_new" w:history="1">
        <w:r w:rsidRPr="00154823">
          <w:rPr>
            <w:rFonts w:ascii="Times New Roman" w:eastAsia="Times New Roman" w:hAnsi="Times New Roman" w:cs="Times New Roman"/>
            <w:color w:val="0000FF"/>
            <w:sz w:val="24"/>
            <w:szCs w:val="24"/>
            <w:u w:val="single"/>
            <w:lang w:val="en-US"/>
          </w:rPr>
          <w:t>https://doi.org/10.1080/13678860801933005</w:t>
        </w:r>
      </w:hyperlink>
    </w:p>
    <w:p w14:paraId="34E5090D"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Chiaburu</w:t>
      </w:r>
      <w:proofErr w:type="spellEnd"/>
      <w:r w:rsidRPr="00154823">
        <w:rPr>
          <w:rFonts w:ascii="Times New Roman" w:eastAsia="Times New Roman" w:hAnsi="Times New Roman" w:cs="Times New Roman"/>
          <w:sz w:val="24"/>
          <w:szCs w:val="24"/>
          <w:lang w:val="en-US"/>
        </w:rPr>
        <w:t xml:space="preserve">, D. S., &amp; </w:t>
      </w:r>
      <w:proofErr w:type="spellStart"/>
      <w:r w:rsidRPr="00154823">
        <w:rPr>
          <w:rFonts w:ascii="Times New Roman" w:eastAsia="Times New Roman" w:hAnsi="Times New Roman" w:cs="Times New Roman"/>
          <w:sz w:val="24"/>
          <w:szCs w:val="24"/>
          <w:lang w:val="en-US"/>
        </w:rPr>
        <w:t>Marinova</w:t>
      </w:r>
      <w:proofErr w:type="spellEnd"/>
      <w:r w:rsidRPr="00154823">
        <w:rPr>
          <w:rFonts w:ascii="Times New Roman" w:eastAsia="Times New Roman" w:hAnsi="Times New Roman" w:cs="Times New Roman"/>
          <w:sz w:val="24"/>
          <w:szCs w:val="24"/>
          <w:lang w:val="en-US"/>
        </w:rPr>
        <w:t xml:space="preserve">, S. V. (2005). What predicts skill transfer? An exploratory study of goal orientation, training self-efficacy and organizational supports. </w:t>
      </w:r>
      <w:r w:rsidRPr="00154823">
        <w:rPr>
          <w:rFonts w:ascii="Times New Roman" w:eastAsia="Times New Roman" w:hAnsi="Times New Roman" w:cs="Times New Roman"/>
          <w:i/>
          <w:iCs/>
          <w:sz w:val="24"/>
          <w:szCs w:val="24"/>
          <w:lang w:val="en-US"/>
        </w:rPr>
        <w:t>International Journal of Training and Development, 9</w:t>
      </w:r>
      <w:r w:rsidRPr="00154823">
        <w:rPr>
          <w:rFonts w:ascii="Times New Roman" w:eastAsia="Times New Roman" w:hAnsi="Times New Roman" w:cs="Times New Roman"/>
          <w:sz w:val="24"/>
          <w:szCs w:val="24"/>
          <w:lang w:val="en-US"/>
        </w:rPr>
        <w:t xml:space="preserve">(2), 110–123. </w:t>
      </w:r>
      <w:hyperlink r:id="rId13" w:tgtFrame="_new" w:history="1">
        <w:r w:rsidRPr="00154823">
          <w:rPr>
            <w:rFonts w:ascii="Times New Roman" w:eastAsia="Times New Roman" w:hAnsi="Times New Roman" w:cs="Times New Roman"/>
            <w:color w:val="0000FF"/>
            <w:sz w:val="24"/>
            <w:szCs w:val="24"/>
            <w:u w:val="single"/>
            <w:lang w:val="en-US"/>
          </w:rPr>
          <w:t>https://doi.org/10.1111/j.1468-2419.2005.00225.x</w:t>
        </w:r>
      </w:hyperlink>
    </w:p>
    <w:p w14:paraId="5199019A"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Chomeya</w:t>
      </w:r>
      <w:proofErr w:type="spellEnd"/>
      <w:r w:rsidRPr="00154823">
        <w:rPr>
          <w:rFonts w:ascii="Times New Roman" w:eastAsia="Times New Roman" w:hAnsi="Times New Roman" w:cs="Times New Roman"/>
          <w:sz w:val="24"/>
          <w:szCs w:val="24"/>
          <w:lang w:val="en-US"/>
        </w:rPr>
        <w:t xml:space="preserve">, R. (2010). Quality of psychology test between Likert scale 5 and 6 points. </w:t>
      </w:r>
      <w:r w:rsidRPr="00154823">
        <w:rPr>
          <w:rFonts w:ascii="Times New Roman" w:eastAsia="Times New Roman" w:hAnsi="Times New Roman" w:cs="Times New Roman"/>
          <w:i/>
          <w:iCs/>
          <w:sz w:val="24"/>
          <w:szCs w:val="24"/>
          <w:lang w:val="en-US"/>
        </w:rPr>
        <w:t>Journal of Social Sciences, 6</w:t>
      </w:r>
      <w:r w:rsidRPr="00154823">
        <w:rPr>
          <w:rFonts w:ascii="Times New Roman" w:eastAsia="Times New Roman" w:hAnsi="Times New Roman" w:cs="Times New Roman"/>
          <w:sz w:val="24"/>
          <w:szCs w:val="24"/>
          <w:lang w:val="en-US"/>
        </w:rPr>
        <w:t>(3), 399–403.</w:t>
      </w:r>
    </w:p>
    <w:p w14:paraId="75DF4E87"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Colquitt, J. A., </w:t>
      </w:r>
      <w:proofErr w:type="spellStart"/>
      <w:r w:rsidRPr="00154823">
        <w:rPr>
          <w:rFonts w:ascii="Times New Roman" w:eastAsia="Times New Roman" w:hAnsi="Times New Roman" w:cs="Times New Roman"/>
          <w:sz w:val="24"/>
          <w:szCs w:val="24"/>
          <w:lang w:val="en-US"/>
        </w:rPr>
        <w:t>LePine</w:t>
      </w:r>
      <w:proofErr w:type="spellEnd"/>
      <w:r w:rsidRPr="00154823">
        <w:rPr>
          <w:rFonts w:ascii="Times New Roman" w:eastAsia="Times New Roman" w:hAnsi="Times New Roman" w:cs="Times New Roman"/>
          <w:sz w:val="24"/>
          <w:szCs w:val="24"/>
          <w:lang w:val="en-US"/>
        </w:rPr>
        <w:t xml:space="preserve">, J. A., &amp; Noe, R. A. (2000). Toward an integrative theory of training motivation. </w:t>
      </w:r>
      <w:r w:rsidRPr="00154823">
        <w:rPr>
          <w:rFonts w:ascii="Times New Roman" w:eastAsia="Times New Roman" w:hAnsi="Times New Roman" w:cs="Times New Roman"/>
          <w:i/>
          <w:iCs/>
          <w:sz w:val="24"/>
          <w:szCs w:val="24"/>
          <w:lang w:val="en-US"/>
        </w:rPr>
        <w:t>Journal of Applied Psychology, 85</w:t>
      </w:r>
      <w:r w:rsidRPr="00154823">
        <w:rPr>
          <w:rFonts w:ascii="Times New Roman" w:eastAsia="Times New Roman" w:hAnsi="Times New Roman" w:cs="Times New Roman"/>
          <w:sz w:val="24"/>
          <w:szCs w:val="24"/>
          <w:lang w:val="en-US"/>
        </w:rPr>
        <w:t xml:space="preserve">(5), 678–707. </w:t>
      </w:r>
      <w:hyperlink r:id="rId14" w:tgtFrame="_new" w:history="1">
        <w:r w:rsidRPr="00154823">
          <w:rPr>
            <w:rFonts w:ascii="Times New Roman" w:eastAsia="Times New Roman" w:hAnsi="Times New Roman" w:cs="Times New Roman"/>
            <w:color w:val="0000FF"/>
            <w:sz w:val="24"/>
            <w:szCs w:val="24"/>
            <w:u w:val="single"/>
            <w:lang w:val="en-US"/>
          </w:rPr>
          <w:t>https://doi.org/10.1037/0021-9010.85.5.678</w:t>
        </w:r>
      </w:hyperlink>
    </w:p>
    <w:p w14:paraId="12D48C3A"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lastRenderedPageBreak/>
        <w:t xml:space="preserve">Dawes, J. (2008). Do data characteristics change according to the number of scale points used? </w:t>
      </w:r>
      <w:r w:rsidRPr="00154823">
        <w:rPr>
          <w:rFonts w:ascii="Times New Roman" w:eastAsia="Times New Roman" w:hAnsi="Times New Roman" w:cs="Times New Roman"/>
          <w:i/>
          <w:iCs/>
          <w:sz w:val="24"/>
          <w:szCs w:val="24"/>
          <w:lang w:val="en-US"/>
        </w:rPr>
        <w:t>International Journal of Market Research, 50</w:t>
      </w:r>
      <w:r w:rsidRPr="00154823">
        <w:rPr>
          <w:rFonts w:ascii="Times New Roman" w:eastAsia="Times New Roman" w:hAnsi="Times New Roman" w:cs="Times New Roman"/>
          <w:sz w:val="24"/>
          <w:szCs w:val="24"/>
          <w:lang w:val="en-US"/>
        </w:rPr>
        <w:t xml:space="preserve">(1), 61–77. </w:t>
      </w:r>
      <w:hyperlink r:id="rId15" w:tgtFrame="_new" w:history="1">
        <w:r w:rsidRPr="00154823">
          <w:rPr>
            <w:rFonts w:ascii="Times New Roman" w:eastAsia="Times New Roman" w:hAnsi="Times New Roman" w:cs="Times New Roman"/>
            <w:color w:val="0000FF"/>
            <w:sz w:val="24"/>
            <w:szCs w:val="24"/>
            <w:u w:val="single"/>
            <w:lang w:val="en-US"/>
          </w:rPr>
          <w:t>https://doi.org/10.1177/147078530805000106</w:t>
        </w:r>
      </w:hyperlink>
    </w:p>
    <w:p w14:paraId="7F145838"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Department of Statistics Malaysia. (2024). </w:t>
      </w:r>
      <w:r w:rsidRPr="00154823">
        <w:rPr>
          <w:rFonts w:ascii="Times New Roman" w:eastAsia="Times New Roman" w:hAnsi="Times New Roman" w:cs="Times New Roman"/>
          <w:i/>
          <w:iCs/>
          <w:sz w:val="24"/>
          <w:szCs w:val="24"/>
          <w:lang w:val="en-US"/>
        </w:rPr>
        <w:t>Malaysia education statistics report 2024</w:t>
      </w:r>
      <w:r w:rsidRPr="00154823">
        <w:rPr>
          <w:rFonts w:ascii="Times New Roman" w:eastAsia="Times New Roman" w:hAnsi="Times New Roman" w:cs="Times New Roman"/>
          <w:sz w:val="24"/>
          <w:szCs w:val="24"/>
          <w:lang w:val="en-US"/>
        </w:rPr>
        <w:t>. Putrajaya: DOSM.</w:t>
      </w:r>
    </w:p>
    <w:p w14:paraId="4A8963AA"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Gegenfurtner</w:t>
      </w:r>
      <w:proofErr w:type="spellEnd"/>
      <w:r w:rsidRPr="00154823">
        <w:rPr>
          <w:rFonts w:ascii="Times New Roman" w:eastAsia="Times New Roman" w:hAnsi="Times New Roman" w:cs="Times New Roman"/>
          <w:sz w:val="24"/>
          <w:szCs w:val="24"/>
          <w:lang w:val="en-US"/>
        </w:rPr>
        <w:t xml:space="preserve">, A. (2020). Dimensions of transfer of training: A meta-analysis. </w:t>
      </w:r>
      <w:r w:rsidRPr="00154823">
        <w:rPr>
          <w:rFonts w:ascii="Times New Roman" w:eastAsia="Times New Roman" w:hAnsi="Times New Roman" w:cs="Times New Roman"/>
          <w:i/>
          <w:iCs/>
          <w:sz w:val="24"/>
          <w:szCs w:val="24"/>
          <w:lang w:val="en-US"/>
        </w:rPr>
        <w:t>Educational Research Review, 30</w:t>
      </w:r>
      <w:r w:rsidRPr="00154823">
        <w:rPr>
          <w:rFonts w:ascii="Times New Roman" w:eastAsia="Times New Roman" w:hAnsi="Times New Roman" w:cs="Times New Roman"/>
          <w:sz w:val="24"/>
          <w:szCs w:val="24"/>
          <w:lang w:val="en-US"/>
        </w:rPr>
        <w:t xml:space="preserve">, 100323. </w:t>
      </w:r>
      <w:hyperlink r:id="rId16" w:tgtFrame="_new" w:history="1">
        <w:r w:rsidRPr="00154823">
          <w:rPr>
            <w:rFonts w:ascii="Times New Roman" w:eastAsia="Times New Roman" w:hAnsi="Times New Roman" w:cs="Times New Roman"/>
            <w:color w:val="0000FF"/>
            <w:sz w:val="24"/>
            <w:szCs w:val="24"/>
            <w:u w:val="single"/>
            <w:lang w:val="en-US"/>
          </w:rPr>
          <w:t>https://doi.org/10.1016/j.edurev.2020.100323</w:t>
        </w:r>
      </w:hyperlink>
    </w:p>
    <w:p w14:paraId="13C14C6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Grossman, R., &amp; Salas, E. (2011). The transfer of training: What really matters. </w:t>
      </w:r>
      <w:r w:rsidRPr="00154823">
        <w:rPr>
          <w:rFonts w:ascii="Times New Roman" w:eastAsia="Times New Roman" w:hAnsi="Times New Roman" w:cs="Times New Roman"/>
          <w:i/>
          <w:iCs/>
          <w:sz w:val="24"/>
          <w:szCs w:val="24"/>
          <w:lang w:val="en-US"/>
        </w:rPr>
        <w:t>International Journal of Training and Development, 15</w:t>
      </w:r>
      <w:r w:rsidRPr="00154823">
        <w:rPr>
          <w:rFonts w:ascii="Times New Roman" w:eastAsia="Times New Roman" w:hAnsi="Times New Roman" w:cs="Times New Roman"/>
          <w:sz w:val="24"/>
          <w:szCs w:val="24"/>
          <w:lang w:val="en-US"/>
        </w:rPr>
        <w:t xml:space="preserve">(2), 103–120. </w:t>
      </w:r>
      <w:hyperlink r:id="rId17" w:tgtFrame="_new" w:history="1">
        <w:r w:rsidRPr="00154823">
          <w:rPr>
            <w:rFonts w:ascii="Times New Roman" w:eastAsia="Times New Roman" w:hAnsi="Times New Roman" w:cs="Times New Roman"/>
            <w:color w:val="0000FF"/>
            <w:sz w:val="24"/>
            <w:szCs w:val="24"/>
            <w:u w:val="single"/>
            <w:lang w:val="en-US"/>
          </w:rPr>
          <w:t>https://doi.org/10.1111/j.1468-2419.2011.00373.x</w:t>
        </w:r>
      </w:hyperlink>
    </w:p>
    <w:p w14:paraId="799C9E2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Hair, J. F., Black, W. C., </w:t>
      </w:r>
      <w:proofErr w:type="spellStart"/>
      <w:r w:rsidRPr="00154823">
        <w:rPr>
          <w:rFonts w:ascii="Times New Roman" w:eastAsia="Times New Roman" w:hAnsi="Times New Roman" w:cs="Times New Roman"/>
          <w:sz w:val="24"/>
          <w:szCs w:val="24"/>
          <w:lang w:val="en-US"/>
        </w:rPr>
        <w:t>Babin</w:t>
      </w:r>
      <w:proofErr w:type="spellEnd"/>
      <w:r w:rsidRPr="00154823">
        <w:rPr>
          <w:rFonts w:ascii="Times New Roman" w:eastAsia="Times New Roman" w:hAnsi="Times New Roman" w:cs="Times New Roman"/>
          <w:sz w:val="24"/>
          <w:szCs w:val="24"/>
          <w:lang w:val="en-US"/>
        </w:rPr>
        <w:t xml:space="preserve">, B. J., &amp; Anderson, R. E. (2019). </w:t>
      </w:r>
      <w:r w:rsidRPr="00154823">
        <w:rPr>
          <w:rFonts w:ascii="Times New Roman" w:eastAsia="Times New Roman" w:hAnsi="Times New Roman" w:cs="Times New Roman"/>
          <w:i/>
          <w:iCs/>
          <w:sz w:val="24"/>
          <w:szCs w:val="24"/>
          <w:lang w:val="en-US"/>
        </w:rPr>
        <w:t>Multivariate data analysis</w:t>
      </w:r>
      <w:r w:rsidRPr="00154823">
        <w:rPr>
          <w:rFonts w:ascii="Times New Roman" w:eastAsia="Times New Roman" w:hAnsi="Times New Roman" w:cs="Times New Roman"/>
          <w:sz w:val="24"/>
          <w:szCs w:val="24"/>
          <w:lang w:val="en-US"/>
        </w:rPr>
        <w:t xml:space="preserve"> (8th ed.). Cengage Learning.</w:t>
      </w:r>
    </w:p>
    <w:p w14:paraId="086C0162"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Holton, E. F., Bates, R. A., &amp; </w:t>
      </w:r>
      <w:proofErr w:type="spellStart"/>
      <w:r w:rsidRPr="00154823">
        <w:rPr>
          <w:rFonts w:ascii="Times New Roman" w:eastAsia="Times New Roman" w:hAnsi="Times New Roman" w:cs="Times New Roman"/>
          <w:sz w:val="24"/>
          <w:szCs w:val="24"/>
          <w:lang w:val="en-US"/>
        </w:rPr>
        <w:t>Ruona</w:t>
      </w:r>
      <w:proofErr w:type="spellEnd"/>
      <w:r w:rsidRPr="00154823">
        <w:rPr>
          <w:rFonts w:ascii="Times New Roman" w:eastAsia="Times New Roman" w:hAnsi="Times New Roman" w:cs="Times New Roman"/>
          <w:sz w:val="24"/>
          <w:szCs w:val="24"/>
          <w:lang w:val="en-US"/>
        </w:rPr>
        <w:t xml:space="preserve">, W. E. A. (2000). Development of a generalized learning transfer system inventory. </w:t>
      </w:r>
      <w:r w:rsidRPr="00154823">
        <w:rPr>
          <w:rFonts w:ascii="Times New Roman" w:eastAsia="Times New Roman" w:hAnsi="Times New Roman" w:cs="Times New Roman"/>
          <w:i/>
          <w:iCs/>
          <w:sz w:val="24"/>
          <w:szCs w:val="24"/>
          <w:lang w:val="en-US"/>
        </w:rPr>
        <w:t>Human Resource Development Quarterly, 11</w:t>
      </w:r>
      <w:r w:rsidRPr="00154823">
        <w:rPr>
          <w:rFonts w:ascii="Times New Roman" w:eastAsia="Times New Roman" w:hAnsi="Times New Roman" w:cs="Times New Roman"/>
          <w:sz w:val="24"/>
          <w:szCs w:val="24"/>
          <w:lang w:val="en-US"/>
        </w:rPr>
        <w:t>(4), 333–360. https://doi.org/10.1002/1532-1096(200024)11:4&lt;</w:t>
      </w:r>
      <w:proofErr w:type="gramStart"/>
      <w:r w:rsidRPr="00154823">
        <w:rPr>
          <w:rFonts w:ascii="Times New Roman" w:eastAsia="Times New Roman" w:hAnsi="Times New Roman" w:cs="Times New Roman"/>
          <w:sz w:val="24"/>
          <w:szCs w:val="24"/>
          <w:lang w:val="en-US"/>
        </w:rPr>
        <w:t>333::</w:t>
      </w:r>
      <w:proofErr w:type="gramEnd"/>
      <w:r w:rsidRPr="00154823">
        <w:rPr>
          <w:rFonts w:ascii="Times New Roman" w:eastAsia="Times New Roman" w:hAnsi="Times New Roman" w:cs="Times New Roman"/>
          <w:sz w:val="24"/>
          <w:szCs w:val="24"/>
          <w:lang w:val="en-US"/>
        </w:rPr>
        <w:t>AID-HRDQ2&gt;3.0.CO;2-P</w:t>
      </w:r>
    </w:p>
    <w:p w14:paraId="327DBD88"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Hughey, A. W., &amp; </w:t>
      </w:r>
      <w:proofErr w:type="spellStart"/>
      <w:r w:rsidRPr="00154823">
        <w:rPr>
          <w:rFonts w:ascii="Times New Roman" w:eastAsia="Times New Roman" w:hAnsi="Times New Roman" w:cs="Times New Roman"/>
          <w:sz w:val="24"/>
          <w:szCs w:val="24"/>
          <w:lang w:val="en-US"/>
        </w:rPr>
        <w:t>Mussnug</w:t>
      </w:r>
      <w:proofErr w:type="spellEnd"/>
      <w:r w:rsidRPr="00154823">
        <w:rPr>
          <w:rFonts w:ascii="Times New Roman" w:eastAsia="Times New Roman" w:hAnsi="Times New Roman" w:cs="Times New Roman"/>
          <w:sz w:val="24"/>
          <w:szCs w:val="24"/>
          <w:lang w:val="en-US"/>
        </w:rPr>
        <w:t xml:space="preserve">, K. J. (1997). Designing effective employee training </w:t>
      </w:r>
      <w:proofErr w:type="spellStart"/>
      <w:r w:rsidRPr="00154823">
        <w:rPr>
          <w:rFonts w:ascii="Times New Roman" w:eastAsia="Times New Roman" w:hAnsi="Times New Roman" w:cs="Times New Roman"/>
          <w:sz w:val="24"/>
          <w:szCs w:val="24"/>
          <w:lang w:val="en-US"/>
        </w:rPr>
        <w:t>programmes</w:t>
      </w:r>
      <w:proofErr w:type="spellEnd"/>
      <w:r w:rsidRPr="00154823">
        <w:rPr>
          <w:rFonts w:ascii="Times New Roman" w:eastAsia="Times New Roman" w:hAnsi="Times New Roman" w:cs="Times New Roman"/>
          <w:sz w:val="24"/>
          <w:szCs w:val="24"/>
          <w:lang w:val="en-US"/>
        </w:rPr>
        <w:t xml:space="preserve">. </w:t>
      </w:r>
      <w:r w:rsidRPr="00154823">
        <w:rPr>
          <w:rFonts w:ascii="Times New Roman" w:eastAsia="Times New Roman" w:hAnsi="Times New Roman" w:cs="Times New Roman"/>
          <w:i/>
          <w:iCs/>
          <w:sz w:val="24"/>
          <w:szCs w:val="24"/>
          <w:lang w:val="en-US"/>
        </w:rPr>
        <w:t>Training for Quality, 5</w:t>
      </w:r>
      <w:r w:rsidRPr="00154823">
        <w:rPr>
          <w:rFonts w:ascii="Times New Roman" w:eastAsia="Times New Roman" w:hAnsi="Times New Roman" w:cs="Times New Roman"/>
          <w:sz w:val="24"/>
          <w:szCs w:val="24"/>
          <w:lang w:val="en-US"/>
        </w:rPr>
        <w:t>(2), 52–57.</w:t>
      </w:r>
    </w:p>
    <w:p w14:paraId="1CDCD55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Krejcie</w:t>
      </w:r>
      <w:proofErr w:type="spellEnd"/>
      <w:r w:rsidRPr="00154823">
        <w:rPr>
          <w:rFonts w:ascii="Times New Roman" w:eastAsia="Times New Roman" w:hAnsi="Times New Roman" w:cs="Times New Roman"/>
          <w:sz w:val="24"/>
          <w:szCs w:val="24"/>
          <w:lang w:val="en-US"/>
        </w:rPr>
        <w:t xml:space="preserve">, R. V., &amp; Morgan, D. W. (1970). Determining sample size for research activities. </w:t>
      </w:r>
      <w:r w:rsidRPr="00154823">
        <w:rPr>
          <w:rFonts w:ascii="Times New Roman" w:eastAsia="Times New Roman" w:hAnsi="Times New Roman" w:cs="Times New Roman"/>
          <w:i/>
          <w:iCs/>
          <w:sz w:val="24"/>
          <w:szCs w:val="24"/>
          <w:lang w:val="en-US"/>
        </w:rPr>
        <w:t>Educational and Psychological Measurement, 30</w:t>
      </w:r>
      <w:r w:rsidRPr="00154823">
        <w:rPr>
          <w:rFonts w:ascii="Times New Roman" w:eastAsia="Times New Roman" w:hAnsi="Times New Roman" w:cs="Times New Roman"/>
          <w:sz w:val="24"/>
          <w:szCs w:val="24"/>
          <w:lang w:val="en-US"/>
        </w:rPr>
        <w:t xml:space="preserve">(3), 607–610. </w:t>
      </w:r>
      <w:hyperlink r:id="rId18" w:tgtFrame="_new" w:history="1">
        <w:r w:rsidRPr="00154823">
          <w:rPr>
            <w:rFonts w:ascii="Times New Roman" w:eastAsia="Times New Roman" w:hAnsi="Times New Roman" w:cs="Times New Roman"/>
            <w:color w:val="0000FF"/>
            <w:sz w:val="24"/>
            <w:szCs w:val="24"/>
            <w:u w:val="single"/>
            <w:lang w:val="en-US"/>
          </w:rPr>
          <w:t>https://doi.org/10.1177/001316447003000308</w:t>
        </w:r>
      </w:hyperlink>
    </w:p>
    <w:p w14:paraId="5EF1104B"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Mansor</w:t>
      </w:r>
      <w:proofErr w:type="spellEnd"/>
      <w:r w:rsidRPr="00154823">
        <w:rPr>
          <w:rFonts w:ascii="Times New Roman" w:eastAsia="Times New Roman" w:hAnsi="Times New Roman" w:cs="Times New Roman"/>
          <w:sz w:val="24"/>
          <w:szCs w:val="24"/>
          <w:lang w:val="en-US"/>
        </w:rPr>
        <w:t xml:space="preserve">, N., et al. (2025). TVET lecturers’ readiness toward Industrial Revolution 4.0 integration in teaching and learning. </w:t>
      </w:r>
      <w:r w:rsidRPr="00154823">
        <w:rPr>
          <w:rFonts w:ascii="Times New Roman" w:eastAsia="Times New Roman" w:hAnsi="Times New Roman" w:cs="Times New Roman"/>
          <w:i/>
          <w:iCs/>
          <w:sz w:val="24"/>
          <w:szCs w:val="24"/>
          <w:lang w:val="en-US"/>
        </w:rPr>
        <w:t>Journal of Technical Education and Training</w:t>
      </w:r>
      <w:r w:rsidRPr="00154823">
        <w:rPr>
          <w:rFonts w:ascii="Times New Roman" w:eastAsia="Times New Roman" w:hAnsi="Times New Roman" w:cs="Times New Roman"/>
          <w:sz w:val="24"/>
          <w:szCs w:val="24"/>
          <w:lang w:val="en-US"/>
        </w:rPr>
        <w:t>.</w:t>
      </w:r>
    </w:p>
    <w:p w14:paraId="610AF518"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Meyer, J. P., &amp; Allen, N. J. (1997). </w:t>
      </w:r>
      <w:r w:rsidRPr="00154823">
        <w:rPr>
          <w:rFonts w:ascii="Times New Roman" w:eastAsia="Times New Roman" w:hAnsi="Times New Roman" w:cs="Times New Roman"/>
          <w:i/>
          <w:iCs/>
          <w:sz w:val="24"/>
          <w:szCs w:val="24"/>
          <w:lang w:val="en-US"/>
        </w:rPr>
        <w:t>Commitment in the workplace: Theory, research, and application</w:t>
      </w:r>
      <w:r w:rsidRPr="00154823">
        <w:rPr>
          <w:rFonts w:ascii="Times New Roman" w:eastAsia="Times New Roman" w:hAnsi="Times New Roman" w:cs="Times New Roman"/>
          <w:sz w:val="24"/>
          <w:szCs w:val="24"/>
          <w:lang w:val="en-US"/>
        </w:rPr>
        <w:t>. Sage Publications.</w:t>
      </w:r>
    </w:p>
    <w:p w14:paraId="7C69907A"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Ministry of Higher Education Malaysia. (2023). </w:t>
      </w:r>
      <w:r w:rsidRPr="00154823">
        <w:rPr>
          <w:rFonts w:ascii="Times New Roman" w:eastAsia="Times New Roman" w:hAnsi="Times New Roman" w:cs="Times New Roman"/>
          <w:i/>
          <w:iCs/>
          <w:sz w:val="24"/>
          <w:szCs w:val="24"/>
          <w:lang w:val="en-US"/>
        </w:rPr>
        <w:t>Graduate employability report 2023</w:t>
      </w:r>
      <w:r w:rsidRPr="00154823">
        <w:rPr>
          <w:rFonts w:ascii="Times New Roman" w:eastAsia="Times New Roman" w:hAnsi="Times New Roman" w:cs="Times New Roman"/>
          <w:sz w:val="24"/>
          <w:szCs w:val="24"/>
          <w:lang w:val="en-US"/>
        </w:rPr>
        <w:t>. Putrajaya: MOHE Malaysia.</w:t>
      </w:r>
    </w:p>
    <w:p w14:paraId="78D894B3"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Noe, R. A. (1986). Trainees’ attributes and attitudes: Neglected influences on training effectiveness. </w:t>
      </w:r>
      <w:r w:rsidRPr="00154823">
        <w:rPr>
          <w:rFonts w:ascii="Times New Roman" w:eastAsia="Times New Roman" w:hAnsi="Times New Roman" w:cs="Times New Roman"/>
          <w:i/>
          <w:iCs/>
          <w:sz w:val="24"/>
          <w:szCs w:val="24"/>
          <w:lang w:val="en-US"/>
        </w:rPr>
        <w:t>Academy of Management Review, 11</w:t>
      </w:r>
      <w:r w:rsidRPr="00154823">
        <w:rPr>
          <w:rFonts w:ascii="Times New Roman" w:eastAsia="Times New Roman" w:hAnsi="Times New Roman" w:cs="Times New Roman"/>
          <w:sz w:val="24"/>
          <w:szCs w:val="24"/>
          <w:lang w:val="en-US"/>
        </w:rPr>
        <w:t xml:space="preserve">(4), 736–749. </w:t>
      </w:r>
      <w:hyperlink r:id="rId19" w:tgtFrame="_new" w:history="1">
        <w:r w:rsidRPr="00154823">
          <w:rPr>
            <w:rFonts w:ascii="Times New Roman" w:eastAsia="Times New Roman" w:hAnsi="Times New Roman" w:cs="Times New Roman"/>
            <w:color w:val="0000FF"/>
            <w:sz w:val="24"/>
            <w:szCs w:val="24"/>
            <w:u w:val="single"/>
            <w:lang w:val="en-US"/>
          </w:rPr>
          <w:t>https://doi.org/10.5465/amr.1986.4283922</w:t>
        </w:r>
      </w:hyperlink>
    </w:p>
    <w:p w14:paraId="27CD84F3"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Noe, R. A. (2017). </w:t>
      </w:r>
      <w:r w:rsidRPr="00154823">
        <w:rPr>
          <w:rFonts w:ascii="Times New Roman" w:eastAsia="Times New Roman" w:hAnsi="Times New Roman" w:cs="Times New Roman"/>
          <w:i/>
          <w:iCs/>
          <w:sz w:val="24"/>
          <w:szCs w:val="24"/>
          <w:lang w:val="en-US"/>
        </w:rPr>
        <w:t>Employee training and development</w:t>
      </w:r>
      <w:r w:rsidRPr="00154823">
        <w:rPr>
          <w:rFonts w:ascii="Times New Roman" w:eastAsia="Times New Roman" w:hAnsi="Times New Roman" w:cs="Times New Roman"/>
          <w:sz w:val="24"/>
          <w:szCs w:val="24"/>
          <w:lang w:val="en-US"/>
        </w:rPr>
        <w:t xml:space="preserve"> (7th ed.). McGraw-Hill Education.</w:t>
      </w:r>
    </w:p>
    <w:p w14:paraId="127223BD"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Noor, M. A., Rahman, F. A., &amp; Ismail, R. (2022). Training transfer among TVET lecturers in Malaysia. </w:t>
      </w:r>
      <w:r w:rsidRPr="00154823">
        <w:rPr>
          <w:rFonts w:ascii="Times New Roman" w:eastAsia="Times New Roman" w:hAnsi="Times New Roman" w:cs="Times New Roman"/>
          <w:i/>
          <w:iCs/>
          <w:sz w:val="24"/>
          <w:szCs w:val="24"/>
          <w:lang w:val="en-US"/>
        </w:rPr>
        <w:t>Journal of Technical Education and Training, 14</w:t>
      </w:r>
      <w:r w:rsidRPr="00154823">
        <w:rPr>
          <w:rFonts w:ascii="Times New Roman" w:eastAsia="Times New Roman" w:hAnsi="Times New Roman" w:cs="Times New Roman"/>
          <w:sz w:val="24"/>
          <w:szCs w:val="24"/>
          <w:lang w:val="en-US"/>
        </w:rPr>
        <w:t>(3), 1–12.</w:t>
      </w:r>
    </w:p>
    <w:p w14:paraId="3FD1CBBF"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OECD. (2023). </w:t>
      </w:r>
      <w:r w:rsidRPr="00154823">
        <w:rPr>
          <w:rFonts w:ascii="Times New Roman" w:eastAsia="Times New Roman" w:hAnsi="Times New Roman" w:cs="Times New Roman"/>
          <w:i/>
          <w:iCs/>
          <w:sz w:val="24"/>
          <w:szCs w:val="24"/>
          <w:lang w:val="en-US"/>
        </w:rPr>
        <w:t>Skills outlook 2023: Skills for a resilient green and digital transition</w:t>
      </w:r>
      <w:r w:rsidRPr="00154823">
        <w:rPr>
          <w:rFonts w:ascii="Times New Roman" w:eastAsia="Times New Roman" w:hAnsi="Times New Roman" w:cs="Times New Roman"/>
          <w:sz w:val="24"/>
          <w:szCs w:val="24"/>
          <w:lang w:val="en-US"/>
        </w:rPr>
        <w:t xml:space="preserve">. OECD Publishing. </w:t>
      </w:r>
      <w:hyperlink r:id="rId20" w:tgtFrame="_new" w:history="1">
        <w:r w:rsidRPr="00154823">
          <w:rPr>
            <w:rFonts w:ascii="Times New Roman" w:eastAsia="Times New Roman" w:hAnsi="Times New Roman" w:cs="Times New Roman"/>
            <w:color w:val="0000FF"/>
            <w:sz w:val="24"/>
            <w:szCs w:val="24"/>
            <w:u w:val="single"/>
            <w:lang w:val="en-US"/>
          </w:rPr>
          <w:t>https://doi.org/10.1787/5a46d518-en</w:t>
        </w:r>
      </w:hyperlink>
    </w:p>
    <w:p w14:paraId="6E82402A"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Rahman, N. A., &amp; Ismail, S. (2024). Professional development and training transfer among Malaysian TVET educators. </w:t>
      </w:r>
      <w:r w:rsidRPr="00154823">
        <w:rPr>
          <w:rFonts w:ascii="Times New Roman" w:eastAsia="Times New Roman" w:hAnsi="Times New Roman" w:cs="Times New Roman"/>
          <w:i/>
          <w:iCs/>
          <w:sz w:val="24"/>
          <w:szCs w:val="24"/>
          <w:lang w:val="en-US"/>
        </w:rPr>
        <w:t>Journal of Technical Education and Training, 16</w:t>
      </w:r>
      <w:r w:rsidRPr="00154823">
        <w:rPr>
          <w:rFonts w:ascii="Times New Roman" w:eastAsia="Times New Roman" w:hAnsi="Times New Roman" w:cs="Times New Roman"/>
          <w:sz w:val="24"/>
          <w:szCs w:val="24"/>
          <w:lang w:val="en-US"/>
        </w:rPr>
        <w:t>(1), 1–12.</w:t>
      </w:r>
    </w:p>
    <w:p w14:paraId="15E48D09"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Ridzuan</w:t>
      </w:r>
      <w:proofErr w:type="spellEnd"/>
      <w:r w:rsidRPr="00154823">
        <w:rPr>
          <w:rFonts w:ascii="Times New Roman" w:eastAsia="Times New Roman" w:hAnsi="Times New Roman" w:cs="Times New Roman"/>
          <w:sz w:val="24"/>
          <w:szCs w:val="24"/>
          <w:lang w:val="en-US"/>
        </w:rPr>
        <w:t xml:space="preserve">, N. A. (2020). Technology integration challenges among Malaysian TVET educators. </w:t>
      </w:r>
      <w:r w:rsidRPr="00154823">
        <w:rPr>
          <w:rFonts w:ascii="Times New Roman" w:eastAsia="Times New Roman" w:hAnsi="Times New Roman" w:cs="Times New Roman"/>
          <w:i/>
          <w:iCs/>
          <w:sz w:val="24"/>
          <w:szCs w:val="24"/>
          <w:lang w:val="en-US"/>
        </w:rPr>
        <w:t>Malaysian Journal of Education Technology, 20</w:t>
      </w:r>
      <w:r w:rsidRPr="00154823">
        <w:rPr>
          <w:rFonts w:ascii="Times New Roman" w:eastAsia="Times New Roman" w:hAnsi="Times New Roman" w:cs="Times New Roman"/>
          <w:sz w:val="24"/>
          <w:szCs w:val="24"/>
          <w:lang w:val="en-US"/>
        </w:rPr>
        <w:t>(2), 45–58.</w:t>
      </w:r>
    </w:p>
    <w:p w14:paraId="7C035CD2"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Saks, A. M., &amp; Belcourt, M. (2006). An investigation of training activities and transfer of training in organizations. </w:t>
      </w:r>
      <w:r w:rsidRPr="00154823">
        <w:rPr>
          <w:rFonts w:ascii="Times New Roman" w:eastAsia="Times New Roman" w:hAnsi="Times New Roman" w:cs="Times New Roman"/>
          <w:i/>
          <w:iCs/>
          <w:sz w:val="24"/>
          <w:szCs w:val="24"/>
          <w:lang w:val="en-US"/>
        </w:rPr>
        <w:t>Human Resource Management, 45</w:t>
      </w:r>
      <w:r w:rsidRPr="00154823">
        <w:rPr>
          <w:rFonts w:ascii="Times New Roman" w:eastAsia="Times New Roman" w:hAnsi="Times New Roman" w:cs="Times New Roman"/>
          <w:sz w:val="24"/>
          <w:szCs w:val="24"/>
          <w:lang w:val="en-US"/>
        </w:rPr>
        <w:t xml:space="preserve">(4), 629–648. </w:t>
      </w:r>
      <w:hyperlink r:id="rId21" w:tgtFrame="_new" w:history="1">
        <w:r w:rsidRPr="00154823">
          <w:rPr>
            <w:rFonts w:ascii="Times New Roman" w:eastAsia="Times New Roman" w:hAnsi="Times New Roman" w:cs="Times New Roman"/>
            <w:color w:val="0000FF"/>
            <w:sz w:val="24"/>
            <w:szCs w:val="24"/>
            <w:u w:val="single"/>
            <w:lang w:val="en-US"/>
          </w:rPr>
          <w:t>https://doi.org/10.1002/hrm.20135</w:t>
        </w:r>
      </w:hyperlink>
    </w:p>
    <w:p w14:paraId="280CDA3A"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lastRenderedPageBreak/>
        <w:t xml:space="preserve">Salas, E., Tannenbaum, S. I., </w:t>
      </w:r>
      <w:proofErr w:type="spellStart"/>
      <w:r w:rsidRPr="00154823">
        <w:rPr>
          <w:rFonts w:ascii="Times New Roman" w:eastAsia="Times New Roman" w:hAnsi="Times New Roman" w:cs="Times New Roman"/>
          <w:sz w:val="24"/>
          <w:szCs w:val="24"/>
          <w:lang w:val="en-US"/>
        </w:rPr>
        <w:t>Kraiger</w:t>
      </w:r>
      <w:proofErr w:type="spellEnd"/>
      <w:r w:rsidRPr="00154823">
        <w:rPr>
          <w:rFonts w:ascii="Times New Roman" w:eastAsia="Times New Roman" w:hAnsi="Times New Roman" w:cs="Times New Roman"/>
          <w:sz w:val="24"/>
          <w:szCs w:val="24"/>
          <w:lang w:val="en-US"/>
        </w:rPr>
        <w:t xml:space="preserve">, K., &amp; Smith-Jentsch, K. A. (2012). The science of training and development in organizations. </w:t>
      </w:r>
      <w:r w:rsidRPr="00154823">
        <w:rPr>
          <w:rFonts w:ascii="Times New Roman" w:eastAsia="Times New Roman" w:hAnsi="Times New Roman" w:cs="Times New Roman"/>
          <w:i/>
          <w:iCs/>
          <w:sz w:val="24"/>
          <w:szCs w:val="24"/>
          <w:lang w:val="en-US"/>
        </w:rPr>
        <w:t>Psychological Science in the Public Interest, 13</w:t>
      </w:r>
      <w:r w:rsidRPr="00154823">
        <w:rPr>
          <w:rFonts w:ascii="Times New Roman" w:eastAsia="Times New Roman" w:hAnsi="Times New Roman" w:cs="Times New Roman"/>
          <w:sz w:val="24"/>
          <w:szCs w:val="24"/>
          <w:lang w:val="en-US"/>
        </w:rPr>
        <w:t xml:space="preserve">(2), 74–101. </w:t>
      </w:r>
      <w:hyperlink r:id="rId22" w:tgtFrame="_new" w:history="1">
        <w:r w:rsidRPr="00154823">
          <w:rPr>
            <w:rFonts w:ascii="Times New Roman" w:eastAsia="Times New Roman" w:hAnsi="Times New Roman" w:cs="Times New Roman"/>
            <w:color w:val="0000FF"/>
            <w:sz w:val="24"/>
            <w:szCs w:val="24"/>
            <w:u w:val="single"/>
            <w:lang w:val="en-US"/>
          </w:rPr>
          <w:t>https://doi.org/10.1177/1529100612436661</w:t>
        </w:r>
      </w:hyperlink>
    </w:p>
    <w:p w14:paraId="101CB951"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Salleh, N. S. N. M., Amin, W. A. A. W. M., &amp; </w:t>
      </w:r>
      <w:proofErr w:type="spellStart"/>
      <w:r w:rsidRPr="00154823">
        <w:rPr>
          <w:rFonts w:ascii="Times New Roman" w:eastAsia="Times New Roman" w:hAnsi="Times New Roman" w:cs="Times New Roman"/>
          <w:sz w:val="24"/>
          <w:szCs w:val="24"/>
          <w:lang w:val="en-US"/>
        </w:rPr>
        <w:t>Mamat</w:t>
      </w:r>
      <w:proofErr w:type="spellEnd"/>
      <w:r w:rsidRPr="00154823">
        <w:rPr>
          <w:rFonts w:ascii="Times New Roman" w:eastAsia="Times New Roman" w:hAnsi="Times New Roman" w:cs="Times New Roman"/>
          <w:sz w:val="24"/>
          <w:szCs w:val="24"/>
          <w:lang w:val="en-US"/>
        </w:rPr>
        <w:t xml:space="preserve">, I. (2017). Employee readiness, training design and work environment in influencing training transfer among academic staff of UiTM. </w:t>
      </w:r>
      <w:r w:rsidRPr="00154823">
        <w:rPr>
          <w:rFonts w:ascii="Times New Roman" w:eastAsia="Times New Roman" w:hAnsi="Times New Roman" w:cs="Times New Roman"/>
          <w:i/>
          <w:iCs/>
          <w:sz w:val="24"/>
          <w:szCs w:val="24"/>
          <w:lang w:val="en-US"/>
        </w:rPr>
        <w:t>International Journal of Academic Research in Business and Social Sciences, 7</w:t>
      </w:r>
      <w:r w:rsidRPr="00154823">
        <w:rPr>
          <w:rFonts w:ascii="Times New Roman" w:eastAsia="Times New Roman" w:hAnsi="Times New Roman" w:cs="Times New Roman"/>
          <w:sz w:val="24"/>
          <w:szCs w:val="24"/>
          <w:lang w:val="en-US"/>
        </w:rPr>
        <w:t>(10), 275–290.</w:t>
      </w:r>
    </w:p>
    <w:p w14:paraId="38FE0E8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Sekaran, U., &amp; Bougie, R. (2016). </w:t>
      </w:r>
      <w:r w:rsidRPr="00154823">
        <w:rPr>
          <w:rFonts w:ascii="Times New Roman" w:eastAsia="Times New Roman" w:hAnsi="Times New Roman" w:cs="Times New Roman"/>
          <w:i/>
          <w:iCs/>
          <w:sz w:val="24"/>
          <w:szCs w:val="24"/>
          <w:lang w:val="en-US"/>
        </w:rPr>
        <w:t>Research methods for business: A skill-building approach</w:t>
      </w:r>
      <w:r w:rsidRPr="00154823">
        <w:rPr>
          <w:rFonts w:ascii="Times New Roman" w:eastAsia="Times New Roman" w:hAnsi="Times New Roman" w:cs="Times New Roman"/>
          <w:sz w:val="24"/>
          <w:szCs w:val="24"/>
          <w:lang w:val="en-US"/>
        </w:rPr>
        <w:t xml:space="preserve"> (7th ed.). Wiley.</w:t>
      </w:r>
    </w:p>
    <w:p w14:paraId="05800A11"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Stevens, C. K., </w:t>
      </w:r>
      <w:proofErr w:type="spellStart"/>
      <w:r w:rsidRPr="00154823">
        <w:rPr>
          <w:rFonts w:ascii="Times New Roman" w:eastAsia="Times New Roman" w:hAnsi="Times New Roman" w:cs="Times New Roman"/>
          <w:sz w:val="24"/>
          <w:szCs w:val="24"/>
          <w:lang w:val="en-US"/>
        </w:rPr>
        <w:t>Bavetta</w:t>
      </w:r>
      <w:proofErr w:type="spellEnd"/>
      <w:r w:rsidRPr="00154823">
        <w:rPr>
          <w:rFonts w:ascii="Times New Roman" w:eastAsia="Times New Roman" w:hAnsi="Times New Roman" w:cs="Times New Roman"/>
          <w:sz w:val="24"/>
          <w:szCs w:val="24"/>
          <w:lang w:val="en-US"/>
        </w:rPr>
        <w:t xml:space="preserve">, A. G., &amp; Gist, M. E. (1993). Gender differences in the acquisition of salary negotiation skills. </w:t>
      </w:r>
      <w:r w:rsidRPr="00154823">
        <w:rPr>
          <w:rFonts w:ascii="Times New Roman" w:eastAsia="Times New Roman" w:hAnsi="Times New Roman" w:cs="Times New Roman"/>
          <w:i/>
          <w:iCs/>
          <w:sz w:val="24"/>
          <w:szCs w:val="24"/>
          <w:lang w:val="en-US"/>
        </w:rPr>
        <w:t>Journal of Applied Psychology, 78</w:t>
      </w:r>
      <w:r w:rsidRPr="00154823">
        <w:rPr>
          <w:rFonts w:ascii="Times New Roman" w:eastAsia="Times New Roman" w:hAnsi="Times New Roman" w:cs="Times New Roman"/>
          <w:sz w:val="24"/>
          <w:szCs w:val="24"/>
          <w:lang w:val="en-US"/>
        </w:rPr>
        <w:t>(5), 723–735.</w:t>
      </w:r>
    </w:p>
    <w:p w14:paraId="1C0EEA6C"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The Star. (2025). Rising enrolment in Malaysia’s TVET sector supports workforce demand. </w:t>
      </w:r>
      <w:r w:rsidRPr="00154823">
        <w:rPr>
          <w:rFonts w:ascii="Times New Roman" w:eastAsia="Times New Roman" w:hAnsi="Times New Roman" w:cs="Times New Roman"/>
          <w:i/>
          <w:iCs/>
          <w:sz w:val="24"/>
          <w:szCs w:val="24"/>
          <w:lang w:val="en-US"/>
        </w:rPr>
        <w:t>The Star</w:t>
      </w:r>
      <w:r w:rsidRPr="00154823">
        <w:rPr>
          <w:rFonts w:ascii="Times New Roman" w:eastAsia="Times New Roman" w:hAnsi="Times New Roman" w:cs="Times New Roman"/>
          <w:sz w:val="24"/>
          <w:szCs w:val="24"/>
          <w:lang w:val="en-US"/>
        </w:rPr>
        <w:t>.</w:t>
      </w:r>
    </w:p>
    <w:p w14:paraId="0343E63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Tziner</w:t>
      </w:r>
      <w:proofErr w:type="spellEnd"/>
      <w:r w:rsidRPr="00154823">
        <w:rPr>
          <w:rFonts w:ascii="Times New Roman" w:eastAsia="Times New Roman" w:hAnsi="Times New Roman" w:cs="Times New Roman"/>
          <w:sz w:val="24"/>
          <w:szCs w:val="24"/>
          <w:lang w:val="en-US"/>
        </w:rPr>
        <w:t xml:space="preserve">, A., &amp; </w:t>
      </w:r>
      <w:proofErr w:type="spellStart"/>
      <w:r w:rsidRPr="00154823">
        <w:rPr>
          <w:rFonts w:ascii="Times New Roman" w:eastAsia="Times New Roman" w:hAnsi="Times New Roman" w:cs="Times New Roman"/>
          <w:sz w:val="24"/>
          <w:szCs w:val="24"/>
          <w:lang w:val="en-US"/>
        </w:rPr>
        <w:t>Falbe</w:t>
      </w:r>
      <w:proofErr w:type="spellEnd"/>
      <w:r w:rsidRPr="00154823">
        <w:rPr>
          <w:rFonts w:ascii="Times New Roman" w:eastAsia="Times New Roman" w:hAnsi="Times New Roman" w:cs="Times New Roman"/>
          <w:sz w:val="24"/>
          <w:szCs w:val="24"/>
          <w:lang w:val="en-US"/>
        </w:rPr>
        <w:t xml:space="preserve">, C. M. (1993). Gender and transfer of training effectiveness. </w:t>
      </w:r>
      <w:r w:rsidRPr="00154823">
        <w:rPr>
          <w:rFonts w:ascii="Times New Roman" w:eastAsia="Times New Roman" w:hAnsi="Times New Roman" w:cs="Times New Roman"/>
          <w:i/>
          <w:iCs/>
          <w:sz w:val="24"/>
          <w:szCs w:val="24"/>
          <w:lang w:val="en-US"/>
        </w:rPr>
        <w:t>Journal of Organizational Behavior, 14</w:t>
      </w:r>
      <w:r w:rsidRPr="00154823">
        <w:rPr>
          <w:rFonts w:ascii="Times New Roman" w:eastAsia="Times New Roman" w:hAnsi="Times New Roman" w:cs="Times New Roman"/>
          <w:sz w:val="24"/>
          <w:szCs w:val="24"/>
          <w:lang w:val="en-US"/>
        </w:rPr>
        <w:t>(2), 145–155.</w:t>
      </w:r>
    </w:p>
    <w:p w14:paraId="5EE36933"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TVET Malaysia. (2025). </w:t>
      </w:r>
      <w:r w:rsidRPr="00154823">
        <w:rPr>
          <w:rFonts w:ascii="Times New Roman" w:eastAsia="Times New Roman" w:hAnsi="Times New Roman" w:cs="Times New Roman"/>
          <w:i/>
          <w:iCs/>
          <w:sz w:val="24"/>
          <w:szCs w:val="24"/>
          <w:lang w:val="en-US"/>
        </w:rPr>
        <w:t>National TVET ecosystem report 2025</w:t>
      </w:r>
      <w:r w:rsidRPr="00154823">
        <w:rPr>
          <w:rFonts w:ascii="Times New Roman" w:eastAsia="Times New Roman" w:hAnsi="Times New Roman" w:cs="Times New Roman"/>
          <w:sz w:val="24"/>
          <w:szCs w:val="24"/>
          <w:lang w:val="en-US"/>
        </w:rPr>
        <w:t>. Putrajaya: TVET Malaysia Secretariat.</w:t>
      </w:r>
    </w:p>
    <w:p w14:paraId="5547C39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UNESCO-UNEVOC. (2022). </w:t>
      </w:r>
      <w:r w:rsidRPr="00154823">
        <w:rPr>
          <w:rFonts w:ascii="Times New Roman" w:eastAsia="Times New Roman" w:hAnsi="Times New Roman" w:cs="Times New Roman"/>
          <w:i/>
          <w:iCs/>
          <w:sz w:val="24"/>
          <w:szCs w:val="24"/>
          <w:lang w:val="en-US"/>
        </w:rPr>
        <w:t>Transforming technical and vocational education and training for the future of work</w:t>
      </w:r>
      <w:r w:rsidRPr="00154823">
        <w:rPr>
          <w:rFonts w:ascii="Times New Roman" w:eastAsia="Times New Roman" w:hAnsi="Times New Roman" w:cs="Times New Roman"/>
          <w:sz w:val="24"/>
          <w:szCs w:val="24"/>
          <w:lang w:val="en-US"/>
        </w:rPr>
        <w:t xml:space="preserve">. UNESCO-UNEVOC International Centre. </w:t>
      </w:r>
      <w:hyperlink r:id="rId23" w:tgtFrame="_new" w:history="1">
        <w:r w:rsidRPr="00154823">
          <w:rPr>
            <w:rFonts w:ascii="Times New Roman" w:eastAsia="Times New Roman" w:hAnsi="Times New Roman" w:cs="Times New Roman"/>
            <w:color w:val="0000FF"/>
            <w:sz w:val="24"/>
            <w:szCs w:val="24"/>
            <w:u w:val="single"/>
            <w:lang w:val="en-US"/>
          </w:rPr>
          <w:t>https://unevoc.unesco.org</w:t>
        </w:r>
      </w:hyperlink>
    </w:p>
    <w:p w14:paraId="3D273E37"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Vroom, V. H. (1964). </w:t>
      </w:r>
      <w:r w:rsidRPr="00154823">
        <w:rPr>
          <w:rFonts w:ascii="Times New Roman" w:eastAsia="Times New Roman" w:hAnsi="Times New Roman" w:cs="Times New Roman"/>
          <w:i/>
          <w:iCs/>
          <w:sz w:val="24"/>
          <w:szCs w:val="24"/>
          <w:lang w:val="en-US"/>
        </w:rPr>
        <w:t>Work and motivation</w:t>
      </w:r>
      <w:r w:rsidRPr="00154823">
        <w:rPr>
          <w:rFonts w:ascii="Times New Roman" w:eastAsia="Times New Roman" w:hAnsi="Times New Roman" w:cs="Times New Roman"/>
          <w:sz w:val="24"/>
          <w:szCs w:val="24"/>
          <w:lang w:val="en-US"/>
        </w:rPr>
        <w:t>. Wiley.</w:t>
      </w:r>
    </w:p>
    <w:p w14:paraId="258A8CF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World Bank. (2020). </w:t>
      </w:r>
      <w:r w:rsidRPr="00154823">
        <w:rPr>
          <w:rFonts w:ascii="Times New Roman" w:eastAsia="Times New Roman" w:hAnsi="Times New Roman" w:cs="Times New Roman"/>
          <w:i/>
          <w:iCs/>
          <w:sz w:val="24"/>
          <w:szCs w:val="24"/>
          <w:lang w:val="en-US"/>
        </w:rPr>
        <w:t>Malaysia economic monitor: Boosting human capital development</w:t>
      </w:r>
      <w:r w:rsidRPr="00154823">
        <w:rPr>
          <w:rFonts w:ascii="Times New Roman" w:eastAsia="Times New Roman" w:hAnsi="Times New Roman" w:cs="Times New Roman"/>
          <w:sz w:val="24"/>
          <w:szCs w:val="24"/>
          <w:lang w:val="en-US"/>
        </w:rPr>
        <w:t xml:space="preserve">. World Bank Group. </w:t>
      </w:r>
      <w:hyperlink r:id="rId24" w:tgtFrame="_new" w:history="1">
        <w:r w:rsidRPr="00154823">
          <w:rPr>
            <w:rFonts w:ascii="Times New Roman" w:eastAsia="Times New Roman" w:hAnsi="Times New Roman" w:cs="Times New Roman"/>
            <w:color w:val="0000FF"/>
            <w:sz w:val="24"/>
            <w:szCs w:val="24"/>
            <w:u w:val="single"/>
            <w:lang w:val="en-US"/>
          </w:rPr>
          <w:t>https://www.worldbank.org</w:t>
        </w:r>
      </w:hyperlink>
    </w:p>
    <w:p w14:paraId="4F4E900F"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World Bank. (2023). </w:t>
      </w:r>
      <w:r w:rsidRPr="00154823">
        <w:rPr>
          <w:rFonts w:ascii="Times New Roman" w:eastAsia="Times New Roman" w:hAnsi="Times New Roman" w:cs="Times New Roman"/>
          <w:i/>
          <w:iCs/>
          <w:sz w:val="24"/>
          <w:szCs w:val="24"/>
          <w:lang w:val="en-US"/>
        </w:rPr>
        <w:t>Skills development and TVET systems: Global and regional insights</w:t>
      </w:r>
      <w:r w:rsidRPr="00154823">
        <w:rPr>
          <w:rFonts w:ascii="Times New Roman" w:eastAsia="Times New Roman" w:hAnsi="Times New Roman" w:cs="Times New Roman"/>
          <w:sz w:val="24"/>
          <w:szCs w:val="24"/>
          <w:lang w:val="en-US"/>
        </w:rPr>
        <w:t>. World Bank Group.</w:t>
      </w:r>
    </w:p>
    <w:p w14:paraId="13F96F5C"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Zainal, N. A., Abdullah, H., &amp; Hassan, R. (2023). Organizational support, commitment and training transfer among educators in Malaysian TVET institutions. </w:t>
      </w:r>
      <w:r w:rsidRPr="00154823">
        <w:rPr>
          <w:rFonts w:ascii="Times New Roman" w:eastAsia="Times New Roman" w:hAnsi="Times New Roman" w:cs="Times New Roman"/>
          <w:i/>
          <w:iCs/>
          <w:sz w:val="24"/>
          <w:szCs w:val="24"/>
          <w:lang w:val="en-US"/>
        </w:rPr>
        <w:t>International Journal of Academic Research in Business and Social Sciences, 13</w:t>
      </w:r>
      <w:r w:rsidRPr="00154823">
        <w:rPr>
          <w:rFonts w:ascii="Times New Roman" w:eastAsia="Times New Roman" w:hAnsi="Times New Roman" w:cs="Times New Roman"/>
          <w:sz w:val="24"/>
          <w:szCs w:val="24"/>
          <w:lang w:val="en-US"/>
        </w:rPr>
        <w:t>(7), 120–135.</w:t>
      </w:r>
    </w:p>
    <w:p w14:paraId="6331E314"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Zulnaidi</w:t>
      </w:r>
      <w:proofErr w:type="spellEnd"/>
      <w:r w:rsidRPr="00154823">
        <w:rPr>
          <w:rFonts w:ascii="Times New Roman" w:eastAsia="Times New Roman" w:hAnsi="Times New Roman" w:cs="Times New Roman"/>
          <w:sz w:val="24"/>
          <w:szCs w:val="24"/>
          <w:lang w:val="en-US"/>
        </w:rPr>
        <w:t xml:space="preserve">, H., et al. (2020). Factors influencing technology adoption among TVET educators. </w:t>
      </w:r>
      <w:r w:rsidRPr="00154823">
        <w:rPr>
          <w:rFonts w:ascii="Times New Roman" w:eastAsia="Times New Roman" w:hAnsi="Times New Roman" w:cs="Times New Roman"/>
          <w:i/>
          <w:iCs/>
          <w:sz w:val="24"/>
          <w:szCs w:val="24"/>
          <w:lang w:val="en-US"/>
        </w:rPr>
        <w:t>International Journal of Innovation, Creativity and Change, 13</w:t>
      </w:r>
      <w:r w:rsidRPr="00154823">
        <w:rPr>
          <w:rFonts w:ascii="Times New Roman" w:eastAsia="Times New Roman" w:hAnsi="Times New Roman" w:cs="Times New Roman"/>
          <w:sz w:val="24"/>
          <w:szCs w:val="24"/>
          <w:lang w:val="en-US"/>
        </w:rPr>
        <w:t>(5), 112–126.</w:t>
      </w:r>
    </w:p>
    <w:p w14:paraId="001588C6" w14:textId="552CD5F1" w:rsidR="00AD3201" w:rsidRDefault="00AD3201" w:rsidP="000A47EB">
      <w:pPr>
        <w:pStyle w:val="NormalWeb"/>
        <w:jc w:val="both"/>
      </w:pPr>
    </w:p>
    <w:p w14:paraId="3418595E" w14:textId="77777777" w:rsidR="00AD3201" w:rsidRDefault="00AD3201" w:rsidP="000A47EB">
      <w:pPr>
        <w:pStyle w:val="NormalWeb"/>
        <w:jc w:val="both"/>
        <w:rPr>
          <w:lang w:val="en-US"/>
        </w:rPr>
      </w:pPr>
    </w:p>
    <w:p w14:paraId="2EC78856" w14:textId="77777777" w:rsidR="003B0E0D" w:rsidRPr="000A47EB" w:rsidRDefault="003B0E0D" w:rsidP="000A47EB">
      <w:pPr>
        <w:pStyle w:val="NormalWeb"/>
        <w:jc w:val="both"/>
        <w:rPr>
          <w:lang w:val="en-US"/>
        </w:rPr>
      </w:pPr>
    </w:p>
    <w:p w14:paraId="17C8397C" w14:textId="77777777" w:rsidR="000A47EB" w:rsidRPr="001E2F92" w:rsidRDefault="000A47EB" w:rsidP="000A47EB">
      <w:pPr>
        <w:pStyle w:val="NormalWeb"/>
        <w:spacing w:line="240" w:lineRule="auto"/>
        <w:jc w:val="both"/>
        <w:rPr>
          <w:lang w:val="en-US"/>
        </w:rPr>
      </w:pPr>
    </w:p>
    <w:p w14:paraId="31F61A67" w14:textId="77777777" w:rsidR="001E2F92" w:rsidRPr="0075399D" w:rsidRDefault="001E2F92" w:rsidP="0075399D">
      <w:pPr>
        <w:pStyle w:val="NormalWeb"/>
        <w:rPr>
          <w:lang w:val="en-US"/>
        </w:rPr>
      </w:pPr>
    </w:p>
    <w:p w14:paraId="7B04A774" w14:textId="77777777" w:rsidR="0075399D" w:rsidRPr="00234F88" w:rsidRDefault="0075399D" w:rsidP="00234F88">
      <w:pPr>
        <w:pStyle w:val="NormalWeb"/>
        <w:rPr>
          <w:lang w:val="en-US"/>
        </w:rPr>
      </w:pPr>
    </w:p>
    <w:p w14:paraId="5B7B821D" w14:textId="77777777" w:rsidR="00234F88" w:rsidRPr="00234F88" w:rsidRDefault="00234F88" w:rsidP="00234F88">
      <w:pPr>
        <w:pStyle w:val="NormalWeb"/>
      </w:pPr>
    </w:p>
    <w:sectPr w:rsidR="00234F88" w:rsidRPr="00234F88" w:rsidSect="00333137">
      <w:headerReference w:type="default" r:id="rId25"/>
      <w:footerReference w:type="default" r:id="rId26"/>
      <w:pgSz w:w="11906" w:h="16838"/>
      <w:pgMar w:top="2249" w:right="1440" w:bottom="1440" w:left="1440" w:header="708" w:footer="708" w:gutter="0"/>
      <w:pgNumType w:start="1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B28D7" w14:textId="77777777" w:rsidR="006B0E14" w:rsidRDefault="006B0E14" w:rsidP="008B4616">
      <w:pPr>
        <w:spacing w:after="0" w:line="240" w:lineRule="auto"/>
      </w:pPr>
      <w:r>
        <w:separator/>
      </w:r>
    </w:p>
  </w:endnote>
  <w:endnote w:type="continuationSeparator" w:id="0">
    <w:p w14:paraId="368BCA8D" w14:textId="77777777" w:rsidR="006B0E14" w:rsidRDefault="006B0E14" w:rsidP="008B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A9C79" w14:textId="7642B06C" w:rsidR="00A26F62" w:rsidRDefault="00A26F62" w:rsidP="00650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70910" w14:textId="77777777" w:rsidR="006B0E14" w:rsidRDefault="006B0E14" w:rsidP="008B4616">
      <w:pPr>
        <w:spacing w:after="0" w:line="240" w:lineRule="auto"/>
      </w:pPr>
      <w:r>
        <w:separator/>
      </w:r>
    </w:p>
  </w:footnote>
  <w:footnote w:type="continuationSeparator" w:id="0">
    <w:p w14:paraId="65E80DA2" w14:textId="77777777" w:rsidR="006B0E14" w:rsidRDefault="006B0E14" w:rsidP="008B4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72C02" w14:textId="0C60B727" w:rsidR="007712B9" w:rsidRDefault="007712B9">
    <w:pPr>
      <w:pStyle w:val="Header"/>
    </w:pPr>
  </w:p>
  <w:p w14:paraId="2E78BEB5" w14:textId="77777777" w:rsidR="00A26F62" w:rsidRDefault="00A26F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C2F31"/>
    <w:multiLevelType w:val="hybridMultilevel"/>
    <w:tmpl w:val="9232280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13F419F"/>
    <w:multiLevelType w:val="hybridMultilevel"/>
    <w:tmpl w:val="3E56EA5E"/>
    <w:lvl w:ilvl="0" w:tplc="EEEA2B8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221C3427"/>
    <w:multiLevelType w:val="hybridMultilevel"/>
    <w:tmpl w:val="14044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160CF"/>
    <w:multiLevelType w:val="hybridMultilevel"/>
    <w:tmpl w:val="01FEE53A"/>
    <w:lvl w:ilvl="0" w:tplc="D4B6D72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3629722D"/>
    <w:multiLevelType w:val="hybridMultilevel"/>
    <w:tmpl w:val="E68887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C2C12AC"/>
    <w:multiLevelType w:val="hybridMultilevel"/>
    <w:tmpl w:val="54D01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E062B"/>
    <w:multiLevelType w:val="hybridMultilevel"/>
    <w:tmpl w:val="8DE0738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2091D56"/>
    <w:multiLevelType w:val="hybridMultilevel"/>
    <w:tmpl w:val="D0F86E20"/>
    <w:lvl w:ilvl="0" w:tplc="B894A8DE">
      <w:start w:val="1"/>
      <w:numFmt w:val="lowerRoman"/>
      <w:lvlText w:val="%1."/>
      <w:lvlJc w:val="left"/>
      <w:pPr>
        <w:ind w:left="1386" w:hanging="720"/>
      </w:pPr>
      <w:rPr>
        <w:rFonts w:hint="default"/>
      </w:rPr>
    </w:lvl>
    <w:lvl w:ilvl="1" w:tplc="043E0019">
      <w:start w:val="1"/>
      <w:numFmt w:val="lowerLetter"/>
      <w:lvlText w:val="%2."/>
      <w:lvlJc w:val="left"/>
      <w:pPr>
        <w:ind w:left="1746" w:hanging="360"/>
      </w:pPr>
    </w:lvl>
    <w:lvl w:ilvl="2" w:tplc="043E001B">
      <w:start w:val="1"/>
      <w:numFmt w:val="lowerRoman"/>
      <w:lvlText w:val="%3."/>
      <w:lvlJc w:val="right"/>
      <w:pPr>
        <w:ind w:left="2466" w:hanging="180"/>
      </w:pPr>
    </w:lvl>
    <w:lvl w:ilvl="3" w:tplc="043E000F" w:tentative="1">
      <w:start w:val="1"/>
      <w:numFmt w:val="decimal"/>
      <w:lvlText w:val="%4."/>
      <w:lvlJc w:val="left"/>
      <w:pPr>
        <w:ind w:left="3186" w:hanging="360"/>
      </w:pPr>
    </w:lvl>
    <w:lvl w:ilvl="4" w:tplc="043E0019" w:tentative="1">
      <w:start w:val="1"/>
      <w:numFmt w:val="lowerLetter"/>
      <w:lvlText w:val="%5."/>
      <w:lvlJc w:val="left"/>
      <w:pPr>
        <w:ind w:left="3906" w:hanging="360"/>
      </w:pPr>
    </w:lvl>
    <w:lvl w:ilvl="5" w:tplc="043E001B" w:tentative="1">
      <w:start w:val="1"/>
      <w:numFmt w:val="lowerRoman"/>
      <w:lvlText w:val="%6."/>
      <w:lvlJc w:val="right"/>
      <w:pPr>
        <w:ind w:left="4626" w:hanging="180"/>
      </w:pPr>
    </w:lvl>
    <w:lvl w:ilvl="6" w:tplc="043E000F" w:tentative="1">
      <w:start w:val="1"/>
      <w:numFmt w:val="decimal"/>
      <w:lvlText w:val="%7."/>
      <w:lvlJc w:val="left"/>
      <w:pPr>
        <w:ind w:left="5346" w:hanging="360"/>
      </w:pPr>
    </w:lvl>
    <w:lvl w:ilvl="7" w:tplc="043E0019" w:tentative="1">
      <w:start w:val="1"/>
      <w:numFmt w:val="lowerLetter"/>
      <w:lvlText w:val="%8."/>
      <w:lvlJc w:val="left"/>
      <w:pPr>
        <w:ind w:left="6066" w:hanging="360"/>
      </w:pPr>
    </w:lvl>
    <w:lvl w:ilvl="8" w:tplc="043E001B" w:tentative="1">
      <w:start w:val="1"/>
      <w:numFmt w:val="lowerRoman"/>
      <w:lvlText w:val="%9."/>
      <w:lvlJc w:val="right"/>
      <w:pPr>
        <w:ind w:left="6786" w:hanging="180"/>
      </w:pPr>
    </w:lvl>
  </w:abstractNum>
  <w:abstractNum w:abstractNumId="8" w15:restartNumberingAfterBreak="0">
    <w:nsid w:val="5040623D"/>
    <w:multiLevelType w:val="hybridMultilevel"/>
    <w:tmpl w:val="467A3F5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97E0CEA"/>
    <w:multiLevelType w:val="hybridMultilevel"/>
    <w:tmpl w:val="3D9A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70B33"/>
    <w:multiLevelType w:val="hybridMultilevel"/>
    <w:tmpl w:val="6B4C9B42"/>
    <w:lvl w:ilvl="0" w:tplc="BDA87F70">
      <w:start w:val="1"/>
      <w:numFmt w:val="decimal"/>
      <w:lvlText w:val="%1."/>
      <w:lvlJc w:val="left"/>
      <w:pPr>
        <w:ind w:left="720" w:hanging="360"/>
      </w:pPr>
      <w:rPr>
        <w:rFonts w:hint="default"/>
      </w:rPr>
    </w:lvl>
    <w:lvl w:ilvl="1" w:tplc="4C469B40" w:tentative="1">
      <w:start w:val="1"/>
      <w:numFmt w:val="lowerLetter"/>
      <w:lvlText w:val="%2."/>
      <w:lvlJc w:val="left"/>
      <w:pPr>
        <w:ind w:left="1440" w:hanging="360"/>
      </w:pPr>
    </w:lvl>
    <w:lvl w:ilvl="2" w:tplc="51D23D06" w:tentative="1">
      <w:start w:val="1"/>
      <w:numFmt w:val="lowerRoman"/>
      <w:lvlText w:val="%3."/>
      <w:lvlJc w:val="right"/>
      <w:pPr>
        <w:ind w:left="2160" w:hanging="180"/>
      </w:pPr>
    </w:lvl>
    <w:lvl w:ilvl="3" w:tplc="76B46ACA" w:tentative="1">
      <w:start w:val="1"/>
      <w:numFmt w:val="decimal"/>
      <w:lvlText w:val="%4."/>
      <w:lvlJc w:val="left"/>
      <w:pPr>
        <w:ind w:left="2880" w:hanging="360"/>
      </w:pPr>
    </w:lvl>
    <w:lvl w:ilvl="4" w:tplc="533A45A2" w:tentative="1">
      <w:start w:val="1"/>
      <w:numFmt w:val="lowerLetter"/>
      <w:lvlText w:val="%5."/>
      <w:lvlJc w:val="left"/>
      <w:pPr>
        <w:ind w:left="3600" w:hanging="360"/>
      </w:pPr>
    </w:lvl>
    <w:lvl w:ilvl="5" w:tplc="B96ABA7E" w:tentative="1">
      <w:start w:val="1"/>
      <w:numFmt w:val="lowerRoman"/>
      <w:lvlText w:val="%6."/>
      <w:lvlJc w:val="right"/>
      <w:pPr>
        <w:ind w:left="4320" w:hanging="180"/>
      </w:pPr>
    </w:lvl>
    <w:lvl w:ilvl="6" w:tplc="060C6784" w:tentative="1">
      <w:start w:val="1"/>
      <w:numFmt w:val="decimal"/>
      <w:lvlText w:val="%7."/>
      <w:lvlJc w:val="left"/>
      <w:pPr>
        <w:ind w:left="5040" w:hanging="360"/>
      </w:pPr>
    </w:lvl>
    <w:lvl w:ilvl="7" w:tplc="95AC4F14" w:tentative="1">
      <w:start w:val="1"/>
      <w:numFmt w:val="lowerLetter"/>
      <w:lvlText w:val="%8."/>
      <w:lvlJc w:val="left"/>
      <w:pPr>
        <w:ind w:left="5760" w:hanging="360"/>
      </w:pPr>
    </w:lvl>
    <w:lvl w:ilvl="8" w:tplc="1C8A4A72" w:tentative="1">
      <w:start w:val="1"/>
      <w:numFmt w:val="lowerRoman"/>
      <w:lvlText w:val="%9."/>
      <w:lvlJc w:val="right"/>
      <w:pPr>
        <w:ind w:left="6480" w:hanging="180"/>
      </w:pPr>
    </w:lvl>
  </w:abstractNum>
  <w:abstractNum w:abstractNumId="11" w15:restartNumberingAfterBreak="0">
    <w:nsid w:val="67654965"/>
    <w:multiLevelType w:val="hybridMultilevel"/>
    <w:tmpl w:val="F7E6E10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1"/>
  </w:num>
  <w:num w:numId="5">
    <w:abstractNumId w:val="4"/>
  </w:num>
  <w:num w:numId="6">
    <w:abstractNumId w:val="3"/>
  </w:num>
  <w:num w:numId="7">
    <w:abstractNumId w:val="1"/>
  </w:num>
  <w:num w:numId="8">
    <w:abstractNumId w:val="10"/>
  </w:num>
  <w:num w:numId="9">
    <w:abstractNumId w:val="7"/>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D0"/>
    <w:rsid w:val="00000833"/>
    <w:rsid w:val="00001E52"/>
    <w:rsid w:val="000049E0"/>
    <w:rsid w:val="00015446"/>
    <w:rsid w:val="00020095"/>
    <w:rsid w:val="00031E94"/>
    <w:rsid w:val="00034185"/>
    <w:rsid w:val="0005099C"/>
    <w:rsid w:val="00052AE6"/>
    <w:rsid w:val="00053451"/>
    <w:rsid w:val="00056679"/>
    <w:rsid w:val="00057D96"/>
    <w:rsid w:val="000665B5"/>
    <w:rsid w:val="00090C88"/>
    <w:rsid w:val="000943C9"/>
    <w:rsid w:val="000964BF"/>
    <w:rsid w:val="000A47EB"/>
    <w:rsid w:val="000C04FA"/>
    <w:rsid w:val="000C32CC"/>
    <w:rsid w:val="000C36BF"/>
    <w:rsid w:val="000C620C"/>
    <w:rsid w:val="000D34AF"/>
    <w:rsid w:val="000E7E46"/>
    <w:rsid w:val="000F50AC"/>
    <w:rsid w:val="001023EB"/>
    <w:rsid w:val="001106B9"/>
    <w:rsid w:val="0012473C"/>
    <w:rsid w:val="00131236"/>
    <w:rsid w:val="0013696A"/>
    <w:rsid w:val="00141207"/>
    <w:rsid w:val="001414C2"/>
    <w:rsid w:val="00154823"/>
    <w:rsid w:val="00154D4C"/>
    <w:rsid w:val="0016054E"/>
    <w:rsid w:val="001650BB"/>
    <w:rsid w:val="00166143"/>
    <w:rsid w:val="0017788B"/>
    <w:rsid w:val="00181AC1"/>
    <w:rsid w:val="0019755B"/>
    <w:rsid w:val="00197613"/>
    <w:rsid w:val="001A4EBB"/>
    <w:rsid w:val="001B3271"/>
    <w:rsid w:val="001B6494"/>
    <w:rsid w:val="001B6694"/>
    <w:rsid w:val="001C02EF"/>
    <w:rsid w:val="001C11DF"/>
    <w:rsid w:val="001D1AC7"/>
    <w:rsid w:val="001D53F9"/>
    <w:rsid w:val="001E206F"/>
    <w:rsid w:val="001E22D7"/>
    <w:rsid w:val="001E2F92"/>
    <w:rsid w:val="001F780E"/>
    <w:rsid w:val="00206E42"/>
    <w:rsid w:val="002077BB"/>
    <w:rsid w:val="00207F29"/>
    <w:rsid w:val="00210D72"/>
    <w:rsid w:val="00215895"/>
    <w:rsid w:val="002168B5"/>
    <w:rsid w:val="00227F81"/>
    <w:rsid w:val="00230E68"/>
    <w:rsid w:val="00232200"/>
    <w:rsid w:val="00232374"/>
    <w:rsid w:val="0023317F"/>
    <w:rsid w:val="00233A01"/>
    <w:rsid w:val="00234C08"/>
    <w:rsid w:val="00234F88"/>
    <w:rsid w:val="00250724"/>
    <w:rsid w:val="00252ADE"/>
    <w:rsid w:val="00274A1A"/>
    <w:rsid w:val="002778C2"/>
    <w:rsid w:val="00282A24"/>
    <w:rsid w:val="00283867"/>
    <w:rsid w:val="00290D81"/>
    <w:rsid w:val="002A2B6D"/>
    <w:rsid w:val="002B5230"/>
    <w:rsid w:val="002C143F"/>
    <w:rsid w:val="002C175D"/>
    <w:rsid w:val="002C3E96"/>
    <w:rsid w:val="002C41EF"/>
    <w:rsid w:val="002C7C6C"/>
    <w:rsid w:val="002D1735"/>
    <w:rsid w:val="002D2FE7"/>
    <w:rsid w:val="002D339A"/>
    <w:rsid w:val="002E5CFF"/>
    <w:rsid w:val="002E6769"/>
    <w:rsid w:val="0030319A"/>
    <w:rsid w:val="0031470D"/>
    <w:rsid w:val="00322E9D"/>
    <w:rsid w:val="00326BD4"/>
    <w:rsid w:val="00331BB7"/>
    <w:rsid w:val="00333137"/>
    <w:rsid w:val="00340731"/>
    <w:rsid w:val="003459A8"/>
    <w:rsid w:val="00351B97"/>
    <w:rsid w:val="0035248D"/>
    <w:rsid w:val="00352967"/>
    <w:rsid w:val="003610AF"/>
    <w:rsid w:val="00363BEB"/>
    <w:rsid w:val="00371AB0"/>
    <w:rsid w:val="0038546A"/>
    <w:rsid w:val="003913A5"/>
    <w:rsid w:val="0039596C"/>
    <w:rsid w:val="003B0E0D"/>
    <w:rsid w:val="003B3FFF"/>
    <w:rsid w:val="003C668C"/>
    <w:rsid w:val="003D20FC"/>
    <w:rsid w:val="003D2A9E"/>
    <w:rsid w:val="003D3229"/>
    <w:rsid w:val="003E0CDA"/>
    <w:rsid w:val="003E2A11"/>
    <w:rsid w:val="003F299B"/>
    <w:rsid w:val="003F69CC"/>
    <w:rsid w:val="0041382A"/>
    <w:rsid w:val="0043060B"/>
    <w:rsid w:val="00435606"/>
    <w:rsid w:val="004450FB"/>
    <w:rsid w:val="00456E4D"/>
    <w:rsid w:val="00457F3E"/>
    <w:rsid w:val="00470ABD"/>
    <w:rsid w:val="00481C5C"/>
    <w:rsid w:val="00492E0B"/>
    <w:rsid w:val="004A42A4"/>
    <w:rsid w:val="004C0A65"/>
    <w:rsid w:val="004C10A4"/>
    <w:rsid w:val="004D1CB8"/>
    <w:rsid w:val="004D464C"/>
    <w:rsid w:val="004D4BEE"/>
    <w:rsid w:val="004D7858"/>
    <w:rsid w:val="004E47A4"/>
    <w:rsid w:val="00513345"/>
    <w:rsid w:val="0052498E"/>
    <w:rsid w:val="00525EFB"/>
    <w:rsid w:val="00526A4D"/>
    <w:rsid w:val="00540A1F"/>
    <w:rsid w:val="0055644B"/>
    <w:rsid w:val="00560742"/>
    <w:rsid w:val="005702A6"/>
    <w:rsid w:val="005777FA"/>
    <w:rsid w:val="005848B8"/>
    <w:rsid w:val="00584D50"/>
    <w:rsid w:val="00585D31"/>
    <w:rsid w:val="00594F31"/>
    <w:rsid w:val="005B0430"/>
    <w:rsid w:val="005C2D09"/>
    <w:rsid w:val="005D4838"/>
    <w:rsid w:val="005E0132"/>
    <w:rsid w:val="005E1E1E"/>
    <w:rsid w:val="005F2E25"/>
    <w:rsid w:val="005F7DC6"/>
    <w:rsid w:val="00603EF7"/>
    <w:rsid w:val="00612782"/>
    <w:rsid w:val="00612C95"/>
    <w:rsid w:val="00614B4B"/>
    <w:rsid w:val="0063449C"/>
    <w:rsid w:val="0063776F"/>
    <w:rsid w:val="0064067E"/>
    <w:rsid w:val="00641FB4"/>
    <w:rsid w:val="00642389"/>
    <w:rsid w:val="00642823"/>
    <w:rsid w:val="00650884"/>
    <w:rsid w:val="00651449"/>
    <w:rsid w:val="00652069"/>
    <w:rsid w:val="006674B9"/>
    <w:rsid w:val="00667753"/>
    <w:rsid w:val="0067631D"/>
    <w:rsid w:val="0068137E"/>
    <w:rsid w:val="006A0EF1"/>
    <w:rsid w:val="006A54E1"/>
    <w:rsid w:val="006A7F91"/>
    <w:rsid w:val="006B0E14"/>
    <w:rsid w:val="006B3B0C"/>
    <w:rsid w:val="006B5E5B"/>
    <w:rsid w:val="006B6845"/>
    <w:rsid w:val="006C2130"/>
    <w:rsid w:val="006C65DB"/>
    <w:rsid w:val="006E4B6B"/>
    <w:rsid w:val="006E7916"/>
    <w:rsid w:val="006F08E5"/>
    <w:rsid w:val="007047B2"/>
    <w:rsid w:val="00705F0E"/>
    <w:rsid w:val="00705FF6"/>
    <w:rsid w:val="00711F86"/>
    <w:rsid w:val="0071226F"/>
    <w:rsid w:val="007151AB"/>
    <w:rsid w:val="00716985"/>
    <w:rsid w:val="007174B6"/>
    <w:rsid w:val="00732596"/>
    <w:rsid w:val="0074013F"/>
    <w:rsid w:val="007479BE"/>
    <w:rsid w:val="007536FF"/>
    <w:rsid w:val="0075399D"/>
    <w:rsid w:val="00764633"/>
    <w:rsid w:val="0077004B"/>
    <w:rsid w:val="007712B9"/>
    <w:rsid w:val="007731E1"/>
    <w:rsid w:val="00773D4E"/>
    <w:rsid w:val="00774986"/>
    <w:rsid w:val="007753B0"/>
    <w:rsid w:val="007774C3"/>
    <w:rsid w:val="007A1DC4"/>
    <w:rsid w:val="007A6731"/>
    <w:rsid w:val="007A719F"/>
    <w:rsid w:val="007B3A06"/>
    <w:rsid w:val="007C486B"/>
    <w:rsid w:val="007D1EF5"/>
    <w:rsid w:val="007D45AB"/>
    <w:rsid w:val="007D4D84"/>
    <w:rsid w:val="007D4F79"/>
    <w:rsid w:val="007E7382"/>
    <w:rsid w:val="00803EDC"/>
    <w:rsid w:val="008105BA"/>
    <w:rsid w:val="008152F5"/>
    <w:rsid w:val="0081663F"/>
    <w:rsid w:val="00816A4C"/>
    <w:rsid w:val="00837F22"/>
    <w:rsid w:val="00855FEF"/>
    <w:rsid w:val="00856388"/>
    <w:rsid w:val="00881705"/>
    <w:rsid w:val="008859B2"/>
    <w:rsid w:val="00890814"/>
    <w:rsid w:val="00893F8C"/>
    <w:rsid w:val="008943B9"/>
    <w:rsid w:val="008A33D8"/>
    <w:rsid w:val="008A354E"/>
    <w:rsid w:val="008A5C5F"/>
    <w:rsid w:val="008B4616"/>
    <w:rsid w:val="008C7189"/>
    <w:rsid w:val="008E3343"/>
    <w:rsid w:val="00910C5C"/>
    <w:rsid w:val="00913EF0"/>
    <w:rsid w:val="0091546A"/>
    <w:rsid w:val="00923A1C"/>
    <w:rsid w:val="00936ABE"/>
    <w:rsid w:val="00940F55"/>
    <w:rsid w:val="00941792"/>
    <w:rsid w:val="009426E7"/>
    <w:rsid w:val="0094473C"/>
    <w:rsid w:val="00945447"/>
    <w:rsid w:val="00952866"/>
    <w:rsid w:val="0095528D"/>
    <w:rsid w:val="0096216A"/>
    <w:rsid w:val="00973BC3"/>
    <w:rsid w:val="00982101"/>
    <w:rsid w:val="0098236B"/>
    <w:rsid w:val="0099030B"/>
    <w:rsid w:val="009935B2"/>
    <w:rsid w:val="009A20AD"/>
    <w:rsid w:val="009A2E52"/>
    <w:rsid w:val="009A3DEF"/>
    <w:rsid w:val="009B1936"/>
    <w:rsid w:val="009B555B"/>
    <w:rsid w:val="009C0135"/>
    <w:rsid w:val="009C2A62"/>
    <w:rsid w:val="009C3D04"/>
    <w:rsid w:val="009C45D4"/>
    <w:rsid w:val="009C67E9"/>
    <w:rsid w:val="009D03C3"/>
    <w:rsid w:val="009D27C2"/>
    <w:rsid w:val="009D4E48"/>
    <w:rsid w:val="009F47C0"/>
    <w:rsid w:val="00A069D5"/>
    <w:rsid w:val="00A07155"/>
    <w:rsid w:val="00A10C91"/>
    <w:rsid w:val="00A14817"/>
    <w:rsid w:val="00A2267D"/>
    <w:rsid w:val="00A26F62"/>
    <w:rsid w:val="00A70B69"/>
    <w:rsid w:val="00A847BC"/>
    <w:rsid w:val="00A90FAB"/>
    <w:rsid w:val="00A95716"/>
    <w:rsid w:val="00A95B94"/>
    <w:rsid w:val="00AA3A12"/>
    <w:rsid w:val="00AA6563"/>
    <w:rsid w:val="00AA6712"/>
    <w:rsid w:val="00AA7E99"/>
    <w:rsid w:val="00AC0E8E"/>
    <w:rsid w:val="00AC4D01"/>
    <w:rsid w:val="00AC5F0B"/>
    <w:rsid w:val="00AD3201"/>
    <w:rsid w:val="00AD689A"/>
    <w:rsid w:val="00AE0589"/>
    <w:rsid w:val="00AE2B2E"/>
    <w:rsid w:val="00B20552"/>
    <w:rsid w:val="00B235DE"/>
    <w:rsid w:val="00B31E13"/>
    <w:rsid w:val="00B4311D"/>
    <w:rsid w:val="00B45B0E"/>
    <w:rsid w:val="00B5078C"/>
    <w:rsid w:val="00B50EDD"/>
    <w:rsid w:val="00B55B37"/>
    <w:rsid w:val="00B706CC"/>
    <w:rsid w:val="00B73665"/>
    <w:rsid w:val="00B864BC"/>
    <w:rsid w:val="00B8684E"/>
    <w:rsid w:val="00B97560"/>
    <w:rsid w:val="00BA64F8"/>
    <w:rsid w:val="00BB06CA"/>
    <w:rsid w:val="00BB15A6"/>
    <w:rsid w:val="00BC1BF1"/>
    <w:rsid w:val="00BD0AD4"/>
    <w:rsid w:val="00BE05ED"/>
    <w:rsid w:val="00BE1339"/>
    <w:rsid w:val="00BE23C6"/>
    <w:rsid w:val="00BF53FD"/>
    <w:rsid w:val="00C05B6F"/>
    <w:rsid w:val="00C135BC"/>
    <w:rsid w:val="00C203FD"/>
    <w:rsid w:val="00C25BAA"/>
    <w:rsid w:val="00C2750D"/>
    <w:rsid w:val="00C31C56"/>
    <w:rsid w:val="00C33BEB"/>
    <w:rsid w:val="00C33C72"/>
    <w:rsid w:val="00C365DF"/>
    <w:rsid w:val="00C46AAD"/>
    <w:rsid w:val="00C54D47"/>
    <w:rsid w:val="00C55DC4"/>
    <w:rsid w:val="00C61073"/>
    <w:rsid w:val="00C61458"/>
    <w:rsid w:val="00C6412F"/>
    <w:rsid w:val="00C909F7"/>
    <w:rsid w:val="00CA1AD5"/>
    <w:rsid w:val="00CA3603"/>
    <w:rsid w:val="00CA4E43"/>
    <w:rsid w:val="00CA781B"/>
    <w:rsid w:val="00CB04D8"/>
    <w:rsid w:val="00CC5176"/>
    <w:rsid w:val="00CD247C"/>
    <w:rsid w:val="00CD3162"/>
    <w:rsid w:val="00CE3F60"/>
    <w:rsid w:val="00CE6E6F"/>
    <w:rsid w:val="00CF19B6"/>
    <w:rsid w:val="00CF38DC"/>
    <w:rsid w:val="00CF4C4A"/>
    <w:rsid w:val="00D03C95"/>
    <w:rsid w:val="00D1501A"/>
    <w:rsid w:val="00D17D67"/>
    <w:rsid w:val="00D24F19"/>
    <w:rsid w:val="00D31773"/>
    <w:rsid w:val="00D54363"/>
    <w:rsid w:val="00D5681D"/>
    <w:rsid w:val="00D73B78"/>
    <w:rsid w:val="00D76805"/>
    <w:rsid w:val="00D7750C"/>
    <w:rsid w:val="00D8790E"/>
    <w:rsid w:val="00DA1FB4"/>
    <w:rsid w:val="00DA207C"/>
    <w:rsid w:val="00DB226B"/>
    <w:rsid w:val="00DC440F"/>
    <w:rsid w:val="00DE5EC2"/>
    <w:rsid w:val="00DF08FE"/>
    <w:rsid w:val="00DF1FD0"/>
    <w:rsid w:val="00DF3FFA"/>
    <w:rsid w:val="00DF7E90"/>
    <w:rsid w:val="00E128F0"/>
    <w:rsid w:val="00E22967"/>
    <w:rsid w:val="00E26250"/>
    <w:rsid w:val="00E312B0"/>
    <w:rsid w:val="00E33335"/>
    <w:rsid w:val="00E35FD1"/>
    <w:rsid w:val="00E413FB"/>
    <w:rsid w:val="00E51A8A"/>
    <w:rsid w:val="00E76F1A"/>
    <w:rsid w:val="00E775B6"/>
    <w:rsid w:val="00E85BD9"/>
    <w:rsid w:val="00E90C9D"/>
    <w:rsid w:val="00E948EA"/>
    <w:rsid w:val="00E97316"/>
    <w:rsid w:val="00EA4762"/>
    <w:rsid w:val="00EA6566"/>
    <w:rsid w:val="00EB1EC9"/>
    <w:rsid w:val="00EC07BE"/>
    <w:rsid w:val="00EC0BC7"/>
    <w:rsid w:val="00EC1BA0"/>
    <w:rsid w:val="00EC6EA8"/>
    <w:rsid w:val="00ED7CA2"/>
    <w:rsid w:val="00EE3D52"/>
    <w:rsid w:val="00EE5226"/>
    <w:rsid w:val="00EF323F"/>
    <w:rsid w:val="00EF489F"/>
    <w:rsid w:val="00F00441"/>
    <w:rsid w:val="00F06536"/>
    <w:rsid w:val="00F14D2D"/>
    <w:rsid w:val="00F15A1C"/>
    <w:rsid w:val="00F2474A"/>
    <w:rsid w:val="00F27153"/>
    <w:rsid w:val="00F42A69"/>
    <w:rsid w:val="00F42C14"/>
    <w:rsid w:val="00F473BC"/>
    <w:rsid w:val="00F51C41"/>
    <w:rsid w:val="00F56636"/>
    <w:rsid w:val="00F60B44"/>
    <w:rsid w:val="00F74FE9"/>
    <w:rsid w:val="00F815C2"/>
    <w:rsid w:val="00F84DB1"/>
    <w:rsid w:val="00F91D45"/>
    <w:rsid w:val="00FA1676"/>
    <w:rsid w:val="00FA2A21"/>
    <w:rsid w:val="00FA58E7"/>
    <w:rsid w:val="00FA7A4D"/>
    <w:rsid w:val="00FB13D0"/>
    <w:rsid w:val="00FB2730"/>
    <w:rsid w:val="00FC56B6"/>
    <w:rsid w:val="00FC580D"/>
    <w:rsid w:val="00FD2D16"/>
    <w:rsid w:val="00FD4065"/>
    <w:rsid w:val="00FD69D9"/>
    <w:rsid w:val="00FE4C83"/>
    <w:rsid w:val="00FF21D8"/>
    <w:rsid w:val="00FF6FD0"/>
    <w:rsid w:val="00FF79B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358B6"/>
  <w15:docId w15:val="{09CF1F07-87D2-43BE-A92D-40ABCF1A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F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0D81"/>
    <w:pPr>
      <w:spacing w:after="0"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59"/>
    <w:rsid w:val="00290D81"/>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636"/>
    <w:pPr>
      <w:ind w:left="720"/>
      <w:contextualSpacing/>
    </w:pPr>
  </w:style>
  <w:style w:type="paragraph" w:styleId="Header">
    <w:name w:val="header"/>
    <w:basedOn w:val="Normal"/>
    <w:link w:val="HeaderChar"/>
    <w:uiPriority w:val="99"/>
    <w:unhideWhenUsed/>
    <w:rsid w:val="008B4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616"/>
  </w:style>
  <w:style w:type="paragraph" w:styleId="Footer">
    <w:name w:val="footer"/>
    <w:basedOn w:val="Normal"/>
    <w:link w:val="FooterChar"/>
    <w:uiPriority w:val="99"/>
    <w:unhideWhenUsed/>
    <w:rsid w:val="008B4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616"/>
  </w:style>
  <w:style w:type="character" w:styleId="Hyperlink">
    <w:name w:val="Hyperlink"/>
    <w:basedOn w:val="DefaultParagraphFont"/>
    <w:uiPriority w:val="99"/>
    <w:unhideWhenUsed/>
    <w:rsid w:val="00230E68"/>
    <w:rPr>
      <w:color w:val="0000FF" w:themeColor="hyperlink"/>
      <w:u w:val="single"/>
    </w:rPr>
  </w:style>
  <w:style w:type="paragraph" w:styleId="BalloonText">
    <w:name w:val="Balloon Text"/>
    <w:basedOn w:val="Normal"/>
    <w:link w:val="BalloonTextChar"/>
    <w:uiPriority w:val="99"/>
    <w:semiHidden/>
    <w:unhideWhenUsed/>
    <w:rsid w:val="00DA2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7C"/>
    <w:rPr>
      <w:rFonts w:ascii="Tahoma" w:hAnsi="Tahoma" w:cs="Tahoma"/>
      <w:sz w:val="16"/>
      <w:szCs w:val="16"/>
    </w:rPr>
  </w:style>
  <w:style w:type="character" w:customStyle="1" w:styleId="NoSpacingChar">
    <w:name w:val="No Spacing Char"/>
    <w:link w:val="NoSpacing"/>
    <w:uiPriority w:val="1"/>
    <w:rsid w:val="00764633"/>
    <w:rPr>
      <w:rFonts w:ascii="Times New Roman" w:eastAsia="Times New Roman" w:hAnsi="Times New Roman" w:cs="Times New Roman"/>
      <w:sz w:val="24"/>
      <w:szCs w:val="24"/>
      <w:lang w:eastAsia="en-MY"/>
    </w:rPr>
  </w:style>
  <w:style w:type="character" w:styleId="UnresolvedMention">
    <w:name w:val="Unresolved Mention"/>
    <w:basedOn w:val="DefaultParagraphFont"/>
    <w:uiPriority w:val="99"/>
    <w:semiHidden/>
    <w:unhideWhenUsed/>
    <w:rsid w:val="00D24F19"/>
    <w:rPr>
      <w:color w:val="605E5C"/>
      <w:shd w:val="clear" w:color="auto" w:fill="E1DFDD"/>
    </w:rPr>
  </w:style>
  <w:style w:type="table" w:customStyle="1" w:styleId="TableGrid1">
    <w:name w:val="Table Grid1"/>
    <w:basedOn w:val="TableNormal"/>
    <w:next w:val="TableGrid"/>
    <w:uiPriority w:val="59"/>
    <w:rsid w:val="0052498E"/>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95528D"/>
    <w:rPr>
      <w:vertAlign w:val="superscript"/>
      <w:lang w:val="es-ES_tradnl"/>
    </w:rPr>
  </w:style>
  <w:style w:type="paragraph" w:styleId="NormalWeb">
    <w:name w:val="Normal (Web)"/>
    <w:basedOn w:val="Normal"/>
    <w:uiPriority w:val="99"/>
    <w:unhideWhenUsed/>
    <w:rsid w:val="003913A5"/>
    <w:rPr>
      <w:rFonts w:ascii="Times New Roman" w:hAnsi="Times New Roman" w:cs="Times New Roman"/>
      <w:sz w:val="24"/>
      <w:szCs w:val="24"/>
    </w:rPr>
  </w:style>
  <w:style w:type="table" w:customStyle="1" w:styleId="TableGrid2">
    <w:name w:val="Table Grid2"/>
    <w:basedOn w:val="TableNormal"/>
    <w:next w:val="TableGrid"/>
    <w:uiPriority w:val="39"/>
    <w:rsid w:val="003913A5"/>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77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0273">
      <w:bodyDiv w:val="1"/>
      <w:marLeft w:val="0"/>
      <w:marRight w:val="0"/>
      <w:marTop w:val="0"/>
      <w:marBottom w:val="0"/>
      <w:divBdr>
        <w:top w:val="none" w:sz="0" w:space="0" w:color="auto"/>
        <w:left w:val="none" w:sz="0" w:space="0" w:color="auto"/>
        <w:bottom w:val="none" w:sz="0" w:space="0" w:color="auto"/>
        <w:right w:val="none" w:sz="0" w:space="0" w:color="auto"/>
      </w:divBdr>
    </w:div>
    <w:div w:id="31267950">
      <w:bodyDiv w:val="1"/>
      <w:marLeft w:val="0"/>
      <w:marRight w:val="0"/>
      <w:marTop w:val="0"/>
      <w:marBottom w:val="0"/>
      <w:divBdr>
        <w:top w:val="none" w:sz="0" w:space="0" w:color="auto"/>
        <w:left w:val="none" w:sz="0" w:space="0" w:color="auto"/>
        <w:bottom w:val="none" w:sz="0" w:space="0" w:color="auto"/>
        <w:right w:val="none" w:sz="0" w:space="0" w:color="auto"/>
      </w:divBdr>
      <w:divsChild>
        <w:div w:id="2093356911">
          <w:marLeft w:val="0"/>
          <w:marRight w:val="0"/>
          <w:marTop w:val="0"/>
          <w:marBottom w:val="0"/>
          <w:divBdr>
            <w:top w:val="none" w:sz="0" w:space="0" w:color="auto"/>
            <w:left w:val="none" w:sz="0" w:space="0" w:color="auto"/>
            <w:bottom w:val="none" w:sz="0" w:space="0" w:color="auto"/>
            <w:right w:val="none" w:sz="0" w:space="0" w:color="auto"/>
          </w:divBdr>
        </w:div>
      </w:divsChild>
    </w:div>
    <w:div w:id="53553688">
      <w:bodyDiv w:val="1"/>
      <w:marLeft w:val="0"/>
      <w:marRight w:val="0"/>
      <w:marTop w:val="0"/>
      <w:marBottom w:val="0"/>
      <w:divBdr>
        <w:top w:val="none" w:sz="0" w:space="0" w:color="auto"/>
        <w:left w:val="none" w:sz="0" w:space="0" w:color="auto"/>
        <w:bottom w:val="none" w:sz="0" w:space="0" w:color="auto"/>
        <w:right w:val="none" w:sz="0" w:space="0" w:color="auto"/>
      </w:divBdr>
      <w:divsChild>
        <w:div w:id="436407100">
          <w:marLeft w:val="0"/>
          <w:marRight w:val="0"/>
          <w:marTop w:val="0"/>
          <w:marBottom w:val="0"/>
          <w:divBdr>
            <w:top w:val="none" w:sz="0" w:space="0" w:color="auto"/>
            <w:left w:val="none" w:sz="0" w:space="0" w:color="auto"/>
            <w:bottom w:val="none" w:sz="0" w:space="0" w:color="auto"/>
            <w:right w:val="none" w:sz="0" w:space="0" w:color="auto"/>
          </w:divBdr>
        </w:div>
      </w:divsChild>
    </w:div>
    <w:div w:id="99035989">
      <w:bodyDiv w:val="1"/>
      <w:marLeft w:val="0"/>
      <w:marRight w:val="0"/>
      <w:marTop w:val="0"/>
      <w:marBottom w:val="0"/>
      <w:divBdr>
        <w:top w:val="none" w:sz="0" w:space="0" w:color="auto"/>
        <w:left w:val="none" w:sz="0" w:space="0" w:color="auto"/>
        <w:bottom w:val="none" w:sz="0" w:space="0" w:color="auto"/>
        <w:right w:val="none" w:sz="0" w:space="0" w:color="auto"/>
      </w:divBdr>
    </w:div>
    <w:div w:id="112023638">
      <w:bodyDiv w:val="1"/>
      <w:marLeft w:val="0"/>
      <w:marRight w:val="0"/>
      <w:marTop w:val="0"/>
      <w:marBottom w:val="0"/>
      <w:divBdr>
        <w:top w:val="none" w:sz="0" w:space="0" w:color="auto"/>
        <w:left w:val="none" w:sz="0" w:space="0" w:color="auto"/>
        <w:bottom w:val="none" w:sz="0" w:space="0" w:color="auto"/>
        <w:right w:val="none" w:sz="0" w:space="0" w:color="auto"/>
      </w:divBdr>
    </w:div>
    <w:div w:id="140120785">
      <w:bodyDiv w:val="1"/>
      <w:marLeft w:val="0"/>
      <w:marRight w:val="0"/>
      <w:marTop w:val="0"/>
      <w:marBottom w:val="0"/>
      <w:divBdr>
        <w:top w:val="none" w:sz="0" w:space="0" w:color="auto"/>
        <w:left w:val="none" w:sz="0" w:space="0" w:color="auto"/>
        <w:bottom w:val="none" w:sz="0" w:space="0" w:color="auto"/>
        <w:right w:val="none" w:sz="0" w:space="0" w:color="auto"/>
      </w:divBdr>
    </w:div>
    <w:div w:id="140927296">
      <w:bodyDiv w:val="1"/>
      <w:marLeft w:val="0"/>
      <w:marRight w:val="0"/>
      <w:marTop w:val="0"/>
      <w:marBottom w:val="0"/>
      <w:divBdr>
        <w:top w:val="none" w:sz="0" w:space="0" w:color="auto"/>
        <w:left w:val="none" w:sz="0" w:space="0" w:color="auto"/>
        <w:bottom w:val="none" w:sz="0" w:space="0" w:color="auto"/>
        <w:right w:val="none" w:sz="0" w:space="0" w:color="auto"/>
      </w:divBdr>
    </w:div>
    <w:div w:id="188689393">
      <w:bodyDiv w:val="1"/>
      <w:marLeft w:val="0"/>
      <w:marRight w:val="0"/>
      <w:marTop w:val="0"/>
      <w:marBottom w:val="0"/>
      <w:divBdr>
        <w:top w:val="none" w:sz="0" w:space="0" w:color="auto"/>
        <w:left w:val="none" w:sz="0" w:space="0" w:color="auto"/>
        <w:bottom w:val="none" w:sz="0" w:space="0" w:color="auto"/>
        <w:right w:val="none" w:sz="0" w:space="0" w:color="auto"/>
      </w:divBdr>
    </w:div>
    <w:div w:id="193619796">
      <w:bodyDiv w:val="1"/>
      <w:marLeft w:val="0"/>
      <w:marRight w:val="0"/>
      <w:marTop w:val="0"/>
      <w:marBottom w:val="0"/>
      <w:divBdr>
        <w:top w:val="none" w:sz="0" w:space="0" w:color="auto"/>
        <w:left w:val="none" w:sz="0" w:space="0" w:color="auto"/>
        <w:bottom w:val="none" w:sz="0" w:space="0" w:color="auto"/>
        <w:right w:val="none" w:sz="0" w:space="0" w:color="auto"/>
      </w:divBdr>
    </w:div>
    <w:div w:id="235896243">
      <w:bodyDiv w:val="1"/>
      <w:marLeft w:val="0"/>
      <w:marRight w:val="0"/>
      <w:marTop w:val="0"/>
      <w:marBottom w:val="0"/>
      <w:divBdr>
        <w:top w:val="none" w:sz="0" w:space="0" w:color="auto"/>
        <w:left w:val="none" w:sz="0" w:space="0" w:color="auto"/>
        <w:bottom w:val="none" w:sz="0" w:space="0" w:color="auto"/>
        <w:right w:val="none" w:sz="0" w:space="0" w:color="auto"/>
      </w:divBdr>
    </w:div>
    <w:div w:id="277177521">
      <w:bodyDiv w:val="1"/>
      <w:marLeft w:val="0"/>
      <w:marRight w:val="0"/>
      <w:marTop w:val="0"/>
      <w:marBottom w:val="0"/>
      <w:divBdr>
        <w:top w:val="none" w:sz="0" w:space="0" w:color="auto"/>
        <w:left w:val="none" w:sz="0" w:space="0" w:color="auto"/>
        <w:bottom w:val="none" w:sz="0" w:space="0" w:color="auto"/>
        <w:right w:val="none" w:sz="0" w:space="0" w:color="auto"/>
      </w:divBdr>
    </w:div>
    <w:div w:id="332612528">
      <w:bodyDiv w:val="1"/>
      <w:marLeft w:val="0"/>
      <w:marRight w:val="0"/>
      <w:marTop w:val="0"/>
      <w:marBottom w:val="0"/>
      <w:divBdr>
        <w:top w:val="none" w:sz="0" w:space="0" w:color="auto"/>
        <w:left w:val="none" w:sz="0" w:space="0" w:color="auto"/>
        <w:bottom w:val="none" w:sz="0" w:space="0" w:color="auto"/>
        <w:right w:val="none" w:sz="0" w:space="0" w:color="auto"/>
      </w:divBdr>
    </w:div>
    <w:div w:id="335622546">
      <w:bodyDiv w:val="1"/>
      <w:marLeft w:val="0"/>
      <w:marRight w:val="0"/>
      <w:marTop w:val="0"/>
      <w:marBottom w:val="0"/>
      <w:divBdr>
        <w:top w:val="none" w:sz="0" w:space="0" w:color="auto"/>
        <w:left w:val="none" w:sz="0" w:space="0" w:color="auto"/>
        <w:bottom w:val="none" w:sz="0" w:space="0" w:color="auto"/>
        <w:right w:val="none" w:sz="0" w:space="0" w:color="auto"/>
      </w:divBdr>
    </w:div>
    <w:div w:id="342821312">
      <w:bodyDiv w:val="1"/>
      <w:marLeft w:val="0"/>
      <w:marRight w:val="0"/>
      <w:marTop w:val="0"/>
      <w:marBottom w:val="0"/>
      <w:divBdr>
        <w:top w:val="none" w:sz="0" w:space="0" w:color="auto"/>
        <w:left w:val="none" w:sz="0" w:space="0" w:color="auto"/>
        <w:bottom w:val="none" w:sz="0" w:space="0" w:color="auto"/>
        <w:right w:val="none" w:sz="0" w:space="0" w:color="auto"/>
      </w:divBdr>
    </w:div>
    <w:div w:id="362440354">
      <w:bodyDiv w:val="1"/>
      <w:marLeft w:val="0"/>
      <w:marRight w:val="0"/>
      <w:marTop w:val="0"/>
      <w:marBottom w:val="0"/>
      <w:divBdr>
        <w:top w:val="none" w:sz="0" w:space="0" w:color="auto"/>
        <w:left w:val="none" w:sz="0" w:space="0" w:color="auto"/>
        <w:bottom w:val="none" w:sz="0" w:space="0" w:color="auto"/>
        <w:right w:val="none" w:sz="0" w:space="0" w:color="auto"/>
      </w:divBdr>
      <w:divsChild>
        <w:div w:id="173032537">
          <w:marLeft w:val="0"/>
          <w:marRight w:val="0"/>
          <w:marTop w:val="0"/>
          <w:marBottom w:val="0"/>
          <w:divBdr>
            <w:top w:val="none" w:sz="0" w:space="0" w:color="auto"/>
            <w:left w:val="none" w:sz="0" w:space="0" w:color="auto"/>
            <w:bottom w:val="none" w:sz="0" w:space="0" w:color="auto"/>
            <w:right w:val="none" w:sz="0" w:space="0" w:color="auto"/>
          </w:divBdr>
        </w:div>
      </w:divsChild>
    </w:div>
    <w:div w:id="382680110">
      <w:bodyDiv w:val="1"/>
      <w:marLeft w:val="0"/>
      <w:marRight w:val="0"/>
      <w:marTop w:val="0"/>
      <w:marBottom w:val="0"/>
      <w:divBdr>
        <w:top w:val="none" w:sz="0" w:space="0" w:color="auto"/>
        <w:left w:val="none" w:sz="0" w:space="0" w:color="auto"/>
        <w:bottom w:val="none" w:sz="0" w:space="0" w:color="auto"/>
        <w:right w:val="none" w:sz="0" w:space="0" w:color="auto"/>
      </w:divBdr>
    </w:div>
    <w:div w:id="391082252">
      <w:bodyDiv w:val="1"/>
      <w:marLeft w:val="0"/>
      <w:marRight w:val="0"/>
      <w:marTop w:val="0"/>
      <w:marBottom w:val="0"/>
      <w:divBdr>
        <w:top w:val="none" w:sz="0" w:space="0" w:color="auto"/>
        <w:left w:val="none" w:sz="0" w:space="0" w:color="auto"/>
        <w:bottom w:val="none" w:sz="0" w:space="0" w:color="auto"/>
        <w:right w:val="none" w:sz="0" w:space="0" w:color="auto"/>
      </w:divBdr>
    </w:div>
    <w:div w:id="391737955">
      <w:bodyDiv w:val="1"/>
      <w:marLeft w:val="0"/>
      <w:marRight w:val="0"/>
      <w:marTop w:val="0"/>
      <w:marBottom w:val="0"/>
      <w:divBdr>
        <w:top w:val="none" w:sz="0" w:space="0" w:color="auto"/>
        <w:left w:val="none" w:sz="0" w:space="0" w:color="auto"/>
        <w:bottom w:val="none" w:sz="0" w:space="0" w:color="auto"/>
        <w:right w:val="none" w:sz="0" w:space="0" w:color="auto"/>
      </w:divBdr>
    </w:div>
    <w:div w:id="428430961">
      <w:bodyDiv w:val="1"/>
      <w:marLeft w:val="0"/>
      <w:marRight w:val="0"/>
      <w:marTop w:val="0"/>
      <w:marBottom w:val="0"/>
      <w:divBdr>
        <w:top w:val="none" w:sz="0" w:space="0" w:color="auto"/>
        <w:left w:val="none" w:sz="0" w:space="0" w:color="auto"/>
        <w:bottom w:val="none" w:sz="0" w:space="0" w:color="auto"/>
        <w:right w:val="none" w:sz="0" w:space="0" w:color="auto"/>
      </w:divBdr>
    </w:div>
    <w:div w:id="527565153">
      <w:bodyDiv w:val="1"/>
      <w:marLeft w:val="0"/>
      <w:marRight w:val="0"/>
      <w:marTop w:val="0"/>
      <w:marBottom w:val="0"/>
      <w:divBdr>
        <w:top w:val="none" w:sz="0" w:space="0" w:color="auto"/>
        <w:left w:val="none" w:sz="0" w:space="0" w:color="auto"/>
        <w:bottom w:val="none" w:sz="0" w:space="0" w:color="auto"/>
        <w:right w:val="none" w:sz="0" w:space="0" w:color="auto"/>
      </w:divBdr>
      <w:divsChild>
        <w:div w:id="1893811152">
          <w:marLeft w:val="0"/>
          <w:marRight w:val="0"/>
          <w:marTop w:val="0"/>
          <w:marBottom w:val="0"/>
          <w:divBdr>
            <w:top w:val="none" w:sz="0" w:space="0" w:color="auto"/>
            <w:left w:val="none" w:sz="0" w:space="0" w:color="auto"/>
            <w:bottom w:val="none" w:sz="0" w:space="0" w:color="auto"/>
            <w:right w:val="none" w:sz="0" w:space="0" w:color="auto"/>
          </w:divBdr>
          <w:divsChild>
            <w:div w:id="785078885">
              <w:marLeft w:val="0"/>
              <w:marRight w:val="0"/>
              <w:marTop w:val="0"/>
              <w:marBottom w:val="0"/>
              <w:divBdr>
                <w:top w:val="none" w:sz="0" w:space="0" w:color="auto"/>
                <w:left w:val="none" w:sz="0" w:space="0" w:color="auto"/>
                <w:bottom w:val="none" w:sz="0" w:space="0" w:color="auto"/>
                <w:right w:val="none" w:sz="0" w:space="0" w:color="auto"/>
              </w:divBdr>
              <w:divsChild>
                <w:div w:id="369183670">
                  <w:marLeft w:val="0"/>
                  <w:marRight w:val="0"/>
                  <w:marTop w:val="0"/>
                  <w:marBottom w:val="0"/>
                  <w:divBdr>
                    <w:top w:val="none" w:sz="0" w:space="0" w:color="auto"/>
                    <w:left w:val="none" w:sz="0" w:space="0" w:color="auto"/>
                    <w:bottom w:val="none" w:sz="0" w:space="0" w:color="auto"/>
                    <w:right w:val="none" w:sz="0" w:space="0" w:color="auto"/>
                  </w:divBdr>
                  <w:divsChild>
                    <w:div w:id="245504012">
                      <w:marLeft w:val="0"/>
                      <w:marRight w:val="0"/>
                      <w:marTop w:val="0"/>
                      <w:marBottom w:val="0"/>
                      <w:divBdr>
                        <w:top w:val="none" w:sz="0" w:space="0" w:color="auto"/>
                        <w:left w:val="none" w:sz="0" w:space="0" w:color="auto"/>
                        <w:bottom w:val="none" w:sz="0" w:space="0" w:color="auto"/>
                        <w:right w:val="none" w:sz="0" w:space="0" w:color="auto"/>
                      </w:divBdr>
                      <w:divsChild>
                        <w:div w:id="1843884991">
                          <w:marLeft w:val="0"/>
                          <w:marRight w:val="0"/>
                          <w:marTop w:val="0"/>
                          <w:marBottom w:val="0"/>
                          <w:divBdr>
                            <w:top w:val="none" w:sz="0" w:space="0" w:color="auto"/>
                            <w:left w:val="none" w:sz="0" w:space="0" w:color="auto"/>
                            <w:bottom w:val="none" w:sz="0" w:space="0" w:color="auto"/>
                            <w:right w:val="none" w:sz="0" w:space="0" w:color="auto"/>
                          </w:divBdr>
                          <w:divsChild>
                            <w:div w:id="112406137">
                              <w:marLeft w:val="0"/>
                              <w:marRight w:val="0"/>
                              <w:marTop w:val="0"/>
                              <w:marBottom w:val="0"/>
                              <w:divBdr>
                                <w:top w:val="none" w:sz="0" w:space="0" w:color="auto"/>
                                <w:left w:val="none" w:sz="0" w:space="0" w:color="auto"/>
                                <w:bottom w:val="none" w:sz="0" w:space="0" w:color="auto"/>
                                <w:right w:val="none" w:sz="0" w:space="0" w:color="auto"/>
                              </w:divBdr>
                              <w:divsChild>
                                <w:div w:id="8690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28545">
      <w:bodyDiv w:val="1"/>
      <w:marLeft w:val="0"/>
      <w:marRight w:val="0"/>
      <w:marTop w:val="0"/>
      <w:marBottom w:val="0"/>
      <w:divBdr>
        <w:top w:val="none" w:sz="0" w:space="0" w:color="auto"/>
        <w:left w:val="none" w:sz="0" w:space="0" w:color="auto"/>
        <w:bottom w:val="none" w:sz="0" w:space="0" w:color="auto"/>
        <w:right w:val="none" w:sz="0" w:space="0" w:color="auto"/>
      </w:divBdr>
      <w:divsChild>
        <w:div w:id="921641357">
          <w:marLeft w:val="0"/>
          <w:marRight w:val="0"/>
          <w:marTop w:val="0"/>
          <w:marBottom w:val="0"/>
          <w:divBdr>
            <w:top w:val="none" w:sz="0" w:space="0" w:color="auto"/>
            <w:left w:val="none" w:sz="0" w:space="0" w:color="auto"/>
            <w:bottom w:val="none" w:sz="0" w:space="0" w:color="auto"/>
            <w:right w:val="none" w:sz="0" w:space="0" w:color="auto"/>
          </w:divBdr>
        </w:div>
      </w:divsChild>
    </w:div>
    <w:div w:id="654531973">
      <w:bodyDiv w:val="1"/>
      <w:marLeft w:val="0"/>
      <w:marRight w:val="0"/>
      <w:marTop w:val="0"/>
      <w:marBottom w:val="0"/>
      <w:divBdr>
        <w:top w:val="none" w:sz="0" w:space="0" w:color="auto"/>
        <w:left w:val="none" w:sz="0" w:space="0" w:color="auto"/>
        <w:bottom w:val="none" w:sz="0" w:space="0" w:color="auto"/>
        <w:right w:val="none" w:sz="0" w:space="0" w:color="auto"/>
      </w:divBdr>
      <w:divsChild>
        <w:div w:id="783614380">
          <w:marLeft w:val="0"/>
          <w:marRight w:val="0"/>
          <w:marTop w:val="0"/>
          <w:marBottom w:val="0"/>
          <w:divBdr>
            <w:top w:val="none" w:sz="0" w:space="0" w:color="auto"/>
            <w:left w:val="none" w:sz="0" w:space="0" w:color="auto"/>
            <w:bottom w:val="none" w:sz="0" w:space="0" w:color="auto"/>
            <w:right w:val="none" w:sz="0" w:space="0" w:color="auto"/>
          </w:divBdr>
        </w:div>
      </w:divsChild>
    </w:div>
    <w:div w:id="725419682">
      <w:bodyDiv w:val="1"/>
      <w:marLeft w:val="0"/>
      <w:marRight w:val="0"/>
      <w:marTop w:val="0"/>
      <w:marBottom w:val="0"/>
      <w:divBdr>
        <w:top w:val="none" w:sz="0" w:space="0" w:color="auto"/>
        <w:left w:val="none" w:sz="0" w:space="0" w:color="auto"/>
        <w:bottom w:val="none" w:sz="0" w:space="0" w:color="auto"/>
        <w:right w:val="none" w:sz="0" w:space="0" w:color="auto"/>
      </w:divBdr>
    </w:div>
    <w:div w:id="731343633">
      <w:bodyDiv w:val="1"/>
      <w:marLeft w:val="0"/>
      <w:marRight w:val="0"/>
      <w:marTop w:val="0"/>
      <w:marBottom w:val="0"/>
      <w:divBdr>
        <w:top w:val="none" w:sz="0" w:space="0" w:color="auto"/>
        <w:left w:val="none" w:sz="0" w:space="0" w:color="auto"/>
        <w:bottom w:val="none" w:sz="0" w:space="0" w:color="auto"/>
        <w:right w:val="none" w:sz="0" w:space="0" w:color="auto"/>
      </w:divBdr>
    </w:div>
    <w:div w:id="745879344">
      <w:bodyDiv w:val="1"/>
      <w:marLeft w:val="0"/>
      <w:marRight w:val="0"/>
      <w:marTop w:val="0"/>
      <w:marBottom w:val="0"/>
      <w:divBdr>
        <w:top w:val="none" w:sz="0" w:space="0" w:color="auto"/>
        <w:left w:val="none" w:sz="0" w:space="0" w:color="auto"/>
        <w:bottom w:val="none" w:sz="0" w:space="0" w:color="auto"/>
        <w:right w:val="none" w:sz="0" w:space="0" w:color="auto"/>
      </w:divBdr>
      <w:divsChild>
        <w:div w:id="2035957876">
          <w:marLeft w:val="0"/>
          <w:marRight w:val="0"/>
          <w:marTop w:val="0"/>
          <w:marBottom w:val="0"/>
          <w:divBdr>
            <w:top w:val="none" w:sz="0" w:space="0" w:color="auto"/>
            <w:left w:val="none" w:sz="0" w:space="0" w:color="auto"/>
            <w:bottom w:val="none" w:sz="0" w:space="0" w:color="auto"/>
            <w:right w:val="none" w:sz="0" w:space="0" w:color="auto"/>
          </w:divBdr>
          <w:divsChild>
            <w:div w:id="1763842753">
              <w:marLeft w:val="0"/>
              <w:marRight w:val="0"/>
              <w:marTop w:val="0"/>
              <w:marBottom w:val="0"/>
              <w:divBdr>
                <w:top w:val="none" w:sz="0" w:space="0" w:color="auto"/>
                <w:left w:val="none" w:sz="0" w:space="0" w:color="auto"/>
                <w:bottom w:val="none" w:sz="0" w:space="0" w:color="auto"/>
                <w:right w:val="none" w:sz="0" w:space="0" w:color="auto"/>
              </w:divBdr>
              <w:divsChild>
                <w:div w:id="1102409431">
                  <w:marLeft w:val="0"/>
                  <w:marRight w:val="0"/>
                  <w:marTop w:val="0"/>
                  <w:marBottom w:val="0"/>
                  <w:divBdr>
                    <w:top w:val="none" w:sz="0" w:space="0" w:color="auto"/>
                    <w:left w:val="none" w:sz="0" w:space="0" w:color="auto"/>
                    <w:bottom w:val="none" w:sz="0" w:space="0" w:color="auto"/>
                    <w:right w:val="none" w:sz="0" w:space="0" w:color="auto"/>
                  </w:divBdr>
                  <w:divsChild>
                    <w:div w:id="711223999">
                      <w:marLeft w:val="0"/>
                      <w:marRight w:val="0"/>
                      <w:marTop w:val="0"/>
                      <w:marBottom w:val="0"/>
                      <w:divBdr>
                        <w:top w:val="none" w:sz="0" w:space="0" w:color="auto"/>
                        <w:left w:val="none" w:sz="0" w:space="0" w:color="auto"/>
                        <w:bottom w:val="none" w:sz="0" w:space="0" w:color="auto"/>
                        <w:right w:val="none" w:sz="0" w:space="0" w:color="auto"/>
                      </w:divBdr>
                      <w:divsChild>
                        <w:div w:id="1038046071">
                          <w:marLeft w:val="0"/>
                          <w:marRight w:val="0"/>
                          <w:marTop w:val="0"/>
                          <w:marBottom w:val="0"/>
                          <w:divBdr>
                            <w:top w:val="none" w:sz="0" w:space="0" w:color="auto"/>
                            <w:left w:val="none" w:sz="0" w:space="0" w:color="auto"/>
                            <w:bottom w:val="none" w:sz="0" w:space="0" w:color="auto"/>
                            <w:right w:val="none" w:sz="0" w:space="0" w:color="auto"/>
                          </w:divBdr>
                          <w:divsChild>
                            <w:div w:id="479929201">
                              <w:marLeft w:val="0"/>
                              <w:marRight w:val="0"/>
                              <w:marTop w:val="0"/>
                              <w:marBottom w:val="0"/>
                              <w:divBdr>
                                <w:top w:val="none" w:sz="0" w:space="0" w:color="auto"/>
                                <w:left w:val="none" w:sz="0" w:space="0" w:color="auto"/>
                                <w:bottom w:val="none" w:sz="0" w:space="0" w:color="auto"/>
                                <w:right w:val="none" w:sz="0" w:space="0" w:color="auto"/>
                              </w:divBdr>
                              <w:divsChild>
                                <w:div w:id="8375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138899">
      <w:bodyDiv w:val="1"/>
      <w:marLeft w:val="0"/>
      <w:marRight w:val="0"/>
      <w:marTop w:val="0"/>
      <w:marBottom w:val="0"/>
      <w:divBdr>
        <w:top w:val="none" w:sz="0" w:space="0" w:color="auto"/>
        <w:left w:val="none" w:sz="0" w:space="0" w:color="auto"/>
        <w:bottom w:val="none" w:sz="0" w:space="0" w:color="auto"/>
        <w:right w:val="none" w:sz="0" w:space="0" w:color="auto"/>
      </w:divBdr>
    </w:div>
    <w:div w:id="786241989">
      <w:bodyDiv w:val="1"/>
      <w:marLeft w:val="0"/>
      <w:marRight w:val="0"/>
      <w:marTop w:val="0"/>
      <w:marBottom w:val="0"/>
      <w:divBdr>
        <w:top w:val="none" w:sz="0" w:space="0" w:color="auto"/>
        <w:left w:val="none" w:sz="0" w:space="0" w:color="auto"/>
        <w:bottom w:val="none" w:sz="0" w:space="0" w:color="auto"/>
        <w:right w:val="none" w:sz="0" w:space="0" w:color="auto"/>
      </w:divBdr>
      <w:divsChild>
        <w:div w:id="2067871122">
          <w:marLeft w:val="0"/>
          <w:marRight w:val="0"/>
          <w:marTop w:val="0"/>
          <w:marBottom w:val="0"/>
          <w:divBdr>
            <w:top w:val="none" w:sz="0" w:space="0" w:color="auto"/>
            <w:left w:val="none" w:sz="0" w:space="0" w:color="auto"/>
            <w:bottom w:val="none" w:sz="0" w:space="0" w:color="auto"/>
            <w:right w:val="none" w:sz="0" w:space="0" w:color="auto"/>
          </w:divBdr>
        </w:div>
      </w:divsChild>
    </w:div>
    <w:div w:id="818375971">
      <w:bodyDiv w:val="1"/>
      <w:marLeft w:val="0"/>
      <w:marRight w:val="0"/>
      <w:marTop w:val="0"/>
      <w:marBottom w:val="0"/>
      <w:divBdr>
        <w:top w:val="none" w:sz="0" w:space="0" w:color="auto"/>
        <w:left w:val="none" w:sz="0" w:space="0" w:color="auto"/>
        <w:bottom w:val="none" w:sz="0" w:space="0" w:color="auto"/>
        <w:right w:val="none" w:sz="0" w:space="0" w:color="auto"/>
      </w:divBdr>
    </w:div>
    <w:div w:id="824275158">
      <w:bodyDiv w:val="1"/>
      <w:marLeft w:val="0"/>
      <w:marRight w:val="0"/>
      <w:marTop w:val="0"/>
      <w:marBottom w:val="0"/>
      <w:divBdr>
        <w:top w:val="none" w:sz="0" w:space="0" w:color="auto"/>
        <w:left w:val="none" w:sz="0" w:space="0" w:color="auto"/>
        <w:bottom w:val="none" w:sz="0" w:space="0" w:color="auto"/>
        <w:right w:val="none" w:sz="0" w:space="0" w:color="auto"/>
      </w:divBdr>
      <w:divsChild>
        <w:div w:id="1874994427">
          <w:marLeft w:val="0"/>
          <w:marRight w:val="0"/>
          <w:marTop w:val="0"/>
          <w:marBottom w:val="0"/>
          <w:divBdr>
            <w:top w:val="none" w:sz="0" w:space="0" w:color="auto"/>
            <w:left w:val="none" w:sz="0" w:space="0" w:color="auto"/>
            <w:bottom w:val="none" w:sz="0" w:space="0" w:color="auto"/>
            <w:right w:val="none" w:sz="0" w:space="0" w:color="auto"/>
          </w:divBdr>
        </w:div>
      </w:divsChild>
    </w:div>
    <w:div w:id="836963485">
      <w:bodyDiv w:val="1"/>
      <w:marLeft w:val="0"/>
      <w:marRight w:val="0"/>
      <w:marTop w:val="0"/>
      <w:marBottom w:val="0"/>
      <w:divBdr>
        <w:top w:val="none" w:sz="0" w:space="0" w:color="auto"/>
        <w:left w:val="none" w:sz="0" w:space="0" w:color="auto"/>
        <w:bottom w:val="none" w:sz="0" w:space="0" w:color="auto"/>
        <w:right w:val="none" w:sz="0" w:space="0" w:color="auto"/>
      </w:divBdr>
    </w:div>
    <w:div w:id="865289250">
      <w:bodyDiv w:val="1"/>
      <w:marLeft w:val="0"/>
      <w:marRight w:val="0"/>
      <w:marTop w:val="0"/>
      <w:marBottom w:val="0"/>
      <w:divBdr>
        <w:top w:val="none" w:sz="0" w:space="0" w:color="auto"/>
        <w:left w:val="none" w:sz="0" w:space="0" w:color="auto"/>
        <w:bottom w:val="none" w:sz="0" w:space="0" w:color="auto"/>
        <w:right w:val="none" w:sz="0" w:space="0" w:color="auto"/>
      </w:divBdr>
      <w:divsChild>
        <w:div w:id="1337732714">
          <w:marLeft w:val="0"/>
          <w:marRight w:val="0"/>
          <w:marTop w:val="0"/>
          <w:marBottom w:val="0"/>
          <w:divBdr>
            <w:top w:val="none" w:sz="0" w:space="0" w:color="auto"/>
            <w:left w:val="none" w:sz="0" w:space="0" w:color="auto"/>
            <w:bottom w:val="none" w:sz="0" w:space="0" w:color="auto"/>
            <w:right w:val="none" w:sz="0" w:space="0" w:color="auto"/>
          </w:divBdr>
        </w:div>
      </w:divsChild>
    </w:div>
    <w:div w:id="901982794">
      <w:bodyDiv w:val="1"/>
      <w:marLeft w:val="0"/>
      <w:marRight w:val="0"/>
      <w:marTop w:val="0"/>
      <w:marBottom w:val="0"/>
      <w:divBdr>
        <w:top w:val="none" w:sz="0" w:space="0" w:color="auto"/>
        <w:left w:val="none" w:sz="0" w:space="0" w:color="auto"/>
        <w:bottom w:val="none" w:sz="0" w:space="0" w:color="auto"/>
        <w:right w:val="none" w:sz="0" w:space="0" w:color="auto"/>
      </w:divBdr>
    </w:div>
    <w:div w:id="902720389">
      <w:bodyDiv w:val="1"/>
      <w:marLeft w:val="0"/>
      <w:marRight w:val="0"/>
      <w:marTop w:val="0"/>
      <w:marBottom w:val="0"/>
      <w:divBdr>
        <w:top w:val="none" w:sz="0" w:space="0" w:color="auto"/>
        <w:left w:val="none" w:sz="0" w:space="0" w:color="auto"/>
        <w:bottom w:val="none" w:sz="0" w:space="0" w:color="auto"/>
        <w:right w:val="none" w:sz="0" w:space="0" w:color="auto"/>
      </w:divBdr>
    </w:div>
    <w:div w:id="926230329">
      <w:bodyDiv w:val="1"/>
      <w:marLeft w:val="0"/>
      <w:marRight w:val="0"/>
      <w:marTop w:val="0"/>
      <w:marBottom w:val="0"/>
      <w:divBdr>
        <w:top w:val="none" w:sz="0" w:space="0" w:color="auto"/>
        <w:left w:val="none" w:sz="0" w:space="0" w:color="auto"/>
        <w:bottom w:val="none" w:sz="0" w:space="0" w:color="auto"/>
        <w:right w:val="none" w:sz="0" w:space="0" w:color="auto"/>
      </w:divBdr>
      <w:divsChild>
        <w:div w:id="764837148">
          <w:marLeft w:val="0"/>
          <w:marRight w:val="0"/>
          <w:marTop w:val="0"/>
          <w:marBottom w:val="0"/>
          <w:divBdr>
            <w:top w:val="none" w:sz="0" w:space="0" w:color="auto"/>
            <w:left w:val="none" w:sz="0" w:space="0" w:color="auto"/>
            <w:bottom w:val="none" w:sz="0" w:space="0" w:color="auto"/>
            <w:right w:val="none" w:sz="0" w:space="0" w:color="auto"/>
          </w:divBdr>
        </w:div>
      </w:divsChild>
    </w:div>
    <w:div w:id="927345645">
      <w:bodyDiv w:val="1"/>
      <w:marLeft w:val="0"/>
      <w:marRight w:val="0"/>
      <w:marTop w:val="0"/>
      <w:marBottom w:val="0"/>
      <w:divBdr>
        <w:top w:val="none" w:sz="0" w:space="0" w:color="auto"/>
        <w:left w:val="none" w:sz="0" w:space="0" w:color="auto"/>
        <w:bottom w:val="none" w:sz="0" w:space="0" w:color="auto"/>
        <w:right w:val="none" w:sz="0" w:space="0" w:color="auto"/>
      </w:divBdr>
    </w:div>
    <w:div w:id="1027947581">
      <w:bodyDiv w:val="1"/>
      <w:marLeft w:val="0"/>
      <w:marRight w:val="0"/>
      <w:marTop w:val="0"/>
      <w:marBottom w:val="0"/>
      <w:divBdr>
        <w:top w:val="none" w:sz="0" w:space="0" w:color="auto"/>
        <w:left w:val="none" w:sz="0" w:space="0" w:color="auto"/>
        <w:bottom w:val="none" w:sz="0" w:space="0" w:color="auto"/>
        <w:right w:val="none" w:sz="0" w:space="0" w:color="auto"/>
      </w:divBdr>
      <w:divsChild>
        <w:div w:id="881138738">
          <w:marLeft w:val="0"/>
          <w:marRight w:val="0"/>
          <w:marTop w:val="0"/>
          <w:marBottom w:val="0"/>
          <w:divBdr>
            <w:top w:val="none" w:sz="0" w:space="0" w:color="auto"/>
            <w:left w:val="none" w:sz="0" w:space="0" w:color="auto"/>
            <w:bottom w:val="none" w:sz="0" w:space="0" w:color="auto"/>
            <w:right w:val="none" w:sz="0" w:space="0" w:color="auto"/>
          </w:divBdr>
        </w:div>
      </w:divsChild>
    </w:div>
    <w:div w:id="1072316701">
      <w:bodyDiv w:val="1"/>
      <w:marLeft w:val="0"/>
      <w:marRight w:val="0"/>
      <w:marTop w:val="0"/>
      <w:marBottom w:val="0"/>
      <w:divBdr>
        <w:top w:val="none" w:sz="0" w:space="0" w:color="auto"/>
        <w:left w:val="none" w:sz="0" w:space="0" w:color="auto"/>
        <w:bottom w:val="none" w:sz="0" w:space="0" w:color="auto"/>
        <w:right w:val="none" w:sz="0" w:space="0" w:color="auto"/>
      </w:divBdr>
      <w:divsChild>
        <w:div w:id="866258286">
          <w:marLeft w:val="0"/>
          <w:marRight w:val="0"/>
          <w:marTop w:val="0"/>
          <w:marBottom w:val="0"/>
          <w:divBdr>
            <w:top w:val="none" w:sz="0" w:space="0" w:color="auto"/>
            <w:left w:val="none" w:sz="0" w:space="0" w:color="auto"/>
            <w:bottom w:val="none" w:sz="0" w:space="0" w:color="auto"/>
            <w:right w:val="none" w:sz="0" w:space="0" w:color="auto"/>
          </w:divBdr>
          <w:divsChild>
            <w:div w:id="989601902">
              <w:marLeft w:val="0"/>
              <w:marRight w:val="0"/>
              <w:marTop w:val="0"/>
              <w:marBottom w:val="0"/>
              <w:divBdr>
                <w:top w:val="none" w:sz="0" w:space="0" w:color="auto"/>
                <w:left w:val="none" w:sz="0" w:space="0" w:color="auto"/>
                <w:bottom w:val="none" w:sz="0" w:space="0" w:color="auto"/>
                <w:right w:val="none" w:sz="0" w:space="0" w:color="auto"/>
              </w:divBdr>
              <w:divsChild>
                <w:div w:id="1277179175">
                  <w:marLeft w:val="0"/>
                  <w:marRight w:val="0"/>
                  <w:marTop w:val="0"/>
                  <w:marBottom w:val="0"/>
                  <w:divBdr>
                    <w:top w:val="none" w:sz="0" w:space="0" w:color="auto"/>
                    <w:left w:val="none" w:sz="0" w:space="0" w:color="auto"/>
                    <w:bottom w:val="none" w:sz="0" w:space="0" w:color="auto"/>
                    <w:right w:val="none" w:sz="0" w:space="0" w:color="auto"/>
                  </w:divBdr>
                  <w:divsChild>
                    <w:div w:id="631328192">
                      <w:marLeft w:val="0"/>
                      <w:marRight w:val="0"/>
                      <w:marTop w:val="0"/>
                      <w:marBottom w:val="0"/>
                      <w:divBdr>
                        <w:top w:val="none" w:sz="0" w:space="0" w:color="auto"/>
                        <w:left w:val="none" w:sz="0" w:space="0" w:color="auto"/>
                        <w:bottom w:val="none" w:sz="0" w:space="0" w:color="auto"/>
                        <w:right w:val="none" w:sz="0" w:space="0" w:color="auto"/>
                      </w:divBdr>
                      <w:divsChild>
                        <w:div w:id="1719626140">
                          <w:marLeft w:val="0"/>
                          <w:marRight w:val="0"/>
                          <w:marTop w:val="0"/>
                          <w:marBottom w:val="0"/>
                          <w:divBdr>
                            <w:top w:val="none" w:sz="0" w:space="0" w:color="auto"/>
                            <w:left w:val="none" w:sz="0" w:space="0" w:color="auto"/>
                            <w:bottom w:val="none" w:sz="0" w:space="0" w:color="auto"/>
                            <w:right w:val="none" w:sz="0" w:space="0" w:color="auto"/>
                          </w:divBdr>
                          <w:divsChild>
                            <w:div w:id="998845139">
                              <w:marLeft w:val="0"/>
                              <w:marRight w:val="0"/>
                              <w:marTop w:val="0"/>
                              <w:marBottom w:val="0"/>
                              <w:divBdr>
                                <w:top w:val="none" w:sz="0" w:space="0" w:color="auto"/>
                                <w:left w:val="none" w:sz="0" w:space="0" w:color="auto"/>
                                <w:bottom w:val="none" w:sz="0" w:space="0" w:color="auto"/>
                                <w:right w:val="none" w:sz="0" w:space="0" w:color="auto"/>
                              </w:divBdr>
                              <w:divsChild>
                                <w:div w:id="2572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896387">
      <w:bodyDiv w:val="1"/>
      <w:marLeft w:val="0"/>
      <w:marRight w:val="0"/>
      <w:marTop w:val="0"/>
      <w:marBottom w:val="0"/>
      <w:divBdr>
        <w:top w:val="none" w:sz="0" w:space="0" w:color="auto"/>
        <w:left w:val="none" w:sz="0" w:space="0" w:color="auto"/>
        <w:bottom w:val="none" w:sz="0" w:space="0" w:color="auto"/>
        <w:right w:val="none" w:sz="0" w:space="0" w:color="auto"/>
      </w:divBdr>
      <w:divsChild>
        <w:div w:id="608390688">
          <w:marLeft w:val="0"/>
          <w:marRight w:val="0"/>
          <w:marTop w:val="0"/>
          <w:marBottom w:val="0"/>
          <w:divBdr>
            <w:top w:val="none" w:sz="0" w:space="0" w:color="auto"/>
            <w:left w:val="none" w:sz="0" w:space="0" w:color="auto"/>
            <w:bottom w:val="none" w:sz="0" w:space="0" w:color="auto"/>
            <w:right w:val="none" w:sz="0" w:space="0" w:color="auto"/>
          </w:divBdr>
        </w:div>
      </w:divsChild>
    </w:div>
    <w:div w:id="1093165466">
      <w:bodyDiv w:val="1"/>
      <w:marLeft w:val="0"/>
      <w:marRight w:val="0"/>
      <w:marTop w:val="0"/>
      <w:marBottom w:val="0"/>
      <w:divBdr>
        <w:top w:val="none" w:sz="0" w:space="0" w:color="auto"/>
        <w:left w:val="none" w:sz="0" w:space="0" w:color="auto"/>
        <w:bottom w:val="none" w:sz="0" w:space="0" w:color="auto"/>
        <w:right w:val="none" w:sz="0" w:space="0" w:color="auto"/>
      </w:divBdr>
      <w:divsChild>
        <w:div w:id="288364184">
          <w:marLeft w:val="0"/>
          <w:marRight w:val="0"/>
          <w:marTop w:val="0"/>
          <w:marBottom w:val="0"/>
          <w:divBdr>
            <w:top w:val="none" w:sz="0" w:space="0" w:color="auto"/>
            <w:left w:val="none" w:sz="0" w:space="0" w:color="auto"/>
            <w:bottom w:val="none" w:sz="0" w:space="0" w:color="auto"/>
            <w:right w:val="none" w:sz="0" w:space="0" w:color="auto"/>
          </w:divBdr>
        </w:div>
      </w:divsChild>
    </w:div>
    <w:div w:id="1217472243">
      <w:bodyDiv w:val="1"/>
      <w:marLeft w:val="0"/>
      <w:marRight w:val="0"/>
      <w:marTop w:val="0"/>
      <w:marBottom w:val="0"/>
      <w:divBdr>
        <w:top w:val="none" w:sz="0" w:space="0" w:color="auto"/>
        <w:left w:val="none" w:sz="0" w:space="0" w:color="auto"/>
        <w:bottom w:val="none" w:sz="0" w:space="0" w:color="auto"/>
        <w:right w:val="none" w:sz="0" w:space="0" w:color="auto"/>
      </w:divBdr>
    </w:div>
    <w:div w:id="1231966622">
      <w:bodyDiv w:val="1"/>
      <w:marLeft w:val="0"/>
      <w:marRight w:val="0"/>
      <w:marTop w:val="0"/>
      <w:marBottom w:val="0"/>
      <w:divBdr>
        <w:top w:val="none" w:sz="0" w:space="0" w:color="auto"/>
        <w:left w:val="none" w:sz="0" w:space="0" w:color="auto"/>
        <w:bottom w:val="none" w:sz="0" w:space="0" w:color="auto"/>
        <w:right w:val="none" w:sz="0" w:space="0" w:color="auto"/>
      </w:divBdr>
    </w:div>
    <w:div w:id="1360550561">
      <w:bodyDiv w:val="1"/>
      <w:marLeft w:val="0"/>
      <w:marRight w:val="0"/>
      <w:marTop w:val="0"/>
      <w:marBottom w:val="0"/>
      <w:divBdr>
        <w:top w:val="none" w:sz="0" w:space="0" w:color="auto"/>
        <w:left w:val="none" w:sz="0" w:space="0" w:color="auto"/>
        <w:bottom w:val="none" w:sz="0" w:space="0" w:color="auto"/>
        <w:right w:val="none" w:sz="0" w:space="0" w:color="auto"/>
      </w:divBdr>
    </w:div>
    <w:div w:id="1394040581">
      <w:bodyDiv w:val="1"/>
      <w:marLeft w:val="0"/>
      <w:marRight w:val="0"/>
      <w:marTop w:val="0"/>
      <w:marBottom w:val="0"/>
      <w:divBdr>
        <w:top w:val="none" w:sz="0" w:space="0" w:color="auto"/>
        <w:left w:val="none" w:sz="0" w:space="0" w:color="auto"/>
        <w:bottom w:val="none" w:sz="0" w:space="0" w:color="auto"/>
        <w:right w:val="none" w:sz="0" w:space="0" w:color="auto"/>
      </w:divBdr>
      <w:divsChild>
        <w:div w:id="141512238">
          <w:marLeft w:val="0"/>
          <w:marRight w:val="0"/>
          <w:marTop w:val="0"/>
          <w:marBottom w:val="0"/>
          <w:divBdr>
            <w:top w:val="none" w:sz="0" w:space="0" w:color="auto"/>
            <w:left w:val="none" w:sz="0" w:space="0" w:color="auto"/>
            <w:bottom w:val="none" w:sz="0" w:space="0" w:color="auto"/>
            <w:right w:val="none" w:sz="0" w:space="0" w:color="auto"/>
          </w:divBdr>
        </w:div>
      </w:divsChild>
    </w:div>
    <w:div w:id="1395591944">
      <w:bodyDiv w:val="1"/>
      <w:marLeft w:val="0"/>
      <w:marRight w:val="0"/>
      <w:marTop w:val="0"/>
      <w:marBottom w:val="0"/>
      <w:divBdr>
        <w:top w:val="none" w:sz="0" w:space="0" w:color="auto"/>
        <w:left w:val="none" w:sz="0" w:space="0" w:color="auto"/>
        <w:bottom w:val="none" w:sz="0" w:space="0" w:color="auto"/>
        <w:right w:val="none" w:sz="0" w:space="0" w:color="auto"/>
      </w:divBdr>
      <w:divsChild>
        <w:div w:id="1415542948">
          <w:marLeft w:val="0"/>
          <w:marRight w:val="0"/>
          <w:marTop w:val="0"/>
          <w:marBottom w:val="0"/>
          <w:divBdr>
            <w:top w:val="none" w:sz="0" w:space="0" w:color="auto"/>
            <w:left w:val="none" w:sz="0" w:space="0" w:color="auto"/>
            <w:bottom w:val="none" w:sz="0" w:space="0" w:color="auto"/>
            <w:right w:val="none" w:sz="0" w:space="0" w:color="auto"/>
          </w:divBdr>
        </w:div>
      </w:divsChild>
    </w:div>
    <w:div w:id="1400515762">
      <w:bodyDiv w:val="1"/>
      <w:marLeft w:val="0"/>
      <w:marRight w:val="0"/>
      <w:marTop w:val="0"/>
      <w:marBottom w:val="0"/>
      <w:divBdr>
        <w:top w:val="none" w:sz="0" w:space="0" w:color="auto"/>
        <w:left w:val="none" w:sz="0" w:space="0" w:color="auto"/>
        <w:bottom w:val="none" w:sz="0" w:space="0" w:color="auto"/>
        <w:right w:val="none" w:sz="0" w:space="0" w:color="auto"/>
      </w:divBdr>
      <w:divsChild>
        <w:div w:id="1243026192">
          <w:marLeft w:val="0"/>
          <w:marRight w:val="0"/>
          <w:marTop w:val="0"/>
          <w:marBottom w:val="0"/>
          <w:divBdr>
            <w:top w:val="none" w:sz="0" w:space="0" w:color="auto"/>
            <w:left w:val="none" w:sz="0" w:space="0" w:color="auto"/>
            <w:bottom w:val="none" w:sz="0" w:space="0" w:color="auto"/>
            <w:right w:val="none" w:sz="0" w:space="0" w:color="auto"/>
          </w:divBdr>
        </w:div>
      </w:divsChild>
    </w:div>
    <w:div w:id="1420565990">
      <w:bodyDiv w:val="1"/>
      <w:marLeft w:val="0"/>
      <w:marRight w:val="0"/>
      <w:marTop w:val="0"/>
      <w:marBottom w:val="0"/>
      <w:divBdr>
        <w:top w:val="none" w:sz="0" w:space="0" w:color="auto"/>
        <w:left w:val="none" w:sz="0" w:space="0" w:color="auto"/>
        <w:bottom w:val="none" w:sz="0" w:space="0" w:color="auto"/>
        <w:right w:val="none" w:sz="0" w:space="0" w:color="auto"/>
      </w:divBdr>
      <w:divsChild>
        <w:div w:id="1890534010">
          <w:marLeft w:val="0"/>
          <w:marRight w:val="0"/>
          <w:marTop w:val="0"/>
          <w:marBottom w:val="0"/>
          <w:divBdr>
            <w:top w:val="none" w:sz="0" w:space="0" w:color="auto"/>
            <w:left w:val="none" w:sz="0" w:space="0" w:color="auto"/>
            <w:bottom w:val="none" w:sz="0" w:space="0" w:color="auto"/>
            <w:right w:val="none" w:sz="0" w:space="0" w:color="auto"/>
          </w:divBdr>
          <w:divsChild>
            <w:div w:id="877477508">
              <w:marLeft w:val="0"/>
              <w:marRight w:val="0"/>
              <w:marTop w:val="0"/>
              <w:marBottom w:val="0"/>
              <w:divBdr>
                <w:top w:val="none" w:sz="0" w:space="0" w:color="auto"/>
                <w:left w:val="none" w:sz="0" w:space="0" w:color="auto"/>
                <w:bottom w:val="none" w:sz="0" w:space="0" w:color="auto"/>
                <w:right w:val="none" w:sz="0" w:space="0" w:color="auto"/>
              </w:divBdr>
              <w:divsChild>
                <w:div w:id="2097482133">
                  <w:marLeft w:val="0"/>
                  <w:marRight w:val="0"/>
                  <w:marTop w:val="0"/>
                  <w:marBottom w:val="0"/>
                  <w:divBdr>
                    <w:top w:val="none" w:sz="0" w:space="0" w:color="auto"/>
                    <w:left w:val="none" w:sz="0" w:space="0" w:color="auto"/>
                    <w:bottom w:val="none" w:sz="0" w:space="0" w:color="auto"/>
                    <w:right w:val="none" w:sz="0" w:space="0" w:color="auto"/>
                  </w:divBdr>
                  <w:divsChild>
                    <w:div w:id="658656084">
                      <w:marLeft w:val="0"/>
                      <w:marRight w:val="0"/>
                      <w:marTop w:val="0"/>
                      <w:marBottom w:val="0"/>
                      <w:divBdr>
                        <w:top w:val="none" w:sz="0" w:space="0" w:color="auto"/>
                        <w:left w:val="none" w:sz="0" w:space="0" w:color="auto"/>
                        <w:bottom w:val="none" w:sz="0" w:space="0" w:color="auto"/>
                        <w:right w:val="none" w:sz="0" w:space="0" w:color="auto"/>
                      </w:divBdr>
                      <w:divsChild>
                        <w:div w:id="927269946">
                          <w:marLeft w:val="0"/>
                          <w:marRight w:val="0"/>
                          <w:marTop w:val="0"/>
                          <w:marBottom w:val="0"/>
                          <w:divBdr>
                            <w:top w:val="none" w:sz="0" w:space="0" w:color="auto"/>
                            <w:left w:val="none" w:sz="0" w:space="0" w:color="auto"/>
                            <w:bottom w:val="none" w:sz="0" w:space="0" w:color="auto"/>
                            <w:right w:val="none" w:sz="0" w:space="0" w:color="auto"/>
                          </w:divBdr>
                          <w:divsChild>
                            <w:div w:id="5188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186494">
      <w:bodyDiv w:val="1"/>
      <w:marLeft w:val="0"/>
      <w:marRight w:val="0"/>
      <w:marTop w:val="0"/>
      <w:marBottom w:val="0"/>
      <w:divBdr>
        <w:top w:val="none" w:sz="0" w:space="0" w:color="auto"/>
        <w:left w:val="none" w:sz="0" w:space="0" w:color="auto"/>
        <w:bottom w:val="none" w:sz="0" w:space="0" w:color="auto"/>
        <w:right w:val="none" w:sz="0" w:space="0" w:color="auto"/>
      </w:divBdr>
    </w:div>
    <w:div w:id="1445810015">
      <w:bodyDiv w:val="1"/>
      <w:marLeft w:val="0"/>
      <w:marRight w:val="0"/>
      <w:marTop w:val="0"/>
      <w:marBottom w:val="0"/>
      <w:divBdr>
        <w:top w:val="none" w:sz="0" w:space="0" w:color="auto"/>
        <w:left w:val="none" w:sz="0" w:space="0" w:color="auto"/>
        <w:bottom w:val="none" w:sz="0" w:space="0" w:color="auto"/>
        <w:right w:val="none" w:sz="0" w:space="0" w:color="auto"/>
      </w:divBdr>
    </w:div>
    <w:div w:id="1606034969">
      <w:bodyDiv w:val="1"/>
      <w:marLeft w:val="0"/>
      <w:marRight w:val="0"/>
      <w:marTop w:val="0"/>
      <w:marBottom w:val="0"/>
      <w:divBdr>
        <w:top w:val="none" w:sz="0" w:space="0" w:color="auto"/>
        <w:left w:val="none" w:sz="0" w:space="0" w:color="auto"/>
        <w:bottom w:val="none" w:sz="0" w:space="0" w:color="auto"/>
        <w:right w:val="none" w:sz="0" w:space="0" w:color="auto"/>
      </w:divBdr>
      <w:divsChild>
        <w:div w:id="1959677913">
          <w:marLeft w:val="0"/>
          <w:marRight w:val="0"/>
          <w:marTop w:val="0"/>
          <w:marBottom w:val="0"/>
          <w:divBdr>
            <w:top w:val="none" w:sz="0" w:space="0" w:color="auto"/>
            <w:left w:val="none" w:sz="0" w:space="0" w:color="auto"/>
            <w:bottom w:val="none" w:sz="0" w:space="0" w:color="auto"/>
            <w:right w:val="none" w:sz="0" w:space="0" w:color="auto"/>
          </w:divBdr>
        </w:div>
      </w:divsChild>
    </w:div>
    <w:div w:id="1608778519">
      <w:bodyDiv w:val="1"/>
      <w:marLeft w:val="0"/>
      <w:marRight w:val="0"/>
      <w:marTop w:val="0"/>
      <w:marBottom w:val="0"/>
      <w:divBdr>
        <w:top w:val="none" w:sz="0" w:space="0" w:color="auto"/>
        <w:left w:val="none" w:sz="0" w:space="0" w:color="auto"/>
        <w:bottom w:val="none" w:sz="0" w:space="0" w:color="auto"/>
        <w:right w:val="none" w:sz="0" w:space="0" w:color="auto"/>
      </w:divBdr>
      <w:divsChild>
        <w:div w:id="2119986129">
          <w:marLeft w:val="0"/>
          <w:marRight w:val="0"/>
          <w:marTop w:val="0"/>
          <w:marBottom w:val="0"/>
          <w:divBdr>
            <w:top w:val="none" w:sz="0" w:space="0" w:color="auto"/>
            <w:left w:val="none" w:sz="0" w:space="0" w:color="auto"/>
            <w:bottom w:val="none" w:sz="0" w:space="0" w:color="auto"/>
            <w:right w:val="none" w:sz="0" w:space="0" w:color="auto"/>
          </w:divBdr>
        </w:div>
      </w:divsChild>
    </w:div>
    <w:div w:id="1643730739">
      <w:bodyDiv w:val="1"/>
      <w:marLeft w:val="0"/>
      <w:marRight w:val="0"/>
      <w:marTop w:val="0"/>
      <w:marBottom w:val="0"/>
      <w:divBdr>
        <w:top w:val="none" w:sz="0" w:space="0" w:color="auto"/>
        <w:left w:val="none" w:sz="0" w:space="0" w:color="auto"/>
        <w:bottom w:val="none" w:sz="0" w:space="0" w:color="auto"/>
        <w:right w:val="none" w:sz="0" w:space="0" w:color="auto"/>
      </w:divBdr>
      <w:divsChild>
        <w:div w:id="704334839">
          <w:marLeft w:val="0"/>
          <w:marRight w:val="0"/>
          <w:marTop w:val="0"/>
          <w:marBottom w:val="0"/>
          <w:divBdr>
            <w:top w:val="none" w:sz="0" w:space="0" w:color="auto"/>
            <w:left w:val="none" w:sz="0" w:space="0" w:color="auto"/>
            <w:bottom w:val="none" w:sz="0" w:space="0" w:color="auto"/>
            <w:right w:val="none" w:sz="0" w:space="0" w:color="auto"/>
          </w:divBdr>
        </w:div>
      </w:divsChild>
    </w:div>
    <w:div w:id="1691026069">
      <w:bodyDiv w:val="1"/>
      <w:marLeft w:val="0"/>
      <w:marRight w:val="0"/>
      <w:marTop w:val="0"/>
      <w:marBottom w:val="0"/>
      <w:divBdr>
        <w:top w:val="none" w:sz="0" w:space="0" w:color="auto"/>
        <w:left w:val="none" w:sz="0" w:space="0" w:color="auto"/>
        <w:bottom w:val="none" w:sz="0" w:space="0" w:color="auto"/>
        <w:right w:val="none" w:sz="0" w:space="0" w:color="auto"/>
      </w:divBdr>
      <w:divsChild>
        <w:div w:id="527305004">
          <w:marLeft w:val="0"/>
          <w:marRight w:val="0"/>
          <w:marTop w:val="0"/>
          <w:marBottom w:val="0"/>
          <w:divBdr>
            <w:top w:val="none" w:sz="0" w:space="0" w:color="auto"/>
            <w:left w:val="none" w:sz="0" w:space="0" w:color="auto"/>
            <w:bottom w:val="none" w:sz="0" w:space="0" w:color="auto"/>
            <w:right w:val="none" w:sz="0" w:space="0" w:color="auto"/>
          </w:divBdr>
        </w:div>
      </w:divsChild>
    </w:div>
    <w:div w:id="1700423715">
      <w:bodyDiv w:val="1"/>
      <w:marLeft w:val="0"/>
      <w:marRight w:val="0"/>
      <w:marTop w:val="0"/>
      <w:marBottom w:val="0"/>
      <w:divBdr>
        <w:top w:val="none" w:sz="0" w:space="0" w:color="auto"/>
        <w:left w:val="none" w:sz="0" w:space="0" w:color="auto"/>
        <w:bottom w:val="none" w:sz="0" w:space="0" w:color="auto"/>
        <w:right w:val="none" w:sz="0" w:space="0" w:color="auto"/>
      </w:divBdr>
    </w:div>
    <w:div w:id="1722513300">
      <w:bodyDiv w:val="1"/>
      <w:marLeft w:val="0"/>
      <w:marRight w:val="0"/>
      <w:marTop w:val="0"/>
      <w:marBottom w:val="0"/>
      <w:divBdr>
        <w:top w:val="none" w:sz="0" w:space="0" w:color="auto"/>
        <w:left w:val="none" w:sz="0" w:space="0" w:color="auto"/>
        <w:bottom w:val="none" w:sz="0" w:space="0" w:color="auto"/>
        <w:right w:val="none" w:sz="0" w:space="0" w:color="auto"/>
      </w:divBdr>
    </w:div>
    <w:div w:id="1760129488">
      <w:bodyDiv w:val="1"/>
      <w:marLeft w:val="0"/>
      <w:marRight w:val="0"/>
      <w:marTop w:val="0"/>
      <w:marBottom w:val="0"/>
      <w:divBdr>
        <w:top w:val="none" w:sz="0" w:space="0" w:color="auto"/>
        <w:left w:val="none" w:sz="0" w:space="0" w:color="auto"/>
        <w:bottom w:val="none" w:sz="0" w:space="0" w:color="auto"/>
        <w:right w:val="none" w:sz="0" w:space="0" w:color="auto"/>
      </w:divBdr>
    </w:div>
    <w:div w:id="1765832870">
      <w:bodyDiv w:val="1"/>
      <w:marLeft w:val="0"/>
      <w:marRight w:val="0"/>
      <w:marTop w:val="0"/>
      <w:marBottom w:val="0"/>
      <w:divBdr>
        <w:top w:val="none" w:sz="0" w:space="0" w:color="auto"/>
        <w:left w:val="none" w:sz="0" w:space="0" w:color="auto"/>
        <w:bottom w:val="none" w:sz="0" w:space="0" w:color="auto"/>
        <w:right w:val="none" w:sz="0" w:space="0" w:color="auto"/>
      </w:divBdr>
    </w:div>
    <w:div w:id="1786534717">
      <w:bodyDiv w:val="1"/>
      <w:marLeft w:val="0"/>
      <w:marRight w:val="0"/>
      <w:marTop w:val="0"/>
      <w:marBottom w:val="0"/>
      <w:divBdr>
        <w:top w:val="none" w:sz="0" w:space="0" w:color="auto"/>
        <w:left w:val="none" w:sz="0" w:space="0" w:color="auto"/>
        <w:bottom w:val="none" w:sz="0" w:space="0" w:color="auto"/>
        <w:right w:val="none" w:sz="0" w:space="0" w:color="auto"/>
      </w:divBdr>
      <w:divsChild>
        <w:div w:id="1079013533">
          <w:marLeft w:val="0"/>
          <w:marRight w:val="0"/>
          <w:marTop w:val="0"/>
          <w:marBottom w:val="0"/>
          <w:divBdr>
            <w:top w:val="none" w:sz="0" w:space="0" w:color="auto"/>
            <w:left w:val="none" w:sz="0" w:space="0" w:color="auto"/>
            <w:bottom w:val="none" w:sz="0" w:space="0" w:color="auto"/>
            <w:right w:val="none" w:sz="0" w:space="0" w:color="auto"/>
          </w:divBdr>
        </w:div>
      </w:divsChild>
    </w:div>
    <w:div w:id="1794250413">
      <w:bodyDiv w:val="1"/>
      <w:marLeft w:val="0"/>
      <w:marRight w:val="0"/>
      <w:marTop w:val="0"/>
      <w:marBottom w:val="0"/>
      <w:divBdr>
        <w:top w:val="none" w:sz="0" w:space="0" w:color="auto"/>
        <w:left w:val="none" w:sz="0" w:space="0" w:color="auto"/>
        <w:bottom w:val="none" w:sz="0" w:space="0" w:color="auto"/>
        <w:right w:val="none" w:sz="0" w:space="0" w:color="auto"/>
      </w:divBdr>
      <w:divsChild>
        <w:div w:id="2140763354">
          <w:marLeft w:val="0"/>
          <w:marRight w:val="0"/>
          <w:marTop w:val="0"/>
          <w:marBottom w:val="0"/>
          <w:divBdr>
            <w:top w:val="none" w:sz="0" w:space="0" w:color="auto"/>
            <w:left w:val="none" w:sz="0" w:space="0" w:color="auto"/>
            <w:bottom w:val="none" w:sz="0" w:space="0" w:color="auto"/>
            <w:right w:val="none" w:sz="0" w:space="0" w:color="auto"/>
          </w:divBdr>
        </w:div>
      </w:divsChild>
    </w:div>
    <w:div w:id="1811090464">
      <w:bodyDiv w:val="1"/>
      <w:marLeft w:val="0"/>
      <w:marRight w:val="0"/>
      <w:marTop w:val="0"/>
      <w:marBottom w:val="0"/>
      <w:divBdr>
        <w:top w:val="none" w:sz="0" w:space="0" w:color="auto"/>
        <w:left w:val="none" w:sz="0" w:space="0" w:color="auto"/>
        <w:bottom w:val="none" w:sz="0" w:space="0" w:color="auto"/>
        <w:right w:val="none" w:sz="0" w:space="0" w:color="auto"/>
      </w:divBdr>
    </w:div>
    <w:div w:id="1856192199">
      <w:bodyDiv w:val="1"/>
      <w:marLeft w:val="0"/>
      <w:marRight w:val="0"/>
      <w:marTop w:val="0"/>
      <w:marBottom w:val="0"/>
      <w:divBdr>
        <w:top w:val="none" w:sz="0" w:space="0" w:color="auto"/>
        <w:left w:val="none" w:sz="0" w:space="0" w:color="auto"/>
        <w:bottom w:val="none" w:sz="0" w:space="0" w:color="auto"/>
        <w:right w:val="none" w:sz="0" w:space="0" w:color="auto"/>
      </w:divBdr>
    </w:div>
    <w:div w:id="1869876520">
      <w:bodyDiv w:val="1"/>
      <w:marLeft w:val="0"/>
      <w:marRight w:val="0"/>
      <w:marTop w:val="0"/>
      <w:marBottom w:val="0"/>
      <w:divBdr>
        <w:top w:val="none" w:sz="0" w:space="0" w:color="auto"/>
        <w:left w:val="none" w:sz="0" w:space="0" w:color="auto"/>
        <w:bottom w:val="none" w:sz="0" w:space="0" w:color="auto"/>
        <w:right w:val="none" w:sz="0" w:space="0" w:color="auto"/>
      </w:divBdr>
    </w:div>
    <w:div w:id="1963028620">
      <w:bodyDiv w:val="1"/>
      <w:marLeft w:val="0"/>
      <w:marRight w:val="0"/>
      <w:marTop w:val="0"/>
      <w:marBottom w:val="0"/>
      <w:divBdr>
        <w:top w:val="none" w:sz="0" w:space="0" w:color="auto"/>
        <w:left w:val="none" w:sz="0" w:space="0" w:color="auto"/>
        <w:bottom w:val="none" w:sz="0" w:space="0" w:color="auto"/>
        <w:right w:val="none" w:sz="0" w:space="0" w:color="auto"/>
      </w:divBdr>
      <w:divsChild>
        <w:div w:id="1192112761">
          <w:marLeft w:val="0"/>
          <w:marRight w:val="0"/>
          <w:marTop w:val="0"/>
          <w:marBottom w:val="0"/>
          <w:divBdr>
            <w:top w:val="none" w:sz="0" w:space="0" w:color="auto"/>
            <w:left w:val="none" w:sz="0" w:space="0" w:color="auto"/>
            <w:bottom w:val="none" w:sz="0" w:space="0" w:color="auto"/>
            <w:right w:val="none" w:sz="0" w:space="0" w:color="auto"/>
          </w:divBdr>
        </w:div>
      </w:divsChild>
    </w:div>
    <w:div w:id="1968244454">
      <w:bodyDiv w:val="1"/>
      <w:marLeft w:val="0"/>
      <w:marRight w:val="0"/>
      <w:marTop w:val="0"/>
      <w:marBottom w:val="0"/>
      <w:divBdr>
        <w:top w:val="none" w:sz="0" w:space="0" w:color="auto"/>
        <w:left w:val="none" w:sz="0" w:space="0" w:color="auto"/>
        <w:bottom w:val="none" w:sz="0" w:space="0" w:color="auto"/>
        <w:right w:val="none" w:sz="0" w:space="0" w:color="auto"/>
      </w:divBdr>
    </w:div>
    <w:div w:id="1982686756">
      <w:bodyDiv w:val="1"/>
      <w:marLeft w:val="0"/>
      <w:marRight w:val="0"/>
      <w:marTop w:val="0"/>
      <w:marBottom w:val="0"/>
      <w:divBdr>
        <w:top w:val="none" w:sz="0" w:space="0" w:color="auto"/>
        <w:left w:val="none" w:sz="0" w:space="0" w:color="auto"/>
        <w:bottom w:val="none" w:sz="0" w:space="0" w:color="auto"/>
        <w:right w:val="none" w:sz="0" w:space="0" w:color="auto"/>
      </w:divBdr>
    </w:div>
    <w:div w:id="2010257471">
      <w:bodyDiv w:val="1"/>
      <w:marLeft w:val="0"/>
      <w:marRight w:val="0"/>
      <w:marTop w:val="0"/>
      <w:marBottom w:val="0"/>
      <w:divBdr>
        <w:top w:val="none" w:sz="0" w:space="0" w:color="auto"/>
        <w:left w:val="none" w:sz="0" w:space="0" w:color="auto"/>
        <w:bottom w:val="none" w:sz="0" w:space="0" w:color="auto"/>
        <w:right w:val="none" w:sz="0" w:space="0" w:color="auto"/>
      </w:divBdr>
    </w:div>
    <w:div w:id="2072344995">
      <w:bodyDiv w:val="1"/>
      <w:marLeft w:val="0"/>
      <w:marRight w:val="0"/>
      <w:marTop w:val="0"/>
      <w:marBottom w:val="0"/>
      <w:divBdr>
        <w:top w:val="none" w:sz="0" w:space="0" w:color="auto"/>
        <w:left w:val="none" w:sz="0" w:space="0" w:color="auto"/>
        <w:bottom w:val="none" w:sz="0" w:space="0" w:color="auto"/>
        <w:right w:val="none" w:sz="0" w:space="0" w:color="auto"/>
      </w:divBdr>
      <w:divsChild>
        <w:div w:id="861675727">
          <w:marLeft w:val="0"/>
          <w:marRight w:val="0"/>
          <w:marTop w:val="0"/>
          <w:marBottom w:val="0"/>
          <w:divBdr>
            <w:top w:val="none" w:sz="0" w:space="0" w:color="auto"/>
            <w:left w:val="none" w:sz="0" w:space="0" w:color="auto"/>
            <w:bottom w:val="none" w:sz="0" w:space="0" w:color="auto"/>
            <w:right w:val="none" w:sz="0" w:space="0" w:color="auto"/>
          </w:divBdr>
          <w:divsChild>
            <w:div w:id="416708084">
              <w:marLeft w:val="0"/>
              <w:marRight w:val="0"/>
              <w:marTop w:val="0"/>
              <w:marBottom w:val="0"/>
              <w:divBdr>
                <w:top w:val="none" w:sz="0" w:space="0" w:color="auto"/>
                <w:left w:val="none" w:sz="0" w:space="0" w:color="auto"/>
                <w:bottom w:val="none" w:sz="0" w:space="0" w:color="auto"/>
                <w:right w:val="none" w:sz="0" w:space="0" w:color="auto"/>
              </w:divBdr>
              <w:divsChild>
                <w:div w:id="2102145341">
                  <w:marLeft w:val="0"/>
                  <w:marRight w:val="0"/>
                  <w:marTop w:val="0"/>
                  <w:marBottom w:val="0"/>
                  <w:divBdr>
                    <w:top w:val="none" w:sz="0" w:space="0" w:color="auto"/>
                    <w:left w:val="none" w:sz="0" w:space="0" w:color="auto"/>
                    <w:bottom w:val="none" w:sz="0" w:space="0" w:color="auto"/>
                    <w:right w:val="none" w:sz="0" w:space="0" w:color="auto"/>
                  </w:divBdr>
                  <w:divsChild>
                    <w:div w:id="486363889">
                      <w:marLeft w:val="0"/>
                      <w:marRight w:val="0"/>
                      <w:marTop w:val="0"/>
                      <w:marBottom w:val="0"/>
                      <w:divBdr>
                        <w:top w:val="none" w:sz="0" w:space="0" w:color="auto"/>
                        <w:left w:val="none" w:sz="0" w:space="0" w:color="auto"/>
                        <w:bottom w:val="none" w:sz="0" w:space="0" w:color="auto"/>
                        <w:right w:val="none" w:sz="0" w:space="0" w:color="auto"/>
                      </w:divBdr>
                      <w:divsChild>
                        <w:div w:id="755592837">
                          <w:marLeft w:val="0"/>
                          <w:marRight w:val="0"/>
                          <w:marTop w:val="0"/>
                          <w:marBottom w:val="0"/>
                          <w:divBdr>
                            <w:top w:val="none" w:sz="0" w:space="0" w:color="auto"/>
                            <w:left w:val="none" w:sz="0" w:space="0" w:color="auto"/>
                            <w:bottom w:val="none" w:sz="0" w:space="0" w:color="auto"/>
                            <w:right w:val="none" w:sz="0" w:space="0" w:color="auto"/>
                          </w:divBdr>
                          <w:divsChild>
                            <w:div w:id="539755161">
                              <w:marLeft w:val="0"/>
                              <w:marRight w:val="0"/>
                              <w:marTop w:val="0"/>
                              <w:marBottom w:val="0"/>
                              <w:divBdr>
                                <w:top w:val="none" w:sz="0" w:space="0" w:color="auto"/>
                                <w:left w:val="none" w:sz="0" w:space="0" w:color="auto"/>
                                <w:bottom w:val="none" w:sz="0" w:space="0" w:color="auto"/>
                                <w:right w:val="none" w:sz="0" w:space="0" w:color="auto"/>
                              </w:divBdr>
                              <w:divsChild>
                                <w:div w:id="2146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64259">
          <w:marLeft w:val="0"/>
          <w:marRight w:val="0"/>
          <w:marTop w:val="0"/>
          <w:marBottom w:val="0"/>
          <w:divBdr>
            <w:top w:val="none" w:sz="0" w:space="0" w:color="auto"/>
            <w:left w:val="none" w:sz="0" w:space="0" w:color="auto"/>
            <w:bottom w:val="none" w:sz="0" w:space="0" w:color="auto"/>
            <w:right w:val="none" w:sz="0" w:space="0" w:color="auto"/>
          </w:divBdr>
          <w:divsChild>
            <w:div w:id="111828894">
              <w:marLeft w:val="0"/>
              <w:marRight w:val="0"/>
              <w:marTop w:val="0"/>
              <w:marBottom w:val="0"/>
              <w:divBdr>
                <w:top w:val="none" w:sz="0" w:space="0" w:color="auto"/>
                <w:left w:val="none" w:sz="0" w:space="0" w:color="auto"/>
                <w:bottom w:val="none" w:sz="0" w:space="0" w:color="auto"/>
                <w:right w:val="none" w:sz="0" w:space="0" w:color="auto"/>
              </w:divBdr>
              <w:divsChild>
                <w:div w:id="1928732351">
                  <w:marLeft w:val="0"/>
                  <w:marRight w:val="0"/>
                  <w:marTop w:val="0"/>
                  <w:marBottom w:val="0"/>
                  <w:divBdr>
                    <w:top w:val="none" w:sz="0" w:space="0" w:color="auto"/>
                    <w:left w:val="none" w:sz="0" w:space="0" w:color="auto"/>
                    <w:bottom w:val="none" w:sz="0" w:space="0" w:color="auto"/>
                    <w:right w:val="none" w:sz="0" w:space="0" w:color="auto"/>
                  </w:divBdr>
                  <w:divsChild>
                    <w:div w:id="1266769559">
                      <w:marLeft w:val="0"/>
                      <w:marRight w:val="0"/>
                      <w:marTop w:val="0"/>
                      <w:marBottom w:val="0"/>
                      <w:divBdr>
                        <w:top w:val="none" w:sz="0" w:space="0" w:color="auto"/>
                        <w:left w:val="none" w:sz="0" w:space="0" w:color="auto"/>
                        <w:bottom w:val="none" w:sz="0" w:space="0" w:color="auto"/>
                        <w:right w:val="none" w:sz="0" w:space="0" w:color="auto"/>
                      </w:divBdr>
                      <w:divsChild>
                        <w:div w:id="1094210968">
                          <w:marLeft w:val="0"/>
                          <w:marRight w:val="0"/>
                          <w:marTop w:val="0"/>
                          <w:marBottom w:val="0"/>
                          <w:divBdr>
                            <w:top w:val="none" w:sz="0" w:space="0" w:color="auto"/>
                            <w:left w:val="none" w:sz="0" w:space="0" w:color="auto"/>
                            <w:bottom w:val="none" w:sz="0" w:space="0" w:color="auto"/>
                            <w:right w:val="none" w:sz="0" w:space="0" w:color="auto"/>
                          </w:divBdr>
                          <w:divsChild>
                            <w:div w:id="1874884261">
                              <w:marLeft w:val="0"/>
                              <w:marRight w:val="0"/>
                              <w:marTop w:val="0"/>
                              <w:marBottom w:val="0"/>
                              <w:divBdr>
                                <w:top w:val="none" w:sz="0" w:space="0" w:color="auto"/>
                                <w:left w:val="none" w:sz="0" w:space="0" w:color="auto"/>
                                <w:bottom w:val="none" w:sz="0" w:space="0" w:color="auto"/>
                                <w:right w:val="none" w:sz="0" w:space="0" w:color="auto"/>
                              </w:divBdr>
                              <w:divsChild>
                                <w:div w:id="822817144">
                                  <w:marLeft w:val="0"/>
                                  <w:marRight w:val="0"/>
                                  <w:marTop w:val="0"/>
                                  <w:marBottom w:val="0"/>
                                  <w:divBdr>
                                    <w:top w:val="none" w:sz="0" w:space="0" w:color="auto"/>
                                    <w:left w:val="none" w:sz="0" w:space="0" w:color="auto"/>
                                    <w:bottom w:val="none" w:sz="0" w:space="0" w:color="auto"/>
                                    <w:right w:val="none" w:sz="0" w:space="0" w:color="auto"/>
                                  </w:divBdr>
                                  <w:divsChild>
                                    <w:div w:id="701396748">
                                      <w:marLeft w:val="0"/>
                                      <w:marRight w:val="0"/>
                                      <w:marTop w:val="0"/>
                                      <w:marBottom w:val="0"/>
                                      <w:divBdr>
                                        <w:top w:val="none" w:sz="0" w:space="0" w:color="auto"/>
                                        <w:left w:val="none" w:sz="0" w:space="0" w:color="auto"/>
                                        <w:bottom w:val="none" w:sz="0" w:space="0" w:color="auto"/>
                                        <w:right w:val="none" w:sz="0" w:space="0" w:color="auto"/>
                                      </w:divBdr>
                                      <w:divsChild>
                                        <w:div w:id="692078264">
                                          <w:marLeft w:val="0"/>
                                          <w:marRight w:val="0"/>
                                          <w:marTop w:val="0"/>
                                          <w:marBottom w:val="0"/>
                                          <w:divBdr>
                                            <w:top w:val="none" w:sz="0" w:space="0" w:color="auto"/>
                                            <w:left w:val="none" w:sz="0" w:space="0" w:color="auto"/>
                                            <w:bottom w:val="none" w:sz="0" w:space="0" w:color="auto"/>
                                            <w:right w:val="none" w:sz="0" w:space="0" w:color="auto"/>
                                          </w:divBdr>
                                          <w:divsChild>
                                            <w:div w:id="1909030848">
                                              <w:marLeft w:val="0"/>
                                              <w:marRight w:val="0"/>
                                              <w:marTop w:val="0"/>
                                              <w:marBottom w:val="0"/>
                                              <w:divBdr>
                                                <w:top w:val="none" w:sz="0" w:space="0" w:color="auto"/>
                                                <w:left w:val="none" w:sz="0" w:space="0" w:color="auto"/>
                                                <w:bottom w:val="none" w:sz="0" w:space="0" w:color="auto"/>
                                                <w:right w:val="none" w:sz="0" w:space="0" w:color="auto"/>
                                              </w:divBdr>
                                              <w:divsChild>
                                                <w:div w:id="7172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479220">
      <w:bodyDiv w:val="1"/>
      <w:marLeft w:val="0"/>
      <w:marRight w:val="0"/>
      <w:marTop w:val="0"/>
      <w:marBottom w:val="0"/>
      <w:divBdr>
        <w:top w:val="none" w:sz="0" w:space="0" w:color="auto"/>
        <w:left w:val="none" w:sz="0" w:space="0" w:color="auto"/>
        <w:bottom w:val="none" w:sz="0" w:space="0" w:color="auto"/>
        <w:right w:val="none" w:sz="0" w:space="0" w:color="auto"/>
      </w:divBdr>
      <w:divsChild>
        <w:div w:id="177891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749-5978(91)90020-T" TargetMode="External"/><Relationship Id="rId13" Type="http://schemas.openxmlformats.org/officeDocument/2006/relationships/hyperlink" Target="https://doi.org/10.1111/j.1468-2419.2005.00225.x" TargetMode="External"/><Relationship Id="rId18" Type="http://schemas.openxmlformats.org/officeDocument/2006/relationships/hyperlink" Target="https://doi.org/10.1177/00131644700300030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02/hrm.20135" TargetMode="External"/><Relationship Id="rId7" Type="http://schemas.openxmlformats.org/officeDocument/2006/relationships/endnotes" Target="endnotes.xml"/><Relationship Id="rId12" Type="http://schemas.openxmlformats.org/officeDocument/2006/relationships/hyperlink" Target="https://doi.org/10.1080/13678860801933005" TargetMode="External"/><Relationship Id="rId17" Type="http://schemas.openxmlformats.org/officeDocument/2006/relationships/hyperlink" Target="https://doi.org/10.1111/j.1468-2419.2011.00373.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edurev.2020.100323" TargetMode="External"/><Relationship Id="rId20" Type="http://schemas.openxmlformats.org/officeDocument/2006/relationships/hyperlink" Target="https://doi.org/10.1787/5a46d518-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534484307303035" TargetMode="External"/><Relationship Id="rId24" Type="http://schemas.openxmlformats.org/officeDocument/2006/relationships/hyperlink" Target="https://www.worldbank.org" TargetMode="External"/><Relationship Id="rId5" Type="http://schemas.openxmlformats.org/officeDocument/2006/relationships/webSettings" Target="webSettings.xml"/><Relationship Id="rId15" Type="http://schemas.openxmlformats.org/officeDocument/2006/relationships/hyperlink" Target="https://doi.org/10.1177/147078530805000106" TargetMode="External"/><Relationship Id="rId23" Type="http://schemas.openxmlformats.org/officeDocument/2006/relationships/hyperlink" Target="https://unevoc.unesco.org" TargetMode="External"/><Relationship Id="rId28" Type="http://schemas.openxmlformats.org/officeDocument/2006/relationships/theme" Target="theme/theme1.xml"/><Relationship Id="rId10" Type="http://schemas.openxmlformats.org/officeDocument/2006/relationships/hyperlink" Target="https://doi.org/10.1177/0149206316660737" TargetMode="External"/><Relationship Id="rId19" Type="http://schemas.openxmlformats.org/officeDocument/2006/relationships/hyperlink" Target="https://doi.org/10.5465/amr.1986.4283922" TargetMode="External"/><Relationship Id="rId4" Type="http://schemas.openxmlformats.org/officeDocument/2006/relationships/settings" Target="settings.xml"/><Relationship Id="rId9" Type="http://schemas.openxmlformats.org/officeDocument/2006/relationships/hyperlink" Target="https://doi.org/10.1111/j.1744-6570.1988.tb00632.x" TargetMode="External"/><Relationship Id="rId14" Type="http://schemas.openxmlformats.org/officeDocument/2006/relationships/hyperlink" Target="https://doi.org/10.1037/0021-9010.85.5.678" TargetMode="External"/><Relationship Id="rId22" Type="http://schemas.openxmlformats.org/officeDocument/2006/relationships/hyperlink" Target="https://doi.org/10.1177/152910061243666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D300-468F-4807-A084-CE2E67A1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13</Pages>
  <Words>7045</Words>
  <Characters>40161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NIK SARINA BINTI NIK MD SALLEH</cp:lastModifiedBy>
  <cp:revision>214</cp:revision>
  <cp:lastPrinted>2020-06-26T21:27:00Z</cp:lastPrinted>
  <dcterms:created xsi:type="dcterms:W3CDTF">2022-07-26T07:56:00Z</dcterms:created>
  <dcterms:modified xsi:type="dcterms:W3CDTF">2026-05-15T05:41:00Z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7073f673-da83-4fbd-b8a1-e4c50e346c01</vt:lpwstr>
  </property>
</Properties>
</file>