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6DAE" w14:textId="77777777" w:rsidR="000C731E" w:rsidRPr="009B732E" w:rsidRDefault="007856BC" w:rsidP="000D5C88">
      <w:pPr>
        <w:spacing w:after="0" w:line="240" w:lineRule="auto"/>
        <w:jc w:val="both"/>
        <w:rPr>
          <w:rFonts w:ascii="Times New Roman" w:hAnsi="Times New Roman" w:cs="Times New Roman"/>
          <w:b/>
          <w:sz w:val="24"/>
          <w:szCs w:val="24"/>
        </w:rPr>
      </w:pPr>
      <w:proofErr w:type="spellStart"/>
      <w:r w:rsidRPr="009B732E">
        <w:rPr>
          <w:rFonts w:ascii="Times New Roman" w:hAnsi="Times New Roman" w:cs="Times New Roman"/>
          <w:b/>
          <w:sz w:val="24"/>
          <w:szCs w:val="24"/>
        </w:rPr>
        <w:t>Biostimulatory</w:t>
      </w:r>
      <w:proofErr w:type="spellEnd"/>
      <w:r w:rsidRPr="009B732E">
        <w:rPr>
          <w:rFonts w:ascii="Times New Roman" w:hAnsi="Times New Roman" w:cs="Times New Roman"/>
          <w:b/>
          <w:sz w:val="24"/>
          <w:szCs w:val="24"/>
        </w:rPr>
        <w:t xml:space="preserve"> Effects of </w:t>
      </w:r>
      <w:proofErr w:type="spellStart"/>
      <w:r w:rsidRPr="009B732E">
        <w:rPr>
          <w:rFonts w:ascii="Times New Roman" w:hAnsi="Times New Roman" w:cs="Times New Roman"/>
          <w:b/>
          <w:sz w:val="24"/>
          <w:szCs w:val="24"/>
        </w:rPr>
        <w:t>Vermicompost</w:t>
      </w:r>
      <w:proofErr w:type="spellEnd"/>
      <w:r w:rsidRPr="009B732E">
        <w:rPr>
          <w:rFonts w:ascii="Times New Roman" w:hAnsi="Times New Roman" w:cs="Times New Roman"/>
          <w:b/>
          <w:sz w:val="24"/>
          <w:szCs w:val="24"/>
        </w:rPr>
        <w:t xml:space="preserve"> and </w:t>
      </w:r>
      <w:proofErr w:type="spellStart"/>
      <w:r w:rsidRPr="009B732E">
        <w:rPr>
          <w:rFonts w:ascii="Times New Roman" w:hAnsi="Times New Roman" w:cs="Times New Roman"/>
          <w:b/>
          <w:sz w:val="24"/>
          <w:szCs w:val="24"/>
        </w:rPr>
        <w:t>Vermiwash</w:t>
      </w:r>
      <w:proofErr w:type="spellEnd"/>
      <w:r w:rsidRPr="009B732E">
        <w:rPr>
          <w:rFonts w:ascii="Times New Roman" w:hAnsi="Times New Roman" w:cs="Times New Roman"/>
          <w:b/>
          <w:sz w:val="24"/>
          <w:szCs w:val="24"/>
        </w:rPr>
        <w:t xml:space="preserve"> on </w:t>
      </w:r>
      <w:r w:rsidR="001F55F1" w:rsidRPr="009B732E">
        <w:rPr>
          <w:rFonts w:ascii="Times New Roman" w:hAnsi="Times New Roman" w:cs="Times New Roman"/>
          <w:b/>
          <w:sz w:val="24"/>
          <w:szCs w:val="24"/>
        </w:rPr>
        <w:t>Germination of</w:t>
      </w:r>
      <w:r w:rsidRPr="009B732E">
        <w:rPr>
          <w:rFonts w:ascii="Times New Roman" w:hAnsi="Times New Roman" w:cs="Times New Roman"/>
          <w:b/>
          <w:sz w:val="24"/>
          <w:szCs w:val="24"/>
        </w:rPr>
        <w:t xml:space="preserve"> Leafy Vegetable </w:t>
      </w:r>
    </w:p>
    <w:p w14:paraId="119674E5" w14:textId="77777777" w:rsidR="003A70A6" w:rsidRPr="009B732E" w:rsidRDefault="003A70A6" w:rsidP="000D5C88">
      <w:pPr>
        <w:spacing w:after="0" w:line="240" w:lineRule="auto"/>
        <w:jc w:val="center"/>
        <w:rPr>
          <w:rFonts w:ascii="Times New Roman" w:hAnsi="Times New Roman" w:cs="Times New Roman"/>
          <w:sz w:val="24"/>
          <w:szCs w:val="24"/>
        </w:rPr>
      </w:pPr>
    </w:p>
    <w:p w14:paraId="5C9AD000" w14:textId="786600C1" w:rsidR="008E47FF" w:rsidRDefault="008E47FF" w:rsidP="008E47FF">
      <w:pPr>
        <w:spacing w:line="240" w:lineRule="auto"/>
        <w:jc w:val="center"/>
        <w:rPr>
          <w:rFonts w:ascii="Times New Roman" w:hAnsi="Times New Roman" w:cs="Times New Roman"/>
          <w:sz w:val="24"/>
          <w:szCs w:val="24"/>
        </w:rPr>
      </w:pPr>
      <w:r w:rsidRPr="008E47FF">
        <w:rPr>
          <w:rFonts w:ascii="Times New Roman" w:hAnsi="Times New Roman" w:cs="Times New Roman"/>
          <w:sz w:val="24"/>
          <w:szCs w:val="24"/>
          <w:vertAlign w:val="superscript"/>
        </w:rPr>
        <w:t>1</w:t>
      </w:r>
      <w:r w:rsidR="00AB0EFE" w:rsidRPr="00AB0EFE">
        <w:rPr>
          <w:rFonts w:ascii="Times New Roman" w:hAnsi="Times New Roman" w:cs="Times New Roman"/>
          <w:sz w:val="24"/>
          <w:szCs w:val="24"/>
        </w:rPr>
        <w:t>A.</w:t>
      </w:r>
      <w:r w:rsidRPr="008E47FF">
        <w:rPr>
          <w:rFonts w:ascii="Times New Roman" w:hAnsi="Times New Roman" w:cs="Times New Roman"/>
          <w:sz w:val="24"/>
          <w:szCs w:val="24"/>
        </w:rPr>
        <w:t>S</w:t>
      </w:r>
      <w:r>
        <w:rPr>
          <w:rFonts w:ascii="Times New Roman" w:hAnsi="Times New Roman" w:cs="Times New Roman"/>
          <w:sz w:val="24"/>
          <w:szCs w:val="24"/>
        </w:rPr>
        <w:t>w</w:t>
      </w:r>
      <w:r w:rsidRPr="008E47FF">
        <w:rPr>
          <w:rFonts w:ascii="Times New Roman" w:hAnsi="Times New Roman" w:cs="Times New Roman"/>
          <w:sz w:val="24"/>
          <w:szCs w:val="24"/>
        </w:rPr>
        <w:t xml:space="preserve">ethaSri </w:t>
      </w:r>
      <w:r>
        <w:rPr>
          <w:rFonts w:ascii="Times New Roman" w:hAnsi="Times New Roman" w:cs="Times New Roman"/>
          <w:sz w:val="24"/>
          <w:szCs w:val="24"/>
          <w:vertAlign w:val="superscript"/>
        </w:rPr>
        <w:t xml:space="preserve">   2</w:t>
      </w:r>
      <w:r>
        <w:rPr>
          <w:rFonts w:ascii="Times New Roman" w:hAnsi="Times New Roman" w:cs="Times New Roman"/>
          <w:sz w:val="24"/>
          <w:szCs w:val="24"/>
        </w:rPr>
        <w:t xml:space="preserve">M. </w:t>
      </w:r>
      <w:proofErr w:type="spellStart"/>
      <w:r>
        <w:rPr>
          <w:rFonts w:ascii="Times New Roman" w:hAnsi="Times New Roman" w:cs="Times New Roman"/>
          <w:sz w:val="24"/>
          <w:szCs w:val="24"/>
        </w:rPr>
        <w:t>Razia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Pr>
          <w:rFonts w:ascii="Times New Roman" w:hAnsi="Times New Roman" w:cs="Times New Roman"/>
          <w:sz w:val="24"/>
          <w:szCs w:val="24"/>
          <w:vertAlign w:val="superscript"/>
        </w:rPr>
        <w:t>3</w:t>
      </w:r>
      <w:proofErr w:type="gramEnd"/>
      <w:r w:rsidRPr="00BA0DAA">
        <w:rPr>
          <w:rFonts w:ascii="Times New Roman" w:hAnsi="Times New Roman" w:cs="Times New Roman"/>
          <w:sz w:val="24"/>
          <w:szCs w:val="24"/>
        </w:rPr>
        <w:t xml:space="preserve"> </w:t>
      </w:r>
      <w:proofErr w:type="spellStart"/>
      <w:r w:rsidR="00681ACD">
        <w:rPr>
          <w:rFonts w:ascii="Times New Roman" w:hAnsi="Times New Roman" w:cs="Times New Roman"/>
          <w:sz w:val="24"/>
          <w:szCs w:val="24"/>
        </w:rPr>
        <w:t>R.</w:t>
      </w:r>
      <w:r w:rsidRPr="008E47FF">
        <w:rPr>
          <w:rFonts w:ascii="Times New Roman" w:hAnsi="Times New Roman" w:cs="Times New Roman"/>
          <w:sz w:val="24"/>
          <w:szCs w:val="24"/>
        </w:rPr>
        <w:t>Merlyn</w:t>
      </w:r>
      <w:proofErr w:type="spellEnd"/>
      <w:r w:rsidRPr="008E47FF">
        <w:rPr>
          <w:rFonts w:ascii="Times New Roman" w:hAnsi="Times New Roman" w:cs="Times New Roman"/>
          <w:sz w:val="24"/>
          <w:szCs w:val="24"/>
        </w:rPr>
        <w:t xml:space="preserve"> </w:t>
      </w:r>
      <w:proofErr w:type="spellStart"/>
      <w:r w:rsidRPr="008E47FF">
        <w:rPr>
          <w:rFonts w:ascii="Times New Roman" w:hAnsi="Times New Roman" w:cs="Times New Roman"/>
          <w:sz w:val="24"/>
          <w:szCs w:val="24"/>
        </w:rPr>
        <w:t>Sujatha</w:t>
      </w:r>
      <w:proofErr w:type="spellEnd"/>
      <w:r w:rsidRPr="008E47FF">
        <w:rPr>
          <w:rFonts w:ascii="Times New Roman" w:hAnsi="Times New Roman" w:cs="Times New Roman"/>
          <w:sz w:val="24"/>
          <w:szCs w:val="24"/>
        </w:rPr>
        <w:t xml:space="preserve"> </w:t>
      </w:r>
    </w:p>
    <w:p w14:paraId="78D3CE80" w14:textId="77777777" w:rsidR="008E47FF" w:rsidRDefault="008E47FF" w:rsidP="008E47FF">
      <w:pPr>
        <w:spacing w:line="240" w:lineRule="auto"/>
        <w:jc w:val="center"/>
        <w:rPr>
          <w:rFonts w:ascii="Times New Roman" w:hAnsi="Times New Roman" w:cs="Times New Roman"/>
          <w:sz w:val="24"/>
          <w:szCs w:val="24"/>
        </w:rPr>
      </w:pPr>
      <w:r w:rsidRPr="00BE5FA0">
        <w:rPr>
          <w:rFonts w:ascii="Times New Roman" w:hAnsi="Times New Roman" w:cs="Times New Roman"/>
          <w:sz w:val="24"/>
          <w:szCs w:val="24"/>
          <w:vertAlign w:val="superscript"/>
        </w:rPr>
        <w:t>1,2</w:t>
      </w:r>
      <w:r w:rsidRPr="00BA0DAA">
        <w:rPr>
          <w:rFonts w:ascii="Times New Roman" w:hAnsi="Times New Roman" w:cs="Times New Roman"/>
          <w:sz w:val="24"/>
          <w:szCs w:val="24"/>
        </w:rPr>
        <w:t xml:space="preserve">Department of Biotechnology, Mother Teresa Women’s University, </w:t>
      </w:r>
      <w:proofErr w:type="spellStart"/>
      <w:r w:rsidRPr="00BA0DAA">
        <w:rPr>
          <w:rFonts w:ascii="Times New Roman" w:hAnsi="Times New Roman" w:cs="Times New Roman"/>
          <w:sz w:val="24"/>
          <w:szCs w:val="24"/>
        </w:rPr>
        <w:t>Kodaikanal</w:t>
      </w:r>
      <w:proofErr w:type="spellEnd"/>
      <w:r w:rsidRPr="00BA0DAA">
        <w:rPr>
          <w:rFonts w:ascii="Times New Roman" w:hAnsi="Times New Roman" w:cs="Times New Roman"/>
          <w:sz w:val="24"/>
          <w:szCs w:val="24"/>
        </w:rPr>
        <w:t xml:space="preserve"> -624101, Tamil Nadu, India</w:t>
      </w:r>
      <w:r w:rsidRPr="008E47FF">
        <w:rPr>
          <w:rFonts w:ascii="Times New Roman" w:hAnsi="Times New Roman" w:cs="Times New Roman"/>
          <w:sz w:val="24"/>
          <w:szCs w:val="24"/>
        </w:rPr>
        <w:t xml:space="preserve"> </w:t>
      </w:r>
    </w:p>
    <w:p w14:paraId="3A2A8530" w14:textId="299F7B47" w:rsidR="008E47FF" w:rsidRDefault="008E47FF" w:rsidP="008E47FF">
      <w:pPr>
        <w:spacing w:line="240" w:lineRule="auto"/>
        <w:jc w:val="center"/>
        <w:rPr>
          <w:rFonts w:ascii="Times New Roman" w:hAnsi="Times New Roman" w:cs="Times New Roman"/>
          <w:sz w:val="24"/>
          <w:szCs w:val="24"/>
        </w:rPr>
      </w:pPr>
      <w:r w:rsidRPr="008E47FF">
        <w:rPr>
          <w:rFonts w:ascii="Times New Roman" w:hAnsi="Times New Roman" w:cs="Times New Roman"/>
          <w:sz w:val="24"/>
          <w:szCs w:val="24"/>
          <w:vertAlign w:val="superscript"/>
        </w:rPr>
        <w:t>3</w:t>
      </w:r>
      <w:r w:rsidRPr="008E47FF">
        <w:rPr>
          <w:rFonts w:ascii="Times New Roman" w:hAnsi="Times New Roman" w:cs="Times New Roman"/>
          <w:sz w:val="24"/>
          <w:szCs w:val="24"/>
        </w:rPr>
        <w:t xml:space="preserve">Department of Biochemistry, St. Peter's Institute of Higher Education and Research, </w:t>
      </w:r>
      <w:proofErr w:type="spellStart"/>
      <w:r w:rsidRPr="008E47FF">
        <w:rPr>
          <w:rFonts w:ascii="Times New Roman" w:hAnsi="Times New Roman" w:cs="Times New Roman"/>
          <w:sz w:val="24"/>
          <w:szCs w:val="24"/>
        </w:rPr>
        <w:t>Avadi</w:t>
      </w:r>
      <w:proofErr w:type="spellEnd"/>
      <w:r w:rsidRPr="008E47FF">
        <w:rPr>
          <w:rFonts w:ascii="Times New Roman" w:hAnsi="Times New Roman" w:cs="Times New Roman"/>
          <w:sz w:val="24"/>
          <w:szCs w:val="24"/>
        </w:rPr>
        <w:t xml:space="preserve">, Chennai 600054, </w:t>
      </w:r>
      <w:proofErr w:type="spellStart"/>
      <w:r w:rsidRPr="008E47FF">
        <w:rPr>
          <w:rFonts w:ascii="Times New Roman" w:hAnsi="Times New Roman" w:cs="Times New Roman"/>
          <w:sz w:val="24"/>
          <w:szCs w:val="24"/>
        </w:rPr>
        <w:t>Tamilnadu</w:t>
      </w:r>
      <w:proofErr w:type="spellEnd"/>
      <w:r w:rsidRPr="008E47FF">
        <w:rPr>
          <w:rFonts w:ascii="Times New Roman" w:hAnsi="Times New Roman" w:cs="Times New Roman"/>
          <w:sz w:val="24"/>
          <w:szCs w:val="24"/>
        </w:rPr>
        <w:t>, India</w:t>
      </w:r>
    </w:p>
    <w:p w14:paraId="0C445F94" w14:textId="1D4939E7" w:rsidR="008E47FF" w:rsidRDefault="008E47FF" w:rsidP="008E47FF">
      <w:pPr>
        <w:spacing w:line="240" w:lineRule="auto"/>
        <w:rPr>
          <w:rFonts w:ascii="Times New Roman" w:hAnsi="Times New Roman" w:cs="Times New Roman"/>
          <w:sz w:val="24"/>
          <w:szCs w:val="24"/>
        </w:rPr>
      </w:pPr>
      <w:r w:rsidRPr="00024D94">
        <w:rPr>
          <w:rFonts w:ascii="Times New Roman" w:hAnsi="Times New Roman" w:cs="Times New Roman"/>
          <w:sz w:val="24"/>
          <w:szCs w:val="24"/>
        </w:rPr>
        <w:t xml:space="preserve">Corresponding authors: </w:t>
      </w:r>
      <w:r w:rsidRPr="008E47FF">
        <w:rPr>
          <w:rFonts w:ascii="Times New Roman" w:hAnsi="Times New Roman" w:cs="Times New Roman"/>
        </w:rPr>
        <w:t>razia581@gmail.com</w:t>
      </w:r>
    </w:p>
    <w:p w14:paraId="1E6652D0" w14:textId="77777777" w:rsidR="00B32763" w:rsidRPr="009B732E" w:rsidRDefault="00C348C3" w:rsidP="007A203E">
      <w:pPr>
        <w:spacing w:after="0" w:line="240" w:lineRule="auto"/>
        <w:rPr>
          <w:rFonts w:ascii="Times New Roman" w:hAnsi="Times New Roman" w:cs="Times New Roman"/>
          <w:b/>
          <w:sz w:val="24"/>
          <w:szCs w:val="24"/>
        </w:rPr>
      </w:pPr>
      <w:r w:rsidRPr="009B732E">
        <w:rPr>
          <w:rFonts w:ascii="Times New Roman" w:hAnsi="Times New Roman" w:cs="Times New Roman"/>
          <w:b/>
          <w:sz w:val="24"/>
          <w:szCs w:val="24"/>
        </w:rPr>
        <w:t>Abstract</w:t>
      </w:r>
    </w:p>
    <w:p w14:paraId="5683C19D" w14:textId="77777777" w:rsidR="009B755B" w:rsidRPr="009B732E" w:rsidRDefault="00741868" w:rsidP="00E77AA9">
      <w:pPr>
        <w:pStyle w:val="isselectedend"/>
        <w:jc w:val="both"/>
      </w:pPr>
      <w:r w:rsidRPr="009B732E">
        <w:t xml:space="preserve">      </w:t>
      </w:r>
      <w:r w:rsidR="009B755B" w:rsidRPr="009B732E">
        <w:t xml:space="preserve">The current study assessed the nutrient makeup of </w:t>
      </w:r>
      <w:proofErr w:type="spellStart"/>
      <w:r w:rsidR="009B755B" w:rsidRPr="009B732E">
        <w:t>vermicompost</w:t>
      </w:r>
      <w:proofErr w:type="spellEnd"/>
      <w:r w:rsidR="009B755B" w:rsidRPr="009B732E">
        <w:t xml:space="preserve"> and </w:t>
      </w:r>
      <w:proofErr w:type="spellStart"/>
      <w:r w:rsidR="009B755B" w:rsidRPr="009B732E">
        <w:t>vermiwash</w:t>
      </w:r>
      <w:proofErr w:type="spellEnd"/>
      <w:r w:rsidR="009B755B" w:rsidRPr="009B732E">
        <w:t xml:space="preserve"> as well as how they affected the growth of seedlings and seed germination of several leafy vegetable crops. According to nutrient analysis, </w:t>
      </w:r>
      <w:proofErr w:type="spellStart"/>
      <w:r w:rsidR="009B755B" w:rsidRPr="009B732E">
        <w:t>vermiwash</w:t>
      </w:r>
      <w:proofErr w:type="spellEnd"/>
      <w:r w:rsidR="009B755B" w:rsidRPr="009B732E">
        <w:t xml:space="preserve"> was high in soluble nutrients and micronutrients, but vermicompost had significant amounts of organic carbon, nitrogen, phosphorus, potassium, calcium, and magnesium. Both compounds showed electrical conductivity and pH levels appropriate for use in agriculture. Experiments on seed germination showed that applying </w:t>
      </w:r>
      <w:proofErr w:type="spellStart"/>
      <w:r w:rsidR="009B755B" w:rsidRPr="009B732E">
        <w:t>vermicompost</w:t>
      </w:r>
      <w:proofErr w:type="spellEnd"/>
      <w:r w:rsidR="009B755B" w:rsidRPr="009B732E">
        <w:t xml:space="preserve"> and </w:t>
      </w:r>
      <w:proofErr w:type="spellStart"/>
      <w:r w:rsidR="009B755B" w:rsidRPr="009B732E">
        <w:t>vermiwash</w:t>
      </w:r>
      <w:proofErr w:type="spellEnd"/>
      <w:r w:rsidR="009B755B" w:rsidRPr="009B732E">
        <w:t xml:space="preserve"> considerably increased the germination percentage when compared to the control; treatments that received 50–75% </w:t>
      </w:r>
      <w:proofErr w:type="spellStart"/>
      <w:r w:rsidR="009B755B" w:rsidRPr="009B732E">
        <w:t>vermiwash</w:t>
      </w:r>
      <w:proofErr w:type="spellEnd"/>
      <w:r w:rsidR="009B755B" w:rsidRPr="009B732E">
        <w:t xml:space="preserve"> and 20% </w:t>
      </w:r>
      <w:proofErr w:type="spellStart"/>
      <w:r w:rsidR="009B755B" w:rsidRPr="009B732E">
        <w:t>vermicompost</w:t>
      </w:r>
      <w:proofErr w:type="spellEnd"/>
      <w:r w:rsidR="009B755B" w:rsidRPr="009B732E">
        <w:t xml:space="preserve"> showed the greatest response. Additionally, improved seedling establishment was demonstrated by the treated seedlings' longer roots, shoots, biomass accumulation, and vigo</w:t>
      </w:r>
      <w:r w:rsidR="00CA7958" w:rsidRPr="009B732E">
        <w:t>u</w:t>
      </w:r>
      <w:r w:rsidR="009B755B" w:rsidRPr="009B732E">
        <w:t>r index</w:t>
      </w:r>
      <w:r w:rsidR="008811ED" w:rsidRPr="009B732E">
        <w:t xml:space="preserve"> in </w:t>
      </w:r>
      <w:r w:rsidR="008811ED" w:rsidRPr="009B732E">
        <w:rPr>
          <w:i/>
        </w:rPr>
        <w:t>Coriandrum sativum</w:t>
      </w:r>
      <w:r w:rsidR="008811ED" w:rsidRPr="009B732E">
        <w:t xml:space="preserve"> and </w:t>
      </w:r>
      <w:r w:rsidR="008811ED" w:rsidRPr="009B732E">
        <w:rPr>
          <w:i/>
        </w:rPr>
        <w:t>Vigna radiate</w:t>
      </w:r>
      <w:r w:rsidR="009B755B" w:rsidRPr="009B732E">
        <w:t xml:space="preserve">. The presence of easily accessible nutrients, humic compounds, helpful microbes, and plant growth regulators including </w:t>
      </w:r>
      <w:proofErr w:type="spellStart"/>
      <w:r w:rsidR="009B755B" w:rsidRPr="009B732E">
        <w:t>auxins</w:t>
      </w:r>
      <w:proofErr w:type="spellEnd"/>
      <w:r w:rsidR="009B755B" w:rsidRPr="009B732E">
        <w:t xml:space="preserve">, gibberellins, and </w:t>
      </w:r>
      <w:proofErr w:type="spellStart"/>
      <w:r w:rsidR="009B755B" w:rsidRPr="009B732E">
        <w:t>cytokinins</w:t>
      </w:r>
      <w:proofErr w:type="spellEnd"/>
      <w:r w:rsidR="009B755B" w:rsidRPr="009B732E">
        <w:t xml:space="preserve"> may be responsible for the growth-promoting effects. The results of this study support the use of </w:t>
      </w:r>
      <w:proofErr w:type="spellStart"/>
      <w:r w:rsidR="009B755B" w:rsidRPr="009B732E">
        <w:t>vermicompost</w:t>
      </w:r>
      <w:proofErr w:type="spellEnd"/>
      <w:r w:rsidR="009B755B" w:rsidRPr="009B732E">
        <w:t xml:space="preserve"> and </w:t>
      </w:r>
      <w:proofErr w:type="spellStart"/>
      <w:r w:rsidR="009B755B" w:rsidRPr="009B732E">
        <w:t>vermiwash</w:t>
      </w:r>
      <w:proofErr w:type="spellEnd"/>
      <w:r w:rsidR="009B755B" w:rsidRPr="009B732E">
        <w:t xml:space="preserve"> as sustainable substitutes for increasing crop productivity and encouraging ecologically friendly farming practices by indicating that they are efficient organic </w:t>
      </w:r>
      <w:proofErr w:type="spellStart"/>
      <w:r w:rsidR="009B755B" w:rsidRPr="009B732E">
        <w:t>biostimulants</w:t>
      </w:r>
      <w:proofErr w:type="spellEnd"/>
      <w:r w:rsidR="009B755B" w:rsidRPr="009B732E">
        <w:t xml:space="preserve"> that can improve germination and early seedling development.</w:t>
      </w:r>
    </w:p>
    <w:p w14:paraId="17A78BE3" w14:textId="77777777" w:rsidR="00E3239D" w:rsidRPr="009B732E" w:rsidRDefault="00E3239D" w:rsidP="00E77AA9">
      <w:pPr>
        <w:pStyle w:val="isselectedend"/>
        <w:jc w:val="both"/>
        <w:rPr>
          <w:b/>
        </w:rPr>
      </w:pPr>
      <w:r w:rsidRPr="009B732E">
        <w:t>Keywords:</w:t>
      </w:r>
      <w:r w:rsidRPr="009B732E">
        <w:rPr>
          <w:b/>
        </w:rPr>
        <w:t xml:space="preserve"> </w:t>
      </w:r>
      <w:proofErr w:type="spellStart"/>
      <w:r w:rsidRPr="009B732E">
        <w:t>Vermicompost</w:t>
      </w:r>
      <w:proofErr w:type="spellEnd"/>
      <w:r w:rsidRPr="009B732E">
        <w:t xml:space="preserve"> , </w:t>
      </w:r>
      <w:proofErr w:type="spellStart"/>
      <w:r w:rsidRPr="009B732E">
        <w:t>Vermiwash</w:t>
      </w:r>
      <w:proofErr w:type="spellEnd"/>
      <w:r w:rsidRPr="009B732E">
        <w:t>,</w:t>
      </w:r>
      <w:r w:rsidRPr="009B732E">
        <w:rPr>
          <w:b/>
        </w:rPr>
        <w:t xml:space="preserve"> </w:t>
      </w:r>
      <w:r w:rsidRPr="009B732E">
        <w:t>Leafy Vegetable, Nutrient</w:t>
      </w:r>
      <w:r w:rsidR="00CA402E" w:rsidRPr="009B732E">
        <w:t>,</w:t>
      </w:r>
      <w:r w:rsidR="00CA402E" w:rsidRPr="009B732E">
        <w:rPr>
          <w:i/>
        </w:rPr>
        <w:t xml:space="preserve"> Coriandrum sativum, Vigna radiate</w:t>
      </w:r>
    </w:p>
    <w:p w14:paraId="11AE53DE" w14:textId="77777777" w:rsidR="00DF0EC8" w:rsidRPr="009B732E" w:rsidRDefault="00DF0EC8" w:rsidP="00E77AA9">
      <w:pPr>
        <w:pStyle w:val="isselectedend"/>
        <w:jc w:val="both"/>
      </w:pPr>
      <w:r w:rsidRPr="009B732E">
        <w:rPr>
          <w:b/>
        </w:rPr>
        <w:t>Introduction</w:t>
      </w:r>
    </w:p>
    <w:p w14:paraId="67D41B4D" w14:textId="77777777" w:rsidR="00174930" w:rsidRPr="009B732E" w:rsidRDefault="00DF0EC8" w:rsidP="00E77AA9">
      <w:pPr>
        <w:pStyle w:val="isselectedend"/>
        <w:jc w:val="both"/>
      </w:pPr>
      <w:r w:rsidRPr="009B732E">
        <w:t xml:space="preserve">     </w:t>
      </w:r>
      <w:proofErr w:type="spellStart"/>
      <w:r w:rsidR="009955C7" w:rsidRPr="009B732E">
        <w:t>Vermicompost</w:t>
      </w:r>
      <w:proofErr w:type="spellEnd"/>
      <w:r w:rsidR="009955C7" w:rsidRPr="009B732E">
        <w:t xml:space="preserve"> and </w:t>
      </w:r>
      <w:proofErr w:type="spellStart"/>
      <w:r w:rsidR="009955C7" w:rsidRPr="009B732E">
        <w:t>vermiwash</w:t>
      </w:r>
      <w:proofErr w:type="spellEnd"/>
      <w:r w:rsidR="009955C7" w:rsidRPr="009B732E">
        <w:t xml:space="preserve"> are becoming more widely acknowledged as sustainable organic inputs that increase plant productivity and soil fertility while reducing the negative environmental effects of artificial fertilizers. While </w:t>
      </w:r>
      <w:proofErr w:type="spellStart"/>
      <w:r w:rsidR="009955C7" w:rsidRPr="009B732E">
        <w:t>vermiwash</w:t>
      </w:r>
      <w:proofErr w:type="spellEnd"/>
      <w:r w:rsidR="009955C7" w:rsidRPr="009B732E">
        <w:t xml:space="preserve"> is a liquid extract from vermicomposting systems that contains soluble nutrients, enzymes, beneficial microorganisms, and plant growth regulators, vermicompost is a nutrient-rich organic amendment created by earthworms and microorganisms during the decomposition of organic wastes. Through the inclusion of vital macro- and micronutrients as well as bioactive substances, these products are known to improve soil physical qualities, increase nutrient availability, and promote plant growth (</w:t>
      </w:r>
      <w:proofErr w:type="spellStart"/>
      <w:r w:rsidR="009955C7" w:rsidRPr="009B732E">
        <w:t>Yatoo</w:t>
      </w:r>
      <w:proofErr w:type="spellEnd"/>
      <w:r w:rsidR="009955C7" w:rsidRPr="009B732E">
        <w:t xml:space="preserve"> et al., 2021; Aira et al., 2022). According to recent research, products made from vermicompost serve as both nutrient sources and </w:t>
      </w:r>
      <w:proofErr w:type="spellStart"/>
      <w:r w:rsidR="009955C7" w:rsidRPr="009B732E">
        <w:t>biostimulants</w:t>
      </w:r>
      <w:proofErr w:type="spellEnd"/>
      <w:r w:rsidR="009955C7" w:rsidRPr="009B732E">
        <w:t xml:space="preserve"> that support root development, plant metabolism, and nutrient uptake, all of which support sustainable agricultural production systems (Suleiman et al., 2023). Crop development and yield potential are largely determined by seed germination and seedling establishment, especially in vegetable and leafy vegetable crops that need to emerge quickly and consistently. Because </w:t>
      </w:r>
      <w:proofErr w:type="spellStart"/>
      <w:r w:rsidR="009955C7" w:rsidRPr="009B732E">
        <w:t>vermicompost</w:t>
      </w:r>
      <w:proofErr w:type="spellEnd"/>
      <w:r w:rsidR="009955C7" w:rsidRPr="009B732E">
        <w:t xml:space="preserve"> </w:t>
      </w:r>
      <w:r w:rsidR="009955C7" w:rsidRPr="009B732E">
        <w:lastRenderedPageBreak/>
        <w:t xml:space="preserve">and </w:t>
      </w:r>
      <w:proofErr w:type="spellStart"/>
      <w:r w:rsidR="009955C7" w:rsidRPr="009B732E">
        <w:t>vermiwash</w:t>
      </w:r>
      <w:proofErr w:type="spellEnd"/>
      <w:r w:rsidR="009955C7" w:rsidRPr="009B732E">
        <w:t xml:space="preserve"> include </w:t>
      </w:r>
      <w:proofErr w:type="spellStart"/>
      <w:r w:rsidR="009955C7" w:rsidRPr="009B732E">
        <w:t>humic</w:t>
      </w:r>
      <w:proofErr w:type="spellEnd"/>
      <w:r w:rsidR="009955C7" w:rsidRPr="009B732E">
        <w:t xml:space="preserve"> compounds, phytohormones, and easily accessible nutrients, they have been shown to improve germination percentage, seedling </w:t>
      </w:r>
      <w:proofErr w:type="spellStart"/>
      <w:r w:rsidR="009955C7" w:rsidRPr="009B732E">
        <w:t>vigor</w:t>
      </w:r>
      <w:proofErr w:type="spellEnd"/>
      <w:r w:rsidR="009955C7" w:rsidRPr="009B732E">
        <w:t xml:space="preserve">, root elongation, and shoot growth (Singh et al., 2022). Additionally, </w:t>
      </w:r>
      <w:proofErr w:type="spellStart"/>
      <w:r w:rsidR="009955C7" w:rsidRPr="009B732E">
        <w:t>auxins</w:t>
      </w:r>
      <w:proofErr w:type="spellEnd"/>
      <w:r w:rsidR="009955C7" w:rsidRPr="009B732E">
        <w:t xml:space="preserve">, gibberellins, and </w:t>
      </w:r>
      <w:proofErr w:type="spellStart"/>
      <w:r w:rsidR="009955C7" w:rsidRPr="009B732E">
        <w:t>cytokinins</w:t>
      </w:r>
      <w:proofErr w:type="spellEnd"/>
      <w:r w:rsidR="009955C7" w:rsidRPr="009B732E">
        <w:t xml:space="preserve">—compounds that promote growth and have a good impact on seedling development and physiological activities—are found in </w:t>
      </w:r>
      <w:proofErr w:type="spellStart"/>
      <w:r w:rsidR="009955C7" w:rsidRPr="009B732E">
        <w:t>vermiwash</w:t>
      </w:r>
      <w:proofErr w:type="spellEnd"/>
      <w:r w:rsidR="009955C7" w:rsidRPr="009B732E">
        <w:t xml:space="preserve">. Vermicompost-based products have been shown in recent studies to improve early plant growth and lessen reliance on synthetic fertilizers in horticultural crops (Kumar et al., 2024). </w:t>
      </w:r>
    </w:p>
    <w:p w14:paraId="4F2846E4" w14:textId="1236AFDF" w:rsidR="009955C7" w:rsidRPr="009B732E" w:rsidRDefault="00174930" w:rsidP="00174930">
      <w:pPr>
        <w:pStyle w:val="isselectedend"/>
        <w:ind w:firstLine="720"/>
        <w:jc w:val="both"/>
      </w:pPr>
      <w:r w:rsidRPr="009B732E">
        <w:t xml:space="preserve">The positive effects of </w:t>
      </w:r>
      <w:proofErr w:type="spellStart"/>
      <w:r w:rsidRPr="009B732E">
        <w:t>vermicompost</w:t>
      </w:r>
      <w:proofErr w:type="spellEnd"/>
      <w:r w:rsidRPr="009B732E">
        <w:t xml:space="preserve"> and </w:t>
      </w:r>
      <w:proofErr w:type="spellStart"/>
      <w:r w:rsidRPr="009B732E">
        <w:t>vermiwash</w:t>
      </w:r>
      <w:proofErr w:type="spellEnd"/>
      <w:r w:rsidRPr="009B732E">
        <w:t xml:space="preserve"> on soil fertility, plant development, and seed germination have been thoroughly studied in the past. According to Edwards et al. (2010), vermicompost increases microbial activity and nutrient availability, which boosts crop production and seedling establishment. In horticultural crops treated with </w:t>
      </w:r>
      <w:proofErr w:type="spellStart"/>
      <w:r w:rsidRPr="009B732E">
        <w:t>vermicompost</w:t>
      </w:r>
      <w:proofErr w:type="spellEnd"/>
      <w:r w:rsidRPr="009B732E">
        <w:t xml:space="preserve"> extracts, </w:t>
      </w:r>
      <w:proofErr w:type="spellStart"/>
      <w:r w:rsidRPr="009B732E">
        <w:t>Arancon</w:t>
      </w:r>
      <w:proofErr w:type="spellEnd"/>
      <w:r w:rsidRPr="009B732E">
        <w:t xml:space="preserve"> et al. (2010) found notable increases in germination rate, root development, and biomass output. In vegetable crops, Ansari and Sukhraj (2010) showed that applying </w:t>
      </w:r>
      <w:proofErr w:type="spellStart"/>
      <w:r w:rsidRPr="009B732E">
        <w:t>vermicompost</w:t>
      </w:r>
      <w:proofErr w:type="spellEnd"/>
      <w:r w:rsidRPr="009B732E">
        <w:t xml:space="preserve"> and </w:t>
      </w:r>
      <w:proofErr w:type="spellStart"/>
      <w:r w:rsidRPr="009B732E">
        <w:t>vermiwash</w:t>
      </w:r>
      <w:proofErr w:type="spellEnd"/>
      <w:r w:rsidRPr="009B732E">
        <w:t xml:space="preserve"> together enhanced germination percentage, plant height, and yield characteristics. </w:t>
      </w:r>
      <w:proofErr w:type="spellStart"/>
      <w:r w:rsidRPr="009B732E">
        <w:t>Vermiwash</w:t>
      </w:r>
      <w:proofErr w:type="spellEnd"/>
      <w:r w:rsidRPr="009B732E">
        <w:t xml:space="preserve"> includes physiologically active chemicals that can promote seed germination and early seedling growth, according to Nath and Singh (2012).Additionally, Chauhan and Joshi (2014) discovered that applying </w:t>
      </w:r>
      <w:proofErr w:type="spellStart"/>
      <w:r w:rsidRPr="009B732E">
        <w:t>vermiwash</w:t>
      </w:r>
      <w:proofErr w:type="spellEnd"/>
      <w:r w:rsidRPr="009B732E">
        <w:t xml:space="preserve"> improved the growth of roots and shoots, the amount of chlorophyll, and the general </w:t>
      </w:r>
      <w:proofErr w:type="spellStart"/>
      <w:r w:rsidRPr="009B732E">
        <w:t>vigor</w:t>
      </w:r>
      <w:proofErr w:type="spellEnd"/>
      <w:r w:rsidRPr="009B732E">
        <w:t xml:space="preserve"> of the plant, suggesting that it may be a useful organic growth stimulant. Together, these results demonstrate the value of products made from vermicompost as sustainable substitutes for raising agricultural yields and preserving soil </w:t>
      </w:r>
      <w:proofErr w:type="spellStart"/>
      <w:r w:rsidRPr="009B732E">
        <w:t>health.</w:t>
      </w:r>
      <w:r w:rsidR="009955C7" w:rsidRPr="009B732E">
        <w:t>In</w:t>
      </w:r>
      <w:proofErr w:type="spellEnd"/>
      <w:r w:rsidR="009955C7" w:rsidRPr="009B732E">
        <w:t xml:space="preserve"> order to assess the nutrient composition of </w:t>
      </w:r>
      <w:proofErr w:type="spellStart"/>
      <w:r w:rsidR="009955C7" w:rsidRPr="009B732E">
        <w:t>vermicompost</w:t>
      </w:r>
      <w:proofErr w:type="spellEnd"/>
      <w:r w:rsidR="009955C7" w:rsidRPr="009B732E">
        <w:t xml:space="preserve"> and </w:t>
      </w:r>
      <w:proofErr w:type="spellStart"/>
      <w:r w:rsidR="009955C7" w:rsidRPr="009B732E">
        <w:t>vermiwash</w:t>
      </w:r>
      <w:proofErr w:type="spellEnd"/>
      <w:r w:rsidR="009955C7" w:rsidRPr="009B732E">
        <w:t xml:space="preserve"> and their impact on the germination and early seedling growth of particular </w:t>
      </w:r>
      <w:r w:rsidR="00316DCE" w:rsidRPr="009B732E">
        <w:t xml:space="preserve">leafy vegetable </w:t>
      </w:r>
      <w:r w:rsidR="00316DCE" w:rsidRPr="009B732E">
        <w:rPr>
          <w:i/>
        </w:rPr>
        <w:t xml:space="preserve">Coriandrum sativum </w:t>
      </w:r>
      <w:r w:rsidR="00316DCE" w:rsidRPr="009B732E">
        <w:t xml:space="preserve">and </w:t>
      </w:r>
      <w:r w:rsidR="00316DCE" w:rsidRPr="009B732E">
        <w:rPr>
          <w:i/>
        </w:rPr>
        <w:t>Vigna radiate</w:t>
      </w:r>
      <w:r w:rsidR="009955C7" w:rsidRPr="009B732E">
        <w:t>, the current study was conducted.</w:t>
      </w:r>
    </w:p>
    <w:p w14:paraId="7707DDB4" w14:textId="7C633262" w:rsidR="00982A9F" w:rsidRPr="009B732E" w:rsidRDefault="00982A9F" w:rsidP="00174930">
      <w:pPr>
        <w:pStyle w:val="isselectedend"/>
        <w:ind w:firstLine="720"/>
        <w:jc w:val="both"/>
      </w:pPr>
      <w:r w:rsidRPr="009B732E">
        <w:t xml:space="preserve">The present study was undertaken to evaluate the nutrient composition of </w:t>
      </w:r>
      <w:proofErr w:type="spellStart"/>
      <w:r w:rsidRPr="009B732E">
        <w:t>vermicompost</w:t>
      </w:r>
      <w:proofErr w:type="spellEnd"/>
      <w:r w:rsidRPr="009B732E">
        <w:t xml:space="preserve"> and </w:t>
      </w:r>
      <w:proofErr w:type="spellStart"/>
      <w:r w:rsidRPr="009B732E">
        <w:t>vermiwash</w:t>
      </w:r>
      <w:proofErr w:type="spellEnd"/>
      <w:r w:rsidRPr="009B732E">
        <w:t xml:space="preserve"> produced using </w:t>
      </w:r>
      <w:proofErr w:type="spellStart"/>
      <w:r w:rsidRPr="009B732E">
        <w:t>Eisenia</w:t>
      </w:r>
      <w:proofErr w:type="spellEnd"/>
      <w:r w:rsidRPr="009B732E">
        <w:t xml:space="preserve"> </w:t>
      </w:r>
      <w:proofErr w:type="spellStart"/>
      <w:r w:rsidRPr="009B732E">
        <w:t>fetida</w:t>
      </w:r>
      <w:proofErr w:type="spellEnd"/>
      <w:r w:rsidRPr="009B732E">
        <w:t xml:space="preserve"> and to investigate their effects on seed germination and early seedling growth of Coriandrum sativum and Vigna radiata. Particular emphasis was given to assessing germination percentage, root length, shoot length, seedling length, and vigour index under different concentrations of </w:t>
      </w:r>
      <w:proofErr w:type="spellStart"/>
      <w:r w:rsidRPr="009B732E">
        <w:t>vermiwash</w:t>
      </w:r>
      <w:proofErr w:type="spellEnd"/>
      <w:r w:rsidRPr="009B732E">
        <w:t xml:space="preserve"> and </w:t>
      </w:r>
      <w:proofErr w:type="spellStart"/>
      <w:r w:rsidRPr="009B732E">
        <w:t>vermicompost</w:t>
      </w:r>
      <w:proofErr w:type="spellEnd"/>
      <w:r w:rsidRPr="009B732E">
        <w:t>. Furthermore, the study aimed to identify the most effective treatment for promoting seedling establishment and enhancing the early growth performance of these economically important vegetable crops under controlled conditions.</w:t>
      </w:r>
    </w:p>
    <w:p w14:paraId="57348493" w14:textId="77777777" w:rsidR="00682123" w:rsidRPr="009B732E" w:rsidRDefault="00682123" w:rsidP="00E77AA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9B732E">
        <w:rPr>
          <w:rFonts w:ascii="Times New Roman" w:eastAsia="Times New Roman" w:hAnsi="Times New Roman" w:cs="Times New Roman"/>
          <w:b/>
          <w:bCs/>
          <w:kern w:val="36"/>
          <w:sz w:val="24"/>
          <w:szCs w:val="24"/>
          <w:lang w:eastAsia="en-IN"/>
        </w:rPr>
        <w:t>Materials and Methods</w:t>
      </w:r>
    </w:p>
    <w:p w14:paraId="14CEDCE3" w14:textId="77777777" w:rsidR="00682123" w:rsidRPr="009B732E" w:rsidRDefault="00682123" w:rsidP="00E77AA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B732E">
        <w:rPr>
          <w:rFonts w:ascii="Times New Roman" w:eastAsia="Times New Roman" w:hAnsi="Times New Roman" w:cs="Times New Roman"/>
          <w:b/>
          <w:bCs/>
          <w:sz w:val="24"/>
          <w:szCs w:val="24"/>
          <w:lang w:eastAsia="en-IN"/>
        </w:rPr>
        <w:t xml:space="preserve">Preparation and Collection of </w:t>
      </w:r>
      <w:proofErr w:type="spellStart"/>
      <w:r w:rsidRPr="009B732E">
        <w:rPr>
          <w:rFonts w:ascii="Times New Roman" w:eastAsia="Times New Roman" w:hAnsi="Times New Roman" w:cs="Times New Roman"/>
          <w:b/>
          <w:bCs/>
          <w:sz w:val="24"/>
          <w:szCs w:val="24"/>
          <w:lang w:eastAsia="en-IN"/>
        </w:rPr>
        <w:t>Vermicompost</w:t>
      </w:r>
      <w:proofErr w:type="spellEnd"/>
      <w:r w:rsidRPr="009B732E">
        <w:rPr>
          <w:rFonts w:ascii="Times New Roman" w:eastAsia="Times New Roman" w:hAnsi="Times New Roman" w:cs="Times New Roman"/>
          <w:b/>
          <w:bCs/>
          <w:sz w:val="24"/>
          <w:szCs w:val="24"/>
          <w:lang w:eastAsia="en-IN"/>
        </w:rPr>
        <w:t xml:space="preserve"> and </w:t>
      </w:r>
      <w:proofErr w:type="spellStart"/>
      <w:r w:rsidRPr="009B732E">
        <w:rPr>
          <w:rFonts w:ascii="Times New Roman" w:eastAsia="Times New Roman" w:hAnsi="Times New Roman" w:cs="Times New Roman"/>
          <w:b/>
          <w:bCs/>
          <w:sz w:val="24"/>
          <w:szCs w:val="24"/>
          <w:lang w:eastAsia="en-IN"/>
        </w:rPr>
        <w:t>Vermiwash</w:t>
      </w:r>
      <w:proofErr w:type="spellEnd"/>
    </w:p>
    <w:p w14:paraId="5EFCB001" w14:textId="77777777" w:rsidR="00682123" w:rsidRPr="009B732E" w:rsidRDefault="002F0255" w:rsidP="00E77AA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B732E">
        <w:rPr>
          <w:rFonts w:ascii="Times New Roman" w:eastAsia="Times New Roman" w:hAnsi="Times New Roman" w:cs="Times New Roman"/>
          <w:sz w:val="24"/>
          <w:szCs w:val="24"/>
          <w:lang w:eastAsia="en-IN"/>
        </w:rPr>
        <w:t xml:space="preserve">  </w:t>
      </w:r>
      <w:r w:rsidR="0089370E" w:rsidRPr="009B732E">
        <w:rPr>
          <w:rFonts w:ascii="Times New Roman" w:eastAsia="Times New Roman" w:hAnsi="Times New Roman" w:cs="Times New Roman"/>
          <w:sz w:val="24"/>
          <w:szCs w:val="24"/>
          <w:lang w:eastAsia="en-IN"/>
        </w:rPr>
        <w:t xml:space="preserve">The earthworm species was used to create vermicompost. </w:t>
      </w:r>
      <w:proofErr w:type="spellStart"/>
      <w:r w:rsidR="0089370E" w:rsidRPr="009B732E">
        <w:rPr>
          <w:rFonts w:ascii="Times New Roman" w:eastAsia="Times New Roman" w:hAnsi="Times New Roman" w:cs="Times New Roman"/>
          <w:i/>
          <w:sz w:val="24"/>
          <w:szCs w:val="24"/>
          <w:lang w:eastAsia="en-IN"/>
        </w:rPr>
        <w:t>Eisenia</w:t>
      </w:r>
      <w:proofErr w:type="spellEnd"/>
      <w:r w:rsidR="0089370E" w:rsidRPr="009B732E">
        <w:rPr>
          <w:rFonts w:ascii="Times New Roman" w:eastAsia="Times New Roman" w:hAnsi="Times New Roman" w:cs="Times New Roman"/>
          <w:i/>
          <w:sz w:val="24"/>
          <w:szCs w:val="24"/>
          <w:lang w:eastAsia="en-IN"/>
        </w:rPr>
        <w:t xml:space="preserve"> </w:t>
      </w:r>
      <w:proofErr w:type="spellStart"/>
      <w:r w:rsidR="0089370E" w:rsidRPr="009B732E">
        <w:rPr>
          <w:rFonts w:ascii="Times New Roman" w:eastAsia="Times New Roman" w:hAnsi="Times New Roman" w:cs="Times New Roman"/>
          <w:i/>
          <w:sz w:val="24"/>
          <w:szCs w:val="24"/>
          <w:lang w:eastAsia="en-IN"/>
        </w:rPr>
        <w:t>fetida</w:t>
      </w:r>
      <w:proofErr w:type="spellEnd"/>
      <w:r w:rsidR="0089370E" w:rsidRPr="009B732E">
        <w:rPr>
          <w:rFonts w:ascii="Times New Roman" w:eastAsia="Times New Roman" w:hAnsi="Times New Roman" w:cs="Times New Roman"/>
          <w:sz w:val="24"/>
          <w:szCs w:val="24"/>
          <w:lang w:eastAsia="en-IN"/>
        </w:rPr>
        <w:t xml:space="preserve"> in a regulated vermicomposting environment. Before being inoculated with earthworms, organic wastes such as leaf litter, farmyard manure, and vegetable residues were pre-decomposed for 15 days. Mature vermicompost was collected and sieved for additional analysis after 60 days of vermicomposting. Using the procedure outlined by </w:t>
      </w:r>
      <w:proofErr w:type="spellStart"/>
      <w:r w:rsidR="0089370E" w:rsidRPr="009B732E">
        <w:rPr>
          <w:rFonts w:ascii="Times New Roman" w:eastAsia="Times New Roman" w:hAnsi="Times New Roman" w:cs="Times New Roman"/>
          <w:sz w:val="24"/>
          <w:szCs w:val="24"/>
          <w:lang w:eastAsia="en-IN"/>
        </w:rPr>
        <w:t>Yatoo</w:t>
      </w:r>
      <w:proofErr w:type="spellEnd"/>
      <w:r w:rsidR="0089370E" w:rsidRPr="009B732E">
        <w:rPr>
          <w:rFonts w:ascii="Times New Roman" w:eastAsia="Times New Roman" w:hAnsi="Times New Roman" w:cs="Times New Roman"/>
          <w:sz w:val="24"/>
          <w:szCs w:val="24"/>
          <w:lang w:eastAsia="en-IN"/>
        </w:rPr>
        <w:t xml:space="preserve"> et al. (2021), </w:t>
      </w:r>
      <w:proofErr w:type="spellStart"/>
      <w:r w:rsidR="0089370E" w:rsidRPr="009B732E">
        <w:rPr>
          <w:rFonts w:ascii="Times New Roman" w:eastAsia="Times New Roman" w:hAnsi="Times New Roman" w:cs="Times New Roman"/>
          <w:sz w:val="24"/>
          <w:szCs w:val="24"/>
          <w:lang w:eastAsia="en-IN"/>
        </w:rPr>
        <w:t>vermiwash</w:t>
      </w:r>
      <w:proofErr w:type="spellEnd"/>
      <w:r w:rsidR="0089370E" w:rsidRPr="009B732E">
        <w:rPr>
          <w:rFonts w:ascii="Times New Roman" w:eastAsia="Times New Roman" w:hAnsi="Times New Roman" w:cs="Times New Roman"/>
          <w:sz w:val="24"/>
          <w:szCs w:val="24"/>
          <w:lang w:eastAsia="en-IN"/>
        </w:rPr>
        <w:t xml:space="preserve"> was extracted from a </w:t>
      </w:r>
      <w:proofErr w:type="spellStart"/>
      <w:r w:rsidR="0089370E" w:rsidRPr="009B732E">
        <w:rPr>
          <w:rFonts w:ascii="Times New Roman" w:eastAsia="Times New Roman" w:hAnsi="Times New Roman" w:cs="Times New Roman"/>
          <w:sz w:val="24"/>
          <w:szCs w:val="24"/>
          <w:lang w:eastAsia="en-IN"/>
        </w:rPr>
        <w:t>vermiwash</w:t>
      </w:r>
      <w:proofErr w:type="spellEnd"/>
      <w:r w:rsidR="0089370E" w:rsidRPr="009B732E">
        <w:rPr>
          <w:rFonts w:ascii="Times New Roman" w:eastAsia="Times New Roman" w:hAnsi="Times New Roman" w:cs="Times New Roman"/>
          <w:sz w:val="24"/>
          <w:szCs w:val="24"/>
          <w:lang w:eastAsia="en-IN"/>
        </w:rPr>
        <w:t xml:space="preserve"> unit that contained active earthworm populations.</w:t>
      </w:r>
    </w:p>
    <w:p w14:paraId="1EF8F167" w14:textId="77777777" w:rsidR="00682123" w:rsidRPr="009B732E" w:rsidRDefault="00682123" w:rsidP="00E77AA9">
      <w:pPr>
        <w:pStyle w:val="Heading2"/>
        <w:jc w:val="both"/>
        <w:rPr>
          <w:sz w:val="24"/>
          <w:szCs w:val="24"/>
        </w:rPr>
      </w:pPr>
      <w:r w:rsidRPr="009B732E">
        <w:rPr>
          <w:sz w:val="24"/>
          <w:szCs w:val="24"/>
        </w:rPr>
        <w:t xml:space="preserve">Nutrient Analysis of </w:t>
      </w:r>
      <w:proofErr w:type="spellStart"/>
      <w:r w:rsidRPr="009B732E">
        <w:rPr>
          <w:sz w:val="24"/>
          <w:szCs w:val="24"/>
        </w:rPr>
        <w:t>Vermicompost</w:t>
      </w:r>
      <w:proofErr w:type="spellEnd"/>
      <w:r w:rsidRPr="009B732E">
        <w:rPr>
          <w:sz w:val="24"/>
          <w:szCs w:val="24"/>
        </w:rPr>
        <w:t xml:space="preserve"> and </w:t>
      </w:r>
      <w:proofErr w:type="spellStart"/>
      <w:r w:rsidRPr="009B732E">
        <w:rPr>
          <w:sz w:val="24"/>
          <w:szCs w:val="24"/>
        </w:rPr>
        <w:t>Vermiwash</w:t>
      </w:r>
      <w:proofErr w:type="spellEnd"/>
    </w:p>
    <w:p w14:paraId="4F51CA7E" w14:textId="77777777" w:rsidR="00287897" w:rsidRPr="009B732E" w:rsidRDefault="00287897" w:rsidP="00E77AA9">
      <w:pPr>
        <w:pStyle w:val="Heading2"/>
        <w:jc w:val="both"/>
        <w:rPr>
          <w:b w:val="0"/>
          <w:sz w:val="24"/>
          <w:szCs w:val="24"/>
        </w:rPr>
      </w:pPr>
      <w:r w:rsidRPr="009B732E">
        <w:rPr>
          <w:b w:val="0"/>
          <w:sz w:val="24"/>
          <w:szCs w:val="24"/>
        </w:rPr>
        <w:t xml:space="preserve">        A digital pH meter and a conductivity meter were used to measure the pH and electrical conductivity (EC) of </w:t>
      </w:r>
      <w:proofErr w:type="spellStart"/>
      <w:r w:rsidRPr="009B732E">
        <w:rPr>
          <w:b w:val="0"/>
          <w:sz w:val="24"/>
          <w:szCs w:val="24"/>
        </w:rPr>
        <w:t>vermicompost</w:t>
      </w:r>
      <w:proofErr w:type="spellEnd"/>
      <w:r w:rsidRPr="009B732E">
        <w:rPr>
          <w:b w:val="0"/>
          <w:sz w:val="24"/>
          <w:szCs w:val="24"/>
        </w:rPr>
        <w:t xml:space="preserve"> and </w:t>
      </w:r>
      <w:proofErr w:type="spellStart"/>
      <w:r w:rsidRPr="009B732E">
        <w:rPr>
          <w:b w:val="0"/>
          <w:sz w:val="24"/>
          <w:szCs w:val="24"/>
        </w:rPr>
        <w:t>vermiwash</w:t>
      </w:r>
      <w:proofErr w:type="spellEnd"/>
      <w:r w:rsidRPr="009B732E">
        <w:rPr>
          <w:b w:val="0"/>
          <w:sz w:val="24"/>
          <w:szCs w:val="24"/>
        </w:rPr>
        <w:t xml:space="preserve">, respectively. The Kjeldahl method was </w:t>
      </w:r>
      <w:r w:rsidRPr="009B732E">
        <w:rPr>
          <w:b w:val="0"/>
          <w:sz w:val="24"/>
          <w:szCs w:val="24"/>
        </w:rPr>
        <w:lastRenderedPageBreak/>
        <w:t>used to estimate total nitrogen, the molybdenum blue method was used to estimate available phosphorus, and a flame photometer was used to measure potassium. The Walkley-Black method was used to calculate organic carbon. Atomic Absorption Spectrophotometry (AAS) was used in accordance with conventional techniques to examine the levels of calcium, magnesium, iron, zinc, manganese, and copper (Aira et al., 2022).</w:t>
      </w:r>
    </w:p>
    <w:p w14:paraId="0FD227F5" w14:textId="77777777" w:rsidR="00682123" w:rsidRPr="009B732E" w:rsidRDefault="00682123" w:rsidP="00E77AA9">
      <w:pPr>
        <w:pStyle w:val="Heading2"/>
        <w:jc w:val="both"/>
        <w:rPr>
          <w:sz w:val="24"/>
          <w:szCs w:val="24"/>
        </w:rPr>
      </w:pPr>
      <w:r w:rsidRPr="009B732E">
        <w:rPr>
          <w:sz w:val="24"/>
          <w:szCs w:val="24"/>
        </w:rPr>
        <w:t>Seed Germination Experiment</w:t>
      </w:r>
    </w:p>
    <w:p w14:paraId="0C538FDD" w14:textId="77777777" w:rsidR="00287897" w:rsidRPr="009B732E" w:rsidRDefault="00287897" w:rsidP="00E77AA9">
      <w:pPr>
        <w:pStyle w:val="Heading2"/>
        <w:jc w:val="both"/>
        <w:rPr>
          <w:b w:val="0"/>
          <w:sz w:val="24"/>
          <w:szCs w:val="24"/>
        </w:rPr>
      </w:pPr>
      <w:r w:rsidRPr="009B732E">
        <w:rPr>
          <w:b w:val="0"/>
          <w:sz w:val="24"/>
          <w:szCs w:val="24"/>
        </w:rPr>
        <w:t xml:space="preserve">     A 1% sodium hypochlorite solution was used to surface sterilize the seeds of specific </w:t>
      </w:r>
      <w:proofErr w:type="gramStart"/>
      <w:r w:rsidR="00316DCE" w:rsidRPr="009B732E">
        <w:rPr>
          <w:b w:val="0"/>
          <w:sz w:val="24"/>
          <w:szCs w:val="24"/>
        </w:rPr>
        <w:t xml:space="preserve">leafy </w:t>
      </w:r>
      <w:r w:rsidRPr="009B732E">
        <w:rPr>
          <w:b w:val="0"/>
          <w:sz w:val="24"/>
          <w:szCs w:val="24"/>
        </w:rPr>
        <w:t xml:space="preserve"> vegetables</w:t>
      </w:r>
      <w:proofErr w:type="gramEnd"/>
      <w:r w:rsidRPr="009B732E">
        <w:rPr>
          <w:b w:val="0"/>
          <w:sz w:val="24"/>
          <w:szCs w:val="24"/>
        </w:rPr>
        <w:t>,</w:t>
      </w:r>
      <w:r w:rsidR="00316DCE" w:rsidRPr="009B732E">
        <w:t xml:space="preserve"> </w:t>
      </w:r>
      <w:r w:rsidR="00316DCE" w:rsidRPr="009B732E">
        <w:rPr>
          <w:b w:val="0"/>
          <w:i/>
          <w:sz w:val="24"/>
          <w:szCs w:val="24"/>
        </w:rPr>
        <w:t>Coriandrum sativum</w:t>
      </w:r>
      <w:r w:rsidR="00316DCE" w:rsidRPr="009B732E">
        <w:rPr>
          <w:b w:val="0"/>
          <w:sz w:val="24"/>
          <w:szCs w:val="24"/>
        </w:rPr>
        <w:t xml:space="preserve"> and </w:t>
      </w:r>
      <w:r w:rsidR="00316DCE" w:rsidRPr="009B732E">
        <w:rPr>
          <w:b w:val="0"/>
          <w:i/>
          <w:sz w:val="24"/>
          <w:szCs w:val="24"/>
        </w:rPr>
        <w:t>Vigna radiate</w:t>
      </w:r>
      <w:r w:rsidRPr="009B732E">
        <w:rPr>
          <w:b w:val="0"/>
          <w:sz w:val="24"/>
          <w:szCs w:val="24"/>
        </w:rPr>
        <w:t xml:space="preserve"> and then they were completely rinsed with sterile distilled water. Pot culture and the paper towel method were used for germination inve</w:t>
      </w:r>
      <w:r w:rsidR="008811ED" w:rsidRPr="009B732E">
        <w:rPr>
          <w:b w:val="0"/>
          <w:sz w:val="24"/>
          <w:szCs w:val="24"/>
        </w:rPr>
        <w:t>stigations in a lab setting.</w:t>
      </w:r>
      <w:r w:rsidRPr="009B732E">
        <w:rPr>
          <w:b w:val="0"/>
          <w:sz w:val="24"/>
          <w:szCs w:val="24"/>
        </w:rPr>
        <w:t xml:space="preserve"> Control (distilled water), T₂ – </w:t>
      </w:r>
      <w:proofErr w:type="spellStart"/>
      <w:r w:rsidRPr="009B732E">
        <w:rPr>
          <w:b w:val="0"/>
          <w:sz w:val="24"/>
          <w:szCs w:val="24"/>
        </w:rPr>
        <w:t>Vermiwash</w:t>
      </w:r>
      <w:proofErr w:type="spellEnd"/>
      <w:r w:rsidRPr="009B732E">
        <w:rPr>
          <w:b w:val="0"/>
          <w:sz w:val="24"/>
          <w:szCs w:val="24"/>
        </w:rPr>
        <w:t xml:space="preserve"> (25%), T₂ – </w:t>
      </w:r>
      <w:proofErr w:type="spellStart"/>
      <w:r w:rsidRPr="009B732E">
        <w:rPr>
          <w:b w:val="0"/>
          <w:sz w:val="24"/>
          <w:szCs w:val="24"/>
        </w:rPr>
        <w:t>Vermiwash</w:t>
      </w:r>
      <w:proofErr w:type="spellEnd"/>
      <w:r w:rsidRPr="009B732E">
        <w:rPr>
          <w:b w:val="0"/>
          <w:sz w:val="24"/>
          <w:szCs w:val="24"/>
        </w:rPr>
        <w:t xml:space="preserve"> (50%), T₁ – </w:t>
      </w:r>
      <w:proofErr w:type="spellStart"/>
      <w:r w:rsidRPr="009B732E">
        <w:rPr>
          <w:b w:val="0"/>
          <w:sz w:val="24"/>
          <w:szCs w:val="24"/>
        </w:rPr>
        <w:t>Vermiwash</w:t>
      </w:r>
      <w:proofErr w:type="spellEnd"/>
      <w:r w:rsidRPr="009B732E">
        <w:rPr>
          <w:b w:val="0"/>
          <w:sz w:val="24"/>
          <w:szCs w:val="24"/>
        </w:rPr>
        <w:t xml:space="preserve"> (75%), T₂ – Vermicompost-amended soil (10%), and T₂ – Vermicompost-amended soil (20%) were the treatments.25 seeds were used in each of the three replicates of each treatment.</w:t>
      </w:r>
    </w:p>
    <w:p w14:paraId="5348161D" w14:textId="1876FF13" w:rsidR="00403289" w:rsidRPr="009B732E" w:rsidRDefault="00403289" w:rsidP="00E77AA9">
      <w:pPr>
        <w:pStyle w:val="Heading2"/>
        <w:jc w:val="both"/>
        <w:rPr>
          <w:b w:val="0"/>
          <w:sz w:val="24"/>
          <w:szCs w:val="24"/>
        </w:rPr>
      </w:pPr>
      <w:r w:rsidRPr="009B732E">
        <w:rPr>
          <w:b w:val="0"/>
          <w:sz w:val="24"/>
          <w:szCs w:val="24"/>
        </w:rPr>
        <w:t>For germination studies, seeds were placed in sterilized Petri dishes (9 cm diameter) lined with double-layered filter paper. Each Petri dish received 5 mL of the respective treatment solution. Germination tests were conducted under laboratory conditions at 25 ± 2°C with a 12 h light/12 h dark photoperiod. Germinated seeds were counted daily, and final germination percentage was recorded after 7–10 days. Each treatment consisted of three independent replicates with 25 seeds per replicate.</w:t>
      </w:r>
    </w:p>
    <w:p w14:paraId="7CC2CB0D" w14:textId="77777777" w:rsidR="00682123" w:rsidRPr="009B732E" w:rsidRDefault="00682123" w:rsidP="00E77AA9">
      <w:pPr>
        <w:pStyle w:val="Heading2"/>
        <w:jc w:val="both"/>
        <w:rPr>
          <w:sz w:val="24"/>
          <w:szCs w:val="24"/>
        </w:rPr>
      </w:pPr>
      <w:r w:rsidRPr="009B732E">
        <w:rPr>
          <w:sz w:val="24"/>
          <w:szCs w:val="24"/>
        </w:rPr>
        <w:t>Germination and Seedling Growth Assessment</w:t>
      </w:r>
    </w:p>
    <w:p w14:paraId="2A9DDAE3" w14:textId="04E309F0" w:rsidR="00403289" w:rsidRPr="009B732E" w:rsidRDefault="00287897" w:rsidP="00E77AA9">
      <w:pPr>
        <w:pStyle w:val="isselectedend"/>
        <w:jc w:val="both"/>
      </w:pPr>
      <w:r w:rsidRPr="009B732E">
        <w:t xml:space="preserve">       After seven to ten days, the germination percentage was noted</w:t>
      </w:r>
      <w:r w:rsidR="00650C85" w:rsidRPr="009B732E">
        <w:t xml:space="preserve"> both </w:t>
      </w:r>
      <w:r w:rsidR="00650C85" w:rsidRPr="009B732E">
        <w:rPr>
          <w:i/>
        </w:rPr>
        <w:t>Coriandrum sativu</w:t>
      </w:r>
      <w:r w:rsidR="00650C85" w:rsidRPr="009B732E">
        <w:t xml:space="preserve">m and </w:t>
      </w:r>
      <w:r w:rsidR="00650C85" w:rsidRPr="009B732E">
        <w:rPr>
          <w:i/>
        </w:rPr>
        <w:t>Vigna radiate</w:t>
      </w:r>
      <w:r w:rsidRPr="009B732E">
        <w:t xml:space="preserve">. Standard procedures were followed to determine the root length, shoot length, fresh weight, dry weight, and seedling </w:t>
      </w:r>
      <w:proofErr w:type="spellStart"/>
      <w:r w:rsidRPr="009B732E">
        <w:t>vigor</w:t>
      </w:r>
      <w:proofErr w:type="spellEnd"/>
      <w:r w:rsidRPr="009B732E">
        <w:t xml:space="preserve"> index. The vigo</w:t>
      </w:r>
      <w:r w:rsidR="00316DCE" w:rsidRPr="009B732E">
        <w:t>u</w:t>
      </w:r>
      <w:r w:rsidRPr="009B732E">
        <w:t>r index was computed using: Germination Percentage × Seedling Length = Vigor Index</w:t>
      </w:r>
      <w:r w:rsidR="00F838C6" w:rsidRPr="009B732E">
        <w:t>.</w:t>
      </w:r>
    </w:p>
    <w:p w14:paraId="18EED6F2" w14:textId="77777777" w:rsidR="009E7281" w:rsidRPr="009B732E" w:rsidRDefault="009E7281" w:rsidP="009E7281">
      <w:pPr>
        <w:pStyle w:val="isselectedend"/>
        <w:ind w:firstLine="720"/>
        <w:jc w:val="both"/>
        <w:rPr>
          <w:b/>
          <w:bCs/>
        </w:rPr>
      </w:pPr>
      <w:r w:rsidRPr="009B732E">
        <w:rPr>
          <w:b/>
          <w:bCs/>
        </w:rPr>
        <w:t>Vigour Index Values</w:t>
      </w:r>
    </w:p>
    <w:p w14:paraId="1DB8B46B" w14:textId="77777777" w:rsidR="009E7281" w:rsidRPr="009B732E" w:rsidRDefault="009E7281" w:rsidP="009E7281">
      <w:pPr>
        <w:pStyle w:val="isselectedend"/>
        <w:jc w:val="both"/>
      </w:pPr>
      <w:r w:rsidRPr="009B732E">
        <w:t>The vigour index is calculated as:</w:t>
      </w:r>
    </w:p>
    <w:p w14:paraId="081DA43F" w14:textId="339CCA65" w:rsidR="009E7281" w:rsidRPr="009B732E" w:rsidRDefault="009E7281" w:rsidP="009E7281">
      <w:pPr>
        <w:pStyle w:val="isselectedend"/>
        <w:jc w:val="center"/>
      </w:pPr>
      <w:r w:rsidRPr="009B732E">
        <w:t>Vigour Index = Germination Percentage × Seedling Length</w:t>
      </w:r>
    </w:p>
    <w:p w14:paraId="61F6C768" w14:textId="690A283F" w:rsidR="00403289" w:rsidRPr="009B732E" w:rsidRDefault="00403289" w:rsidP="00E77AA9">
      <w:pPr>
        <w:pStyle w:val="Heading1"/>
        <w:jc w:val="both"/>
        <w:rPr>
          <w:sz w:val="24"/>
          <w:szCs w:val="24"/>
        </w:rPr>
      </w:pPr>
      <w:r w:rsidRPr="009B732E">
        <w:rPr>
          <w:sz w:val="24"/>
          <w:szCs w:val="24"/>
        </w:rPr>
        <w:t>Statistical Analysis</w:t>
      </w:r>
    </w:p>
    <w:p w14:paraId="6ACCC6FE" w14:textId="184EEE06" w:rsidR="00403289" w:rsidRPr="009B732E" w:rsidRDefault="00403289" w:rsidP="00E77AA9">
      <w:pPr>
        <w:pStyle w:val="Heading1"/>
        <w:jc w:val="both"/>
        <w:rPr>
          <w:b w:val="0"/>
          <w:bCs w:val="0"/>
          <w:sz w:val="24"/>
          <w:szCs w:val="24"/>
        </w:rPr>
      </w:pPr>
      <w:r w:rsidRPr="009B732E">
        <w:rPr>
          <w:b w:val="0"/>
          <w:bCs w:val="0"/>
          <w:sz w:val="24"/>
          <w:szCs w:val="24"/>
        </w:rPr>
        <w:t>The experiment was conducted using a Completely Randomized Design (CRD) with three replications. Data were expressed as mean ± standard deviation (SD). Statistical analysis was performed using SPSS software. Treatment means were subjected to one-way Analysis of Variance (ANOVA), and significant differences among means were determined using Tukey's Honestly Significant Difference (HSD) test at p &lt; 0.05.</w:t>
      </w:r>
    </w:p>
    <w:p w14:paraId="619CBFF1" w14:textId="1500FD01" w:rsidR="00682123" w:rsidRPr="009B732E" w:rsidRDefault="00682123" w:rsidP="00E77AA9">
      <w:pPr>
        <w:pStyle w:val="Heading1"/>
        <w:jc w:val="both"/>
        <w:rPr>
          <w:sz w:val="24"/>
          <w:szCs w:val="24"/>
        </w:rPr>
      </w:pPr>
      <w:r w:rsidRPr="009B732E">
        <w:rPr>
          <w:sz w:val="24"/>
          <w:szCs w:val="24"/>
        </w:rPr>
        <w:t>Results and Discussion</w:t>
      </w:r>
    </w:p>
    <w:p w14:paraId="557C7C2E" w14:textId="77777777" w:rsidR="00682123" w:rsidRPr="009B732E" w:rsidRDefault="00682123" w:rsidP="00E77AA9">
      <w:pPr>
        <w:pStyle w:val="Heading2"/>
        <w:jc w:val="both"/>
        <w:rPr>
          <w:sz w:val="24"/>
          <w:szCs w:val="24"/>
        </w:rPr>
      </w:pPr>
      <w:r w:rsidRPr="009B732E">
        <w:rPr>
          <w:sz w:val="24"/>
          <w:szCs w:val="24"/>
        </w:rPr>
        <w:t xml:space="preserve">Nutrient Composition of </w:t>
      </w:r>
      <w:proofErr w:type="spellStart"/>
      <w:r w:rsidRPr="009B732E">
        <w:rPr>
          <w:sz w:val="24"/>
          <w:szCs w:val="24"/>
        </w:rPr>
        <w:t>Vermicompost</w:t>
      </w:r>
      <w:proofErr w:type="spellEnd"/>
      <w:r w:rsidRPr="009B732E">
        <w:rPr>
          <w:sz w:val="24"/>
          <w:szCs w:val="24"/>
        </w:rPr>
        <w:t xml:space="preserve"> and </w:t>
      </w:r>
      <w:proofErr w:type="spellStart"/>
      <w:r w:rsidRPr="009B732E">
        <w:rPr>
          <w:sz w:val="24"/>
          <w:szCs w:val="24"/>
        </w:rPr>
        <w:t>Vermiwash</w:t>
      </w:r>
      <w:proofErr w:type="spellEnd"/>
    </w:p>
    <w:p w14:paraId="23B4E5AD" w14:textId="77777777" w:rsidR="0055500C" w:rsidRPr="009B732E" w:rsidRDefault="00C319BC" w:rsidP="00E77AA9">
      <w:pPr>
        <w:pStyle w:val="NormalWeb"/>
        <w:jc w:val="both"/>
      </w:pPr>
      <w:r w:rsidRPr="009B732E">
        <w:t xml:space="preserve">      Vermicompost had significant amounts of organic carbon, nitrogen, phosphorus, potassium, calcium, and magnesium, according to the nutrient analysis. </w:t>
      </w:r>
      <w:proofErr w:type="spellStart"/>
      <w:r w:rsidRPr="009B732E">
        <w:t>Vermiwash</w:t>
      </w:r>
      <w:proofErr w:type="spellEnd"/>
      <w:r w:rsidRPr="009B732E">
        <w:t xml:space="preserve"> also </w:t>
      </w:r>
      <w:r w:rsidRPr="009B732E">
        <w:lastRenderedPageBreak/>
        <w:t xml:space="preserve">showed significant amounts of micronutrients and soluble nutrients. Both materials were suitable for use in agriculture because to their neutral pH and modest electrical conductivity. Earthworm-mediated breakdown and microbial mineralization mechanisms that improve nutrient availability are responsible for the nutrient enrichment seen in vermicompost (Aira et al., 2022). </w:t>
      </w:r>
      <w:r w:rsidR="00F04B37" w:rsidRPr="009B732E">
        <w:t>Because earthworms and microbes work together to speed up the breakdown of organic matter and transform nutrients into forms that plants can use, vermicompost has a higher nutrient content. Edwards and colleagues found similar findings (2010).</w:t>
      </w:r>
      <w:r w:rsidRPr="009B732E">
        <w:t>Suleiman et al. (2023) reported similar results, indicating that vermicompost had higher concentrations of vital plant nutrients than traditional compost.</w:t>
      </w:r>
      <w:r w:rsidR="00E111C4" w:rsidRPr="009B732E">
        <w:t xml:space="preserve"> Earthworm activity enhances nutrient cycling and enriches vermicompost with easily accessible nitrogen, phosphate, potassium, and advantageous microbial communities, as shown by Lim et al. (2019). These results support the value of </w:t>
      </w:r>
      <w:proofErr w:type="spellStart"/>
      <w:r w:rsidR="00E111C4" w:rsidRPr="009B732E">
        <w:t>vermicompost</w:t>
      </w:r>
      <w:proofErr w:type="spellEnd"/>
      <w:r w:rsidR="00E111C4" w:rsidRPr="009B732E">
        <w:t xml:space="preserve"> and </w:t>
      </w:r>
      <w:proofErr w:type="spellStart"/>
      <w:r w:rsidR="00E111C4" w:rsidRPr="009B732E">
        <w:t>vermiwash</w:t>
      </w:r>
      <w:proofErr w:type="spellEnd"/>
      <w:r w:rsidR="00E111C4" w:rsidRPr="009B732E">
        <w:t xml:space="preserve"> as nutrient-rich organic amendments for sustainable crop development and are in line with the current study.</w:t>
      </w:r>
    </w:p>
    <w:p w14:paraId="6DDBE613" w14:textId="77777777" w:rsidR="0055500C" w:rsidRPr="009B732E" w:rsidRDefault="0055500C" w:rsidP="0055500C">
      <w:pPr>
        <w:pStyle w:val="Heading3"/>
        <w:jc w:val="center"/>
        <w:rPr>
          <w:rFonts w:ascii="Times New Roman" w:hAnsi="Times New Roman" w:cs="Times New Roman"/>
          <w:b/>
          <w:color w:val="auto"/>
        </w:rPr>
      </w:pPr>
      <w:r w:rsidRPr="009B732E">
        <w:rPr>
          <w:rFonts w:ascii="Times New Roman" w:hAnsi="Times New Roman" w:cs="Times New Roman"/>
          <w:b/>
          <w:color w:val="auto"/>
        </w:rPr>
        <w:t>Table 1. Nutrient c</w:t>
      </w:r>
      <w:r w:rsidR="0044541B" w:rsidRPr="009B732E">
        <w:rPr>
          <w:rFonts w:ascii="Times New Roman" w:hAnsi="Times New Roman" w:cs="Times New Roman"/>
          <w:b/>
          <w:color w:val="auto"/>
        </w:rPr>
        <w:t xml:space="preserve">omposition of </w:t>
      </w:r>
      <w:proofErr w:type="spellStart"/>
      <w:r w:rsidR="0044541B" w:rsidRPr="009B732E">
        <w:rPr>
          <w:rFonts w:ascii="Times New Roman" w:hAnsi="Times New Roman" w:cs="Times New Roman"/>
          <w:b/>
          <w:color w:val="auto"/>
        </w:rPr>
        <w:t>Vermicompost</w:t>
      </w:r>
      <w:proofErr w:type="spellEnd"/>
      <w:r w:rsidR="0044541B" w:rsidRPr="009B732E">
        <w:rPr>
          <w:rFonts w:ascii="Times New Roman" w:hAnsi="Times New Roman" w:cs="Times New Roman"/>
          <w:b/>
          <w:color w:val="auto"/>
        </w:rPr>
        <w:t xml:space="preserve"> and </w:t>
      </w:r>
      <w:proofErr w:type="spellStart"/>
      <w:r w:rsidR="0044541B" w:rsidRPr="009B732E">
        <w:rPr>
          <w:rFonts w:ascii="Times New Roman" w:hAnsi="Times New Roman" w:cs="Times New Roman"/>
          <w:b/>
          <w:color w:val="auto"/>
        </w:rPr>
        <w:t>V</w:t>
      </w:r>
      <w:r w:rsidRPr="009B732E">
        <w:rPr>
          <w:rFonts w:ascii="Times New Roman" w:hAnsi="Times New Roman" w:cs="Times New Roman"/>
          <w:b/>
          <w:color w:val="auto"/>
        </w:rPr>
        <w:t>ermiwash</w:t>
      </w:r>
      <w:proofErr w:type="spellEnd"/>
    </w:p>
    <w:tbl>
      <w:tblPr>
        <w:tblStyle w:val="TableGrid"/>
        <w:tblW w:w="0" w:type="auto"/>
        <w:jc w:val="center"/>
        <w:tblLook w:val="04A0" w:firstRow="1" w:lastRow="0" w:firstColumn="1" w:lastColumn="0" w:noHBand="0" w:noVBand="1"/>
      </w:tblPr>
      <w:tblGrid>
        <w:gridCol w:w="2689"/>
        <w:gridCol w:w="1984"/>
        <w:gridCol w:w="1985"/>
      </w:tblGrid>
      <w:tr w:rsidR="00413D30" w:rsidRPr="009B732E" w14:paraId="32F827E0" w14:textId="77777777" w:rsidTr="00413D30">
        <w:trPr>
          <w:jc w:val="center"/>
        </w:trPr>
        <w:tc>
          <w:tcPr>
            <w:tcW w:w="2689" w:type="dxa"/>
            <w:hideMark/>
          </w:tcPr>
          <w:p w14:paraId="28166B01" w14:textId="77777777" w:rsidR="00413D30" w:rsidRPr="009B732E" w:rsidRDefault="00413D30">
            <w:pPr>
              <w:jc w:val="center"/>
              <w:rPr>
                <w:rFonts w:ascii="Times New Roman" w:hAnsi="Times New Roman" w:cs="Times New Roman"/>
                <w:b/>
                <w:bCs/>
                <w:sz w:val="24"/>
                <w:szCs w:val="24"/>
              </w:rPr>
            </w:pPr>
            <w:r w:rsidRPr="009B732E">
              <w:rPr>
                <w:rFonts w:ascii="Times New Roman" w:hAnsi="Times New Roman" w:cs="Times New Roman"/>
                <w:b/>
                <w:bCs/>
                <w:sz w:val="24"/>
                <w:szCs w:val="24"/>
              </w:rPr>
              <w:t>Parameter</w:t>
            </w:r>
          </w:p>
        </w:tc>
        <w:tc>
          <w:tcPr>
            <w:tcW w:w="1984" w:type="dxa"/>
            <w:hideMark/>
          </w:tcPr>
          <w:p w14:paraId="7F13C1D4" w14:textId="77777777" w:rsidR="00413D30" w:rsidRPr="009B732E" w:rsidRDefault="00413D30">
            <w:pPr>
              <w:jc w:val="center"/>
              <w:rPr>
                <w:rFonts w:ascii="Times New Roman" w:hAnsi="Times New Roman" w:cs="Times New Roman"/>
                <w:b/>
                <w:bCs/>
                <w:sz w:val="24"/>
                <w:szCs w:val="24"/>
              </w:rPr>
            </w:pPr>
            <w:r w:rsidRPr="009B732E">
              <w:rPr>
                <w:rFonts w:ascii="Times New Roman" w:hAnsi="Times New Roman" w:cs="Times New Roman"/>
                <w:b/>
                <w:bCs/>
                <w:sz w:val="24"/>
                <w:szCs w:val="24"/>
              </w:rPr>
              <w:t>Vermicompost</w:t>
            </w:r>
          </w:p>
        </w:tc>
        <w:tc>
          <w:tcPr>
            <w:tcW w:w="1985" w:type="dxa"/>
            <w:hideMark/>
          </w:tcPr>
          <w:p w14:paraId="33FFD242" w14:textId="77777777" w:rsidR="00413D30" w:rsidRPr="009B732E" w:rsidRDefault="00413D30">
            <w:pPr>
              <w:jc w:val="center"/>
              <w:rPr>
                <w:rFonts w:ascii="Times New Roman" w:hAnsi="Times New Roman" w:cs="Times New Roman"/>
                <w:b/>
                <w:bCs/>
                <w:sz w:val="24"/>
                <w:szCs w:val="24"/>
              </w:rPr>
            </w:pPr>
            <w:proofErr w:type="spellStart"/>
            <w:r w:rsidRPr="009B732E">
              <w:rPr>
                <w:rFonts w:ascii="Times New Roman" w:hAnsi="Times New Roman" w:cs="Times New Roman"/>
                <w:b/>
                <w:bCs/>
                <w:sz w:val="24"/>
                <w:szCs w:val="24"/>
              </w:rPr>
              <w:t>Vermiwash</w:t>
            </w:r>
            <w:proofErr w:type="spellEnd"/>
          </w:p>
          <w:p w14:paraId="78320BB5" w14:textId="77777777" w:rsidR="00413D30" w:rsidRPr="009B732E" w:rsidRDefault="00413D30">
            <w:pPr>
              <w:jc w:val="center"/>
              <w:rPr>
                <w:rFonts w:ascii="Times New Roman" w:hAnsi="Times New Roman" w:cs="Times New Roman"/>
                <w:b/>
                <w:bCs/>
                <w:sz w:val="24"/>
                <w:szCs w:val="24"/>
              </w:rPr>
            </w:pPr>
          </w:p>
        </w:tc>
      </w:tr>
      <w:tr w:rsidR="00413D30" w:rsidRPr="009B732E" w14:paraId="7DDCA4C5" w14:textId="77777777" w:rsidTr="00413D30">
        <w:trPr>
          <w:jc w:val="center"/>
        </w:trPr>
        <w:tc>
          <w:tcPr>
            <w:tcW w:w="2689" w:type="dxa"/>
            <w:hideMark/>
          </w:tcPr>
          <w:p w14:paraId="751E7F6F"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pH</w:t>
            </w:r>
          </w:p>
        </w:tc>
        <w:tc>
          <w:tcPr>
            <w:tcW w:w="1984" w:type="dxa"/>
            <w:hideMark/>
          </w:tcPr>
          <w:p w14:paraId="2E0BB4F8" w14:textId="77777777" w:rsidR="00413D30" w:rsidRPr="009B732E" w:rsidRDefault="00413D30" w:rsidP="00A02B7C">
            <w:pPr>
              <w:rPr>
                <w:rFonts w:ascii="Times New Roman" w:hAnsi="Times New Roman" w:cs="Times New Roman"/>
                <w:sz w:val="24"/>
                <w:szCs w:val="24"/>
              </w:rPr>
            </w:pPr>
            <w:r w:rsidRPr="009B732E">
              <w:rPr>
                <w:rFonts w:ascii="Times New Roman" w:hAnsi="Times New Roman" w:cs="Times New Roman"/>
                <w:sz w:val="24"/>
                <w:szCs w:val="24"/>
              </w:rPr>
              <w:t>7.</w:t>
            </w:r>
            <w:r w:rsidR="00A02B7C" w:rsidRPr="009B732E">
              <w:rPr>
                <w:rFonts w:ascii="Times New Roman" w:hAnsi="Times New Roman" w:cs="Times New Roman"/>
                <w:sz w:val="24"/>
                <w:szCs w:val="24"/>
              </w:rPr>
              <w:t>1</w:t>
            </w:r>
            <w:r w:rsidRPr="009B732E">
              <w:rPr>
                <w:rFonts w:ascii="Times New Roman" w:hAnsi="Times New Roman" w:cs="Times New Roman"/>
                <w:sz w:val="24"/>
                <w:szCs w:val="24"/>
              </w:rPr>
              <w:t xml:space="preserve"> ± 0.03</w:t>
            </w:r>
          </w:p>
        </w:tc>
        <w:tc>
          <w:tcPr>
            <w:tcW w:w="1985" w:type="dxa"/>
            <w:hideMark/>
          </w:tcPr>
          <w:p w14:paraId="122A5A73"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7.0 ± 0.02</w:t>
            </w:r>
          </w:p>
        </w:tc>
      </w:tr>
      <w:tr w:rsidR="00413D30" w:rsidRPr="009B732E" w14:paraId="2CC31000" w14:textId="77777777" w:rsidTr="00413D30">
        <w:trPr>
          <w:jc w:val="center"/>
        </w:trPr>
        <w:tc>
          <w:tcPr>
            <w:tcW w:w="2689" w:type="dxa"/>
            <w:hideMark/>
          </w:tcPr>
          <w:p w14:paraId="14AA2636"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Electrical Conductivity (</w:t>
            </w:r>
            <w:proofErr w:type="spellStart"/>
            <w:r w:rsidRPr="009B732E">
              <w:rPr>
                <w:rFonts w:ascii="Times New Roman" w:hAnsi="Times New Roman" w:cs="Times New Roman"/>
                <w:sz w:val="24"/>
                <w:szCs w:val="24"/>
              </w:rPr>
              <w:t>dS</w:t>
            </w:r>
            <w:proofErr w:type="spellEnd"/>
            <w:r w:rsidRPr="009B732E">
              <w:rPr>
                <w:rFonts w:ascii="Times New Roman" w:hAnsi="Times New Roman" w:cs="Times New Roman"/>
                <w:sz w:val="24"/>
                <w:szCs w:val="24"/>
              </w:rPr>
              <w:t xml:space="preserve"> m⁻¹)</w:t>
            </w:r>
          </w:p>
        </w:tc>
        <w:tc>
          <w:tcPr>
            <w:tcW w:w="1984" w:type="dxa"/>
            <w:hideMark/>
          </w:tcPr>
          <w:p w14:paraId="5E8896D8" w14:textId="77777777" w:rsidR="00413D30" w:rsidRPr="009B732E" w:rsidRDefault="00413D30" w:rsidP="00A02B7C">
            <w:pPr>
              <w:rPr>
                <w:rFonts w:ascii="Times New Roman" w:hAnsi="Times New Roman" w:cs="Times New Roman"/>
                <w:sz w:val="24"/>
                <w:szCs w:val="24"/>
              </w:rPr>
            </w:pPr>
            <w:r w:rsidRPr="009B732E">
              <w:rPr>
                <w:rFonts w:ascii="Times New Roman" w:hAnsi="Times New Roman" w:cs="Times New Roman"/>
                <w:sz w:val="24"/>
                <w:szCs w:val="24"/>
              </w:rPr>
              <w:t>1.8</w:t>
            </w:r>
            <w:r w:rsidR="00A02B7C" w:rsidRPr="009B732E">
              <w:rPr>
                <w:rFonts w:ascii="Times New Roman" w:hAnsi="Times New Roman" w:cs="Times New Roman"/>
                <w:sz w:val="24"/>
                <w:szCs w:val="24"/>
              </w:rPr>
              <w:t>0</w:t>
            </w:r>
            <w:r w:rsidRPr="009B732E">
              <w:rPr>
                <w:rFonts w:ascii="Times New Roman" w:hAnsi="Times New Roman" w:cs="Times New Roman"/>
                <w:sz w:val="24"/>
                <w:szCs w:val="24"/>
              </w:rPr>
              <w:t xml:space="preserve"> ± 0.0</w:t>
            </w:r>
            <w:r w:rsidR="00A02B7C" w:rsidRPr="009B732E">
              <w:rPr>
                <w:rFonts w:ascii="Times New Roman" w:hAnsi="Times New Roman" w:cs="Times New Roman"/>
                <w:sz w:val="24"/>
                <w:szCs w:val="24"/>
              </w:rPr>
              <w:t>2</w:t>
            </w:r>
          </w:p>
        </w:tc>
        <w:tc>
          <w:tcPr>
            <w:tcW w:w="1985" w:type="dxa"/>
            <w:hideMark/>
          </w:tcPr>
          <w:p w14:paraId="390FC345" w14:textId="77777777" w:rsidR="00413D30" w:rsidRPr="009B732E" w:rsidRDefault="00A02B7C" w:rsidP="00A02B7C">
            <w:pPr>
              <w:rPr>
                <w:rFonts w:ascii="Times New Roman" w:hAnsi="Times New Roman" w:cs="Times New Roman"/>
                <w:sz w:val="24"/>
                <w:szCs w:val="24"/>
              </w:rPr>
            </w:pPr>
            <w:r w:rsidRPr="009B732E">
              <w:rPr>
                <w:rFonts w:ascii="Times New Roman" w:hAnsi="Times New Roman" w:cs="Times New Roman"/>
                <w:sz w:val="24"/>
                <w:szCs w:val="24"/>
              </w:rPr>
              <w:t>1.1</w:t>
            </w:r>
            <w:r w:rsidR="00413D30" w:rsidRPr="009B732E">
              <w:rPr>
                <w:rFonts w:ascii="Times New Roman" w:hAnsi="Times New Roman" w:cs="Times New Roman"/>
                <w:sz w:val="24"/>
                <w:szCs w:val="24"/>
              </w:rPr>
              <w:t>2 ± 0.0</w:t>
            </w:r>
            <w:r w:rsidRPr="009B732E">
              <w:rPr>
                <w:rFonts w:ascii="Times New Roman" w:hAnsi="Times New Roman" w:cs="Times New Roman"/>
                <w:sz w:val="24"/>
                <w:szCs w:val="24"/>
              </w:rPr>
              <w:t>3</w:t>
            </w:r>
          </w:p>
        </w:tc>
      </w:tr>
      <w:tr w:rsidR="00413D30" w:rsidRPr="009B732E" w14:paraId="2096F6F5" w14:textId="77777777" w:rsidTr="00413D30">
        <w:trPr>
          <w:jc w:val="center"/>
        </w:trPr>
        <w:tc>
          <w:tcPr>
            <w:tcW w:w="2689" w:type="dxa"/>
            <w:hideMark/>
          </w:tcPr>
          <w:p w14:paraId="524992FC"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Organic Carbon (%)</w:t>
            </w:r>
          </w:p>
        </w:tc>
        <w:tc>
          <w:tcPr>
            <w:tcW w:w="1984" w:type="dxa"/>
            <w:hideMark/>
          </w:tcPr>
          <w:p w14:paraId="6B98B638" w14:textId="77777777" w:rsidR="00413D30" w:rsidRPr="009B732E" w:rsidRDefault="00413D30" w:rsidP="00A02B7C">
            <w:pPr>
              <w:rPr>
                <w:rFonts w:ascii="Times New Roman" w:hAnsi="Times New Roman" w:cs="Times New Roman"/>
                <w:sz w:val="24"/>
                <w:szCs w:val="24"/>
              </w:rPr>
            </w:pPr>
            <w:r w:rsidRPr="009B732E">
              <w:rPr>
                <w:rFonts w:ascii="Times New Roman" w:hAnsi="Times New Roman" w:cs="Times New Roman"/>
                <w:sz w:val="24"/>
                <w:szCs w:val="24"/>
              </w:rPr>
              <w:t>1</w:t>
            </w:r>
            <w:r w:rsidR="00A02B7C" w:rsidRPr="009B732E">
              <w:rPr>
                <w:rFonts w:ascii="Times New Roman" w:hAnsi="Times New Roman" w:cs="Times New Roman"/>
                <w:sz w:val="24"/>
                <w:szCs w:val="24"/>
              </w:rPr>
              <w:t>6</w:t>
            </w:r>
            <w:r w:rsidRPr="009B732E">
              <w:rPr>
                <w:rFonts w:ascii="Times New Roman" w:hAnsi="Times New Roman" w:cs="Times New Roman"/>
                <w:sz w:val="24"/>
                <w:szCs w:val="24"/>
              </w:rPr>
              <w:t>.45 ± 0.21</w:t>
            </w:r>
          </w:p>
        </w:tc>
        <w:tc>
          <w:tcPr>
            <w:tcW w:w="1985" w:type="dxa"/>
            <w:hideMark/>
          </w:tcPr>
          <w:p w14:paraId="5C937907" w14:textId="77777777" w:rsidR="00413D30" w:rsidRPr="009B732E" w:rsidRDefault="00413D30" w:rsidP="00A02B7C">
            <w:pPr>
              <w:rPr>
                <w:rFonts w:ascii="Times New Roman" w:hAnsi="Times New Roman" w:cs="Times New Roman"/>
                <w:sz w:val="24"/>
                <w:szCs w:val="24"/>
              </w:rPr>
            </w:pPr>
            <w:r w:rsidRPr="009B732E">
              <w:rPr>
                <w:rFonts w:ascii="Times New Roman" w:hAnsi="Times New Roman" w:cs="Times New Roman"/>
                <w:sz w:val="24"/>
                <w:szCs w:val="24"/>
              </w:rPr>
              <w:t>0.9</w:t>
            </w:r>
            <w:r w:rsidR="00A02B7C" w:rsidRPr="009B732E">
              <w:rPr>
                <w:rFonts w:ascii="Times New Roman" w:hAnsi="Times New Roman" w:cs="Times New Roman"/>
                <w:sz w:val="24"/>
                <w:szCs w:val="24"/>
              </w:rPr>
              <w:t>5</w:t>
            </w:r>
            <w:r w:rsidRPr="009B732E">
              <w:rPr>
                <w:rFonts w:ascii="Times New Roman" w:hAnsi="Times New Roman" w:cs="Times New Roman"/>
                <w:sz w:val="24"/>
                <w:szCs w:val="24"/>
              </w:rPr>
              <w:t xml:space="preserve"> ± 0.0</w:t>
            </w:r>
            <w:r w:rsidR="00A02B7C" w:rsidRPr="009B732E">
              <w:rPr>
                <w:rFonts w:ascii="Times New Roman" w:hAnsi="Times New Roman" w:cs="Times New Roman"/>
                <w:sz w:val="24"/>
                <w:szCs w:val="24"/>
              </w:rPr>
              <w:t>2</w:t>
            </w:r>
          </w:p>
        </w:tc>
      </w:tr>
      <w:tr w:rsidR="00413D30" w:rsidRPr="009B732E" w14:paraId="42376F7F" w14:textId="77777777" w:rsidTr="00413D30">
        <w:trPr>
          <w:jc w:val="center"/>
        </w:trPr>
        <w:tc>
          <w:tcPr>
            <w:tcW w:w="2689" w:type="dxa"/>
            <w:hideMark/>
          </w:tcPr>
          <w:p w14:paraId="5A8CE0AE"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Total Nitrogen (%)</w:t>
            </w:r>
          </w:p>
        </w:tc>
        <w:tc>
          <w:tcPr>
            <w:tcW w:w="1984" w:type="dxa"/>
            <w:hideMark/>
          </w:tcPr>
          <w:p w14:paraId="69945E95"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1.</w:t>
            </w:r>
            <w:r w:rsidR="004F3B64" w:rsidRPr="009B732E">
              <w:rPr>
                <w:rFonts w:ascii="Times New Roman" w:hAnsi="Times New Roman" w:cs="Times New Roman"/>
                <w:sz w:val="24"/>
                <w:szCs w:val="24"/>
              </w:rPr>
              <w:t>55</w:t>
            </w:r>
            <w:r w:rsidRPr="009B732E">
              <w:rPr>
                <w:rFonts w:ascii="Times New Roman" w:hAnsi="Times New Roman" w:cs="Times New Roman"/>
                <w:sz w:val="24"/>
                <w:szCs w:val="24"/>
              </w:rPr>
              <w:t xml:space="preserve"> ± 0.0</w:t>
            </w:r>
            <w:r w:rsidR="004F3B64" w:rsidRPr="009B732E">
              <w:rPr>
                <w:rFonts w:ascii="Times New Roman" w:hAnsi="Times New Roman" w:cs="Times New Roman"/>
                <w:sz w:val="24"/>
                <w:szCs w:val="24"/>
              </w:rPr>
              <w:t>1</w:t>
            </w:r>
          </w:p>
        </w:tc>
        <w:tc>
          <w:tcPr>
            <w:tcW w:w="1985" w:type="dxa"/>
            <w:hideMark/>
          </w:tcPr>
          <w:p w14:paraId="7BFD5F21"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0.1</w:t>
            </w:r>
            <w:r w:rsidR="004F3B64" w:rsidRPr="009B732E">
              <w:rPr>
                <w:rFonts w:ascii="Times New Roman" w:hAnsi="Times New Roman" w:cs="Times New Roman"/>
                <w:sz w:val="24"/>
                <w:szCs w:val="24"/>
              </w:rPr>
              <w:t>6</w:t>
            </w:r>
            <w:r w:rsidRPr="009B732E">
              <w:rPr>
                <w:rFonts w:ascii="Times New Roman" w:hAnsi="Times New Roman" w:cs="Times New Roman"/>
                <w:sz w:val="24"/>
                <w:szCs w:val="24"/>
              </w:rPr>
              <w:t xml:space="preserve"> ± 0.0</w:t>
            </w:r>
            <w:r w:rsidR="004F3B64" w:rsidRPr="009B732E">
              <w:rPr>
                <w:rFonts w:ascii="Times New Roman" w:hAnsi="Times New Roman" w:cs="Times New Roman"/>
                <w:sz w:val="24"/>
                <w:szCs w:val="24"/>
              </w:rPr>
              <w:t>3</w:t>
            </w:r>
          </w:p>
        </w:tc>
      </w:tr>
      <w:tr w:rsidR="00413D30" w:rsidRPr="009B732E" w14:paraId="61EE12EF" w14:textId="77777777" w:rsidTr="00413D30">
        <w:trPr>
          <w:jc w:val="center"/>
        </w:trPr>
        <w:tc>
          <w:tcPr>
            <w:tcW w:w="2689" w:type="dxa"/>
            <w:hideMark/>
          </w:tcPr>
          <w:p w14:paraId="63BD3460"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Available Phosphorus (%)</w:t>
            </w:r>
          </w:p>
        </w:tc>
        <w:tc>
          <w:tcPr>
            <w:tcW w:w="1984" w:type="dxa"/>
            <w:hideMark/>
          </w:tcPr>
          <w:p w14:paraId="6C8F2D86"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0.9</w:t>
            </w:r>
            <w:r w:rsidR="004F3B64" w:rsidRPr="009B732E">
              <w:rPr>
                <w:rFonts w:ascii="Times New Roman" w:hAnsi="Times New Roman" w:cs="Times New Roman"/>
                <w:sz w:val="24"/>
                <w:szCs w:val="24"/>
              </w:rPr>
              <w:t>5</w:t>
            </w:r>
            <w:r w:rsidRPr="009B732E">
              <w:rPr>
                <w:rFonts w:ascii="Times New Roman" w:hAnsi="Times New Roman" w:cs="Times New Roman"/>
                <w:sz w:val="24"/>
                <w:szCs w:val="24"/>
              </w:rPr>
              <w:t xml:space="preserve"> ± 0.0</w:t>
            </w:r>
            <w:r w:rsidR="004F3B64" w:rsidRPr="009B732E">
              <w:rPr>
                <w:rFonts w:ascii="Times New Roman" w:hAnsi="Times New Roman" w:cs="Times New Roman"/>
                <w:sz w:val="24"/>
                <w:szCs w:val="24"/>
              </w:rPr>
              <w:t>1</w:t>
            </w:r>
          </w:p>
        </w:tc>
        <w:tc>
          <w:tcPr>
            <w:tcW w:w="1985" w:type="dxa"/>
            <w:hideMark/>
          </w:tcPr>
          <w:p w14:paraId="4BD2680A"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0.0</w:t>
            </w:r>
            <w:r w:rsidR="004F3B64" w:rsidRPr="009B732E">
              <w:rPr>
                <w:rFonts w:ascii="Times New Roman" w:hAnsi="Times New Roman" w:cs="Times New Roman"/>
                <w:sz w:val="24"/>
                <w:szCs w:val="24"/>
              </w:rPr>
              <w:t>7</w:t>
            </w:r>
            <w:r w:rsidRPr="009B732E">
              <w:rPr>
                <w:rFonts w:ascii="Times New Roman" w:hAnsi="Times New Roman" w:cs="Times New Roman"/>
                <w:sz w:val="24"/>
                <w:szCs w:val="24"/>
              </w:rPr>
              <w:t xml:space="preserve"> ± 0.01</w:t>
            </w:r>
          </w:p>
        </w:tc>
      </w:tr>
      <w:tr w:rsidR="00413D30" w:rsidRPr="009B732E" w14:paraId="20F21BE6" w14:textId="77777777" w:rsidTr="00413D30">
        <w:trPr>
          <w:jc w:val="center"/>
        </w:trPr>
        <w:tc>
          <w:tcPr>
            <w:tcW w:w="2689" w:type="dxa"/>
            <w:hideMark/>
          </w:tcPr>
          <w:p w14:paraId="055949B9"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Available Potassium (%)</w:t>
            </w:r>
          </w:p>
        </w:tc>
        <w:tc>
          <w:tcPr>
            <w:tcW w:w="1984" w:type="dxa"/>
            <w:hideMark/>
          </w:tcPr>
          <w:p w14:paraId="4D6DEB17" w14:textId="77777777" w:rsidR="00413D30" w:rsidRPr="009B732E" w:rsidRDefault="004F3B64" w:rsidP="004F3B64">
            <w:pPr>
              <w:rPr>
                <w:rFonts w:ascii="Times New Roman" w:hAnsi="Times New Roman" w:cs="Times New Roman"/>
                <w:sz w:val="24"/>
                <w:szCs w:val="24"/>
              </w:rPr>
            </w:pPr>
            <w:r w:rsidRPr="009B732E">
              <w:rPr>
                <w:rFonts w:ascii="Times New Roman" w:hAnsi="Times New Roman" w:cs="Times New Roman"/>
                <w:sz w:val="24"/>
                <w:szCs w:val="24"/>
              </w:rPr>
              <w:t>1.15</w:t>
            </w:r>
            <w:r w:rsidR="00413D30" w:rsidRPr="009B732E">
              <w:rPr>
                <w:rFonts w:ascii="Times New Roman" w:hAnsi="Times New Roman" w:cs="Times New Roman"/>
                <w:sz w:val="24"/>
                <w:szCs w:val="24"/>
              </w:rPr>
              <w:t xml:space="preserve"> ± 0.04</w:t>
            </w:r>
          </w:p>
        </w:tc>
        <w:tc>
          <w:tcPr>
            <w:tcW w:w="1985" w:type="dxa"/>
            <w:hideMark/>
          </w:tcPr>
          <w:p w14:paraId="0CE0A3A1"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0.1</w:t>
            </w:r>
            <w:r w:rsidR="004F3B64" w:rsidRPr="009B732E">
              <w:rPr>
                <w:rFonts w:ascii="Times New Roman" w:hAnsi="Times New Roman" w:cs="Times New Roman"/>
                <w:sz w:val="24"/>
                <w:szCs w:val="24"/>
              </w:rPr>
              <w:t>3</w:t>
            </w:r>
            <w:r w:rsidRPr="009B732E">
              <w:rPr>
                <w:rFonts w:ascii="Times New Roman" w:hAnsi="Times New Roman" w:cs="Times New Roman"/>
                <w:sz w:val="24"/>
                <w:szCs w:val="24"/>
              </w:rPr>
              <w:t xml:space="preserve"> ± 0.01</w:t>
            </w:r>
          </w:p>
        </w:tc>
      </w:tr>
      <w:tr w:rsidR="00413D30" w:rsidRPr="009B732E" w14:paraId="44B6DBBF" w14:textId="77777777" w:rsidTr="00413D30">
        <w:trPr>
          <w:jc w:val="center"/>
        </w:trPr>
        <w:tc>
          <w:tcPr>
            <w:tcW w:w="2689" w:type="dxa"/>
            <w:hideMark/>
          </w:tcPr>
          <w:p w14:paraId="03251A2E"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Calcium (%)</w:t>
            </w:r>
          </w:p>
        </w:tc>
        <w:tc>
          <w:tcPr>
            <w:tcW w:w="1984" w:type="dxa"/>
            <w:hideMark/>
          </w:tcPr>
          <w:p w14:paraId="4169FF19" w14:textId="77777777" w:rsidR="00413D30" w:rsidRPr="009B732E" w:rsidRDefault="004F3B64" w:rsidP="004F3B64">
            <w:pPr>
              <w:rPr>
                <w:rFonts w:ascii="Times New Roman" w:hAnsi="Times New Roman" w:cs="Times New Roman"/>
                <w:sz w:val="24"/>
                <w:szCs w:val="24"/>
              </w:rPr>
            </w:pPr>
            <w:r w:rsidRPr="009B732E">
              <w:rPr>
                <w:rFonts w:ascii="Times New Roman" w:hAnsi="Times New Roman" w:cs="Times New Roman"/>
                <w:sz w:val="24"/>
                <w:szCs w:val="24"/>
              </w:rPr>
              <w:t>2.24</w:t>
            </w:r>
            <w:r w:rsidR="00413D30" w:rsidRPr="009B732E">
              <w:rPr>
                <w:rFonts w:ascii="Times New Roman" w:hAnsi="Times New Roman" w:cs="Times New Roman"/>
                <w:sz w:val="24"/>
                <w:szCs w:val="24"/>
              </w:rPr>
              <w:t xml:space="preserve"> ± 0.08</w:t>
            </w:r>
          </w:p>
        </w:tc>
        <w:tc>
          <w:tcPr>
            <w:tcW w:w="1985" w:type="dxa"/>
            <w:hideMark/>
          </w:tcPr>
          <w:p w14:paraId="1A6C3841"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0.1</w:t>
            </w:r>
            <w:r w:rsidR="004F3B64" w:rsidRPr="009B732E">
              <w:rPr>
                <w:rFonts w:ascii="Times New Roman" w:hAnsi="Times New Roman" w:cs="Times New Roman"/>
                <w:sz w:val="24"/>
                <w:szCs w:val="24"/>
              </w:rPr>
              <w:t>5</w:t>
            </w:r>
            <w:r w:rsidRPr="009B732E">
              <w:rPr>
                <w:rFonts w:ascii="Times New Roman" w:hAnsi="Times New Roman" w:cs="Times New Roman"/>
                <w:sz w:val="24"/>
                <w:szCs w:val="24"/>
              </w:rPr>
              <w:t xml:space="preserve"> ± 0.02</w:t>
            </w:r>
          </w:p>
        </w:tc>
      </w:tr>
      <w:tr w:rsidR="00413D30" w:rsidRPr="009B732E" w14:paraId="0D48366F" w14:textId="77777777" w:rsidTr="00413D30">
        <w:trPr>
          <w:jc w:val="center"/>
        </w:trPr>
        <w:tc>
          <w:tcPr>
            <w:tcW w:w="2689" w:type="dxa"/>
            <w:hideMark/>
          </w:tcPr>
          <w:p w14:paraId="361908D3"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Magnesium (%)</w:t>
            </w:r>
          </w:p>
        </w:tc>
        <w:tc>
          <w:tcPr>
            <w:tcW w:w="1984" w:type="dxa"/>
            <w:hideMark/>
          </w:tcPr>
          <w:p w14:paraId="797469B4" w14:textId="77777777" w:rsidR="00413D30" w:rsidRPr="009B732E" w:rsidRDefault="004F3B64">
            <w:pPr>
              <w:rPr>
                <w:rFonts w:ascii="Times New Roman" w:hAnsi="Times New Roman" w:cs="Times New Roman"/>
                <w:sz w:val="24"/>
                <w:szCs w:val="24"/>
              </w:rPr>
            </w:pPr>
            <w:r w:rsidRPr="009B732E">
              <w:rPr>
                <w:rFonts w:ascii="Times New Roman" w:hAnsi="Times New Roman" w:cs="Times New Roman"/>
                <w:sz w:val="24"/>
                <w:szCs w:val="24"/>
              </w:rPr>
              <w:t>0.7</w:t>
            </w:r>
            <w:r w:rsidR="00413D30" w:rsidRPr="009B732E">
              <w:rPr>
                <w:rFonts w:ascii="Times New Roman" w:hAnsi="Times New Roman" w:cs="Times New Roman"/>
                <w:sz w:val="24"/>
                <w:szCs w:val="24"/>
              </w:rPr>
              <w:t>4 ± 0.03</w:t>
            </w:r>
          </w:p>
        </w:tc>
        <w:tc>
          <w:tcPr>
            <w:tcW w:w="1985" w:type="dxa"/>
            <w:hideMark/>
          </w:tcPr>
          <w:p w14:paraId="0208238B"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0.0</w:t>
            </w:r>
            <w:r w:rsidR="004F3B64" w:rsidRPr="009B732E">
              <w:rPr>
                <w:rFonts w:ascii="Times New Roman" w:hAnsi="Times New Roman" w:cs="Times New Roman"/>
                <w:sz w:val="24"/>
                <w:szCs w:val="24"/>
              </w:rPr>
              <w:t>6</w:t>
            </w:r>
            <w:r w:rsidRPr="009B732E">
              <w:rPr>
                <w:rFonts w:ascii="Times New Roman" w:hAnsi="Times New Roman" w:cs="Times New Roman"/>
                <w:sz w:val="24"/>
                <w:szCs w:val="24"/>
              </w:rPr>
              <w:t xml:space="preserve"> ± 0.01</w:t>
            </w:r>
          </w:p>
        </w:tc>
      </w:tr>
      <w:tr w:rsidR="00413D30" w:rsidRPr="009B732E" w14:paraId="7A4E8A0F" w14:textId="77777777" w:rsidTr="00413D30">
        <w:trPr>
          <w:jc w:val="center"/>
        </w:trPr>
        <w:tc>
          <w:tcPr>
            <w:tcW w:w="2689" w:type="dxa"/>
            <w:hideMark/>
          </w:tcPr>
          <w:p w14:paraId="265CF6E0"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Iron (mg kg⁻¹)</w:t>
            </w:r>
          </w:p>
        </w:tc>
        <w:tc>
          <w:tcPr>
            <w:tcW w:w="1984" w:type="dxa"/>
            <w:hideMark/>
          </w:tcPr>
          <w:p w14:paraId="5777C2D6" w14:textId="77777777" w:rsidR="00413D30" w:rsidRPr="009B732E" w:rsidRDefault="004F3B64">
            <w:pPr>
              <w:rPr>
                <w:rFonts w:ascii="Times New Roman" w:hAnsi="Times New Roman" w:cs="Times New Roman"/>
                <w:sz w:val="24"/>
                <w:szCs w:val="24"/>
              </w:rPr>
            </w:pPr>
            <w:r w:rsidRPr="009B732E">
              <w:rPr>
                <w:rFonts w:ascii="Times New Roman" w:hAnsi="Times New Roman" w:cs="Times New Roman"/>
                <w:sz w:val="24"/>
                <w:szCs w:val="24"/>
              </w:rPr>
              <w:t>10</w:t>
            </w:r>
            <w:r w:rsidR="00413D30" w:rsidRPr="009B732E">
              <w:rPr>
                <w:rFonts w:ascii="Times New Roman" w:hAnsi="Times New Roman" w:cs="Times New Roman"/>
                <w:sz w:val="24"/>
                <w:szCs w:val="24"/>
              </w:rPr>
              <w:t>5.4 ± 3.2</w:t>
            </w:r>
          </w:p>
        </w:tc>
        <w:tc>
          <w:tcPr>
            <w:tcW w:w="1985" w:type="dxa"/>
            <w:hideMark/>
          </w:tcPr>
          <w:p w14:paraId="287A63AC" w14:textId="77777777" w:rsidR="00413D30" w:rsidRPr="009B732E" w:rsidRDefault="00413D30" w:rsidP="004F3B64">
            <w:pPr>
              <w:rPr>
                <w:rFonts w:ascii="Times New Roman" w:hAnsi="Times New Roman" w:cs="Times New Roman"/>
                <w:sz w:val="24"/>
                <w:szCs w:val="24"/>
              </w:rPr>
            </w:pPr>
            <w:r w:rsidRPr="009B732E">
              <w:rPr>
                <w:rFonts w:ascii="Times New Roman" w:hAnsi="Times New Roman" w:cs="Times New Roman"/>
                <w:sz w:val="24"/>
                <w:szCs w:val="24"/>
              </w:rPr>
              <w:t>1</w:t>
            </w:r>
            <w:r w:rsidR="004F3B64" w:rsidRPr="009B732E">
              <w:rPr>
                <w:rFonts w:ascii="Times New Roman" w:hAnsi="Times New Roman" w:cs="Times New Roman"/>
                <w:sz w:val="24"/>
                <w:szCs w:val="24"/>
              </w:rPr>
              <w:t>6</w:t>
            </w:r>
            <w:r w:rsidRPr="009B732E">
              <w:rPr>
                <w:rFonts w:ascii="Times New Roman" w:hAnsi="Times New Roman" w:cs="Times New Roman"/>
                <w:sz w:val="24"/>
                <w:szCs w:val="24"/>
              </w:rPr>
              <w:t>.6 ± 0.9</w:t>
            </w:r>
          </w:p>
        </w:tc>
      </w:tr>
      <w:tr w:rsidR="00413D30" w:rsidRPr="009B732E" w14:paraId="4E51C00A" w14:textId="77777777" w:rsidTr="00413D30">
        <w:trPr>
          <w:jc w:val="center"/>
        </w:trPr>
        <w:tc>
          <w:tcPr>
            <w:tcW w:w="2689" w:type="dxa"/>
            <w:hideMark/>
          </w:tcPr>
          <w:p w14:paraId="321353B7" w14:textId="77777777" w:rsidR="00413D30" w:rsidRPr="009B732E" w:rsidRDefault="00413D30">
            <w:pPr>
              <w:rPr>
                <w:rFonts w:ascii="Times New Roman" w:hAnsi="Times New Roman" w:cs="Times New Roman"/>
                <w:sz w:val="24"/>
                <w:szCs w:val="24"/>
              </w:rPr>
            </w:pPr>
            <w:r w:rsidRPr="009B732E">
              <w:rPr>
                <w:rFonts w:ascii="Times New Roman" w:hAnsi="Times New Roman" w:cs="Times New Roman"/>
                <w:sz w:val="24"/>
                <w:szCs w:val="24"/>
              </w:rPr>
              <w:t>Zinc (mg kg⁻¹)</w:t>
            </w:r>
          </w:p>
        </w:tc>
        <w:tc>
          <w:tcPr>
            <w:tcW w:w="1984" w:type="dxa"/>
            <w:hideMark/>
          </w:tcPr>
          <w:p w14:paraId="2A7F6D79" w14:textId="77777777" w:rsidR="00413D30" w:rsidRPr="009B732E" w:rsidRDefault="004F3B64">
            <w:pPr>
              <w:rPr>
                <w:rFonts w:ascii="Times New Roman" w:hAnsi="Times New Roman" w:cs="Times New Roman"/>
                <w:sz w:val="24"/>
                <w:szCs w:val="24"/>
              </w:rPr>
            </w:pPr>
            <w:r w:rsidRPr="009B732E">
              <w:rPr>
                <w:rFonts w:ascii="Times New Roman" w:hAnsi="Times New Roman" w:cs="Times New Roman"/>
                <w:sz w:val="24"/>
                <w:szCs w:val="24"/>
              </w:rPr>
              <w:t>30</w:t>
            </w:r>
            <w:r w:rsidR="00413D30" w:rsidRPr="009B732E">
              <w:rPr>
                <w:rFonts w:ascii="Times New Roman" w:hAnsi="Times New Roman" w:cs="Times New Roman"/>
                <w:sz w:val="24"/>
                <w:szCs w:val="24"/>
              </w:rPr>
              <w:t>.7 ± 1.4</w:t>
            </w:r>
          </w:p>
        </w:tc>
        <w:tc>
          <w:tcPr>
            <w:tcW w:w="1985" w:type="dxa"/>
            <w:hideMark/>
          </w:tcPr>
          <w:p w14:paraId="75977433" w14:textId="77777777" w:rsidR="00413D30" w:rsidRPr="009B732E" w:rsidRDefault="004F3B64">
            <w:pPr>
              <w:rPr>
                <w:rFonts w:ascii="Times New Roman" w:hAnsi="Times New Roman" w:cs="Times New Roman"/>
                <w:sz w:val="24"/>
                <w:szCs w:val="24"/>
              </w:rPr>
            </w:pPr>
            <w:r w:rsidRPr="009B732E">
              <w:rPr>
                <w:rFonts w:ascii="Times New Roman" w:hAnsi="Times New Roman" w:cs="Times New Roman"/>
                <w:sz w:val="24"/>
                <w:szCs w:val="24"/>
              </w:rPr>
              <w:t>5.2</w:t>
            </w:r>
            <w:r w:rsidR="00413D30" w:rsidRPr="009B732E">
              <w:rPr>
                <w:rFonts w:ascii="Times New Roman" w:hAnsi="Times New Roman" w:cs="Times New Roman"/>
                <w:sz w:val="24"/>
                <w:szCs w:val="24"/>
              </w:rPr>
              <w:t xml:space="preserve"> ± 0.3</w:t>
            </w:r>
          </w:p>
        </w:tc>
      </w:tr>
    </w:tbl>
    <w:p w14:paraId="782725C3" w14:textId="77777777" w:rsidR="00682123" w:rsidRPr="009B732E" w:rsidRDefault="00682123" w:rsidP="00E77AA9">
      <w:pPr>
        <w:pStyle w:val="Heading2"/>
        <w:jc w:val="both"/>
        <w:rPr>
          <w:sz w:val="24"/>
          <w:szCs w:val="24"/>
        </w:rPr>
      </w:pPr>
      <w:r w:rsidRPr="009B732E">
        <w:rPr>
          <w:sz w:val="24"/>
          <w:szCs w:val="24"/>
        </w:rPr>
        <w:t>Effect on Seed Germination</w:t>
      </w:r>
    </w:p>
    <w:p w14:paraId="10E0A45A" w14:textId="77777777" w:rsidR="009F0712" w:rsidRPr="009B732E" w:rsidRDefault="009F0712" w:rsidP="009F0712">
      <w:pPr>
        <w:pStyle w:val="Heading3"/>
        <w:jc w:val="both"/>
        <w:rPr>
          <w:rFonts w:ascii="Times New Roman" w:hAnsi="Times New Roman" w:cs="Times New Roman"/>
          <w:color w:val="auto"/>
        </w:rPr>
      </w:pPr>
      <w:r w:rsidRPr="009B732E">
        <w:rPr>
          <w:rFonts w:ascii="Times New Roman" w:hAnsi="Times New Roman" w:cs="Times New Roman"/>
          <w:color w:val="auto"/>
        </w:rPr>
        <w:t xml:space="preserve">      When compared to the control, the use of </w:t>
      </w:r>
      <w:proofErr w:type="spellStart"/>
      <w:r w:rsidRPr="009B732E">
        <w:rPr>
          <w:rFonts w:ascii="Times New Roman" w:hAnsi="Times New Roman" w:cs="Times New Roman"/>
          <w:color w:val="auto"/>
        </w:rPr>
        <w:t>vermicompost</w:t>
      </w:r>
      <w:proofErr w:type="spellEnd"/>
      <w:r w:rsidRPr="009B732E">
        <w:rPr>
          <w:rFonts w:ascii="Times New Roman" w:hAnsi="Times New Roman" w:cs="Times New Roman"/>
          <w:color w:val="auto"/>
        </w:rPr>
        <w:t xml:space="preserve"> and </w:t>
      </w:r>
      <w:proofErr w:type="spellStart"/>
      <w:r w:rsidRPr="009B732E">
        <w:rPr>
          <w:rFonts w:ascii="Times New Roman" w:hAnsi="Times New Roman" w:cs="Times New Roman"/>
          <w:color w:val="auto"/>
        </w:rPr>
        <w:t>vermiwash</w:t>
      </w:r>
      <w:proofErr w:type="spellEnd"/>
      <w:r w:rsidRPr="009B732E">
        <w:rPr>
          <w:rFonts w:ascii="Times New Roman" w:hAnsi="Times New Roman" w:cs="Times New Roman"/>
          <w:color w:val="auto"/>
        </w:rPr>
        <w:t xml:space="preserve"> greatly increased seed germination in green vegetable</w:t>
      </w:r>
      <w:r w:rsidR="00650C85" w:rsidRPr="009B732E">
        <w:t xml:space="preserve"> </w:t>
      </w:r>
      <w:r w:rsidR="00650C85" w:rsidRPr="009B732E">
        <w:rPr>
          <w:rFonts w:ascii="Times New Roman" w:hAnsi="Times New Roman" w:cs="Times New Roman"/>
          <w:i/>
          <w:color w:val="auto"/>
        </w:rPr>
        <w:t>Coriandrum sativum</w:t>
      </w:r>
      <w:r w:rsidR="00650C85" w:rsidRPr="009B732E">
        <w:rPr>
          <w:rFonts w:ascii="Times New Roman" w:hAnsi="Times New Roman" w:cs="Times New Roman"/>
          <w:color w:val="auto"/>
        </w:rPr>
        <w:t xml:space="preserve"> and </w:t>
      </w:r>
      <w:r w:rsidR="00650C85" w:rsidRPr="009B732E">
        <w:rPr>
          <w:rFonts w:ascii="Times New Roman" w:hAnsi="Times New Roman" w:cs="Times New Roman"/>
          <w:i/>
          <w:color w:val="auto"/>
        </w:rPr>
        <w:t>Vigna radiate</w:t>
      </w:r>
      <w:r w:rsidRPr="009B732E">
        <w:rPr>
          <w:rFonts w:ascii="Times New Roman" w:hAnsi="Times New Roman" w:cs="Times New Roman"/>
          <w:color w:val="auto"/>
        </w:rPr>
        <w:t xml:space="preserve">. Treatments that received 50–75% </w:t>
      </w:r>
      <w:proofErr w:type="spellStart"/>
      <w:r w:rsidRPr="009B732E">
        <w:rPr>
          <w:rFonts w:ascii="Times New Roman" w:hAnsi="Times New Roman" w:cs="Times New Roman"/>
          <w:color w:val="auto"/>
        </w:rPr>
        <w:t>vermiwash</w:t>
      </w:r>
      <w:proofErr w:type="spellEnd"/>
      <w:r w:rsidRPr="009B732E">
        <w:rPr>
          <w:rFonts w:ascii="Times New Roman" w:hAnsi="Times New Roman" w:cs="Times New Roman"/>
          <w:color w:val="auto"/>
        </w:rPr>
        <w:t xml:space="preserve"> and 20% </w:t>
      </w:r>
      <w:proofErr w:type="spellStart"/>
      <w:r w:rsidRPr="009B732E">
        <w:rPr>
          <w:rFonts w:ascii="Times New Roman" w:hAnsi="Times New Roman" w:cs="Times New Roman"/>
          <w:color w:val="auto"/>
        </w:rPr>
        <w:t>vermicompost</w:t>
      </w:r>
      <w:proofErr w:type="spellEnd"/>
      <w:r w:rsidRPr="009B732E">
        <w:rPr>
          <w:rFonts w:ascii="Times New Roman" w:hAnsi="Times New Roman" w:cs="Times New Roman"/>
          <w:color w:val="auto"/>
        </w:rPr>
        <w:t xml:space="preserve"> showed the highest germination percentage. Vermicompost products contain easily available nutrients, humic compounds, and plant gr </w:t>
      </w:r>
      <w:proofErr w:type="spellStart"/>
      <w:r w:rsidRPr="009B732E">
        <w:rPr>
          <w:rFonts w:ascii="Times New Roman" w:hAnsi="Times New Roman" w:cs="Times New Roman"/>
          <w:color w:val="auto"/>
        </w:rPr>
        <w:t>owth</w:t>
      </w:r>
      <w:proofErr w:type="spellEnd"/>
      <w:r w:rsidRPr="009B732E">
        <w:rPr>
          <w:rFonts w:ascii="Times New Roman" w:hAnsi="Times New Roman" w:cs="Times New Roman"/>
          <w:color w:val="auto"/>
        </w:rPr>
        <w:t>-promoting hormones that may contribute to enhanced germination (</w:t>
      </w:r>
      <w:proofErr w:type="spellStart"/>
      <w:r w:rsidRPr="009B732E">
        <w:rPr>
          <w:rFonts w:ascii="Times New Roman" w:hAnsi="Times New Roman" w:cs="Times New Roman"/>
          <w:color w:val="auto"/>
        </w:rPr>
        <w:t>Yatoo</w:t>
      </w:r>
      <w:proofErr w:type="spellEnd"/>
      <w:r w:rsidRPr="009B732E">
        <w:rPr>
          <w:rFonts w:ascii="Times New Roman" w:hAnsi="Times New Roman" w:cs="Times New Roman"/>
          <w:color w:val="auto"/>
        </w:rPr>
        <w:t xml:space="preserve"> et al., 2021). </w:t>
      </w:r>
      <w:r w:rsidR="006F0A65" w:rsidRPr="009B732E">
        <w:rPr>
          <w:rFonts w:ascii="Times New Roman" w:hAnsi="Times New Roman" w:cs="Times New Roman"/>
          <w:color w:val="auto"/>
        </w:rPr>
        <w:t xml:space="preserve">Similar results were reported by </w:t>
      </w:r>
      <w:proofErr w:type="spellStart"/>
      <w:r w:rsidR="006F0A65" w:rsidRPr="009B732E">
        <w:rPr>
          <w:rFonts w:ascii="Times New Roman" w:hAnsi="Times New Roman" w:cs="Times New Roman"/>
          <w:color w:val="auto"/>
        </w:rPr>
        <w:t>Arancon</w:t>
      </w:r>
      <w:proofErr w:type="spellEnd"/>
      <w:r w:rsidR="006F0A65" w:rsidRPr="009B732E">
        <w:rPr>
          <w:rFonts w:ascii="Times New Roman" w:hAnsi="Times New Roman" w:cs="Times New Roman"/>
          <w:color w:val="auto"/>
        </w:rPr>
        <w:t xml:space="preserve"> et al. (2010), who observed enhanced seed germination and seedling emergence in crops treated with vermicompost due to improved nutrient availability and growth-promoting substances.</w:t>
      </w:r>
      <w:r w:rsidR="00483C9B" w:rsidRPr="009B732E">
        <w:t xml:space="preserve"> </w:t>
      </w:r>
      <w:r w:rsidR="00D66EE9" w:rsidRPr="009B732E">
        <w:rPr>
          <w:rFonts w:ascii="Times New Roman" w:hAnsi="Times New Roman" w:cs="Times New Roman"/>
          <w:color w:val="auto"/>
        </w:rPr>
        <w:t xml:space="preserve">Through increased microbial activity and better nutrient uptake, Ansari and Sukhraj (2010) showed that </w:t>
      </w:r>
      <w:proofErr w:type="spellStart"/>
      <w:r w:rsidR="00D66EE9" w:rsidRPr="009B732E">
        <w:rPr>
          <w:rFonts w:ascii="Times New Roman" w:hAnsi="Times New Roman" w:cs="Times New Roman"/>
          <w:color w:val="auto"/>
        </w:rPr>
        <w:t>vermicompost</w:t>
      </w:r>
      <w:proofErr w:type="spellEnd"/>
      <w:r w:rsidR="00D66EE9" w:rsidRPr="009B732E">
        <w:rPr>
          <w:rFonts w:ascii="Times New Roman" w:hAnsi="Times New Roman" w:cs="Times New Roman"/>
          <w:color w:val="auto"/>
        </w:rPr>
        <w:t xml:space="preserve"> and </w:t>
      </w:r>
      <w:proofErr w:type="spellStart"/>
      <w:r w:rsidR="00D66EE9" w:rsidRPr="009B732E">
        <w:rPr>
          <w:rFonts w:ascii="Times New Roman" w:hAnsi="Times New Roman" w:cs="Times New Roman"/>
          <w:color w:val="auto"/>
        </w:rPr>
        <w:t>vermiwash</w:t>
      </w:r>
      <w:proofErr w:type="spellEnd"/>
      <w:r w:rsidR="00D66EE9" w:rsidRPr="009B732E">
        <w:rPr>
          <w:rFonts w:ascii="Times New Roman" w:hAnsi="Times New Roman" w:cs="Times New Roman"/>
          <w:color w:val="auto"/>
        </w:rPr>
        <w:t xml:space="preserve"> had a significant impact on seed germination and seedling vigo</w:t>
      </w:r>
      <w:r w:rsidR="00650C85" w:rsidRPr="009B732E">
        <w:rPr>
          <w:rFonts w:ascii="Times New Roman" w:hAnsi="Times New Roman" w:cs="Times New Roman"/>
          <w:color w:val="auto"/>
        </w:rPr>
        <w:t>u</w:t>
      </w:r>
      <w:r w:rsidR="00D66EE9" w:rsidRPr="009B732E">
        <w:rPr>
          <w:rFonts w:ascii="Times New Roman" w:hAnsi="Times New Roman" w:cs="Times New Roman"/>
          <w:color w:val="auto"/>
        </w:rPr>
        <w:t>r. These results support the current investigation and validate the advantageous function of products made from vermicompost in encouraging seed germination and early plant establishment.</w:t>
      </w:r>
    </w:p>
    <w:p w14:paraId="150DC393" w14:textId="77777777" w:rsidR="00EF5D7E" w:rsidRPr="009B732E" w:rsidRDefault="00EF5D7E" w:rsidP="00EF5D7E">
      <w:pPr>
        <w:rPr>
          <w:rFonts w:ascii="Times New Roman" w:hAnsi="Times New Roman" w:cs="Times New Roman"/>
        </w:rPr>
      </w:pPr>
    </w:p>
    <w:p w14:paraId="4C149EB1" w14:textId="1E67B8AB" w:rsidR="00250F18" w:rsidRPr="009B732E" w:rsidRDefault="00250F18" w:rsidP="00250F18">
      <w:pPr>
        <w:pStyle w:val="Heading3"/>
        <w:rPr>
          <w:rStyle w:val="Emphasis"/>
          <w:rFonts w:ascii="Times New Roman" w:hAnsi="Times New Roman" w:cs="Times New Roman"/>
          <w:b/>
          <w:color w:val="auto"/>
        </w:rPr>
      </w:pPr>
      <w:r w:rsidRPr="009B732E">
        <w:rPr>
          <w:rFonts w:ascii="Times New Roman" w:hAnsi="Times New Roman" w:cs="Times New Roman"/>
          <w:b/>
          <w:color w:val="auto"/>
        </w:rPr>
        <w:t xml:space="preserve">Table </w:t>
      </w:r>
      <w:r w:rsidR="000E6E22" w:rsidRPr="009B732E">
        <w:rPr>
          <w:rFonts w:ascii="Times New Roman" w:hAnsi="Times New Roman" w:cs="Times New Roman"/>
          <w:b/>
          <w:color w:val="auto"/>
        </w:rPr>
        <w:t>2</w:t>
      </w:r>
      <w:r w:rsidRPr="009B732E">
        <w:rPr>
          <w:rFonts w:ascii="Times New Roman" w:hAnsi="Times New Roman" w:cs="Times New Roman"/>
          <w:b/>
          <w:color w:val="auto"/>
        </w:rPr>
        <w:t xml:space="preserve">. Effect of </w:t>
      </w:r>
      <w:proofErr w:type="spellStart"/>
      <w:r w:rsidRPr="009B732E">
        <w:rPr>
          <w:rFonts w:ascii="Times New Roman" w:hAnsi="Times New Roman" w:cs="Times New Roman"/>
          <w:b/>
          <w:color w:val="auto"/>
        </w:rPr>
        <w:t>Vermicompost</w:t>
      </w:r>
      <w:proofErr w:type="spellEnd"/>
      <w:r w:rsidRPr="009B732E">
        <w:rPr>
          <w:rFonts w:ascii="Times New Roman" w:hAnsi="Times New Roman" w:cs="Times New Roman"/>
          <w:b/>
          <w:color w:val="auto"/>
        </w:rPr>
        <w:t xml:space="preserve"> and </w:t>
      </w:r>
      <w:proofErr w:type="spellStart"/>
      <w:r w:rsidRPr="009B732E">
        <w:rPr>
          <w:rFonts w:ascii="Times New Roman" w:hAnsi="Times New Roman" w:cs="Times New Roman"/>
          <w:b/>
          <w:color w:val="auto"/>
        </w:rPr>
        <w:t>Vermiwash</w:t>
      </w:r>
      <w:proofErr w:type="spellEnd"/>
      <w:r w:rsidRPr="009B732E">
        <w:rPr>
          <w:rFonts w:ascii="Times New Roman" w:hAnsi="Times New Roman" w:cs="Times New Roman"/>
          <w:b/>
          <w:color w:val="auto"/>
        </w:rPr>
        <w:t xml:space="preserve"> on Seed Germination of </w:t>
      </w:r>
      <w:r w:rsidRPr="009B732E">
        <w:rPr>
          <w:rStyle w:val="Emphasis"/>
          <w:rFonts w:ascii="Times New Roman" w:hAnsi="Times New Roman" w:cs="Times New Roman"/>
          <w:b/>
          <w:color w:val="auto"/>
        </w:rPr>
        <w:t>Coriandrum sativum</w:t>
      </w:r>
      <w:r w:rsidRPr="009B732E">
        <w:rPr>
          <w:rFonts w:ascii="Times New Roman" w:hAnsi="Times New Roman" w:cs="Times New Roman"/>
          <w:b/>
          <w:color w:val="auto"/>
        </w:rPr>
        <w:t xml:space="preserve"> and </w:t>
      </w:r>
      <w:r w:rsidRPr="009B732E">
        <w:rPr>
          <w:rStyle w:val="Emphasis"/>
          <w:rFonts w:ascii="Times New Roman" w:hAnsi="Times New Roman" w:cs="Times New Roman"/>
          <w:b/>
          <w:color w:val="auto"/>
        </w:rPr>
        <w:t>Vigna radiate</w:t>
      </w:r>
    </w:p>
    <w:p w14:paraId="4E18C04B" w14:textId="77777777" w:rsidR="00250F18" w:rsidRPr="009B732E" w:rsidRDefault="00250F18" w:rsidP="00250F18"/>
    <w:tbl>
      <w:tblPr>
        <w:tblStyle w:val="TableGrid"/>
        <w:tblW w:w="0" w:type="auto"/>
        <w:tblInd w:w="1463" w:type="dxa"/>
        <w:tblLook w:val="04A0" w:firstRow="1" w:lastRow="0" w:firstColumn="1" w:lastColumn="0" w:noHBand="0" w:noVBand="1"/>
      </w:tblPr>
      <w:tblGrid>
        <w:gridCol w:w="1980"/>
        <w:gridCol w:w="2126"/>
        <w:gridCol w:w="1985"/>
      </w:tblGrid>
      <w:tr w:rsidR="00250F18" w:rsidRPr="009B732E" w14:paraId="0BC4EF4F" w14:textId="77777777" w:rsidTr="00F22F9E">
        <w:tc>
          <w:tcPr>
            <w:tcW w:w="1980" w:type="dxa"/>
            <w:hideMark/>
          </w:tcPr>
          <w:p w14:paraId="2695EED7" w14:textId="77777777" w:rsidR="00250F18" w:rsidRPr="009B732E" w:rsidRDefault="00250F18">
            <w:pPr>
              <w:jc w:val="center"/>
              <w:rPr>
                <w:rFonts w:ascii="Times New Roman" w:hAnsi="Times New Roman" w:cs="Times New Roman"/>
                <w:b/>
                <w:bCs/>
                <w:sz w:val="24"/>
                <w:szCs w:val="24"/>
              </w:rPr>
            </w:pPr>
            <w:r w:rsidRPr="009B732E">
              <w:rPr>
                <w:rFonts w:ascii="Times New Roman" w:hAnsi="Times New Roman" w:cs="Times New Roman"/>
                <w:b/>
                <w:bCs/>
                <w:sz w:val="24"/>
                <w:szCs w:val="24"/>
              </w:rPr>
              <w:lastRenderedPageBreak/>
              <w:t>Treatment</w:t>
            </w:r>
          </w:p>
        </w:tc>
        <w:tc>
          <w:tcPr>
            <w:tcW w:w="2126" w:type="dxa"/>
            <w:hideMark/>
          </w:tcPr>
          <w:p w14:paraId="60F86FAB" w14:textId="77777777" w:rsidR="00250F18" w:rsidRPr="009B732E" w:rsidRDefault="00C86603">
            <w:pPr>
              <w:jc w:val="center"/>
              <w:rPr>
                <w:rFonts w:ascii="Times New Roman" w:hAnsi="Times New Roman" w:cs="Times New Roman"/>
                <w:b/>
                <w:bCs/>
                <w:sz w:val="24"/>
                <w:szCs w:val="24"/>
              </w:rPr>
            </w:pPr>
            <w:r w:rsidRPr="009B732E">
              <w:rPr>
                <w:rStyle w:val="Emphasis"/>
                <w:rFonts w:ascii="Times New Roman" w:hAnsi="Times New Roman" w:cs="Times New Roman"/>
                <w:b/>
                <w:sz w:val="24"/>
                <w:szCs w:val="24"/>
              </w:rPr>
              <w:t>Coriandrum sativum</w:t>
            </w:r>
            <w:r w:rsidRPr="009B732E">
              <w:rPr>
                <w:rFonts w:ascii="Times New Roman" w:hAnsi="Times New Roman" w:cs="Times New Roman"/>
                <w:b/>
                <w:sz w:val="24"/>
                <w:szCs w:val="24"/>
              </w:rPr>
              <w:t xml:space="preserve"> </w:t>
            </w:r>
            <w:r w:rsidR="00250F18" w:rsidRPr="009B732E">
              <w:rPr>
                <w:rFonts w:ascii="Times New Roman" w:hAnsi="Times New Roman" w:cs="Times New Roman"/>
                <w:b/>
                <w:bCs/>
                <w:sz w:val="24"/>
                <w:szCs w:val="24"/>
              </w:rPr>
              <w:t>Germination (%)</w:t>
            </w:r>
          </w:p>
        </w:tc>
        <w:tc>
          <w:tcPr>
            <w:tcW w:w="1985" w:type="dxa"/>
            <w:hideMark/>
          </w:tcPr>
          <w:p w14:paraId="35E0CA7D" w14:textId="77777777" w:rsidR="00250F18" w:rsidRPr="009B732E" w:rsidRDefault="00250F18">
            <w:pPr>
              <w:jc w:val="center"/>
              <w:rPr>
                <w:rFonts w:ascii="Times New Roman" w:hAnsi="Times New Roman" w:cs="Times New Roman"/>
                <w:b/>
                <w:bCs/>
                <w:sz w:val="24"/>
                <w:szCs w:val="24"/>
              </w:rPr>
            </w:pPr>
            <w:r w:rsidRPr="009B732E">
              <w:rPr>
                <w:rFonts w:ascii="Times New Roman" w:hAnsi="Times New Roman" w:cs="Times New Roman"/>
                <w:b/>
                <w:bCs/>
                <w:sz w:val="24"/>
                <w:szCs w:val="24"/>
              </w:rPr>
              <w:t>Green Gram (</w:t>
            </w:r>
            <w:r w:rsidRPr="009B732E">
              <w:rPr>
                <w:rStyle w:val="Emphasis"/>
                <w:rFonts w:ascii="Times New Roman" w:hAnsi="Times New Roman" w:cs="Times New Roman"/>
                <w:b/>
                <w:bCs/>
                <w:sz w:val="24"/>
                <w:szCs w:val="24"/>
              </w:rPr>
              <w:t>Vigna radiata</w:t>
            </w:r>
            <w:r w:rsidRPr="009B732E">
              <w:rPr>
                <w:rFonts w:ascii="Times New Roman" w:hAnsi="Times New Roman" w:cs="Times New Roman"/>
                <w:b/>
                <w:bCs/>
                <w:sz w:val="24"/>
                <w:szCs w:val="24"/>
              </w:rPr>
              <w:t>) Germination (%)</w:t>
            </w:r>
          </w:p>
        </w:tc>
      </w:tr>
      <w:tr w:rsidR="00250F18" w:rsidRPr="009B732E" w14:paraId="4503BCD6" w14:textId="77777777" w:rsidTr="00F22F9E">
        <w:tc>
          <w:tcPr>
            <w:tcW w:w="1980" w:type="dxa"/>
            <w:hideMark/>
          </w:tcPr>
          <w:p w14:paraId="1D1D71A2" w14:textId="77777777" w:rsidR="00250F18" w:rsidRPr="009B732E" w:rsidRDefault="00250F18">
            <w:pPr>
              <w:rPr>
                <w:rFonts w:ascii="Times New Roman" w:hAnsi="Times New Roman" w:cs="Times New Roman"/>
                <w:sz w:val="24"/>
                <w:szCs w:val="24"/>
              </w:rPr>
            </w:pPr>
            <w:r w:rsidRPr="009B732E">
              <w:rPr>
                <w:rFonts w:ascii="Times New Roman" w:hAnsi="Times New Roman" w:cs="Times New Roman"/>
                <w:sz w:val="24"/>
                <w:szCs w:val="24"/>
              </w:rPr>
              <w:t>T₁ Control</w:t>
            </w:r>
          </w:p>
        </w:tc>
        <w:tc>
          <w:tcPr>
            <w:tcW w:w="2126" w:type="dxa"/>
            <w:hideMark/>
          </w:tcPr>
          <w:p w14:paraId="0D9D15B8" w14:textId="77777777" w:rsidR="00250F18" w:rsidRPr="009B732E" w:rsidRDefault="00112CBB">
            <w:pPr>
              <w:rPr>
                <w:rFonts w:ascii="Times New Roman" w:hAnsi="Times New Roman" w:cs="Times New Roman"/>
                <w:sz w:val="24"/>
                <w:szCs w:val="24"/>
              </w:rPr>
            </w:pPr>
            <w:r w:rsidRPr="009B732E">
              <w:rPr>
                <w:rFonts w:ascii="Times New Roman" w:hAnsi="Times New Roman" w:cs="Times New Roman"/>
                <w:sz w:val="24"/>
                <w:szCs w:val="24"/>
              </w:rPr>
              <w:t>5</w:t>
            </w:r>
            <w:r w:rsidR="00250F18" w:rsidRPr="009B732E">
              <w:rPr>
                <w:rFonts w:ascii="Times New Roman" w:hAnsi="Times New Roman" w:cs="Times New Roman"/>
                <w:sz w:val="24"/>
                <w:szCs w:val="24"/>
              </w:rPr>
              <w:t>5.0 ± 1.3</w:t>
            </w:r>
          </w:p>
        </w:tc>
        <w:tc>
          <w:tcPr>
            <w:tcW w:w="1985" w:type="dxa"/>
            <w:hideMark/>
          </w:tcPr>
          <w:p w14:paraId="5E56DA5B" w14:textId="77777777" w:rsidR="00250F18" w:rsidRPr="009B732E" w:rsidRDefault="00250F18">
            <w:pPr>
              <w:rPr>
                <w:rFonts w:ascii="Times New Roman" w:hAnsi="Times New Roman" w:cs="Times New Roman"/>
                <w:sz w:val="24"/>
                <w:szCs w:val="24"/>
              </w:rPr>
            </w:pPr>
            <w:r w:rsidRPr="009B732E">
              <w:rPr>
                <w:rFonts w:ascii="Times New Roman" w:hAnsi="Times New Roman" w:cs="Times New Roman"/>
                <w:sz w:val="24"/>
                <w:szCs w:val="24"/>
              </w:rPr>
              <w:t>72.0 ± 1.4</w:t>
            </w:r>
          </w:p>
        </w:tc>
      </w:tr>
      <w:tr w:rsidR="00250F18" w:rsidRPr="009B732E" w14:paraId="24511D1B" w14:textId="77777777" w:rsidTr="00F22F9E">
        <w:tc>
          <w:tcPr>
            <w:tcW w:w="1980" w:type="dxa"/>
            <w:hideMark/>
          </w:tcPr>
          <w:p w14:paraId="3B70272C" w14:textId="77777777" w:rsidR="00250F18" w:rsidRPr="009B732E" w:rsidRDefault="00250F18">
            <w:pPr>
              <w:rPr>
                <w:rFonts w:ascii="Times New Roman" w:hAnsi="Times New Roman" w:cs="Times New Roman"/>
                <w:sz w:val="24"/>
                <w:szCs w:val="24"/>
              </w:rPr>
            </w:pPr>
            <w:r w:rsidRPr="009B732E">
              <w:rPr>
                <w:rFonts w:ascii="Times New Roman" w:hAnsi="Times New Roman" w:cs="Times New Roman"/>
                <w:sz w:val="24"/>
                <w:szCs w:val="24"/>
              </w:rPr>
              <w:t xml:space="preserve">T₂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(25%)</w:t>
            </w:r>
          </w:p>
        </w:tc>
        <w:tc>
          <w:tcPr>
            <w:tcW w:w="2126" w:type="dxa"/>
            <w:hideMark/>
          </w:tcPr>
          <w:p w14:paraId="589B9D1F" w14:textId="77777777" w:rsidR="00250F18" w:rsidRPr="009B732E" w:rsidRDefault="00112CBB">
            <w:pPr>
              <w:rPr>
                <w:rFonts w:ascii="Times New Roman" w:hAnsi="Times New Roman" w:cs="Times New Roman"/>
                <w:sz w:val="24"/>
                <w:szCs w:val="24"/>
              </w:rPr>
            </w:pPr>
            <w:r w:rsidRPr="009B732E">
              <w:rPr>
                <w:rFonts w:ascii="Times New Roman" w:hAnsi="Times New Roman" w:cs="Times New Roman"/>
                <w:sz w:val="24"/>
                <w:szCs w:val="24"/>
              </w:rPr>
              <w:t>64.0 ± 1.1</w:t>
            </w:r>
          </w:p>
        </w:tc>
        <w:tc>
          <w:tcPr>
            <w:tcW w:w="1985" w:type="dxa"/>
            <w:hideMark/>
          </w:tcPr>
          <w:p w14:paraId="64E79BCE" w14:textId="77777777" w:rsidR="00250F18" w:rsidRPr="009B732E" w:rsidRDefault="00112CBB" w:rsidP="00112CBB">
            <w:pPr>
              <w:rPr>
                <w:rFonts w:ascii="Times New Roman" w:hAnsi="Times New Roman" w:cs="Times New Roman"/>
                <w:sz w:val="24"/>
                <w:szCs w:val="24"/>
              </w:rPr>
            </w:pPr>
            <w:r w:rsidRPr="009B732E">
              <w:rPr>
                <w:rFonts w:ascii="Times New Roman" w:hAnsi="Times New Roman" w:cs="Times New Roman"/>
                <w:sz w:val="24"/>
                <w:szCs w:val="24"/>
              </w:rPr>
              <w:t>79</w:t>
            </w:r>
            <w:r w:rsidR="00250F18" w:rsidRPr="009B732E">
              <w:rPr>
                <w:rFonts w:ascii="Times New Roman" w:hAnsi="Times New Roman" w:cs="Times New Roman"/>
                <w:sz w:val="24"/>
                <w:szCs w:val="24"/>
              </w:rPr>
              <w:t>.0 ± 1.5</w:t>
            </w:r>
          </w:p>
        </w:tc>
      </w:tr>
      <w:tr w:rsidR="00250F18" w:rsidRPr="009B732E" w14:paraId="4C62C99E" w14:textId="77777777" w:rsidTr="00F22F9E">
        <w:tc>
          <w:tcPr>
            <w:tcW w:w="1980" w:type="dxa"/>
            <w:hideMark/>
          </w:tcPr>
          <w:p w14:paraId="56D66488" w14:textId="77777777" w:rsidR="00250F18" w:rsidRPr="009B732E" w:rsidRDefault="00250F18">
            <w:pPr>
              <w:rPr>
                <w:rFonts w:ascii="Times New Roman" w:hAnsi="Times New Roman" w:cs="Times New Roman"/>
                <w:sz w:val="24"/>
                <w:szCs w:val="24"/>
              </w:rPr>
            </w:pPr>
            <w:r w:rsidRPr="009B732E">
              <w:rPr>
                <w:rFonts w:ascii="Times New Roman" w:hAnsi="Times New Roman" w:cs="Times New Roman"/>
                <w:sz w:val="24"/>
                <w:szCs w:val="24"/>
              </w:rPr>
              <w:t xml:space="preserve">T₃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(50%)</w:t>
            </w:r>
          </w:p>
        </w:tc>
        <w:tc>
          <w:tcPr>
            <w:tcW w:w="2126" w:type="dxa"/>
            <w:hideMark/>
          </w:tcPr>
          <w:p w14:paraId="79DB996F" w14:textId="77777777" w:rsidR="00250F18" w:rsidRPr="009B732E" w:rsidRDefault="00112CBB">
            <w:pPr>
              <w:rPr>
                <w:rFonts w:ascii="Times New Roman" w:hAnsi="Times New Roman" w:cs="Times New Roman"/>
                <w:sz w:val="24"/>
                <w:szCs w:val="24"/>
              </w:rPr>
            </w:pPr>
            <w:r w:rsidRPr="009B732E">
              <w:rPr>
                <w:rFonts w:ascii="Times New Roman" w:hAnsi="Times New Roman" w:cs="Times New Roman"/>
                <w:sz w:val="24"/>
                <w:szCs w:val="24"/>
              </w:rPr>
              <w:t>7</w:t>
            </w:r>
            <w:r w:rsidR="00250F18" w:rsidRPr="009B732E">
              <w:rPr>
                <w:rFonts w:ascii="Times New Roman" w:hAnsi="Times New Roman" w:cs="Times New Roman"/>
                <w:sz w:val="24"/>
                <w:szCs w:val="24"/>
              </w:rPr>
              <w:t>5.0 ± 1.5</w:t>
            </w:r>
          </w:p>
        </w:tc>
        <w:tc>
          <w:tcPr>
            <w:tcW w:w="1985" w:type="dxa"/>
            <w:hideMark/>
          </w:tcPr>
          <w:p w14:paraId="789A23F8" w14:textId="77777777" w:rsidR="00250F18" w:rsidRPr="009B732E" w:rsidRDefault="00112CBB" w:rsidP="00112CBB">
            <w:pPr>
              <w:rPr>
                <w:rFonts w:ascii="Times New Roman" w:hAnsi="Times New Roman" w:cs="Times New Roman"/>
                <w:sz w:val="24"/>
                <w:szCs w:val="24"/>
              </w:rPr>
            </w:pPr>
            <w:r w:rsidRPr="009B732E">
              <w:rPr>
                <w:rFonts w:ascii="Times New Roman" w:hAnsi="Times New Roman" w:cs="Times New Roman"/>
                <w:sz w:val="24"/>
                <w:szCs w:val="24"/>
              </w:rPr>
              <w:t>89</w:t>
            </w:r>
            <w:r w:rsidR="00250F18" w:rsidRPr="009B732E">
              <w:rPr>
                <w:rFonts w:ascii="Times New Roman" w:hAnsi="Times New Roman" w:cs="Times New Roman"/>
                <w:sz w:val="24"/>
                <w:szCs w:val="24"/>
              </w:rPr>
              <w:t>.0 ± 1.2</w:t>
            </w:r>
          </w:p>
        </w:tc>
      </w:tr>
      <w:tr w:rsidR="00250F18" w:rsidRPr="009B732E" w14:paraId="09F64959" w14:textId="77777777" w:rsidTr="00F22F9E">
        <w:tc>
          <w:tcPr>
            <w:tcW w:w="1980" w:type="dxa"/>
            <w:hideMark/>
          </w:tcPr>
          <w:p w14:paraId="04DD9B3A" w14:textId="77777777" w:rsidR="00250F18" w:rsidRPr="009B732E" w:rsidRDefault="00250F18">
            <w:pPr>
              <w:rPr>
                <w:rFonts w:ascii="Times New Roman" w:hAnsi="Times New Roman" w:cs="Times New Roman"/>
                <w:sz w:val="24"/>
                <w:szCs w:val="24"/>
              </w:rPr>
            </w:pPr>
            <w:r w:rsidRPr="009B732E">
              <w:rPr>
                <w:rFonts w:ascii="Times New Roman" w:hAnsi="Times New Roman" w:cs="Times New Roman"/>
                <w:sz w:val="24"/>
                <w:szCs w:val="24"/>
              </w:rPr>
              <w:t xml:space="preserve">T₄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(75%)</w:t>
            </w:r>
          </w:p>
        </w:tc>
        <w:tc>
          <w:tcPr>
            <w:tcW w:w="2126" w:type="dxa"/>
            <w:hideMark/>
          </w:tcPr>
          <w:p w14:paraId="4498B7F8" w14:textId="77777777" w:rsidR="00250F18" w:rsidRPr="009B732E" w:rsidRDefault="00250F18" w:rsidP="00112CBB">
            <w:pPr>
              <w:rPr>
                <w:rFonts w:ascii="Times New Roman" w:hAnsi="Times New Roman" w:cs="Times New Roman"/>
                <w:sz w:val="24"/>
                <w:szCs w:val="24"/>
              </w:rPr>
            </w:pPr>
            <w:r w:rsidRPr="009B732E">
              <w:rPr>
                <w:rFonts w:ascii="Times New Roman" w:hAnsi="Times New Roman" w:cs="Times New Roman"/>
                <w:sz w:val="24"/>
                <w:szCs w:val="24"/>
              </w:rPr>
              <w:t>8</w:t>
            </w:r>
            <w:r w:rsidR="00112CBB" w:rsidRPr="009B732E">
              <w:rPr>
                <w:rFonts w:ascii="Times New Roman" w:hAnsi="Times New Roman" w:cs="Times New Roman"/>
                <w:sz w:val="24"/>
                <w:szCs w:val="24"/>
              </w:rPr>
              <w:t>5.0 ± 1.3</w:t>
            </w:r>
          </w:p>
        </w:tc>
        <w:tc>
          <w:tcPr>
            <w:tcW w:w="1985" w:type="dxa"/>
            <w:hideMark/>
          </w:tcPr>
          <w:p w14:paraId="31D66BE7" w14:textId="77777777" w:rsidR="00250F18" w:rsidRPr="009B732E" w:rsidRDefault="00250F18" w:rsidP="00112CBB">
            <w:pPr>
              <w:rPr>
                <w:rFonts w:ascii="Times New Roman" w:hAnsi="Times New Roman" w:cs="Times New Roman"/>
                <w:sz w:val="24"/>
                <w:szCs w:val="24"/>
              </w:rPr>
            </w:pPr>
            <w:r w:rsidRPr="009B732E">
              <w:rPr>
                <w:rFonts w:ascii="Times New Roman" w:hAnsi="Times New Roman" w:cs="Times New Roman"/>
                <w:sz w:val="24"/>
                <w:szCs w:val="24"/>
              </w:rPr>
              <w:t>9</w:t>
            </w:r>
            <w:r w:rsidR="00112CBB" w:rsidRPr="009B732E">
              <w:rPr>
                <w:rFonts w:ascii="Times New Roman" w:hAnsi="Times New Roman" w:cs="Times New Roman"/>
                <w:sz w:val="24"/>
                <w:szCs w:val="24"/>
              </w:rPr>
              <w:t>0</w:t>
            </w:r>
            <w:r w:rsidRPr="009B732E">
              <w:rPr>
                <w:rFonts w:ascii="Times New Roman" w:hAnsi="Times New Roman" w:cs="Times New Roman"/>
                <w:sz w:val="24"/>
                <w:szCs w:val="24"/>
              </w:rPr>
              <w:t>.0 ± 1.1</w:t>
            </w:r>
          </w:p>
        </w:tc>
      </w:tr>
      <w:tr w:rsidR="00250F18" w:rsidRPr="009B732E" w14:paraId="26229A1B" w14:textId="77777777" w:rsidTr="00F22F9E">
        <w:tc>
          <w:tcPr>
            <w:tcW w:w="1980" w:type="dxa"/>
            <w:hideMark/>
          </w:tcPr>
          <w:p w14:paraId="4868994C" w14:textId="77777777" w:rsidR="00250F18" w:rsidRPr="009B732E" w:rsidRDefault="00250F18">
            <w:pPr>
              <w:rPr>
                <w:rFonts w:ascii="Times New Roman" w:hAnsi="Times New Roman" w:cs="Times New Roman"/>
                <w:sz w:val="24"/>
                <w:szCs w:val="24"/>
              </w:rPr>
            </w:pPr>
            <w:r w:rsidRPr="009B732E">
              <w:rPr>
                <w:rFonts w:ascii="Times New Roman" w:hAnsi="Times New Roman" w:cs="Times New Roman"/>
                <w:sz w:val="24"/>
                <w:szCs w:val="24"/>
              </w:rPr>
              <w:t>T₅ Vermicompost (10%)</w:t>
            </w:r>
          </w:p>
        </w:tc>
        <w:tc>
          <w:tcPr>
            <w:tcW w:w="2126" w:type="dxa"/>
            <w:hideMark/>
          </w:tcPr>
          <w:p w14:paraId="6FCDDAC3" w14:textId="77777777" w:rsidR="00250F18" w:rsidRPr="009B732E" w:rsidRDefault="00250F18" w:rsidP="00112CBB">
            <w:pPr>
              <w:rPr>
                <w:rFonts w:ascii="Times New Roman" w:hAnsi="Times New Roman" w:cs="Times New Roman"/>
                <w:sz w:val="24"/>
                <w:szCs w:val="24"/>
              </w:rPr>
            </w:pPr>
            <w:r w:rsidRPr="009B732E">
              <w:rPr>
                <w:rFonts w:ascii="Times New Roman" w:hAnsi="Times New Roman" w:cs="Times New Roman"/>
                <w:sz w:val="24"/>
                <w:szCs w:val="24"/>
              </w:rPr>
              <w:t>8</w:t>
            </w:r>
            <w:r w:rsidR="00112CBB" w:rsidRPr="009B732E">
              <w:rPr>
                <w:rFonts w:ascii="Times New Roman" w:hAnsi="Times New Roman" w:cs="Times New Roman"/>
                <w:sz w:val="24"/>
                <w:szCs w:val="24"/>
              </w:rPr>
              <w:t>0.0 ± 1.2</w:t>
            </w:r>
          </w:p>
        </w:tc>
        <w:tc>
          <w:tcPr>
            <w:tcW w:w="1985" w:type="dxa"/>
            <w:hideMark/>
          </w:tcPr>
          <w:p w14:paraId="474E6918" w14:textId="77777777" w:rsidR="00250F18" w:rsidRPr="009B732E" w:rsidRDefault="00250F18" w:rsidP="00112CBB">
            <w:pPr>
              <w:rPr>
                <w:rFonts w:ascii="Times New Roman" w:hAnsi="Times New Roman" w:cs="Times New Roman"/>
                <w:sz w:val="24"/>
                <w:szCs w:val="24"/>
              </w:rPr>
            </w:pPr>
            <w:r w:rsidRPr="009B732E">
              <w:rPr>
                <w:rFonts w:ascii="Times New Roman" w:hAnsi="Times New Roman" w:cs="Times New Roman"/>
                <w:sz w:val="24"/>
                <w:szCs w:val="24"/>
              </w:rPr>
              <w:t>8</w:t>
            </w:r>
            <w:r w:rsidR="00112CBB" w:rsidRPr="009B732E">
              <w:rPr>
                <w:rFonts w:ascii="Times New Roman" w:hAnsi="Times New Roman" w:cs="Times New Roman"/>
                <w:sz w:val="24"/>
                <w:szCs w:val="24"/>
              </w:rPr>
              <w:t>3</w:t>
            </w:r>
            <w:r w:rsidRPr="009B732E">
              <w:rPr>
                <w:rFonts w:ascii="Times New Roman" w:hAnsi="Times New Roman" w:cs="Times New Roman"/>
                <w:sz w:val="24"/>
                <w:szCs w:val="24"/>
              </w:rPr>
              <w:t>.0 ± 1.3</w:t>
            </w:r>
          </w:p>
        </w:tc>
      </w:tr>
      <w:tr w:rsidR="00250F18" w:rsidRPr="009B732E" w14:paraId="30492DFE" w14:textId="77777777" w:rsidTr="00F22F9E">
        <w:tc>
          <w:tcPr>
            <w:tcW w:w="1980" w:type="dxa"/>
            <w:hideMark/>
          </w:tcPr>
          <w:p w14:paraId="187ED63A" w14:textId="77777777" w:rsidR="00250F18" w:rsidRPr="009B732E" w:rsidRDefault="00250F18">
            <w:pPr>
              <w:rPr>
                <w:rFonts w:ascii="Times New Roman" w:hAnsi="Times New Roman" w:cs="Times New Roman"/>
                <w:sz w:val="24"/>
                <w:szCs w:val="24"/>
              </w:rPr>
            </w:pPr>
            <w:r w:rsidRPr="009B732E">
              <w:rPr>
                <w:rFonts w:ascii="Times New Roman" w:hAnsi="Times New Roman" w:cs="Times New Roman"/>
                <w:sz w:val="24"/>
                <w:szCs w:val="24"/>
              </w:rPr>
              <w:t>T₆ Vermicompost (20%)</w:t>
            </w:r>
          </w:p>
        </w:tc>
        <w:tc>
          <w:tcPr>
            <w:tcW w:w="2126" w:type="dxa"/>
            <w:hideMark/>
          </w:tcPr>
          <w:p w14:paraId="54ED2F6F" w14:textId="77777777" w:rsidR="00250F18" w:rsidRPr="009B732E" w:rsidRDefault="00250F18" w:rsidP="00112CBB">
            <w:pPr>
              <w:rPr>
                <w:rFonts w:ascii="Times New Roman" w:hAnsi="Times New Roman" w:cs="Times New Roman"/>
                <w:sz w:val="24"/>
                <w:szCs w:val="24"/>
              </w:rPr>
            </w:pPr>
            <w:r w:rsidRPr="009B732E">
              <w:rPr>
                <w:rFonts w:ascii="Times New Roman" w:hAnsi="Times New Roman" w:cs="Times New Roman"/>
                <w:sz w:val="24"/>
                <w:szCs w:val="24"/>
              </w:rPr>
              <w:t>9</w:t>
            </w:r>
            <w:r w:rsidR="00112CBB" w:rsidRPr="009B732E">
              <w:rPr>
                <w:rFonts w:ascii="Times New Roman" w:hAnsi="Times New Roman" w:cs="Times New Roman"/>
                <w:sz w:val="24"/>
                <w:szCs w:val="24"/>
              </w:rPr>
              <w:t>0.0 ± 1.2</w:t>
            </w:r>
          </w:p>
        </w:tc>
        <w:tc>
          <w:tcPr>
            <w:tcW w:w="1985" w:type="dxa"/>
            <w:hideMark/>
          </w:tcPr>
          <w:p w14:paraId="2A41904A" w14:textId="77777777" w:rsidR="00250F18" w:rsidRPr="009B732E" w:rsidRDefault="00112CBB">
            <w:pPr>
              <w:rPr>
                <w:rFonts w:ascii="Times New Roman" w:hAnsi="Times New Roman" w:cs="Times New Roman"/>
                <w:sz w:val="24"/>
                <w:szCs w:val="24"/>
              </w:rPr>
            </w:pPr>
            <w:r w:rsidRPr="009B732E">
              <w:rPr>
                <w:rFonts w:ascii="Times New Roman" w:hAnsi="Times New Roman" w:cs="Times New Roman"/>
                <w:sz w:val="24"/>
                <w:szCs w:val="24"/>
              </w:rPr>
              <w:t>94</w:t>
            </w:r>
            <w:r w:rsidR="00250F18" w:rsidRPr="009B732E">
              <w:rPr>
                <w:rFonts w:ascii="Times New Roman" w:hAnsi="Times New Roman" w:cs="Times New Roman"/>
                <w:sz w:val="24"/>
                <w:szCs w:val="24"/>
              </w:rPr>
              <w:t>.0 ± 1.0</w:t>
            </w:r>
          </w:p>
        </w:tc>
      </w:tr>
    </w:tbl>
    <w:p w14:paraId="02762B37" w14:textId="77777777" w:rsidR="007F6A75" w:rsidRPr="009B732E" w:rsidRDefault="00682123" w:rsidP="007F6A75">
      <w:pPr>
        <w:pStyle w:val="Heading2"/>
        <w:jc w:val="both"/>
        <w:rPr>
          <w:sz w:val="24"/>
          <w:szCs w:val="24"/>
        </w:rPr>
      </w:pPr>
      <w:r w:rsidRPr="009B732E">
        <w:rPr>
          <w:sz w:val="24"/>
          <w:szCs w:val="24"/>
        </w:rPr>
        <w:t xml:space="preserve">Effect on Seedling Growth and </w:t>
      </w:r>
      <w:r w:rsidR="00F819F5" w:rsidRPr="009B732E">
        <w:rPr>
          <w:sz w:val="24"/>
          <w:szCs w:val="24"/>
        </w:rPr>
        <w:t>Vigour</w:t>
      </w:r>
      <w:r w:rsidR="007F6A75" w:rsidRPr="009B732E">
        <w:rPr>
          <w:sz w:val="24"/>
          <w:szCs w:val="24"/>
        </w:rPr>
        <w:t xml:space="preserve"> </w:t>
      </w:r>
    </w:p>
    <w:p w14:paraId="0A648A77" w14:textId="77777777" w:rsidR="00EF5D7E" w:rsidRPr="009B732E" w:rsidRDefault="00EF5D7E" w:rsidP="007F6A75">
      <w:pPr>
        <w:pStyle w:val="Heading2"/>
        <w:jc w:val="both"/>
        <w:rPr>
          <w:b w:val="0"/>
          <w:sz w:val="24"/>
          <w:szCs w:val="24"/>
        </w:rPr>
      </w:pPr>
      <w:r w:rsidRPr="009B732E">
        <w:t xml:space="preserve">         </w:t>
      </w:r>
      <w:r w:rsidRPr="009B732E">
        <w:rPr>
          <w:b w:val="0"/>
          <w:sz w:val="24"/>
          <w:szCs w:val="24"/>
        </w:rPr>
        <w:t xml:space="preserve">Compared to untreated controls, seedlings treated with </w:t>
      </w:r>
      <w:proofErr w:type="spellStart"/>
      <w:r w:rsidRPr="009B732E">
        <w:rPr>
          <w:b w:val="0"/>
          <w:sz w:val="24"/>
          <w:szCs w:val="24"/>
        </w:rPr>
        <w:t>vermicompost</w:t>
      </w:r>
      <w:proofErr w:type="spellEnd"/>
      <w:r w:rsidRPr="009B732E">
        <w:rPr>
          <w:b w:val="0"/>
          <w:sz w:val="24"/>
          <w:szCs w:val="24"/>
        </w:rPr>
        <w:t xml:space="preserve"> and </w:t>
      </w:r>
      <w:proofErr w:type="spellStart"/>
      <w:r w:rsidRPr="009B732E">
        <w:rPr>
          <w:b w:val="0"/>
          <w:sz w:val="24"/>
          <w:szCs w:val="24"/>
        </w:rPr>
        <w:t>vermiwash</w:t>
      </w:r>
      <w:proofErr w:type="spellEnd"/>
      <w:r w:rsidRPr="009B732E">
        <w:rPr>
          <w:b w:val="0"/>
          <w:sz w:val="24"/>
          <w:szCs w:val="24"/>
        </w:rPr>
        <w:t xml:space="preserve"> showed n</w:t>
      </w:r>
      <w:r w:rsidR="00D84992" w:rsidRPr="009B732E">
        <w:rPr>
          <w:b w:val="0"/>
          <w:sz w:val="24"/>
          <w:szCs w:val="24"/>
        </w:rPr>
        <w:t xml:space="preserve">oticeably longer roots, shoots </w:t>
      </w:r>
      <w:r w:rsidRPr="009B732E">
        <w:rPr>
          <w:b w:val="0"/>
          <w:sz w:val="24"/>
          <w:szCs w:val="24"/>
        </w:rPr>
        <w:t>and vigo</w:t>
      </w:r>
      <w:r w:rsidR="00D84992" w:rsidRPr="009B732E">
        <w:rPr>
          <w:b w:val="0"/>
          <w:sz w:val="24"/>
          <w:szCs w:val="24"/>
        </w:rPr>
        <w:t>u</w:t>
      </w:r>
      <w:r w:rsidRPr="009B732E">
        <w:rPr>
          <w:b w:val="0"/>
          <w:sz w:val="24"/>
          <w:szCs w:val="24"/>
        </w:rPr>
        <w:t>r index</w:t>
      </w:r>
      <w:r w:rsidR="00D84992" w:rsidRPr="009B732E">
        <w:rPr>
          <w:b w:val="0"/>
          <w:sz w:val="24"/>
          <w:szCs w:val="24"/>
        </w:rPr>
        <w:t xml:space="preserve"> both in </w:t>
      </w:r>
      <w:r w:rsidR="00D84992" w:rsidRPr="009B732E">
        <w:rPr>
          <w:b w:val="0"/>
          <w:i/>
          <w:sz w:val="24"/>
          <w:szCs w:val="24"/>
        </w:rPr>
        <w:t>Coriandrum sativum</w:t>
      </w:r>
      <w:r w:rsidR="00D84992" w:rsidRPr="009B732E">
        <w:rPr>
          <w:rStyle w:val="Emphasis"/>
          <w:b w:val="0"/>
          <w:i w:val="0"/>
          <w:iCs w:val="0"/>
          <w:sz w:val="24"/>
          <w:szCs w:val="24"/>
        </w:rPr>
        <w:t xml:space="preserve"> </w:t>
      </w:r>
      <w:r w:rsidR="00D84992" w:rsidRPr="009B732E">
        <w:rPr>
          <w:rStyle w:val="Emphasis"/>
          <w:b w:val="0"/>
          <w:i w:val="0"/>
          <w:sz w:val="24"/>
          <w:szCs w:val="24"/>
        </w:rPr>
        <w:t>and</w:t>
      </w:r>
      <w:r w:rsidR="00D84992" w:rsidRPr="009B732E">
        <w:rPr>
          <w:rStyle w:val="Emphasis"/>
          <w:b w:val="0"/>
          <w:sz w:val="24"/>
          <w:szCs w:val="24"/>
        </w:rPr>
        <w:t xml:space="preserve"> Vigna </w:t>
      </w:r>
      <w:proofErr w:type="gramStart"/>
      <w:r w:rsidR="00D84992" w:rsidRPr="009B732E">
        <w:rPr>
          <w:rStyle w:val="Emphasis"/>
          <w:b w:val="0"/>
          <w:sz w:val="24"/>
          <w:szCs w:val="24"/>
        </w:rPr>
        <w:t xml:space="preserve">radiata </w:t>
      </w:r>
      <w:r w:rsidRPr="009B732E">
        <w:rPr>
          <w:b w:val="0"/>
          <w:sz w:val="24"/>
          <w:szCs w:val="24"/>
        </w:rPr>
        <w:t>.</w:t>
      </w:r>
      <w:proofErr w:type="gramEnd"/>
      <w:r w:rsidRPr="009B732E">
        <w:rPr>
          <w:b w:val="0"/>
          <w:sz w:val="24"/>
          <w:szCs w:val="24"/>
        </w:rPr>
        <w:t xml:space="preserve"> The presence of </w:t>
      </w:r>
      <w:proofErr w:type="spellStart"/>
      <w:r w:rsidRPr="009B732E">
        <w:rPr>
          <w:b w:val="0"/>
          <w:sz w:val="24"/>
          <w:szCs w:val="24"/>
        </w:rPr>
        <w:t>auxins</w:t>
      </w:r>
      <w:proofErr w:type="spellEnd"/>
      <w:r w:rsidRPr="009B732E">
        <w:rPr>
          <w:b w:val="0"/>
          <w:sz w:val="24"/>
          <w:szCs w:val="24"/>
        </w:rPr>
        <w:t xml:space="preserve">, gibberellins, and </w:t>
      </w:r>
      <w:proofErr w:type="spellStart"/>
      <w:r w:rsidRPr="009B732E">
        <w:rPr>
          <w:b w:val="0"/>
          <w:sz w:val="24"/>
          <w:szCs w:val="24"/>
        </w:rPr>
        <w:t>cytokinins</w:t>
      </w:r>
      <w:proofErr w:type="spellEnd"/>
      <w:r w:rsidRPr="009B732E">
        <w:rPr>
          <w:b w:val="0"/>
          <w:sz w:val="24"/>
          <w:szCs w:val="24"/>
        </w:rPr>
        <w:t xml:space="preserve"> in </w:t>
      </w:r>
      <w:proofErr w:type="spellStart"/>
      <w:r w:rsidRPr="009B732E">
        <w:rPr>
          <w:b w:val="0"/>
          <w:sz w:val="24"/>
          <w:szCs w:val="24"/>
        </w:rPr>
        <w:t>vermicompost</w:t>
      </w:r>
      <w:proofErr w:type="spellEnd"/>
      <w:r w:rsidRPr="009B732E">
        <w:rPr>
          <w:b w:val="0"/>
          <w:sz w:val="24"/>
          <w:szCs w:val="24"/>
        </w:rPr>
        <w:t xml:space="preserve">-derived products, as well as improved nutrient uptake and microbial activity, may all contribute to the improved growth performance. Vermicompost contains humic compounds that are known to promote nutrient absorption and root development, leading to strong seedling growth (Aira et al., 2022). </w:t>
      </w:r>
      <w:proofErr w:type="spellStart"/>
      <w:r w:rsidRPr="009B732E">
        <w:rPr>
          <w:b w:val="0"/>
          <w:sz w:val="24"/>
          <w:szCs w:val="24"/>
        </w:rPr>
        <w:t>Vermiwash</w:t>
      </w:r>
      <w:proofErr w:type="spellEnd"/>
      <w:r w:rsidRPr="009B732E">
        <w:rPr>
          <w:b w:val="0"/>
          <w:sz w:val="24"/>
          <w:szCs w:val="24"/>
        </w:rPr>
        <w:t xml:space="preserve"> functions as an efficient </w:t>
      </w:r>
      <w:proofErr w:type="spellStart"/>
      <w:r w:rsidRPr="009B732E">
        <w:rPr>
          <w:b w:val="0"/>
          <w:sz w:val="24"/>
          <w:szCs w:val="24"/>
        </w:rPr>
        <w:t>biostimulant</w:t>
      </w:r>
      <w:proofErr w:type="spellEnd"/>
      <w:r w:rsidRPr="009B732E">
        <w:rPr>
          <w:b w:val="0"/>
          <w:sz w:val="24"/>
          <w:szCs w:val="24"/>
        </w:rPr>
        <w:t xml:space="preserve"> that improves seedling establishment and productivity in horticultural crops, according to recent research by Kumar et al. (2024). </w:t>
      </w:r>
      <w:proofErr w:type="spellStart"/>
      <w:r w:rsidR="00CE4C7E" w:rsidRPr="009B732E">
        <w:rPr>
          <w:b w:val="0"/>
          <w:sz w:val="24"/>
          <w:szCs w:val="24"/>
        </w:rPr>
        <w:t>Vermiwash</w:t>
      </w:r>
      <w:proofErr w:type="spellEnd"/>
      <w:r w:rsidR="00CE4C7E" w:rsidRPr="009B732E">
        <w:rPr>
          <w:b w:val="0"/>
          <w:sz w:val="24"/>
          <w:szCs w:val="24"/>
        </w:rPr>
        <w:t xml:space="preserve"> application greatly enhanced seedling establishment, biomass production, and overall plant growth because of its nutrient-rich and </w:t>
      </w:r>
      <w:proofErr w:type="spellStart"/>
      <w:r w:rsidR="00CE4C7E" w:rsidRPr="009B732E">
        <w:rPr>
          <w:b w:val="0"/>
          <w:sz w:val="24"/>
          <w:szCs w:val="24"/>
        </w:rPr>
        <w:t>biostimulatory</w:t>
      </w:r>
      <w:proofErr w:type="spellEnd"/>
      <w:r w:rsidR="00CE4C7E" w:rsidRPr="009B732E">
        <w:rPr>
          <w:b w:val="0"/>
          <w:sz w:val="24"/>
          <w:szCs w:val="24"/>
        </w:rPr>
        <w:t xml:space="preserve"> qualities, as shown by Nath and Singh (2015) and Chauhan and Joshi (2016). The present findings thus confirm the potential of </w:t>
      </w:r>
      <w:proofErr w:type="spellStart"/>
      <w:r w:rsidR="00CE4C7E" w:rsidRPr="009B732E">
        <w:rPr>
          <w:b w:val="0"/>
          <w:sz w:val="24"/>
          <w:szCs w:val="24"/>
        </w:rPr>
        <w:t>vermicompost</w:t>
      </w:r>
      <w:proofErr w:type="spellEnd"/>
      <w:r w:rsidR="00CE4C7E" w:rsidRPr="009B732E">
        <w:rPr>
          <w:b w:val="0"/>
          <w:sz w:val="24"/>
          <w:szCs w:val="24"/>
        </w:rPr>
        <w:t xml:space="preserve"> and </w:t>
      </w:r>
      <w:proofErr w:type="spellStart"/>
      <w:r w:rsidR="00CE4C7E" w:rsidRPr="009B732E">
        <w:rPr>
          <w:b w:val="0"/>
          <w:sz w:val="24"/>
          <w:szCs w:val="24"/>
        </w:rPr>
        <w:t>vermiwash</w:t>
      </w:r>
      <w:proofErr w:type="spellEnd"/>
      <w:r w:rsidR="00CE4C7E" w:rsidRPr="009B732E">
        <w:rPr>
          <w:b w:val="0"/>
          <w:sz w:val="24"/>
          <w:szCs w:val="24"/>
        </w:rPr>
        <w:t xml:space="preserve"> as sustainable organic inputs for improving the germination and early growth of green vegetable crops.</w:t>
      </w:r>
    </w:p>
    <w:p w14:paraId="57BA597A" w14:textId="2C3B5861" w:rsidR="0044541B" w:rsidRPr="009B732E" w:rsidRDefault="0044541B" w:rsidP="0044541B">
      <w:pPr>
        <w:pStyle w:val="Heading3"/>
        <w:rPr>
          <w:rFonts w:ascii="Times New Roman" w:hAnsi="Times New Roman" w:cs="Times New Roman"/>
          <w:b/>
          <w:color w:val="auto"/>
        </w:rPr>
      </w:pPr>
      <w:bookmarkStart w:id="0" w:name="_GoBack"/>
      <w:bookmarkEnd w:id="0"/>
      <w:r w:rsidRPr="009B732E">
        <w:rPr>
          <w:rFonts w:ascii="Times New Roman" w:hAnsi="Times New Roman" w:cs="Times New Roman"/>
          <w:b/>
          <w:color w:val="auto"/>
        </w:rPr>
        <w:t xml:space="preserve">Table </w:t>
      </w:r>
      <w:r w:rsidR="000E6E22" w:rsidRPr="009B732E">
        <w:rPr>
          <w:rFonts w:ascii="Times New Roman" w:hAnsi="Times New Roman" w:cs="Times New Roman"/>
          <w:b/>
          <w:color w:val="auto"/>
        </w:rPr>
        <w:t>3</w:t>
      </w:r>
      <w:r w:rsidRPr="009B732E">
        <w:rPr>
          <w:rFonts w:ascii="Times New Roman" w:hAnsi="Times New Roman" w:cs="Times New Roman"/>
          <w:b/>
          <w:color w:val="auto"/>
        </w:rPr>
        <w:t xml:space="preserve">. Effect of </w:t>
      </w:r>
      <w:proofErr w:type="spellStart"/>
      <w:r w:rsidRPr="009B732E">
        <w:rPr>
          <w:rFonts w:ascii="Times New Roman" w:hAnsi="Times New Roman" w:cs="Times New Roman"/>
          <w:b/>
          <w:color w:val="auto"/>
        </w:rPr>
        <w:t>Vermicompost</w:t>
      </w:r>
      <w:proofErr w:type="spellEnd"/>
      <w:r w:rsidRPr="009B732E">
        <w:rPr>
          <w:rFonts w:ascii="Times New Roman" w:hAnsi="Times New Roman" w:cs="Times New Roman"/>
          <w:b/>
          <w:color w:val="auto"/>
        </w:rPr>
        <w:t xml:space="preserve"> and </w:t>
      </w:r>
      <w:proofErr w:type="spellStart"/>
      <w:r w:rsidRPr="009B732E">
        <w:rPr>
          <w:rFonts w:ascii="Times New Roman" w:hAnsi="Times New Roman" w:cs="Times New Roman"/>
          <w:b/>
          <w:color w:val="auto"/>
        </w:rPr>
        <w:t>Vermiwash</w:t>
      </w:r>
      <w:proofErr w:type="spellEnd"/>
      <w:r w:rsidRPr="009B732E">
        <w:rPr>
          <w:rFonts w:ascii="Times New Roman" w:hAnsi="Times New Roman" w:cs="Times New Roman"/>
          <w:b/>
          <w:color w:val="auto"/>
        </w:rPr>
        <w:t xml:space="preserve"> on Seedling Growth of </w:t>
      </w:r>
      <w:r w:rsidRPr="009B732E">
        <w:rPr>
          <w:rStyle w:val="Emphasis"/>
          <w:rFonts w:ascii="Times New Roman" w:hAnsi="Times New Roman" w:cs="Times New Roman"/>
          <w:b/>
          <w:color w:val="auto"/>
        </w:rPr>
        <w:t>Coriandrum sativum</w:t>
      </w:r>
    </w:p>
    <w:tbl>
      <w:tblPr>
        <w:tblStyle w:val="TableGrid"/>
        <w:tblW w:w="0" w:type="auto"/>
        <w:tblLook w:val="04A0" w:firstRow="1" w:lastRow="0" w:firstColumn="1" w:lastColumn="0" w:noHBand="0" w:noVBand="1"/>
      </w:tblPr>
      <w:tblGrid>
        <w:gridCol w:w="2272"/>
        <w:gridCol w:w="1673"/>
        <w:gridCol w:w="1735"/>
        <w:gridCol w:w="1967"/>
        <w:gridCol w:w="1369"/>
      </w:tblGrid>
      <w:tr w:rsidR="0044541B" w:rsidRPr="009B732E" w14:paraId="55716E61" w14:textId="77777777" w:rsidTr="0044541B">
        <w:tc>
          <w:tcPr>
            <w:tcW w:w="0" w:type="auto"/>
            <w:hideMark/>
          </w:tcPr>
          <w:p w14:paraId="230781F3"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Treatment</w:t>
            </w:r>
          </w:p>
        </w:tc>
        <w:tc>
          <w:tcPr>
            <w:tcW w:w="0" w:type="auto"/>
            <w:hideMark/>
          </w:tcPr>
          <w:p w14:paraId="72111EF1"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Root Length (cm)</w:t>
            </w:r>
          </w:p>
        </w:tc>
        <w:tc>
          <w:tcPr>
            <w:tcW w:w="0" w:type="auto"/>
            <w:hideMark/>
          </w:tcPr>
          <w:p w14:paraId="15DCF153"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Shoot Length (cm)</w:t>
            </w:r>
          </w:p>
        </w:tc>
        <w:tc>
          <w:tcPr>
            <w:tcW w:w="0" w:type="auto"/>
            <w:hideMark/>
          </w:tcPr>
          <w:p w14:paraId="5822B4AC"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Seedling Length (cm)</w:t>
            </w:r>
          </w:p>
        </w:tc>
        <w:tc>
          <w:tcPr>
            <w:tcW w:w="0" w:type="auto"/>
            <w:hideMark/>
          </w:tcPr>
          <w:p w14:paraId="467A1B2D"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Vigour Index</w:t>
            </w:r>
          </w:p>
        </w:tc>
      </w:tr>
      <w:tr w:rsidR="0044541B" w:rsidRPr="009B732E" w14:paraId="1D07E4DB" w14:textId="77777777" w:rsidTr="0044541B">
        <w:tc>
          <w:tcPr>
            <w:tcW w:w="0" w:type="auto"/>
            <w:hideMark/>
          </w:tcPr>
          <w:p w14:paraId="7BA461B1"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T₁ Control</w:t>
            </w:r>
          </w:p>
        </w:tc>
        <w:tc>
          <w:tcPr>
            <w:tcW w:w="0" w:type="auto"/>
            <w:hideMark/>
          </w:tcPr>
          <w:p w14:paraId="6C44B710" w14:textId="77777777" w:rsidR="0044541B" w:rsidRPr="009B732E" w:rsidRDefault="00D7428B">
            <w:pPr>
              <w:rPr>
                <w:rFonts w:ascii="Times New Roman" w:hAnsi="Times New Roman" w:cs="Times New Roman"/>
                <w:sz w:val="24"/>
                <w:szCs w:val="24"/>
              </w:rPr>
            </w:pPr>
            <w:r w:rsidRPr="009B732E">
              <w:rPr>
                <w:rFonts w:ascii="Times New Roman" w:hAnsi="Times New Roman" w:cs="Times New Roman"/>
                <w:sz w:val="24"/>
                <w:szCs w:val="24"/>
              </w:rPr>
              <w:t>3.1</w:t>
            </w:r>
            <w:r w:rsidR="008A2F8A" w:rsidRPr="009B732E">
              <w:rPr>
                <w:rFonts w:ascii="Times New Roman" w:hAnsi="Times New Roman" w:cs="Times New Roman"/>
                <w:sz w:val="24"/>
                <w:szCs w:val="24"/>
              </w:rPr>
              <w:t xml:space="preserve"> ± 0.1</w:t>
            </w:r>
          </w:p>
        </w:tc>
        <w:tc>
          <w:tcPr>
            <w:tcW w:w="0" w:type="auto"/>
            <w:hideMark/>
          </w:tcPr>
          <w:p w14:paraId="232FD315" w14:textId="77777777" w:rsidR="0044541B" w:rsidRPr="009B732E" w:rsidRDefault="00D7428B">
            <w:pPr>
              <w:rPr>
                <w:rFonts w:ascii="Times New Roman" w:hAnsi="Times New Roman" w:cs="Times New Roman"/>
                <w:sz w:val="24"/>
                <w:szCs w:val="24"/>
              </w:rPr>
            </w:pPr>
            <w:r w:rsidRPr="009B732E">
              <w:rPr>
                <w:rFonts w:ascii="Times New Roman" w:hAnsi="Times New Roman" w:cs="Times New Roman"/>
                <w:sz w:val="24"/>
                <w:szCs w:val="24"/>
              </w:rPr>
              <w:t>4</w:t>
            </w:r>
            <w:r w:rsidR="008A2F8A" w:rsidRPr="009B732E">
              <w:rPr>
                <w:rFonts w:ascii="Times New Roman" w:hAnsi="Times New Roman" w:cs="Times New Roman"/>
                <w:sz w:val="24"/>
                <w:szCs w:val="24"/>
              </w:rPr>
              <w:t>.8 ± 0.2</w:t>
            </w:r>
          </w:p>
        </w:tc>
        <w:tc>
          <w:tcPr>
            <w:tcW w:w="0" w:type="auto"/>
            <w:hideMark/>
          </w:tcPr>
          <w:p w14:paraId="7CC18040" w14:textId="77777777" w:rsidR="0044541B" w:rsidRPr="009B732E" w:rsidRDefault="00D7428B">
            <w:pPr>
              <w:rPr>
                <w:rFonts w:ascii="Times New Roman" w:hAnsi="Times New Roman" w:cs="Times New Roman"/>
                <w:sz w:val="24"/>
                <w:szCs w:val="24"/>
              </w:rPr>
            </w:pPr>
            <w:r w:rsidRPr="009B732E">
              <w:rPr>
                <w:rFonts w:ascii="Times New Roman" w:hAnsi="Times New Roman" w:cs="Times New Roman"/>
                <w:sz w:val="24"/>
                <w:szCs w:val="24"/>
              </w:rPr>
              <w:t>8.5</w:t>
            </w:r>
            <w:r w:rsidR="008A2F8A" w:rsidRPr="009B732E">
              <w:rPr>
                <w:rFonts w:ascii="Times New Roman" w:hAnsi="Times New Roman" w:cs="Times New Roman"/>
                <w:sz w:val="24"/>
                <w:szCs w:val="24"/>
              </w:rPr>
              <w:t xml:space="preserve"> ± 0.3</w:t>
            </w:r>
          </w:p>
        </w:tc>
        <w:tc>
          <w:tcPr>
            <w:tcW w:w="0" w:type="auto"/>
            <w:hideMark/>
          </w:tcPr>
          <w:p w14:paraId="26621D39" w14:textId="63E49E9B" w:rsidR="0044541B" w:rsidRPr="009B732E" w:rsidRDefault="00CB22D8" w:rsidP="00D7428B">
            <w:pPr>
              <w:rPr>
                <w:rFonts w:ascii="Times New Roman" w:hAnsi="Times New Roman" w:cs="Times New Roman"/>
                <w:sz w:val="24"/>
                <w:szCs w:val="24"/>
              </w:rPr>
            </w:pPr>
            <w:r w:rsidRPr="009B732E">
              <w:rPr>
                <w:rFonts w:ascii="Times New Roman" w:hAnsi="Times New Roman" w:cs="Times New Roman"/>
                <w:sz w:val="24"/>
                <w:szCs w:val="24"/>
              </w:rPr>
              <w:t>468</w:t>
            </w:r>
          </w:p>
        </w:tc>
      </w:tr>
      <w:tr w:rsidR="0044541B" w:rsidRPr="009B732E" w14:paraId="26F2C8DF" w14:textId="77777777" w:rsidTr="0044541B">
        <w:tc>
          <w:tcPr>
            <w:tcW w:w="0" w:type="auto"/>
            <w:hideMark/>
          </w:tcPr>
          <w:p w14:paraId="52E37488"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 xml:space="preserve">T₂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(25%)</w:t>
            </w:r>
          </w:p>
        </w:tc>
        <w:tc>
          <w:tcPr>
            <w:tcW w:w="0" w:type="auto"/>
            <w:hideMark/>
          </w:tcPr>
          <w:p w14:paraId="7AFA707A" w14:textId="77777777" w:rsidR="0044541B" w:rsidRPr="009B732E" w:rsidRDefault="008A2F8A" w:rsidP="00505E7C">
            <w:pPr>
              <w:rPr>
                <w:rFonts w:ascii="Times New Roman" w:hAnsi="Times New Roman" w:cs="Times New Roman"/>
                <w:sz w:val="24"/>
                <w:szCs w:val="24"/>
              </w:rPr>
            </w:pPr>
            <w:r w:rsidRPr="009B732E">
              <w:rPr>
                <w:rFonts w:ascii="Times New Roman" w:hAnsi="Times New Roman" w:cs="Times New Roman"/>
                <w:sz w:val="24"/>
                <w:szCs w:val="24"/>
              </w:rPr>
              <w:t>4.</w:t>
            </w:r>
            <w:r w:rsidR="00505E7C" w:rsidRPr="009B732E">
              <w:rPr>
                <w:rFonts w:ascii="Times New Roman" w:hAnsi="Times New Roman" w:cs="Times New Roman"/>
                <w:sz w:val="24"/>
                <w:szCs w:val="24"/>
              </w:rPr>
              <w:t>0</w:t>
            </w:r>
            <w:r w:rsidRPr="009B732E">
              <w:rPr>
                <w:rFonts w:ascii="Times New Roman" w:hAnsi="Times New Roman" w:cs="Times New Roman"/>
                <w:sz w:val="24"/>
                <w:szCs w:val="24"/>
              </w:rPr>
              <w:t xml:space="preserve"> ± 0.3</w:t>
            </w:r>
          </w:p>
        </w:tc>
        <w:tc>
          <w:tcPr>
            <w:tcW w:w="0" w:type="auto"/>
            <w:hideMark/>
          </w:tcPr>
          <w:p w14:paraId="74B9E7D0" w14:textId="77777777" w:rsidR="0044541B" w:rsidRPr="009B732E" w:rsidRDefault="008A2F8A">
            <w:pPr>
              <w:rPr>
                <w:rFonts w:ascii="Times New Roman" w:hAnsi="Times New Roman" w:cs="Times New Roman"/>
                <w:sz w:val="24"/>
                <w:szCs w:val="24"/>
              </w:rPr>
            </w:pPr>
            <w:r w:rsidRPr="009B732E">
              <w:rPr>
                <w:rFonts w:ascii="Times New Roman" w:hAnsi="Times New Roman" w:cs="Times New Roman"/>
                <w:sz w:val="24"/>
                <w:szCs w:val="24"/>
              </w:rPr>
              <w:t>7.2 ± 0.4</w:t>
            </w:r>
          </w:p>
        </w:tc>
        <w:tc>
          <w:tcPr>
            <w:tcW w:w="0" w:type="auto"/>
            <w:hideMark/>
          </w:tcPr>
          <w:p w14:paraId="1AFEFB32" w14:textId="77777777" w:rsidR="0044541B" w:rsidRPr="009B732E" w:rsidRDefault="008A2F8A" w:rsidP="00505E7C">
            <w:pPr>
              <w:rPr>
                <w:rFonts w:ascii="Times New Roman" w:hAnsi="Times New Roman" w:cs="Times New Roman"/>
                <w:sz w:val="24"/>
                <w:szCs w:val="24"/>
              </w:rPr>
            </w:pPr>
            <w:r w:rsidRPr="009B732E">
              <w:rPr>
                <w:rFonts w:ascii="Times New Roman" w:hAnsi="Times New Roman" w:cs="Times New Roman"/>
                <w:sz w:val="24"/>
                <w:szCs w:val="24"/>
              </w:rPr>
              <w:t>1</w:t>
            </w:r>
            <w:r w:rsidR="00505E7C" w:rsidRPr="009B732E">
              <w:rPr>
                <w:rFonts w:ascii="Times New Roman" w:hAnsi="Times New Roman" w:cs="Times New Roman"/>
                <w:sz w:val="24"/>
                <w:szCs w:val="24"/>
              </w:rPr>
              <w:t>0</w:t>
            </w:r>
            <w:r w:rsidRPr="009B732E">
              <w:rPr>
                <w:rFonts w:ascii="Times New Roman" w:hAnsi="Times New Roman" w:cs="Times New Roman"/>
                <w:sz w:val="24"/>
                <w:szCs w:val="24"/>
              </w:rPr>
              <w:t>.0 ± 0.3</w:t>
            </w:r>
          </w:p>
        </w:tc>
        <w:tc>
          <w:tcPr>
            <w:tcW w:w="0" w:type="auto"/>
            <w:hideMark/>
          </w:tcPr>
          <w:p w14:paraId="42F75E8B" w14:textId="4243673C" w:rsidR="0044541B" w:rsidRPr="009B732E" w:rsidRDefault="00CB22D8">
            <w:pPr>
              <w:rPr>
                <w:rFonts w:ascii="Times New Roman" w:hAnsi="Times New Roman" w:cs="Times New Roman"/>
                <w:sz w:val="24"/>
                <w:szCs w:val="24"/>
              </w:rPr>
            </w:pPr>
            <w:r w:rsidRPr="009B732E">
              <w:rPr>
                <w:rFonts w:ascii="Times New Roman" w:hAnsi="Times New Roman" w:cs="Times New Roman"/>
                <w:sz w:val="24"/>
                <w:szCs w:val="24"/>
              </w:rPr>
              <w:t>640</w:t>
            </w:r>
          </w:p>
        </w:tc>
      </w:tr>
      <w:tr w:rsidR="0044541B" w:rsidRPr="009B732E" w14:paraId="0F56CD17" w14:textId="77777777" w:rsidTr="0044541B">
        <w:tc>
          <w:tcPr>
            <w:tcW w:w="0" w:type="auto"/>
            <w:hideMark/>
          </w:tcPr>
          <w:p w14:paraId="4B10ECB3"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 xml:space="preserve">T₃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(50%)</w:t>
            </w:r>
          </w:p>
        </w:tc>
        <w:tc>
          <w:tcPr>
            <w:tcW w:w="0" w:type="auto"/>
            <w:hideMark/>
          </w:tcPr>
          <w:p w14:paraId="63557920" w14:textId="77777777" w:rsidR="0044541B" w:rsidRPr="009B732E" w:rsidRDefault="00505E7C">
            <w:pPr>
              <w:rPr>
                <w:rFonts w:ascii="Times New Roman" w:hAnsi="Times New Roman" w:cs="Times New Roman"/>
                <w:sz w:val="24"/>
                <w:szCs w:val="24"/>
              </w:rPr>
            </w:pPr>
            <w:r w:rsidRPr="009B732E">
              <w:rPr>
                <w:rFonts w:ascii="Times New Roman" w:hAnsi="Times New Roman" w:cs="Times New Roman"/>
                <w:sz w:val="24"/>
                <w:szCs w:val="24"/>
              </w:rPr>
              <w:t>5</w:t>
            </w:r>
            <w:r w:rsidR="008A2F8A" w:rsidRPr="009B732E">
              <w:rPr>
                <w:rFonts w:ascii="Times New Roman" w:hAnsi="Times New Roman" w:cs="Times New Roman"/>
                <w:sz w:val="24"/>
                <w:szCs w:val="24"/>
              </w:rPr>
              <w:t>.2 ± 0.4</w:t>
            </w:r>
          </w:p>
        </w:tc>
        <w:tc>
          <w:tcPr>
            <w:tcW w:w="0" w:type="auto"/>
            <w:hideMark/>
          </w:tcPr>
          <w:p w14:paraId="6114A241" w14:textId="77777777" w:rsidR="0044541B" w:rsidRPr="009B732E" w:rsidRDefault="00505E7C">
            <w:pPr>
              <w:rPr>
                <w:rFonts w:ascii="Times New Roman" w:hAnsi="Times New Roman" w:cs="Times New Roman"/>
                <w:sz w:val="24"/>
                <w:szCs w:val="24"/>
              </w:rPr>
            </w:pPr>
            <w:r w:rsidRPr="009B732E">
              <w:rPr>
                <w:rFonts w:ascii="Times New Roman" w:hAnsi="Times New Roman" w:cs="Times New Roman"/>
                <w:sz w:val="24"/>
                <w:szCs w:val="24"/>
              </w:rPr>
              <w:t>7</w:t>
            </w:r>
            <w:r w:rsidR="008A2F8A" w:rsidRPr="009B732E">
              <w:rPr>
                <w:rFonts w:ascii="Times New Roman" w:hAnsi="Times New Roman" w:cs="Times New Roman"/>
                <w:sz w:val="24"/>
                <w:szCs w:val="24"/>
              </w:rPr>
              <w:t>.8 ± 0.5</w:t>
            </w:r>
          </w:p>
        </w:tc>
        <w:tc>
          <w:tcPr>
            <w:tcW w:w="0" w:type="auto"/>
            <w:hideMark/>
          </w:tcPr>
          <w:p w14:paraId="6FA18B73" w14:textId="77777777" w:rsidR="0044541B" w:rsidRPr="009B732E" w:rsidRDefault="008A2F8A" w:rsidP="00505E7C">
            <w:pPr>
              <w:rPr>
                <w:rFonts w:ascii="Times New Roman" w:hAnsi="Times New Roman" w:cs="Times New Roman"/>
                <w:sz w:val="24"/>
                <w:szCs w:val="24"/>
              </w:rPr>
            </w:pPr>
            <w:r w:rsidRPr="009B732E">
              <w:rPr>
                <w:rFonts w:ascii="Times New Roman" w:hAnsi="Times New Roman" w:cs="Times New Roman"/>
                <w:sz w:val="24"/>
                <w:szCs w:val="24"/>
              </w:rPr>
              <w:t>1</w:t>
            </w:r>
            <w:r w:rsidR="00505E7C" w:rsidRPr="009B732E">
              <w:rPr>
                <w:rFonts w:ascii="Times New Roman" w:hAnsi="Times New Roman" w:cs="Times New Roman"/>
                <w:sz w:val="24"/>
                <w:szCs w:val="24"/>
              </w:rPr>
              <w:t>2</w:t>
            </w:r>
            <w:r w:rsidRPr="009B732E">
              <w:rPr>
                <w:rFonts w:ascii="Times New Roman" w:hAnsi="Times New Roman" w:cs="Times New Roman"/>
                <w:sz w:val="24"/>
                <w:szCs w:val="24"/>
              </w:rPr>
              <w:t>.0 ± 0.1</w:t>
            </w:r>
          </w:p>
        </w:tc>
        <w:tc>
          <w:tcPr>
            <w:tcW w:w="0" w:type="auto"/>
            <w:hideMark/>
          </w:tcPr>
          <w:p w14:paraId="236FB3F0" w14:textId="646E38C6" w:rsidR="0044541B" w:rsidRPr="009B732E" w:rsidRDefault="00CB22D8">
            <w:pPr>
              <w:rPr>
                <w:rFonts w:ascii="Times New Roman" w:hAnsi="Times New Roman" w:cs="Times New Roman"/>
                <w:sz w:val="24"/>
                <w:szCs w:val="24"/>
              </w:rPr>
            </w:pPr>
            <w:r w:rsidRPr="009B732E">
              <w:rPr>
                <w:rFonts w:ascii="Times New Roman" w:hAnsi="Times New Roman" w:cs="Times New Roman"/>
                <w:sz w:val="24"/>
                <w:szCs w:val="24"/>
              </w:rPr>
              <w:t>900</w:t>
            </w:r>
          </w:p>
        </w:tc>
      </w:tr>
      <w:tr w:rsidR="0044541B" w:rsidRPr="009B732E" w14:paraId="58A41A53" w14:textId="77777777" w:rsidTr="0044541B">
        <w:tc>
          <w:tcPr>
            <w:tcW w:w="0" w:type="auto"/>
            <w:hideMark/>
          </w:tcPr>
          <w:p w14:paraId="1006A91A"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 xml:space="preserve">T₄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(75%)</w:t>
            </w:r>
          </w:p>
        </w:tc>
        <w:tc>
          <w:tcPr>
            <w:tcW w:w="0" w:type="auto"/>
            <w:hideMark/>
          </w:tcPr>
          <w:p w14:paraId="6A91F155" w14:textId="77777777" w:rsidR="0044541B" w:rsidRPr="009B732E" w:rsidRDefault="00505E7C">
            <w:pPr>
              <w:rPr>
                <w:rFonts w:ascii="Times New Roman" w:hAnsi="Times New Roman" w:cs="Times New Roman"/>
                <w:sz w:val="24"/>
                <w:szCs w:val="24"/>
              </w:rPr>
            </w:pPr>
            <w:r w:rsidRPr="009B732E">
              <w:rPr>
                <w:rFonts w:ascii="Times New Roman" w:hAnsi="Times New Roman" w:cs="Times New Roman"/>
                <w:sz w:val="24"/>
                <w:szCs w:val="24"/>
              </w:rPr>
              <w:t>6</w:t>
            </w:r>
            <w:r w:rsidR="008A2F8A" w:rsidRPr="009B732E">
              <w:rPr>
                <w:rFonts w:ascii="Times New Roman" w:hAnsi="Times New Roman" w:cs="Times New Roman"/>
                <w:sz w:val="24"/>
                <w:szCs w:val="24"/>
              </w:rPr>
              <w:t>.0 ± 0.5</w:t>
            </w:r>
          </w:p>
        </w:tc>
        <w:tc>
          <w:tcPr>
            <w:tcW w:w="0" w:type="auto"/>
            <w:hideMark/>
          </w:tcPr>
          <w:p w14:paraId="7BE42E21" w14:textId="77777777" w:rsidR="0044541B" w:rsidRPr="009B732E" w:rsidRDefault="008A2F8A">
            <w:pPr>
              <w:rPr>
                <w:rFonts w:ascii="Times New Roman" w:hAnsi="Times New Roman" w:cs="Times New Roman"/>
                <w:sz w:val="24"/>
                <w:szCs w:val="24"/>
              </w:rPr>
            </w:pPr>
            <w:r w:rsidRPr="009B732E">
              <w:rPr>
                <w:rFonts w:ascii="Times New Roman" w:hAnsi="Times New Roman" w:cs="Times New Roman"/>
                <w:sz w:val="24"/>
                <w:szCs w:val="24"/>
              </w:rPr>
              <w:t>9.6 ± 0.5</w:t>
            </w:r>
          </w:p>
        </w:tc>
        <w:tc>
          <w:tcPr>
            <w:tcW w:w="0" w:type="auto"/>
            <w:hideMark/>
          </w:tcPr>
          <w:p w14:paraId="7BCAA989" w14:textId="17160E6B" w:rsidR="0044541B" w:rsidRPr="009B732E" w:rsidRDefault="0044541B" w:rsidP="00505E7C">
            <w:pPr>
              <w:rPr>
                <w:rFonts w:ascii="Times New Roman" w:hAnsi="Times New Roman" w:cs="Times New Roman"/>
                <w:sz w:val="24"/>
                <w:szCs w:val="24"/>
              </w:rPr>
            </w:pPr>
            <w:r w:rsidRPr="009B732E">
              <w:rPr>
                <w:rFonts w:ascii="Times New Roman" w:hAnsi="Times New Roman" w:cs="Times New Roman"/>
                <w:sz w:val="24"/>
                <w:szCs w:val="24"/>
              </w:rPr>
              <w:t>1</w:t>
            </w:r>
            <w:r w:rsidR="009E7281" w:rsidRPr="009B732E">
              <w:rPr>
                <w:rFonts w:ascii="Times New Roman" w:hAnsi="Times New Roman" w:cs="Times New Roman"/>
                <w:sz w:val="24"/>
                <w:szCs w:val="24"/>
              </w:rPr>
              <w:t>5</w:t>
            </w:r>
            <w:r w:rsidRPr="009B732E">
              <w:rPr>
                <w:rFonts w:ascii="Times New Roman" w:hAnsi="Times New Roman" w:cs="Times New Roman"/>
                <w:sz w:val="24"/>
                <w:szCs w:val="24"/>
              </w:rPr>
              <w:t>.6 ± 0.</w:t>
            </w:r>
            <w:r w:rsidR="008A2F8A" w:rsidRPr="009B732E">
              <w:rPr>
                <w:rFonts w:ascii="Times New Roman" w:hAnsi="Times New Roman" w:cs="Times New Roman"/>
                <w:sz w:val="24"/>
                <w:szCs w:val="24"/>
              </w:rPr>
              <w:t>2</w:t>
            </w:r>
          </w:p>
        </w:tc>
        <w:tc>
          <w:tcPr>
            <w:tcW w:w="0" w:type="auto"/>
            <w:hideMark/>
          </w:tcPr>
          <w:p w14:paraId="28D6EF39" w14:textId="081F852B" w:rsidR="0044541B" w:rsidRPr="009B732E" w:rsidRDefault="00F2704B">
            <w:pPr>
              <w:rPr>
                <w:rFonts w:ascii="Times New Roman" w:hAnsi="Times New Roman" w:cs="Times New Roman"/>
                <w:sz w:val="24"/>
                <w:szCs w:val="24"/>
              </w:rPr>
            </w:pPr>
            <w:r w:rsidRPr="009B732E">
              <w:rPr>
                <w:rFonts w:ascii="Times New Roman" w:hAnsi="Times New Roman" w:cs="Times New Roman"/>
                <w:sz w:val="24"/>
                <w:szCs w:val="24"/>
              </w:rPr>
              <w:t>1</w:t>
            </w:r>
            <w:r w:rsidR="00CB22D8" w:rsidRPr="009B732E">
              <w:rPr>
                <w:rFonts w:ascii="Times New Roman" w:hAnsi="Times New Roman" w:cs="Times New Roman"/>
                <w:sz w:val="24"/>
                <w:szCs w:val="24"/>
              </w:rPr>
              <w:t>326</w:t>
            </w:r>
          </w:p>
        </w:tc>
      </w:tr>
      <w:tr w:rsidR="0044541B" w:rsidRPr="009B732E" w14:paraId="2B1D78AE" w14:textId="77777777" w:rsidTr="0044541B">
        <w:tc>
          <w:tcPr>
            <w:tcW w:w="0" w:type="auto"/>
            <w:hideMark/>
          </w:tcPr>
          <w:p w14:paraId="2A92B9F8"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T₅ Vermicompost (10%)</w:t>
            </w:r>
          </w:p>
        </w:tc>
        <w:tc>
          <w:tcPr>
            <w:tcW w:w="0" w:type="auto"/>
            <w:hideMark/>
          </w:tcPr>
          <w:p w14:paraId="59F53470" w14:textId="77777777" w:rsidR="0044541B" w:rsidRPr="009B732E" w:rsidRDefault="00505E7C">
            <w:pPr>
              <w:rPr>
                <w:rFonts w:ascii="Times New Roman" w:hAnsi="Times New Roman" w:cs="Times New Roman"/>
                <w:sz w:val="24"/>
                <w:szCs w:val="24"/>
              </w:rPr>
            </w:pPr>
            <w:r w:rsidRPr="009B732E">
              <w:rPr>
                <w:rFonts w:ascii="Times New Roman" w:hAnsi="Times New Roman" w:cs="Times New Roman"/>
                <w:sz w:val="24"/>
                <w:szCs w:val="24"/>
              </w:rPr>
              <w:t>4</w:t>
            </w:r>
            <w:r w:rsidR="008A2F8A" w:rsidRPr="009B732E">
              <w:rPr>
                <w:rFonts w:ascii="Times New Roman" w:hAnsi="Times New Roman" w:cs="Times New Roman"/>
                <w:sz w:val="24"/>
                <w:szCs w:val="24"/>
              </w:rPr>
              <w:t>.9 ± 0.2</w:t>
            </w:r>
          </w:p>
        </w:tc>
        <w:tc>
          <w:tcPr>
            <w:tcW w:w="0" w:type="auto"/>
            <w:hideMark/>
          </w:tcPr>
          <w:p w14:paraId="2EE98242" w14:textId="77777777" w:rsidR="0044541B" w:rsidRPr="009B732E" w:rsidRDefault="00505E7C" w:rsidP="00505E7C">
            <w:pPr>
              <w:rPr>
                <w:rFonts w:ascii="Times New Roman" w:hAnsi="Times New Roman" w:cs="Times New Roman"/>
                <w:sz w:val="24"/>
                <w:szCs w:val="24"/>
              </w:rPr>
            </w:pPr>
            <w:r w:rsidRPr="009B732E">
              <w:rPr>
                <w:rFonts w:ascii="Times New Roman" w:hAnsi="Times New Roman" w:cs="Times New Roman"/>
                <w:sz w:val="24"/>
                <w:szCs w:val="24"/>
              </w:rPr>
              <w:t>8</w:t>
            </w:r>
            <w:r w:rsidR="008A2F8A" w:rsidRPr="009B732E">
              <w:rPr>
                <w:rFonts w:ascii="Times New Roman" w:hAnsi="Times New Roman" w:cs="Times New Roman"/>
                <w:sz w:val="24"/>
                <w:szCs w:val="24"/>
              </w:rPr>
              <w:t>.</w:t>
            </w:r>
            <w:r w:rsidRPr="009B732E">
              <w:rPr>
                <w:rFonts w:ascii="Times New Roman" w:hAnsi="Times New Roman" w:cs="Times New Roman"/>
                <w:sz w:val="24"/>
                <w:szCs w:val="24"/>
              </w:rPr>
              <w:t>0</w:t>
            </w:r>
            <w:r w:rsidR="008A2F8A" w:rsidRPr="009B732E">
              <w:rPr>
                <w:rFonts w:ascii="Times New Roman" w:hAnsi="Times New Roman" w:cs="Times New Roman"/>
                <w:sz w:val="24"/>
                <w:szCs w:val="24"/>
              </w:rPr>
              <w:t xml:space="preserve"> ± 0.4</w:t>
            </w:r>
          </w:p>
        </w:tc>
        <w:tc>
          <w:tcPr>
            <w:tcW w:w="0" w:type="auto"/>
            <w:hideMark/>
          </w:tcPr>
          <w:p w14:paraId="4F36E216" w14:textId="1732A2CE" w:rsidR="0044541B" w:rsidRPr="009B732E" w:rsidRDefault="008A2F8A" w:rsidP="00505E7C">
            <w:pPr>
              <w:rPr>
                <w:rFonts w:ascii="Times New Roman" w:hAnsi="Times New Roman" w:cs="Times New Roman"/>
                <w:sz w:val="24"/>
                <w:szCs w:val="24"/>
              </w:rPr>
            </w:pPr>
            <w:r w:rsidRPr="009B732E">
              <w:rPr>
                <w:rFonts w:ascii="Times New Roman" w:hAnsi="Times New Roman" w:cs="Times New Roman"/>
                <w:sz w:val="24"/>
                <w:szCs w:val="24"/>
              </w:rPr>
              <w:t>1</w:t>
            </w:r>
            <w:r w:rsidR="00505E7C" w:rsidRPr="009B732E">
              <w:rPr>
                <w:rFonts w:ascii="Times New Roman" w:hAnsi="Times New Roman" w:cs="Times New Roman"/>
                <w:sz w:val="24"/>
                <w:szCs w:val="24"/>
              </w:rPr>
              <w:t>2</w:t>
            </w:r>
            <w:r w:rsidRPr="009B732E">
              <w:rPr>
                <w:rFonts w:ascii="Times New Roman" w:hAnsi="Times New Roman" w:cs="Times New Roman"/>
                <w:sz w:val="24"/>
                <w:szCs w:val="24"/>
              </w:rPr>
              <w:t>.</w:t>
            </w:r>
            <w:r w:rsidR="009E7281" w:rsidRPr="009B732E">
              <w:rPr>
                <w:rFonts w:ascii="Times New Roman" w:hAnsi="Times New Roman" w:cs="Times New Roman"/>
                <w:sz w:val="24"/>
                <w:szCs w:val="24"/>
              </w:rPr>
              <w:t>9</w:t>
            </w:r>
            <w:r w:rsidRPr="009B732E">
              <w:rPr>
                <w:rFonts w:ascii="Times New Roman" w:hAnsi="Times New Roman" w:cs="Times New Roman"/>
                <w:sz w:val="24"/>
                <w:szCs w:val="24"/>
              </w:rPr>
              <w:t xml:space="preserve"> ± 0.3</w:t>
            </w:r>
          </w:p>
        </w:tc>
        <w:tc>
          <w:tcPr>
            <w:tcW w:w="0" w:type="auto"/>
            <w:hideMark/>
          </w:tcPr>
          <w:p w14:paraId="078C441B" w14:textId="2853FBB0" w:rsidR="0044541B" w:rsidRPr="009B732E" w:rsidRDefault="00F2704B">
            <w:pPr>
              <w:rPr>
                <w:rFonts w:ascii="Times New Roman" w:hAnsi="Times New Roman" w:cs="Times New Roman"/>
                <w:sz w:val="24"/>
                <w:szCs w:val="24"/>
              </w:rPr>
            </w:pPr>
            <w:r w:rsidRPr="009B732E">
              <w:rPr>
                <w:rFonts w:ascii="Times New Roman" w:hAnsi="Times New Roman" w:cs="Times New Roman"/>
                <w:sz w:val="24"/>
                <w:szCs w:val="24"/>
              </w:rPr>
              <w:t>10</w:t>
            </w:r>
            <w:r w:rsidR="00CB22D8" w:rsidRPr="009B732E">
              <w:rPr>
                <w:rFonts w:ascii="Times New Roman" w:hAnsi="Times New Roman" w:cs="Times New Roman"/>
                <w:sz w:val="24"/>
                <w:szCs w:val="24"/>
              </w:rPr>
              <w:t>3</w:t>
            </w:r>
            <w:r w:rsidRPr="009B732E">
              <w:rPr>
                <w:rFonts w:ascii="Times New Roman" w:hAnsi="Times New Roman" w:cs="Times New Roman"/>
                <w:sz w:val="24"/>
                <w:szCs w:val="24"/>
              </w:rPr>
              <w:t>2</w:t>
            </w:r>
          </w:p>
        </w:tc>
      </w:tr>
      <w:tr w:rsidR="0044541B" w:rsidRPr="009B732E" w14:paraId="7E21A5A4" w14:textId="77777777" w:rsidTr="0044541B">
        <w:tc>
          <w:tcPr>
            <w:tcW w:w="0" w:type="auto"/>
            <w:hideMark/>
          </w:tcPr>
          <w:p w14:paraId="24AB7FE2"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T₆ Vermicompost (20%)</w:t>
            </w:r>
          </w:p>
        </w:tc>
        <w:tc>
          <w:tcPr>
            <w:tcW w:w="0" w:type="auto"/>
            <w:hideMark/>
          </w:tcPr>
          <w:p w14:paraId="6255BE51" w14:textId="77777777" w:rsidR="0044541B" w:rsidRPr="009B732E" w:rsidRDefault="008A2F8A" w:rsidP="00505E7C">
            <w:pPr>
              <w:rPr>
                <w:rFonts w:ascii="Times New Roman" w:hAnsi="Times New Roman" w:cs="Times New Roman"/>
                <w:sz w:val="24"/>
                <w:szCs w:val="24"/>
              </w:rPr>
            </w:pPr>
            <w:r w:rsidRPr="009B732E">
              <w:rPr>
                <w:rFonts w:ascii="Times New Roman" w:hAnsi="Times New Roman" w:cs="Times New Roman"/>
                <w:sz w:val="24"/>
                <w:szCs w:val="24"/>
              </w:rPr>
              <w:t>7.</w:t>
            </w:r>
            <w:r w:rsidR="00505E7C" w:rsidRPr="009B732E">
              <w:rPr>
                <w:rFonts w:ascii="Times New Roman" w:hAnsi="Times New Roman" w:cs="Times New Roman"/>
                <w:sz w:val="24"/>
                <w:szCs w:val="24"/>
              </w:rPr>
              <w:t>0</w:t>
            </w:r>
            <w:r w:rsidRPr="009B732E">
              <w:rPr>
                <w:rFonts w:ascii="Times New Roman" w:hAnsi="Times New Roman" w:cs="Times New Roman"/>
                <w:sz w:val="24"/>
                <w:szCs w:val="24"/>
              </w:rPr>
              <w:t xml:space="preserve"> ± 0.1</w:t>
            </w:r>
          </w:p>
        </w:tc>
        <w:tc>
          <w:tcPr>
            <w:tcW w:w="0" w:type="auto"/>
            <w:hideMark/>
          </w:tcPr>
          <w:p w14:paraId="0E7312A1" w14:textId="77777777" w:rsidR="0044541B" w:rsidRPr="009B732E" w:rsidRDefault="00505E7C">
            <w:pPr>
              <w:rPr>
                <w:rFonts w:ascii="Times New Roman" w:hAnsi="Times New Roman" w:cs="Times New Roman"/>
                <w:sz w:val="24"/>
                <w:szCs w:val="24"/>
              </w:rPr>
            </w:pPr>
            <w:r w:rsidRPr="009B732E">
              <w:rPr>
                <w:rFonts w:ascii="Times New Roman" w:hAnsi="Times New Roman" w:cs="Times New Roman"/>
                <w:sz w:val="24"/>
                <w:szCs w:val="24"/>
              </w:rPr>
              <w:t>9</w:t>
            </w:r>
            <w:r w:rsidR="008A2F8A" w:rsidRPr="009B732E">
              <w:rPr>
                <w:rFonts w:ascii="Times New Roman" w:hAnsi="Times New Roman" w:cs="Times New Roman"/>
                <w:sz w:val="24"/>
                <w:szCs w:val="24"/>
              </w:rPr>
              <w:t>.2 ± 0.5</w:t>
            </w:r>
          </w:p>
        </w:tc>
        <w:tc>
          <w:tcPr>
            <w:tcW w:w="0" w:type="auto"/>
            <w:hideMark/>
          </w:tcPr>
          <w:p w14:paraId="6F9E5EDC" w14:textId="5B1A7240" w:rsidR="0044541B" w:rsidRPr="009B732E" w:rsidRDefault="00505E7C">
            <w:pPr>
              <w:rPr>
                <w:rFonts w:ascii="Times New Roman" w:hAnsi="Times New Roman" w:cs="Times New Roman"/>
                <w:sz w:val="24"/>
                <w:szCs w:val="24"/>
              </w:rPr>
            </w:pPr>
            <w:r w:rsidRPr="009B732E">
              <w:rPr>
                <w:rFonts w:ascii="Times New Roman" w:hAnsi="Times New Roman" w:cs="Times New Roman"/>
                <w:sz w:val="24"/>
                <w:szCs w:val="24"/>
              </w:rPr>
              <w:t>1</w:t>
            </w:r>
            <w:r w:rsidR="008A2F8A" w:rsidRPr="009B732E">
              <w:rPr>
                <w:rFonts w:ascii="Times New Roman" w:hAnsi="Times New Roman" w:cs="Times New Roman"/>
                <w:sz w:val="24"/>
                <w:szCs w:val="24"/>
              </w:rPr>
              <w:t>6</w:t>
            </w:r>
            <w:r w:rsidR="009E7281" w:rsidRPr="009B732E">
              <w:rPr>
                <w:rFonts w:ascii="Times New Roman" w:hAnsi="Times New Roman" w:cs="Times New Roman"/>
                <w:sz w:val="24"/>
                <w:szCs w:val="24"/>
              </w:rPr>
              <w:t>.2</w:t>
            </w:r>
            <w:r w:rsidR="008A2F8A" w:rsidRPr="009B732E">
              <w:rPr>
                <w:rFonts w:ascii="Times New Roman" w:hAnsi="Times New Roman" w:cs="Times New Roman"/>
                <w:sz w:val="24"/>
                <w:szCs w:val="24"/>
              </w:rPr>
              <w:t xml:space="preserve"> ± 0.4</w:t>
            </w:r>
          </w:p>
        </w:tc>
        <w:tc>
          <w:tcPr>
            <w:tcW w:w="0" w:type="auto"/>
            <w:hideMark/>
          </w:tcPr>
          <w:p w14:paraId="29AA1CDA" w14:textId="45838381" w:rsidR="0044541B" w:rsidRPr="009B732E" w:rsidRDefault="00F2704B">
            <w:pPr>
              <w:rPr>
                <w:rFonts w:ascii="Times New Roman" w:hAnsi="Times New Roman" w:cs="Times New Roman"/>
                <w:sz w:val="24"/>
                <w:szCs w:val="24"/>
              </w:rPr>
            </w:pPr>
            <w:r w:rsidRPr="009B732E">
              <w:rPr>
                <w:rFonts w:ascii="Times New Roman" w:hAnsi="Times New Roman" w:cs="Times New Roman"/>
                <w:sz w:val="24"/>
                <w:szCs w:val="24"/>
              </w:rPr>
              <w:t>14</w:t>
            </w:r>
            <w:r w:rsidR="00CB22D8" w:rsidRPr="009B732E">
              <w:rPr>
                <w:rFonts w:ascii="Times New Roman" w:hAnsi="Times New Roman" w:cs="Times New Roman"/>
                <w:sz w:val="24"/>
                <w:szCs w:val="24"/>
              </w:rPr>
              <w:t>58</w:t>
            </w:r>
          </w:p>
        </w:tc>
      </w:tr>
    </w:tbl>
    <w:p w14:paraId="6BDC8B99" w14:textId="330930B2" w:rsidR="0044541B" w:rsidRPr="009B732E" w:rsidRDefault="004E7A87" w:rsidP="0044541B">
      <w:pPr>
        <w:pStyle w:val="Heading3"/>
        <w:rPr>
          <w:rFonts w:ascii="Times New Roman" w:hAnsi="Times New Roman" w:cs="Times New Roman"/>
          <w:color w:val="auto"/>
        </w:rPr>
      </w:pPr>
      <w:r w:rsidRPr="009B732E">
        <w:rPr>
          <w:rFonts w:ascii="Times New Roman" w:hAnsi="Times New Roman" w:cs="Times New Roman"/>
          <w:color w:val="auto"/>
        </w:rPr>
        <w:t>T</w:t>
      </w:r>
      <w:r w:rsidR="0044541B" w:rsidRPr="009B732E">
        <w:rPr>
          <w:rFonts w:ascii="Times New Roman" w:hAnsi="Times New Roman" w:cs="Times New Roman"/>
          <w:color w:val="auto"/>
        </w:rPr>
        <w:t xml:space="preserve">able </w:t>
      </w:r>
      <w:r w:rsidR="000E6E22" w:rsidRPr="009B732E">
        <w:rPr>
          <w:rFonts w:ascii="Times New Roman" w:hAnsi="Times New Roman" w:cs="Times New Roman"/>
          <w:color w:val="auto"/>
        </w:rPr>
        <w:t>4</w:t>
      </w:r>
      <w:r w:rsidR="0044541B" w:rsidRPr="009B732E">
        <w:rPr>
          <w:rFonts w:ascii="Times New Roman" w:hAnsi="Times New Roman" w:cs="Times New Roman"/>
          <w:color w:val="auto"/>
        </w:rPr>
        <w:t xml:space="preserve">. Effect of </w:t>
      </w:r>
      <w:proofErr w:type="spellStart"/>
      <w:r w:rsidR="0044541B" w:rsidRPr="009B732E">
        <w:rPr>
          <w:rFonts w:ascii="Times New Roman" w:hAnsi="Times New Roman" w:cs="Times New Roman"/>
          <w:color w:val="auto"/>
        </w:rPr>
        <w:t>Vermicompost</w:t>
      </w:r>
      <w:proofErr w:type="spellEnd"/>
      <w:r w:rsidR="0044541B" w:rsidRPr="009B732E">
        <w:rPr>
          <w:rFonts w:ascii="Times New Roman" w:hAnsi="Times New Roman" w:cs="Times New Roman"/>
          <w:color w:val="auto"/>
        </w:rPr>
        <w:t xml:space="preserve"> and </w:t>
      </w:r>
      <w:proofErr w:type="spellStart"/>
      <w:r w:rsidR="0044541B" w:rsidRPr="009B732E">
        <w:rPr>
          <w:rFonts w:ascii="Times New Roman" w:hAnsi="Times New Roman" w:cs="Times New Roman"/>
          <w:color w:val="auto"/>
        </w:rPr>
        <w:t>Vermiwash</w:t>
      </w:r>
      <w:proofErr w:type="spellEnd"/>
      <w:r w:rsidR="0044541B" w:rsidRPr="009B732E">
        <w:rPr>
          <w:rFonts w:ascii="Times New Roman" w:hAnsi="Times New Roman" w:cs="Times New Roman"/>
          <w:color w:val="auto"/>
        </w:rPr>
        <w:t xml:space="preserve"> on Seedling Growth of </w:t>
      </w:r>
      <w:r w:rsidR="0044541B" w:rsidRPr="009B732E">
        <w:rPr>
          <w:rStyle w:val="Emphasis"/>
          <w:rFonts w:ascii="Times New Roman" w:hAnsi="Times New Roman" w:cs="Times New Roman"/>
          <w:color w:val="auto"/>
        </w:rPr>
        <w:t>Vigna radiata</w:t>
      </w:r>
    </w:p>
    <w:tbl>
      <w:tblPr>
        <w:tblStyle w:val="TableGrid"/>
        <w:tblW w:w="0" w:type="auto"/>
        <w:tblLook w:val="04A0" w:firstRow="1" w:lastRow="0" w:firstColumn="1" w:lastColumn="0" w:noHBand="0" w:noVBand="1"/>
      </w:tblPr>
      <w:tblGrid>
        <w:gridCol w:w="2272"/>
        <w:gridCol w:w="1673"/>
        <w:gridCol w:w="1735"/>
        <w:gridCol w:w="1967"/>
        <w:gridCol w:w="1369"/>
      </w:tblGrid>
      <w:tr w:rsidR="0044541B" w:rsidRPr="009B732E" w14:paraId="161B5A50" w14:textId="77777777" w:rsidTr="0044541B">
        <w:tc>
          <w:tcPr>
            <w:tcW w:w="0" w:type="auto"/>
            <w:hideMark/>
          </w:tcPr>
          <w:p w14:paraId="06E452B7"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Treatment</w:t>
            </w:r>
          </w:p>
        </w:tc>
        <w:tc>
          <w:tcPr>
            <w:tcW w:w="0" w:type="auto"/>
            <w:hideMark/>
          </w:tcPr>
          <w:p w14:paraId="0045D9C7"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Root Length (cm)</w:t>
            </w:r>
          </w:p>
        </w:tc>
        <w:tc>
          <w:tcPr>
            <w:tcW w:w="0" w:type="auto"/>
            <w:hideMark/>
          </w:tcPr>
          <w:p w14:paraId="12C0499D"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Shoot Length (cm)</w:t>
            </w:r>
          </w:p>
        </w:tc>
        <w:tc>
          <w:tcPr>
            <w:tcW w:w="0" w:type="auto"/>
            <w:hideMark/>
          </w:tcPr>
          <w:p w14:paraId="75D4C6DA"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Seedling Length (cm)</w:t>
            </w:r>
          </w:p>
        </w:tc>
        <w:tc>
          <w:tcPr>
            <w:tcW w:w="0" w:type="auto"/>
            <w:hideMark/>
          </w:tcPr>
          <w:p w14:paraId="7EDD97F4" w14:textId="77777777" w:rsidR="0044541B" w:rsidRPr="009B732E" w:rsidRDefault="0044541B">
            <w:pPr>
              <w:jc w:val="center"/>
              <w:rPr>
                <w:rFonts w:ascii="Times New Roman" w:hAnsi="Times New Roman" w:cs="Times New Roman"/>
                <w:b/>
                <w:bCs/>
                <w:sz w:val="24"/>
                <w:szCs w:val="24"/>
              </w:rPr>
            </w:pPr>
            <w:r w:rsidRPr="009B732E">
              <w:rPr>
                <w:rFonts w:ascii="Times New Roman" w:hAnsi="Times New Roman" w:cs="Times New Roman"/>
                <w:b/>
                <w:bCs/>
                <w:sz w:val="24"/>
                <w:szCs w:val="24"/>
              </w:rPr>
              <w:t>Vigour Index</w:t>
            </w:r>
          </w:p>
        </w:tc>
      </w:tr>
      <w:tr w:rsidR="0044541B" w:rsidRPr="009B732E" w14:paraId="0AC6AF1B" w14:textId="77777777" w:rsidTr="0044541B">
        <w:tc>
          <w:tcPr>
            <w:tcW w:w="0" w:type="auto"/>
            <w:hideMark/>
          </w:tcPr>
          <w:p w14:paraId="32646D7B"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T₁ Control</w:t>
            </w:r>
          </w:p>
        </w:tc>
        <w:tc>
          <w:tcPr>
            <w:tcW w:w="0" w:type="auto"/>
            <w:hideMark/>
          </w:tcPr>
          <w:p w14:paraId="51C8C6EC"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4.2 ± 0.1</w:t>
            </w:r>
          </w:p>
        </w:tc>
        <w:tc>
          <w:tcPr>
            <w:tcW w:w="0" w:type="auto"/>
            <w:hideMark/>
          </w:tcPr>
          <w:p w14:paraId="1E843144"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6.5 ± 0.2</w:t>
            </w:r>
          </w:p>
        </w:tc>
        <w:tc>
          <w:tcPr>
            <w:tcW w:w="0" w:type="auto"/>
            <w:hideMark/>
          </w:tcPr>
          <w:p w14:paraId="5062B5E6" w14:textId="77777777" w:rsidR="0044541B" w:rsidRPr="009B732E" w:rsidRDefault="0044541B" w:rsidP="00AB5E64">
            <w:pPr>
              <w:rPr>
                <w:rFonts w:ascii="Times New Roman" w:hAnsi="Times New Roman" w:cs="Times New Roman"/>
                <w:sz w:val="24"/>
                <w:szCs w:val="24"/>
              </w:rPr>
            </w:pPr>
            <w:r w:rsidRPr="009B732E">
              <w:rPr>
                <w:rFonts w:ascii="Times New Roman" w:hAnsi="Times New Roman" w:cs="Times New Roman"/>
                <w:sz w:val="24"/>
                <w:szCs w:val="24"/>
              </w:rPr>
              <w:t>1</w:t>
            </w:r>
            <w:r w:rsidR="00AB5E64" w:rsidRPr="009B732E">
              <w:rPr>
                <w:rFonts w:ascii="Times New Roman" w:hAnsi="Times New Roman" w:cs="Times New Roman"/>
                <w:sz w:val="24"/>
                <w:szCs w:val="24"/>
              </w:rPr>
              <w:t>1.7 ± 0.3</w:t>
            </w:r>
          </w:p>
        </w:tc>
        <w:tc>
          <w:tcPr>
            <w:tcW w:w="0" w:type="auto"/>
            <w:hideMark/>
          </w:tcPr>
          <w:p w14:paraId="75E91B3B"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8</w:t>
            </w:r>
            <w:r w:rsidR="0044541B" w:rsidRPr="009B732E">
              <w:rPr>
                <w:rFonts w:ascii="Times New Roman" w:hAnsi="Times New Roman" w:cs="Times New Roman"/>
                <w:sz w:val="24"/>
                <w:szCs w:val="24"/>
              </w:rPr>
              <w:t>14</w:t>
            </w:r>
          </w:p>
        </w:tc>
      </w:tr>
      <w:tr w:rsidR="0044541B" w:rsidRPr="009B732E" w14:paraId="29E68C0D" w14:textId="77777777" w:rsidTr="0044541B">
        <w:tc>
          <w:tcPr>
            <w:tcW w:w="0" w:type="auto"/>
            <w:hideMark/>
          </w:tcPr>
          <w:p w14:paraId="03385E47"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 xml:space="preserve">T₂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(25%)</w:t>
            </w:r>
          </w:p>
        </w:tc>
        <w:tc>
          <w:tcPr>
            <w:tcW w:w="0" w:type="auto"/>
            <w:hideMark/>
          </w:tcPr>
          <w:p w14:paraId="24857780"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5.8 ± 0.1</w:t>
            </w:r>
          </w:p>
        </w:tc>
        <w:tc>
          <w:tcPr>
            <w:tcW w:w="0" w:type="auto"/>
            <w:hideMark/>
          </w:tcPr>
          <w:p w14:paraId="2F463BB3"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8.2 ± 0.2</w:t>
            </w:r>
          </w:p>
        </w:tc>
        <w:tc>
          <w:tcPr>
            <w:tcW w:w="0" w:type="auto"/>
            <w:hideMark/>
          </w:tcPr>
          <w:p w14:paraId="346D1679"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15.0 ± 0.2</w:t>
            </w:r>
          </w:p>
        </w:tc>
        <w:tc>
          <w:tcPr>
            <w:tcW w:w="0" w:type="auto"/>
            <w:hideMark/>
          </w:tcPr>
          <w:p w14:paraId="5803EEA1"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11</w:t>
            </w:r>
            <w:r w:rsidR="0044541B" w:rsidRPr="009B732E">
              <w:rPr>
                <w:rFonts w:ascii="Times New Roman" w:hAnsi="Times New Roman" w:cs="Times New Roman"/>
                <w:sz w:val="24"/>
                <w:szCs w:val="24"/>
              </w:rPr>
              <w:t>96</w:t>
            </w:r>
          </w:p>
        </w:tc>
      </w:tr>
      <w:tr w:rsidR="0044541B" w:rsidRPr="009B732E" w14:paraId="2E3CD978" w14:textId="77777777" w:rsidTr="0044541B">
        <w:tc>
          <w:tcPr>
            <w:tcW w:w="0" w:type="auto"/>
            <w:hideMark/>
          </w:tcPr>
          <w:p w14:paraId="0C97A857"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lastRenderedPageBreak/>
              <w:t xml:space="preserve">T₃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(50%)</w:t>
            </w:r>
          </w:p>
        </w:tc>
        <w:tc>
          <w:tcPr>
            <w:tcW w:w="0" w:type="auto"/>
            <w:hideMark/>
          </w:tcPr>
          <w:p w14:paraId="3121CE60"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7.5 ± 0.5</w:t>
            </w:r>
          </w:p>
        </w:tc>
        <w:tc>
          <w:tcPr>
            <w:tcW w:w="0" w:type="auto"/>
            <w:hideMark/>
          </w:tcPr>
          <w:p w14:paraId="78F6F843" w14:textId="77777777" w:rsidR="0044541B" w:rsidRPr="009B732E" w:rsidRDefault="0044541B" w:rsidP="00AB5E64">
            <w:pPr>
              <w:rPr>
                <w:rFonts w:ascii="Times New Roman" w:hAnsi="Times New Roman" w:cs="Times New Roman"/>
                <w:sz w:val="24"/>
                <w:szCs w:val="24"/>
              </w:rPr>
            </w:pPr>
            <w:r w:rsidRPr="009B732E">
              <w:rPr>
                <w:rFonts w:ascii="Times New Roman" w:hAnsi="Times New Roman" w:cs="Times New Roman"/>
                <w:sz w:val="24"/>
                <w:szCs w:val="24"/>
              </w:rPr>
              <w:t>1</w:t>
            </w:r>
            <w:r w:rsidR="00AB5E64" w:rsidRPr="009B732E">
              <w:rPr>
                <w:rFonts w:ascii="Times New Roman" w:hAnsi="Times New Roman" w:cs="Times New Roman"/>
                <w:sz w:val="24"/>
                <w:szCs w:val="24"/>
              </w:rPr>
              <w:t>0.4 ± 0.6</w:t>
            </w:r>
          </w:p>
        </w:tc>
        <w:tc>
          <w:tcPr>
            <w:tcW w:w="0" w:type="auto"/>
            <w:hideMark/>
          </w:tcPr>
          <w:p w14:paraId="359F15CE" w14:textId="77777777" w:rsidR="0044541B" w:rsidRPr="009B732E" w:rsidRDefault="0044541B" w:rsidP="00AB5E64">
            <w:pPr>
              <w:rPr>
                <w:rFonts w:ascii="Times New Roman" w:hAnsi="Times New Roman" w:cs="Times New Roman"/>
                <w:sz w:val="24"/>
                <w:szCs w:val="24"/>
              </w:rPr>
            </w:pPr>
            <w:r w:rsidRPr="009B732E">
              <w:rPr>
                <w:rFonts w:ascii="Times New Roman" w:hAnsi="Times New Roman" w:cs="Times New Roman"/>
                <w:sz w:val="24"/>
                <w:szCs w:val="24"/>
              </w:rPr>
              <w:t>1</w:t>
            </w:r>
            <w:r w:rsidR="00AB5E64" w:rsidRPr="009B732E">
              <w:rPr>
                <w:rFonts w:ascii="Times New Roman" w:hAnsi="Times New Roman" w:cs="Times New Roman"/>
                <w:sz w:val="24"/>
                <w:szCs w:val="24"/>
              </w:rPr>
              <w:t>8.9 ± 0.4</w:t>
            </w:r>
          </w:p>
        </w:tc>
        <w:tc>
          <w:tcPr>
            <w:tcW w:w="0" w:type="auto"/>
            <w:hideMark/>
          </w:tcPr>
          <w:p w14:paraId="3314563B"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16</w:t>
            </w:r>
            <w:r w:rsidR="0044541B" w:rsidRPr="009B732E">
              <w:rPr>
                <w:rFonts w:ascii="Times New Roman" w:hAnsi="Times New Roman" w:cs="Times New Roman"/>
                <w:sz w:val="24"/>
                <w:szCs w:val="24"/>
              </w:rPr>
              <w:t>91</w:t>
            </w:r>
          </w:p>
        </w:tc>
      </w:tr>
      <w:tr w:rsidR="0044541B" w:rsidRPr="009B732E" w14:paraId="678F799D" w14:textId="77777777" w:rsidTr="0044541B">
        <w:tc>
          <w:tcPr>
            <w:tcW w:w="0" w:type="auto"/>
            <w:hideMark/>
          </w:tcPr>
          <w:p w14:paraId="6F6FA7BC"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 xml:space="preserve">T₄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(75%)</w:t>
            </w:r>
          </w:p>
        </w:tc>
        <w:tc>
          <w:tcPr>
            <w:tcW w:w="0" w:type="auto"/>
            <w:hideMark/>
          </w:tcPr>
          <w:p w14:paraId="2982BAA7" w14:textId="77777777" w:rsidR="0044541B" w:rsidRPr="009B732E" w:rsidRDefault="00AB5E64">
            <w:pPr>
              <w:rPr>
                <w:rFonts w:ascii="Times New Roman" w:hAnsi="Times New Roman" w:cs="Times New Roman"/>
                <w:sz w:val="24"/>
                <w:szCs w:val="24"/>
              </w:rPr>
            </w:pPr>
            <w:r w:rsidRPr="009B732E">
              <w:rPr>
                <w:rFonts w:ascii="Times New Roman" w:hAnsi="Times New Roman" w:cs="Times New Roman"/>
                <w:sz w:val="24"/>
                <w:szCs w:val="24"/>
              </w:rPr>
              <w:t>8</w:t>
            </w:r>
            <w:r w:rsidR="0044541B" w:rsidRPr="009B732E">
              <w:rPr>
                <w:rFonts w:ascii="Times New Roman" w:hAnsi="Times New Roman" w:cs="Times New Roman"/>
                <w:sz w:val="24"/>
                <w:szCs w:val="24"/>
              </w:rPr>
              <w:t>.6 ± 0.4</w:t>
            </w:r>
          </w:p>
        </w:tc>
        <w:tc>
          <w:tcPr>
            <w:tcW w:w="0" w:type="auto"/>
            <w:hideMark/>
          </w:tcPr>
          <w:p w14:paraId="173F6D1D" w14:textId="77777777" w:rsidR="0044541B" w:rsidRPr="009B732E" w:rsidRDefault="0044541B" w:rsidP="00AB5E64">
            <w:pPr>
              <w:rPr>
                <w:rFonts w:ascii="Times New Roman" w:hAnsi="Times New Roman" w:cs="Times New Roman"/>
                <w:sz w:val="24"/>
                <w:szCs w:val="24"/>
              </w:rPr>
            </w:pPr>
            <w:r w:rsidRPr="009B732E">
              <w:rPr>
                <w:rFonts w:ascii="Times New Roman" w:hAnsi="Times New Roman" w:cs="Times New Roman"/>
                <w:sz w:val="24"/>
                <w:szCs w:val="24"/>
              </w:rPr>
              <w:t>1</w:t>
            </w:r>
            <w:r w:rsidR="00AB5E64" w:rsidRPr="009B732E">
              <w:rPr>
                <w:rFonts w:ascii="Times New Roman" w:hAnsi="Times New Roman" w:cs="Times New Roman"/>
                <w:sz w:val="24"/>
                <w:szCs w:val="24"/>
              </w:rPr>
              <w:t>1</w:t>
            </w:r>
            <w:r w:rsidRPr="009B732E">
              <w:rPr>
                <w:rFonts w:ascii="Times New Roman" w:hAnsi="Times New Roman" w:cs="Times New Roman"/>
                <w:sz w:val="24"/>
                <w:szCs w:val="24"/>
              </w:rPr>
              <w:t>.5 ± 0.5</w:t>
            </w:r>
          </w:p>
        </w:tc>
        <w:tc>
          <w:tcPr>
            <w:tcW w:w="0" w:type="auto"/>
            <w:hideMark/>
          </w:tcPr>
          <w:p w14:paraId="7749C035" w14:textId="77777777" w:rsidR="0044541B" w:rsidRPr="009B732E" w:rsidRDefault="0044541B" w:rsidP="00AB5E64">
            <w:pPr>
              <w:rPr>
                <w:rFonts w:ascii="Times New Roman" w:hAnsi="Times New Roman" w:cs="Times New Roman"/>
                <w:sz w:val="24"/>
                <w:szCs w:val="24"/>
              </w:rPr>
            </w:pPr>
            <w:r w:rsidRPr="009B732E">
              <w:rPr>
                <w:rFonts w:ascii="Times New Roman" w:hAnsi="Times New Roman" w:cs="Times New Roman"/>
                <w:sz w:val="24"/>
                <w:szCs w:val="24"/>
              </w:rPr>
              <w:t>2</w:t>
            </w:r>
            <w:r w:rsidR="00AB5E64" w:rsidRPr="009B732E">
              <w:rPr>
                <w:rFonts w:ascii="Times New Roman" w:hAnsi="Times New Roman" w:cs="Times New Roman"/>
                <w:sz w:val="24"/>
                <w:szCs w:val="24"/>
              </w:rPr>
              <w:t>0</w:t>
            </w:r>
            <w:r w:rsidRPr="009B732E">
              <w:rPr>
                <w:rFonts w:ascii="Times New Roman" w:hAnsi="Times New Roman" w:cs="Times New Roman"/>
                <w:sz w:val="24"/>
                <w:szCs w:val="24"/>
              </w:rPr>
              <w:t>.1 ± 0.6</w:t>
            </w:r>
          </w:p>
        </w:tc>
        <w:tc>
          <w:tcPr>
            <w:tcW w:w="0" w:type="auto"/>
            <w:hideMark/>
          </w:tcPr>
          <w:p w14:paraId="635FA6D1" w14:textId="77777777" w:rsidR="0044541B" w:rsidRPr="009B732E" w:rsidRDefault="0044541B" w:rsidP="00AB5E64">
            <w:pPr>
              <w:rPr>
                <w:rFonts w:ascii="Times New Roman" w:hAnsi="Times New Roman" w:cs="Times New Roman"/>
                <w:sz w:val="24"/>
                <w:szCs w:val="24"/>
              </w:rPr>
            </w:pPr>
            <w:r w:rsidRPr="009B732E">
              <w:rPr>
                <w:rFonts w:ascii="Times New Roman" w:hAnsi="Times New Roman" w:cs="Times New Roman"/>
                <w:sz w:val="24"/>
                <w:szCs w:val="24"/>
              </w:rPr>
              <w:t>21</w:t>
            </w:r>
            <w:r w:rsidR="00AB5E64" w:rsidRPr="009B732E">
              <w:rPr>
                <w:rFonts w:ascii="Times New Roman" w:hAnsi="Times New Roman" w:cs="Times New Roman"/>
                <w:sz w:val="24"/>
                <w:szCs w:val="24"/>
              </w:rPr>
              <w:t>32</w:t>
            </w:r>
          </w:p>
        </w:tc>
      </w:tr>
      <w:tr w:rsidR="0044541B" w:rsidRPr="009B732E" w14:paraId="58728BF2" w14:textId="77777777" w:rsidTr="0044541B">
        <w:tc>
          <w:tcPr>
            <w:tcW w:w="0" w:type="auto"/>
            <w:hideMark/>
          </w:tcPr>
          <w:p w14:paraId="06396623"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T₅ Vermicompost (10%)</w:t>
            </w:r>
          </w:p>
        </w:tc>
        <w:tc>
          <w:tcPr>
            <w:tcW w:w="0" w:type="auto"/>
            <w:hideMark/>
          </w:tcPr>
          <w:p w14:paraId="631007FB" w14:textId="77777777" w:rsidR="0044541B" w:rsidRPr="009B732E" w:rsidRDefault="00D421F3" w:rsidP="00D421F3">
            <w:pPr>
              <w:rPr>
                <w:rFonts w:ascii="Times New Roman" w:hAnsi="Times New Roman" w:cs="Times New Roman"/>
                <w:sz w:val="24"/>
                <w:szCs w:val="24"/>
              </w:rPr>
            </w:pPr>
            <w:r w:rsidRPr="009B732E">
              <w:rPr>
                <w:rFonts w:ascii="Times New Roman" w:hAnsi="Times New Roman" w:cs="Times New Roman"/>
                <w:sz w:val="24"/>
                <w:szCs w:val="24"/>
              </w:rPr>
              <w:t>7</w:t>
            </w:r>
            <w:r w:rsidR="0044541B" w:rsidRPr="009B732E">
              <w:rPr>
                <w:rFonts w:ascii="Times New Roman" w:hAnsi="Times New Roman" w:cs="Times New Roman"/>
                <w:sz w:val="24"/>
                <w:szCs w:val="24"/>
              </w:rPr>
              <w:t>.</w:t>
            </w:r>
            <w:r w:rsidRPr="009B732E">
              <w:rPr>
                <w:rFonts w:ascii="Times New Roman" w:hAnsi="Times New Roman" w:cs="Times New Roman"/>
                <w:sz w:val="24"/>
                <w:szCs w:val="24"/>
              </w:rPr>
              <w:t>9</w:t>
            </w:r>
            <w:r w:rsidR="0044541B" w:rsidRPr="009B732E">
              <w:rPr>
                <w:rFonts w:ascii="Times New Roman" w:hAnsi="Times New Roman" w:cs="Times New Roman"/>
                <w:sz w:val="24"/>
                <w:szCs w:val="24"/>
              </w:rPr>
              <w:t xml:space="preserve"> ± 0.3</w:t>
            </w:r>
          </w:p>
        </w:tc>
        <w:tc>
          <w:tcPr>
            <w:tcW w:w="0" w:type="auto"/>
            <w:hideMark/>
          </w:tcPr>
          <w:p w14:paraId="790F1C05" w14:textId="77777777" w:rsidR="0044541B" w:rsidRPr="009B732E" w:rsidRDefault="00D421F3">
            <w:pPr>
              <w:rPr>
                <w:rFonts w:ascii="Times New Roman" w:hAnsi="Times New Roman" w:cs="Times New Roman"/>
                <w:sz w:val="24"/>
                <w:szCs w:val="24"/>
              </w:rPr>
            </w:pPr>
            <w:r w:rsidRPr="009B732E">
              <w:rPr>
                <w:rFonts w:ascii="Times New Roman" w:hAnsi="Times New Roman" w:cs="Times New Roman"/>
                <w:sz w:val="24"/>
                <w:szCs w:val="24"/>
              </w:rPr>
              <w:t>9</w:t>
            </w:r>
            <w:r w:rsidR="0044541B" w:rsidRPr="009B732E">
              <w:rPr>
                <w:rFonts w:ascii="Times New Roman" w:hAnsi="Times New Roman" w:cs="Times New Roman"/>
                <w:sz w:val="24"/>
                <w:szCs w:val="24"/>
              </w:rPr>
              <w:t>.9 ± 0.4</w:t>
            </w:r>
          </w:p>
        </w:tc>
        <w:tc>
          <w:tcPr>
            <w:tcW w:w="0" w:type="auto"/>
            <w:hideMark/>
          </w:tcPr>
          <w:p w14:paraId="53B2E4F9" w14:textId="77777777" w:rsidR="0044541B" w:rsidRPr="009B732E" w:rsidRDefault="0044541B" w:rsidP="00D421F3">
            <w:pPr>
              <w:rPr>
                <w:rFonts w:ascii="Times New Roman" w:hAnsi="Times New Roman" w:cs="Times New Roman"/>
                <w:sz w:val="24"/>
                <w:szCs w:val="24"/>
              </w:rPr>
            </w:pPr>
            <w:r w:rsidRPr="009B732E">
              <w:rPr>
                <w:rFonts w:ascii="Times New Roman" w:hAnsi="Times New Roman" w:cs="Times New Roman"/>
                <w:sz w:val="24"/>
                <w:szCs w:val="24"/>
              </w:rPr>
              <w:t>1</w:t>
            </w:r>
            <w:r w:rsidR="00D421F3" w:rsidRPr="009B732E">
              <w:rPr>
                <w:rFonts w:ascii="Times New Roman" w:hAnsi="Times New Roman" w:cs="Times New Roman"/>
                <w:sz w:val="24"/>
                <w:szCs w:val="24"/>
              </w:rPr>
              <w:t>8</w:t>
            </w:r>
            <w:r w:rsidRPr="009B732E">
              <w:rPr>
                <w:rFonts w:ascii="Times New Roman" w:hAnsi="Times New Roman" w:cs="Times New Roman"/>
                <w:sz w:val="24"/>
                <w:szCs w:val="24"/>
              </w:rPr>
              <w:t>.0 ± 0.</w:t>
            </w:r>
            <w:r w:rsidR="00D421F3" w:rsidRPr="009B732E">
              <w:rPr>
                <w:rFonts w:ascii="Times New Roman" w:hAnsi="Times New Roman" w:cs="Times New Roman"/>
                <w:sz w:val="24"/>
                <w:szCs w:val="24"/>
              </w:rPr>
              <w:t>1</w:t>
            </w:r>
          </w:p>
        </w:tc>
        <w:tc>
          <w:tcPr>
            <w:tcW w:w="0" w:type="auto"/>
            <w:hideMark/>
          </w:tcPr>
          <w:p w14:paraId="110719B9" w14:textId="77777777" w:rsidR="0044541B" w:rsidRPr="009B732E" w:rsidRDefault="00D421F3">
            <w:pPr>
              <w:rPr>
                <w:rFonts w:ascii="Times New Roman" w:hAnsi="Times New Roman" w:cs="Times New Roman"/>
                <w:sz w:val="24"/>
                <w:szCs w:val="24"/>
              </w:rPr>
            </w:pPr>
            <w:r w:rsidRPr="009B732E">
              <w:rPr>
                <w:rFonts w:ascii="Times New Roman" w:hAnsi="Times New Roman" w:cs="Times New Roman"/>
                <w:sz w:val="24"/>
                <w:szCs w:val="24"/>
              </w:rPr>
              <w:t>15</w:t>
            </w:r>
            <w:r w:rsidR="0044541B" w:rsidRPr="009B732E">
              <w:rPr>
                <w:rFonts w:ascii="Times New Roman" w:hAnsi="Times New Roman" w:cs="Times New Roman"/>
                <w:sz w:val="24"/>
                <w:szCs w:val="24"/>
              </w:rPr>
              <w:t>72</w:t>
            </w:r>
          </w:p>
        </w:tc>
      </w:tr>
      <w:tr w:rsidR="0044541B" w:rsidRPr="009B732E" w14:paraId="0DD82FCC" w14:textId="77777777" w:rsidTr="0044541B">
        <w:tc>
          <w:tcPr>
            <w:tcW w:w="0" w:type="auto"/>
            <w:hideMark/>
          </w:tcPr>
          <w:p w14:paraId="3D6FB687" w14:textId="77777777" w:rsidR="0044541B" w:rsidRPr="009B732E" w:rsidRDefault="0044541B">
            <w:pPr>
              <w:rPr>
                <w:rFonts w:ascii="Times New Roman" w:hAnsi="Times New Roman" w:cs="Times New Roman"/>
                <w:sz w:val="24"/>
                <w:szCs w:val="24"/>
              </w:rPr>
            </w:pPr>
            <w:r w:rsidRPr="009B732E">
              <w:rPr>
                <w:rFonts w:ascii="Times New Roman" w:hAnsi="Times New Roman" w:cs="Times New Roman"/>
                <w:sz w:val="24"/>
                <w:szCs w:val="24"/>
              </w:rPr>
              <w:t>T₆ Vermicompost (20%)</w:t>
            </w:r>
          </w:p>
        </w:tc>
        <w:tc>
          <w:tcPr>
            <w:tcW w:w="0" w:type="auto"/>
            <w:hideMark/>
          </w:tcPr>
          <w:p w14:paraId="01BA3D4D" w14:textId="77777777" w:rsidR="0044541B" w:rsidRPr="009B732E" w:rsidRDefault="00D421F3">
            <w:pPr>
              <w:rPr>
                <w:rFonts w:ascii="Times New Roman" w:hAnsi="Times New Roman" w:cs="Times New Roman"/>
                <w:sz w:val="24"/>
                <w:szCs w:val="24"/>
              </w:rPr>
            </w:pPr>
            <w:r w:rsidRPr="009B732E">
              <w:rPr>
                <w:rFonts w:ascii="Times New Roman" w:hAnsi="Times New Roman" w:cs="Times New Roman"/>
                <w:sz w:val="24"/>
                <w:szCs w:val="24"/>
              </w:rPr>
              <w:t>9</w:t>
            </w:r>
            <w:r w:rsidR="0044541B" w:rsidRPr="009B732E">
              <w:rPr>
                <w:rFonts w:ascii="Times New Roman" w:hAnsi="Times New Roman" w:cs="Times New Roman"/>
                <w:sz w:val="24"/>
                <w:szCs w:val="24"/>
              </w:rPr>
              <w:t>.2 ± 0.4</w:t>
            </w:r>
          </w:p>
        </w:tc>
        <w:tc>
          <w:tcPr>
            <w:tcW w:w="0" w:type="auto"/>
            <w:hideMark/>
          </w:tcPr>
          <w:p w14:paraId="60CE67CC" w14:textId="77777777" w:rsidR="0044541B" w:rsidRPr="009B732E" w:rsidRDefault="0044541B" w:rsidP="00D421F3">
            <w:pPr>
              <w:rPr>
                <w:rFonts w:ascii="Times New Roman" w:hAnsi="Times New Roman" w:cs="Times New Roman"/>
                <w:sz w:val="24"/>
                <w:szCs w:val="24"/>
              </w:rPr>
            </w:pPr>
            <w:r w:rsidRPr="009B732E">
              <w:rPr>
                <w:rFonts w:ascii="Times New Roman" w:hAnsi="Times New Roman" w:cs="Times New Roman"/>
                <w:sz w:val="24"/>
                <w:szCs w:val="24"/>
              </w:rPr>
              <w:t>1</w:t>
            </w:r>
            <w:r w:rsidR="00D421F3" w:rsidRPr="009B732E">
              <w:rPr>
                <w:rFonts w:ascii="Times New Roman" w:hAnsi="Times New Roman" w:cs="Times New Roman"/>
                <w:sz w:val="24"/>
                <w:szCs w:val="24"/>
              </w:rPr>
              <w:t>2</w:t>
            </w:r>
            <w:r w:rsidRPr="009B732E">
              <w:rPr>
                <w:rFonts w:ascii="Times New Roman" w:hAnsi="Times New Roman" w:cs="Times New Roman"/>
                <w:sz w:val="24"/>
                <w:szCs w:val="24"/>
              </w:rPr>
              <w:t>.2 ± 0.5</w:t>
            </w:r>
          </w:p>
        </w:tc>
        <w:tc>
          <w:tcPr>
            <w:tcW w:w="0" w:type="auto"/>
            <w:hideMark/>
          </w:tcPr>
          <w:p w14:paraId="6970D91F" w14:textId="77777777" w:rsidR="0044541B" w:rsidRPr="009B732E" w:rsidRDefault="00D421F3" w:rsidP="00D421F3">
            <w:pPr>
              <w:rPr>
                <w:rFonts w:ascii="Times New Roman" w:hAnsi="Times New Roman" w:cs="Times New Roman"/>
                <w:sz w:val="24"/>
                <w:szCs w:val="24"/>
              </w:rPr>
            </w:pPr>
            <w:r w:rsidRPr="009B732E">
              <w:rPr>
                <w:rFonts w:ascii="Times New Roman" w:hAnsi="Times New Roman" w:cs="Times New Roman"/>
                <w:sz w:val="24"/>
                <w:szCs w:val="24"/>
              </w:rPr>
              <w:t>22.4 ± 0.7</w:t>
            </w:r>
          </w:p>
        </w:tc>
        <w:tc>
          <w:tcPr>
            <w:tcW w:w="0" w:type="auto"/>
            <w:hideMark/>
          </w:tcPr>
          <w:p w14:paraId="29466D34" w14:textId="77777777" w:rsidR="0044541B" w:rsidRPr="009B732E" w:rsidRDefault="0044541B" w:rsidP="00D421F3">
            <w:pPr>
              <w:rPr>
                <w:rFonts w:ascii="Times New Roman" w:hAnsi="Times New Roman" w:cs="Times New Roman"/>
                <w:sz w:val="24"/>
                <w:szCs w:val="24"/>
              </w:rPr>
            </w:pPr>
            <w:r w:rsidRPr="009B732E">
              <w:rPr>
                <w:rFonts w:ascii="Times New Roman" w:hAnsi="Times New Roman" w:cs="Times New Roman"/>
                <w:sz w:val="24"/>
                <w:szCs w:val="24"/>
              </w:rPr>
              <w:t>22</w:t>
            </w:r>
            <w:r w:rsidR="00D421F3" w:rsidRPr="009B732E">
              <w:rPr>
                <w:rFonts w:ascii="Times New Roman" w:hAnsi="Times New Roman" w:cs="Times New Roman"/>
                <w:sz w:val="24"/>
                <w:szCs w:val="24"/>
              </w:rPr>
              <w:t>1</w:t>
            </w:r>
            <w:r w:rsidRPr="009B732E">
              <w:rPr>
                <w:rFonts w:ascii="Times New Roman" w:hAnsi="Times New Roman" w:cs="Times New Roman"/>
                <w:sz w:val="24"/>
                <w:szCs w:val="24"/>
              </w:rPr>
              <w:t>0</w:t>
            </w:r>
          </w:p>
        </w:tc>
      </w:tr>
    </w:tbl>
    <w:p w14:paraId="118CE2B5" w14:textId="7BF38FC5" w:rsidR="008F10D5" w:rsidRPr="009B732E" w:rsidRDefault="008F10D5" w:rsidP="008F10D5">
      <w:pPr>
        <w:pStyle w:val="NormalWeb"/>
        <w:ind w:firstLine="720"/>
        <w:jc w:val="both"/>
        <w:rPr>
          <w:bCs/>
        </w:rPr>
      </w:pPr>
      <w:r w:rsidRPr="009B732E">
        <w:rPr>
          <w:bCs/>
        </w:rPr>
        <w:t xml:space="preserve">The improved germination and seedling growth observed in Coriandrum sativum and Vigna radiata following </w:t>
      </w:r>
      <w:proofErr w:type="spellStart"/>
      <w:r w:rsidRPr="009B732E">
        <w:rPr>
          <w:bCs/>
        </w:rPr>
        <w:t>vermicompost</w:t>
      </w:r>
      <w:proofErr w:type="spellEnd"/>
      <w:r w:rsidRPr="009B732E">
        <w:rPr>
          <w:bCs/>
        </w:rPr>
        <w:t xml:space="preserve"> and </w:t>
      </w:r>
      <w:proofErr w:type="spellStart"/>
      <w:r w:rsidRPr="009B732E">
        <w:rPr>
          <w:bCs/>
        </w:rPr>
        <w:t>vermiwash</w:t>
      </w:r>
      <w:proofErr w:type="spellEnd"/>
      <w:r w:rsidRPr="009B732E">
        <w:rPr>
          <w:bCs/>
        </w:rPr>
        <w:t xml:space="preserve"> application may be attributed to the combined effects of enhanced nutrient availability, beneficial microbial activity, and the presence of plant growth-promoting substances. Vermicompost provides essential macro- and micronutrients, while </w:t>
      </w:r>
      <w:proofErr w:type="spellStart"/>
      <w:r w:rsidRPr="009B732E">
        <w:rPr>
          <w:bCs/>
        </w:rPr>
        <w:t>vermiwash</w:t>
      </w:r>
      <w:proofErr w:type="spellEnd"/>
      <w:r w:rsidRPr="009B732E">
        <w:rPr>
          <w:bCs/>
        </w:rPr>
        <w:t xml:space="preserve"> contains soluble nutrients, enzymes, vitamins, and naturally occurring phytohormones such as </w:t>
      </w:r>
      <w:proofErr w:type="spellStart"/>
      <w:r w:rsidRPr="009B732E">
        <w:rPr>
          <w:bCs/>
        </w:rPr>
        <w:t>auxins</w:t>
      </w:r>
      <w:proofErr w:type="spellEnd"/>
      <w:r w:rsidRPr="009B732E">
        <w:rPr>
          <w:bCs/>
        </w:rPr>
        <w:t xml:space="preserve">, gibberellins, and </w:t>
      </w:r>
      <w:proofErr w:type="spellStart"/>
      <w:r w:rsidRPr="009B732E">
        <w:rPr>
          <w:bCs/>
        </w:rPr>
        <w:t>cytokinins</w:t>
      </w:r>
      <w:proofErr w:type="spellEnd"/>
      <w:r w:rsidRPr="009B732E">
        <w:rPr>
          <w:bCs/>
        </w:rPr>
        <w:t xml:space="preserve"> that stimulate seed germination and seedling development. The superior performance of the 20% </w:t>
      </w:r>
      <w:proofErr w:type="spellStart"/>
      <w:r w:rsidRPr="009B732E">
        <w:rPr>
          <w:bCs/>
        </w:rPr>
        <w:t>vermicompost</w:t>
      </w:r>
      <w:proofErr w:type="spellEnd"/>
      <w:r w:rsidRPr="009B732E">
        <w:rPr>
          <w:bCs/>
        </w:rPr>
        <w:t xml:space="preserve"> and 75% </w:t>
      </w:r>
      <w:proofErr w:type="spellStart"/>
      <w:r w:rsidRPr="009B732E">
        <w:rPr>
          <w:bCs/>
        </w:rPr>
        <w:t>vermiwash</w:t>
      </w:r>
      <w:proofErr w:type="spellEnd"/>
      <w:r w:rsidRPr="009B732E">
        <w:rPr>
          <w:bCs/>
        </w:rPr>
        <w:t xml:space="preserve"> treatments suggests that these amendments create favourable conditions for root and shoot growth, resulting in higher vigour indices. These findings support the use of vermicompost-derived products as sustainable </w:t>
      </w:r>
      <w:proofErr w:type="spellStart"/>
      <w:r w:rsidRPr="009B732E">
        <w:rPr>
          <w:bCs/>
        </w:rPr>
        <w:t>biostimulants</w:t>
      </w:r>
      <w:proofErr w:type="spellEnd"/>
      <w:r w:rsidRPr="009B732E">
        <w:rPr>
          <w:bCs/>
        </w:rPr>
        <w:t xml:space="preserve"> for improving crop establishment and reducing dependence on synthetic fertilizers.</w:t>
      </w:r>
    </w:p>
    <w:p w14:paraId="39AE58A9" w14:textId="6126335A" w:rsidR="0044541B" w:rsidRPr="009B732E" w:rsidRDefault="004E7A87" w:rsidP="00E77AA9">
      <w:pPr>
        <w:pStyle w:val="NormalWeb"/>
        <w:jc w:val="both"/>
        <w:rPr>
          <w:b/>
        </w:rPr>
      </w:pPr>
      <w:r w:rsidRPr="009B732E">
        <w:rPr>
          <w:b/>
        </w:rPr>
        <w:t>Conclusion</w:t>
      </w:r>
    </w:p>
    <w:p w14:paraId="708C2408" w14:textId="760676D7" w:rsidR="006675B0" w:rsidRPr="009B732E" w:rsidRDefault="006675B0" w:rsidP="00413CD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B732E">
        <w:rPr>
          <w:rFonts w:ascii="Times New Roman" w:eastAsia="Times New Roman" w:hAnsi="Times New Roman" w:cs="Times New Roman"/>
          <w:sz w:val="24"/>
          <w:szCs w:val="24"/>
          <w:lang w:eastAsia="en-IN"/>
        </w:rPr>
        <w:t xml:space="preserve">     </w:t>
      </w:r>
      <w:r w:rsidR="008F10D5" w:rsidRPr="009B732E">
        <w:rPr>
          <w:rFonts w:ascii="Times New Roman" w:eastAsia="Times New Roman" w:hAnsi="Times New Roman" w:cs="Times New Roman"/>
          <w:sz w:val="24"/>
          <w:szCs w:val="24"/>
          <w:lang w:eastAsia="en-IN"/>
        </w:rPr>
        <w:t xml:space="preserve">The present study demonstrated that </w:t>
      </w:r>
      <w:proofErr w:type="spellStart"/>
      <w:r w:rsidR="008F10D5" w:rsidRPr="009B732E">
        <w:rPr>
          <w:rFonts w:ascii="Times New Roman" w:eastAsia="Times New Roman" w:hAnsi="Times New Roman" w:cs="Times New Roman"/>
          <w:sz w:val="24"/>
          <w:szCs w:val="24"/>
          <w:lang w:eastAsia="en-IN"/>
        </w:rPr>
        <w:t>vermicompost</w:t>
      </w:r>
      <w:proofErr w:type="spellEnd"/>
      <w:r w:rsidR="008F10D5" w:rsidRPr="009B732E">
        <w:rPr>
          <w:rFonts w:ascii="Times New Roman" w:eastAsia="Times New Roman" w:hAnsi="Times New Roman" w:cs="Times New Roman"/>
          <w:sz w:val="24"/>
          <w:szCs w:val="24"/>
          <w:lang w:eastAsia="en-IN"/>
        </w:rPr>
        <w:t xml:space="preserve"> and </w:t>
      </w:r>
      <w:proofErr w:type="spellStart"/>
      <w:r w:rsidR="008F10D5" w:rsidRPr="009B732E">
        <w:rPr>
          <w:rFonts w:ascii="Times New Roman" w:eastAsia="Times New Roman" w:hAnsi="Times New Roman" w:cs="Times New Roman"/>
          <w:sz w:val="24"/>
          <w:szCs w:val="24"/>
          <w:lang w:eastAsia="en-IN"/>
        </w:rPr>
        <w:t>vermiwash</w:t>
      </w:r>
      <w:proofErr w:type="spellEnd"/>
      <w:r w:rsidR="008F10D5" w:rsidRPr="009B732E">
        <w:rPr>
          <w:rFonts w:ascii="Times New Roman" w:eastAsia="Times New Roman" w:hAnsi="Times New Roman" w:cs="Times New Roman"/>
          <w:sz w:val="24"/>
          <w:szCs w:val="24"/>
          <w:lang w:eastAsia="en-IN"/>
        </w:rPr>
        <w:t xml:space="preserve"> significantly enhanced seed germination, seedling growth, and vigour index in Coriandrum sativum and Vigna radiata compared with the control. Among the treatments, 20% </w:t>
      </w:r>
      <w:proofErr w:type="spellStart"/>
      <w:r w:rsidR="008F10D5" w:rsidRPr="009B732E">
        <w:rPr>
          <w:rFonts w:ascii="Times New Roman" w:eastAsia="Times New Roman" w:hAnsi="Times New Roman" w:cs="Times New Roman"/>
          <w:sz w:val="24"/>
          <w:szCs w:val="24"/>
          <w:lang w:eastAsia="en-IN"/>
        </w:rPr>
        <w:t>vermicompost</w:t>
      </w:r>
      <w:proofErr w:type="spellEnd"/>
      <w:r w:rsidR="008F10D5" w:rsidRPr="009B732E">
        <w:rPr>
          <w:rFonts w:ascii="Times New Roman" w:eastAsia="Times New Roman" w:hAnsi="Times New Roman" w:cs="Times New Roman"/>
          <w:sz w:val="24"/>
          <w:szCs w:val="24"/>
          <w:lang w:eastAsia="en-IN"/>
        </w:rPr>
        <w:t xml:space="preserve"> and 75% </w:t>
      </w:r>
      <w:proofErr w:type="spellStart"/>
      <w:r w:rsidR="008F10D5" w:rsidRPr="009B732E">
        <w:rPr>
          <w:rFonts w:ascii="Times New Roman" w:eastAsia="Times New Roman" w:hAnsi="Times New Roman" w:cs="Times New Roman"/>
          <w:sz w:val="24"/>
          <w:szCs w:val="24"/>
          <w:lang w:eastAsia="en-IN"/>
        </w:rPr>
        <w:t>vermiwash</w:t>
      </w:r>
      <w:proofErr w:type="spellEnd"/>
      <w:r w:rsidR="008F10D5" w:rsidRPr="009B732E">
        <w:rPr>
          <w:rFonts w:ascii="Times New Roman" w:eastAsia="Times New Roman" w:hAnsi="Times New Roman" w:cs="Times New Roman"/>
          <w:sz w:val="24"/>
          <w:szCs w:val="24"/>
          <w:lang w:eastAsia="en-IN"/>
        </w:rPr>
        <w:t xml:space="preserve"> produced the best results, indicating their effectiveness in promoting early plant establishment. The positive effects observed may be due to the availability of essential nutrients, beneficial microorganisms, humic substances, and plant growth-promoting hormones present in vermicompost-derived products. Therefore, </w:t>
      </w:r>
      <w:proofErr w:type="spellStart"/>
      <w:r w:rsidR="008F10D5" w:rsidRPr="009B732E">
        <w:rPr>
          <w:rFonts w:ascii="Times New Roman" w:eastAsia="Times New Roman" w:hAnsi="Times New Roman" w:cs="Times New Roman"/>
          <w:sz w:val="24"/>
          <w:szCs w:val="24"/>
          <w:lang w:eastAsia="en-IN"/>
        </w:rPr>
        <w:t>vermicompost</w:t>
      </w:r>
      <w:proofErr w:type="spellEnd"/>
      <w:r w:rsidR="008F10D5" w:rsidRPr="009B732E">
        <w:rPr>
          <w:rFonts w:ascii="Times New Roman" w:eastAsia="Times New Roman" w:hAnsi="Times New Roman" w:cs="Times New Roman"/>
          <w:sz w:val="24"/>
          <w:szCs w:val="24"/>
          <w:lang w:eastAsia="en-IN"/>
        </w:rPr>
        <w:t xml:space="preserve"> and </w:t>
      </w:r>
      <w:proofErr w:type="spellStart"/>
      <w:r w:rsidR="008F10D5" w:rsidRPr="009B732E">
        <w:rPr>
          <w:rFonts w:ascii="Times New Roman" w:eastAsia="Times New Roman" w:hAnsi="Times New Roman" w:cs="Times New Roman"/>
          <w:sz w:val="24"/>
          <w:szCs w:val="24"/>
          <w:lang w:eastAsia="en-IN"/>
        </w:rPr>
        <w:t>vermiwash</w:t>
      </w:r>
      <w:proofErr w:type="spellEnd"/>
      <w:r w:rsidR="008F10D5" w:rsidRPr="009B732E">
        <w:rPr>
          <w:rFonts w:ascii="Times New Roman" w:eastAsia="Times New Roman" w:hAnsi="Times New Roman" w:cs="Times New Roman"/>
          <w:sz w:val="24"/>
          <w:szCs w:val="24"/>
          <w:lang w:eastAsia="en-IN"/>
        </w:rPr>
        <w:t xml:space="preserve"> can be considered promising eco-friendly alternatives to synthetic fertilizers for sustainable crop production, although further field studies are required to evaluate their long-term agronomic and economic benefits.</w:t>
      </w:r>
    </w:p>
    <w:p w14:paraId="4B4F428A" w14:textId="77777777" w:rsidR="00682123" w:rsidRPr="009B732E" w:rsidRDefault="004E7A87" w:rsidP="00E77AA9">
      <w:pPr>
        <w:pStyle w:val="Heading3"/>
        <w:jc w:val="both"/>
        <w:rPr>
          <w:rFonts w:ascii="Times New Roman" w:hAnsi="Times New Roman" w:cs="Times New Roman"/>
          <w:b/>
          <w:color w:val="auto"/>
        </w:rPr>
      </w:pPr>
      <w:r w:rsidRPr="009B732E">
        <w:rPr>
          <w:rFonts w:ascii="Times New Roman" w:hAnsi="Times New Roman" w:cs="Times New Roman"/>
          <w:b/>
          <w:color w:val="auto"/>
        </w:rPr>
        <w:t xml:space="preserve">References </w:t>
      </w:r>
    </w:p>
    <w:p w14:paraId="3AB876E2"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Aira, M., Domínguez, J. and Edwards, C.A. (2022). Earthworm-mediated nutrient transformation and vermicompost quality. </w:t>
      </w:r>
      <w:r w:rsidRPr="009B732E">
        <w:rPr>
          <w:rStyle w:val="Emphasis"/>
          <w:rFonts w:ascii="Times New Roman" w:hAnsi="Times New Roman" w:cs="Times New Roman"/>
          <w:sz w:val="24"/>
          <w:szCs w:val="24"/>
        </w:rPr>
        <w:t>Agronomy</w:t>
      </w:r>
      <w:r w:rsidRPr="009B732E">
        <w:rPr>
          <w:rFonts w:ascii="Times New Roman" w:hAnsi="Times New Roman" w:cs="Times New Roman"/>
          <w:sz w:val="24"/>
          <w:szCs w:val="24"/>
        </w:rPr>
        <w:t xml:space="preserve">, 12, 1458. </w:t>
      </w:r>
    </w:p>
    <w:p w14:paraId="51B59245"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Ansari, A.A. and Sukhraj, K. (2010). Effect of </w:t>
      </w:r>
      <w:proofErr w:type="spellStart"/>
      <w:r w:rsidRPr="009B732E">
        <w:rPr>
          <w:rFonts w:ascii="Times New Roman" w:hAnsi="Times New Roman" w:cs="Times New Roman"/>
          <w:sz w:val="24"/>
          <w:szCs w:val="24"/>
        </w:rPr>
        <w:t>vermicompost</w:t>
      </w:r>
      <w:proofErr w:type="spellEnd"/>
      <w:r w:rsidRPr="009B732E">
        <w:rPr>
          <w:rFonts w:ascii="Times New Roman" w:hAnsi="Times New Roman" w:cs="Times New Roman"/>
          <w:sz w:val="24"/>
          <w:szCs w:val="24"/>
        </w:rPr>
        <w:t xml:space="preserve"> and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on the productivity of vegetable crops. </w:t>
      </w:r>
      <w:r w:rsidRPr="009B732E">
        <w:rPr>
          <w:rStyle w:val="Emphasis"/>
          <w:rFonts w:ascii="Times New Roman" w:hAnsi="Times New Roman" w:cs="Times New Roman"/>
          <w:sz w:val="24"/>
          <w:szCs w:val="24"/>
        </w:rPr>
        <w:t>World Journal of Agricultural Sciences</w:t>
      </w:r>
      <w:r w:rsidRPr="009B732E">
        <w:rPr>
          <w:rFonts w:ascii="Times New Roman" w:hAnsi="Times New Roman" w:cs="Times New Roman"/>
          <w:sz w:val="24"/>
          <w:szCs w:val="24"/>
        </w:rPr>
        <w:t>, 6(4), 299–304.</w:t>
      </w:r>
    </w:p>
    <w:p w14:paraId="3DB9368F"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9B732E">
        <w:rPr>
          <w:rFonts w:ascii="Times New Roman" w:hAnsi="Times New Roman" w:cs="Times New Roman"/>
          <w:sz w:val="24"/>
          <w:szCs w:val="24"/>
        </w:rPr>
        <w:t>Arancon</w:t>
      </w:r>
      <w:proofErr w:type="spellEnd"/>
      <w:r w:rsidRPr="009B732E">
        <w:rPr>
          <w:rFonts w:ascii="Times New Roman" w:hAnsi="Times New Roman" w:cs="Times New Roman"/>
          <w:sz w:val="24"/>
          <w:szCs w:val="24"/>
        </w:rPr>
        <w:t xml:space="preserve">, N.Q., Edwards, C.A., Dick, R. and Dick, L. (2010). Vermicompost tea production and plant growth impacts. </w:t>
      </w:r>
      <w:r w:rsidRPr="009B732E">
        <w:rPr>
          <w:rStyle w:val="Emphasis"/>
          <w:rFonts w:ascii="Times New Roman" w:hAnsi="Times New Roman" w:cs="Times New Roman"/>
          <w:sz w:val="24"/>
          <w:szCs w:val="24"/>
        </w:rPr>
        <w:t>Biocycle</w:t>
      </w:r>
      <w:r w:rsidRPr="009B732E">
        <w:rPr>
          <w:rFonts w:ascii="Times New Roman" w:hAnsi="Times New Roman" w:cs="Times New Roman"/>
          <w:sz w:val="24"/>
          <w:szCs w:val="24"/>
        </w:rPr>
        <w:t>, 51(6), 28–31.</w:t>
      </w:r>
    </w:p>
    <w:p w14:paraId="056EEF75" w14:textId="77777777" w:rsidR="00CA337A" w:rsidRPr="009B732E" w:rsidRDefault="00CA337A" w:rsidP="00561DDF">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Chauhan, H.K. and Joshi, S.C. (2014). Influence of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on growth and productivity of vegetable crops. International Journal of Current Microbiology and Applied Sciences, 3(5), 885–892.</w:t>
      </w:r>
    </w:p>
    <w:p w14:paraId="0BE51760"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Chauhan, H.K. and Joshi, S.C. (2016). Growth promotion effects of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on vegetable crops. </w:t>
      </w:r>
      <w:r w:rsidRPr="009B732E">
        <w:rPr>
          <w:rStyle w:val="Emphasis"/>
          <w:rFonts w:ascii="Times New Roman" w:hAnsi="Times New Roman" w:cs="Times New Roman"/>
          <w:sz w:val="24"/>
          <w:szCs w:val="24"/>
        </w:rPr>
        <w:t>International Journal of Current Microbiology and Applied Sciences</w:t>
      </w:r>
      <w:r w:rsidRPr="009B732E">
        <w:rPr>
          <w:rFonts w:ascii="Times New Roman" w:hAnsi="Times New Roman" w:cs="Times New Roman"/>
          <w:sz w:val="24"/>
          <w:szCs w:val="24"/>
        </w:rPr>
        <w:t>, 5(2), 510–516.</w:t>
      </w:r>
    </w:p>
    <w:p w14:paraId="6EBE765E" w14:textId="77777777" w:rsidR="00CA337A" w:rsidRPr="009B732E" w:rsidRDefault="00CA337A" w:rsidP="00E219C2">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Edwards, C.A., </w:t>
      </w:r>
      <w:proofErr w:type="spellStart"/>
      <w:r w:rsidRPr="009B732E">
        <w:rPr>
          <w:rFonts w:ascii="Times New Roman" w:hAnsi="Times New Roman" w:cs="Times New Roman"/>
          <w:sz w:val="24"/>
          <w:szCs w:val="24"/>
        </w:rPr>
        <w:t>Arancon</w:t>
      </w:r>
      <w:proofErr w:type="spellEnd"/>
      <w:r w:rsidRPr="009B732E">
        <w:rPr>
          <w:rFonts w:ascii="Times New Roman" w:hAnsi="Times New Roman" w:cs="Times New Roman"/>
          <w:sz w:val="24"/>
          <w:szCs w:val="24"/>
        </w:rPr>
        <w:t>, N.Q. and Sherman, R. (2010). Vermiculture Technology: Earthworms, Organic Wastes, and Environmental Management. CRC Press, Boca Raton, Florida.</w:t>
      </w:r>
    </w:p>
    <w:p w14:paraId="1BCFF2B4"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lastRenderedPageBreak/>
        <w:t xml:space="preserve">Kumar, S., Verma, V. and Mishra, A. (2024). </w:t>
      </w:r>
      <w:proofErr w:type="spellStart"/>
      <w:r w:rsidRPr="009B732E">
        <w:rPr>
          <w:rFonts w:ascii="Times New Roman" w:hAnsi="Times New Roman" w:cs="Times New Roman"/>
          <w:sz w:val="24"/>
          <w:szCs w:val="24"/>
        </w:rPr>
        <w:t>Biostimulatory</w:t>
      </w:r>
      <w:proofErr w:type="spellEnd"/>
      <w:r w:rsidRPr="009B732E">
        <w:rPr>
          <w:rFonts w:ascii="Times New Roman" w:hAnsi="Times New Roman" w:cs="Times New Roman"/>
          <w:sz w:val="24"/>
          <w:szCs w:val="24"/>
        </w:rPr>
        <w:t xml:space="preserve"> effects of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on germination, growth and yield of horticultural crops. </w:t>
      </w:r>
      <w:r w:rsidRPr="009B732E">
        <w:rPr>
          <w:rStyle w:val="Emphasis"/>
          <w:rFonts w:ascii="Times New Roman" w:hAnsi="Times New Roman" w:cs="Times New Roman"/>
          <w:sz w:val="24"/>
          <w:szCs w:val="24"/>
        </w:rPr>
        <w:t>Scientific Reports</w:t>
      </w:r>
      <w:r w:rsidRPr="009B732E">
        <w:rPr>
          <w:rFonts w:ascii="Times New Roman" w:hAnsi="Times New Roman" w:cs="Times New Roman"/>
          <w:sz w:val="24"/>
          <w:szCs w:val="24"/>
        </w:rPr>
        <w:t xml:space="preserve">, 14, 11256. </w:t>
      </w:r>
    </w:p>
    <w:p w14:paraId="139EB54A" w14:textId="77777777" w:rsidR="00CA337A" w:rsidRPr="009B732E" w:rsidRDefault="00CA337A" w:rsidP="00E111C4">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Lim, S.L., Lee, L.H. and Wu, T.Y. (2019). Sustainability of using composting and vermicomposting technologies for organic solid waste biotransformation: Recent overview, greenhouse gases emissions and economic analysis. Journal of Cleaner Production, 111, 262–278.</w:t>
      </w:r>
    </w:p>
    <w:p w14:paraId="4A9D9FD0" w14:textId="77777777" w:rsidR="00CA337A" w:rsidRPr="009B732E" w:rsidRDefault="00CA337A" w:rsidP="00561DDF">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Nath, G. and Singh, K. (2012). Effect of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on germination and growth of crop plants. Journal of Central European Agriculture, 13(1), 242–252.</w:t>
      </w:r>
    </w:p>
    <w:p w14:paraId="1C08D6CA"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Nath, G. and Singh, K. (2015). Effect of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of different </w:t>
      </w:r>
      <w:proofErr w:type="spellStart"/>
      <w:r w:rsidRPr="009B732E">
        <w:rPr>
          <w:rFonts w:ascii="Times New Roman" w:hAnsi="Times New Roman" w:cs="Times New Roman"/>
          <w:sz w:val="24"/>
          <w:szCs w:val="24"/>
        </w:rPr>
        <w:t>vermicomposts</w:t>
      </w:r>
      <w:proofErr w:type="spellEnd"/>
      <w:r w:rsidRPr="009B732E">
        <w:rPr>
          <w:rFonts w:ascii="Times New Roman" w:hAnsi="Times New Roman" w:cs="Times New Roman"/>
          <w:sz w:val="24"/>
          <w:szCs w:val="24"/>
        </w:rPr>
        <w:t xml:space="preserve"> on the kharif crops. </w:t>
      </w:r>
      <w:r w:rsidRPr="009B732E">
        <w:rPr>
          <w:rStyle w:val="Emphasis"/>
          <w:rFonts w:ascii="Times New Roman" w:hAnsi="Times New Roman" w:cs="Times New Roman"/>
          <w:sz w:val="24"/>
          <w:szCs w:val="24"/>
        </w:rPr>
        <w:t>Journal of Central European Agriculture</w:t>
      </w:r>
      <w:r w:rsidRPr="009B732E">
        <w:rPr>
          <w:rFonts w:ascii="Times New Roman" w:hAnsi="Times New Roman" w:cs="Times New Roman"/>
          <w:sz w:val="24"/>
          <w:szCs w:val="24"/>
        </w:rPr>
        <w:t>, 16(2), 38–47.</w:t>
      </w:r>
    </w:p>
    <w:p w14:paraId="1A24D043"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Singh, R., Kumar, P. and Sharma, A. (2022). Effect of vermicompost on seed germination and seedling growth of vegetable crops. </w:t>
      </w:r>
      <w:r w:rsidRPr="009B732E">
        <w:rPr>
          <w:rStyle w:val="Emphasis"/>
          <w:rFonts w:ascii="Times New Roman" w:hAnsi="Times New Roman" w:cs="Times New Roman"/>
          <w:sz w:val="24"/>
          <w:szCs w:val="24"/>
        </w:rPr>
        <w:t>International Journal of Recycling of Organic Waste in Agriculture</w:t>
      </w:r>
      <w:r w:rsidRPr="009B732E">
        <w:rPr>
          <w:rFonts w:ascii="Times New Roman" w:hAnsi="Times New Roman" w:cs="Times New Roman"/>
          <w:sz w:val="24"/>
          <w:szCs w:val="24"/>
        </w:rPr>
        <w:t xml:space="preserve">, 11, 321–330. </w:t>
      </w:r>
    </w:p>
    <w:p w14:paraId="11565BC1"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Sinha, R.K., Agarwal, S. and Chauhan, K. (2021). Vermiculture technology for sustainable agriculture. </w:t>
      </w:r>
      <w:r w:rsidRPr="009B732E">
        <w:rPr>
          <w:rStyle w:val="Emphasis"/>
          <w:rFonts w:ascii="Times New Roman" w:hAnsi="Times New Roman" w:cs="Times New Roman"/>
          <w:sz w:val="24"/>
          <w:szCs w:val="24"/>
        </w:rPr>
        <w:t>Environmental Reviews</w:t>
      </w:r>
      <w:r w:rsidRPr="009B732E">
        <w:rPr>
          <w:rFonts w:ascii="Times New Roman" w:hAnsi="Times New Roman" w:cs="Times New Roman"/>
          <w:sz w:val="24"/>
          <w:szCs w:val="24"/>
        </w:rPr>
        <w:t xml:space="preserve">, 29, 1–15. </w:t>
      </w:r>
    </w:p>
    <w:p w14:paraId="390AC48B"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r w:rsidRPr="009B732E">
        <w:rPr>
          <w:rFonts w:ascii="Times New Roman" w:hAnsi="Times New Roman" w:cs="Times New Roman"/>
          <w:sz w:val="24"/>
          <w:szCs w:val="24"/>
        </w:rPr>
        <w:t xml:space="preserve">Suleiman, H., Ahmad, M. and Ibrahim, A. (2023). Nutrient composition and agronomic benefits of vermicompost in sustainable crop production. </w:t>
      </w:r>
      <w:r w:rsidRPr="009B732E">
        <w:rPr>
          <w:rStyle w:val="Emphasis"/>
          <w:rFonts w:ascii="Times New Roman" w:hAnsi="Times New Roman" w:cs="Times New Roman"/>
          <w:sz w:val="24"/>
          <w:szCs w:val="24"/>
        </w:rPr>
        <w:t>Sustainability</w:t>
      </w:r>
      <w:r w:rsidRPr="009B732E">
        <w:rPr>
          <w:rFonts w:ascii="Times New Roman" w:hAnsi="Times New Roman" w:cs="Times New Roman"/>
          <w:sz w:val="24"/>
          <w:szCs w:val="24"/>
        </w:rPr>
        <w:t xml:space="preserve">, 15, 11842. </w:t>
      </w:r>
    </w:p>
    <w:p w14:paraId="6D22E2A2" w14:textId="77777777" w:rsidR="00CA337A" w:rsidRPr="009B732E" w:rsidRDefault="00CA337A" w:rsidP="00E77AA9">
      <w:pPr>
        <w:numPr>
          <w:ilvl w:val="0"/>
          <w:numId w:val="1"/>
        </w:numPr>
        <w:spacing w:before="100" w:beforeAutospacing="1" w:after="100" w:afterAutospacing="1" w:line="240" w:lineRule="auto"/>
        <w:jc w:val="both"/>
        <w:rPr>
          <w:rFonts w:ascii="Times New Roman" w:hAnsi="Times New Roman" w:cs="Times New Roman"/>
          <w:sz w:val="24"/>
          <w:szCs w:val="24"/>
        </w:rPr>
      </w:pPr>
      <w:proofErr w:type="spellStart"/>
      <w:r w:rsidRPr="009B732E">
        <w:rPr>
          <w:rFonts w:ascii="Times New Roman" w:hAnsi="Times New Roman" w:cs="Times New Roman"/>
          <w:sz w:val="24"/>
          <w:szCs w:val="24"/>
        </w:rPr>
        <w:t>Yatoo</w:t>
      </w:r>
      <w:proofErr w:type="spellEnd"/>
      <w:r w:rsidRPr="009B732E">
        <w:rPr>
          <w:rFonts w:ascii="Times New Roman" w:hAnsi="Times New Roman" w:cs="Times New Roman"/>
          <w:sz w:val="24"/>
          <w:szCs w:val="24"/>
        </w:rPr>
        <w:t xml:space="preserve">, A.M., Ali, M.N., Baba, Z.A. and Hassan, B. (2021). </w:t>
      </w:r>
      <w:proofErr w:type="spellStart"/>
      <w:r w:rsidRPr="009B732E">
        <w:rPr>
          <w:rFonts w:ascii="Times New Roman" w:hAnsi="Times New Roman" w:cs="Times New Roman"/>
          <w:sz w:val="24"/>
          <w:szCs w:val="24"/>
        </w:rPr>
        <w:t>Vermicompost</w:t>
      </w:r>
      <w:proofErr w:type="spellEnd"/>
      <w:r w:rsidRPr="009B732E">
        <w:rPr>
          <w:rFonts w:ascii="Times New Roman" w:hAnsi="Times New Roman" w:cs="Times New Roman"/>
          <w:sz w:val="24"/>
          <w:szCs w:val="24"/>
        </w:rPr>
        <w:t xml:space="preserve"> and </w:t>
      </w:r>
      <w:proofErr w:type="spellStart"/>
      <w:r w:rsidRPr="009B732E">
        <w:rPr>
          <w:rFonts w:ascii="Times New Roman" w:hAnsi="Times New Roman" w:cs="Times New Roman"/>
          <w:sz w:val="24"/>
          <w:szCs w:val="24"/>
        </w:rPr>
        <w:t>vermiwash</w:t>
      </w:r>
      <w:proofErr w:type="spellEnd"/>
      <w:r w:rsidRPr="009B732E">
        <w:rPr>
          <w:rFonts w:ascii="Times New Roman" w:hAnsi="Times New Roman" w:cs="Times New Roman"/>
          <w:sz w:val="24"/>
          <w:szCs w:val="24"/>
        </w:rPr>
        <w:t xml:space="preserve">: Sustainable approaches for crop production. </w:t>
      </w:r>
      <w:r w:rsidRPr="009B732E">
        <w:rPr>
          <w:rStyle w:val="Emphasis"/>
          <w:rFonts w:ascii="Times New Roman" w:hAnsi="Times New Roman" w:cs="Times New Roman"/>
          <w:sz w:val="24"/>
          <w:szCs w:val="24"/>
        </w:rPr>
        <w:t>Journal of Cleaner Production</w:t>
      </w:r>
      <w:r w:rsidRPr="009B732E">
        <w:rPr>
          <w:rFonts w:ascii="Times New Roman" w:hAnsi="Times New Roman" w:cs="Times New Roman"/>
          <w:sz w:val="24"/>
          <w:szCs w:val="24"/>
        </w:rPr>
        <w:t xml:space="preserve">, 312, 127742. </w:t>
      </w:r>
    </w:p>
    <w:p w14:paraId="6E5D4E65" w14:textId="77777777" w:rsidR="009133EC" w:rsidRPr="00052847" w:rsidRDefault="009133EC" w:rsidP="009133EC">
      <w:pPr>
        <w:spacing w:before="100" w:beforeAutospacing="1" w:after="100" w:afterAutospacing="1" w:line="240" w:lineRule="auto"/>
        <w:ind w:left="720"/>
        <w:jc w:val="both"/>
        <w:rPr>
          <w:rFonts w:ascii="Times New Roman" w:hAnsi="Times New Roman" w:cs="Times New Roman"/>
          <w:sz w:val="24"/>
          <w:szCs w:val="24"/>
        </w:rPr>
      </w:pPr>
    </w:p>
    <w:p w14:paraId="0C95681D" w14:textId="77777777" w:rsidR="00682123" w:rsidRPr="00682123" w:rsidRDefault="00682123" w:rsidP="00E77AA9">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AC7D7E8" w14:textId="77777777" w:rsidR="00DF0EC8" w:rsidRPr="00DA7F23" w:rsidRDefault="00DF0EC8" w:rsidP="00E77AA9">
      <w:pPr>
        <w:jc w:val="both"/>
        <w:rPr>
          <w:rFonts w:ascii="Times New Roman" w:hAnsi="Times New Roman" w:cs="Times New Roman"/>
          <w:b/>
          <w:sz w:val="24"/>
          <w:szCs w:val="24"/>
        </w:rPr>
      </w:pPr>
    </w:p>
    <w:sectPr w:rsidR="00DF0EC8" w:rsidRPr="00DA7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76BDC"/>
    <w:multiLevelType w:val="multilevel"/>
    <w:tmpl w:val="2B7E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BC"/>
    <w:rsid w:val="00052847"/>
    <w:rsid w:val="000C731E"/>
    <w:rsid w:val="000D5C88"/>
    <w:rsid w:val="000E6E22"/>
    <w:rsid w:val="00112CBB"/>
    <w:rsid w:val="00126870"/>
    <w:rsid w:val="0013384B"/>
    <w:rsid w:val="00174930"/>
    <w:rsid w:val="001F55F1"/>
    <w:rsid w:val="00203B9A"/>
    <w:rsid w:val="00250F18"/>
    <w:rsid w:val="00286F11"/>
    <w:rsid w:val="00287897"/>
    <w:rsid w:val="002F0255"/>
    <w:rsid w:val="00316DCE"/>
    <w:rsid w:val="003A70A6"/>
    <w:rsid w:val="00403289"/>
    <w:rsid w:val="00404F58"/>
    <w:rsid w:val="00413CDD"/>
    <w:rsid w:val="00413D30"/>
    <w:rsid w:val="00437255"/>
    <w:rsid w:val="0044541B"/>
    <w:rsid w:val="00483C9B"/>
    <w:rsid w:val="004E7A87"/>
    <w:rsid w:val="004F3B64"/>
    <w:rsid w:val="00500817"/>
    <w:rsid w:val="00505E7C"/>
    <w:rsid w:val="00536E42"/>
    <w:rsid w:val="00547C82"/>
    <w:rsid w:val="0055500C"/>
    <w:rsid w:val="00561DDF"/>
    <w:rsid w:val="005972EC"/>
    <w:rsid w:val="005978ED"/>
    <w:rsid w:val="005B358D"/>
    <w:rsid w:val="00650C85"/>
    <w:rsid w:val="006675B0"/>
    <w:rsid w:val="00681ACD"/>
    <w:rsid w:val="00682123"/>
    <w:rsid w:val="006E50C0"/>
    <w:rsid w:val="006F0A65"/>
    <w:rsid w:val="00741868"/>
    <w:rsid w:val="007856BC"/>
    <w:rsid w:val="007A203E"/>
    <w:rsid w:val="007F6A75"/>
    <w:rsid w:val="007F74C2"/>
    <w:rsid w:val="00802AC4"/>
    <w:rsid w:val="00825823"/>
    <w:rsid w:val="008811ED"/>
    <w:rsid w:val="0089370E"/>
    <w:rsid w:val="008A2F8A"/>
    <w:rsid w:val="008C602D"/>
    <w:rsid w:val="008E47FF"/>
    <w:rsid w:val="008F10D5"/>
    <w:rsid w:val="00903235"/>
    <w:rsid w:val="009133EC"/>
    <w:rsid w:val="00982A9F"/>
    <w:rsid w:val="009955C7"/>
    <w:rsid w:val="009B732E"/>
    <w:rsid w:val="009B755B"/>
    <w:rsid w:val="009E7281"/>
    <w:rsid w:val="009F0712"/>
    <w:rsid w:val="00A02B7C"/>
    <w:rsid w:val="00AA642C"/>
    <w:rsid w:val="00AB0EFE"/>
    <w:rsid w:val="00AB5E64"/>
    <w:rsid w:val="00B32763"/>
    <w:rsid w:val="00B35A3D"/>
    <w:rsid w:val="00C319BC"/>
    <w:rsid w:val="00C348C3"/>
    <w:rsid w:val="00C778DA"/>
    <w:rsid w:val="00C86603"/>
    <w:rsid w:val="00CA337A"/>
    <w:rsid w:val="00CA402E"/>
    <w:rsid w:val="00CA7958"/>
    <w:rsid w:val="00CB22D8"/>
    <w:rsid w:val="00CE4C7E"/>
    <w:rsid w:val="00D421F3"/>
    <w:rsid w:val="00D53DB1"/>
    <w:rsid w:val="00D66EE9"/>
    <w:rsid w:val="00D7428B"/>
    <w:rsid w:val="00D84992"/>
    <w:rsid w:val="00DA2481"/>
    <w:rsid w:val="00DA7F23"/>
    <w:rsid w:val="00DF0EC8"/>
    <w:rsid w:val="00E111C4"/>
    <w:rsid w:val="00E219C2"/>
    <w:rsid w:val="00E3239D"/>
    <w:rsid w:val="00E77AA9"/>
    <w:rsid w:val="00EF5D7E"/>
    <w:rsid w:val="00F04B37"/>
    <w:rsid w:val="00F22F9E"/>
    <w:rsid w:val="00F2704B"/>
    <w:rsid w:val="00F700BC"/>
    <w:rsid w:val="00F819F5"/>
    <w:rsid w:val="00F838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5956"/>
  <w15:chartTrackingRefBased/>
  <w15:docId w15:val="{B21B6F36-F31C-404D-A2C7-23996216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2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8212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6821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DF0EC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DF0E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68212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8212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68212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82123"/>
    <w:rPr>
      <w:i/>
      <w:iCs/>
    </w:rPr>
  </w:style>
  <w:style w:type="table" w:styleId="TableGrid">
    <w:name w:val="Table Grid"/>
    <w:basedOn w:val="TableNormal"/>
    <w:uiPriority w:val="39"/>
    <w:rsid w:val="00555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203E"/>
    <w:rPr>
      <w:color w:val="0563C1" w:themeColor="hyperlink"/>
      <w:u w:val="single"/>
    </w:rPr>
  </w:style>
  <w:style w:type="paragraph" w:styleId="Revision">
    <w:name w:val="Revision"/>
    <w:hidden/>
    <w:uiPriority w:val="99"/>
    <w:semiHidden/>
    <w:rsid w:val="000E6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921">
      <w:bodyDiv w:val="1"/>
      <w:marLeft w:val="0"/>
      <w:marRight w:val="0"/>
      <w:marTop w:val="0"/>
      <w:marBottom w:val="0"/>
      <w:divBdr>
        <w:top w:val="none" w:sz="0" w:space="0" w:color="auto"/>
        <w:left w:val="none" w:sz="0" w:space="0" w:color="auto"/>
        <w:bottom w:val="none" w:sz="0" w:space="0" w:color="auto"/>
        <w:right w:val="none" w:sz="0" w:space="0" w:color="auto"/>
      </w:divBdr>
    </w:div>
    <w:div w:id="202182491">
      <w:bodyDiv w:val="1"/>
      <w:marLeft w:val="0"/>
      <w:marRight w:val="0"/>
      <w:marTop w:val="0"/>
      <w:marBottom w:val="0"/>
      <w:divBdr>
        <w:top w:val="none" w:sz="0" w:space="0" w:color="auto"/>
        <w:left w:val="none" w:sz="0" w:space="0" w:color="auto"/>
        <w:bottom w:val="none" w:sz="0" w:space="0" w:color="auto"/>
        <w:right w:val="none" w:sz="0" w:space="0" w:color="auto"/>
      </w:divBdr>
    </w:div>
    <w:div w:id="306477685">
      <w:bodyDiv w:val="1"/>
      <w:marLeft w:val="0"/>
      <w:marRight w:val="0"/>
      <w:marTop w:val="0"/>
      <w:marBottom w:val="0"/>
      <w:divBdr>
        <w:top w:val="none" w:sz="0" w:space="0" w:color="auto"/>
        <w:left w:val="none" w:sz="0" w:space="0" w:color="auto"/>
        <w:bottom w:val="none" w:sz="0" w:space="0" w:color="auto"/>
        <w:right w:val="none" w:sz="0" w:space="0" w:color="auto"/>
      </w:divBdr>
      <w:divsChild>
        <w:div w:id="2061200736">
          <w:marLeft w:val="0"/>
          <w:marRight w:val="0"/>
          <w:marTop w:val="0"/>
          <w:marBottom w:val="0"/>
          <w:divBdr>
            <w:top w:val="none" w:sz="0" w:space="0" w:color="auto"/>
            <w:left w:val="none" w:sz="0" w:space="0" w:color="auto"/>
            <w:bottom w:val="none" w:sz="0" w:space="0" w:color="auto"/>
            <w:right w:val="none" w:sz="0" w:space="0" w:color="auto"/>
          </w:divBdr>
          <w:divsChild>
            <w:div w:id="9044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3080">
      <w:bodyDiv w:val="1"/>
      <w:marLeft w:val="0"/>
      <w:marRight w:val="0"/>
      <w:marTop w:val="0"/>
      <w:marBottom w:val="0"/>
      <w:divBdr>
        <w:top w:val="none" w:sz="0" w:space="0" w:color="auto"/>
        <w:left w:val="none" w:sz="0" w:space="0" w:color="auto"/>
        <w:bottom w:val="none" w:sz="0" w:space="0" w:color="auto"/>
        <w:right w:val="none" w:sz="0" w:space="0" w:color="auto"/>
      </w:divBdr>
    </w:div>
    <w:div w:id="352416946">
      <w:bodyDiv w:val="1"/>
      <w:marLeft w:val="0"/>
      <w:marRight w:val="0"/>
      <w:marTop w:val="0"/>
      <w:marBottom w:val="0"/>
      <w:divBdr>
        <w:top w:val="none" w:sz="0" w:space="0" w:color="auto"/>
        <w:left w:val="none" w:sz="0" w:space="0" w:color="auto"/>
        <w:bottom w:val="none" w:sz="0" w:space="0" w:color="auto"/>
        <w:right w:val="none" w:sz="0" w:space="0" w:color="auto"/>
      </w:divBdr>
    </w:div>
    <w:div w:id="610936299">
      <w:bodyDiv w:val="1"/>
      <w:marLeft w:val="0"/>
      <w:marRight w:val="0"/>
      <w:marTop w:val="0"/>
      <w:marBottom w:val="0"/>
      <w:divBdr>
        <w:top w:val="none" w:sz="0" w:space="0" w:color="auto"/>
        <w:left w:val="none" w:sz="0" w:space="0" w:color="auto"/>
        <w:bottom w:val="none" w:sz="0" w:space="0" w:color="auto"/>
        <w:right w:val="none" w:sz="0" w:space="0" w:color="auto"/>
      </w:divBdr>
    </w:div>
    <w:div w:id="657078896">
      <w:bodyDiv w:val="1"/>
      <w:marLeft w:val="0"/>
      <w:marRight w:val="0"/>
      <w:marTop w:val="0"/>
      <w:marBottom w:val="0"/>
      <w:divBdr>
        <w:top w:val="none" w:sz="0" w:space="0" w:color="auto"/>
        <w:left w:val="none" w:sz="0" w:space="0" w:color="auto"/>
        <w:bottom w:val="none" w:sz="0" w:space="0" w:color="auto"/>
        <w:right w:val="none" w:sz="0" w:space="0" w:color="auto"/>
      </w:divBdr>
    </w:div>
    <w:div w:id="839081836">
      <w:bodyDiv w:val="1"/>
      <w:marLeft w:val="0"/>
      <w:marRight w:val="0"/>
      <w:marTop w:val="0"/>
      <w:marBottom w:val="0"/>
      <w:divBdr>
        <w:top w:val="none" w:sz="0" w:space="0" w:color="auto"/>
        <w:left w:val="none" w:sz="0" w:space="0" w:color="auto"/>
        <w:bottom w:val="none" w:sz="0" w:space="0" w:color="auto"/>
        <w:right w:val="none" w:sz="0" w:space="0" w:color="auto"/>
      </w:divBdr>
    </w:div>
    <w:div w:id="1037243706">
      <w:bodyDiv w:val="1"/>
      <w:marLeft w:val="0"/>
      <w:marRight w:val="0"/>
      <w:marTop w:val="0"/>
      <w:marBottom w:val="0"/>
      <w:divBdr>
        <w:top w:val="none" w:sz="0" w:space="0" w:color="auto"/>
        <w:left w:val="none" w:sz="0" w:space="0" w:color="auto"/>
        <w:bottom w:val="none" w:sz="0" w:space="0" w:color="auto"/>
        <w:right w:val="none" w:sz="0" w:space="0" w:color="auto"/>
      </w:divBdr>
    </w:div>
    <w:div w:id="1113787377">
      <w:bodyDiv w:val="1"/>
      <w:marLeft w:val="0"/>
      <w:marRight w:val="0"/>
      <w:marTop w:val="0"/>
      <w:marBottom w:val="0"/>
      <w:divBdr>
        <w:top w:val="none" w:sz="0" w:space="0" w:color="auto"/>
        <w:left w:val="none" w:sz="0" w:space="0" w:color="auto"/>
        <w:bottom w:val="none" w:sz="0" w:space="0" w:color="auto"/>
        <w:right w:val="none" w:sz="0" w:space="0" w:color="auto"/>
      </w:divBdr>
      <w:divsChild>
        <w:div w:id="1981304879">
          <w:marLeft w:val="0"/>
          <w:marRight w:val="0"/>
          <w:marTop w:val="0"/>
          <w:marBottom w:val="0"/>
          <w:divBdr>
            <w:top w:val="none" w:sz="0" w:space="0" w:color="auto"/>
            <w:left w:val="none" w:sz="0" w:space="0" w:color="auto"/>
            <w:bottom w:val="none" w:sz="0" w:space="0" w:color="auto"/>
            <w:right w:val="none" w:sz="0" w:space="0" w:color="auto"/>
          </w:divBdr>
          <w:divsChild>
            <w:div w:id="1488134626">
              <w:marLeft w:val="0"/>
              <w:marRight w:val="0"/>
              <w:marTop w:val="0"/>
              <w:marBottom w:val="0"/>
              <w:divBdr>
                <w:top w:val="none" w:sz="0" w:space="0" w:color="auto"/>
                <w:left w:val="none" w:sz="0" w:space="0" w:color="auto"/>
                <w:bottom w:val="none" w:sz="0" w:space="0" w:color="auto"/>
                <w:right w:val="none" w:sz="0" w:space="0" w:color="auto"/>
              </w:divBdr>
              <w:divsChild>
                <w:div w:id="1392727078">
                  <w:marLeft w:val="0"/>
                  <w:marRight w:val="0"/>
                  <w:marTop w:val="0"/>
                  <w:marBottom w:val="0"/>
                  <w:divBdr>
                    <w:top w:val="none" w:sz="0" w:space="0" w:color="auto"/>
                    <w:left w:val="none" w:sz="0" w:space="0" w:color="auto"/>
                    <w:bottom w:val="none" w:sz="0" w:space="0" w:color="auto"/>
                    <w:right w:val="none" w:sz="0" w:space="0" w:color="auto"/>
                  </w:divBdr>
                  <w:divsChild>
                    <w:div w:id="1663506202">
                      <w:marLeft w:val="0"/>
                      <w:marRight w:val="0"/>
                      <w:marTop w:val="0"/>
                      <w:marBottom w:val="0"/>
                      <w:divBdr>
                        <w:top w:val="none" w:sz="0" w:space="0" w:color="auto"/>
                        <w:left w:val="none" w:sz="0" w:space="0" w:color="auto"/>
                        <w:bottom w:val="none" w:sz="0" w:space="0" w:color="auto"/>
                        <w:right w:val="none" w:sz="0" w:space="0" w:color="auto"/>
                      </w:divBdr>
                      <w:divsChild>
                        <w:div w:id="1773628199">
                          <w:marLeft w:val="0"/>
                          <w:marRight w:val="0"/>
                          <w:marTop w:val="0"/>
                          <w:marBottom w:val="0"/>
                          <w:divBdr>
                            <w:top w:val="none" w:sz="0" w:space="0" w:color="auto"/>
                            <w:left w:val="none" w:sz="0" w:space="0" w:color="auto"/>
                            <w:bottom w:val="none" w:sz="0" w:space="0" w:color="auto"/>
                            <w:right w:val="none" w:sz="0" w:space="0" w:color="auto"/>
                          </w:divBdr>
                          <w:divsChild>
                            <w:div w:id="1095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69797">
      <w:bodyDiv w:val="1"/>
      <w:marLeft w:val="0"/>
      <w:marRight w:val="0"/>
      <w:marTop w:val="0"/>
      <w:marBottom w:val="0"/>
      <w:divBdr>
        <w:top w:val="none" w:sz="0" w:space="0" w:color="auto"/>
        <w:left w:val="none" w:sz="0" w:space="0" w:color="auto"/>
        <w:bottom w:val="none" w:sz="0" w:space="0" w:color="auto"/>
        <w:right w:val="none" w:sz="0" w:space="0" w:color="auto"/>
      </w:divBdr>
    </w:div>
    <w:div w:id="1297955047">
      <w:bodyDiv w:val="1"/>
      <w:marLeft w:val="0"/>
      <w:marRight w:val="0"/>
      <w:marTop w:val="0"/>
      <w:marBottom w:val="0"/>
      <w:divBdr>
        <w:top w:val="none" w:sz="0" w:space="0" w:color="auto"/>
        <w:left w:val="none" w:sz="0" w:space="0" w:color="auto"/>
        <w:bottom w:val="none" w:sz="0" w:space="0" w:color="auto"/>
        <w:right w:val="none" w:sz="0" w:space="0" w:color="auto"/>
      </w:divBdr>
    </w:div>
    <w:div w:id="1390112931">
      <w:bodyDiv w:val="1"/>
      <w:marLeft w:val="0"/>
      <w:marRight w:val="0"/>
      <w:marTop w:val="0"/>
      <w:marBottom w:val="0"/>
      <w:divBdr>
        <w:top w:val="none" w:sz="0" w:space="0" w:color="auto"/>
        <w:left w:val="none" w:sz="0" w:space="0" w:color="auto"/>
        <w:bottom w:val="none" w:sz="0" w:space="0" w:color="auto"/>
        <w:right w:val="none" w:sz="0" w:space="0" w:color="auto"/>
      </w:divBdr>
      <w:divsChild>
        <w:div w:id="1122111238">
          <w:marLeft w:val="0"/>
          <w:marRight w:val="0"/>
          <w:marTop w:val="0"/>
          <w:marBottom w:val="0"/>
          <w:divBdr>
            <w:top w:val="none" w:sz="0" w:space="0" w:color="auto"/>
            <w:left w:val="none" w:sz="0" w:space="0" w:color="auto"/>
            <w:bottom w:val="none" w:sz="0" w:space="0" w:color="auto"/>
            <w:right w:val="none" w:sz="0" w:space="0" w:color="auto"/>
          </w:divBdr>
          <w:divsChild>
            <w:div w:id="4611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749">
      <w:bodyDiv w:val="1"/>
      <w:marLeft w:val="0"/>
      <w:marRight w:val="0"/>
      <w:marTop w:val="0"/>
      <w:marBottom w:val="0"/>
      <w:divBdr>
        <w:top w:val="none" w:sz="0" w:space="0" w:color="auto"/>
        <w:left w:val="none" w:sz="0" w:space="0" w:color="auto"/>
        <w:bottom w:val="none" w:sz="0" w:space="0" w:color="auto"/>
        <w:right w:val="none" w:sz="0" w:space="0" w:color="auto"/>
      </w:divBdr>
    </w:div>
    <w:div w:id="1748913461">
      <w:bodyDiv w:val="1"/>
      <w:marLeft w:val="0"/>
      <w:marRight w:val="0"/>
      <w:marTop w:val="0"/>
      <w:marBottom w:val="0"/>
      <w:divBdr>
        <w:top w:val="none" w:sz="0" w:space="0" w:color="auto"/>
        <w:left w:val="none" w:sz="0" w:space="0" w:color="auto"/>
        <w:bottom w:val="none" w:sz="0" w:space="0" w:color="auto"/>
        <w:right w:val="none" w:sz="0" w:space="0" w:color="auto"/>
      </w:divBdr>
      <w:divsChild>
        <w:div w:id="1619525865">
          <w:marLeft w:val="0"/>
          <w:marRight w:val="0"/>
          <w:marTop w:val="0"/>
          <w:marBottom w:val="0"/>
          <w:divBdr>
            <w:top w:val="none" w:sz="0" w:space="0" w:color="auto"/>
            <w:left w:val="none" w:sz="0" w:space="0" w:color="auto"/>
            <w:bottom w:val="none" w:sz="0" w:space="0" w:color="auto"/>
            <w:right w:val="none" w:sz="0" w:space="0" w:color="auto"/>
          </w:divBdr>
          <w:divsChild>
            <w:div w:id="9557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6062">
      <w:bodyDiv w:val="1"/>
      <w:marLeft w:val="0"/>
      <w:marRight w:val="0"/>
      <w:marTop w:val="0"/>
      <w:marBottom w:val="0"/>
      <w:divBdr>
        <w:top w:val="none" w:sz="0" w:space="0" w:color="auto"/>
        <w:left w:val="none" w:sz="0" w:space="0" w:color="auto"/>
        <w:bottom w:val="none" w:sz="0" w:space="0" w:color="auto"/>
        <w:right w:val="none" w:sz="0" w:space="0" w:color="auto"/>
      </w:divBdr>
      <w:divsChild>
        <w:div w:id="1508714228">
          <w:marLeft w:val="0"/>
          <w:marRight w:val="0"/>
          <w:marTop w:val="0"/>
          <w:marBottom w:val="0"/>
          <w:divBdr>
            <w:top w:val="none" w:sz="0" w:space="0" w:color="auto"/>
            <w:left w:val="none" w:sz="0" w:space="0" w:color="auto"/>
            <w:bottom w:val="none" w:sz="0" w:space="0" w:color="auto"/>
            <w:right w:val="none" w:sz="0" w:space="0" w:color="auto"/>
          </w:divBdr>
          <w:divsChild>
            <w:div w:id="1486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DEDA-57D5-4C3E-9475-E41D01A8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2026-06-06T13:12:00Z</dcterms:created>
  <dcterms:modified xsi:type="dcterms:W3CDTF">2026-06-06T13:12:00Z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8ac7326c-1ab1-4ac4-9ff2-6e34429b6b7f</vt:lpwstr>
  </property>
</Properties>
</file>