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8C766B" w14:textId="77777777" w:rsidR="00BD4D64" w:rsidRDefault="00BD4D64" w:rsidP="00BD4D64">
      <w:pPr>
        <w:rPr>
          <w:b/>
          <w:bCs/>
          <w:sz w:val="36"/>
          <w:szCs w:val="36"/>
        </w:rPr>
      </w:pPr>
      <w:r w:rsidRPr="00BD4D64">
        <w:rPr>
          <w:b/>
          <w:bCs/>
          <w:sz w:val="36"/>
          <w:szCs w:val="36"/>
        </w:rPr>
        <w:t>The Cognitive Singularity: Architecting a Unified AI-Backbone Ecosystem for Indian Education</w:t>
      </w:r>
    </w:p>
    <w:p w14:paraId="170D4759" w14:textId="77777777" w:rsidR="00BD4D64" w:rsidRPr="00BD4D64" w:rsidRDefault="00BD4D64" w:rsidP="00BD4D64">
      <w:pPr>
        <w:rPr>
          <w:b/>
          <w:bCs/>
          <w:sz w:val="36"/>
          <w:szCs w:val="36"/>
        </w:rPr>
      </w:pPr>
    </w:p>
    <w:p w14:paraId="084B7E32" w14:textId="24895574" w:rsidR="00270FBE" w:rsidRPr="00EF58AE" w:rsidRDefault="004723F4" w:rsidP="00270FBE">
      <w:r w:rsidRPr="004723F4">
        <w:rPr>
          <w:b/>
          <w:bCs/>
        </w:rPr>
        <w:t>Abstract</w:t>
      </w:r>
      <w:r w:rsidRPr="004723F4">
        <w:br/>
      </w:r>
      <w:r w:rsidRPr="004723F4">
        <w:br/>
      </w:r>
      <w:r w:rsidR="00270FBE" w:rsidRPr="00EF58AE">
        <w:t xml:space="preserve">The </w:t>
      </w:r>
      <w:r w:rsidR="00270FBE">
        <w:t>existing</w:t>
      </w:r>
      <w:r w:rsidR="00270FBE" w:rsidRPr="00EF58AE">
        <w:t xml:space="preserve"> Indian system of education with fixed syllabi and memorisation needs a paradigm shift. AI enhanced productivity in a global economy requires a seamless lifelong educational ecosystem embedded with AI. Here, we propose the “Cognitive Singularity Framework” (CSF) as a national unified AI backbone covering all learning aspects from primary school to professional development. The CSF seeks to democratise access, individualise the delivery of pedagogy, and equip Indian youth to lead an AI-centric future by integrating AI as a continuous and evolving presence in the student journey. We review the current status of AI in Indian education, identify key challenges in its implementation and suggest a systematic methodological framework to transform the ecosystem.</w:t>
      </w:r>
    </w:p>
    <w:p w14:paraId="3ACAAFDF" w14:textId="77777777" w:rsidR="00270FBE" w:rsidRPr="00EF58AE" w:rsidRDefault="004723F4" w:rsidP="00270FBE">
      <w:r w:rsidRPr="004723F4">
        <w:br/>
      </w:r>
      <w:r w:rsidRPr="004723F4">
        <w:br/>
      </w:r>
      <w:r w:rsidRPr="004723F4">
        <w:rPr>
          <w:b/>
          <w:bCs/>
        </w:rPr>
        <w:t>1. Introduction</w:t>
      </w:r>
      <w:r w:rsidRPr="004723F4">
        <w:t xml:space="preserve"> </w:t>
      </w:r>
      <w:r w:rsidRPr="004723F4">
        <w:br/>
      </w:r>
      <w:r w:rsidR="00270FBE" w:rsidRPr="00EF58AE">
        <w:t>AI is no longer a subject of experimentation, but is being embedded into the global architecture of education. AI has gone from local to supplemental to the cognitive infrastructure. In an increasingly automated world economy, models of fragmented learning disconnected from consumption of knowledge with ongoing assessment and practical application are becoming obsolete. The future of learning is one in which AI is both the subject of study and the tool of learning (Luckin et al., 2016; Siemens &amp; Long, 2011).</w:t>
      </w:r>
    </w:p>
    <w:p w14:paraId="0CC9CA98" w14:textId="77777777" w:rsidR="00270FBE" w:rsidRPr="00EF58AE" w:rsidRDefault="00270FBE" w:rsidP="00270FBE"/>
    <w:p w14:paraId="346DCEC2" w14:textId="77777777" w:rsidR="00270FBE" w:rsidRPr="00EF58AE" w:rsidRDefault="00270FBE" w:rsidP="00270FBE">
      <w:r w:rsidRPr="00EF58AE">
        <w:t xml:space="preserve">This needs a paradigm shift from isolated EdTech interventions to a holistic and pervasive intelligence layer which is a continuous digital life partner to the learner, observing, adapting and guiding the intellectual evolution of the learner from early childhood to advanced professional stages. Such change is theoretically grounded in the constructivist and </w:t>
      </w:r>
      <w:proofErr w:type="spellStart"/>
      <w:r w:rsidRPr="00EF58AE">
        <w:t>connectivist</w:t>
      </w:r>
      <w:proofErr w:type="spellEnd"/>
      <w:r w:rsidRPr="00EF58AE">
        <w:t xml:space="preserve"> traditions, and in current human-</w:t>
      </w:r>
      <w:proofErr w:type="spellStart"/>
      <w:r w:rsidRPr="00EF58AE">
        <w:t>centered</w:t>
      </w:r>
      <w:proofErr w:type="spellEnd"/>
      <w:r w:rsidRPr="00EF58AE">
        <w:t xml:space="preserve"> AI design principles (</w:t>
      </w:r>
      <w:proofErr w:type="spellStart"/>
      <w:r w:rsidRPr="00EF58AE">
        <w:t>Papert</w:t>
      </w:r>
      <w:proofErr w:type="spellEnd"/>
      <w:r w:rsidRPr="00EF58AE">
        <w:t>, 1980; Siemens &amp; Long, 2011).</w:t>
      </w:r>
    </w:p>
    <w:p w14:paraId="73A1C263" w14:textId="77777777" w:rsidR="00270FBE" w:rsidRPr="00EF58AE" w:rsidRDefault="00270FBE" w:rsidP="00270FBE"/>
    <w:p w14:paraId="1FAB4EF8" w14:textId="77777777" w:rsidR="00270FBE" w:rsidRPr="00EF58AE" w:rsidRDefault="00270FBE" w:rsidP="00270FBE">
      <w:r w:rsidRPr="00EF58AE">
        <w:t>It is both a formidable challenge and an extraordinary opportunity for India. India has a demographic dividend of over 250 million school going children (Sihag &amp; Vibha, 2024) which it can use to aggressively leap frog historic challenges on educational equity, teacher to student ratios and standardised rote learning. The National Education Policy (NEP) 2020 has highlighted the importance of computational thinking, leading to a mandate to incorporate AI as a fundamental subject from Class 3 forward by the academic year 2026–27 (Maddala, 2026). But using AI on an outdated curriculum is not good enough; the entire ecosystem has to be re-engineered (Luckin et al., 2016; Rose &amp; Meyer, 2002).</w:t>
      </w:r>
    </w:p>
    <w:p w14:paraId="0A015571" w14:textId="77777777" w:rsidR="00270FBE" w:rsidRPr="00EF58AE" w:rsidRDefault="00270FBE" w:rsidP="00270FBE"/>
    <w:p w14:paraId="70377F41" w14:textId="77777777" w:rsidR="00270FBE" w:rsidRPr="00EF58AE" w:rsidRDefault="00270FBE" w:rsidP="00270FBE">
      <w:r w:rsidRPr="00EF58AE">
        <w:t>We present the Cognitive Singularity Framework (CSF) in this paper. The CSF is exploring the idea of a national AI backbone, drawing inspiration from the success of India’s population-scale Digital Public Infrastructure (DPI) such as the India Stack (Ministry of Electronics and Information Technology, 2025; ASSOCHAM &amp; EY, 2025). The framework integrates administration, curriculum delivery, real-time assessment and practical simulation in a continuous cycle. The CSF handles routine desktop tasks and administrative overhead, so that human teachers can concentrate exclusively on empathetic mentoring and complex problem solving. This paper explores the architecture, lifecycle methodology and resilient public sector implementation strategies to deploy this centralised intelligence network across India’s diverse socio-economic landscape (ResearchGate Publications, 2026; Meenakshi &amp; Arul, 2025).</w:t>
      </w:r>
    </w:p>
    <w:p w14:paraId="61A79360" w14:textId="1C19CB17" w:rsidR="00BD4D64" w:rsidRPr="004723F4" w:rsidRDefault="00BD4D64" w:rsidP="00BD4D64"/>
    <w:p w14:paraId="292F9365" w14:textId="77777777" w:rsidR="00BD4D64" w:rsidRPr="00BD4D64" w:rsidRDefault="00BD4D64" w:rsidP="00BD4D64"/>
    <w:p w14:paraId="29716F49" w14:textId="65570386" w:rsidR="00BD4D64" w:rsidRPr="00BD4D64" w:rsidRDefault="00BD4D64" w:rsidP="00BD4D64"/>
    <w:p w14:paraId="7FC71B8F" w14:textId="77777777" w:rsidR="00BD4D64" w:rsidRPr="00BD4D64" w:rsidRDefault="00BD4D64" w:rsidP="00BD4D64">
      <w:pPr>
        <w:rPr>
          <w:b/>
          <w:bCs/>
        </w:rPr>
      </w:pPr>
      <w:r w:rsidRPr="00BD4D64">
        <w:rPr>
          <w:b/>
          <w:bCs/>
        </w:rPr>
        <w:t>2. Literature Review: The Evolution of AI in Indian Education</w:t>
      </w:r>
    </w:p>
    <w:p w14:paraId="462CEBB5" w14:textId="2B7D0FBE" w:rsidR="00270FBE" w:rsidRPr="00EF58AE" w:rsidRDefault="00270FBE" w:rsidP="00270FBE">
      <w:r w:rsidRPr="00EF58AE">
        <w:t>The recent literature points to a changing landscape of educational technology in India from decentralised pilot projects to institutional frameworks imposed by the state. In recent research and policy deployment I distil eight trajectories and embed them within broader academic debates in learning sciences and AI governance (IKF, 2026; Jha et al., 2025). The first thing</w:t>
      </w:r>
      <w:r>
        <w:t xml:space="preserve"> t</w:t>
      </w:r>
      <w:r w:rsidRPr="00EF58AE">
        <w:t xml:space="preserve">he early adoption and curricular mandates at the national level are now visible. The Ministry of Education’s decision to make AI and computational thinking a Class 3 mandatory is a landmark policy that signals a transition away from coding alone, towards logic synthesis, ethical thinking and prompt architecture (Maddala, 2026; </w:t>
      </w:r>
      <w:proofErr w:type="spellStart"/>
      <w:r w:rsidRPr="00EF58AE">
        <w:t>Papert</w:t>
      </w:r>
      <w:proofErr w:type="spellEnd"/>
      <w:r w:rsidRPr="00EF58AE">
        <w:t>, 1980). Second, there are already large-scale trials of governance and administrative automation: the Vidya Samiksha Kendra (VSK) command centres use machine learning to process data from over a million schools to predict dropouts and resource misallocations, showing the feasibility of centralised data backbones (ResearchGate Publications, 2026; Heffernan &amp; Heffernan, 2014). Thirdly, there is a clear strategic divide across states with some states focusing on infrastructure led lab creation while some states focusing on linguistic inclusivity and vernacular models, highlighting the importance of localised LLMs (Department of School &amp; Mass Education, Odisha, 2025; IKF, 2026). Fourth, institutions are moving from ad hoc tool adoption to full AI charters, with more reports stating that AI literacy should include the ability to audit algorithms for bias (IKF, 2026; Bender et al., 2021; Selbst &amp; Barocas, 2018). Fifth, the DPI model, as demonstrated in NDEAR, sees an AI backbone as a public good with open APIs for interoperability across districts and institutions (ASSOCHAM &amp; EY, 2025; Ministry of Electronics and Information Technology, 2025). Sixth, real limits to teacher bottom-up resistance. Micro-level research also reveals psychological and technical obstacles, with low digital literacy and fears of AI increasing the administrative workload, not reducing it (Meenakshi &amp; Arul, 2025; Selwyn, 2019). 7. Higher education is a platform for partnerships to scale specialised content and skills programs (Ministry of Skill Development and Entrepreneurship, 2025; Koller et al., 2013). Lastly, the digital and infrastructural divide poses a major challenge. National statistics indicate that many schools do not have access to computers and reliable internet, threatening equitable implementation (Maddala, 2026; Jha et al., 2025).</w:t>
      </w:r>
    </w:p>
    <w:p w14:paraId="3346CC99" w14:textId="2A10E612" w:rsidR="00BD4D64" w:rsidRDefault="00BD4D64" w:rsidP="00BD4D64"/>
    <w:p w14:paraId="733B54B0" w14:textId="77777777" w:rsidR="00270FBE" w:rsidRPr="00BD4D64" w:rsidRDefault="00270FBE" w:rsidP="00BD4D64"/>
    <w:p w14:paraId="3E23E7EB" w14:textId="77777777" w:rsidR="00BD4D64" w:rsidRPr="00BD4D64" w:rsidRDefault="00BD4D64" w:rsidP="00BD4D64">
      <w:pPr>
        <w:rPr>
          <w:b/>
          <w:bCs/>
        </w:rPr>
      </w:pPr>
      <w:r w:rsidRPr="00BD4D64">
        <w:rPr>
          <w:b/>
          <w:bCs/>
        </w:rPr>
        <w:t>3. The Cognitive Singularity Framework (CSF)</w:t>
      </w:r>
    </w:p>
    <w:p w14:paraId="4DEF5BDC" w14:textId="77777777" w:rsidR="00270FBE" w:rsidRPr="00EF58AE" w:rsidRDefault="00270FBE" w:rsidP="00270FBE">
      <w:r w:rsidRPr="00EF58AE">
        <w:t>The CSF is a structural transformation of traditional teaching. I see learning not as a set of separate moments—classes, tests, terms—but as a continuous flow of mental growth. The CSF is a continuous digital intelligence that interacts with the student daily and creates a multi-dimensional profile of strengths, attention patterns and creative leanings (Luckin et al., 2016; Siemens &amp; Long, 2011).</w:t>
      </w:r>
    </w:p>
    <w:p w14:paraId="72A3F8BC" w14:textId="77777777" w:rsidR="00270FBE" w:rsidRPr="00EF58AE" w:rsidRDefault="00270FBE" w:rsidP="00270FBE"/>
    <w:p w14:paraId="178A4121" w14:textId="77777777" w:rsidR="00270FBE" w:rsidRPr="00EF58AE" w:rsidRDefault="00270FBE" w:rsidP="00270FBE">
      <w:r w:rsidRPr="00EF58AE">
        <w:t xml:space="preserve">3.1.    Theoretical framework </w:t>
      </w:r>
    </w:p>
    <w:p w14:paraId="2DF15A25" w14:textId="77777777" w:rsidR="00270FBE" w:rsidRPr="00EF58AE" w:rsidRDefault="00270FBE" w:rsidP="00270FBE"/>
    <w:p w14:paraId="1F1BF80A" w14:textId="77777777" w:rsidR="00270FBE" w:rsidRPr="00EF58AE" w:rsidRDefault="00270FBE" w:rsidP="00270FBE">
      <w:r w:rsidRPr="00EF58AE">
        <w:t>We explicitly ground the CSF in several established frameworks to address reviewers’ concerns about theoretical foundations. The CSF’s focus on project-based learning and adversarial AI co-pilots that scaffold learners’ meaning-making and situated problem-solving is based on constructivism and social constructivism (</w:t>
      </w:r>
      <w:proofErr w:type="spellStart"/>
      <w:r w:rsidRPr="00EF58AE">
        <w:t>Papert</w:t>
      </w:r>
      <w:proofErr w:type="spellEnd"/>
      <w:r w:rsidRPr="00EF58AE">
        <w:t>, 1980; Luckin et al., 2016). The SIB’s interoperable application programming interfaces (APIs) and longitudinal profiles are grounded in the theory of connectivism, which suggests that knowledge is distributed across networks and needs to be curated and synthesised across institutional boundaries (Siemens &amp; Long, 2011; Luckin et al., 2016). Personalisation and augmentation of mentors is based on Self-</w:t>
      </w:r>
      <w:r w:rsidRPr="00EF58AE">
        <w:lastRenderedPageBreak/>
        <w:t xml:space="preserve">Determination Theory that suggests autonomy, competence and relatedness as the core motivators (Deci &amp; Ryan, 2000). The CSF follows a multimodal, accessibility-first approach to content development, guided by Universal Design for Learning. There are many ways to engage, represent and express (Rose &amp; Meyer, 2002) The CSF’s approach to continuous formative assessment is informed by learning analytics and assessment theory, and highlights the importance of triangulation of evidence, interpretability and fairness; algorithmic assessments are probabilistic inferences that require human-in-the-loop validation (Siemens &amp; Long, 2011; Heffernan &amp; Heffernan, 2014). Last, human-centred AI and participatory design principles require that teachers, students, parents and community stakeholders be involved in the specification, evaluation and governance of models (Selbst &amp; Barocas, 2018; Mittelstadt et al., 2016). These anchors provide a pedagogical rationale for design decisions in CSF and a hypothesis that can be empirically validated (Luckin et al., 2016; </w:t>
      </w:r>
      <w:proofErr w:type="spellStart"/>
      <w:r w:rsidRPr="00EF58AE">
        <w:t>Papert</w:t>
      </w:r>
      <w:proofErr w:type="spellEnd"/>
      <w:r w:rsidRPr="00EF58AE">
        <w:t>, 1980).</w:t>
      </w:r>
    </w:p>
    <w:p w14:paraId="0F074CC3" w14:textId="77777777" w:rsidR="00270FBE" w:rsidRPr="00EF58AE" w:rsidRDefault="00270FBE" w:rsidP="00270FBE"/>
    <w:p w14:paraId="26188000" w14:textId="77777777" w:rsidR="00270FBE" w:rsidRPr="00EF58AE" w:rsidRDefault="00270FBE" w:rsidP="00270FBE">
      <w:r w:rsidRPr="00EF58AE">
        <w:t>3.2.    Basic principles and design limitations</w:t>
      </w:r>
    </w:p>
    <w:p w14:paraId="14F34B75" w14:textId="77777777" w:rsidR="00270FBE" w:rsidRPr="00EF58AE" w:rsidRDefault="00270FBE" w:rsidP="00270FBE"/>
    <w:p w14:paraId="54A2779B" w14:textId="77777777" w:rsidR="00270FBE" w:rsidRPr="00EF58AE" w:rsidRDefault="00270FBE" w:rsidP="00270FBE">
      <w:r w:rsidRPr="00EF58AE">
        <w:t>I structure the CSF around key principles that focus on pedagogy, human oversight, interoperability, equity and accountability. Pedagogical primacy requires that all technology choices be evaluated for their educational impact; human-in-the-loop mechanisms provide human oversight and appeals processes for high-stakes decisions; interoperability and portability ensure that student cognitive profiles can be transported between institutions using standardised, privacy-preserving schemas; equity by design focuses resources, vernacular models, and offline-first architectures on historically underserved communities; and algorithmic accountability requires transparent model cards, audit trails, and independent oversight (Luckin et al., 2016; Selbst &amp; Barocas, 2018; Ministry of Electronics and Information Technology, 2025; ASSOCHAM &amp; EY, 2025; Jha et al., 2025; Department of School &amp; Mass Education, Odisha, 2025; Mittelstadt et al., 2016; O’Neil, 2016).</w:t>
      </w:r>
    </w:p>
    <w:p w14:paraId="77D366AC" w14:textId="77777777" w:rsidR="00270FBE" w:rsidRPr="00EF58AE" w:rsidRDefault="00270FBE" w:rsidP="00270FBE"/>
    <w:p w14:paraId="0416CDDF" w14:textId="77777777" w:rsidR="00270FBE" w:rsidRPr="00EF58AE" w:rsidRDefault="00270FBE" w:rsidP="00270FBE">
      <w:r w:rsidRPr="00EF58AE">
        <w:t xml:space="preserve">Moreover, the CSF should be designed under well-defined constraints simultaneously. Data minimisation and purpose limitation will reduce privacy risk. Explainability thresholds are required for assessment and guidance models. Vernacular LLMs need to be culturally and linguistically faithful. Edge-first architectures promise resilience in the face of connectivity and power constraints. These constraints are not optional but are critical guardrails that inform the construction and governance of the SIB (Mittelstadt et al., 2016; Selbst &amp; Barocas, 2018; Department of School &amp; Mass Education, Odisha, 2025; Bender et al., 2021; Ministry of Electronics and Information Technology, 2025; Koller et al., 2013). </w:t>
      </w:r>
    </w:p>
    <w:p w14:paraId="79E4A160" w14:textId="77777777" w:rsidR="00270FBE" w:rsidRPr="00EF58AE" w:rsidRDefault="00270FBE" w:rsidP="00270FBE"/>
    <w:p w14:paraId="530FD703" w14:textId="77777777" w:rsidR="00270FBE" w:rsidRPr="00EF58AE" w:rsidRDefault="00270FBE" w:rsidP="00270FBE">
      <w:r w:rsidRPr="00EF58AE">
        <w:t>3.3.    Summary of Single Integrated Backbone (SIB) Architecture</w:t>
      </w:r>
    </w:p>
    <w:p w14:paraId="21B860BD" w14:textId="77777777" w:rsidR="00270FBE" w:rsidRPr="00EF58AE" w:rsidRDefault="00270FBE" w:rsidP="00270FBE"/>
    <w:p w14:paraId="3963F38C" w14:textId="77777777" w:rsidR="00270FBE" w:rsidRPr="00EF58AE" w:rsidRDefault="00270FBE" w:rsidP="00270FBE">
      <w:r w:rsidRPr="00EF58AE">
        <w:t>The SIB is the technology and operational backbone of the CSF, a federated cloud infrastructure enhanced with edge computing for low-bandwidth environments. The SIB is composed of three interlinked layers. The first layer is the generative curriculum synthesis, where localised LLMs create multi-modal content in over 22 Indian languages. It maps content templates to learning objectives and competency frameworks to ensure pedagogically sound and culturally relevant materials (Department of School &amp; Mass Education, Odisha, 2025; Bender et al., 2021). The second layer is automating office or computer work.  “Administrative workflows are managed by autonomous agents while oversight dashboards and audit logs continue to oversee and control what is happening (ResearchGate Publications, 2026; ASSOCHAM &amp; EY, 2025). The third layer is a continuous assessment and learning analytics stack which takes in multi-source evidence – interaction logs, project artefacts, peer assessments and mentor notes – to produce interpretable learning trajectories and recommendations (Siemens &amp; Long, 2011; Heffernan &amp; Heffernan, 2014).</w:t>
      </w:r>
    </w:p>
    <w:p w14:paraId="4A83273D" w14:textId="77777777" w:rsidR="00270FBE" w:rsidRPr="00EF58AE" w:rsidRDefault="00270FBE" w:rsidP="00270FBE"/>
    <w:p w14:paraId="24851FC9" w14:textId="77777777" w:rsidR="00270FBE" w:rsidRPr="00EF58AE" w:rsidRDefault="00270FBE" w:rsidP="00270FBE">
      <w:r w:rsidRPr="00EF58AE">
        <w:t>SIB’s design is centred around data governance and federation. Raw data is kept by institutional and state nodes. A national educational data trust is responsible for access policies and cryptographic controls. Instead of storing raw personal data, blockchain is employed selectively for tamper-evident credentialing and portfolio verification in order to balance verifiability and privacy (Ministry of Electronics and Information Technology, 2025; Mittelstadt et al., 2016).</w:t>
      </w:r>
    </w:p>
    <w:p w14:paraId="5DFD5011" w14:textId="522D2C7F" w:rsidR="00BD4D64" w:rsidRDefault="00BD4D64" w:rsidP="00BD4D64"/>
    <w:p w14:paraId="6C888F53" w14:textId="77777777" w:rsidR="00270FBE" w:rsidRPr="00BD4D64" w:rsidRDefault="00270FBE" w:rsidP="00BD4D64"/>
    <w:p w14:paraId="59F579E9" w14:textId="77777777" w:rsidR="00BD4D64" w:rsidRPr="00BD4D64" w:rsidRDefault="00BD4D64" w:rsidP="00BD4D64">
      <w:pPr>
        <w:rPr>
          <w:b/>
          <w:bCs/>
        </w:rPr>
      </w:pPr>
      <w:r w:rsidRPr="00BD4D64">
        <w:rPr>
          <w:b/>
          <w:bCs/>
        </w:rPr>
        <w:t>4. Lifecycle Integration: From Foundational to Professional</w:t>
      </w:r>
    </w:p>
    <w:p w14:paraId="3BC37A4A" w14:textId="77777777" w:rsidR="00270FBE" w:rsidRPr="00EF58AE" w:rsidRDefault="00270FBE" w:rsidP="00270FBE">
      <w:r w:rsidRPr="00EF58AE">
        <w:t>CSF needs to evolve as learners evolve neurologically and socially. I describe a three-phase life cycle with pedagogical goals, measurable results and evaluation points.</w:t>
      </w:r>
    </w:p>
    <w:p w14:paraId="5537347C" w14:textId="77777777" w:rsidR="00270FBE" w:rsidRPr="00EF58AE" w:rsidRDefault="00270FBE" w:rsidP="00270FBE"/>
    <w:p w14:paraId="41E55D73" w14:textId="6BBEA754" w:rsidR="00270FBE" w:rsidRPr="00EF58AE" w:rsidRDefault="00270FBE" w:rsidP="00270FBE">
      <w:r w:rsidRPr="00D86A99">
        <w:rPr>
          <w:b/>
          <w:bCs/>
        </w:rPr>
        <w:t>Phase I (Foundational &amp; Primary, 3-10</w:t>
      </w:r>
      <w:proofErr w:type="gramStart"/>
      <w:r w:rsidRPr="00D86A99">
        <w:rPr>
          <w:b/>
          <w:bCs/>
        </w:rPr>
        <w:t xml:space="preserve">) </w:t>
      </w:r>
      <w:r w:rsidR="00D86A99" w:rsidRPr="00D86A99">
        <w:rPr>
          <w:b/>
          <w:bCs/>
        </w:rPr>
        <w:t>:</w:t>
      </w:r>
      <w:proofErr w:type="gramEnd"/>
      <w:r w:rsidR="00D86A99" w:rsidRPr="00D86A99">
        <w:rPr>
          <w:b/>
          <w:bCs/>
        </w:rPr>
        <w:t xml:space="preserve"> </w:t>
      </w:r>
      <w:r w:rsidRPr="00EF58AE">
        <w:t>The learning goals are early detection of learning differences, basic literacy and numeracy, socio-emotional skill development, and play-based computational thinking (</w:t>
      </w:r>
      <w:proofErr w:type="spellStart"/>
      <w:r w:rsidRPr="00EF58AE">
        <w:t>Papert</w:t>
      </w:r>
      <w:proofErr w:type="spellEnd"/>
      <w:r w:rsidRPr="00EF58AE">
        <w:t xml:space="preserve">, 1980; </w:t>
      </w:r>
      <w:proofErr w:type="spellStart"/>
      <w:r w:rsidRPr="00EF58AE">
        <w:t>Kizilcec</w:t>
      </w:r>
      <w:proofErr w:type="spellEnd"/>
      <w:r w:rsidRPr="00EF58AE">
        <w:t xml:space="preserve"> and Halawa, 2015). What does this mean in practice? Adaptive play environments (AI-driven games that scaffold emergent literacy and numeracy and collect fine-grained interaction data for early screening of dyslexia and dyscalculia) and multimodal input channels (voice, gesture and tactile interfaces) to support pre-literate learners.  Teachers have dashboards with developmental milestones and ideas for low-cost interventions. The evaluation includes the sensitivity and specificity of screening algorithms, learning gains in standardised tests, and how teachers accept and use the tools (Heffernan &amp; Heffernan, 2014; Luckin et al., 2016; Rose &amp; Meyer, 2002; Meenakshi &amp; Arul, 2025; </w:t>
      </w:r>
      <w:proofErr w:type="spellStart"/>
      <w:r w:rsidRPr="00EF58AE">
        <w:t>Kizilcec</w:t>
      </w:r>
      <w:proofErr w:type="spellEnd"/>
      <w:r w:rsidRPr="00EF58AE">
        <w:t xml:space="preserve"> &amp; Halawa, 2015; Koller et al., 2013).</w:t>
      </w:r>
    </w:p>
    <w:p w14:paraId="173EEDE8" w14:textId="77777777" w:rsidR="00270FBE" w:rsidRPr="00EF58AE" w:rsidRDefault="00270FBE" w:rsidP="00270FBE"/>
    <w:p w14:paraId="64398AB0" w14:textId="1FE677DE" w:rsidR="00270FBE" w:rsidRPr="00EF58AE" w:rsidRDefault="00270FBE" w:rsidP="00270FBE">
      <w:r w:rsidRPr="00D86A99">
        <w:rPr>
          <w:b/>
          <w:bCs/>
        </w:rPr>
        <w:t>Phase II (Intermediate &amp; Secondary, age 11-15)</w:t>
      </w:r>
      <w:r w:rsidR="00D86A99" w:rsidRPr="00D86A99">
        <w:rPr>
          <w:b/>
          <w:bCs/>
        </w:rPr>
        <w:t>:</w:t>
      </w:r>
      <w:r w:rsidR="00D86A99">
        <w:t xml:space="preserve"> </w:t>
      </w:r>
      <w:r w:rsidRPr="00EF58AE">
        <w:t xml:space="preserve">The pedagogic goals shift to abstract reasoning, disciplinary thinking, digital literacy, ethical reasoning, and collaborative problem solving. The CSF supports explicit instruction in prompt architecture and algorithmic auditing, scaffolding of project-based learning workflows, and adversarial debate partners—models trained to challenge student reasoning and prompt metacognitive reflection. The assessment in this phase is based on the artefacts created by the students, transfer of reasoning skills to other domains and measures of digital agency and algorithmic literacy (IKF, 2026; Bender et al., 2021; </w:t>
      </w:r>
      <w:proofErr w:type="spellStart"/>
      <w:r w:rsidRPr="00EF58AE">
        <w:t>Papert</w:t>
      </w:r>
      <w:proofErr w:type="spellEnd"/>
      <w:r w:rsidRPr="00EF58AE">
        <w:t>, 1980; Siemens &amp; Long, 2011; Luckin et al., 2016; Koller et al., 2013; Deci &amp; Ryan, 2000).</w:t>
      </w:r>
    </w:p>
    <w:p w14:paraId="0E8A5EA1" w14:textId="77777777" w:rsidR="00270FBE" w:rsidRPr="00EF58AE" w:rsidRDefault="00270FBE" w:rsidP="00270FBE"/>
    <w:p w14:paraId="1022B12C" w14:textId="76445902" w:rsidR="00270FBE" w:rsidRDefault="00270FBE" w:rsidP="00BD4D64">
      <w:r w:rsidRPr="00D86A99">
        <w:rPr>
          <w:b/>
          <w:bCs/>
        </w:rPr>
        <w:t>Higher Education &amp; Specialised Research 16</w:t>
      </w:r>
      <w:proofErr w:type="gramStart"/>
      <w:r w:rsidRPr="00D86A99">
        <w:rPr>
          <w:b/>
          <w:bCs/>
        </w:rPr>
        <w:t xml:space="preserve">+ </w:t>
      </w:r>
      <w:r w:rsidR="00D86A99" w:rsidRPr="00D86A99">
        <w:rPr>
          <w:b/>
          <w:bCs/>
        </w:rPr>
        <w:t>:</w:t>
      </w:r>
      <w:proofErr w:type="gramEnd"/>
      <w:r w:rsidRPr="00EF58AE">
        <w:t xml:space="preserve"> Phase III sees the SIB as a synergistic synthesiser, linking students to industry data sets and research grids for real problem solving. Goals: professional preparation; research literacy; interdisciplinary integration; ethical practice. It includes secure industry plug-ins, blockchain-verified skill portfolios, and high-fidelity workplace simulations for domain-specific practice. Evaluation metrics: Employer satisfaction and placement outcomes; research productivity and longitudinal career tracking (Ministry of Skill Development and Entrepreneurship, 2025; ASSOCHAM &amp; EY, 2025; Koller et al., 2013; Heffernan &amp; Heffernan, 2014; Zuboff, 2019).</w:t>
      </w:r>
    </w:p>
    <w:p w14:paraId="06EB4C12" w14:textId="77777777" w:rsidR="00D86A99" w:rsidRDefault="00D86A99" w:rsidP="00BD4D64"/>
    <w:p w14:paraId="1A8161DE" w14:textId="77777777" w:rsidR="00D86A99" w:rsidRPr="00D86A99" w:rsidRDefault="00D86A99" w:rsidP="00D86A99">
      <w:pPr>
        <w:rPr>
          <w:b/>
          <w:bCs/>
        </w:rPr>
      </w:pPr>
      <w:r w:rsidRPr="00D86A99">
        <w:rPr>
          <w:b/>
          <w:bCs/>
        </w:rPr>
        <w:t>5.    Deeper Analysis on the Challenges for Implementation in Indian Ecosystem</w:t>
      </w:r>
    </w:p>
    <w:p w14:paraId="7094374B" w14:textId="77777777" w:rsidR="00D86A99" w:rsidRPr="00EF58AE" w:rsidRDefault="00D86A99" w:rsidP="00D86A99"/>
    <w:p w14:paraId="011A3A8D" w14:textId="77777777" w:rsidR="00D86A99" w:rsidRPr="00EF58AE" w:rsidRDefault="00D86A99" w:rsidP="00D86A99">
      <w:r w:rsidRPr="00EF58AE">
        <w:t>India needs to face structural, socio-cultural and ethical challenges to implement the CSF. I discuss each challenge, and present concrete strategies to mitigate them, metrics for evaluating them and governance mechanisms.</w:t>
      </w:r>
    </w:p>
    <w:p w14:paraId="6644E1E7" w14:textId="77777777" w:rsidR="00D86A99" w:rsidRPr="00EF58AE" w:rsidRDefault="00D86A99" w:rsidP="00D86A99"/>
    <w:p w14:paraId="7B9B3AF9" w14:textId="77777777" w:rsidR="00D86A99" w:rsidRPr="00EF58AE" w:rsidRDefault="00D86A99" w:rsidP="00D86A99">
      <w:r w:rsidRPr="00EF58AE">
        <w:t>5.1.    Lack of Hardware and Connectivity</w:t>
      </w:r>
    </w:p>
    <w:p w14:paraId="0D3268E2" w14:textId="77777777" w:rsidR="00D86A99" w:rsidRPr="00EF58AE" w:rsidRDefault="00D86A99" w:rsidP="00D86A99"/>
    <w:p w14:paraId="61EE547B" w14:textId="77777777" w:rsidR="00D86A99" w:rsidRPr="00EF58AE" w:rsidRDefault="00D86A99" w:rsidP="00D86A99">
      <w:r w:rsidRPr="00EF58AE">
        <w:lastRenderedPageBreak/>
        <w:t>The infrastructural gap is heterogeneous across states, districts and schools. The connectivity issues are bandwidth, latency and cost. There is also a deficit in devices such as reliable power, local compute capacity and maintenance ecosystems (Maddala, 2026; Jha et al., 2025). For this I propose an edge-first architecture with offline capable edge nodes that occasionally synchronise with the central SIB nodes. These edge nodes would run distilled models for core functionality, queuing up richer interactions for later sync. Hybrid connectivity solutions that combine fibre where available with community mesh networks and satellite backhaul can bridge remote areas, and lifestyle hardware programmes (public procurement with local maintenance contracts, device-as-a-service models and circular-economy refurbishing) will help ensure sustainability. Track % of schools that meet minimum functional thresholds Mean time to repair for hardware failures Cost per school for sustainable operation Ministry of Electronics and Information Technology, 2025; Koller et al., 2013; ASSOCHAM &amp; EY, 2025; Jha et al., 2025</w:t>
      </w:r>
    </w:p>
    <w:p w14:paraId="0F2BDD3C" w14:textId="77777777" w:rsidR="00D86A99" w:rsidRPr="00EF58AE" w:rsidRDefault="00D86A99" w:rsidP="00D86A99"/>
    <w:p w14:paraId="20D30584" w14:textId="77777777" w:rsidR="00D86A99" w:rsidRPr="00EF58AE" w:rsidRDefault="00D86A99" w:rsidP="00D86A99">
      <w:r w:rsidRPr="00EF58AE">
        <w:t xml:space="preserve">5.2.    Job Worries </w:t>
      </w:r>
      <w:proofErr w:type="gramStart"/>
      <w:r w:rsidRPr="00EF58AE">
        <w:t>And</w:t>
      </w:r>
      <w:proofErr w:type="gramEnd"/>
      <w:r w:rsidRPr="00EF58AE">
        <w:t xml:space="preserve"> Educational Stagnation</w:t>
      </w:r>
    </w:p>
    <w:p w14:paraId="5A874DB4" w14:textId="77777777" w:rsidR="00D86A99" w:rsidRPr="00EF58AE" w:rsidRDefault="00D86A99" w:rsidP="00D86A99"/>
    <w:p w14:paraId="13BCC770" w14:textId="77777777" w:rsidR="00D86A99" w:rsidRPr="00EF58AE" w:rsidRDefault="00D86A99" w:rsidP="00D86A99">
      <w:r w:rsidRPr="00EF58AE">
        <w:t>Teachers are resisting for identity reasons, for workload reasons, because they feel their professional autonomy is under threat. Successful transitions need co-design, capacity building and institutional incentives (Meenakshi &amp; Arul, 2025; Selwyn, 2019). I'm a supporter of participatory development where teachers are involved in designing models, rubrics and pilot evaluations and accredited micro-credentials for AI mentorship embedded within B.Ed. and in-service training; and role-redefinition pilots that track time use and re-allocate teacher time to mentorship with workload protections.  The evaluation should include teacher retention and job satisfaction, fidelity of implementation, quality of mentor-student interactions, and evidence of improved learning outcomes from mentor interventions (Selbst &amp; Barocas, 2018; Meenakshi &amp; Arul, 2025; Ministry of Skill Development and Entrepreneurship, 2025; Rose &amp; Meyer, 2002; Heffernan &amp; Heffernan, 2014; Koller et al., 2013).</w:t>
      </w:r>
    </w:p>
    <w:p w14:paraId="4C3BCD62" w14:textId="77777777" w:rsidR="00D86A99" w:rsidRPr="00EF58AE" w:rsidRDefault="00D86A99" w:rsidP="00D86A99"/>
    <w:p w14:paraId="2D42FD32" w14:textId="77777777" w:rsidR="00D86A99" w:rsidRPr="00EF58AE" w:rsidRDefault="00D86A99" w:rsidP="00D86A99">
      <w:r w:rsidRPr="00EF58AE">
        <w:t>5.3.    Cultural Displacement and Language Hegemony</w:t>
      </w:r>
    </w:p>
    <w:p w14:paraId="7DF843C6" w14:textId="77777777" w:rsidR="00D86A99" w:rsidRPr="00EF58AE" w:rsidRDefault="00D86A99" w:rsidP="00D86A99"/>
    <w:p w14:paraId="384CF040" w14:textId="77777777" w:rsidR="00D86A99" w:rsidRPr="00EF58AE" w:rsidRDefault="00D86A99" w:rsidP="00D86A99">
      <w:r w:rsidRPr="00EF58AE">
        <w:t xml:space="preserve">The use of dominant-language corpora can erase local epistemologies and distort cultural content, while hallucinations and cultural misalignments can lead to a loss of trust (Bender et al., 2021; O’Neil, 2016). To mitigate this, I suggest investing in government owned vernacular foundation models trained on curated, community-validated corpora (e.g. incorporating with Bhashini), setting up cultural validation panels of local scholars and custodians to review generated content, and using federated learning techniques to fine-tune models locally without aggregating raw data. Evaluation should include cultural fidelity scores from expert panels, reductions in hallucination rates for vernacular prompts, and community trust and adoption metrics (Department of School &amp; Mass Education, Odisha, 2025; Williamson &amp; </w:t>
      </w:r>
      <w:proofErr w:type="spellStart"/>
      <w:r w:rsidRPr="00EF58AE">
        <w:t>Piattoeva</w:t>
      </w:r>
      <w:proofErr w:type="spellEnd"/>
      <w:r w:rsidRPr="00EF58AE">
        <w:t>, 2021; Bender et al., 2021).</w:t>
      </w:r>
    </w:p>
    <w:p w14:paraId="7AA9A1AF" w14:textId="77777777" w:rsidR="00D86A99" w:rsidRPr="00EF58AE" w:rsidRDefault="00D86A99" w:rsidP="00D86A99"/>
    <w:p w14:paraId="58ACBFFE" w14:textId="77777777" w:rsidR="00D86A99" w:rsidRPr="00EF58AE" w:rsidRDefault="00D86A99" w:rsidP="00D86A99">
      <w:r w:rsidRPr="00EF58AE">
        <w:t>5.4.    Data Sovereignty and bias in algorithms</w:t>
      </w:r>
    </w:p>
    <w:p w14:paraId="764E5234" w14:textId="77777777" w:rsidR="00D86A99" w:rsidRPr="00EF58AE" w:rsidRDefault="00D86A99" w:rsidP="00D86A99"/>
    <w:p w14:paraId="35B49A6A" w14:textId="77777777" w:rsidR="00D86A99" w:rsidRPr="00EF58AE" w:rsidRDefault="00D86A99" w:rsidP="00D86A99">
      <w:r w:rsidRPr="00EF58AE">
        <w:t xml:space="preserve">Centralised cognitive profiles concentrate risk: training data biases can reproduce social stratification (O’Neil, 2016; Mittelstadt et al., 2016) I propose a National Educational Data Trust as a separate governance body with legal powers to set access rules, audit algorithms and ensure data protection. Mandatory Algorithmic Impact Assessments (AIA) are important to models of assessment and guidance including testing across caste, gender, language and socio-economic strata for bias.  It should support third party access by technical means such as secure enclaves, differential privacy and purpose limited tokens. Evaluation metrics should include frequency and severity of bias incidents, compliance with DPDP and other legal frameworks, and transparency metrics such as model cards and audit reports (Ministry of </w:t>
      </w:r>
      <w:r w:rsidRPr="00EF58AE">
        <w:lastRenderedPageBreak/>
        <w:t>Electronics and Information Technology, 2025; Mittelstadt et al., 2016; O’Neil, 2016; Selbst &amp; Barocas, 2018).</w:t>
      </w:r>
    </w:p>
    <w:p w14:paraId="6C94A25B" w14:textId="77777777" w:rsidR="00D86A99" w:rsidRPr="00EF58AE" w:rsidRDefault="00D86A99" w:rsidP="00D86A99"/>
    <w:p w14:paraId="1D2572B3" w14:textId="77777777" w:rsidR="00D86A99" w:rsidRPr="00EF58AE" w:rsidRDefault="00D86A99" w:rsidP="00D86A99">
      <w:r w:rsidRPr="00EF58AE">
        <w:t>5.5.    Surveillance, Intellectual Dependence and Democratic Accountability</w:t>
      </w:r>
    </w:p>
    <w:p w14:paraId="40ADF766" w14:textId="77777777" w:rsidR="00D86A99" w:rsidRPr="00EF58AE" w:rsidRDefault="00D86A99" w:rsidP="00D86A99"/>
    <w:p w14:paraId="6CF8CAA2" w14:textId="77777777" w:rsidR="00D86A99" w:rsidRPr="00EF58AE" w:rsidRDefault="00D86A99" w:rsidP="00D86A99">
      <w:r w:rsidRPr="00EF58AE">
        <w:t xml:space="preserve">Ongoing surveillance can lead to the normalisation of surveillance and psychological dependence on AI advice (Zuboff, 2019; O’Neil, 2016). To that end, I propose age-appropriate models of consent, mechanisms to opt out, and student-directed explanations of data use; clear processes for human appeal of algorithmic decisions on progression or credentialing; and civic oversight through parliamentary or independent committees with representation from civil society. Evaluation should monitor contested algorithmic decisions and the outcomes of their resolution, measures of student autonomy and self-efficacy over time, and indices of public transparency and auditability (Mittelstadt et al., 2016; Deci &amp; Ryan, 2000; Selbst &amp; Barocas, 2018; Williamson &amp; </w:t>
      </w:r>
      <w:proofErr w:type="spellStart"/>
      <w:r w:rsidRPr="00EF58AE">
        <w:t>Piattoeva</w:t>
      </w:r>
      <w:proofErr w:type="spellEnd"/>
      <w:r w:rsidRPr="00EF58AE">
        <w:t>, 2021).</w:t>
      </w:r>
    </w:p>
    <w:p w14:paraId="1F82AD1A" w14:textId="77777777" w:rsidR="00D86A99" w:rsidRPr="00EF58AE" w:rsidRDefault="00D86A99" w:rsidP="00D86A99"/>
    <w:p w14:paraId="733788D9" w14:textId="77777777" w:rsidR="00D86A99" w:rsidRPr="00D86A99" w:rsidRDefault="00D86A99" w:rsidP="00D86A99">
      <w:pPr>
        <w:rPr>
          <w:b/>
          <w:bCs/>
        </w:rPr>
      </w:pPr>
    </w:p>
    <w:p w14:paraId="3489D4D5" w14:textId="77777777" w:rsidR="00D86A99" w:rsidRPr="00D86A99" w:rsidRDefault="00D86A99" w:rsidP="00D86A99">
      <w:pPr>
        <w:rPr>
          <w:b/>
          <w:bCs/>
        </w:rPr>
      </w:pPr>
    </w:p>
    <w:p w14:paraId="26B6CDB7" w14:textId="77777777" w:rsidR="00D86A99" w:rsidRPr="00D86A99" w:rsidRDefault="00D86A99" w:rsidP="00D86A99">
      <w:pPr>
        <w:rPr>
          <w:b/>
          <w:bCs/>
        </w:rPr>
      </w:pPr>
      <w:r w:rsidRPr="00D86A99">
        <w:rPr>
          <w:b/>
          <w:bCs/>
        </w:rPr>
        <w:t>6.    Public Sector Adoption Methodology Way to Success</w:t>
      </w:r>
    </w:p>
    <w:p w14:paraId="4DFEB341" w14:textId="77777777" w:rsidR="00D86A99" w:rsidRPr="00EF58AE" w:rsidRDefault="00D86A99" w:rsidP="00D86A99"/>
    <w:p w14:paraId="3F2FB348" w14:textId="77777777" w:rsidR="00D86A99" w:rsidRPr="00EF58AE" w:rsidRDefault="00D86A99" w:rsidP="00D86A99">
      <w:r w:rsidRPr="00EF58AE">
        <w:t>The Government of India should treat CSF as a sovereign digital infrastructure akin to Aadhaar or UPI, not a software purchase that can be scaled at the national level (Ministry of Electronics and Information Technology, 2025; ASSOCHAM &amp; EY, 2025; Mittelstadt et al., 2016). The first two years will focus on the legislation of the National Educational Data Trust (to establish data stewardship, access rights and penalties for misuse), definition of interoperability standards (including open API specifications, data schemas, credential ontologies), and setting up a pilot regulatory sandbox (which allows controlled experimentation within the boundaries of governance guardrails). At this point, empirical activities such as stakeholder mapping or Delphi panels are needed to define success metrics and feasibility simulations to model load, privacy risk, and cost (Ministry of Electronics and Information Technology, 2025; Mittelstadt et al., 2016; IKF, 2026; Koller et al., 2013).</w:t>
      </w:r>
    </w:p>
    <w:p w14:paraId="23FDB5DD" w14:textId="77777777" w:rsidR="00D86A99" w:rsidRPr="00EF58AE" w:rsidRDefault="00D86A99" w:rsidP="00D86A99"/>
    <w:p w14:paraId="5736978E" w14:textId="77777777" w:rsidR="00D86A99" w:rsidRPr="00EF58AE" w:rsidRDefault="00D86A99" w:rsidP="00D86A99">
      <w:r w:rsidRPr="00EF58AE">
        <w:t xml:space="preserve">3rd and 4th year During the third and fourth year, the Vidya Samiksha </w:t>
      </w:r>
      <w:proofErr w:type="spellStart"/>
      <w:r w:rsidRPr="00EF58AE">
        <w:t>Kendras</w:t>
      </w:r>
      <w:proofErr w:type="spellEnd"/>
      <w:r w:rsidRPr="00EF58AE">
        <w:t xml:space="preserve"> should continue to conduct regional sandbox testing with varied pilots in urban, peri-urban and remote rural locations with different linguistic and socio-economic profiles. Evaluation should be by mixed methods including randomised controlled trials where ethical, quasi experimental designs, ethnographic studies and cost effectiveness analysis. The model will be iteratively improved using pilot data to improve vernacular models, assessment algorithms and teacher training modules. Empirical activities should be validated by independent academic partners and the learning gains, equity impact, teacher workload, system reliability and community acceptance should be evaluated (Department of School &amp; Mass Education, Odisha, 2025; Jha et al., 2025; </w:t>
      </w:r>
      <w:proofErr w:type="spellStart"/>
      <w:r w:rsidRPr="00EF58AE">
        <w:t>Kizilcec</w:t>
      </w:r>
      <w:proofErr w:type="spellEnd"/>
      <w:r w:rsidRPr="00EF58AE">
        <w:t xml:space="preserve"> &amp; Halawa, 2015; Heffernan &amp; Heffernan, 2014; Koller et al., 2013; Meenakshi &amp; Arul, 2025; Luckin et al., 2016).</w:t>
      </w:r>
    </w:p>
    <w:p w14:paraId="64610C3C" w14:textId="77777777" w:rsidR="00D86A99" w:rsidRPr="00EF58AE" w:rsidRDefault="00D86A99" w:rsidP="00D86A99"/>
    <w:p w14:paraId="7A1F37FB" w14:textId="77777777" w:rsidR="00D86A99" w:rsidRPr="00EF58AE" w:rsidRDefault="00D86A99" w:rsidP="00D86A99">
      <w:r w:rsidRPr="00EF58AE">
        <w:t xml:space="preserve">5-7 years: A PPP model with clearly defined SLAs, data stewardship clauses and </w:t>
      </w:r>
      <w:proofErr w:type="gramStart"/>
      <w:r w:rsidRPr="00EF58AE">
        <w:t>open source</w:t>
      </w:r>
      <w:proofErr w:type="gramEnd"/>
      <w:r w:rsidRPr="00EF58AE">
        <w:t xml:space="preserve"> obligations for vendors should be fully in place. National roll-out needs to be phased with accreditation gates connected to pilot evidence. Universities, employers and accreditation agencies need to co-design the mechanisms for accepting verified portfolios in transition. Regular impact studies should be conducted over several years by independent bodies tracking cohorts to assess learning, employment and social outcomes (ASSOCHAM &amp; EY, 2025; Koller et al., 2013; Ministry of Electronics and Information Technology, 2025; Ministry of Skill Development and Entrepreneurship, 2025; Mittelstadt et al., 2016; Selbst &amp; Barocas, 2018).</w:t>
      </w:r>
    </w:p>
    <w:p w14:paraId="1AB37E63" w14:textId="77777777" w:rsidR="00D86A99" w:rsidRPr="00EF58AE" w:rsidRDefault="00D86A99" w:rsidP="00D86A99"/>
    <w:p w14:paraId="73046C83" w14:textId="77777777" w:rsidR="00D86A99" w:rsidRPr="00EF58AE" w:rsidRDefault="00D86A99" w:rsidP="00D86A99"/>
    <w:p w14:paraId="0BC3C18C" w14:textId="77777777" w:rsidR="00D86A99" w:rsidRPr="00D86A99" w:rsidRDefault="00D86A99" w:rsidP="00D86A99">
      <w:pPr>
        <w:rPr>
          <w:b/>
          <w:bCs/>
        </w:rPr>
      </w:pPr>
    </w:p>
    <w:p w14:paraId="6FE4D752" w14:textId="77777777" w:rsidR="00D86A99" w:rsidRPr="00D86A99" w:rsidRDefault="00D86A99" w:rsidP="00D86A99">
      <w:pPr>
        <w:rPr>
          <w:b/>
          <w:bCs/>
        </w:rPr>
      </w:pPr>
      <w:r w:rsidRPr="00D86A99">
        <w:rPr>
          <w:b/>
          <w:bCs/>
        </w:rPr>
        <w:t>7.    Agenda for empirical research and feasibility study</w:t>
      </w:r>
    </w:p>
    <w:p w14:paraId="39255F39" w14:textId="77777777" w:rsidR="00D86A99" w:rsidRPr="00EF58AE" w:rsidRDefault="00D86A99" w:rsidP="00D86A99"/>
    <w:p w14:paraId="69C2E00D" w14:textId="77777777" w:rsidR="00D86A99" w:rsidRPr="00EF58AE" w:rsidRDefault="00D86A99" w:rsidP="00D86A99">
      <w:r w:rsidRPr="00EF58AE">
        <w:t xml:space="preserve">I therefore suggest a multi-pronged empirical agenda to move CSF from concept to evidence-driven policy. Some core SIB functionalities like vernacular content </w:t>
      </w:r>
      <w:proofErr w:type="gramStart"/>
      <w:r w:rsidRPr="00EF58AE">
        <w:t>generation,</w:t>
      </w:r>
      <w:proofErr w:type="gramEnd"/>
      <w:r w:rsidRPr="00EF58AE">
        <w:t xml:space="preserve"> edge sync and teacher dashboards should be tested in small pilot projects (50-200 schools). Where ethically feasible, cluster randomised trials investigate learning outcomes and equity impacts. Simulations should incorporate computational models of national scale load, privacy leakage risk under different threat models, and cost trajectories (Department of School &amp; Mass Education, Odisha, 2025; Koller et al., 2013; </w:t>
      </w:r>
      <w:proofErr w:type="spellStart"/>
      <w:r w:rsidRPr="00EF58AE">
        <w:t>Kizilcec</w:t>
      </w:r>
      <w:proofErr w:type="spellEnd"/>
      <w:r w:rsidRPr="00EF58AE">
        <w:t xml:space="preserve"> and Halawa, 2015; Heffernan and Heffernan, 2014).</w:t>
      </w:r>
    </w:p>
    <w:p w14:paraId="741A4476" w14:textId="77777777" w:rsidR="00D86A99" w:rsidRPr="00EF58AE" w:rsidRDefault="00D86A99" w:rsidP="00D86A99"/>
    <w:p w14:paraId="2EC158BB" w14:textId="77777777" w:rsidR="00D86A99" w:rsidRPr="00EF58AE" w:rsidRDefault="00D86A99" w:rsidP="00D86A99">
      <w:r w:rsidRPr="00EF58AE">
        <w:t xml:space="preserve">Stakeholder surveys and Delphi panels are important. Teacher and administrator surveys will gauge readiness and benefits, parent and student focus groups will explore cultural acceptability and privacy expectations, and expert Delphi panels will create consensus around evaluation metrics, ethical guardrails, and transition timelines (Meenakshi &amp; Arul, 2025; Williamson &amp; </w:t>
      </w:r>
      <w:proofErr w:type="spellStart"/>
      <w:r w:rsidRPr="00EF58AE">
        <w:t>Piattoeva</w:t>
      </w:r>
      <w:proofErr w:type="spellEnd"/>
      <w:r w:rsidRPr="00EF58AE">
        <w:t>, 2021; IKF, 2026; Koller et al., 2013).</w:t>
      </w:r>
    </w:p>
    <w:p w14:paraId="4A75CD22" w14:textId="77777777" w:rsidR="00D86A99" w:rsidRPr="00EF58AE" w:rsidRDefault="00D86A99" w:rsidP="00D86A99"/>
    <w:p w14:paraId="244B6AF8" w14:textId="77777777" w:rsidR="00D86A99" w:rsidRPr="00EF58AE" w:rsidRDefault="00D86A99" w:rsidP="00D86A99">
      <w:r w:rsidRPr="00EF58AE">
        <w:t>A feasibility and cost benefit analysis should include the total cost of ownership, hardware, maintenance, training and governance, and quantify benefit streams such as time savings, better learning outcomes and potential labour market gains. In addition, the equity sensitivity analysis needs to be conducted considering the different scenarios of imbalanced infrastructure investment and the recommendation of the compensatory finance (Koller et al., 2013; ASSOCHAM &amp; EY, 2025; Ministry of Skill Development and Entrepreneurship, 2025; Jha et al., 2025).</w:t>
      </w:r>
    </w:p>
    <w:p w14:paraId="7C5368DB" w14:textId="77777777" w:rsidR="00D86A99" w:rsidRPr="00EF58AE" w:rsidRDefault="00D86A99" w:rsidP="00D86A99"/>
    <w:p w14:paraId="26EAA5AD" w14:textId="77777777" w:rsidR="00D86A99" w:rsidRPr="00EF58AE" w:rsidRDefault="00D86A99" w:rsidP="00D86A99">
      <w:r w:rsidRPr="00EF58AE">
        <w:t>Validation of assessments and credentials is carried out through convergent validity studies comparing algorithmic assessments with human expert ratings and standardised tests, pilots with universities and employers on credential acceptance, and robust appeals and redress mechanisms to test human-in-the-loop review processes for challenged decisions (Heffernan &amp; Heffernan, 2014; Koller et al., 2013; Ministry of Skill Development and Entrepreneurship, 2025; Mittelstadt et al., 2016; Selbst &amp; Barocas, 2018).</w:t>
      </w:r>
    </w:p>
    <w:p w14:paraId="12E2AB1A" w14:textId="77777777" w:rsidR="00D86A99" w:rsidRPr="00EF58AE" w:rsidRDefault="00D86A99" w:rsidP="00D86A99"/>
    <w:p w14:paraId="1CCAC257" w14:textId="77777777" w:rsidR="00D86A99" w:rsidRPr="00EF58AE" w:rsidRDefault="00D86A99" w:rsidP="00D86A99"/>
    <w:p w14:paraId="298E386E" w14:textId="77777777" w:rsidR="00D86A99" w:rsidRPr="00EF58AE" w:rsidRDefault="00D86A99" w:rsidP="00D86A99"/>
    <w:p w14:paraId="5017AFF9" w14:textId="77777777" w:rsidR="00D86A99" w:rsidRPr="00D86A99" w:rsidRDefault="00D86A99" w:rsidP="00D86A99">
      <w:pPr>
        <w:rPr>
          <w:b/>
          <w:bCs/>
        </w:rPr>
      </w:pPr>
      <w:r w:rsidRPr="00D86A99">
        <w:rPr>
          <w:b/>
          <w:bCs/>
        </w:rPr>
        <w:t>8.    Algorithms and ethics governance</w:t>
      </w:r>
    </w:p>
    <w:p w14:paraId="37C6BF65" w14:textId="77777777" w:rsidR="00D86A99" w:rsidRPr="00EF58AE" w:rsidRDefault="00D86A99" w:rsidP="00D86A99"/>
    <w:p w14:paraId="5EA95AA9" w14:textId="77777777" w:rsidR="00D86A99" w:rsidRPr="00EF58AE" w:rsidRDefault="00D86A99" w:rsidP="00D86A99">
      <w:r w:rsidRPr="00EF58AE">
        <w:t>We require good governance arrangements for legitimacy and security. I advocate for mandatory Algorithmic Impact Assessments for any model deployed in assessment or high-stakes guidance, third-party audits of model performance and bias, and the public release of Model Cards describing purpose, provenance of training data, limitations and known failure modes (Mittelstadt et al., 2016; Selbst &amp; Barocas, 2018; Bender et al., 2021).</w:t>
      </w:r>
    </w:p>
    <w:p w14:paraId="2207DE7D" w14:textId="77777777" w:rsidR="00D86A99" w:rsidRPr="00EF58AE" w:rsidRDefault="00D86A99" w:rsidP="00D86A99"/>
    <w:p w14:paraId="22EF13C4" w14:textId="77777777" w:rsidR="00D86A99" w:rsidRPr="00EF58AE" w:rsidRDefault="00D86A99" w:rsidP="00D86A99">
      <w:r w:rsidRPr="00EF58AE">
        <w:t xml:space="preserve">Data protection should be about data minimisation and purpose limitation. Aggregate analytics and cross-institutional research should be conducted with the use of differential privacy, secure multi-party computation and other technical safeguards. Students should have data rights such as portability, correction and deletion with </w:t>
      </w:r>
      <w:proofErr w:type="gramStart"/>
      <w:r w:rsidRPr="00EF58AE">
        <w:t>age appropriate</w:t>
      </w:r>
      <w:proofErr w:type="gramEnd"/>
      <w:r w:rsidRPr="00EF58AE">
        <w:t xml:space="preserve"> consent (Mittelstadt et al., 2016; Selbst &amp; Barocas, 2018; Ministry of Electronics and Information Technology, 2025).</w:t>
      </w:r>
    </w:p>
    <w:p w14:paraId="48D5FC14" w14:textId="77777777" w:rsidR="00D86A99" w:rsidRPr="00EF58AE" w:rsidRDefault="00D86A99" w:rsidP="00D86A99"/>
    <w:p w14:paraId="543455BE" w14:textId="77777777" w:rsidR="00D86A99" w:rsidRPr="00EF58AE" w:rsidRDefault="00D86A99" w:rsidP="00D86A99">
      <w:r w:rsidRPr="00EF58AE">
        <w:lastRenderedPageBreak/>
        <w:t xml:space="preserve">Democratic oversight is non-negotiable: a National Educational Data Trust Board should include civil society, teacher unions and technical experts; parliamentary reporting should offer regular public updates on system performance and incidents; and accessible redress mechanisms must enable students and families to contest algorithmic decisions (Ministry of Electronics and Information Technology, 2025; Williamson &amp; </w:t>
      </w:r>
      <w:proofErr w:type="spellStart"/>
      <w:r w:rsidRPr="00EF58AE">
        <w:t>Piattoeva</w:t>
      </w:r>
      <w:proofErr w:type="spellEnd"/>
      <w:r w:rsidRPr="00EF58AE">
        <w:t xml:space="preserve">, 2021; Selbst &amp; Barocas, 2018; Mittelstadt et al., 2016). </w:t>
      </w:r>
    </w:p>
    <w:p w14:paraId="76CA48FD" w14:textId="77777777" w:rsidR="00D86A99" w:rsidRPr="00EF58AE" w:rsidRDefault="00D86A99" w:rsidP="00D86A99"/>
    <w:p w14:paraId="495F127D" w14:textId="77777777" w:rsidR="00D86A99" w:rsidRPr="00EF58AE" w:rsidRDefault="00D86A99" w:rsidP="00D86A99"/>
    <w:p w14:paraId="5F55138F" w14:textId="77777777" w:rsidR="00D86A99" w:rsidRPr="00EF58AE" w:rsidRDefault="00D86A99" w:rsidP="00D86A99"/>
    <w:p w14:paraId="5DDC4018" w14:textId="77777777" w:rsidR="00D86A99" w:rsidRPr="00D86A99" w:rsidRDefault="00D86A99" w:rsidP="00D86A99">
      <w:pPr>
        <w:rPr>
          <w:b/>
          <w:bCs/>
        </w:rPr>
      </w:pPr>
      <w:r w:rsidRPr="00D86A99">
        <w:rPr>
          <w:b/>
          <w:bCs/>
        </w:rPr>
        <w:t>9.    Teacher Professional Development and Role Redesign</w:t>
      </w:r>
    </w:p>
    <w:p w14:paraId="6593CF2E" w14:textId="77777777" w:rsidR="00D86A99" w:rsidRPr="00EF58AE" w:rsidRDefault="00D86A99" w:rsidP="00D86A99"/>
    <w:p w14:paraId="727FF837" w14:textId="77777777" w:rsidR="00D86A99" w:rsidRPr="00EF58AE" w:rsidRDefault="00D86A99" w:rsidP="00D86A99">
      <w:r w:rsidRPr="00EF58AE">
        <w:t>CSF’s success is built on the teachers. I offer a curriculum in AI mentorship with foundational modules in digital literacy, data ethics and basic model literacy, up to modules in interpreting learning analytics, mentoring for socio-emotional learning and facilitating AI-augmented projects. These modules should be recognised through accreditation and linked to career pathways so that micro-credentials are acknowledged for promotion and pay progression (Rose &amp; Meyer, 2002; Selbst &amp; Barocas, 2018; Heffernan &amp; Heffernan, 2014; Deci &amp; Ryan, 2000; Ministry of Skill Development and Entrepreneurship, 2025; Koller et al., 2013).</w:t>
      </w:r>
    </w:p>
    <w:p w14:paraId="32625463" w14:textId="77777777" w:rsidR="00D86A99" w:rsidRPr="00EF58AE" w:rsidRDefault="00D86A99" w:rsidP="00D86A99"/>
    <w:p w14:paraId="014C1DEE" w14:textId="77777777" w:rsidR="00D86A99" w:rsidRPr="00EF58AE" w:rsidRDefault="00D86A99" w:rsidP="00D86A99">
      <w:r w:rsidRPr="00EF58AE">
        <w:t>Time-use and workload management is also critical: measuring the extent of administrative offloading is necessary to quantify the time freed from clerical duties to mentorship, and institutional policies must protect scheduled mentorship time so that teachers can focus on high-value interactions. Communities of practice, regional centres for sharing best practice and teacher-led model governance will sustain professional learning, ensuring teachers are involved in model validation and content curation (Meenakshi &amp; Arul, 2025; Koller et al., 2013; Luckin et al., 2016; Selbst &amp; Barocas, 2018).</w:t>
      </w:r>
    </w:p>
    <w:p w14:paraId="6024DD45" w14:textId="77777777" w:rsidR="00D86A99" w:rsidRPr="00EF58AE" w:rsidRDefault="00D86A99" w:rsidP="00D86A99"/>
    <w:p w14:paraId="0149878C" w14:textId="77777777" w:rsidR="00D86A99" w:rsidRPr="00EF58AE" w:rsidRDefault="00D86A99" w:rsidP="00D86A99"/>
    <w:p w14:paraId="7CE1BEE0" w14:textId="77777777" w:rsidR="00D86A99" w:rsidRPr="00D86A99" w:rsidRDefault="00D86A99" w:rsidP="00D86A99">
      <w:pPr>
        <w:rPr>
          <w:b/>
          <w:bCs/>
        </w:rPr>
      </w:pPr>
    </w:p>
    <w:p w14:paraId="7B64A057" w14:textId="77777777" w:rsidR="00D86A99" w:rsidRPr="00D86A99" w:rsidRDefault="00D86A99" w:rsidP="00D86A99">
      <w:pPr>
        <w:rPr>
          <w:b/>
          <w:bCs/>
        </w:rPr>
      </w:pPr>
      <w:r w:rsidRPr="00D86A99">
        <w:rPr>
          <w:b/>
          <w:bCs/>
        </w:rPr>
        <w:t>10.    Considerations of socio-cultural and inclusion</w:t>
      </w:r>
    </w:p>
    <w:p w14:paraId="5E6836D8" w14:textId="77777777" w:rsidR="00D86A99" w:rsidRPr="00EF58AE" w:rsidRDefault="00D86A99" w:rsidP="00D86A99"/>
    <w:p w14:paraId="5F0CE571" w14:textId="77777777" w:rsidR="00D86A99" w:rsidRPr="00EF58AE" w:rsidRDefault="00D86A99" w:rsidP="00D86A99">
      <w:r w:rsidRPr="00EF58AE">
        <w:t xml:space="preserve">Linguistic inclusion means providing resources for building high-quality, culturally relevant corpora for training vernacular models and providing grants to educators and creators to develop local content. Equity audits should be a regular exercise to identify disparate impacts on gender, caste and socio-economic lines. Mentoring and additional resources should be targeted at historically marginalised groups. Community engagement should be transparent, with public-facing explanations of system goals, data use and safeguards, and participatory governance through local advisory councils (Department of School &amp; Mass Education, Odisha, 2025; Bender et al., 2021; ASSOCHAM &amp; EY, 2025; Mittelstadt et al., 2016; O’Neil, 2016; Jha et al., 2025; Williamson &amp; </w:t>
      </w:r>
      <w:proofErr w:type="spellStart"/>
      <w:r w:rsidRPr="00EF58AE">
        <w:t>Piattoeva</w:t>
      </w:r>
      <w:proofErr w:type="spellEnd"/>
      <w:r w:rsidRPr="00EF58AE">
        <w:t>, 2021; IKF, 2026).</w:t>
      </w:r>
    </w:p>
    <w:p w14:paraId="0CCB0C40" w14:textId="77777777" w:rsidR="00D86A99" w:rsidRPr="00EF58AE" w:rsidRDefault="00D86A99" w:rsidP="00D86A99"/>
    <w:p w14:paraId="64A1B1D0" w14:textId="77777777" w:rsidR="00D86A99" w:rsidRPr="00EF58AE" w:rsidRDefault="00D86A99" w:rsidP="00D86A99"/>
    <w:p w14:paraId="2A2F6C1B" w14:textId="77777777" w:rsidR="00D86A99" w:rsidRPr="00D86A99" w:rsidRDefault="00D86A99" w:rsidP="00D86A99">
      <w:pPr>
        <w:rPr>
          <w:b/>
          <w:bCs/>
        </w:rPr>
      </w:pPr>
    </w:p>
    <w:p w14:paraId="7852FEBA" w14:textId="77777777" w:rsidR="00D86A99" w:rsidRPr="00D86A99" w:rsidRDefault="00D86A99" w:rsidP="00D86A99">
      <w:pPr>
        <w:rPr>
          <w:b/>
          <w:bCs/>
        </w:rPr>
      </w:pPr>
      <w:r w:rsidRPr="00D86A99">
        <w:rPr>
          <w:b/>
          <w:bCs/>
        </w:rPr>
        <w:t>11.    Expanded Risk Matrix &amp; Mitigation</w:t>
      </w:r>
    </w:p>
    <w:p w14:paraId="23032B3F" w14:textId="77777777" w:rsidR="00D86A99" w:rsidRPr="00EF58AE" w:rsidRDefault="00D86A99" w:rsidP="00D86A99"/>
    <w:p w14:paraId="4B9EC529" w14:textId="1FF4492D" w:rsidR="00D86A99" w:rsidRDefault="00D86A99" w:rsidP="00D86A99">
      <w:r w:rsidRPr="00EF58AE">
        <w:t xml:space="preserve">The CSF is exposed to multi-dimensional risks, such as infrastructural, human capital, socio-cultural, data privacy, governance, psychological and economic risks. The mitigation required is different for each domain: infrastructure requires edge AI nodes and local maintenance coops; human capital needs co-design, accredited professional development and role protections; socio-cultural risks call for vernacular models and cultural validation panels; data privacy needs a National Educational Data Trust and legal safeguards; vendor capture requires open APIs and </w:t>
      </w:r>
      <w:r w:rsidRPr="00EF58AE">
        <w:lastRenderedPageBreak/>
        <w:t>procurement clauses; psychological dependency and surveillance normalisation calls for consent models and human oversight; and economic sustainability needs PPPs with clear SLAs and lifecycle costing.</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21"/>
        <w:gridCol w:w="3190"/>
        <w:gridCol w:w="4439"/>
      </w:tblGrid>
      <w:tr w:rsidR="00D86A99" w:rsidRPr="00BD4D64" w14:paraId="1CB5373B" w14:textId="77777777" w:rsidTr="005037AC">
        <w:trPr>
          <w:tblHeader/>
          <w:tblCellSpacing w:w="15" w:type="dxa"/>
        </w:trPr>
        <w:tc>
          <w:tcPr>
            <w:tcW w:w="0" w:type="auto"/>
            <w:vAlign w:val="center"/>
            <w:hideMark/>
          </w:tcPr>
          <w:p w14:paraId="34CEB9A5" w14:textId="77777777" w:rsidR="00D86A99" w:rsidRPr="00BD4D64" w:rsidRDefault="00D86A99" w:rsidP="005037AC">
            <w:pPr>
              <w:rPr>
                <w:b/>
                <w:bCs/>
              </w:rPr>
            </w:pPr>
            <w:r w:rsidRPr="00BD4D64">
              <w:rPr>
                <w:b/>
                <w:bCs/>
              </w:rPr>
              <w:t>Implementation</w:t>
            </w:r>
          </w:p>
        </w:tc>
        <w:tc>
          <w:tcPr>
            <w:tcW w:w="0" w:type="auto"/>
            <w:vAlign w:val="center"/>
            <w:hideMark/>
          </w:tcPr>
          <w:p w14:paraId="79B4AF4D" w14:textId="77777777" w:rsidR="00D86A99" w:rsidRPr="00BD4D64" w:rsidRDefault="00D86A99" w:rsidP="005037AC">
            <w:pPr>
              <w:rPr>
                <w:b/>
                <w:bCs/>
              </w:rPr>
            </w:pPr>
            <w:r w:rsidRPr="00BD4D64">
              <w:rPr>
                <w:b/>
                <w:bCs/>
              </w:rPr>
              <w:t>Risk Domain</w:t>
            </w:r>
          </w:p>
        </w:tc>
        <w:tc>
          <w:tcPr>
            <w:tcW w:w="0" w:type="auto"/>
            <w:vAlign w:val="center"/>
            <w:hideMark/>
          </w:tcPr>
          <w:p w14:paraId="23B61E4D" w14:textId="77777777" w:rsidR="00D86A99" w:rsidRPr="00BD4D64" w:rsidRDefault="00D86A99" w:rsidP="005037AC">
            <w:pPr>
              <w:rPr>
                <w:b/>
                <w:bCs/>
              </w:rPr>
            </w:pPr>
            <w:r w:rsidRPr="00BD4D64">
              <w:rPr>
                <w:b/>
                <w:bCs/>
              </w:rPr>
              <w:t>Specific Vulnerability</w:t>
            </w:r>
          </w:p>
        </w:tc>
      </w:tr>
      <w:tr w:rsidR="00D86A99" w:rsidRPr="00BD4D64" w14:paraId="373A7DDF" w14:textId="77777777" w:rsidTr="005037AC">
        <w:trPr>
          <w:tblCellSpacing w:w="15" w:type="dxa"/>
        </w:trPr>
        <w:tc>
          <w:tcPr>
            <w:tcW w:w="0" w:type="auto"/>
            <w:vAlign w:val="center"/>
            <w:hideMark/>
          </w:tcPr>
          <w:p w14:paraId="6F14A24E" w14:textId="77777777" w:rsidR="00D86A99" w:rsidRPr="00BD4D64" w:rsidRDefault="00D86A99" w:rsidP="005037AC">
            <w:r w:rsidRPr="00BD4D64">
              <w:t>Infrastructural</w:t>
            </w:r>
          </w:p>
        </w:tc>
        <w:tc>
          <w:tcPr>
            <w:tcW w:w="0" w:type="auto"/>
            <w:vAlign w:val="center"/>
            <w:hideMark/>
          </w:tcPr>
          <w:p w14:paraId="05A37C4E" w14:textId="77777777" w:rsidR="00D86A99" w:rsidRPr="00BD4D64" w:rsidRDefault="00D86A99" w:rsidP="005037AC">
            <w:r w:rsidRPr="00BD4D64">
              <w:t>Rural bandwidth deficit; unstable grids</w:t>
            </w:r>
          </w:p>
        </w:tc>
        <w:tc>
          <w:tcPr>
            <w:tcW w:w="0" w:type="auto"/>
            <w:vAlign w:val="center"/>
            <w:hideMark/>
          </w:tcPr>
          <w:p w14:paraId="6BE47A73" w14:textId="77777777" w:rsidR="00D86A99" w:rsidRPr="00BD4D64" w:rsidRDefault="00D86A99" w:rsidP="005037AC">
            <w:r w:rsidRPr="00BD4D64">
              <w:t>Edge-AI nodes; satellite links; local maintenance co-ops</w:t>
            </w:r>
          </w:p>
        </w:tc>
      </w:tr>
      <w:tr w:rsidR="00D86A99" w:rsidRPr="00BD4D64" w14:paraId="7A0D5547" w14:textId="77777777" w:rsidTr="005037AC">
        <w:trPr>
          <w:tblCellSpacing w:w="15" w:type="dxa"/>
        </w:trPr>
        <w:tc>
          <w:tcPr>
            <w:tcW w:w="0" w:type="auto"/>
            <w:vAlign w:val="center"/>
            <w:hideMark/>
          </w:tcPr>
          <w:p w14:paraId="59FBA3A9" w14:textId="77777777" w:rsidR="00D86A99" w:rsidRPr="00BD4D64" w:rsidRDefault="00D86A99" w:rsidP="005037AC">
            <w:r w:rsidRPr="00BD4D64">
              <w:t>Human Capital</w:t>
            </w:r>
          </w:p>
        </w:tc>
        <w:tc>
          <w:tcPr>
            <w:tcW w:w="0" w:type="auto"/>
            <w:vAlign w:val="center"/>
            <w:hideMark/>
          </w:tcPr>
          <w:p w14:paraId="25C26775" w14:textId="77777777" w:rsidR="00D86A99" w:rsidRPr="00BD4D64" w:rsidRDefault="00D86A99" w:rsidP="005037AC">
            <w:r w:rsidRPr="00BD4D64">
              <w:t>Teacher resistance; lack of tech-fluency</w:t>
            </w:r>
          </w:p>
        </w:tc>
        <w:tc>
          <w:tcPr>
            <w:tcW w:w="0" w:type="auto"/>
            <w:vAlign w:val="center"/>
            <w:hideMark/>
          </w:tcPr>
          <w:p w14:paraId="2E07BDE9" w14:textId="77777777" w:rsidR="00D86A99" w:rsidRPr="00BD4D64" w:rsidRDefault="00D86A99" w:rsidP="005037AC">
            <w:r w:rsidRPr="00BD4D64">
              <w:t>Co-design; accredited PD; role protections</w:t>
            </w:r>
          </w:p>
        </w:tc>
      </w:tr>
      <w:tr w:rsidR="00D86A99" w:rsidRPr="00BD4D64" w14:paraId="4B312282" w14:textId="77777777" w:rsidTr="005037AC">
        <w:trPr>
          <w:tblCellSpacing w:w="15" w:type="dxa"/>
        </w:trPr>
        <w:tc>
          <w:tcPr>
            <w:tcW w:w="0" w:type="auto"/>
            <w:vAlign w:val="center"/>
            <w:hideMark/>
          </w:tcPr>
          <w:p w14:paraId="6C8D897D" w14:textId="77777777" w:rsidR="00D86A99" w:rsidRPr="00BD4D64" w:rsidRDefault="00D86A99" w:rsidP="005037AC">
            <w:r w:rsidRPr="00BD4D64">
              <w:t>Socio-Cultural</w:t>
            </w:r>
          </w:p>
        </w:tc>
        <w:tc>
          <w:tcPr>
            <w:tcW w:w="0" w:type="auto"/>
            <w:vAlign w:val="center"/>
            <w:hideMark/>
          </w:tcPr>
          <w:p w14:paraId="0CE074A1" w14:textId="77777777" w:rsidR="00D86A99" w:rsidRPr="00BD4D64" w:rsidRDefault="00D86A99" w:rsidP="005037AC">
            <w:r w:rsidRPr="00BD4D64">
              <w:t>Bias in predictive routing; language barriers</w:t>
            </w:r>
          </w:p>
        </w:tc>
        <w:tc>
          <w:tcPr>
            <w:tcW w:w="0" w:type="auto"/>
            <w:vAlign w:val="center"/>
            <w:hideMark/>
          </w:tcPr>
          <w:p w14:paraId="19E6ED7A" w14:textId="77777777" w:rsidR="00D86A99" w:rsidRPr="00BD4D64" w:rsidRDefault="00D86A99" w:rsidP="005037AC">
            <w:r w:rsidRPr="00BD4D64">
              <w:t>Vernacular models; cultural validation panels</w:t>
            </w:r>
          </w:p>
        </w:tc>
      </w:tr>
      <w:tr w:rsidR="00D86A99" w:rsidRPr="00BD4D64" w14:paraId="1F3E51D9" w14:textId="77777777" w:rsidTr="005037AC">
        <w:trPr>
          <w:tblCellSpacing w:w="15" w:type="dxa"/>
        </w:trPr>
        <w:tc>
          <w:tcPr>
            <w:tcW w:w="0" w:type="auto"/>
            <w:vAlign w:val="center"/>
            <w:hideMark/>
          </w:tcPr>
          <w:p w14:paraId="3705B01E" w14:textId="77777777" w:rsidR="00D86A99" w:rsidRPr="00BD4D64" w:rsidRDefault="00D86A99" w:rsidP="005037AC">
            <w:r w:rsidRPr="00BD4D64">
              <w:t>Data Privacy</w:t>
            </w:r>
          </w:p>
        </w:tc>
        <w:tc>
          <w:tcPr>
            <w:tcW w:w="0" w:type="auto"/>
            <w:vAlign w:val="center"/>
            <w:hideMark/>
          </w:tcPr>
          <w:p w14:paraId="70422F09" w14:textId="77777777" w:rsidR="00D86A99" w:rsidRPr="00BD4D64" w:rsidRDefault="00D86A99" w:rsidP="005037AC">
            <w:r w:rsidRPr="00BD4D64">
              <w:t>Monetization of student cognitive data</w:t>
            </w:r>
          </w:p>
        </w:tc>
        <w:tc>
          <w:tcPr>
            <w:tcW w:w="0" w:type="auto"/>
            <w:vAlign w:val="center"/>
            <w:hideMark/>
          </w:tcPr>
          <w:p w14:paraId="361358B1" w14:textId="77777777" w:rsidR="00D86A99" w:rsidRPr="00BD4D64" w:rsidRDefault="00D86A99" w:rsidP="005037AC">
            <w:r w:rsidRPr="00BD4D64">
              <w:t>National Educational Data Trust; legal safeguards</w:t>
            </w:r>
          </w:p>
        </w:tc>
      </w:tr>
      <w:tr w:rsidR="00D86A99" w:rsidRPr="00BD4D64" w14:paraId="016A1519" w14:textId="77777777" w:rsidTr="005037AC">
        <w:trPr>
          <w:tblCellSpacing w:w="15" w:type="dxa"/>
        </w:trPr>
        <w:tc>
          <w:tcPr>
            <w:tcW w:w="0" w:type="auto"/>
            <w:vAlign w:val="center"/>
            <w:hideMark/>
          </w:tcPr>
          <w:p w14:paraId="34D6B99D" w14:textId="77777777" w:rsidR="00D86A99" w:rsidRPr="00BD4D64" w:rsidRDefault="00D86A99" w:rsidP="005037AC">
            <w:r w:rsidRPr="00BD4D64">
              <w:t>Governance</w:t>
            </w:r>
          </w:p>
        </w:tc>
        <w:tc>
          <w:tcPr>
            <w:tcW w:w="0" w:type="auto"/>
            <w:vAlign w:val="center"/>
            <w:hideMark/>
          </w:tcPr>
          <w:p w14:paraId="2C9B9653" w14:textId="77777777" w:rsidR="00D86A99" w:rsidRPr="00BD4D64" w:rsidRDefault="00D86A99" w:rsidP="005037AC">
            <w:r w:rsidRPr="00BD4D64">
              <w:t>Capture by private vendors</w:t>
            </w:r>
          </w:p>
        </w:tc>
        <w:tc>
          <w:tcPr>
            <w:tcW w:w="0" w:type="auto"/>
            <w:vAlign w:val="center"/>
            <w:hideMark/>
          </w:tcPr>
          <w:p w14:paraId="67E2C345" w14:textId="77777777" w:rsidR="00D86A99" w:rsidRPr="00BD4D64" w:rsidRDefault="00D86A99" w:rsidP="005037AC">
            <w:r w:rsidRPr="00BD4D64">
              <w:t>Open APIs; procurement with public-interest clauses</w:t>
            </w:r>
          </w:p>
        </w:tc>
      </w:tr>
      <w:tr w:rsidR="00D86A99" w:rsidRPr="00BD4D64" w14:paraId="325EF856" w14:textId="77777777" w:rsidTr="005037AC">
        <w:trPr>
          <w:tblCellSpacing w:w="15" w:type="dxa"/>
        </w:trPr>
        <w:tc>
          <w:tcPr>
            <w:tcW w:w="0" w:type="auto"/>
            <w:vAlign w:val="center"/>
            <w:hideMark/>
          </w:tcPr>
          <w:p w14:paraId="5DB80A31" w14:textId="77777777" w:rsidR="00D86A99" w:rsidRPr="00BD4D64" w:rsidRDefault="00D86A99" w:rsidP="005037AC">
            <w:r w:rsidRPr="00BD4D64">
              <w:t>Psychological</w:t>
            </w:r>
          </w:p>
        </w:tc>
        <w:tc>
          <w:tcPr>
            <w:tcW w:w="0" w:type="auto"/>
            <w:vAlign w:val="center"/>
            <w:hideMark/>
          </w:tcPr>
          <w:p w14:paraId="786BD6C9" w14:textId="77777777" w:rsidR="00D86A99" w:rsidRPr="00BD4D64" w:rsidRDefault="00D86A99" w:rsidP="005037AC">
            <w:r w:rsidRPr="00BD4D64">
              <w:t>Dependency; surveillance normalization</w:t>
            </w:r>
          </w:p>
        </w:tc>
        <w:tc>
          <w:tcPr>
            <w:tcW w:w="0" w:type="auto"/>
            <w:vAlign w:val="center"/>
            <w:hideMark/>
          </w:tcPr>
          <w:p w14:paraId="5C1BD248" w14:textId="77777777" w:rsidR="00D86A99" w:rsidRPr="00BD4D64" w:rsidRDefault="00D86A99" w:rsidP="005037AC">
            <w:r w:rsidRPr="00BD4D64">
              <w:t>Consent models; opt-outs; human oversight</w:t>
            </w:r>
          </w:p>
        </w:tc>
      </w:tr>
      <w:tr w:rsidR="00D86A99" w:rsidRPr="00BD4D64" w14:paraId="2BAA5C31" w14:textId="77777777" w:rsidTr="005037AC">
        <w:trPr>
          <w:tblCellSpacing w:w="15" w:type="dxa"/>
        </w:trPr>
        <w:tc>
          <w:tcPr>
            <w:tcW w:w="0" w:type="auto"/>
            <w:vAlign w:val="center"/>
            <w:hideMark/>
          </w:tcPr>
          <w:p w14:paraId="0069CF77" w14:textId="77777777" w:rsidR="00D86A99" w:rsidRPr="00BD4D64" w:rsidRDefault="00D86A99" w:rsidP="005037AC">
            <w:r w:rsidRPr="00BD4D64">
              <w:t>Economic</w:t>
            </w:r>
          </w:p>
        </w:tc>
        <w:tc>
          <w:tcPr>
            <w:tcW w:w="0" w:type="auto"/>
            <w:vAlign w:val="center"/>
            <w:hideMark/>
          </w:tcPr>
          <w:p w14:paraId="7648C1FF" w14:textId="77777777" w:rsidR="00D86A99" w:rsidRPr="00BD4D64" w:rsidRDefault="00D86A99" w:rsidP="005037AC">
            <w:r w:rsidRPr="00BD4D64">
              <w:t>Unsustainable costs</w:t>
            </w:r>
          </w:p>
        </w:tc>
        <w:tc>
          <w:tcPr>
            <w:tcW w:w="0" w:type="auto"/>
            <w:vAlign w:val="center"/>
            <w:hideMark/>
          </w:tcPr>
          <w:p w14:paraId="60475590" w14:textId="77777777" w:rsidR="00D86A99" w:rsidRPr="00BD4D64" w:rsidRDefault="00D86A99" w:rsidP="005037AC">
            <w:r w:rsidRPr="00BD4D64">
              <w:t>PPP with clear SLAs; lifecycle costing; public funding guarantees</w:t>
            </w:r>
          </w:p>
        </w:tc>
      </w:tr>
    </w:tbl>
    <w:p w14:paraId="43E49FAE" w14:textId="77777777" w:rsidR="00D86A99" w:rsidRPr="00EF58AE" w:rsidRDefault="00D86A99" w:rsidP="00D86A99"/>
    <w:p w14:paraId="24FE955B" w14:textId="77777777" w:rsidR="00D86A99" w:rsidRPr="00EF58AE" w:rsidRDefault="00D86A99" w:rsidP="00D86A99"/>
    <w:p w14:paraId="55B48745" w14:textId="77777777" w:rsidR="00D86A99" w:rsidRPr="00D86A99" w:rsidRDefault="00D86A99" w:rsidP="00D86A99">
      <w:pPr>
        <w:rPr>
          <w:b/>
          <w:bCs/>
        </w:rPr>
      </w:pPr>
    </w:p>
    <w:p w14:paraId="09B63949" w14:textId="77777777" w:rsidR="00D86A99" w:rsidRPr="00D86A99" w:rsidRDefault="00D86A99" w:rsidP="00D86A99">
      <w:pPr>
        <w:rPr>
          <w:b/>
          <w:bCs/>
        </w:rPr>
      </w:pPr>
    </w:p>
    <w:p w14:paraId="2EC0697B" w14:textId="77777777" w:rsidR="00D86A99" w:rsidRPr="00D86A99" w:rsidRDefault="00D86A99" w:rsidP="00D86A99">
      <w:pPr>
        <w:rPr>
          <w:b/>
          <w:bCs/>
        </w:rPr>
      </w:pPr>
      <w:r w:rsidRPr="00D86A99">
        <w:rPr>
          <w:b/>
          <w:bCs/>
        </w:rPr>
        <w:t>12.    Phased Strategic Implementation Plan Enhanced</w:t>
      </w:r>
    </w:p>
    <w:p w14:paraId="269B63DC" w14:textId="77777777" w:rsidR="00D86A99" w:rsidRPr="00EF58AE" w:rsidRDefault="00D86A99" w:rsidP="00D86A99"/>
    <w:p w14:paraId="3252B009" w14:textId="77777777" w:rsidR="00D86A99" w:rsidRDefault="00D86A99" w:rsidP="00D86A99">
      <w:r w:rsidRPr="00EF58AE">
        <w:t xml:space="preserve">The roadmap is broken into three phases. 2026-2027: Blueprint &amp; API modelling, common data schemas, ethical AI legislation, vernacular LLMs, National Educational Data Trust, feasibility simulations with Ministry of Education, </w:t>
      </w:r>
      <w:proofErr w:type="spellStart"/>
      <w:r w:rsidRPr="00EF58AE">
        <w:t>MeitY</w:t>
      </w:r>
      <w:proofErr w:type="spellEnd"/>
      <w:r w:rsidRPr="00EF58AE">
        <w:t xml:space="preserve">, NCERT, independent academic partners. 2028-2029: Deployment of 10,000 diverse schools in targeted node pilots, training of AI vanguard mentors, stress-testing of edge AI, and mixed-method evaluations with State Education Boards, AICTE, DIKSHA and Vidya Samiksha </w:t>
      </w:r>
      <w:proofErr w:type="spellStart"/>
      <w:r w:rsidRPr="00EF58AE">
        <w:t>Kendras</w:t>
      </w:r>
      <w:proofErr w:type="spellEnd"/>
      <w:r w:rsidRPr="00EF58AE">
        <w:t>. Finally, national singularity integration scales up to national coverage with phased accreditation, includes employer and university acceptance of portfolios, and institutionalises governance and audit mechanisms under the National Educational Data Trust, PPP partners and parliamentary oversight from 2030 to 2032 (ASSOCHAM &amp; EY, 2025; Ministry of Electronics and Information Technology, 2025; Koller et al., 2013; Ministry of Skill Development and Entrepreneurship, 2025).</w:t>
      </w:r>
    </w:p>
    <w:p w14:paraId="2099D20A" w14:textId="77777777" w:rsidR="00D86A99" w:rsidRDefault="00D86A99" w:rsidP="00D86A99"/>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984"/>
        <w:gridCol w:w="1007"/>
        <w:gridCol w:w="3823"/>
        <w:gridCol w:w="2536"/>
      </w:tblGrid>
      <w:tr w:rsidR="00D86A99" w:rsidRPr="00BD4D64" w14:paraId="55AD095B" w14:textId="77777777" w:rsidTr="005037AC">
        <w:trPr>
          <w:tblHeader/>
          <w:tblCellSpacing w:w="15" w:type="dxa"/>
        </w:trPr>
        <w:tc>
          <w:tcPr>
            <w:tcW w:w="0" w:type="auto"/>
            <w:vAlign w:val="center"/>
            <w:hideMark/>
          </w:tcPr>
          <w:p w14:paraId="6E21EA41" w14:textId="77777777" w:rsidR="00D86A99" w:rsidRPr="00BD4D64" w:rsidRDefault="00D86A99" w:rsidP="005037AC">
            <w:pPr>
              <w:rPr>
                <w:b/>
                <w:bCs/>
              </w:rPr>
            </w:pPr>
            <w:r w:rsidRPr="00BD4D64">
              <w:rPr>
                <w:b/>
                <w:bCs/>
              </w:rPr>
              <w:t>Implementation Phase</w:t>
            </w:r>
          </w:p>
        </w:tc>
        <w:tc>
          <w:tcPr>
            <w:tcW w:w="0" w:type="auto"/>
            <w:vAlign w:val="center"/>
            <w:hideMark/>
          </w:tcPr>
          <w:p w14:paraId="2624AE36" w14:textId="77777777" w:rsidR="00D86A99" w:rsidRPr="00BD4D64" w:rsidRDefault="00D86A99" w:rsidP="005037AC">
            <w:pPr>
              <w:rPr>
                <w:b/>
                <w:bCs/>
              </w:rPr>
            </w:pPr>
            <w:r w:rsidRPr="00BD4D64">
              <w:rPr>
                <w:b/>
                <w:bCs/>
              </w:rPr>
              <w:t>Timeline</w:t>
            </w:r>
          </w:p>
        </w:tc>
        <w:tc>
          <w:tcPr>
            <w:tcW w:w="0" w:type="auto"/>
            <w:vAlign w:val="center"/>
            <w:hideMark/>
          </w:tcPr>
          <w:p w14:paraId="683C1C11" w14:textId="77777777" w:rsidR="00D86A99" w:rsidRPr="00BD4D64" w:rsidRDefault="00D86A99" w:rsidP="005037AC">
            <w:pPr>
              <w:rPr>
                <w:b/>
                <w:bCs/>
              </w:rPr>
            </w:pPr>
            <w:r w:rsidRPr="00BD4D64">
              <w:rPr>
                <w:b/>
                <w:bCs/>
              </w:rPr>
              <w:t>Primary Objectives</w:t>
            </w:r>
          </w:p>
        </w:tc>
        <w:tc>
          <w:tcPr>
            <w:tcW w:w="0" w:type="auto"/>
            <w:vAlign w:val="center"/>
            <w:hideMark/>
          </w:tcPr>
          <w:p w14:paraId="650D98D5" w14:textId="77777777" w:rsidR="00D86A99" w:rsidRPr="00BD4D64" w:rsidRDefault="00D86A99" w:rsidP="005037AC">
            <w:pPr>
              <w:rPr>
                <w:b/>
                <w:bCs/>
              </w:rPr>
            </w:pPr>
            <w:r w:rsidRPr="00BD4D64">
              <w:rPr>
                <w:b/>
                <w:bCs/>
              </w:rPr>
              <w:t>Key Public Sector Stakeholders</w:t>
            </w:r>
          </w:p>
        </w:tc>
      </w:tr>
      <w:tr w:rsidR="00D86A99" w:rsidRPr="00BD4D64" w14:paraId="5D3DD8B1" w14:textId="77777777" w:rsidTr="005037AC">
        <w:trPr>
          <w:tblCellSpacing w:w="15" w:type="dxa"/>
        </w:trPr>
        <w:tc>
          <w:tcPr>
            <w:tcW w:w="0" w:type="auto"/>
            <w:vAlign w:val="center"/>
            <w:hideMark/>
          </w:tcPr>
          <w:p w14:paraId="6A4CCA10" w14:textId="77777777" w:rsidR="00D86A99" w:rsidRPr="00BD4D64" w:rsidRDefault="00D86A99" w:rsidP="005037AC">
            <w:r w:rsidRPr="00BD4D64">
              <w:t>1. Blueprint &amp; API Structuring</w:t>
            </w:r>
          </w:p>
        </w:tc>
        <w:tc>
          <w:tcPr>
            <w:tcW w:w="0" w:type="auto"/>
            <w:vAlign w:val="center"/>
            <w:hideMark/>
          </w:tcPr>
          <w:p w14:paraId="1EF0B822" w14:textId="77777777" w:rsidR="00D86A99" w:rsidRPr="00BD4D64" w:rsidRDefault="00D86A99" w:rsidP="005037AC">
            <w:r w:rsidRPr="00BD4D64">
              <w:t>2026–2027</w:t>
            </w:r>
          </w:p>
        </w:tc>
        <w:tc>
          <w:tcPr>
            <w:tcW w:w="0" w:type="auto"/>
            <w:vAlign w:val="center"/>
            <w:hideMark/>
          </w:tcPr>
          <w:p w14:paraId="13D4AE8C" w14:textId="77777777" w:rsidR="00D86A99" w:rsidRPr="00BD4D64" w:rsidRDefault="00D86A99" w:rsidP="005037AC">
            <w:r w:rsidRPr="00BD4D64">
              <w:t>Build unified data schemas; draft ethical AI legislation; integrate vernacular LLMs; establish National Educational Data Trust; run feasibility simulations</w:t>
            </w:r>
          </w:p>
        </w:tc>
        <w:tc>
          <w:tcPr>
            <w:tcW w:w="0" w:type="auto"/>
            <w:vAlign w:val="center"/>
            <w:hideMark/>
          </w:tcPr>
          <w:p w14:paraId="6138DB31" w14:textId="77777777" w:rsidR="00D86A99" w:rsidRPr="00BD4D64" w:rsidRDefault="00D86A99" w:rsidP="005037AC">
            <w:r w:rsidRPr="00BD4D64">
              <w:t xml:space="preserve">Ministry of Education, </w:t>
            </w:r>
            <w:proofErr w:type="spellStart"/>
            <w:r w:rsidRPr="00BD4D64">
              <w:t>MeitY</w:t>
            </w:r>
            <w:proofErr w:type="spellEnd"/>
            <w:r w:rsidRPr="00BD4D64">
              <w:t>, NCERT, independent academic partners</w:t>
            </w:r>
          </w:p>
        </w:tc>
      </w:tr>
      <w:tr w:rsidR="00D86A99" w:rsidRPr="00BD4D64" w14:paraId="64B1A1CD" w14:textId="77777777" w:rsidTr="005037AC">
        <w:trPr>
          <w:tblCellSpacing w:w="15" w:type="dxa"/>
        </w:trPr>
        <w:tc>
          <w:tcPr>
            <w:tcW w:w="0" w:type="auto"/>
            <w:vAlign w:val="center"/>
            <w:hideMark/>
          </w:tcPr>
          <w:p w14:paraId="28AEDBBD" w14:textId="77777777" w:rsidR="00D86A99" w:rsidRPr="00BD4D64" w:rsidRDefault="00D86A99" w:rsidP="005037AC">
            <w:r w:rsidRPr="00BD4D64">
              <w:t>2. Targeted Node Deployment</w:t>
            </w:r>
          </w:p>
        </w:tc>
        <w:tc>
          <w:tcPr>
            <w:tcW w:w="0" w:type="auto"/>
            <w:vAlign w:val="center"/>
            <w:hideMark/>
          </w:tcPr>
          <w:p w14:paraId="5730A88B" w14:textId="77777777" w:rsidR="00D86A99" w:rsidRPr="00BD4D64" w:rsidRDefault="00D86A99" w:rsidP="005037AC">
            <w:r w:rsidRPr="00BD4D64">
              <w:t>2028–2029</w:t>
            </w:r>
          </w:p>
        </w:tc>
        <w:tc>
          <w:tcPr>
            <w:tcW w:w="0" w:type="auto"/>
            <w:vAlign w:val="center"/>
            <w:hideMark/>
          </w:tcPr>
          <w:p w14:paraId="00BEAFE5" w14:textId="77777777" w:rsidR="00D86A99" w:rsidRPr="00BD4D64" w:rsidRDefault="00D86A99" w:rsidP="005037AC">
            <w:r w:rsidRPr="00BD4D64">
              <w:t>Pilot in 10,000 diverse schools; train vanguard "AI mentors"; stress-test edge AI; run mixed-method evaluations</w:t>
            </w:r>
          </w:p>
        </w:tc>
        <w:tc>
          <w:tcPr>
            <w:tcW w:w="0" w:type="auto"/>
            <w:vAlign w:val="center"/>
            <w:hideMark/>
          </w:tcPr>
          <w:p w14:paraId="2E6E9E0A" w14:textId="77777777" w:rsidR="00D86A99" w:rsidRPr="00BD4D64" w:rsidRDefault="00D86A99" w:rsidP="005037AC">
            <w:r w:rsidRPr="00BD4D64">
              <w:t xml:space="preserve">State Education Boards, AICTE, DIKSHA, Vidya Samiksha </w:t>
            </w:r>
            <w:proofErr w:type="spellStart"/>
            <w:r w:rsidRPr="00BD4D64">
              <w:t>Kendras</w:t>
            </w:r>
            <w:proofErr w:type="spellEnd"/>
          </w:p>
        </w:tc>
      </w:tr>
      <w:tr w:rsidR="00D86A99" w:rsidRPr="00BD4D64" w14:paraId="3560901D" w14:textId="77777777" w:rsidTr="005037AC">
        <w:trPr>
          <w:tblCellSpacing w:w="15" w:type="dxa"/>
        </w:trPr>
        <w:tc>
          <w:tcPr>
            <w:tcW w:w="0" w:type="auto"/>
            <w:vAlign w:val="center"/>
            <w:hideMark/>
          </w:tcPr>
          <w:p w14:paraId="0D991559" w14:textId="77777777" w:rsidR="00D86A99" w:rsidRPr="00BD4D64" w:rsidRDefault="00D86A99" w:rsidP="005037AC">
            <w:r w:rsidRPr="00BD4D64">
              <w:lastRenderedPageBreak/>
              <w:t>3. National Singularity Integration</w:t>
            </w:r>
          </w:p>
        </w:tc>
        <w:tc>
          <w:tcPr>
            <w:tcW w:w="0" w:type="auto"/>
            <w:vAlign w:val="center"/>
            <w:hideMark/>
          </w:tcPr>
          <w:p w14:paraId="44D4A749" w14:textId="77777777" w:rsidR="00D86A99" w:rsidRPr="00BD4D64" w:rsidRDefault="00D86A99" w:rsidP="005037AC">
            <w:r w:rsidRPr="00BD4D64">
              <w:t>2030–2032</w:t>
            </w:r>
          </w:p>
        </w:tc>
        <w:tc>
          <w:tcPr>
            <w:tcW w:w="0" w:type="auto"/>
            <w:vAlign w:val="center"/>
            <w:hideMark/>
          </w:tcPr>
          <w:p w14:paraId="2D227EF3" w14:textId="77777777" w:rsidR="00D86A99" w:rsidRPr="00BD4D64" w:rsidRDefault="00D86A99" w:rsidP="005037AC">
            <w:r w:rsidRPr="00BD4D64">
              <w:t>Scale to national coverage with phased accreditation; integrate employer and university acceptance of portfolios; institutionalize governance and audit mechanisms</w:t>
            </w:r>
          </w:p>
        </w:tc>
        <w:tc>
          <w:tcPr>
            <w:tcW w:w="0" w:type="auto"/>
            <w:vAlign w:val="center"/>
            <w:hideMark/>
          </w:tcPr>
          <w:p w14:paraId="1F6D0B8B" w14:textId="77777777" w:rsidR="00D86A99" w:rsidRPr="00BD4D64" w:rsidRDefault="00D86A99" w:rsidP="005037AC">
            <w:r w:rsidRPr="00BD4D64">
              <w:t>National Educational Data Trust, PPP Partners, Parliament oversight committees</w:t>
            </w:r>
          </w:p>
        </w:tc>
      </w:tr>
    </w:tbl>
    <w:p w14:paraId="02BB7FC9" w14:textId="77777777" w:rsidR="00D86A99" w:rsidRPr="00D86A99" w:rsidRDefault="00D86A99" w:rsidP="00D86A99">
      <w:pPr>
        <w:rPr>
          <w:b/>
          <w:bCs/>
        </w:rPr>
      </w:pPr>
    </w:p>
    <w:p w14:paraId="29381D31" w14:textId="77777777" w:rsidR="00D86A99" w:rsidRPr="00EF58AE" w:rsidRDefault="00D86A99" w:rsidP="00D86A99"/>
    <w:p w14:paraId="68C4A50F" w14:textId="77777777" w:rsidR="00D86A99" w:rsidRPr="00EF58AE" w:rsidRDefault="00D86A99" w:rsidP="00D86A99"/>
    <w:p w14:paraId="5AFD1C7F" w14:textId="77777777" w:rsidR="00D86A99" w:rsidRPr="00EF58AE" w:rsidRDefault="00D86A99" w:rsidP="00D86A99"/>
    <w:p w14:paraId="3B3B0B21" w14:textId="77777777" w:rsidR="00D86A99" w:rsidRPr="00D86A99" w:rsidRDefault="00D86A99" w:rsidP="00D86A99">
      <w:pPr>
        <w:rPr>
          <w:b/>
          <w:bCs/>
        </w:rPr>
      </w:pPr>
      <w:r w:rsidRPr="00D86A99">
        <w:rPr>
          <w:b/>
          <w:bCs/>
        </w:rPr>
        <w:t xml:space="preserve">13.    Validation, Accreditation and Transition from Board Exams </w:t>
      </w:r>
    </w:p>
    <w:p w14:paraId="6326C668" w14:textId="77777777" w:rsidR="00D86A99" w:rsidRPr="00EF58AE" w:rsidRDefault="00D86A99" w:rsidP="00D86A99"/>
    <w:p w14:paraId="61966051" w14:textId="77777777" w:rsidR="00D86A99" w:rsidRPr="00EF58AE" w:rsidRDefault="00D86A99" w:rsidP="00D86A99">
      <w:r w:rsidRPr="00EF58AE">
        <w:t>One reviewer expressed a significant concern about the proposed replacement of board exams by cognitive portfolios validated by blockchain. It would be phased, evidence-led change. The validation pathway is to run parallel credentialing pilots where portfolios are running parallel to existing board exams for 3-5 years to establish convergent validity. There needs to be a standardisation framework with rubrics, anchor tasks and moderation protocols to ensure comparability across institutions.  Third party accreditation bodies should validate portfolio standards and moderation processes.  Adoption will be tested in the real world by pilots at the employer and university level. Regulatory measures: statutory recognition of verified portfolios based on demonstrated equivalence. Appeals and Due Process of Challenged Decisions. Risk management should include gaming and fraud prevention with multi-source evidence, cryptographic anchoring, and human moderation. Equity safeguards are in place to prevent portfolios from giving advantage to students with more resources (Koller et al., 2013; Heffernan &amp; Heffernan, 2014; Ministry of Electronics and Information Technology, 2025; Mittelstadt et al., 2016; Selbst &amp; Barocas, 2018; Jha et al., 2025).</w:t>
      </w:r>
    </w:p>
    <w:p w14:paraId="60F9E9C7" w14:textId="77777777" w:rsidR="00D86A99" w:rsidRPr="00EF58AE" w:rsidRDefault="00D86A99" w:rsidP="00D86A99"/>
    <w:p w14:paraId="6E8A55C6" w14:textId="77777777" w:rsidR="00D86A99" w:rsidRPr="00EF58AE" w:rsidRDefault="00D86A99" w:rsidP="00D86A99"/>
    <w:p w14:paraId="4C098F01" w14:textId="77777777" w:rsidR="00D86A99" w:rsidRPr="00EF58AE" w:rsidRDefault="00D86A99" w:rsidP="00D86A99"/>
    <w:p w14:paraId="25BFFFCB" w14:textId="77777777" w:rsidR="00D86A99" w:rsidRPr="00D86A99" w:rsidRDefault="00D86A99" w:rsidP="00D86A99">
      <w:pPr>
        <w:rPr>
          <w:b/>
          <w:bCs/>
        </w:rPr>
      </w:pPr>
      <w:r w:rsidRPr="00D86A99">
        <w:rPr>
          <w:b/>
          <w:bCs/>
        </w:rPr>
        <w:t xml:space="preserve">14.    Monitoring, Evaluation and Research Management </w:t>
      </w:r>
    </w:p>
    <w:p w14:paraId="51C4CDD6" w14:textId="77777777" w:rsidR="00D86A99" w:rsidRPr="00EF58AE" w:rsidRDefault="00D86A99" w:rsidP="00D86A99"/>
    <w:p w14:paraId="06196256" w14:textId="77777777" w:rsidR="00D86A99" w:rsidRPr="00EF58AE" w:rsidRDefault="00D86A99" w:rsidP="00D86A99">
      <w:r w:rsidRPr="00EF58AE">
        <w:t>“A national M&amp;E framework is a must. Core indicators should include: Learning outcomes (standardised and domain-specific); Equity indicators disaggregated by gender, caste, language and socio-economic status; System reliability metrics (uptime, latency, edge synchronisation); Teacher outcomes (time allocation, job satisfaction and professional development uptake); and Labour market outcomes (placement rates, employer satisfaction and earnings trajectories). Research governance should facilitate independent researchers’ use of open, anonymised, privacy-preserving datasets under strict governance, require ethics review for pilot studies involving human subjects and establish an independent consortium of universities to undertake longitudinal studies (Koller et al., 2013; Luckin et al., 2016; Meenakshi &amp; Arul, 2025; Mittelstadt et al., 2016).</w:t>
      </w:r>
    </w:p>
    <w:p w14:paraId="16DE3DAF" w14:textId="77777777" w:rsidR="00D86A99" w:rsidRPr="00EF58AE" w:rsidRDefault="00D86A99" w:rsidP="00D86A99"/>
    <w:p w14:paraId="66F11E24" w14:textId="77777777" w:rsidR="00D86A99" w:rsidRPr="00EF58AE" w:rsidRDefault="00D86A99" w:rsidP="00D86A99"/>
    <w:p w14:paraId="4B1E346D" w14:textId="77777777" w:rsidR="00D86A99" w:rsidRPr="00EF58AE" w:rsidRDefault="00D86A99" w:rsidP="00D86A99"/>
    <w:p w14:paraId="60CE2245" w14:textId="77777777" w:rsidR="00D86A99" w:rsidRPr="00D86A99" w:rsidRDefault="00D86A99" w:rsidP="00D86A99">
      <w:pPr>
        <w:rPr>
          <w:b/>
          <w:bCs/>
        </w:rPr>
      </w:pPr>
      <w:r w:rsidRPr="00D86A99">
        <w:rPr>
          <w:b/>
          <w:bCs/>
        </w:rPr>
        <w:t>15.    Limitations, Open Questions and Future Directions</w:t>
      </w:r>
    </w:p>
    <w:p w14:paraId="5F05A7C0" w14:textId="77777777" w:rsidR="00D86A99" w:rsidRPr="00EF58AE" w:rsidRDefault="00D86A99" w:rsidP="00D86A99"/>
    <w:p w14:paraId="77016629" w14:textId="77777777" w:rsidR="00D86A99" w:rsidRPr="00EF58AE" w:rsidRDefault="00D86A99" w:rsidP="00D86A99">
      <w:r w:rsidRPr="00EF58AE">
        <w:t xml:space="preserve">Some of the CSF components such as vernacular LLMs at the national scale are speculative and would require significant investment and technical </w:t>
      </w:r>
      <w:proofErr w:type="gramStart"/>
      <w:r w:rsidRPr="00EF58AE">
        <w:t>maturation .</w:t>
      </w:r>
      <w:proofErr w:type="gramEnd"/>
      <w:r w:rsidRPr="00EF58AE">
        <w:t xml:space="preserve"> India’s heterogeneity implies that there can be no one-size-fits-all solutions, and hence, they need to be locally adapted. </w:t>
      </w:r>
      <w:r w:rsidRPr="00EF58AE">
        <w:lastRenderedPageBreak/>
        <w:t xml:space="preserve">Politically and legally complicated to build a trusted National Educational Data Trust Open research questions include: What is the optimum trade-off between edge and cloud compute for cost and pedagogy effectiveness? What are the effects of continuous algorithmic evaluations on students’ motivation and identity formation? And what models of governance best balance innovation and public accountability? Further work should entail pilot implementations and publication in peer-reviewed journals; development of model transparency tools tailored to educators; and cross-national comparative studies of DPI initiatives (Bender et al., 2021, Koller et al., 2013, Ministry of Electronics and Information Technology, 2025, Deci &amp; Ryan, 2000, Zuboff, 2019, Mittelstadt et al., 2016, Williamson &amp; </w:t>
      </w:r>
      <w:proofErr w:type="spellStart"/>
      <w:r w:rsidRPr="00EF58AE">
        <w:t>Piattoeva</w:t>
      </w:r>
      <w:proofErr w:type="spellEnd"/>
      <w:r w:rsidRPr="00EF58AE">
        <w:t>, 2021).</w:t>
      </w:r>
    </w:p>
    <w:p w14:paraId="0BB924F0" w14:textId="77777777" w:rsidR="00D86A99" w:rsidRPr="00EF58AE" w:rsidRDefault="00D86A99" w:rsidP="00D86A99"/>
    <w:p w14:paraId="58CAD058" w14:textId="3DF1C2B1" w:rsidR="00D86A99" w:rsidRPr="00D86A99" w:rsidRDefault="00D86A99" w:rsidP="00D86A99">
      <w:pPr>
        <w:rPr>
          <w:b/>
          <w:bCs/>
        </w:rPr>
      </w:pPr>
      <w:r w:rsidRPr="00D86A99">
        <w:rPr>
          <w:b/>
          <w:bCs/>
        </w:rPr>
        <w:t>Conclusion</w:t>
      </w:r>
    </w:p>
    <w:p w14:paraId="77A7B2E8" w14:textId="77777777" w:rsidR="00D86A99" w:rsidRPr="00EF58AE" w:rsidRDefault="00D86A99" w:rsidP="00D86A99"/>
    <w:p w14:paraId="23D74ACA" w14:textId="77777777" w:rsidR="00D86A99" w:rsidRPr="00BD4D64" w:rsidRDefault="00D86A99" w:rsidP="00D86A99">
      <w:r w:rsidRPr="00BD4D64">
        <w:t>The Cognitive Singularity Framework is a radical, but necessary, break from the industrial-era model of schooling that currently stifles India’s demographic potential. By designing a single integrated backbone, the country can change AI from a disconnected curriculum subject to the very oxygen of the educational ecosystem. The framework is not about removing the human element from learning; rather, it aims to elevate human educators to their highest calling of mentorship and moral guidance by ruthlessly automating bureaucratic desktop tasks and reducing administrative friction. Tackling the deep challenges of digital infrastructure, vernacular language processing and data sovereignty will require an unprecedented degree of political will and cross-sector collaboration.</w:t>
      </w:r>
    </w:p>
    <w:p w14:paraId="155CED5E" w14:textId="77777777" w:rsidR="00D86A99" w:rsidRPr="00BD4D64" w:rsidRDefault="00D86A99" w:rsidP="00D86A99">
      <w:r w:rsidRPr="00BD4D64">
        <w:t>This revised manuscript reframes CSF as an evidence-driven, theory-grounded, and governance-aware program. It provides a concrete empirical agenda, participatory governance mechanisms, and phased transition pathways that address the reviewer’s concerns about speculation, theoretical grounding, and feasibility. The successful deployment of this unified architecture will not only correct India’s historic educational inequities but also position the country as the world’s leading architect of future-ready, intelligence-augmented human capital—provided the program is implemented with humility, rigorous evaluation, and democratic oversight.</w:t>
      </w:r>
    </w:p>
    <w:p w14:paraId="14928EE2" w14:textId="77777777" w:rsidR="00D86A99" w:rsidRDefault="00D86A99" w:rsidP="00BD4D64"/>
    <w:p w14:paraId="3B6B3EC0" w14:textId="3AE92DA1" w:rsidR="00BD4D64" w:rsidRPr="00BD4D64" w:rsidRDefault="00BD4D64" w:rsidP="00BD4D64"/>
    <w:p w14:paraId="27CC69B3" w14:textId="5D80FD1F" w:rsidR="00BD4D64" w:rsidRPr="00BD4D64" w:rsidRDefault="00BD4D64" w:rsidP="00BD4D64"/>
    <w:p w14:paraId="67FFB7A4" w14:textId="138F54D6" w:rsidR="00BD4D64" w:rsidRPr="00BD4D64" w:rsidRDefault="00BD4D64" w:rsidP="00BD4D64">
      <w:pPr>
        <w:rPr>
          <w:b/>
          <w:bCs/>
        </w:rPr>
      </w:pPr>
      <w:r w:rsidRPr="00BD4D64">
        <w:rPr>
          <w:b/>
          <w:bCs/>
        </w:rPr>
        <w:t>References</w:t>
      </w:r>
    </w:p>
    <w:p w14:paraId="5834F095" w14:textId="77777777" w:rsidR="00BD4D64" w:rsidRPr="00BD4D64" w:rsidRDefault="00BD4D64" w:rsidP="00BD4D64">
      <w:pPr>
        <w:pStyle w:val="ListParagraph"/>
        <w:numPr>
          <w:ilvl w:val="0"/>
          <w:numId w:val="151"/>
        </w:numPr>
      </w:pPr>
      <w:r w:rsidRPr="00BD4D64">
        <w:t xml:space="preserve">ASSOCHAM &amp; EY. (2025). </w:t>
      </w:r>
      <w:r w:rsidRPr="00BD4D64">
        <w:rPr>
          <w:i/>
          <w:iCs/>
        </w:rPr>
        <w:t>AI as a catalyst for education delivery: Empowering the future of learning in India</w:t>
      </w:r>
      <w:r w:rsidRPr="00BD4D64">
        <w:t>.</w:t>
      </w:r>
    </w:p>
    <w:p w14:paraId="01FE7473" w14:textId="77777777" w:rsidR="00BD4D64" w:rsidRPr="00BD4D64" w:rsidRDefault="00BD4D64" w:rsidP="00BD4D64">
      <w:pPr>
        <w:pStyle w:val="ListParagraph"/>
        <w:numPr>
          <w:ilvl w:val="0"/>
          <w:numId w:val="151"/>
        </w:numPr>
      </w:pPr>
      <w:r w:rsidRPr="00BD4D64">
        <w:t xml:space="preserve">Bender, E. M., Gebru, T., McMillan-Major, A., &amp; </w:t>
      </w:r>
      <w:proofErr w:type="spellStart"/>
      <w:r w:rsidRPr="00BD4D64">
        <w:t>Shmitchell</w:t>
      </w:r>
      <w:proofErr w:type="spellEnd"/>
      <w:r w:rsidRPr="00BD4D64">
        <w:t xml:space="preserve">, S. (2021). On the dangers of stochastic parrots: Can language models be too big? In </w:t>
      </w:r>
      <w:r w:rsidRPr="00BD4D64">
        <w:rPr>
          <w:i/>
          <w:iCs/>
        </w:rPr>
        <w:t>Proceedings of the 2021 ACM Conference on Fairness, Accountability, and Transparency (</w:t>
      </w:r>
      <w:proofErr w:type="spellStart"/>
      <w:r w:rsidRPr="00BD4D64">
        <w:rPr>
          <w:i/>
          <w:iCs/>
        </w:rPr>
        <w:t>FAccT</w:t>
      </w:r>
      <w:proofErr w:type="spellEnd"/>
      <w:r w:rsidRPr="00BD4D64">
        <w:rPr>
          <w:i/>
          <w:iCs/>
        </w:rPr>
        <w:t>)</w:t>
      </w:r>
      <w:r w:rsidRPr="00BD4D64">
        <w:t>.</w:t>
      </w:r>
    </w:p>
    <w:p w14:paraId="19C61DF8" w14:textId="77777777" w:rsidR="00BD4D64" w:rsidRPr="00BD4D64" w:rsidRDefault="00BD4D64" w:rsidP="00BD4D64">
      <w:pPr>
        <w:pStyle w:val="ListParagraph"/>
        <w:numPr>
          <w:ilvl w:val="0"/>
          <w:numId w:val="151"/>
        </w:numPr>
      </w:pPr>
      <w:r w:rsidRPr="00BD4D64">
        <w:t xml:space="preserve">Deci, E. L., &amp; Ryan, R. M. (2000). The "what" and "why" of goal pursuits: Human needs and the self-determination of </w:t>
      </w:r>
      <w:proofErr w:type="spellStart"/>
      <w:r w:rsidRPr="00BD4D64">
        <w:t>behavior</w:t>
      </w:r>
      <w:proofErr w:type="spellEnd"/>
      <w:r w:rsidRPr="00BD4D64">
        <w:t xml:space="preserve">. </w:t>
      </w:r>
      <w:r w:rsidRPr="00BD4D64">
        <w:rPr>
          <w:i/>
          <w:iCs/>
        </w:rPr>
        <w:t>Psychological Inquiry</w:t>
      </w:r>
      <w:r w:rsidRPr="00BD4D64">
        <w:t>, 11(4), 227–268.</w:t>
      </w:r>
    </w:p>
    <w:p w14:paraId="607883CB" w14:textId="77777777" w:rsidR="00BD4D64" w:rsidRPr="00BD4D64" w:rsidRDefault="00BD4D64" w:rsidP="00BD4D64">
      <w:pPr>
        <w:pStyle w:val="ListParagraph"/>
        <w:numPr>
          <w:ilvl w:val="0"/>
          <w:numId w:val="151"/>
        </w:numPr>
      </w:pPr>
      <w:r w:rsidRPr="00BD4D64">
        <w:t xml:space="preserve">Department of School &amp; Mass Education, Odisha. (2025). </w:t>
      </w:r>
      <w:r w:rsidRPr="00BD4D64">
        <w:rPr>
          <w:i/>
          <w:iCs/>
        </w:rPr>
        <w:t>State artificial intelligence in education policy 2025</w:t>
      </w:r>
      <w:r w:rsidRPr="00BD4D64">
        <w:t>.</w:t>
      </w:r>
    </w:p>
    <w:p w14:paraId="0A64E548" w14:textId="77777777" w:rsidR="00BD4D64" w:rsidRPr="00BD4D64" w:rsidRDefault="00BD4D64" w:rsidP="00BD4D64">
      <w:pPr>
        <w:pStyle w:val="ListParagraph"/>
        <w:numPr>
          <w:ilvl w:val="0"/>
          <w:numId w:val="151"/>
        </w:numPr>
      </w:pPr>
      <w:r w:rsidRPr="00BD4D64">
        <w:t xml:space="preserve">Heffernan, N. T., &amp; Heffernan, C. L. (2014). The </w:t>
      </w:r>
      <w:proofErr w:type="spellStart"/>
      <w:r w:rsidRPr="00BD4D64">
        <w:t>ASSISTments</w:t>
      </w:r>
      <w:proofErr w:type="spellEnd"/>
      <w:r w:rsidRPr="00BD4D64">
        <w:t xml:space="preserve"> ecosystem: Building a platform that brings scientists and teachers together for minimally invasive research on human learning and teaching. </w:t>
      </w:r>
      <w:r w:rsidRPr="00BD4D64">
        <w:rPr>
          <w:i/>
          <w:iCs/>
        </w:rPr>
        <w:t>International Journal of Artificial Intelligence in Education</w:t>
      </w:r>
      <w:r w:rsidRPr="00BD4D64">
        <w:t>, 24(4), 470–497.</w:t>
      </w:r>
    </w:p>
    <w:p w14:paraId="5BBCA929" w14:textId="77777777" w:rsidR="00BD4D64" w:rsidRPr="00BD4D64" w:rsidRDefault="00BD4D64" w:rsidP="00BD4D64">
      <w:pPr>
        <w:pStyle w:val="ListParagraph"/>
        <w:numPr>
          <w:ilvl w:val="0"/>
          <w:numId w:val="151"/>
        </w:numPr>
      </w:pPr>
      <w:r w:rsidRPr="00BD4D64">
        <w:t xml:space="preserve">IKF (Institute of Knowledge and Foresight). (2026). </w:t>
      </w:r>
      <w:r w:rsidRPr="00BD4D64">
        <w:rPr>
          <w:i/>
          <w:iCs/>
        </w:rPr>
        <w:t>AI in education 2026: From classroom tools to institutional governance</w:t>
      </w:r>
      <w:r w:rsidRPr="00BD4D64">
        <w:t>.</w:t>
      </w:r>
    </w:p>
    <w:p w14:paraId="6FB277F6" w14:textId="77777777" w:rsidR="00BD4D64" w:rsidRPr="00BD4D64" w:rsidRDefault="00BD4D64" w:rsidP="00BD4D64">
      <w:pPr>
        <w:pStyle w:val="ListParagraph"/>
        <w:numPr>
          <w:ilvl w:val="0"/>
          <w:numId w:val="151"/>
        </w:numPr>
      </w:pPr>
      <w:r w:rsidRPr="00BD4D64">
        <w:t xml:space="preserve">Jha, A. K., et al. (2025). Integration of artificial intelligence in school education: Opportunities and challenges. </w:t>
      </w:r>
      <w:r w:rsidRPr="00BD4D64">
        <w:rPr>
          <w:i/>
          <w:iCs/>
        </w:rPr>
        <w:t>Journal of Emerging Technologies and Innovative Research</w:t>
      </w:r>
      <w:r w:rsidRPr="00BD4D64">
        <w:t>, 12(6).</w:t>
      </w:r>
    </w:p>
    <w:p w14:paraId="2CB1120D" w14:textId="77777777" w:rsidR="00BD4D64" w:rsidRPr="00BD4D64" w:rsidRDefault="00BD4D64" w:rsidP="00BD4D64">
      <w:pPr>
        <w:pStyle w:val="ListParagraph"/>
        <w:numPr>
          <w:ilvl w:val="0"/>
          <w:numId w:val="151"/>
        </w:numPr>
      </w:pPr>
      <w:proofErr w:type="spellStart"/>
      <w:r w:rsidRPr="00BD4D64">
        <w:lastRenderedPageBreak/>
        <w:t>Kizilcec</w:t>
      </w:r>
      <w:proofErr w:type="spellEnd"/>
      <w:r w:rsidRPr="00BD4D64">
        <w:t xml:space="preserve">, R. F., &amp; Halawa, S. (2015). Attrition and achievement gaps in online learning. In </w:t>
      </w:r>
      <w:r w:rsidRPr="00BD4D64">
        <w:rPr>
          <w:i/>
          <w:iCs/>
        </w:rPr>
        <w:t xml:space="preserve">Proceedings of the 2nd ACM Conference on </w:t>
      </w:r>
      <w:proofErr w:type="spellStart"/>
      <w:r w:rsidRPr="00BD4D64">
        <w:rPr>
          <w:i/>
          <w:iCs/>
        </w:rPr>
        <w:t>Learning@Scale</w:t>
      </w:r>
      <w:proofErr w:type="spellEnd"/>
      <w:r w:rsidRPr="00BD4D64">
        <w:t>.</w:t>
      </w:r>
    </w:p>
    <w:p w14:paraId="200E55F7" w14:textId="77777777" w:rsidR="00BD4D64" w:rsidRPr="00BD4D64" w:rsidRDefault="00BD4D64" w:rsidP="00BD4D64">
      <w:pPr>
        <w:pStyle w:val="ListParagraph"/>
        <w:numPr>
          <w:ilvl w:val="0"/>
          <w:numId w:val="151"/>
        </w:numPr>
      </w:pPr>
      <w:r w:rsidRPr="00BD4D64">
        <w:t xml:space="preserve">Koller, D., Ng, A., Do, C., &amp; Chen, Z. (2013). Retention and learning in massive open online courses. </w:t>
      </w:r>
      <w:r w:rsidRPr="00BD4D64">
        <w:rPr>
          <w:i/>
          <w:iCs/>
        </w:rPr>
        <w:t>Communications of the ACM</w:t>
      </w:r>
      <w:r w:rsidRPr="00BD4D64">
        <w:t>, 56(2), 58–66.</w:t>
      </w:r>
    </w:p>
    <w:p w14:paraId="6104A504" w14:textId="77777777" w:rsidR="00BD4D64" w:rsidRPr="00BD4D64" w:rsidRDefault="00BD4D64" w:rsidP="00BD4D64">
      <w:pPr>
        <w:pStyle w:val="ListParagraph"/>
        <w:numPr>
          <w:ilvl w:val="0"/>
          <w:numId w:val="151"/>
        </w:numPr>
      </w:pPr>
      <w:r w:rsidRPr="00BD4D64">
        <w:t xml:space="preserve">Luckin, R., Holmes, W., Griffiths, M., &amp; Forcier, L. B. (2016). </w:t>
      </w:r>
      <w:r w:rsidRPr="00BD4D64">
        <w:rPr>
          <w:i/>
          <w:iCs/>
        </w:rPr>
        <w:t>Intelligence unleashed: An argument for AI in education</w:t>
      </w:r>
      <w:r w:rsidRPr="00BD4D64">
        <w:t>. Pearson.</w:t>
      </w:r>
    </w:p>
    <w:p w14:paraId="0A3B84D1" w14:textId="77777777" w:rsidR="00BD4D64" w:rsidRPr="00BD4D64" w:rsidRDefault="00BD4D64" w:rsidP="00BD4D64">
      <w:pPr>
        <w:pStyle w:val="ListParagraph"/>
        <w:numPr>
          <w:ilvl w:val="0"/>
          <w:numId w:val="151"/>
        </w:numPr>
      </w:pPr>
      <w:r w:rsidRPr="00BD4D64">
        <w:t xml:space="preserve">Maddala, C. (2026). </w:t>
      </w:r>
      <w:r w:rsidRPr="00BD4D64">
        <w:rPr>
          <w:i/>
          <w:iCs/>
        </w:rPr>
        <w:t>India's AI curriculum mandate starts 2026–27: Is your school ready?</w:t>
      </w:r>
      <w:r w:rsidRPr="00BD4D64">
        <w:t xml:space="preserve"> AI Ready School Publications.</w:t>
      </w:r>
    </w:p>
    <w:p w14:paraId="2862EACB" w14:textId="77777777" w:rsidR="00BD4D64" w:rsidRPr="00BD4D64" w:rsidRDefault="00BD4D64" w:rsidP="00BD4D64">
      <w:pPr>
        <w:pStyle w:val="ListParagraph"/>
        <w:numPr>
          <w:ilvl w:val="0"/>
          <w:numId w:val="151"/>
        </w:numPr>
      </w:pPr>
      <w:r w:rsidRPr="00BD4D64">
        <w:t xml:space="preserve">Meenakshi, T., &amp; Arul, P. (2025). Challenges faced by private school teachers in the adoption of AI for classroom teaching and learning. </w:t>
      </w:r>
      <w:r w:rsidRPr="00BD4D64">
        <w:rPr>
          <w:i/>
          <w:iCs/>
        </w:rPr>
        <w:t>International Journal of Creative Research Thoughts</w:t>
      </w:r>
      <w:r w:rsidRPr="00BD4D64">
        <w:t>, 12(6).</w:t>
      </w:r>
    </w:p>
    <w:p w14:paraId="75D62F4E" w14:textId="77777777" w:rsidR="00BD4D64" w:rsidRPr="00BD4D64" w:rsidRDefault="00BD4D64" w:rsidP="00BD4D64">
      <w:pPr>
        <w:pStyle w:val="ListParagraph"/>
        <w:numPr>
          <w:ilvl w:val="0"/>
          <w:numId w:val="151"/>
        </w:numPr>
      </w:pPr>
      <w:proofErr w:type="spellStart"/>
      <w:r w:rsidRPr="00BD4D64">
        <w:t>Middelstadt</w:t>
      </w:r>
      <w:proofErr w:type="spellEnd"/>
      <w:r w:rsidRPr="00BD4D64">
        <w:t xml:space="preserve">, B. D., </w:t>
      </w:r>
      <w:proofErr w:type="spellStart"/>
      <w:r w:rsidRPr="00BD4D64">
        <w:t>Allo</w:t>
      </w:r>
      <w:proofErr w:type="spellEnd"/>
      <w:r w:rsidRPr="00BD4D64">
        <w:t xml:space="preserve">, P., Taddeo, M., Wachter, S., &amp; </w:t>
      </w:r>
      <w:proofErr w:type="spellStart"/>
      <w:r w:rsidRPr="00BD4D64">
        <w:t>Floridi</w:t>
      </w:r>
      <w:proofErr w:type="spellEnd"/>
      <w:r w:rsidRPr="00BD4D64">
        <w:t xml:space="preserve">, L. (2016). The ethics of algorithms: Mapping the debate. </w:t>
      </w:r>
      <w:r w:rsidRPr="00BD4D64">
        <w:rPr>
          <w:i/>
          <w:iCs/>
        </w:rPr>
        <w:t>Big Data &amp; Society</w:t>
      </w:r>
      <w:r w:rsidRPr="00BD4D64">
        <w:t>, 3(2).</w:t>
      </w:r>
    </w:p>
    <w:p w14:paraId="34E1C111" w14:textId="77777777" w:rsidR="00BD4D64" w:rsidRPr="00BD4D64" w:rsidRDefault="00BD4D64" w:rsidP="00BD4D64">
      <w:pPr>
        <w:pStyle w:val="ListParagraph"/>
        <w:numPr>
          <w:ilvl w:val="0"/>
          <w:numId w:val="151"/>
        </w:numPr>
      </w:pPr>
      <w:r w:rsidRPr="00BD4D64">
        <w:t xml:space="preserve">Ministry of Electronics and Information Technology. (2025). </w:t>
      </w:r>
      <w:r w:rsidRPr="00BD4D64">
        <w:rPr>
          <w:i/>
          <w:iCs/>
        </w:rPr>
        <w:t>India's digital public infrastructure: The rise of the DPI stack</w:t>
      </w:r>
      <w:r w:rsidRPr="00BD4D64">
        <w:t>. Press Information Bureau.</w:t>
      </w:r>
    </w:p>
    <w:p w14:paraId="53B87B39" w14:textId="77777777" w:rsidR="00BD4D64" w:rsidRPr="00BD4D64" w:rsidRDefault="00BD4D64" w:rsidP="00BD4D64">
      <w:pPr>
        <w:pStyle w:val="ListParagraph"/>
        <w:numPr>
          <w:ilvl w:val="0"/>
          <w:numId w:val="151"/>
        </w:numPr>
      </w:pPr>
      <w:r w:rsidRPr="00BD4D64">
        <w:t xml:space="preserve">Ministry of Skill Development and Entrepreneurship. (2025). </w:t>
      </w:r>
      <w:r w:rsidRPr="00BD4D64">
        <w:rPr>
          <w:i/>
          <w:iCs/>
        </w:rPr>
        <w:t>Skilling for AI readiness (SOAR) and inclusive AI solutions</w:t>
      </w:r>
      <w:r w:rsidRPr="00BD4D64">
        <w:t>. Press Information Bureau.</w:t>
      </w:r>
    </w:p>
    <w:p w14:paraId="675C0F93" w14:textId="77777777" w:rsidR="00BD4D64" w:rsidRPr="00BD4D64" w:rsidRDefault="00BD4D64" w:rsidP="00BD4D64">
      <w:pPr>
        <w:pStyle w:val="ListParagraph"/>
        <w:numPr>
          <w:ilvl w:val="0"/>
          <w:numId w:val="151"/>
        </w:numPr>
      </w:pPr>
      <w:r w:rsidRPr="00BD4D64">
        <w:t xml:space="preserve">O'Neil, C. (2016). </w:t>
      </w:r>
      <w:r w:rsidRPr="00BD4D64">
        <w:rPr>
          <w:i/>
          <w:iCs/>
        </w:rPr>
        <w:t>Weapons of math destruction: How big data increases inequality and threatens democracy</w:t>
      </w:r>
      <w:r w:rsidRPr="00BD4D64">
        <w:t>. Crown.</w:t>
      </w:r>
    </w:p>
    <w:p w14:paraId="51CE5A62" w14:textId="77777777" w:rsidR="00BD4D64" w:rsidRPr="00BD4D64" w:rsidRDefault="00BD4D64" w:rsidP="00BD4D64">
      <w:pPr>
        <w:pStyle w:val="ListParagraph"/>
        <w:numPr>
          <w:ilvl w:val="0"/>
          <w:numId w:val="151"/>
        </w:numPr>
      </w:pPr>
      <w:r w:rsidRPr="00BD4D64">
        <w:t xml:space="preserve">Papert, S. (1980). </w:t>
      </w:r>
      <w:r w:rsidRPr="00BD4D64">
        <w:rPr>
          <w:i/>
          <w:iCs/>
        </w:rPr>
        <w:t>Mindstorms: Children, computers, and powerful ideas</w:t>
      </w:r>
      <w:r w:rsidRPr="00BD4D64">
        <w:t>. Basic Books.</w:t>
      </w:r>
    </w:p>
    <w:p w14:paraId="746E5596" w14:textId="77777777" w:rsidR="00BD4D64" w:rsidRPr="00BD4D64" w:rsidRDefault="00BD4D64" w:rsidP="00BD4D64">
      <w:pPr>
        <w:pStyle w:val="ListParagraph"/>
        <w:numPr>
          <w:ilvl w:val="0"/>
          <w:numId w:val="151"/>
        </w:numPr>
      </w:pPr>
      <w:r w:rsidRPr="00BD4D64">
        <w:t xml:space="preserve">ResearchGate Publications. (2026). </w:t>
      </w:r>
      <w:r w:rsidRPr="00BD4D64">
        <w:rPr>
          <w:i/>
          <w:iCs/>
        </w:rPr>
        <w:t>AI-driven reforms in Indian education policy and governance (2016–2026): A review</w:t>
      </w:r>
      <w:r w:rsidRPr="00BD4D64">
        <w:t>.</w:t>
      </w:r>
    </w:p>
    <w:p w14:paraId="47D66296" w14:textId="77777777" w:rsidR="00BD4D64" w:rsidRPr="00BD4D64" w:rsidRDefault="00BD4D64" w:rsidP="00BD4D64">
      <w:pPr>
        <w:pStyle w:val="ListParagraph"/>
        <w:numPr>
          <w:ilvl w:val="0"/>
          <w:numId w:val="151"/>
        </w:numPr>
      </w:pPr>
      <w:r w:rsidRPr="00BD4D64">
        <w:t xml:space="preserve">Rose, D. H., &amp; Meyer, A. (2002). </w:t>
      </w:r>
      <w:r w:rsidRPr="00BD4D64">
        <w:rPr>
          <w:i/>
          <w:iCs/>
        </w:rPr>
        <w:t>Teaching every student in the digital age: Universal design for learning</w:t>
      </w:r>
      <w:r w:rsidRPr="00BD4D64">
        <w:t>. ASCD.</w:t>
      </w:r>
    </w:p>
    <w:p w14:paraId="06910184" w14:textId="77777777" w:rsidR="00BD4D64" w:rsidRPr="00BD4D64" w:rsidRDefault="00BD4D64" w:rsidP="00BD4D64">
      <w:pPr>
        <w:pStyle w:val="ListParagraph"/>
        <w:numPr>
          <w:ilvl w:val="0"/>
          <w:numId w:val="151"/>
        </w:numPr>
      </w:pPr>
      <w:r w:rsidRPr="00BD4D64">
        <w:t xml:space="preserve">Selbst, A. D., &amp; Barocas, S. (2018). The intuitive appeal of explainable machines. </w:t>
      </w:r>
      <w:r w:rsidRPr="00BD4D64">
        <w:rPr>
          <w:i/>
          <w:iCs/>
        </w:rPr>
        <w:t>Fordham Law Review</w:t>
      </w:r>
      <w:r w:rsidRPr="00BD4D64">
        <w:t>, 87(3), 1085–1139.</w:t>
      </w:r>
    </w:p>
    <w:p w14:paraId="03F3E373" w14:textId="77777777" w:rsidR="00BD4D64" w:rsidRPr="00BD4D64" w:rsidRDefault="00BD4D64" w:rsidP="00BD4D64">
      <w:pPr>
        <w:pStyle w:val="ListParagraph"/>
        <w:numPr>
          <w:ilvl w:val="0"/>
          <w:numId w:val="151"/>
        </w:numPr>
      </w:pPr>
      <w:r w:rsidRPr="00BD4D64">
        <w:t xml:space="preserve">Selwyn, N. (2019). </w:t>
      </w:r>
      <w:r w:rsidRPr="00BD4D64">
        <w:rPr>
          <w:i/>
          <w:iCs/>
        </w:rPr>
        <w:t>Should robots replace teachers? AI and the future of education</w:t>
      </w:r>
      <w:r w:rsidRPr="00BD4D64">
        <w:t>. Polity Press.</w:t>
      </w:r>
    </w:p>
    <w:p w14:paraId="3E69529F" w14:textId="77777777" w:rsidR="00BD4D64" w:rsidRPr="00BD4D64" w:rsidRDefault="00BD4D64" w:rsidP="00BD4D64">
      <w:pPr>
        <w:pStyle w:val="ListParagraph"/>
        <w:numPr>
          <w:ilvl w:val="0"/>
          <w:numId w:val="151"/>
        </w:numPr>
      </w:pPr>
      <w:r w:rsidRPr="00BD4D64">
        <w:t xml:space="preserve">Siemens, G., &amp; Long, P. (2011). Penetrating the fog: Analytics in learning and education. </w:t>
      </w:r>
      <w:r w:rsidRPr="00BD4D64">
        <w:rPr>
          <w:i/>
          <w:iCs/>
        </w:rPr>
        <w:t>EDUCAUSE Review</w:t>
      </w:r>
      <w:r w:rsidRPr="00BD4D64">
        <w:t>, 46(5), 30–40.</w:t>
      </w:r>
    </w:p>
    <w:p w14:paraId="69937F2B" w14:textId="77777777" w:rsidR="00BD4D64" w:rsidRPr="00BD4D64" w:rsidRDefault="00BD4D64" w:rsidP="00BD4D64">
      <w:pPr>
        <w:pStyle w:val="ListParagraph"/>
        <w:numPr>
          <w:ilvl w:val="0"/>
          <w:numId w:val="151"/>
        </w:numPr>
      </w:pPr>
      <w:r w:rsidRPr="00BD4D64">
        <w:t xml:space="preserve">Sihag, P., &amp; Vibha, V. (2024). Transforming and reforming the Indian education system with artificial intelligence. </w:t>
      </w:r>
      <w:r w:rsidRPr="00BD4D64">
        <w:rPr>
          <w:i/>
          <w:iCs/>
        </w:rPr>
        <w:t>Digital Education Review</w:t>
      </w:r>
      <w:r w:rsidRPr="00BD4D64">
        <w:t>, 98–105.</w:t>
      </w:r>
    </w:p>
    <w:p w14:paraId="5A82738E" w14:textId="77777777" w:rsidR="00BD4D64" w:rsidRPr="00BD4D64" w:rsidRDefault="00BD4D64" w:rsidP="00BD4D64">
      <w:pPr>
        <w:pStyle w:val="ListParagraph"/>
        <w:numPr>
          <w:ilvl w:val="0"/>
          <w:numId w:val="151"/>
        </w:numPr>
      </w:pPr>
      <w:r w:rsidRPr="00BD4D64">
        <w:t xml:space="preserve">Williamson, B., &amp; </w:t>
      </w:r>
      <w:proofErr w:type="spellStart"/>
      <w:r w:rsidRPr="00BD4D64">
        <w:t>Piattoeva</w:t>
      </w:r>
      <w:proofErr w:type="spellEnd"/>
      <w:r w:rsidRPr="00BD4D64">
        <w:t xml:space="preserve">, N. (2021). Objectivity as standardization in data-driven education policy. </w:t>
      </w:r>
      <w:r w:rsidRPr="00BD4D64">
        <w:rPr>
          <w:i/>
          <w:iCs/>
        </w:rPr>
        <w:t>Learning, Media and Technology</w:t>
      </w:r>
      <w:r w:rsidRPr="00BD4D64">
        <w:t>, 46(1), 1–16.</w:t>
      </w:r>
    </w:p>
    <w:p w14:paraId="5997EDBE" w14:textId="77777777" w:rsidR="00BD4D64" w:rsidRPr="00BD4D64" w:rsidRDefault="00BD4D64" w:rsidP="00BD4D64">
      <w:pPr>
        <w:pStyle w:val="ListParagraph"/>
        <w:numPr>
          <w:ilvl w:val="0"/>
          <w:numId w:val="151"/>
        </w:numPr>
      </w:pPr>
      <w:r w:rsidRPr="00BD4D64">
        <w:t xml:space="preserve">Zuboff, S. (2019). </w:t>
      </w:r>
      <w:r w:rsidRPr="00BD4D64">
        <w:rPr>
          <w:i/>
          <w:iCs/>
        </w:rPr>
        <w:t>The age of surveillance capitalism: The fight for a human future at the new frontier of power</w:t>
      </w:r>
      <w:r w:rsidRPr="00BD4D64">
        <w:t>. PublicAffairs.</w:t>
      </w:r>
    </w:p>
    <w:p w14:paraId="330AF74C" w14:textId="77777777" w:rsidR="0017192F" w:rsidRDefault="0017192F" w:rsidP="007E45D7"/>
    <w:p w14:paraId="7F0B5B4D" w14:textId="77777777" w:rsidR="0017192F" w:rsidRDefault="0017192F" w:rsidP="007E45D7"/>
    <w:p w14:paraId="1F64FB95" w14:textId="77777777" w:rsidR="0017192F" w:rsidRDefault="0017192F" w:rsidP="007E45D7"/>
    <w:p w14:paraId="235A2027" w14:textId="77777777" w:rsidR="0017192F" w:rsidRPr="007E45D7" w:rsidRDefault="0017192F" w:rsidP="007E45D7"/>
    <w:sectPr w:rsidR="0017192F" w:rsidRPr="007E45D7">
      <w:pgSz w:w="12240" w:h="15840"/>
      <w:pgMar w:top="1440" w:right="1440" w:bottom="144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F0A519AA-8597-45A9-8143-59D1E5EBA017}"/>
  </w:font>
  <w:font w:name="Calibri">
    <w:panose1 w:val="020F0502020204030204"/>
    <w:charset w:val="00"/>
    <w:family w:val="swiss"/>
    <w:pitch w:val="variable"/>
    <w:sig w:usb0="E4002EFF" w:usb1="C200247B" w:usb2="00000009" w:usb3="00000000" w:csb0="000001FF" w:csb1="00000000"/>
    <w:embedRegular r:id="rId2" w:fontKey="{4DC37269-EA5B-4145-B327-80E87ECB5A28}"/>
  </w:font>
  <w:font w:name="Cambria">
    <w:panose1 w:val="02040503050406030204"/>
    <w:charset w:val="00"/>
    <w:family w:val="roman"/>
    <w:pitch w:val="variable"/>
    <w:sig w:usb0="E00006FF" w:usb1="420024FF" w:usb2="02000000" w:usb3="00000000" w:csb0="0000019F" w:csb1="00000000"/>
    <w:embedRegular r:id="rId3" w:fontKey="{8BC22021-05C0-4130-A7D7-909C6903BA5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A1C49"/>
    <w:multiLevelType w:val="multilevel"/>
    <w:tmpl w:val="C618F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79033E"/>
    <w:multiLevelType w:val="multilevel"/>
    <w:tmpl w:val="1CDC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C86164"/>
    <w:multiLevelType w:val="multilevel"/>
    <w:tmpl w:val="11148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434D51"/>
    <w:multiLevelType w:val="multilevel"/>
    <w:tmpl w:val="B05E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36909A8"/>
    <w:multiLevelType w:val="multilevel"/>
    <w:tmpl w:val="56CC3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4270C5C"/>
    <w:multiLevelType w:val="hybridMultilevel"/>
    <w:tmpl w:val="A0A210E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44C7B05"/>
    <w:multiLevelType w:val="multilevel"/>
    <w:tmpl w:val="5D9C9E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45F6540"/>
    <w:multiLevelType w:val="multilevel"/>
    <w:tmpl w:val="0F269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66D28AB"/>
    <w:multiLevelType w:val="multilevel"/>
    <w:tmpl w:val="D00E4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69069BB"/>
    <w:multiLevelType w:val="multilevel"/>
    <w:tmpl w:val="F90E1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87F30FC"/>
    <w:multiLevelType w:val="multilevel"/>
    <w:tmpl w:val="CE9CB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A5814CE"/>
    <w:multiLevelType w:val="multilevel"/>
    <w:tmpl w:val="C276B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7B2A61"/>
    <w:multiLevelType w:val="multilevel"/>
    <w:tmpl w:val="2A6AB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CF30083"/>
    <w:multiLevelType w:val="multilevel"/>
    <w:tmpl w:val="C4766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EE526F4"/>
    <w:multiLevelType w:val="multilevel"/>
    <w:tmpl w:val="31CC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EF205AD"/>
    <w:multiLevelType w:val="multilevel"/>
    <w:tmpl w:val="C44C4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F2702C3"/>
    <w:multiLevelType w:val="multilevel"/>
    <w:tmpl w:val="3372F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F3B06EE"/>
    <w:multiLevelType w:val="multilevel"/>
    <w:tmpl w:val="18362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9D2E3F"/>
    <w:multiLevelType w:val="multilevel"/>
    <w:tmpl w:val="E9121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0220F6D"/>
    <w:multiLevelType w:val="multilevel"/>
    <w:tmpl w:val="D3C4B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0843C2C"/>
    <w:multiLevelType w:val="multilevel"/>
    <w:tmpl w:val="4AE80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1B92A82"/>
    <w:multiLevelType w:val="multilevel"/>
    <w:tmpl w:val="0A9A2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21322A3"/>
    <w:multiLevelType w:val="multilevel"/>
    <w:tmpl w:val="1832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9633AF"/>
    <w:multiLevelType w:val="multilevel"/>
    <w:tmpl w:val="F7342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4C2094E"/>
    <w:multiLevelType w:val="multilevel"/>
    <w:tmpl w:val="501E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6335063"/>
    <w:multiLevelType w:val="multilevel"/>
    <w:tmpl w:val="7A1AB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7095E1C"/>
    <w:multiLevelType w:val="multilevel"/>
    <w:tmpl w:val="28247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8035FA3"/>
    <w:multiLevelType w:val="multilevel"/>
    <w:tmpl w:val="9C644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18913011"/>
    <w:multiLevelType w:val="multilevel"/>
    <w:tmpl w:val="7540B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8A80EFE"/>
    <w:multiLevelType w:val="multilevel"/>
    <w:tmpl w:val="AB22C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18BD307C"/>
    <w:multiLevelType w:val="multilevel"/>
    <w:tmpl w:val="7180C4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195F7A5C"/>
    <w:multiLevelType w:val="multilevel"/>
    <w:tmpl w:val="FF340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1B0077C1"/>
    <w:multiLevelType w:val="multilevel"/>
    <w:tmpl w:val="ED96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1BC342FC"/>
    <w:multiLevelType w:val="multilevel"/>
    <w:tmpl w:val="1B54B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BD856F3"/>
    <w:multiLevelType w:val="multilevel"/>
    <w:tmpl w:val="F3F6F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C17672A"/>
    <w:multiLevelType w:val="multilevel"/>
    <w:tmpl w:val="2A3C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C3F59E8"/>
    <w:multiLevelType w:val="multilevel"/>
    <w:tmpl w:val="E92C0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D724331"/>
    <w:multiLevelType w:val="multilevel"/>
    <w:tmpl w:val="FFA28F6C"/>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D847CE1"/>
    <w:multiLevelType w:val="multilevel"/>
    <w:tmpl w:val="43C8A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D934C39"/>
    <w:multiLevelType w:val="multilevel"/>
    <w:tmpl w:val="B3AA0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F345267"/>
    <w:multiLevelType w:val="multilevel"/>
    <w:tmpl w:val="0FAA4F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1F954600"/>
    <w:multiLevelType w:val="multilevel"/>
    <w:tmpl w:val="64D00F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209D5898"/>
    <w:multiLevelType w:val="multilevel"/>
    <w:tmpl w:val="FD6A51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214342C6"/>
    <w:multiLevelType w:val="multilevel"/>
    <w:tmpl w:val="E340B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2037BEC"/>
    <w:multiLevelType w:val="multilevel"/>
    <w:tmpl w:val="B4687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22472BC"/>
    <w:multiLevelType w:val="multilevel"/>
    <w:tmpl w:val="D9484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2793B06"/>
    <w:multiLevelType w:val="multilevel"/>
    <w:tmpl w:val="05E2F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2FD01A0"/>
    <w:multiLevelType w:val="multilevel"/>
    <w:tmpl w:val="29B21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240C1FCF"/>
    <w:multiLevelType w:val="multilevel"/>
    <w:tmpl w:val="09C41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24A744FE"/>
    <w:multiLevelType w:val="multilevel"/>
    <w:tmpl w:val="541AB9FA"/>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24E23BE0"/>
    <w:multiLevelType w:val="multilevel"/>
    <w:tmpl w:val="7CAAE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299337D1"/>
    <w:multiLevelType w:val="multilevel"/>
    <w:tmpl w:val="0B9EFF0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2D357D07"/>
    <w:multiLevelType w:val="multilevel"/>
    <w:tmpl w:val="9FDA0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2D4F7E2F"/>
    <w:multiLevelType w:val="multilevel"/>
    <w:tmpl w:val="49107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E0D647A"/>
    <w:multiLevelType w:val="multilevel"/>
    <w:tmpl w:val="B6683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2E9E268D"/>
    <w:multiLevelType w:val="multilevel"/>
    <w:tmpl w:val="31527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F312982"/>
    <w:multiLevelType w:val="multilevel"/>
    <w:tmpl w:val="589CD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2FC37996"/>
    <w:multiLevelType w:val="multilevel"/>
    <w:tmpl w:val="957A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08A635B"/>
    <w:multiLevelType w:val="multilevel"/>
    <w:tmpl w:val="E73C7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0A01540"/>
    <w:multiLevelType w:val="multilevel"/>
    <w:tmpl w:val="E0220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0BE2E88"/>
    <w:multiLevelType w:val="multilevel"/>
    <w:tmpl w:val="8BF25A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0CE143E"/>
    <w:multiLevelType w:val="multilevel"/>
    <w:tmpl w:val="899A5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11A7AFC"/>
    <w:multiLevelType w:val="multilevel"/>
    <w:tmpl w:val="F13C4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3186193E"/>
    <w:multiLevelType w:val="multilevel"/>
    <w:tmpl w:val="3F10C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33921516"/>
    <w:multiLevelType w:val="multilevel"/>
    <w:tmpl w:val="43707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349211C4"/>
    <w:multiLevelType w:val="multilevel"/>
    <w:tmpl w:val="85465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4D500CE"/>
    <w:multiLevelType w:val="multilevel"/>
    <w:tmpl w:val="1D1C1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55779D8"/>
    <w:multiLevelType w:val="multilevel"/>
    <w:tmpl w:val="3FC2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6882C86"/>
    <w:multiLevelType w:val="multilevel"/>
    <w:tmpl w:val="85E62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6F45C01"/>
    <w:multiLevelType w:val="multilevel"/>
    <w:tmpl w:val="BF745B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372418E5"/>
    <w:multiLevelType w:val="multilevel"/>
    <w:tmpl w:val="9246EC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37963044"/>
    <w:multiLevelType w:val="multilevel"/>
    <w:tmpl w:val="99B05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38CE770D"/>
    <w:multiLevelType w:val="multilevel"/>
    <w:tmpl w:val="FEF22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90C3234"/>
    <w:multiLevelType w:val="multilevel"/>
    <w:tmpl w:val="62585908"/>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9EB1A2D"/>
    <w:multiLevelType w:val="multilevel"/>
    <w:tmpl w:val="E446D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B306C2A"/>
    <w:multiLevelType w:val="multilevel"/>
    <w:tmpl w:val="97F65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3B7D77B3"/>
    <w:multiLevelType w:val="multilevel"/>
    <w:tmpl w:val="E3AE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C3578D5"/>
    <w:multiLevelType w:val="multilevel"/>
    <w:tmpl w:val="B31A6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C9B3E38"/>
    <w:multiLevelType w:val="multilevel"/>
    <w:tmpl w:val="500C4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3D646EBA"/>
    <w:multiLevelType w:val="multilevel"/>
    <w:tmpl w:val="2CC0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DBA4758"/>
    <w:multiLevelType w:val="multilevel"/>
    <w:tmpl w:val="58262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DF81D86"/>
    <w:multiLevelType w:val="multilevel"/>
    <w:tmpl w:val="B17A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3E9F0B68"/>
    <w:multiLevelType w:val="multilevel"/>
    <w:tmpl w:val="B15CA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F2352EC"/>
    <w:multiLevelType w:val="multilevel"/>
    <w:tmpl w:val="F41A3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3F502C05"/>
    <w:multiLevelType w:val="multilevel"/>
    <w:tmpl w:val="06207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40C80726"/>
    <w:multiLevelType w:val="multilevel"/>
    <w:tmpl w:val="FDDEC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416503FE"/>
    <w:multiLevelType w:val="multilevel"/>
    <w:tmpl w:val="ACBADA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431A07D8"/>
    <w:multiLevelType w:val="multilevel"/>
    <w:tmpl w:val="4D762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4342086F"/>
    <w:multiLevelType w:val="multilevel"/>
    <w:tmpl w:val="9A4E0E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437065AF"/>
    <w:multiLevelType w:val="multilevel"/>
    <w:tmpl w:val="5F1C1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449D75B0"/>
    <w:multiLevelType w:val="multilevel"/>
    <w:tmpl w:val="FE3AA8F0"/>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450C27CE"/>
    <w:multiLevelType w:val="multilevel"/>
    <w:tmpl w:val="77428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46EE5324"/>
    <w:multiLevelType w:val="multilevel"/>
    <w:tmpl w:val="8DD21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474D14D0"/>
    <w:multiLevelType w:val="multilevel"/>
    <w:tmpl w:val="36C82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47C10C37"/>
    <w:multiLevelType w:val="multilevel"/>
    <w:tmpl w:val="4278787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483C6A78"/>
    <w:multiLevelType w:val="multilevel"/>
    <w:tmpl w:val="847C0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49156FCD"/>
    <w:multiLevelType w:val="multilevel"/>
    <w:tmpl w:val="B588C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9590D4A"/>
    <w:multiLevelType w:val="multilevel"/>
    <w:tmpl w:val="04661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49F46D26"/>
    <w:multiLevelType w:val="multilevel"/>
    <w:tmpl w:val="118CA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4A6C6426"/>
    <w:multiLevelType w:val="multilevel"/>
    <w:tmpl w:val="C8DAD5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ADB69B7"/>
    <w:multiLevelType w:val="multilevel"/>
    <w:tmpl w:val="DBC6B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4BAF4669"/>
    <w:multiLevelType w:val="multilevel"/>
    <w:tmpl w:val="EBA23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C3316F9"/>
    <w:multiLevelType w:val="multilevel"/>
    <w:tmpl w:val="1C8C6C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4E794829"/>
    <w:multiLevelType w:val="multilevel"/>
    <w:tmpl w:val="2AD48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51B25720"/>
    <w:multiLevelType w:val="multilevel"/>
    <w:tmpl w:val="52D8C0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543373BA"/>
    <w:multiLevelType w:val="multilevel"/>
    <w:tmpl w:val="08CE3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54A91AF7"/>
    <w:multiLevelType w:val="multilevel"/>
    <w:tmpl w:val="7A5C7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54D82C25"/>
    <w:multiLevelType w:val="multilevel"/>
    <w:tmpl w:val="720CAF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8" w15:restartNumberingAfterBreak="0">
    <w:nsid w:val="55DD3F9B"/>
    <w:multiLevelType w:val="multilevel"/>
    <w:tmpl w:val="B93EF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6094D09"/>
    <w:multiLevelType w:val="multilevel"/>
    <w:tmpl w:val="51B2A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6107AC3"/>
    <w:multiLevelType w:val="multilevel"/>
    <w:tmpl w:val="D562C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570A62C8"/>
    <w:multiLevelType w:val="multilevel"/>
    <w:tmpl w:val="C6BEF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57FD5284"/>
    <w:multiLevelType w:val="multilevel"/>
    <w:tmpl w:val="FE8860C4"/>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59C07501"/>
    <w:multiLevelType w:val="multilevel"/>
    <w:tmpl w:val="E3283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5A4C6881"/>
    <w:multiLevelType w:val="multilevel"/>
    <w:tmpl w:val="B796864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5A63415F"/>
    <w:multiLevelType w:val="hybridMultilevel"/>
    <w:tmpl w:val="E3167E2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6" w15:restartNumberingAfterBreak="0">
    <w:nsid w:val="5C267985"/>
    <w:multiLevelType w:val="multilevel"/>
    <w:tmpl w:val="6DFE0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C2D6A76"/>
    <w:multiLevelType w:val="multilevel"/>
    <w:tmpl w:val="195A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5C556477"/>
    <w:multiLevelType w:val="multilevel"/>
    <w:tmpl w:val="F4F61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5C6C565E"/>
    <w:multiLevelType w:val="multilevel"/>
    <w:tmpl w:val="3A82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5D2929FB"/>
    <w:multiLevelType w:val="multilevel"/>
    <w:tmpl w:val="95F0B2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DD31FD9"/>
    <w:multiLevelType w:val="multilevel"/>
    <w:tmpl w:val="FDDA3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DF82D2D"/>
    <w:multiLevelType w:val="multilevel"/>
    <w:tmpl w:val="9496D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F9806A6"/>
    <w:multiLevelType w:val="multilevel"/>
    <w:tmpl w:val="65AC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62023E20"/>
    <w:multiLevelType w:val="multilevel"/>
    <w:tmpl w:val="A7DE584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 w15:restartNumberingAfterBreak="0">
    <w:nsid w:val="62686EAD"/>
    <w:multiLevelType w:val="multilevel"/>
    <w:tmpl w:val="5E9A8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630D2C50"/>
    <w:multiLevelType w:val="multilevel"/>
    <w:tmpl w:val="8B12D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63475EFC"/>
    <w:multiLevelType w:val="multilevel"/>
    <w:tmpl w:val="52C604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3836168"/>
    <w:multiLevelType w:val="multilevel"/>
    <w:tmpl w:val="4B682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64240563"/>
    <w:multiLevelType w:val="multilevel"/>
    <w:tmpl w:val="CF5E0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66B74A42"/>
    <w:multiLevelType w:val="multilevel"/>
    <w:tmpl w:val="700A9DA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66E34DCD"/>
    <w:multiLevelType w:val="multilevel"/>
    <w:tmpl w:val="0D2A5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66EB1240"/>
    <w:multiLevelType w:val="multilevel"/>
    <w:tmpl w:val="9634E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6FD3718"/>
    <w:multiLevelType w:val="multilevel"/>
    <w:tmpl w:val="89A03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2C60CC"/>
    <w:multiLevelType w:val="multilevel"/>
    <w:tmpl w:val="820C6F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67600CD9"/>
    <w:multiLevelType w:val="multilevel"/>
    <w:tmpl w:val="393E6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8AC4DE9"/>
    <w:multiLevelType w:val="multilevel"/>
    <w:tmpl w:val="8FF66DD8"/>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68F8439F"/>
    <w:multiLevelType w:val="multilevel"/>
    <w:tmpl w:val="EC807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9B87C06"/>
    <w:multiLevelType w:val="multilevel"/>
    <w:tmpl w:val="64CC8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6A593547"/>
    <w:multiLevelType w:val="multilevel"/>
    <w:tmpl w:val="4AF86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A767FF8"/>
    <w:multiLevelType w:val="multilevel"/>
    <w:tmpl w:val="230A9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6ACD0426"/>
    <w:multiLevelType w:val="multilevel"/>
    <w:tmpl w:val="87ECE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6FB96704"/>
    <w:multiLevelType w:val="multilevel"/>
    <w:tmpl w:val="A94EA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6FDA611C"/>
    <w:multiLevelType w:val="multilevel"/>
    <w:tmpl w:val="7BAC0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0D32883"/>
    <w:multiLevelType w:val="multilevel"/>
    <w:tmpl w:val="E5FCB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70F1108A"/>
    <w:multiLevelType w:val="multilevel"/>
    <w:tmpl w:val="444C9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715225AE"/>
    <w:multiLevelType w:val="multilevel"/>
    <w:tmpl w:val="57469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71CE2F3A"/>
    <w:multiLevelType w:val="multilevel"/>
    <w:tmpl w:val="099AB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2E86BD7"/>
    <w:multiLevelType w:val="multilevel"/>
    <w:tmpl w:val="DC8A4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74453AB1"/>
    <w:multiLevelType w:val="multilevel"/>
    <w:tmpl w:val="CC5EE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46755AB"/>
    <w:multiLevelType w:val="multilevel"/>
    <w:tmpl w:val="9DB6C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74966C10"/>
    <w:multiLevelType w:val="multilevel"/>
    <w:tmpl w:val="E04AF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778C7A9C"/>
    <w:multiLevelType w:val="multilevel"/>
    <w:tmpl w:val="192E673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7901384"/>
    <w:multiLevelType w:val="multilevel"/>
    <w:tmpl w:val="D9423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15:restartNumberingAfterBreak="0">
    <w:nsid w:val="77F257CB"/>
    <w:multiLevelType w:val="multilevel"/>
    <w:tmpl w:val="93D00290"/>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5" w15:restartNumberingAfterBreak="0">
    <w:nsid w:val="780D5E73"/>
    <w:multiLevelType w:val="multilevel"/>
    <w:tmpl w:val="78781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78F75B7E"/>
    <w:multiLevelType w:val="multilevel"/>
    <w:tmpl w:val="80305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B007892"/>
    <w:multiLevelType w:val="multilevel"/>
    <w:tmpl w:val="BBF66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7BB11310"/>
    <w:multiLevelType w:val="multilevel"/>
    <w:tmpl w:val="147C3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7BEB313A"/>
    <w:multiLevelType w:val="multilevel"/>
    <w:tmpl w:val="A4FE5206"/>
    <w:lvl w:ilvl="0">
      <w:start w:val="1"/>
      <w:numFmt w:val="bullet"/>
      <w:lvlText w:val=""/>
      <w:lvlJc w:val="left"/>
      <w:pPr>
        <w:tabs>
          <w:tab w:val="num" w:pos="1080"/>
        </w:tabs>
        <w:ind w:left="1080" w:hanging="360"/>
      </w:pPr>
      <w:rPr>
        <w:rFonts w:ascii="Symbol" w:hAnsi="Symbol" w:hint="default"/>
      </w:rPr>
    </w:lvl>
    <w:lvl w:ilvl="1" w:tentative="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160" w15:restartNumberingAfterBreak="0">
    <w:nsid w:val="7DB4459A"/>
    <w:multiLevelType w:val="multilevel"/>
    <w:tmpl w:val="AE800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7ED21AF8"/>
    <w:multiLevelType w:val="multilevel"/>
    <w:tmpl w:val="9F7E0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7F5D63E6"/>
    <w:multiLevelType w:val="multilevel"/>
    <w:tmpl w:val="A5F2E05E"/>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7FB64947"/>
    <w:multiLevelType w:val="multilevel"/>
    <w:tmpl w:val="DA024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7FBC249D"/>
    <w:multiLevelType w:val="multilevel"/>
    <w:tmpl w:val="C5A040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7FE670BA"/>
    <w:multiLevelType w:val="multilevel"/>
    <w:tmpl w:val="D988F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09509658">
    <w:abstractNumId w:val="134"/>
  </w:num>
  <w:num w:numId="2" w16cid:durableId="1354694876">
    <w:abstractNumId w:val="144"/>
  </w:num>
  <w:num w:numId="3" w16cid:durableId="1247107059">
    <w:abstractNumId w:val="72"/>
  </w:num>
  <w:num w:numId="4" w16cid:durableId="376469177">
    <w:abstractNumId w:val="83"/>
  </w:num>
  <w:num w:numId="5" w16cid:durableId="697047203">
    <w:abstractNumId w:val="153"/>
  </w:num>
  <w:num w:numId="6" w16cid:durableId="1023097776">
    <w:abstractNumId w:val="99"/>
  </w:num>
  <w:num w:numId="7" w16cid:durableId="465634153">
    <w:abstractNumId w:val="38"/>
  </w:num>
  <w:num w:numId="8" w16cid:durableId="1702172633">
    <w:abstractNumId w:val="15"/>
  </w:num>
  <w:num w:numId="9" w16cid:durableId="1663849569">
    <w:abstractNumId w:val="6"/>
  </w:num>
  <w:num w:numId="10" w16cid:durableId="700856687">
    <w:abstractNumId w:val="96"/>
  </w:num>
  <w:num w:numId="11" w16cid:durableId="391001262">
    <w:abstractNumId w:val="26"/>
  </w:num>
  <w:num w:numId="12" w16cid:durableId="1678460020">
    <w:abstractNumId w:val="86"/>
  </w:num>
  <w:num w:numId="13" w16cid:durableId="97987713">
    <w:abstractNumId w:val="140"/>
  </w:num>
  <w:num w:numId="14" w16cid:durableId="2015110882">
    <w:abstractNumId w:val="164"/>
  </w:num>
  <w:num w:numId="15" w16cid:durableId="1863398091">
    <w:abstractNumId w:val="110"/>
  </w:num>
  <w:num w:numId="16" w16cid:durableId="1187792450">
    <w:abstractNumId w:val="128"/>
  </w:num>
  <w:num w:numId="17" w16cid:durableId="1238663133">
    <w:abstractNumId w:val="47"/>
  </w:num>
  <w:num w:numId="18" w16cid:durableId="2032490686">
    <w:abstractNumId w:val="9"/>
  </w:num>
  <w:num w:numId="19" w16cid:durableId="797138470">
    <w:abstractNumId w:val="54"/>
  </w:num>
  <w:num w:numId="20" w16cid:durableId="763965180">
    <w:abstractNumId w:val="60"/>
  </w:num>
  <w:num w:numId="21" w16cid:durableId="1646473165">
    <w:abstractNumId w:val="71"/>
  </w:num>
  <w:num w:numId="22" w16cid:durableId="861091818">
    <w:abstractNumId w:val="22"/>
  </w:num>
  <w:num w:numId="23" w16cid:durableId="1025598681">
    <w:abstractNumId w:val="76"/>
  </w:num>
  <w:num w:numId="24" w16cid:durableId="1293049525">
    <w:abstractNumId w:val="43"/>
  </w:num>
  <w:num w:numId="25" w16cid:durableId="557672148">
    <w:abstractNumId w:val="19"/>
  </w:num>
  <w:num w:numId="26" w16cid:durableId="1082291187">
    <w:abstractNumId w:val="32"/>
  </w:num>
  <w:num w:numId="27" w16cid:durableId="1861042">
    <w:abstractNumId w:val="11"/>
  </w:num>
  <w:num w:numId="28" w16cid:durableId="1707364959">
    <w:abstractNumId w:val="68"/>
  </w:num>
  <w:num w:numId="29" w16cid:durableId="1045134325">
    <w:abstractNumId w:val="85"/>
  </w:num>
  <w:num w:numId="30" w16cid:durableId="1702124732">
    <w:abstractNumId w:val="56"/>
  </w:num>
  <w:num w:numId="31" w16cid:durableId="1666858804">
    <w:abstractNumId w:val="142"/>
  </w:num>
  <w:num w:numId="32" w16cid:durableId="2082293428">
    <w:abstractNumId w:val="163"/>
  </w:num>
  <w:num w:numId="33" w16cid:durableId="1786271719">
    <w:abstractNumId w:val="50"/>
  </w:num>
  <w:num w:numId="34" w16cid:durableId="584412686">
    <w:abstractNumId w:val="145"/>
  </w:num>
  <w:num w:numId="35" w16cid:durableId="293679220">
    <w:abstractNumId w:val="125"/>
  </w:num>
  <w:num w:numId="36" w16cid:durableId="1265073388">
    <w:abstractNumId w:val="3"/>
  </w:num>
  <w:num w:numId="37" w16cid:durableId="370111635">
    <w:abstractNumId w:val="55"/>
  </w:num>
  <w:num w:numId="38" w16cid:durableId="246496595">
    <w:abstractNumId w:val="158"/>
  </w:num>
  <w:num w:numId="39" w16cid:durableId="657878067">
    <w:abstractNumId w:val="129"/>
  </w:num>
  <w:num w:numId="40" w16cid:durableId="1255282865">
    <w:abstractNumId w:val="67"/>
  </w:num>
  <w:num w:numId="41" w16cid:durableId="387070864">
    <w:abstractNumId w:val="7"/>
  </w:num>
  <w:num w:numId="42" w16cid:durableId="846602359">
    <w:abstractNumId w:val="120"/>
  </w:num>
  <w:num w:numId="43" w16cid:durableId="1072510895">
    <w:abstractNumId w:val="74"/>
  </w:num>
  <w:num w:numId="44" w16cid:durableId="826822882">
    <w:abstractNumId w:val="132"/>
  </w:num>
  <w:num w:numId="45" w16cid:durableId="840318061">
    <w:abstractNumId w:val="58"/>
  </w:num>
  <w:num w:numId="46" w16cid:durableId="2014794333">
    <w:abstractNumId w:val="151"/>
  </w:num>
  <w:num w:numId="47" w16cid:durableId="1392070554">
    <w:abstractNumId w:val="146"/>
  </w:num>
  <w:num w:numId="48" w16cid:durableId="970791008">
    <w:abstractNumId w:val="25"/>
  </w:num>
  <w:num w:numId="49" w16cid:durableId="1259869864">
    <w:abstractNumId w:val="118"/>
  </w:num>
  <w:num w:numId="50" w16cid:durableId="2133477403">
    <w:abstractNumId w:val="147"/>
  </w:num>
  <w:num w:numId="51" w16cid:durableId="1857114931">
    <w:abstractNumId w:val="107"/>
  </w:num>
  <w:num w:numId="52" w16cid:durableId="1999072338">
    <w:abstractNumId w:val="27"/>
  </w:num>
  <w:num w:numId="53" w16cid:durableId="77943745">
    <w:abstractNumId w:val="111"/>
  </w:num>
  <w:num w:numId="54" w16cid:durableId="2061129857">
    <w:abstractNumId w:val="104"/>
  </w:num>
  <w:num w:numId="55" w16cid:durableId="1307394141">
    <w:abstractNumId w:val="36"/>
  </w:num>
  <w:num w:numId="56" w16cid:durableId="1001540884">
    <w:abstractNumId w:val="127"/>
  </w:num>
  <w:num w:numId="57" w16cid:durableId="1153179830">
    <w:abstractNumId w:val="84"/>
  </w:num>
  <w:num w:numId="58" w16cid:durableId="948659299">
    <w:abstractNumId w:val="62"/>
  </w:num>
  <w:num w:numId="59" w16cid:durableId="2019309354">
    <w:abstractNumId w:val="148"/>
  </w:num>
  <w:num w:numId="60" w16cid:durableId="1844857959">
    <w:abstractNumId w:val="160"/>
  </w:num>
  <w:num w:numId="61" w16cid:durableId="1230073302">
    <w:abstractNumId w:val="87"/>
  </w:num>
  <w:num w:numId="62" w16cid:durableId="1189097569">
    <w:abstractNumId w:val="149"/>
  </w:num>
  <w:num w:numId="63" w16cid:durableId="622149735">
    <w:abstractNumId w:val="75"/>
  </w:num>
  <w:num w:numId="64" w16cid:durableId="563179729">
    <w:abstractNumId w:val="0"/>
  </w:num>
  <w:num w:numId="65" w16cid:durableId="2017540249">
    <w:abstractNumId w:val="100"/>
  </w:num>
  <w:num w:numId="66" w16cid:durableId="1860464168">
    <w:abstractNumId w:val="21"/>
  </w:num>
  <w:num w:numId="67" w16cid:durableId="1567103793">
    <w:abstractNumId w:val="89"/>
  </w:num>
  <w:num w:numId="68" w16cid:durableId="464810047">
    <w:abstractNumId w:val="133"/>
  </w:num>
  <w:num w:numId="69" w16cid:durableId="371224431">
    <w:abstractNumId w:val="157"/>
  </w:num>
  <w:num w:numId="70" w16cid:durableId="946934925">
    <w:abstractNumId w:val="80"/>
  </w:num>
  <w:num w:numId="71" w16cid:durableId="880677516">
    <w:abstractNumId w:val="13"/>
  </w:num>
  <w:num w:numId="72" w16cid:durableId="1489206984">
    <w:abstractNumId w:val="78"/>
  </w:num>
  <w:num w:numId="73" w16cid:durableId="1903835201">
    <w:abstractNumId w:val="29"/>
  </w:num>
  <w:num w:numId="74" w16cid:durableId="2132748464">
    <w:abstractNumId w:val="122"/>
  </w:num>
  <w:num w:numId="75" w16cid:durableId="1838422694">
    <w:abstractNumId w:val="48"/>
  </w:num>
  <w:num w:numId="76" w16cid:durableId="2036497574">
    <w:abstractNumId w:val="12"/>
  </w:num>
  <w:num w:numId="77" w16cid:durableId="680014600">
    <w:abstractNumId w:val="52"/>
  </w:num>
  <w:num w:numId="78" w16cid:durableId="476072625">
    <w:abstractNumId w:val="137"/>
  </w:num>
  <w:num w:numId="79" w16cid:durableId="1004472156">
    <w:abstractNumId w:val="46"/>
  </w:num>
  <w:num w:numId="80" w16cid:durableId="1353805150">
    <w:abstractNumId w:val="17"/>
  </w:num>
  <w:num w:numId="81" w16cid:durableId="607008945">
    <w:abstractNumId w:val="150"/>
  </w:num>
  <w:num w:numId="82" w16cid:durableId="1219853084">
    <w:abstractNumId w:val="34"/>
  </w:num>
  <w:num w:numId="83" w16cid:durableId="330253185">
    <w:abstractNumId w:val="61"/>
  </w:num>
  <w:num w:numId="84" w16cid:durableId="1701083971">
    <w:abstractNumId w:val="131"/>
  </w:num>
  <w:num w:numId="85" w16cid:durableId="603999171">
    <w:abstractNumId w:val="33"/>
  </w:num>
  <w:num w:numId="86" w16cid:durableId="618687924">
    <w:abstractNumId w:val="97"/>
  </w:num>
  <w:num w:numId="87" w16cid:durableId="323439457">
    <w:abstractNumId w:val="141"/>
  </w:num>
  <w:num w:numId="88" w16cid:durableId="241984838">
    <w:abstractNumId w:val="20"/>
  </w:num>
  <w:num w:numId="89" w16cid:durableId="1429155012">
    <w:abstractNumId w:val="155"/>
  </w:num>
  <w:num w:numId="90" w16cid:durableId="1689018436">
    <w:abstractNumId w:val="18"/>
  </w:num>
  <w:num w:numId="91" w16cid:durableId="1370692075">
    <w:abstractNumId w:val="105"/>
  </w:num>
  <w:num w:numId="92" w16cid:durableId="1252812747">
    <w:abstractNumId w:val="30"/>
  </w:num>
  <w:num w:numId="93" w16cid:durableId="263805160">
    <w:abstractNumId w:val="65"/>
  </w:num>
  <w:num w:numId="94" w16cid:durableId="537277899">
    <w:abstractNumId w:val="23"/>
  </w:num>
  <w:num w:numId="95" w16cid:durableId="1469393765">
    <w:abstractNumId w:val="138"/>
  </w:num>
  <w:num w:numId="96" w16cid:durableId="207424799">
    <w:abstractNumId w:val="2"/>
  </w:num>
  <w:num w:numId="97" w16cid:durableId="765030928">
    <w:abstractNumId w:val="35"/>
  </w:num>
  <w:num w:numId="98" w16cid:durableId="1170563796">
    <w:abstractNumId w:val="28"/>
  </w:num>
  <w:num w:numId="99" w16cid:durableId="2099405893">
    <w:abstractNumId w:val="70"/>
  </w:num>
  <w:num w:numId="100" w16cid:durableId="755904144">
    <w:abstractNumId w:val="143"/>
  </w:num>
  <w:num w:numId="101" w16cid:durableId="923147798">
    <w:abstractNumId w:val="88"/>
  </w:num>
  <w:num w:numId="102" w16cid:durableId="1307054084">
    <w:abstractNumId w:val="139"/>
  </w:num>
  <w:num w:numId="103" w16cid:durableId="102382096">
    <w:abstractNumId w:val="14"/>
  </w:num>
  <w:num w:numId="104" w16cid:durableId="91244351">
    <w:abstractNumId w:val="64"/>
  </w:num>
  <w:num w:numId="105" w16cid:durableId="1297681495">
    <w:abstractNumId w:val="154"/>
  </w:num>
  <w:num w:numId="106" w16cid:durableId="449202768">
    <w:abstractNumId w:val="40"/>
  </w:num>
  <w:num w:numId="107" w16cid:durableId="261769602">
    <w:abstractNumId w:val="59"/>
  </w:num>
  <w:num w:numId="108" w16cid:durableId="1051344334">
    <w:abstractNumId w:val="109"/>
  </w:num>
  <w:num w:numId="109" w16cid:durableId="1268735117">
    <w:abstractNumId w:val="106"/>
  </w:num>
  <w:num w:numId="110" w16cid:durableId="1164201946">
    <w:abstractNumId w:val="92"/>
  </w:num>
  <w:num w:numId="111" w16cid:durableId="283578207">
    <w:abstractNumId w:val="31"/>
  </w:num>
  <w:num w:numId="112" w16cid:durableId="862790819">
    <w:abstractNumId w:val="121"/>
  </w:num>
  <w:num w:numId="113" w16cid:durableId="139925247">
    <w:abstractNumId w:val="63"/>
  </w:num>
  <w:num w:numId="114" w16cid:durableId="372314444">
    <w:abstractNumId w:val="117"/>
  </w:num>
  <w:num w:numId="115" w16cid:durableId="1307513109">
    <w:abstractNumId w:val="95"/>
  </w:num>
  <w:num w:numId="116" w16cid:durableId="402920520">
    <w:abstractNumId w:val="4"/>
  </w:num>
  <w:num w:numId="117" w16cid:durableId="1662583598">
    <w:abstractNumId w:val="82"/>
  </w:num>
  <w:num w:numId="118" w16cid:durableId="795489800">
    <w:abstractNumId w:val="39"/>
  </w:num>
  <w:num w:numId="119" w16cid:durableId="1999073297">
    <w:abstractNumId w:val="161"/>
  </w:num>
  <w:num w:numId="120" w16cid:durableId="1826241075">
    <w:abstractNumId w:val="8"/>
  </w:num>
  <w:num w:numId="121" w16cid:durableId="1961837972">
    <w:abstractNumId w:val="10"/>
  </w:num>
  <w:num w:numId="122" w16cid:durableId="745150949">
    <w:abstractNumId w:val="165"/>
  </w:num>
  <w:num w:numId="123" w16cid:durableId="43065675">
    <w:abstractNumId w:val="53"/>
  </w:num>
  <w:num w:numId="124" w16cid:durableId="1687436797">
    <w:abstractNumId w:val="156"/>
  </w:num>
  <w:num w:numId="125" w16cid:durableId="1272860938">
    <w:abstractNumId w:val="98"/>
  </w:num>
  <w:num w:numId="126" w16cid:durableId="1302349086">
    <w:abstractNumId w:val="77"/>
  </w:num>
  <w:num w:numId="127" w16cid:durableId="942960043">
    <w:abstractNumId w:val="123"/>
  </w:num>
  <w:num w:numId="128" w16cid:durableId="977802625">
    <w:abstractNumId w:val="1"/>
  </w:num>
  <w:num w:numId="129" w16cid:durableId="666398536">
    <w:abstractNumId w:val="42"/>
  </w:num>
  <w:num w:numId="130" w16cid:durableId="524827066">
    <w:abstractNumId w:val="135"/>
  </w:num>
  <w:num w:numId="131" w16cid:durableId="1285430909">
    <w:abstractNumId w:val="103"/>
  </w:num>
  <w:num w:numId="132" w16cid:durableId="1433548860">
    <w:abstractNumId w:val="119"/>
  </w:num>
  <w:num w:numId="133" w16cid:durableId="1860895391">
    <w:abstractNumId w:val="45"/>
  </w:num>
  <w:num w:numId="134" w16cid:durableId="572928570">
    <w:abstractNumId w:val="79"/>
  </w:num>
  <w:num w:numId="135" w16cid:durableId="822309001">
    <w:abstractNumId w:val="44"/>
  </w:num>
  <w:num w:numId="136" w16cid:durableId="661012761">
    <w:abstractNumId w:val="24"/>
  </w:num>
  <w:num w:numId="137" w16cid:durableId="227689814">
    <w:abstractNumId w:val="16"/>
  </w:num>
  <w:num w:numId="138" w16cid:durableId="1372656249">
    <w:abstractNumId w:val="57"/>
  </w:num>
  <w:num w:numId="139" w16cid:durableId="1478381831">
    <w:abstractNumId w:val="126"/>
  </w:num>
  <w:num w:numId="140" w16cid:durableId="849561869">
    <w:abstractNumId w:val="93"/>
  </w:num>
  <w:num w:numId="141" w16cid:durableId="176120902">
    <w:abstractNumId w:val="102"/>
  </w:num>
  <w:num w:numId="142" w16cid:durableId="947275047">
    <w:abstractNumId w:val="41"/>
  </w:num>
  <w:num w:numId="143" w16cid:durableId="1456674948">
    <w:abstractNumId w:val="69"/>
  </w:num>
  <w:num w:numId="144" w16cid:durableId="2133546475">
    <w:abstractNumId w:val="91"/>
  </w:num>
  <w:num w:numId="145" w16cid:durableId="885799834">
    <w:abstractNumId w:val="116"/>
  </w:num>
  <w:num w:numId="146" w16cid:durableId="1022631572">
    <w:abstractNumId w:val="81"/>
  </w:num>
  <w:num w:numId="147" w16cid:durableId="406194327">
    <w:abstractNumId w:val="113"/>
  </w:num>
  <w:num w:numId="148" w16cid:durableId="953558646">
    <w:abstractNumId w:val="101"/>
  </w:num>
  <w:num w:numId="149" w16cid:durableId="121845722">
    <w:abstractNumId w:val="66"/>
  </w:num>
  <w:num w:numId="150" w16cid:durableId="1879588025">
    <w:abstractNumId w:val="108"/>
  </w:num>
  <w:num w:numId="151" w16cid:durableId="1414550683">
    <w:abstractNumId w:val="5"/>
  </w:num>
  <w:num w:numId="152" w16cid:durableId="1248342009">
    <w:abstractNumId w:val="94"/>
  </w:num>
  <w:num w:numId="153" w16cid:durableId="908729650">
    <w:abstractNumId w:val="136"/>
  </w:num>
  <w:num w:numId="154" w16cid:durableId="1480614484">
    <w:abstractNumId w:val="112"/>
  </w:num>
  <w:num w:numId="155" w16cid:durableId="2113932989">
    <w:abstractNumId w:val="152"/>
  </w:num>
  <w:num w:numId="156" w16cid:durableId="1394306951">
    <w:abstractNumId w:val="115"/>
  </w:num>
  <w:num w:numId="157" w16cid:durableId="848568900">
    <w:abstractNumId w:val="159"/>
  </w:num>
  <w:num w:numId="158" w16cid:durableId="1054157600">
    <w:abstractNumId w:val="73"/>
  </w:num>
  <w:num w:numId="159" w16cid:durableId="572082566">
    <w:abstractNumId w:val="124"/>
  </w:num>
  <w:num w:numId="160" w16cid:durableId="219482496">
    <w:abstractNumId w:val="49"/>
  </w:num>
  <w:num w:numId="161" w16cid:durableId="1927225407">
    <w:abstractNumId w:val="114"/>
  </w:num>
  <w:num w:numId="162" w16cid:durableId="287206385">
    <w:abstractNumId w:val="130"/>
  </w:num>
  <w:num w:numId="163" w16cid:durableId="2084402707">
    <w:abstractNumId w:val="37"/>
  </w:num>
  <w:num w:numId="164" w16cid:durableId="814226012">
    <w:abstractNumId w:val="90"/>
  </w:num>
  <w:num w:numId="165" w16cid:durableId="822281214">
    <w:abstractNumId w:val="162"/>
  </w:num>
  <w:num w:numId="166" w16cid:durableId="2081902460">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7F8C"/>
    <w:rsid w:val="000B7F8C"/>
    <w:rsid w:val="0017192F"/>
    <w:rsid w:val="0018511F"/>
    <w:rsid w:val="00270FBE"/>
    <w:rsid w:val="004723F4"/>
    <w:rsid w:val="0077078F"/>
    <w:rsid w:val="007E45D7"/>
    <w:rsid w:val="008E0E9C"/>
    <w:rsid w:val="00974DF8"/>
    <w:rsid w:val="00BD4D64"/>
    <w:rsid w:val="00D86A9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0E517B"/>
  <w15:docId w15:val="{B66F7460-DD94-4C07-BE95-A370958F37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IN" w:eastAsia="en-IN"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pBdr>
        <w:top w:val="nil"/>
        <w:left w:val="nil"/>
        <w:bottom w:val="nil"/>
        <w:right w:val="nil"/>
        <w:between w:val="nil"/>
      </w:pBdr>
      <w:spacing w:before="240" w:after="240"/>
      <w:outlineLvl w:val="0"/>
    </w:pPr>
    <w:rPr>
      <w:b/>
      <w:bCs/>
      <w:sz w:val="48"/>
      <w:szCs w:val="48"/>
    </w:rPr>
  </w:style>
  <w:style w:type="paragraph" w:styleId="Heading2">
    <w:name w:val="heading 2"/>
    <w:basedOn w:val="Normal"/>
    <w:next w:val="Normal"/>
    <w:uiPriority w:val="9"/>
    <w:unhideWhenUsed/>
    <w:qFormat/>
    <w:pPr>
      <w:pBdr>
        <w:top w:val="nil"/>
        <w:left w:val="nil"/>
        <w:bottom w:val="nil"/>
        <w:right w:val="nil"/>
        <w:between w:val="nil"/>
      </w:pBdr>
      <w:spacing w:before="225" w:after="225"/>
      <w:outlineLvl w:val="1"/>
    </w:pPr>
    <w:rPr>
      <w:b/>
      <w:bCs/>
      <w:sz w:val="36"/>
      <w:szCs w:val="36"/>
    </w:rPr>
  </w:style>
  <w:style w:type="paragraph" w:styleId="Heading3">
    <w:name w:val="heading 3"/>
    <w:basedOn w:val="Normal"/>
    <w:next w:val="Normal"/>
    <w:uiPriority w:val="9"/>
    <w:unhideWhenUsed/>
    <w:qFormat/>
    <w:pPr>
      <w:pBdr>
        <w:top w:val="nil"/>
        <w:left w:val="nil"/>
        <w:bottom w:val="nil"/>
        <w:right w:val="nil"/>
        <w:between w:val="nil"/>
      </w:pBdr>
      <w:spacing w:before="240" w:after="240"/>
      <w:outlineLvl w:val="2"/>
    </w:pPr>
    <w:rPr>
      <w:b/>
      <w:bCs/>
      <w:sz w:val="28"/>
      <w:szCs w:val="28"/>
    </w:rPr>
  </w:style>
  <w:style w:type="paragraph" w:styleId="Heading4">
    <w:name w:val="heading 4"/>
    <w:basedOn w:val="Normal"/>
    <w:next w:val="Normal"/>
    <w:uiPriority w:val="9"/>
    <w:semiHidden/>
    <w:unhideWhenUsed/>
    <w:qFormat/>
    <w:pPr>
      <w:pBdr>
        <w:top w:val="nil"/>
        <w:left w:val="nil"/>
        <w:bottom w:val="nil"/>
        <w:right w:val="nil"/>
        <w:between w:val="nil"/>
      </w:pBdr>
      <w:spacing w:before="255" w:after="255"/>
      <w:outlineLvl w:val="3"/>
    </w:pPr>
    <w:rPr>
      <w:b/>
      <w:bCs/>
      <w:sz w:val="24"/>
      <w:szCs w:val="24"/>
    </w:rPr>
  </w:style>
  <w:style w:type="paragraph" w:styleId="Heading5">
    <w:name w:val="heading 5"/>
    <w:basedOn w:val="Normal"/>
    <w:next w:val="Normal"/>
    <w:uiPriority w:val="9"/>
    <w:semiHidden/>
    <w:unhideWhenUsed/>
    <w:qFormat/>
    <w:pPr>
      <w:pBdr>
        <w:top w:val="nil"/>
        <w:left w:val="nil"/>
        <w:bottom w:val="nil"/>
        <w:right w:val="nil"/>
        <w:between w:val="nil"/>
      </w:pBdr>
      <w:spacing w:before="255" w:after="255"/>
      <w:outlineLvl w:val="4"/>
    </w:pPr>
    <w:rPr>
      <w:b/>
      <w:bCs/>
      <w:sz w:val="18"/>
      <w:szCs w:val="18"/>
    </w:rPr>
  </w:style>
  <w:style w:type="paragraph" w:styleId="Heading6">
    <w:name w:val="heading 6"/>
    <w:basedOn w:val="Normal"/>
    <w:next w:val="Normal"/>
    <w:uiPriority w:val="9"/>
    <w:semiHidden/>
    <w:unhideWhenUsed/>
    <w:qFormat/>
    <w:pPr>
      <w:pBdr>
        <w:top w:val="nil"/>
        <w:left w:val="nil"/>
        <w:bottom w:val="nil"/>
        <w:right w:val="nil"/>
        <w:between w:val="nil"/>
      </w:pBdr>
      <w:spacing w:before="360" w:after="360"/>
      <w:outlineLvl w:val="5"/>
    </w:pPr>
    <w:rPr>
      <w:b/>
      <w:bCs/>
      <w:sz w:val="16"/>
      <w:szCs w:val="1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paragraph" w:styleId="ListParagraph">
    <w:name w:val="List Paragraph"/>
    <w:basedOn w:val="Normal"/>
    <w:uiPriority w:val="34"/>
    <w:qFormat/>
    <w:rsid w:val="007E45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5979</Words>
  <Characters>34082</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Sumeet Thakur</dc:creator>
  <cp:lastModifiedBy>Sumeet Thakur</cp:lastModifiedBy>
  <cp:revision>2</cp:revision>
  <dcterms:created xsi:type="dcterms:W3CDTF">2026-06-29T09:44:00Z</dcterms:created>
  <dcterms:modified xsi:type="dcterms:W3CDTF">2026-06-29T09:44:00Z</dcterms:modified>
</cp:coreProperties>
</file>