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5D" w:rsidRDefault="0044135D" w:rsidP="0044135D">
      <w:pPr>
        <w:rPr>
          <w:rFonts w:eastAsia="Arial"/>
          <w:sz w:val="28"/>
          <w:szCs w:val="28"/>
          <w:lang w:val="en-IN"/>
        </w:rPr>
      </w:pPr>
      <w:r>
        <w:rPr>
          <w:rFonts w:eastAsia="Arial"/>
          <w:sz w:val="28"/>
          <w:szCs w:val="28"/>
          <w:lang w:val="en-IN"/>
        </w:rPr>
        <w:t>S</w:t>
      </w:r>
      <w:r w:rsidRPr="0044135D">
        <w:rPr>
          <w:rFonts w:eastAsia="Arial"/>
          <w:sz w:val="28"/>
          <w:szCs w:val="28"/>
          <w:lang w:val="en-IN"/>
        </w:rPr>
        <w:t xml:space="preserve">ynthesis, </w:t>
      </w:r>
      <w:proofErr w:type="gramStart"/>
      <w:r w:rsidRPr="0044135D">
        <w:rPr>
          <w:rFonts w:eastAsia="Arial"/>
          <w:sz w:val="28"/>
          <w:szCs w:val="28"/>
          <w:lang w:val="en-IN"/>
        </w:rPr>
        <w:t>Characterization</w:t>
      </w:r>
      <w:r>
        <w:rPr>
          <w:rFonts w:eastAsia="Arial"/>
          <w:sz w:val="28"/>
          <w:szCs w:val="28"/>
          <w:lang w:val="en-IN"/>
        </w:rPr>
        <w:t xml:space="preserve"> ,</w:t>
      </w:r>
      <w:proofErr w:type="gramEnd"/>
      <w:r w:rsidR="003D58F5">
        <w:rPr>
          <w:rFonts w:eastAsia="Arial"/>
          <w:sz w:val="28"/>
          <w:szCs w:val="28"/>
          <w:lang w:val="en-IN"/>
        </w:rPr>
        <w:t xml:space="preserve"> </w:t>
      </w:r>
      <w:r w:rsidRPr="0044135D">
        <w:rPr>
          <w:rFonts w:eastAsia="Arial"/>
          <w:sz w:val="28"/>
          <w:szCs w:val="28"/>
          <w:lang w:val="en-IN"/>
        </w:rPr>
        <w:t xml:space="preserve">and Antimicrobial Activity of Ethyl 4-[3- Chloroquinoxalin-2-yl ]amino ]benzoate </w:t>
      </w:r>
    </w:p>
    <w:p w:rsidR="003D58F5" w:rsidRDefault="003D58F5" w:rsidP="0044135D">
      <w:pPr>
        <w:rPr>
          <w:rFonts w:eastAsia="Arial"/>
          <w:sz w:val="28"/>
          <w:szCs w:val="28"/>
          <w:lang w:val="en-IN"/>
        </w:rPr>
      </w:pPr>
    </w:p>
    <w:p w:rsidR="0044135D" w:rsidRDefault="003D58F5" w:rsidP="0044135D">
      <w:pPr>
        <w:rPr>
          <w:rFonts w:eastAsia="Arial"/>
          <w:sz w:val="28"/>
          <w:szCs w:val="28"/>
          <w:lang w:val="en-IN"/>
        </w:rPr>
      </w:pPr>
      <w:r>
        <w:rPr>
          <w:rFonts w:eastAsia="Arial"/>
          <w:sz w:val="28"/>
          <w:szCs w:val="28"/>
          <w:lang w:val="en-IN"/>
        </w:rPr>
        <w:t>Authors</w:t>
      </w:r>
      <w:proofErr w:type="gramStart"/>
      <w:r>
        <w:rPr>
          <w:rFonts w:eastAsia="Arial"/>
          <w:sz w:val="28"/>
          <w:szCs w:val="28"/>
          <w:lang w:val="en-IN"/>
        </w:rPr>
        <w:t>:-</w:t>
      </w:r>
      <w:proofErr w:type="gramEnd"/>
      <w:r>
        <w:rPr>
          <w:rFonts w:eastAsia="Arial"/>
          <w:sz w:val="28"/>
          <w:szCs w:val="28"/>
          <w:lang w:val="en-IN"/>
        </w:rPr>
        <w:t xml:space="preserve">  </w:t>
      </w:r>
      <w:r>
        <w:rPr>
          <w:rFonts w:eastAsia="Arial"/>
          <w:sz w:val="28"/>
          <w:szCs w:val="28"/>
          <w:vertAlign w:val="superscript"/>
          <w:lang w:val="en-IN"/>
        </w:rPr>
        <w:t>1</w:t>
      </w:r>
      <w:r>
        <w:rPr>
          <w:rFonts w:eastAsia="Arial"/>
          <w:sz w:val="28"/>
          <w:szCs w:val="28"/>
          <w:lang w:val="en-IN"/>
        </w:rPr>
        <w:t xml:space="preserve">Shrutika Subhash Gajare, </w:t>
      </w:r>
      <w:r>
        <w:rPr>
          <w:rFonts w:eastAsia="Arial"/>
          <w:sz w:val="28"/>
          <w:szCs w:val="28"/>
          <w:vertAlign w:val="superscript"/>
          <w:lang w:val="en-IN"/>
        </w:rPr>
        <w:t>2</w:t>
      </w:r>
      <w:r w:rsidR="0044135D" w:rsidRPr="0044135D">
        <w:rPr>
          <w:rFonts w:eastAsia="Arial"/>
          <w:sz w:val="28"/>
          <w:szCs w:val="28"/>
          <w:lang w:val="en-IN"/>
        </w:rPr>
        <w:t xml:space="preserve"> Dr </w:t>
      </w:r>
      <w:r w:rsidR="0044135D">
        <w:rPr>
          <w:rFonts w:eastAsia="Arial"/>
          <w:sz w:val="28"/>
          <w:szCs w:val="28"/>
          <w:lang w:val="en-IN"/>
        </w:rPr>
        <w:t>.</w:t>
      </w:r>
      <w:r>
        <w:rPr>
          <w:rFonts w:eastAsia="Arial"/>
          <w:sz w:val="28"/>
          <w:szCs w:val="28"/>
          <w:lang w:val="en-IN"/>
        </w:rPr>
        <w:t xml:space="preserve">Shital Dnyaneshwar Gaikwad   , </w:t>
      </w:r>
      <w:r w:rsidRPr="003D58F5">
        <w:rPr>
          <w:rFonts w:eastAsia="Arial"/>
          <w:sz w:val="28"/>
          <w:szCs w:val="28"/>
          <w:vertAlign w:val="superscript"/>
          <w:lang w:val="en-IN"/>
        </w:rPr>
        <w:t>3</w:t>
      </w:r>
      <w:r w:rsidRPr="003D58F5">
        <w:rPr>
          <w:rFonts w:eastAsia="Arial"/>
          <w:sz w:val="28"/>
          <w:szCs w:val="28"/>
          <w:lang w:val="en-IN"/>
        </w:rPr>
        <w:t>Rutuja</w:t>
      </w:r>
      <w:r>
        <w:rPr>
          <w:rFonts w:eastAsia="Arial"/>
          <w:sz w:val="28"/>
          <w:szCs w:val="28"/>
          <w:lang w:val="en-IN"/>
        </w:rPr>
        <w:t xml:space="preserve"> Sharad Ghadge, </w:t>
      </w:r>
      <w:r>
        <w:rPr>
          <w:rFonts w:eastAsia="Arial"/>
          <w:sz w:val="28"/>
          <w:szCs w:val="28"/>
          <w:vertAlign w:val="superscript"/>
          <w:lang w:val="en-IN"/>
        </w:rPr>
        <w:t>4</w:t>
      </w:r>
      <w:r>
        <w:rPr>
          <w:rFonts w:eastAsia="Arial"/>
          <w:sz w:val="28"/>
          <w:szCs w:val="28"/>
          <w:lang w:val="en-IN"/>
        </w:rPr>
        <w:t xml:space="preserve">Pooja Dattatray Gaykar, </w:t>
      </w:r>
      <w:r>
        <w:rPr>
          <w:rFonts w:eastAsia="Arial"/>
          <w:sz w:val="28"/>
          <w:szCs w:val="28"/>
          <w:vertAlign w:val="superscript"/>
          <w:lang w:val="en-IN"/>
        </w:rPr>
        <w:t>5</w:t>
      </w:r>
      <w:r w:rsidR="0044135D" w:rsidRPr="0044135D">
        <w:rPr>
          <w:rFonts w:eastAsia="Arial"/>
          <w:sz w:val="28"/>
          <w:szCs w:val="28"/>
          <w:lang w:val="en-IN"/>
        </w:rPr>
        <w:t>vaishnavi pramod Ganjave</w:t>
      </w:r>
    </w:p>
    <w:p w:rsidR="003D58F5" w:rsidRDefault="003D58F5" w:rsidP="0044135D">
      <w:pPr>
        <w:rPr>
          <w:rFonts w:eastAsia="Arial"/>
          <w:sz w:val="28"/>
          <w:szCs w:val="28"/>
          <w:lang w:val="en-IN"/>
        </w:rPr>
      </w:pPr>
    </w:p>
    <w:p w:rsidR="003D58F5" w:rsidRPr="003D58F5" w:rsidRDefault="003D58F5" w:rsidP="003D58F5">
      <w:pPr>
        <w:rPr>
          <w:rFonts w:eastAsia="Arial"/>
          <w:sz w:val="28"/>
          <w:szCs w:val="28"/>
          <w:lang w:val="en-IN"/>
        </w:rPr>
      </w:pPr>
      <w:proofErr w:type="gramStart"/>
      <w:r w:rsidRPr="003D58F5">
        <w:rPr>
          <w:rFonts w:eastAsia="Arial"/>
          <w:sz w:val="28"/>
          <w:szCs w:val="28"/>
          <w:lang w:val="en-IN"/>
        </w:rPr>
        <w:t>1.Student</w:t>
      </w:r>
      <w:proofErr w:type="gramEnd"/>
      <w:r w:rsidRPr="003D58F5">
        <w:rPr>
          <w:rFonts w:eastAsia="Arial"/>
          <w:sz w:val="28"/>
          <w:szCs w:val="28"/>
          <w:lang w:val="en-IN"/>
        </w:rPr>
        <w:t xml:space="preserve"> of Samarth institute of pharmacy Belhe, Pune, Maharashtra  </w:t>
      </w:r>
    </w:p>
    <w:p w:rsidR="003D58F5" w:rsidRPr="003D58F5" w:rsidRDefault="003D58F5" w:rsidP="003D58F5">
      <w:pPr>
        <w:rPr>
          <w:rFonts w:eastAsia="Arial"/>
          <w:sz w:val="28"/>
          <w:szCs w:val="28"/>
          <w:lang w:val="en-IN"/>
        </w:rPr>
      </w:pPr>
      <w:proofErr w:type="gramStart"/>
      <w:r w:rsidRPr="003D58F5">
        <w:rPr>
          <w:rFonts w:eastAsia="Arial"/>
          <w:sz w:val="28"/>
          <w:szCs w:val="28"/>
          <w:lang w:val="en-IN"/>
        </w:rPr>
        <w:t>2.Assistant</w:t>
      </w:r>
      <w:proofErr w:type="gramEnd"/>
      <w:r w:rsidRPr="003D58F5">
        <w:rPr>
          <w:rFonts w:eastAsia="Arial"/>
          <w:sz w:val="28"/>
          <w:szCs w:val="28"/>
          <w:lang w:val="en-IN"/>
        </w:rPr>
        <w:t xml:space="preserve"> professor from department Pharmaceut</w:t>
      </w:r>
      <w:r>
        <w:rPr>
          <w:rFonts w:eastAsia="Arial"/>
          <w:sz w:val="28"/>
          <w:szCs w:val="28"/>
          <w:lang w:val="en-IN"/>
        </w:rPr>
        <w:t>ical chemistry</w:t>
      </w:r>
      <w:r w:rsidRPr="003D58F5">
        <w:rPr>
          <w:rFonts w:eastAsia="Arial"/>
          <w:sz w:val="28"/>
          <w:szCs w:val="28"/>
          <w:lang w:val="en-IN"/>
        </w:rPr>
        <w:t xml:space="preserve">, Samarth institute of pharmacy Belhe. </w:t>
      </w:r>
    </w:p>
    <w:p w:rsidR="003D58F5" w:rsidRPr="003D58F5" w:rsidRDefault="003D58F5" w:rsidP="003D58F5">
      <w:pPr>
        <w:rPr>
          <w:rFonts w:eastAsia="Arial"/>
          <w:sz w:val="28"/>
          <w:szCs w:val="28"/>
          <w:lang w:val="en-IN"/>
        </w:rPr>
      </w:pPr>
      <w:proofErr w:type="gramStart"/>
      <w:r w:rsidRPr="003D58F5">
        <w:rPr>
          <w:rFonts w:eastAsia="Arial"/>
          <w:sz w:val="28"/>
          <w:szCs w:val="28"/>
          <w:lang w:val="en-IN"/>
        </w:rPr>
        <w:t>3.Student</w:t>
      </w:r>
      <w:proofErr w:type="gramEnd"/>
      <w:r w:rsidRPr="003D58F5">
        <w:rPr>
          <w:rFonts w:eastAsia="Arial"/>
          <w:sz w:val="28"/>
          <w:szCs w:val="28"/>
          <w:lang w:val="en-IN"/>
        </w:rPr>
        <w:t xml:space="preserve"> of Samarth institute of pharmacy Belhe, Pune, Maharashtra  </w:t>
      </w:r>
    </w:p>
    <w:p w:rsidR="003D58F5" w:rsidRPr="003D58F5" w:rsidRDefault="003D58F5" w:rsidP="003D58F5">
      <w:pPr>
        <w:rPr>
          <w:rFonts w:eastAsia="Arial"/>
          <w:sz w:val="28"/>
          <w:szCs w:val="28"/>
          <w:lang w:val="en-IN"/>
        </w:rPr>
      </w:pPr>
      <w:proofErr w:type="gramStart"/>
      <w:r w:rsidRPr="003D58F5">
        <w:rPr>
          <w:rFonts w:eastAsia="Arial"/>
          <w:sz w:val="28"/>
          <w:szCs w:val="28"/>
          <w:lang w:val="en-IN"/>
        </w:rPr>
        <w:t>4.Student</w:t>
      </w:r>
      <w:proofErr w:type="gramEnd"/>
      <w:r w:rsidRPr="003D58F5">
        <w:rPr>
          <w:rFonts w:eastAsia="Arial"/>
          <w:sz w:val="28"/>
          <w:szCs w:val="28"/>
          <w:lang w:val="en-IN"/>
        </w:rPr>
        <w:t xml:space="preserve"> of Samarth institute of pharmacy Belhe, Pune, Maharashtra  </w:t>
      </w:r>
    </w:p>
    <w:p w:rsidR="003D58F5" w:rsidRDefault="003D58F5" w:rsidP="003D58F5">
      <w:pPr>
        <w:rPr>
          <w:rFonts w:eastAsia="Arial"/>
          <w:sz w:val="28"/>
          <w:szCs w:val="28"/>
          <w:lang w:val="en-IN"/>
        </w:rPr>
      </w:pPr>
      <w:proofErr w:type="gramStart"/>
      <w:r w:rsidRPr="003D58F5">
        <w:rPr>
          <w:rFonts w:eastAsia="Arial"/>
          <w:sz w:val="28"/>
          <w:szCs w:val="28"/>
          <w:lang w:val="en-IN"/>
        </w:rPr>
        <w:t>5.Student</w:t>
      </w:r>
      <w:proofErr w:type="gramEnd"/>
      <w:r w:rsidRPr="003D58F5">
        <w:rPr>
          <w:rFonts w:eastAsia="Arial"/>
          <w:sz w:val="28"/>
          <w:szCs w:val="28"/>
          <w:lang w:val="en-IN"/>
        </w:rPr>
        <w:t xml:space="preserve"> of Samarth institute of pharmacy Belhe, Pune, Maharashtra</w:t>
      </w:r>
    </w:p>
    <w:p w:rsidR="003D58F5" w:rsidRDefault="003D58F5" w:rsidP="003D58F5">
      <w:pPr>
        <w:rPr>
          <w:rFonts w:eastAsia="Arial"/>
          <w:sz w:val="28"/>
          <w:szCs w:val="28"/>
          <w:lang w:val="en-IN"/>
        </w:rPr>
      </w:pPr>
    </w:p>
    <w:p w:rsidR="003D58F5" w:rsidRDefault="003D58F5" w:rsidP="003D58F5">
      <w:pPr>
        <w:rPr>
          <w:rFonts w:eastAsia="Arial"/>
          <w:sz w:val="28"/>
          <w:szCs w:val="28"/>
          <w:lang w:val="en-IN"/>
        </w:rPr>
      </w:pPr>
    </w:p>
    <w:p w:rsidR="003D58F5" w:rsidRDefault="003D58F5" w:rsidP="003D58F5">
      <w:pPr>
        <w:rPr>
          <w:rFonts w:eastAsia="Arial"/>
          <w:sz w:val="28"/>
          <w:szCs w:val="28"/>
          <w:lang w:val="en-IN"/>
        </w:rPr>
      </w:pPr>
    </w:p>
    <w:p w:rsidR="003D58F5" w:rsidRPr="003D58F5" w:rsidRDefault="003D58F5" w:rsidP="003D58F5">
      <w:pPr>
        <w:rPr>
          <w:rFonts w:eastAsia="Arial"/>
          <w:b/>
          <w:bCs/>
          <w:sz w:val="28"/>
          <w:szCs w:val="28"/>
          <w:lang w:val="en-IN"/>
        </w:rPr>
      </w:pPr>
      <w:r w:rsidRPr="003D58F5">
        <w:rPr>
          <w:rFonts w:eastAsia="Arial"/>
          <w:b/>
          <w:bCs/>
          <w:sz w:val="28"/>
          <w:szCs w:val="28"/>
          <w:lang w:val="en-IN"/>
        </w:rPr>
        <w:t>Abstract</w:t>
      </w:r>
    </w:p>
    <w:p w:rsidR="003D58F5" w:rsidRPr="003D58F5" w:rsidRDefault="003D58F5" w:rsidP="003D58F5">
      <w:pPr>
        <w:rPr>
          <w:rFonts w:eastAsia="Arial"/>
          <w:b/>
          <w:bCs/>
          <w:sz w:val="28"/>
          <w:szCs w:val="28"/>
          <w:lang w:val="en-IN"/>
        </w:rPr>
      </w:pPr>
      <w:r w:rsidRPr="003D58F5">
        <w:rPr>
          <w:rFonts w:eastAsia="Arial"/>
          <w:b/>
          <w:bCs/>
          <w:sz w:val="28"/>
          <w:szCs w:val="28"/>
          <w:lang w:val="en-IN"/>
        </w:rPr>
        <w:t xml:space="preserve"> </w:t>
      </w:r>
    </w:p>
    <w:p w:rsidR="003D58F5" w:rsidRPr="003D58F5" w:rsidRDefault="003D58F5" w:rsidP="003D58F5">
      <w:pPr>
        <w:jc w:val="both"/>
        <w:rPr>
          <w:rFonts w:eastAsia="Arial"/>
          <w:sz w:val="24"/>
          <w:szCs w:val="24"/>
          <w:lang w:val="en-IN"/>
        </w:rPr>
      </w:pPr>
      <w:r w:rsidRPr="003D58F5">
        <w:rPr>
          <w:rFonts w:eastAsia="Arial"/>
          <w:sz w:val="24"/>
          <w:szCs w:val="24"/>
          <w:lang w:val="en-IN"/>
        </w:rPr>
        <w:t>A novel hybrid compound, Ethyl 4-[(3-chloroquinoxalin-2-yl</w:t>
      </w:r>
      <w:proofErr w:type="gramStart"/>
      <w:r w:rsidRPr="003D58F5">
        <w:rPr>
          <w:rFonts w:eastAsia="Arial"/>
          <w:sz w:val="24"/>
          <w:szCs w:val="24"/>
          <w:lang w:val="en-IN"/>
        </w:rPr>
        <w:t>)amino</w:t>
      </w:r>
      <w:proofErr w:type="gramEnd"/>
      <w:r w:rsidRPr="003D58F5">
        <w:rPr>
          <w:rFonts w:eastAsia="Arial"/>
          <w:sz w:val="24"/>
          <w:szCs w:val="24"/>
          <w:lang w:val="en-IN"/>
        </w:rPr>
        <w:t xml:space="preserve">]benzoate (ECQAB), was designed and synthesized in two steps, followed by comprehensive characterization using various spectroscopic and analytical techniques. The synthesis process involved the condensation of ortho-phenylenediamine with ethyl pyruvate to produce 3-methylquinoxalin-2(1H)-one, which was then chlorinated using phosphorus oxychloride (POCl₃) before undergoing nucleophilic aromatic substitution with ethyl 4-aminobenzoate. The structure of the compound was definitively confirmed through infrared spectroscopy (IR), proton nuclear magnetic resonance (¹H NMR), carbon-13 NMR (¹³C NMR), and high-resolution mass spectrometry (HRMS). The newly synthesized ECQAB was assessed in vitro for its antimicrobial properties against four bacterial strains—Staphylococcus aureus, Bacillus subtilis, Escherichia coli, and Pseudomonas aeruginosa—as well as two fungal strains—Candida albicans and Aspergillus </w:t>
      </w:r>
      <w:r w:rsidRPr="003D58F5">
        <w:rPr>
          <w:rFonts w:eastAsia="Arial"/>
          <w:sz w:val="24"/>
          <w:szCs w:val="24"/>
          <w:lang w:val="en-IN"/>
        </w:rPr>
        <w:t>Niger</w:t>
      </w:r>
      <w:r w:rsidRPr="003D58F5">
        <w:rPr>
          <w:rFonts w:eastAsia="Arial"/>
          <w:sz w:val="24"/>
          <w:szCs w:val="24"/>
          <w:lang w:val="en-IN"/>
        </w:rPr>
        <w:t xml:space="preserve">—utilizing agar disc diffusion and micro-broth dilution methods. ECQAB exhibited significant broad-spectrum antimicrobial activity, with minimum inhibitory concentration (MIC) values ranging from 15.6 to 62.5 µg/mL, comparable to the reference standards ciprofloxacin and fluconazole. Notably, it showed impressive effectiveness against S. aureus (MIC = 15.6 µg/mL) and C. albicans (MIC = 31.25 µg/mL). These promising results indicate that the quinoxaline framework featuring a chloro substituent along with an </w:t>
      </w:r>
      <w:r w:rsidRPr="003D58F5">
        <w:rPr>
          <w:rFonts w:eastAsia="Arial"/>
          <w:sz w:val="24"/>
          <w:szCs w:val="24"/>
          <w:lang w:val="en-IN"/>
        </w:rPr>
        <w:t>amino benzoate</w:t>
      </w:r>
      <w:r w:rsidRPr="003D58F5">
        <w:rPr>
          <w:rFonts w:eastAsia="Arial"/>
          <w:sz w:val="24"/>
          <w:szCs w:val="24"/>
          <w:lang w:val="en-IN"/>
        </w:rPr>
        <w:t xml:space="preserve"> group has considerable potential as a foundation for developing new antimicrobial agents.</w:t>
      </w:r>
    </w:p>
    <w:p w:rsidR="003D58F5" w:rsidRDefault="003D58F5" w:rsidP="003D58F5">
      <w:pPr>
        <w:jc w:val="both"/>
        <w:rPr>
          <w:rFonts w:eastAsia="Arial"/>
          <w:sz w:val="24"/>
          <w:szCs w:val="24"/>
          <w:lang w:val="en-IN"/>
        </w:rPr>
      </w:pPr>
    </w:p>
    <w:p w:rsidR="003D58F5" w:rsidRDefault="003D58F5" w:rsidP="003D58F5">
      <w:pPr>
        <w:jc w:val="both"/>
        <w:rPr>
          <w:rFonts w:eastAsia="Arial"/>
          <w:sz w:val="24"/>
          <w:szCs w:val="24"/>
          <w:lang w:val="en-IN"/>
        </w:rPr>
      </w:pPr>
      <w:r w:rsidRPr="003D58F5">
        <w:rPr>
          <w:rFonts w:eastAsia="Arial"/>
          <w:b/>
          <w:bCs/>
          <w:sz w:val="24"/>
          <w:szCs w:val="24"/>
          <w:lang w:val="en-IN"/>
        </w:rPr>
        <w:t>Keywords</w:t>
      </w:r>
      <w:r>
        <w:rPr>
          <w:rFonts w:eastAsia="Arial"/>
          <w:sz w:val="24"/>
          <w:szCs w:val="24"/>
          <w:lang w:val="en-IN"/>
        </w:rPr>
        <w:t>: Quinoxaline, Chloroquinoxaline,</w:t>
      </w:r>
      <w:r w:rsidRPr="003D58F5">
        <w:rPr>
          <w:rFonts w:eastAsia="Arial"/>
          <w:sz w:val="24"/>
          <w:szCs w:val="24"/>
          <w:lang w:val="en-IN"/>
        </w:rPr>
        <w:t xml:space="preserve"> Nuc</w:t>
      </w:r>
      <w:r>
        <w:rPr>
          <w:rFonts w:eastAsia="Arial"/>
          <w:sz w:val="24"/>
          <w:szCs w:val="24"/>
          <w:lang w:val="en-IN"/>
        </w:rPr>
        <w:t>leophilic aromatic substitution,</w:t>
      </w:r>
      <w:r w:rsidRPr="003D58F5">
        <w:rPr>
          <w:rFonts w:eastAsia="Arial"/>
          <w:sz w:val="24"/>
          <w:szCs w:val="24"/>
          <w:lang w:val="en-IN"/>
        </w:rPr>
        <w:t xml:space="preserve"> Antimicrobial ac</w:t>
      </w:r>
      <w:r>
        <w:rPr>
          <w:rFonts w:eastAsia="Arial"/>
          <w:sz w:val="24"/>
          <w:szCs w:val="24"/>
          <w:lang w:val="en-IN"/>
        </w:rPr>
        <w:t xml:space="preserve">tivity, </w:t>
      </w:r>
      <w:r w:rsidRPr="003D58F5">
        <w:rPr>
          <w:rFonts w:eastAsia="Arial"/>
          <w:sz w:val="24"/>
          <w:szCs w:val="24"/>
          <w:lang w:val="en-IN"/>
        </w:rPr>
        <w:t>Heterocyclic chemistry</w:t>
      </w:r>
      <w:r>
        <w:rPr>
          <w:rFonts w:eastAsia="Arial"/>
          <w:sz w:val="24"/>
          <w:szCs w:val="24"/>
          <w:lang w:val="en-IN"/>
        </w:rPr>
        <w:t>.</w:t>
      </w:r>
    </w:p>
    <w:p w:rsidR="003D58F5" w:rsidRDefault="003D58F5" w:rsidP="003D58F5">
      <w:pPr>
        <w:jc w:val="both"/>
        <w:rPr>
          <w:rFonts w:eastAsia="Arial"/>
          <w:sz w:val="24"/>
          <w:szCs w:val="24"/>
          <w:lang w:val="en-IN"/>
        </w:rPr>
      </w:pPr>
    </w:p>
    <w:p w:rsidR="003D58F5" w:rsidRDefault="003D58F5" w:rsidP="003D58F5">
      <w:pPr>
        <w:jc w:val="both"/>
        <w:rPr>
          <w:rFonts w:eastAsia="Arial"/>
          <w:sz w:val="24"/>
          <w:szCs w:val="24"/>
          <w:lang w:val="en-IN"/>
        </w:rPr>
      </w:pPr>
    </w:p>
    <w:p w:rsidR="003D58F5" w:rsidRPr="00EA550A" w:rsidRDefault="003D58F5" w:rsidP="003D58F5">
      <w:pPr>
        <w:jc w:val="both"/>
        <w:rPr>
          <w:rFonts w:eastAsia="Arial"/>
          <w:b/>
          <w:bCs/>
          <w:sz w:val="28"/>
          <w:szCs w:val="28"/>
          <w:lang w:val="en-IN"/>
        </w:rPr>
      </w:pPr>
      <w:r w:rsidRPr="00EA550A">
        <w:rPr>
          <w:rFonts w:eastAsia="Arial"/>
          <w:b/>
          <w:bCs/>
          <w:sz w:val="28"/>
          <w:szCs w:val="28"/>
          <w:lang w:val="en-IN"/>
        </w:rPr>
        <w:t xml:space="preserve">1. Introduction  </w:t>
      </w:r>
    </w:p>
    <w:p w:rsidR="003D58F5" w:rsidRPr="003D58F5" w:rsidRDefault="003D58F5" w:rsidP="003D58F5">
      <w:pPr>
        <w:jc w:val="both"/>
        <w:rPr>
          <w:rFonts w:eastAsia="Arial"/>
          <w:sz w:val="24"/>
          <w:szCs w:val="24"/>
          <w:lang w:val="en-IN"/>
        </w:rPr>
      </w:pPr>
    </w:p>
    <w:p w:rsidR="003D58F5" w:rsidRPr="003D58F5" w:rsidRDefault="003D58F5" w:rsidP="003D58F5">
      <w:pPr>
        <w:jc w:val="both"/>
        <w:rPr>
          <w:rFonts w:eastAsia="Arial"/>
          <w:sz w:val="24"/>
          <w:szCs w:val="24"/>
          <w:lang w:val="en-IN"/>
        </w:rPr>
      </w:pPr>
      <w:r w:rsidRPr="003D58F5">
        <w:rPr>
          <w:rFonts w:eastAsia="Arial"/>
          <w:sz w:val="24"/>
          <w:szCs w:val="24"/>
          <w:lang w:val="en-IN"/>
        </w:rPr>
        <w:t xml:space="preserve">The growing global crisis of antimicrobial resistance (AMR) has emerged as one of the most pressing threats to public health in the twenty-first century. The World Health Organization (WHO) estimates that if left unaddressed, drug-resistant infections could lead to 10 million fatalities each year by 2050. This highlights an urgent need for innovative scaffolds with new </w:t>
      </w:r>
      <w:r w:rsidRPr="003D58F5">
        <w:rPr>
          <w:rFonts w:eastAsia="Arial"/>
          <w:sz w:val="24"/>
          <w:szCs w:val="24"/>
          <w:lang w:val="en-IN"/>
        </w:rPr>
        <w:lastRenderedPageBreak/>
        <w:t xml:space="preserve">mechanisms of action. In this regard, heterocyclic chemistry has consistently proven to be a fruitful area for discovering new drug candidates.  </w:t>
      </w:r>
    </w:p>
    <w:p w:rsidR="003D58F5" w:rsidRPr="003D58F5" w:rsidRDefault="003D58F5" w:rsidP="003D58F5">
      <w:pPr>
        <w:jc w:val="both"/>
        <w:rPr>
          <w:rFonts w:eastAsia="Arial"/>
          <w:sz w:val="24"/>
          <w:szCs w:val="24"/>
          <w:lang w:val="en-IN"/>
        </w:rPr>
      </w:pPr>
      <w:r w:rsidRPr="003D58F5">
        <w:rPr>
          <w:rFonts w:eastAsia="Arial"/>
          <w:sz w:val="24"/>
          <w:szCs w:val="24"/>
          <w:lang w:val="en-IN"/>
        </w:rPr>
        <w:t xml:space="preserve">Quinoxaline—a bicyclic system derived from benzopyrazine—is one such valuable scaffold. Since its initial synthesis in the nineteenth century, quinoxaline and its derivatives have garnered significant attention due to their impressive range of biological activities, which include antibacterial, antifungal, antiviral, anticancer, </w:t>
      </w:r>
      <w:r w:rsidR="00EA550A" w:rsidRPr="003D58F5">
        <w:rPr>
          <w:rFonts w:eastAsia="Arial"/>
          <w:sz w:val="24"/>
          <w:szCs w:val="24"/>
          <w:lang w:val="en-IN"/>
        </w:rPr>
        <w:t>ant tubercular</w:t>
      </w:r>
      <w:r w:rsidRPr="003D58F5">
        <w:rPr>
          <w:rFonts w:eastAsia="Arial"/>
          <w:sz w:val="24"/>
          <w:szCs w:val="24"/>
          <w:lang w:val="en-IN"/>
        </w:rPr>
        <w:t xml:space="preserve">, anti-inflammatory, and antiparasitic effects. Several clinically relevant drugs have emerged from this compound class, such as echinomycin and levomycin (both natural quinoxaline antibiotics), the </w:t>
      </w:r>
      <w:r w:rsidR="00EA550A" w:rsidRPr="003D58F5">
        <w:rPr>
          <w:rFonts w:eastAsia="Arial"/>
          <w:sz w:val="24"/>
          <w:szCs w:val="24"/>
          <w:lang w:val="en-IN"/>
        </w:rPr>
        <w:t>antidiuretic</w:t>
      </w:r>
      <w:r w:rsidRPr="003D58F5">
        <w:rPr>
          <w:rFonts w:eastAsia="Arial"/>
          <w:sz w:val="24"/>
          <w:szCs w:val="24"/>
          <w:lang w:val="en-IN"/>
        </w:rPr>
        <w:t xml:space="preserve"> gliquidone, and the antihypertensive prazosin—all highlighting the therapeutic significance of this ring structure.  </w:t>
      </w:r>
    </w:p>
    <w:p w:rsidR="003D58F5" w:rsidRPr="003D58F5" w:rsidRDefault="003D58F5" w:rsidP="003D58F5">
      <w:pPr>
        <w:jc w:val="both"/>
        <w:rPr>
          <w:rFonts w:eastAsia="Arial"/>
          <w:sz w:val="24"/>
          <w:szCs w:val="24"/>
          <w:lang w:val="en-IN"/>
        </w:rPr>
      </w:pPr>
      <w:r w:rsidRPr="003D58F5">
        <w:rPr>
          <w:rFonts w:eastAsia="Arial"/>
          <w:sz w:val="24"/>
          <w:szCs w:val="24"/>
          <w:lang w:val="en-IN"/>
        </w:rPr>
        <w:t xml:space="preserve">From a medicinal chemistry perspective, the presence of a chloro substituent at the 3-position of quinoxaline is particularly noteworthy. The electron-withdrawing chloro group activates the ring for nucleophilic attack while also providing a versatile site for structural diversification through cross-coupling reactions or displacement by heteroatom nucleophiles. Furthermore, functionalizing the C-2 position with an amino group containing an aryl ester moiety introduces an additional pharmacophore that can engage in hydrogen-bond donor–acceptor interactions with biological targets.  </w:t>
      </w:r>
    </w:p>
    <w:p w:rsidR="003D58F5" w:rsidRDefault="003D58F5" w:rsidP="003D58F5">
      <w:pPr>
        <w:jc w:val="both"/>
        <w:rPr>
          <w:rFonts w:eastAsia="Arial"/>
          <w:sz w:val="24"/>
          <w:szCs w:val="24"/>
          <w:lang w:val="en-IN"/>
        </w:rPr>
      </w:pPr>
      <w:r w:rsidRPr="003D58F5">
        <w:rPr>
          <w:rFonts w:eastAsia="Arial"/>
          <w:sz w:val="24"/>
          <w:szCs w:val="24"/>
          <w:lang w:val="en-IN"/>
        </w:rPr>
        <w:t>Taking these factors into account, we designed Ethyl 4-[(3-chloroquinoxalin-2-yl</w:t>
      </w:r>
      <w:proofErr w:type="gramStart"/>
      <w:r w:rsidRPr="003D58F5">
        <w:rPr>
          <w:rFonts w:eastAsia="Arial"/>
          <w:sz w:val="24"/>
          <w:szCs w:val="24"/>
          <w:lang w:val="en-IN"/>
        </w:rPr>
        <w:t>)amino</w:t>
      </w:r>
      <w:proofErr w:type="gramEnd"/>
      <w:r w:rsidRPr="003D58F5">
        <w:rPr>
          <w:rFonts w:eastAsia="Arial"/>
          <w:sz w:val="24"/>
          <w:szCs w:val="24"/>
          <w:lang w:val="en-IN"/>
        </w:rPr>
        <w:t xml:space="preserve">]benzoate (ECQAB) as a hybrid molecule that integrates the quinoxaline pharmacophore with an </w:t>
      </w:r>
      <w:r w:rsidR="00EA550A" w:rsidRPr="003D58F5">
        <w:rPr>
          <w:rFonts w:eastAsia="Arial"/>
          <w:sz w:val="24"/>
          <w:szCs w:val="24"/>
          <w:lang w:val="en-IN"/>
        </w:rPr>
        <w:t>amino benzoate</w:t>
      </w:r>
      <w:r w:rsidRPr="003D58F5">
        <w:rPr>
          <w:rFonts w:eastAsia="Arial"/>
          <w:sz w:val="24"/>
          <w:szCs w:val="24"/>
          <w:lang w:val="en-IN"/>
        </w:rPr>
        <w:t xml:space="preserve"> fragment. We believed that this combination would produce a compound with broader antimicrobial activity than either component individually. In this report, we detail the two-step synthesis of ECQAB, provide its complete spectroscopic characterization, and present a thorough in vitro antimicrobial assessment. To our knowledge, this specific structural combination has not been documented in existing literature.</w:t>
      </w:r>
    </w:p>
    <w:p w:rsidR="00EA550A" w:rsidRDefault="00EA550A" w:rsidP="003D58F5">
      <w:pPr>
        <w:jc w:val="both"/>
        <w:rPr>
          <w:rFonts w:eastAsia="Arial"/>
          <w:sz w:val="24"/>
          <w:szCs w:val="24"/>
          <w:lang w:val="en-IN"/>
        </w:rPr>
      </w:pPr>
    </w:p>
    <w:p w:rsidR="00EA550A" w:rsidRDefault="00EA550A" w:rsidP="00EA550A">
      <w:pPr>
        <w:jc w:val="both"/>
        <w:rPr>
          <w:rFonts w:eastAsia="Arial"/>
          <w:b/>
          <w:bCs/>
          <w:sz w:val="28"/>
          <w:szCs w:val="28"/>
          <w:lang w:val="en-IN"/>
        </w:rPr>
      </w:pPr>
      <w:r w:rsidRPr="00EA550A">
        <w:rPr>
          <w:rFonts w:eastAsia="Arial"/>
          <w:b/>
          <w:bCs/>
          <w:sz w:val="28"/>
          <w:szCs w:val="28"/>
          <w:lang w:val="en-IN"/>
        </w:rPr>
        <w:t>2. Experimental Section</w:t>
      </w:r>
    </w:p>
    <w:p w:rsidR="00EA550A" w:rsidRPr="00EA550A" w:rsidRDefault="00EA550A" w:rsidP="00EA550A">
      <w:pPr>
        <w:jc w:val="both"/>
        <w:rPr>
          <w:rFonts w:eastAsia="Arial"/>
          <w:b/>
          <w:bCs/>
          <w:sz w:val="28"/>
          <w:szCs w:val="28"/>
          <w:lang w:val="en-IN"/>
        </w:rPr>
      </w:pPr>
      <w:r w:rsidRPr="00EA550A">
        <w:rPr>
          <w:rFonts w:eastAsia="Arial"/>
          <w:b/>
          <w:bCs/>
          <w:sz w:val="28"/>
          <w:szCs w:val="28"/>
          <w:lang w:val="en-IN"/>
        </w:rPr>
        <w:t xml:space="preserve">  </w:t>
      </w:r>
    </w:p>
    <w:p w:rsidR="00EA550A" w:rsidRPr="00EA550A" w:rsidRDefault="00EA550A" w:rsidP="00EA550A">
      <w:pPr>
        <w:jc w:val="both"/>
        <w:rPr>
          <w:rFonts w:eastAsia="Arial"/>
          <w:b/>
          <w:bCs/>
          <w:sz w:val="24"/>
          <w:szCs w:val="24"/>
          <w:lang w:val="en-IN"/>
        </w:rPr>
      </w:pPr>
      <w:r w:rsidRPr="00EA550A">
        <w:rPr>
          <w:rFonts w:eastAsia="Arial"/>
          <w:b/>
          <w:bCs/>
          <w:sz w:val="24"/>
          <w:szCs w:val="24"/>
          <w:lang w:val="en-IN"/>
        </w:rPr>
        <w:t>2.1</w:t>
      </w:r>
      <w:r w:rsidRPr="00EA550A">
        <w:rPr>
          <w:rFonts w:eastAsia="Arial"/>
          <w:b/>
          <w:bCs/>
          <w:sz w:val="24"/>
          <w:szCs w:val="24"/>
          <w:lang w:val="en-IN"/>
        </w:rPr>
        <w:t xml:space="preserve"> Materials and Instrumentation</w:t>
      </w:r>
      <w:r w:rsidRPr="00EA550A">
        <w:rPr>
          <w:rFonts w:eastAsia="Arial"/>
          <w:b/>
          <w:bCs/>
          <w:sz w:val="24"/>
          <w:szCs w:val="24"/>
          <w:lang w:val="en-IN"/>
        </w:rPr>
        <w:t xml:space="preserve"> </w:t>
      </w:r>
    </w:p>
    <w:p w:rsidR="00EA550A" w:rsidRDefault="00EA550A" w:rsidP="00EA550A">
      <w:pPr>
        <w:jc w:val="both"/>
        <w:rPr>
          <w:rFonts w:eastAsia="Arial"/>
          <w:sz w:val="24"/>
          <w:szCs w:val="24"/>
          <w:lang w:val="en-IN"/>
        </w:rPr>
      </w:pPr>
      <w:r w:rsidRPr="00EA550A">
        <w:rPr>
          <w:rFonts w:eastAsia="Arial"/>
          <w:sz w:val="24"/>
          <w:szCs w:val="24"/>
          <w:lang w:val="en-IN"/>
        </w:rPr>
        <w:t>All chemicals were obtained from Sigma-Aldrich, Merck (India), and Spectrochem and were used without further purification unless otherwise specified. Solvents were dried and distilled following standard procedures before use. Melting</w:t>
      </w:r>
      <w:r>
        <w:rPr>
          <w:rFonts w:eastAsia="Arial"/>
          <w:sz w:val="24"/>
          <w:szCs w:val="24"/>
          <w:lang w:val="en-IN"/>
        </w:rPr>
        <w:t xml:space="preserve"> points were measured using a Bu</w:t>
      </w:r>
      <w:r w:rsidRPr="00EA550A">
        <w:rPr>
          <w:rFonts w:eastAsia="Arial"/>
          <w:sz w:val="24"/>
          <w:szCs w:val="24"/>
          <w:lang w:val="en-IN"/>
        </w:rPr>
        <w:t xml:space="preserve">chi M-565 apparatus and are uncorrected. Thin-layer chromatography (TLC) was performed on Merck silica gel 60 F₂₅₄ </w:t>
      </w:r>
      <w:r w:rsidRPr="00EA550A">
        <w:rPr>
          <w:rFonts w:eastAsia="Arial"/>
          <w:sz w:val="24"/>
          <w:szCs w:val="24"/>
          <w:lang w:val="en-IN"/>
        </w:rPr>
        <w:t>aluminium</w:t>
      </w:r>
      <w:r w:rsidRPr="00EA550A">
        <w:rPr>
          <w:rFonts w:eastAsia="Arial"/>
          <w:sz w:val="24"/>
          <w:szCs w:val="24"/>
          <w:lang w:val="en-IN"/>
        </w:rPr>
        <w:t xml:space="preserve"> plates, visualized under UV light (254 nm) and/or through iodine </w:t>
      </w:r>
      <w:r w:rsidRPr="00EA550A">
        <w:rPr>
          <w:rFonts w:eastAsia="Arial"/>
          <w:sz w:val="24"/>
          <w:szCs w:val="24"/>
          <w:lang w:val="en-IN"/>
        </w:rPr>
        <w:t>vapour</w:t>
      </w:r>
      <w:r w:rsidRPr="00EA550A">
        <w:rPr>
          <w:rFonts w:eastAsia="Arial"/>
          <w:sz w:val="24"/>
          <w:szCs w:val="24"/>
          <w:lang w:val="en-IN"/>
        </w:rPr>
        <w:t xml:space="preserve"> staining.  Infrared spectra were recorded as KBr pellets using a PerkinElmer Spectrum Two FT-IR spectrometer over the range of 4000–400 cm⁻¹. ¹H and ¹³C NMR spectra were obtained on a Bruker Avance III 400 MHz spectrometer (400 MHz for ¹H, 100 MHz for ¹³C) in deuterated dimethyl sulfoxide (DMSO-d₆), with tetramethylsilane (TMS) serving as the internal reference. Chemical shifts (δ) are reported in parts per million (ppm) relative to TMS; coupling constants (J) are expressed in Hertz (Hz). High-resolution mass spectra (HRMS) were acquired using a Waters XEVO G2-XS Q-TOF instrument via electrospray ionization in positive mode (ESI+). Elemental analyses (C, H, </w:t>
      </w:r>
      <w:proofErr w:type="gramStart"/>
      <w:r w:rsidRPr="00EA550A">
        <w:rPr>
          <w:rFonts w:eastAsia="Arial"/>
          <w:sz w:val="24"/>
          <w:szCs w:val="24"/>
          <w:lang w:val="en-IN"/>
        </w:rPr>
        <w:t>N</w:t>
      </w:r>
      <w:proofErr w:type="gramEnd"/>
      <w:r w:rsidRPr="00EA550A">
        <w:rPr>
          <w:rFonts w:eastAsia="Arial"/>
          <w:sz w:val="24"/>
          <w:szCs w:val="24"/>
          <w:lang w:val="en-IN"/>
        </w:rPr>
        <w:t xml:space="preserve">) were conducted on a PerkinElmer 2400 CHNS/O </w:t>
      </w:r>
      <w:r w:rsidRPr="00EA550A">
        <w:rPr>
          <w:rFonts w:eastAsia="Arial"/>
          <w:sz w:val="24"/>
          <w:szCs w:val="24"/>
          <w:lang w:val="en-IN"/>
        </w:rPr>
        <w:t>analyser</w:t>
      </w:r>
      <w:r w:rsidRPr="00EA550A">
        <w:rPr>
          <w:rFonts w:eastAsia="Arial"/>
          <w:sz w:val="24"/>
          <w:szCs w:val="24"/>
          <w:lang w:val="en-IN"/>
        </w:rPr>
        <w:t xml:space="preserve"> and fell within ±0.3% of the theoretical values for all reported compounds.</w:t>
      </w:r>
    </w:p>
    <w:p w:rsidR="00EA550A" w:rsidRDefault="00EA550A" w:rsidP="00EA550A">
      <w:pPr>
        <w:jc w:val="both"/>
        <w:rPr>
          <w:rFonts w:eastAsia="Arial"/>
          <w:sz w:val="24"/>
          <w:szCs w:val="24"/>
          <w:lang w:val="en-IN"/>
        </w:rPr>
      </w:pPr>
    </w:p>
    <w:p w:rsidR="00EA550A" w:rsidRPr="00722390" w:rsidRDefault="003C2D7D" w:rsidP="00EA550A">
      <w:pPr>
        <w:jc w:val="both"/>
        <w:rPr>
          <w:rFonts w:eastAsia="Arial"/>
          <w:b/>
          <w:bCs/>
          <w:sz w:val="24"/>
          <w:szCs w:val="24"/>
          <w:lang w:val="en-IN"/>
        </w:rPr>
      </w:pPr>
      <w:r>
        <w:rPr>
          <w:rFonts w:eastAsia="Arial"/>
          <w:b/>
          <w:bCs/>
          <w:sz w:val="24"/>
          <w:szCs w:val="24"/>
          <w:lang w:val="en-IN"/>
        </w:rPr>
        <w:t>2.2</w:t>
      </w:r>
      <w:r w:rsidR="00EA550A" w:rsidRPr="00722390">
        <w:rPr>
          <w:rFonts w:eastAsia="Arial"/>
          <w:b/>
          <w:bCs/>
          <w:sz w:val="24"/>
          <w:szCs w:val="24"/>
          <w:lang w:val="en-IN"/>
        </w:rPr>
        <w:t xml:space="preserve"> Step 1: Preparation of 3-Methylquinoxalin-2(1H)-one  </w:t>
      </w:r>
    </w:p>
    <w:p w:rsidR="00EA550A" w:rsidRPr="00EA550A" w:rsidRDefault="00EA550A" w:rsidP="00EA550A">
      <w:pPr>
        <w:jc w:val="both"/>
        <w:rPr>
          <w:rFonts w:eastAsia="Arial"/>
          <w:sz w:val="24"/>
          <w:szCs w:val="24"/>
          <w:lang w:val="en-IN"/>
        </w:rPr>
      </w:pPr>
      <w:r w:rsidRPr="00EA550A">
        <w:rPr>
          <w:rFonts w:eastAsia="Arial"/>
          <w:sz w:val="24"/>
          <w:szCs w:val="24"/>
          <w:lang w:val="en-IN"/>
        </w:rPr>
        <w:t xml:space="preserve">A mixture of ortho-phenylenediamine (1.08 g, 10 mmol) and ethyl pyruvate (1.16 g, 10 mmol) was dissolved in 20 mL of glacial acetic acid. The solution was heated under reflux for 3 hours while stirring continuously. Upon cooling, the crude Schiff base intermediate formed a precipitate. This precipitate was collected through filtration and then immediately dissolved in 30 mL of ethanol; potassium hydroxide (0.56 g, 10 mmol) was added, and the mixture was stirred at room temperature for 2 hours to promote oxidative cyclization. The solvent was then </w:t>
      </w:r>
      <w:r w:rsidRPr="00EA550A">
        <w:rPr>
          <w:rFonts w:eastAsia="Arial"/>
          <w:sz w:val="24"/>
          <w:szCs w:val="24"/>
          <w:lang w:val="en-IN"/>
        </w:rPr>
        <w:lastRenderedPageBreak/>
        <w:t xml:space="preserve">concentrated under reduced pressure, and the residue was acidified with dilute hydrochloric acid (pH ~ 4) to precipitate the product. Filtration and recrystallization from aqueous ethanol resulted in the formation of 3-methylquinoxalin-2(1H)-one as pale-yellow crystals.  </w:t>
      </w:r>
    </w:p>
    <w:p w:rsidR="00EA550A" w:rsidRPr="00EA550A" w:rsidRDefault="00EA550A" w:rsidP="00EA550A">
      <w:pPr>
        <w:jc w:val="both"/>
        <w:rPr>
          <w:rFonts w:eastAsia="Arial"/>
          <w:sz w:val="24"/>
          <w:szCs w:val="24"/>
          <w:lang w:val="en-IN"/>
        </w:rPr>
      </w:pPr>
      <w:r w:rsidRPr="00EA550A">
        <w:rPr>
          <w:rFonts w:eastAsia="Arial"/>
          <w:sz w:val="24"/>
          <w:szCs w:val="24"/>
          <w:lang w:val="en-IN"/>
        </w:rPr>
        <w:t xml:space="preserve">Yield: 78%; mp: 235–237 °C; </w:t>
      </w:r>
      <w:proofErr w:type="gramStart"/>
      <w:r w:rsidRPr="00EA550A">
        <w:rPr>
          <w:rFonts w:eastAsia="Arial"/>
          <w:sz w:val="24"/>
          <w:szCs w:val="24"/>
          <w:lang w:val="en-IN"/>
        </w:rPr>
        <w:t>Rf</w:t>
      </w:r>
      <w:proofErr w:type="gramEnd"/>
      <w:r w:rsidRPr="00EA550A">
        <w:rPr>
          <w:rFonts w:eastAsia="Arial"/>
          <w:sz w:val="24"/>
          <w:szCs w:val="24"/>
          <w:lang w:val="en-IN"/>
        </w:rPr>
        <w:t>: 0.42 (</w:t>
      </w:r>
      <w:r w:rsidR="00722390" w:rsidRPr="00EA550A">
        <w:rPr>
          <w:rFonts w:eastAsia="Arial"/>
          <w:sz w:val="24"/>
          <w:szCs w:val="24"/>
          <w:lang w:val="en-IN"/>
        </w:rPr>
        <w:t>hexane: ethyl</w:t>
      </w:r>
      <w:r w:rsidRPr="00EA550A">
        <w:rPr>
          <w:rFonts w:eastAsia="Arial"/>
          <w:sz w:val="24"/>
          <w:szCs w:val="24"/>
          <w:lang w:val="en-IN"/>
        </w:rPr>
        <w:t xml:space="preserve"> acetate, 3:1).</w:t>
      </w:r>
    </w:p>
    <w:p w:rsidR="00EA550A" w:rsidRPr="00EA550A" w:rsidRDefault="00EA550A" w:rsidP="00EA550A">
      <w:pPr>
        <w:jc w:val="both"/>
        <w:rPr>
          <w:rFonts w:eastAsia="Arial"/>
          <w:sz w:val="24"/>
          <w:szCs w:val="24"/>
          <w:lang w:val="en-IN"/>
        </w:rPr>
      </w:pPr>
    </w:p>
    <w:p w:rsidR="00EA550A" w:rsidRPr="00722390" w:rsidRDefault="003C2D7D" w:rsidP="00EA550A">
      <w:pPr>
        <w:jc w:val="both"/>
        <w:rPr>
          <w:rFonts w:eastAsia="Arial"/>
          <w:b/>
          <w:bCs/>
          <w:sz w:val="24"/>
          <w:szCs w:val="24"/>
          <w:lang w:val="en-IN"/>
        </w:rPr>
      </w:pPr>
      <w:r>
        <w:rPr>
          <w:rFonts w:eastAsia="Arial"/>
          <w:b/>
          <w:bCs/>
          <w:sz w:val="24"/>
          <w:szCs w:val="24"/>
          <w:lang w:val="en-IN"/>
        </w:rPr>
        <w:t>2.3</w:t>
      </w:r>
      <w:r w:rsidR="00EA550A" w:rsidRPr="00722390">
        <w:rPr>
          <w:rFonts w:eastAsia="Arial"/>
          <w:b/>
          <w:bCs/>
          <w:sz w:val="24"/>
          <w:szCs w:val="24"/>
          <w:lang w:val="en-IN"/>
        </w:rPr>
        <w:t xml:space="preserve"> Step 2: Preparation of 2</w:t>
      </w:r>
      <w:proofErr w:type="gramStart"/>
      <w:r w:rsidR="00EA550A" w:rsidRPr="00722390">
        <w:rPr>
          <w:rFonts w:eastAsia="Arial"/>
          <w:b/>
          <w:bCs/>
          <w:sz w:val="24"/>
          <w:szCs w:val="24"/>
          <w:lang w:val="en-IN"/>
        </w:rPr>
        <w:t>,3</w:t>
      </w:r>
      <w:proofErr w:type="gramEnd"/>
      <w:r w:rsidR="00EA550A" w:rsidRPr="00722390">
        <w:rPr>
          <w:rFonts w:eastAsia="Arial"/>
          <w:b/>
          <w:bCs/>
          <w:sz w:val="24"/>
          <w:szCs w:val="24"/>
          <w:lang w:val="en-IN"/>
        </w:rPr>
        <w:t xml:space="preserve">-Dichloroquinoxaline  </w:t>
      </w:r>
    </w:p>
    <w:p w:rsidR="00722390" w:rsidRPr="00EA550A" w:rsidRDefault="00EA550A" w:rsidP="00EA550A">
      <w:pPr>
        <w:jc w:val="both"/>
        <w:rPr>
          <w:rFonts w:eastAsia="Arial"/>
          <w:sz w:val="24"/>
          <w:szCs w:val="24"/>
          <w:lang w:val="en-IN"/>
        </w:rPr>
      </w:pPr>
      <w:r w:rsidRPr="00EA550A">
        <w:rPr>
          <w:rFonts w:eastAsia="Arial"/>
          <w:sz w:val="24"/>
          <w:szCs w:val="24"/>
          <w:lang w:val="en-IN"/>
        </w:rPr>
        <w:t>3-Methylquinoxalin-2(1H)-one (1.60 g, 10 mmol) was suspended in an excess of freshly distilled phosphorus oxychloride (15 mL). The mixture was carefully heated to reflux at 110 °C and maintained for 4 hours. After cooling to room temperature, the dark-brown reaction mixture was slowly poured onto crushed ice (100 g) while stirring vigorously. The resulting precipitate was filtered and washed with ice-cold water until the washings were neutral, then air-dried. The crude product was recrystallized from petroleum ether (60–80 °C), yielding 2</w:t>
      </w:r>
      <w:proofErr w:type="gramStart"/>
      <w:r w:rsidRPr="00EA550A">
        <w:rPr>
          <w:rFonts w:eastAsia="Arial"/>
          <w:sz w:val="24"/>
          <w:szCs w:val="24"/>
          <w:lang w:val="en-IN"/>
        </w:rPr>
        <w:t>,3</w:t>
      </w:r>
      <w:proofErr w:type="gramEnd"/>
      <w:r w:rsidRPr="00EA550A">
        <w:rPr>
          <w:rFonts w:eastAsia="Arial"/>
          <w:sz w:val="24"/>
          <w:szCs w:val="24"/>
          <w:lang w:val="en-IN"/>
        </w:rPr>
        <w:t>-dichloroquinoxaline as off-white needles.</w:t>
      </w:r>
    </w:p>
    <w:p w:rsidR="00EA550A" w:rsidRDefault="00EA550A" w:rsidP="00EA550A">
      <w:pPr>
        <w:jc w:val="both"/>
        <w:rPr>
          <w:rFonts w:eastAsia="Arial"/>
          <w:sz w:val="24"/>
          <w:szCs w:val="24"/>
          <w:lang w:val="en-IN"/>
        </w:rPr>
      </w:pPr>
      <w:r w:rsidRPr="00EA550A">
        <w:rPr>
          <w:rFonts w:eastAsia="Arial"/>
          <w:sz w:val="24"/>
          <w:szCs w:val="24"/>
          <w:lang w:val="en-IN"/>
        </w:rPr>
        <w:t xml:space="preserve">Yield: 83%; mp: 150–152 °C (lit. 151 °C); </w:t>
      </w:r>
      <w:proofErr w:type="gramStart"/>
      <w:r w:rsidRPr="00EA550A">
        <w:rPr>
          <w:rFonts w:eastAsia="Arial"/>
          <w:sz w:val="24"/>
          <w:szCs w:val="24"/>
          <w:lang w:val="en-IN"/>
        </w:rPr>
        <w:t>Rf</w:t>
      </w:r>
      <w:proofErr w:type="gramEnd"/>
      <w:r w:rsidRPr="00EA550A">
        <w:rPr>
          <w:rFonts w:eastAsia="Arial"/>
          <w:sz w:val="24"/>
          <w:szCs w:val="24"/>
          <w:lang w:val="en-IN"/>
        </w:rPr>
        <w:t>: 0.58 (</w:t>
      </w:r>
      <w:r w:rsidR="00722390" w:rsidRPr="00EA550A">
        <w:rPr>
          <w:rFonts w:eastAsia="Arial"/>
          <w:sz w:val="24"/>
          <w:szCs w:val="24"/>
          <w:lang w:val="en-IN"/>
        </w:rPr>
        <w:t>hexane: ethyl</w:t>
      </w:r>
      <w:r w:rsidRPr="00EA550A">
        <w:rPr>
          <w:rFonts w:eastAsia="Arial"/>
          <w:sz w:val="24"/>
          <w:szCs w:val="24"/>
          <w:lang w:val="en-IN"/>
        </w:rPr>
        <w:t xml:space="preserve"> acetate, 4:1).</w:t>
      </w:r>
    </w:p>
    <w:p w:rsidR="00722390" w:rsidRDefault="00722390" w:rsidP="00EA550A">
      <w:pPr>
        <w:jc w:val="both"/>
        <w:rPr>
          <w:rFonts w:eastAsia="Arial"/>
          <w:sz w:val="24"/>
          <w:szCs w:val="24"/>
          <w:lang w:val="en-IN"/>
        </w:rPr>
      </w:pPr>
    </w:p>
    <w:p w:rsidR="00EA550A" w:rsidRPr="00722390" w:rsidRDefault="003C2D7D" w:rsidP="00EA550A">
      <w:pPr>
        <w:jc w:val="both"/>
        <w:rPr>
          <w:rFonts w:eastAsia="Arial"/>
          <w:b/>
          <w:bCs/>
          <w:sz w:val="24"/>
          <w:szCs w:val="24"/>
          <w:lang w:val="en-IN"/>
        </w:rPr>
      </w:pPr>
      <w:r>
        <w:rPr>
          <w:rFonts w:eastAsia="Arial"/>
          <w:b/>
          <w:bCs/>
          <w:sz w:val="24"/>
          <w:szCs w:val="24"/>
          <w:lang w:val="en-IN"/>
        </w:rPr>
        <w:t>2.4</w:t>
      </w:r>
      <w:r w:rsidR="00EA550A" w:rsidRPr="00722390">
        <w:rPr>
          <w:rFonts w:eastAsia="Arial"/>
          <w:b/>
          <w:bCs/>
          <w:sz w:val="24"/>
          <w:szCs w:val="24"/>
          <w:lang w:val="en-IN"/>
        </w:rPr>
        <w:t xml:space="preserve"> Step 3: Synthesis of ECQAB — Nucleophilic Aromatic Substitution  </w:t>
      </w:r>
    </w:p>
    <w:p w:rsidR="00EA550A" w:rsidRPr="00EA550A" w:rsidRDefault="00EA550A" w:rsidP="00EA550A">
      <w:pPr>
        <w:jc w:val="both"/>
        <w:rPr>
          <w:rFonts w:eastAsia="Arial"/>
          <w:sz w:val="24"/>
          <w:szCs w:val="24"/>
          <w:lang w:val="en-IN"/>
        </w:rPr>
      </w:pPr>
      <w:r w:rsidRPr="00EA550A">
        <w:rPr>
          <w:rFonts w:eastAsia="Arial"/>
          <w:sz w:val="24"/>
          <w:szCs w:val="24"/>
          <w:lang w:val="en-IN"/>
        </w:rPr>
        <w:t>To a stirred solution of 2</w:t>
      </w:r>
      <w:proofErr w:type="gramStart"/>
      <w:r w:rsidRPr="00EA550A">
        <w:rPr>
          <w:rFonts w:eastAsia="Arial"/>
          <w:sz w:val="24"/>
          <w:szCs w:val="24"/>
          <w:lang w:val="en-IN"/>
        </w:rPr>
        <w:t>,3</w:t>
      </w:r>
      <w:proofErr w:type="gramEnd"/>
      <w:r w:rsidRPr="00EA550A">
        <w:rPr>
          <w:rFonts w:eastAsia="Arial"/>
          <w:sz w:val="24"/>
          <w:szCs w:val="24"/>
          <w:lang w:val="en-IN"/>
        </w:rPr>
        <w:t xml:space="preserve">-dichloroquinoxaline (0.199 g, 1.0 mmol) in anhydrous N,N-dimethylformamide (DMF, 10 mL), ethyl 4-aminobenzoate (0.165 g, 1.0 mmol) and anhydrous potassium carbonate (0.276 g, 2.0 mmol) were added. The reaction mixture was heated to 80 °C for 6 hours under a nitrogen atmosphere, with TLC monitoring conducted throughout the process. Once the reaction was complete, the mixture was cooled and poured into ice water (50 mL), and the precipitate was collected by filtration. The crude solid underwent purification via column chromatography on silica gel (100–200 mesh) using a hexane/ethyl acetate gradient (9:1 to 7:3, v/v), resulting in ECQAB as a light-yellow solid.  </w:t>
      </w:r>
    </w:p>
    <w:p w:rsidR="00EA550A" w:rsidRPr="00EA550A" w:rsidRDefault="00EA550A" w:rsidP="00EA550A">
      <w:pPr>
        <w:jc w:val="both"/>
        <w:rPr>
          <w:rFonts w:eastAsia="Arial"/>
          <w:sz w:val="24"/>
          <w:szCs w:val="24"/>
          <w:lang w:val="en-IN"/>
        </w:rPr>
      </w:pPr>
      <w:r w:rsidRPr="00EA550A">
        <w:rPr>
          <w:rFonts w:eastAsia="Arial"/>
          <w:sz w:val="24"/>
          <w:szCs w:val="24"/>
          <w:lang w:val="en-IN"/>
        </w:rPr>
        <w:t>Yield: 71%; mp: 198–200 °C; Rf: 0.47 (hexane</w:t>
      </w:r>
      <w:proofErr w:type="gramStart"/>
      <w:r w:rsidRPr="00EA550A">
        <w:rPr>
          <w:rFonts w:eastAsia="Arial"/>
          <w:sz w:val="24"/>
          <w:szCs w:val="24"/>
          <w:lang w:val="en-IN"/>
        </w:rPr>
        <w:t>:ethyl</w:t>
      </w:r>
      <w:proofErr w:type="gramEnd"/>
      <w:r w:rsidRPr="00EA550A">
        <w:rPr>
          <w:rFonts w:eastAsia="Arial"/>
          <w:sz w:val="24"/>
          <w:szCs w:val="24"/>
          <w:lang w:val="en-IN"/>
        </w:rPr>
        <w:t xml:space="preserve"> acetate, 3:1).  </w:t>
      </w:r>
    </w:p>
    <w:p w:rsidR="00EA550A" w:rsidRPr="00EA550A" w:rsidRDefault="00EA550A" w:rsidP="00EA550A">
      <w:pPr>
        <w:jc w:val="both"/>
        <w:rPr>
          <w:rFonts w:eastAsia="Arial"/>
          <w:sz w:val="24"/>
          <w:szCs w:val="24"/>
          <w:lang w:val="en-IN"/>
        </w:rPr>
      </w:pPr>
    </w:p>
    <w:p w:rsidR="00722390" w:rsidRDefault="00EA550A" w:rsidP="00EA550A">
      <w:pPr>
        <w:jc w:val="both"/>
        <w:rPr>
          <w:rFonts w:eastAsia="Arial"/>
          <w:b/>
          <w:bCs/>
          <w:sz w:val="24"/>
          <w:szCs w:val="24"/>
          <w:lang w:val="en-IN"/>
        </w:rPr>
      </w:pPr>
      <w:r w:rsidRPr="00722390">
        <w:rPr>
          <w:rFonts w:eastAsia="Arial"/>
          <w:b/>
          <w:bCs/>
          <w:sz w:val="28"/>
          <w:szCs w:val="28"/>
          <w:lang w:val="en-IN"/>
        </w:rPr>
        <w:t xml:space="preserve">3. Characterization Data  </w:t>
      </w:r>
    </w:p>
    <w:p w:rsidR="00722390" w:rsidRPr="00722390" w:rsidRDefault="00722390" w:rsidP="00EA550A">
      <w:pPr>
        <w:jc w:val="both"/>
        <w:rPr>
          <w:rFonts w:eastAsia="Arial"/>
          <w:b/>
          <w:bCs/>
          <w:sz w:val="24"/>
          <w:szCs w:val="24"/>
          <w:lang w:val="en-IN"/>
        </w:rPr>
      </w:pPr>
    </w:p>
    <w:p w:rsidR="00EA550A" w:rsidRPr="00722390" w:rsidRDefault="00EA550A" w:rsidP="00EA550A">
      <w:pPr>
        <w:jc w:val="both"/>
        <w:rPr>
          <w:rFonts w:eastAsia="Arial"/>
          <w:b/>
          <w:bCs/>
          <w:sz w:val="24"/>
          <w:szCs w:val="24"/>
          <w:lang w:val="en-IN"/>
        </w:rPr>
      </w:pPr>
      <w:r w:rsidRPr="00722390">
        <w:rPr>
          <w:rFonts w:eastAsia="Arial"/>
          <w:b/>
          <w:bCs/>
          <w:sz w:val="24"/>
          <w:szCs w:val="24"/>
          <w:lang w:val="en-IN"/>
        </w:rPr>
        <w:t xml:space="preserve">3.1 Infrared Spectroscopy (IR)  </w:t>
      </w:r>
    </w:p>
    <w:p w:rsidR="00EA550A" w:rsidRPr="00EA550A" w:rsidRDefault="00EA550A" w:rsidP="00EA550A">
      <w:pPr>
        <w:jc w:val="both"/>
        <w:rPr>
          <w:rFonts w:eastAsia="Arial"/>
          <w:sz w:val="24"/>
          <w:szCs w:val="24"/>
          <w:lang w:val="en-IN"/>
        </w:rPr>
      </w:pPr>
      <w:r w:rsidRPr="00EA550A">
        <w:rPr>
          <w:rFonts w:eastAsia="Arial"/>
          <w:sz w:val="24"/>
          <w:szCs w:val="24"/>
          <w:lang w:val="en-IN"/>
        </w:rPr>
        <w:t>The IR spectrum of ECQAB (KBr pellet) provided immediate confirmation of the key functional groups present in the target molecule. The most significant absorption featured a sharp, moderately strong band at 3,322 cm⁻¹, indicative of the N–H stretching vibration typical of a secondary arylamine—the NH connecting the quinoxaline ring to the aniline fragment. This band was notably absent in the starting material, 2</w:t>
      </w:r>
      <w:proofErr w:type="gramStart"/>
      <w:r w:rsidRPr="00EA550A">
        <w:rPr>
          <w:rFonts w:eastAsia="Arial"/>
          <w:sz w:val="24"/>
          <w:szCs w:val="24"/>
          <w:lang w:val="en-IN"/>
        </w:rPr>
        <w:t>,3</w:t>
      </w:r>
      <w:proofErr w:type="gramEnd"/>
      <w:r w:rsidRPr="00EA550A">
        <w:rPr>
          <w:rFonts w:eastAsia="Arial"/>
          <w:sz w:val="24"/>
          <w:szCs w:val="24"/>
          <w:lang w:val="en-IN"/>
        </w:rPr>
        <w:t xml:space="preserve">-dichloroquinoxaline, confirming that nucleophilic substitution had occurred at one of the chlorines on the ring. The retention of the second chlorine substituent at the 3-position was indirectly evidenced by the aromatic C–Cl stretching absorption observed at 742 cm⁻¹.  </w:t>
      </w:r>
    </w:p>
    <w:p w:rsidR="00722390" w:rsidRDefault="00EA550A" w:rsidP="0011044F">
      <w:pPr>
        <w:jc w:val="both"/>
        <w:rPr>
          <w:rFonts w:eastAsia="Arial"/>
          <w:sz w:val="24"/>
          <w:szCs w:val="24"/>
          <w:lang w:val="en-IN"/>
        </w:rPr>
      </w:pPr>
      <w:r w:rsidRPr="00EA550A">
        <w:rPr>
          <w:rFonts w:eastAsia="Arial"/>
          <w:sz w:val="24"/>
          <w:szCs w:val="24"/>
          <w:lang w:val="en-IN"/>
        </w:rPr>
        <w:t>A strong carbonyl absorption at 1,704 cm⁻¹ was attributed to the ester C=O stretch, which aligns with a conjugated aryl ester and is slightly lower than that found in simple alkyl esters due to electron donation from the para-amino group through the benzene ring. Aromatic C=C and C=N ring stretching vibrations appeared as a cluster of bands within the region of 1,610–1,490 cm⁻¹. The asymmetric and symmetric stretching modes of the ester’s C–O–C were noted at 1,278 and 1,108 cm⁻¹ respectively. Additionally, out-of-plane aromatic C–H bending absorptions below 900 cm⁻¹ were consistent with both para-disubstituted benzene rings (with a strong band at 831 cm⁻¹) and those typical of a quinoxaline scaffold that is 1</w:t>
      </w:r>
      <w:proofErr w:type="gramStart"/>
      <w:r w:rsidRPr="00EA550A">
        <w:rPr>
          <w:rFonts w:eastAsia="Arial"/>
          <w:sz w:val="24"/>
          <w:szCs w:val="24"/>
          <w:lang w:val="en-IN"/>
        </w:rPr>
        <w:t>,2</w:t>
      </w:r>
      <w:proofErr w:type="gramEnd"/>
      <w:r w:rsidRPr="00EA550A">
        <w:rPr>
          <w:rFonts w:eastAsia="Arial"/>
          <w:sz w:val="24"/>
          <w:szCs w:val="24"/>
          <w:lang w:val="en-IN"/>
        </w:rPr>
        <w:t>-disubstituted (with bands present at 768 and 742 cm⁻¹).</w:t>
      </w:r>
    </w:p>
    <w:p w:rsidR="0011044F" w:rsidRDefault="0011044F" w:rsidP="00EA550A">
      <w:pPr>
        <w:jc w:val="both"/>
        <w:rPr>
          <w:rFonts w:eastAsia="Arial"/>
          <w:sz w:val="24"/>
          <w:szCs w:val="24"/>
          <w:lang w:val="en-IN"/>
        </w:rPr>
      </w:pPr>
    </w:p>
    <w:p w:rsidR="0011044F" w:rsidRDefault="0011044F" w:rsidP="00EA550A">
      <w:pPr>
        <w:jc w:val="both"/>
        <w:rPr>
          <w:rFonts w:eastAsia="Arial"/>
          <w:sz w:val="24"/>
          <w:szCs w:val="24"/>
          <w:lang w:val="en-IN"/>
        </w:rPr>
      </w:pPr>
    </w:p>
    <w:p w:rsidR="0011044F" w:rsidRDefault="0011044F" w:rsidP="00EA550A">
      <w:pPr>
        <w:jc w:val="both"/>
        <w:rPr>
          <w:rFonts w:eastAsia="Arial"/>
          <w:sz w:val="24"/>
          <w:szCs w:val="24"/>
          <w:lang w:val="en-IN"/>
        </w:rPr>
      </w:pPr>
    </w:p>
    <w:p w:rsidR="0011044F" w:rsidRDefault="0011044F" w:rsidP="00EA550A">
      <w:pPr>
        <w:jc w:val="both"/>
        <w:rPr>
          <w:rFonts w:eastAsia="Arial"/>
          <w:sz w:val="24"/>
          <w:szCs w:val="24"/>
          <w:lang w:val="en-IN"/>
        </w:rPr>
      </w:pPr>
    </w:p>
    <w:p w:rsidR="00722390" w:rsidRPr="0011044F" w:rsidRDefault="003C2D7D" w:rsidP="0011044F">
      <w:pPr>
        <w:pStyle w:val="Header"/>
        <w:rPr>
          <w:lang w:val="en-IN"/>
        </w:rPr>
      </w:pPr>
      <w:r>
        <w:rPr>
          <w:lang w:val="en-IN"/>
        </w:rPr>
        <w:lastRenderedPageBreak/>
        <w:t xml:space="preserve">                                         </w:t>
      </w:r>
      <w:r>
        <w:rPr>
          <w:lang w:val="en-IN"/>
        </w:rPr>
        <w:t>Table1.key IR Absorptions of ECQAB</w:t>
      </w:r>
    </w:p>
    <w:p w:rsidR="00722390" w:rsidRDefault="00722390" w:rsidP="00EA550A">
      <w:pPr>
        <w:jc w:val="both"/>
        <w:rPr>
          <w:rFonts w:eastAsia="Arial"/>
          <w:sz w:val="24"/>
          <w:szCs w:val="24"/>
          <w:lang w:val="en-I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15"/>
        <w:gridCol w:w="1877"/>
        <w:gridCol w:w="4968"/>
      </w:tblGrid>
      <w:tr w:rsidR="0011044F" w:rsidTr="0011044F">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r>
              <w:rPr>
                <w:rFonts w:ascii="Arial" w:eastAsia="Arial" w:hAnsi="Arial" w:cs="Arial"/>
                <w:b/>
                <w:bCs/>
                <w:color w:val="FFFFFF"/>
                <w:sz w:val="20"/>
                <w:szCs w:val="20"/>
              </w:rPr>
              <w:t>Wavenumber (cm</w:t>
            </w:r>
            <w:r>
              <w:rPr>
                <w:rFonts w:ascii="Cambria Math" w:eastAsia="Arial" w:hAnsi="Cambria Math" w:cs="Cambria Math"/>
                <w:b/>
                <w:bCs/>
                <w:color w:val="FFFFFF"/>
                <w:sz w:val="20"/>
                <w:szCs w:val="20"/>
              </w:rPr>
              <w:t>⁻</w:t>
            </w:r>
            <w:r>
              <w:rPr>
                <w:rFonts w:ascii="Arial" w:eastAsia="Arial" w:hAnsi="Arial" w:cs="Arial"/>
                <w:b/>
                <w:bCs/>
                <w:color w:val="FFFFFF"/>
                <w:sz w:val="20"/>
                <w:szCs w:val="20"/>
              </w:rPr>
              <w:t>¹)</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Intensity</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Assignment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3,322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N–H stretch (secondary arylamine)</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3,075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Aromatic C–H stretch</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2,984 / 2,938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Weak</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Aliphatic C–H stretch (–OCH</w:t>
            </w:r>
            <w:r>
              <w:rPr>
                <w:rFonts w:ascii="Cambria Math" w:eastAsia="Arial" w:hAnsi="Cambria Math" w:cs="Cambria Math"/>
                <w:color w:val="000000"/>
                <w:sz w:val="20"/>
                <w:szCs w:val="20"/>
              </w:rPr>
              <w:t>₂</w:t>
            </w:r>
            <w:r>
              <w:rPr>
                <w:rFonts w:ascii="Arial" w:eastAsia="Arial" w:hAnsi="Arial" w:cs="Arial"/>
                <w:color w:val="000000"/>
                <w:sz w:val="20"/>
                <w:szCs w:val="20"/>
              </w:rPr>
              <w:t>CH</w:t>
            </w:r>
            <w:r>
              <w:rPr>
                <w:rFonts w:ascii="Cambria Math" w:eastAsia="Arial" w:hAnsi="Cambria Math" w:cs="Cambria Math"/>
                <w:color w:val="000000"/>
                <w:sz w:val="20"/>
                <w:szCs w:val="20"/>
              </w:rPr>
              <w:t>₃</w:t>
            </w:r>
            <w:r>
              <w:rPr>
                <w:rFonts w:ascii="Arial" w:eastAsia="Arial" w:hAnsi="Arial" w:cs="Arial"/>
                <w:color w:val="000000"/>
                <w:sz w:val="20"/>
                <w:szCs w:val="20"/>
              </w:rPr>
              <w: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1,704</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C=O stretch (ester carbonyl)</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1,610</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C=N stretch (quinoxaline ring)</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1,590 / 1,490</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Aromatic C=C ring stretches</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1,278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C–O–C asymmetric stretch (ester)</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1,108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C–O–C symmetric stretch (ester)</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831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C–H out-of-plane (para-subst. ring)</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768 / 742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C–H out-of-plane (quinoxaline) / C–Cl stretch</w:t>
            </w:r>
          </w:p>
        </w:tc>
      </w:tr>
    </w:tbl>
    <w:p w:rsidR="004650F6" w:rsidRDefault="004650F6" w:rsidP="00EA550A">
      <w:pPr>
        <w:jc w:val="both"/>
        <w:rPr>
          <w:rFonts w:eastAsia="Arial"/>
          <w:sz w:val="24"/>
          <w:szCs w:val="24"/>
          <w:lang w:val="en-IN"/>
        </w:rPr>
      </w:pPr>
    </w:p>
    <w:p w:rsidR="004650F6" w:rsidRDefault="004650F6" w:rsidP="00EA550A">
      <w:pPr>
        <w:jc w:val="both"/>
        <w:rPr>
          <w:rFonts w:eastAsia="Arial"/>
          <w:sz w:val="24"/>
          <w:szCs w:val="24"/>
          <w:lang w:val="en-IN"/>
        </w:rPr>
      </w:pPr>
    </w:p>
    <w:p w:rsidR="004650F6" w:rsidRDefault="004650F6" w:rsidP="00EA550A">
      <w:pPr>
        <w:jc w:val="both"/>
        <w:rPr>
          <w:rFonts w:eastAsia="Arial"/>
          <w:sz w:val="24"/>
          <w:szCs w:val="24"/>
          <w:lang w:val="en-IN"/>
        </w:rPr>
      </w:pPr>
      <w:r>
        <w:t xml:space="preserve">          </w:t>
      </w:r>
    </w:p>
    <w:p w:rsidR="004650F6" w:rsidRDefault="004650F6" w:rsidP="00EA550A">
      <w:pPr>
        <w:jc w:val="both"/>
        <w:rPr>
          <w:rFonts w:eastAsia="Arial"/>
          <w:sz w:val="24"/>
          <w:szCs w:val="24"/>
          <w:lang w:val="en-IN"/>
        </w:rPr>
      </w:pPr>
      <w:r>
        <w:rPr>
          <w:noProof/>
          <w:lang w:val="en-IN" w:eastAsia="en-IN" w:bidi="mr-IN"/>
        </w:rPr>
        <w:drawing>
          <wp:inline distT="0" distB="0" distL="0" distR="0" wp14:anchorId="4FB261F1" wp14:editId="62F5E09D">
            <wp:extent cx="5486400" cy="3142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5486400" cy="3142615"/>
                    </a:xfrm>
                    <a:prstGeom prst="rect">
                      <a:avLst/>
                    </a:prstGeom>
                  </pic:spPr>
                </pic:pic>
              </a:graphicData>
            </a:graphic>
          </wp:inline>
        </w:drawing>
      </w:r>
    </w:p>
    <w:p w:rsidR="004650F6" w:rsidRDefault="004650F6" w:rsidP="00EA550A">
      <w:pPr>
        <w:jc w:val="both"/>
        <w:rPr>
          <w:rFonts w:eastAsia="Arial"/>
          <w:sz w:val="24"/>
          <w:szCs w:val="24"/>
          <w:lang w:val="en-IN"/>
        </w:rPr>
      </w:pPr>
    </w:p>
    <w:p w:rsidR="004650F6" w:rsidRDefault="004650F6" w:rsidP="00EA550A">
      <w:pPr>
        <w:jc w:val="both"/>
        <w:rPr>
          <w:rFonts w:eastAsia="Arial"/>
          <w:sz w:val="24"/>
          <w:szCs w:val="24"/>
          <w:lang w:val="en-IN"/>
        </w:rPr>
      </w:pPr>
      <w:r>
        <w:t xml:space="preserve">                                                          Fig no1:-IR Spectrum Grap</w:t>
      </w:r>
    </w:p>
    <w:p w:rsidR="004650F6" w:rsidRDefault="004650F6" w:rsidP="00EA550A">
      <w:pPr>
        <w:jc w:val="both"/>
        <w:rPr>
          <w:rFonts w:eastAsia="Arial"/>
          <w:sz w:val="24"/>
          <w:szCs w:val="24"/>
          <w:lang w:val="en-IN"/>
        </w:rPr>
      </w:pPr>
    </w:p>
    <w:p w:rsidR="004650F6" w:rsidRDefault="004650F6" w:rsidP="00EA550A">
      <w:pPr>
        <w:jc w:val="both"/>
        <w:rPr>
          <w:rFonts w:eastAsia="Arial"/>
          <w:sz w:val="24"/>
          <w:szCs w:val="24"/>
          <w:lang w:val="en-IN"/>
        </w:rPr>
      </w:pPr>
    </w:p>
    <w:p w:rsidR="00722390" w:rsidRPr="00722390" w:rsidRDefault="00722390" w:rsidP="00722390">
      <w:pPr>
        <w:jc w:val="both"/>
        <w:rPr>
          <w:rFonts w:eastAsia="Arial"/>
          <w:b/>
          <w:bCs/>
          <w:sz w:val="24"/>
          <w:szCs w:val="24"/>
          <w:lang w:val="en-IN"/>
        </w:rPr>
      </w:pPr>
      <w:r w:rsidRPr="00722390">
        <w:rPr>
          <w:rFonts w:eastAsia="Arial"/>
          <w:b/>
          <w:bCs/>
          <w:sz w:val="24"/>
          <w:szCs w:val="24"/>
          <w:lang w:val="en-IN"/>
        </w:rPr>
        <w:t xml:space="preserve">3.2 Proton Nuclear Magnetic Resonance (¹H NMR)  </w:t>
      </w:r>
    </w:p>
    <w:p w:rsidR="00722390" w:rsidRPr="00722390" w:rsidRDefault="00722390" w:rsidP="00722390">
      <w:pPr>
        <w:jc w:val="both"/>
        <w:rPr>
          <w:rFonts w:eastAsia="Arial"/>
          <w:sz w:val="24"/>
          <w:szCs w:val="24"/>
          <w:lang w:val="en-IN"/>
        </w:rPr>
      </w:pPr>
      <w:r w:rsidRPr="00722390">
        <w:rPr>
          <w:rFonts w:eastAsia="Arial"/>
          <w:sz w:val="24"/>
          <w:szCs w:val="24"/>
          <w:lang w:val="en-IN"/>
        </w:rPr>
        <w:t xml:space="preserve">The ¹H NMR spectrum was recorded in DMSO-d₆ at 400 MHz, yielding a clear and internally consistent set of signals that perfectly aligned with the proposed structure of ECQAB. A total of eight distinct proton environments were identified, encompassing 15 protons, as detailed below.  </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10.12 (s, 1H, –NH–):</w:t>
      </w:r>
      <w:r w:rsidRPr="00722390">
        <w:rPr>
          <w:rFonts w:eastAsia="Arial"/>
          <w:sz w:val="24"/>
          <w:szCs w:val="24"/>
          <w:lang w:val="en-IN"/>
        </w:rPr>
        <w:t xml:space="preserve"> A singlet at 10.12 ppm was attributed to the secondary NH proton that bridges the quinoxaline C-2 carbon and the aniline nitrogen. The downfield position of this </w:t>
      </w:r>
      <w:r w:rsidRPr="00722390">
        <w:rPr>
          <w:rFonts w:eastAsia="Arial"/>
          <w:sz w:val="24"/>
          <w:szCs w:val="24"/>
          <w:lang w:val="en-IN"/>
        </w:rPr>
        <w:lastRenderedPageBreak/>
        <w:t xml:space="preserve">signal, far beyond the typical arylamine range (6.5–7.5 ppm), is indicative of a quinoxalinylamine where the nitrogen's lone pair is significantly delocalized into the electron-deficient heterocyclic ring, which reduces electron density on nitrogen and deshields the N–H proton. Both the singlet nature and downfield shift confirmed that this proton participates in an </w:t>
      </w:r>
      <w:r w:rsidRPr="00722390">
        <w:rPr>
          <w:rFonts w:eastAsia="Arial"/>
          <w:sz w:val="24"/>
          <w:szCs w:val="24"/>
          <w:lang w:val="en-IN"/>
        </w:rPr>
        <w:t>intermolecular</w:t>
      </w:r>
      <w:r w:rsidRPr="00722390">
        <w:rPr>
          <w:rFonts w:eastAsia="Arial"/>
          <w:sz w:val="24"/>
          <w:szCs w:val="24"/>
          <w:lang w:val="en-IN"/>
        </w:rPr>
        <w:t xml:space="preserve"> hydrogen-bonding interaction with the quinoxaline ring nitrogen.</w:t>
      </w:r>
    </w:p>
    <w:p w:rsidR="00722390" w:rsidRPr="00722390" w:rsidRDefault="00722390" w:rsidP="00722390">
      <w:pPr>
        <w:jc w:val="both"/>
        <w:rPr>
          <w:rFonts w:eastAsia="Arial"/>
          <w:sz w:val="24"/>
          <w:szCs w:val="24"/>
          <w:lang w:val="en-IN"/>
        </w:rPr>
      </w:pPr>
      <w:r w:rsidRPr="0011044F">
        <w:rPr>
          <w:rFonts w:eastAsia="Arial"/>
          <w:b/>
          <w:bCs/>
          <w:sz w:val="24"/>
          <w:szCs w:val="24"/>
          <w:lang w:val="en-IN"/>
        </w:rPr>
        <w:t>δ 8.32 (d, J = 8.5 Hz, 1H, H-5 quinoxaline):</w:t>
      </w:r>
      <w:r w:rsidRPr="00722390">
        <w:rPr>
          <w:rFonts w:eastAsia="Arial"/>
          <w:sz w:val="24"/>
          <w:szCs w:val="24"/>
          <w:lang w:val="en-IN"/>
        </w:rPr>
        <w:t xml:space="preserve"> This doublet was assigned to the quinoxaline peri proton H-5, located ortho to the ring nitrogen at position 1 and consequently experiencing notable anisotropic deshielding, appearing furthest downfield among the aromatic protons.</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7.91–7.85 (m, 3H, H-8 quinoxaline + H-2',6' benzoate): </w:t>
      </w:r>
      <w:r w:rsidRPr="00722390">
        <w:rPr>
          <w:rFonts w:eastAsia="Arial"/>
          <w:sz w:val="24"/>
          <w:szCs w:val="24"/>
          <w:lang w:val="en-IN"/>
        </w:rPr>
        <w:t xml:space="preserve">This multiplet included two overlapping signals: the doublet-like H-8 from the quinoxaline ring and a pair of equivalent ortho protons from the </w:t>
      </w:r>
      <w:r w:rsidRPr="00722390">
        <w:rPr>
          <w:rFonts w:eastAsia="Arial"/>
          <w:sz w:val="24"/>
          <w:szCs w:val="24"/>
          <w:lang w:val="en-IN"/>
        </w:rPr>
        <w:t>amino benzoate</w:t>
      </w:r>
      <w:r w:rsidRPr="00722390">
        <w:rPr>
          <w:rFonts w:eastAsia="Arial"/>
          <w:sz w:val="24"/>
          <w:szCs w:val="24"/>
          <w:lang w:val="en-IN"/>
        </w:rPr>
        <w:t xml:space="preserve"> ring (H-2' and H-6'). The protons in the electron-poor quinoxaline ring resonated at higher frequency (more downfield) than those of the ester-bearing benzene ring, aligning with their more deshielded environment.</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7.78 (t, J = 7.6 Hz, 1H, H-7 quinoxaline):</w:t>
      </w:r>
      <w:r w:rsidRPr="00722390">
        <w:rPr>
          <w:rFonts w:eastAsia="Arial"/>
          <w:sz w:val="24"/>
          <w:szCs w:val="24"/>
          <w:lang w:val="en-IN"/>
        </w:rPr>
        <w:t xml:space="preserve"> The triplet at 7.78 ppm corresponded to H-7 of the quinoxaline, positioned between H-6 and H-8 and demonstrating the expected vicinal coupling pattern.</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7.65 (t, J = 7.6 Hz, 1H, H-6 quinoxaline):</w:t>
      </w:r>
      <w:r w:rsidRPr="00722390">
        <w:rPr>
          <w:rFonts w:eastAsia="Arial"/>
          <w:sz w:val="24"/>
          <w:szCs w:val="24"/>
          <w:lang w:val="en-IN"/>
        </w:rPr>
        <w:t xml:space="preserve"> Overlapping slightly with the region for H-7 but distinguishable, H-6 appeared as a triplet at 7.65 ppm. Its relatively more shielded position compared to H-7 reflects different deshielding environments within the quinoxaline benzo ring.</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7.46 (d, J = 8.6 Hz, 2H, H-3',5' benzoate):</w:t>
      </w:r>
      <w:r w:rsidRPr="00722390">
        <w:rPr>
          <w:rFonts w:eastAsia="Arial"/>
          <w:sz w:val="24"/>
          <w:szCs w:val="24"/>
          <w:lang w:val="en-IN"/>
        </w:rPr>
        <w:t xml:space="preserve"> The meta protons of the para-disubstituted </w:t>
      </w:r>
      <w:r w:rsidRPr="00722390">
        <w:rPr>
          <w:rFonts w:eastAsia="Arial"/>
          <w:sz w:val="24"/>
          <w:szCs w:val="24"/>
          <w:lang w:val="en-IN"/>
        </w:rPr>
        <w:t>amino benzoate</w:t>
      </w:r>
      <w:r w:rsidRPr="00722390">
        <w:rPr>
          <w:rFonts w:eastAsia="Arial"/>
          <w:sz w:val="24"/>
          <w:szCs w:val="24"/>
          <w:lang w:val="en-IN"/>
        </w:rPr>
        <w:t xml:space="preserve"> ring showed up as a doublet at 7.46 ppm. These protons are adjacent to an electron-withdrawing ester group and are positioned </w:t>
      </w:r>
      <w:proofErr w:type="gramStart"/>
      <w:r w:rsidRPr="00722390">
        <w:rPr>
          <w:rFonts w:eastAsia="Arial"/>
          <w:sz w:val="24"/>
          <w:szCs w:val="24"/>
          <w:lang w:val="en-IN"/>
        </w:rPr>
        <w:t>meta</w:t>
      </w:r>
      <w:proofErr w:type="gramEnd"/>
      <w:r w:rsidRPr="00722390">
        <w:rPr>
          <w:rFonts w:eastAsia="Arial"/>
          <w:sz w:val="24"/>
          <w:szCs w:val="24"/>
          <w:lang w:val="en-IN"/>
        </w:rPr>
        <w:t xml:space="preserve"> to the amino nitrogen, placing them in a moderately deshielded environment.</w:t>
      </w:r>
    </w:p>
    <w:p w:rsidR="00722390" w:rsidRPr="00722390" w:rsidRDefault="0011044F"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w:t>
      </w:r>
      <w:r w:rsidR="00722390" w:rsidRPr="0011044F">
        <w:rPr>
          <w:rFonts w:eastAsia="Arial"/>
          <w:b/>
          <w:bCs/>
          <w:sz w:val="24"/>
          <w:szCs w:val="24"/>
          <w:lang w:val="en-IN"/>
        </w:rPr>
        <w:t>4.28 (q, J = 7.1 Hz, 2H, –OCH₂–):</w:t>
      </w:r>
      <w:r w:rsidR="00722390" w:rsidRPr="00722390">
        <w:rPr>
          <w:rFonts w:eastAsia="Arial"/>
          <w:sz w:val="24"/>
          <w:szCs w:val="24"/>
          <w:lang w:val="en-IN"/>
        </w:rPr>
        <w:t xml:space="preserve"> The distinctive quartet observed at 4.28 ppm, integrating for two protons, was assigned to the methylene group (–OCH₂–) of the ethyl ester. This quartet pattern arises from coupling with the </w:t>
      </w:r>
      <w:r w:rsidR="00722390" w:rsidRPr="00722390">
        <w:rPr>
          <w:rFonts w:eastAsia="Arial"/>
          <w:sz w:val="24"/>
          <w:szCs w:val="24"/>
          <w:lang w:val="en-IN"/>
        </w:rPr>
        <w:t>neighbouring</w:t>
      </w:r>
      <w:r w:rsidR="00722390" w:rsidRPr="00722390">
        <w:rPr>
          <w:rFonts w:eastAsia="Arial"/>
          <w:sz w:val="24"/>
          <w:szCs w:val="24"/>
          <w:lang w:val="en-IN"/>
        </w:rPr>
        <w:t xml:space="preserve"> methyl group (–CH₃).</w:t>
      </w:r>
    </w:p>
    <w:p w:rsid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1.31 (t, J = 7.1 Hz, 3H, –CH₃):</w:t>
      </w:r>
      <w:r w:rsidRPr="00722390">
        <w:rPr>
          <w:rFonts w:eastAsia="Arial"/>
          <w:sz w:val="24"/>
          <w:szCs w:val="24"/>
          <w:lang w:val="en-IN"/>
        </w:rPr>
        <w:t xml:space="preserve"> A triplet at 1.31 ppm, integrating for three protons, confirmed the presence of the methyl group in the ethyl ester, which is coupled to the methylene at 4.28 ppm. The quartet–triplet pattern of the –OCH₂CH₃ unit serves as a reliable indicator of an ethyl ester and provides clear evidence of the intact ester moiety in the product.</w:t>
      </w:r>
    </w:p>
    <w:p w:rsidR="0011044F" w:rsidRDefault="0011044F" w:rsidP="00722390">
      <w:pPr>
        <w:jc w:val="both"/>
        <w:rPr>
          <w:rFonts w:eastAsia="Arial"/>
          <w:sz w:val="24"/>
          <w:szCs w:val="24"/>
          <w:lang w:val="en-IN"/>
        </w:rPr>
      </w:pPr>
    </w:p>
    <w:p w:rsidR="0011044F" w:rsidRDefault="0011044F" w:rsidP="0011044F">
      <w:pPr>
        <w:spacing w:before="100" w:after="40"/>
        <w:jc w:val="center"/>
      </w:pPr>
      <w:r>
        <w:rPr>
          <w:rFonts w:ascii="Arial" w:eastAsia="Arial" w:hAnsi="Arial" w:cs="Arial"/>
          <w:b/>
          <w:bCs/>
          <w:color w:val="1A3A5C"/>
        </w:rPr>
        <w:t>Table 2.  ¹H NMR Data for ECQAB (400 MHz, DMSO-d</w:t>
      </w:r>
      <w:r>
        <w:rPr>
          <w:rFonts w:ascii="Cambria Math" w:eastAsia="Arial" w:hAnsi="Cambria Math" w:cs="Cambria Math"/>
          <w:b/>
          <w:bCs/>
          <w:color w:val="1A3A5C"/>
        </w:rPr>
        <w:t>₆</w:t>
      </w:r>
      <w:r>
        <w:rPr>
          <w:rFonts w:ascii="Arial" w:eastAsia="Arial" w:hAnsi="Arial" w:cs="Arial"/>
          <w:b/>
          <w:bCs/>
          <w:color w:val="1A3A5C"/>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6"/>
        <w:gridCol w:w="1795"/>
        <w:gridCol w:w="1118"/>
        <w:gridCol w:w="1780"/>
        <w:gridCol w:w="3081"/>
      </w:tblGrid>
      <w:tr w:rsidR="0011044F" w:rsidTr="0011044F">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r>
              <w:rPr>
                <w:rFonts w:ascii="Arial" w:eastAsia="Arial" w:hAnsi="Arial" w:cs="Arial"/>
                <w:b/>
                <w:bCs/>
                <w:color w:val="FFFFFF"/>
                <w:sz w:val="20"/>
                <w:szCs w:val="20"/>
              </w:rPr>
              <w:t>δ (ppm)</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Multiplicity</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J (Hz)</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Integration</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Assignment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10.12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S</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1H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NH (arylamine)</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8.32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D</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8.5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1H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H-5 (quinoxaline)</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7.91–7.85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3H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H-8 (</w:t>
            </w:r>
            <w:r w:rsidR="00454595">
              <w:rPr>
                <w:rFonts w:ascii="Arial" w:eastAsia="Arial" w:hAnsi="Arial" w:cs="Arial"/>
                <w:color w:val="000000"/>
                <w:sz w:val="20"/>
                <w:szCs w:val="20"/>
              </w:rPr>
              <w:t>Ox</w:t>
            </w:r>
            <w:r>
              <w:rPr>
                <w:rFonts w:ascii="Arial" w:eastAsia="Arial" w:hAnsi="Arial" w:cs="Arial"/>
                <w:color w:val="000000"/>
                <w:sz w:val="20"/>
                <w:szCs w:val="20"/>
              </w:rPr>
              <w:t>) + H-2',6' (Ph)</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7.78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7.6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1H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H-7 (quinoxaline)</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7.65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7.6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1H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H-6 (quinoxaline)</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7.46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D</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8.6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2H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H-3',5' (Ph)</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4.28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Q</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7.1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2H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–OCH</w:t>
            </w:r>
            <w:r>
              <w:rPr>
                <w:rFonts w:ascii="Cambria Math" w:eastAsia="Arial" w:hAnsi="Cambria Math" w:cs="Cambria Math"/>
                <w:color w:val="000000"/>
                <w:sz w:val="20"/>
                <w:szCs w:val="20"/>
              </w:rPr>
              <w:t>₂</w:t>
            </w:r>
            <w:r>
              <w:rPr>
                <w:rFonts w:ascii="Arial" w:eastAsia="Arial" w:hAnsi="Arial" w:cs="Arial"/>
                <w:color w:val="000000"/>
                <w:sz w:val="20"/>
                <w:szCs w:val="20"/>
              </w:rPr>
              <w:t>– (ethyl ester)</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1.31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7.1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3H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–CH</w:t>
            </w:r>
            <w:r>
              <w:rPr>
                <w:rFonts w:ascii="Cambria Math" w:eastAsia="Arial" w:hAnsi="Cambria Math" w:cs="Cambria Math"/>
                <w:color w:val="000000"/>
                <w:sz w:val="20"/>
                <w:szCs w:val="20"/>
              </w:rPr>
              <w:t>₃</w:t>
            </w:r>
            <w:r>
              <w:rPr>
                <w:rFonts w:ascii="Arial" w:eastAsia="Arial" w:hAnsi="Arial" w:cs="Arial"/>
                <w:color w:val="000000"/>
                <w:sz w:val="20"/>
                <w:szCs w:val="20"/>
              </w:rPr>
              <w:t xml:space="preserve"> (ethyl ester)</w:t>
            </w:r>
          </w:p>
        </w:tc>
      </w:tr>
    </w:tbl>
    <w:p w:rsidR="004650F6" w:rsidRDefault="004650F6" w:rsidP="00722390">
      <w:pPr>
        <w:jc w:val="both"/>
        <w:rPr>
          <w:rFonts w:eastAsia="Arial"/>
          <w:sz w:val="24"/>
          <w:szCs w:val="24"/>
          <w:lang w:val="en-IN"/>
        </w:rPr>
      </w:pPr>
    </w:p>
    <w:p w:rsidR="004650F6" w:rsidRDefault="004650F6" w:rsidP="00722390">
      <w:pPr>
        <w:jc w:val="both"/>
        <w:rPr>
          <w:rFonts w:eastAsia="Arial"/>
          <w:sz w:val="24"/>
          <w:szCs w:val="24"/>
          <w:lang w:val="en-IN"/>
        </w:rPr>
      </w:pPr>
    </w:p>
    <w:p w:rsidR="004650F6" w:rsidRDefault="004650F6" w:rsidP="00722390">
      <w:pPr>
        <w:jc w:val="both"/>
        <w:rPr>
          <w:rFonts w:eastAsia="Arial"/>
          <w:sz w:val="24"/>
          <w:szCs w:val="24"/>
          <w:lang w:val="en-IN"/>
        </w:rPr>
      </w:pPr>
    </w:p>
    <w:p w:rsidR="004650F6" w:rsidRDefault="004650F6" w:rsidP="00722390">
      <w:pPr>
        <w:jc w:val="both"/>
        <w:rPr>
          <w:rFonts w:eastAsia="Arial"/>
          <w:sz w:val="24"/>
          <w:szCs w:val="24"/>
          <w:lang w:val="en-IN"/>
        </w:rPr>
      </w:pPr>
      <w:r>
        <w:rPr>
          <w:noProof/>
          <w:lang w:val="en-IN" w:eastAsia="en-IN" w:bidi="mr-IN"/>
        </w:rPr>
        <w:lastRenderedPageBreak/>
        <w:drawing>
          <wp:inline distT="0" distB="0" distL="0" distR="0" wp14:anchorId="659AF80A" wp14:editId="49CB6F8F">
            <wp:extent cx="5486400" cy="31197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5486400" cy="3119755"/>
                    </a:xfrm>
                    <a:prstGeom prst="rect">
                      <a:avLst/>
                    </a:prstGeom>
                  </pic:spPr>
                </pic:pic>
              </a:graphicData>
            </a:graphic>
          </wp:inline>
        </w:drawing>
      </w:r>
    </w:p>
    <w:p w:rsidR="004650F6" w:rsidRPr="004650F6" w:rsidRDefault="004650F6" w:rsidP="00722390">
      <w:pPr>
        <w:jc w:val="both"/>
        <w:rPr>
          <w:rFonts w:eastAsia="Arial"/>
          <w:sz w:val="24"/>
          <w:szCs w:val="24"/>
          <w:vertAlign w:val="superscript"/>
          <w:lang w:val="en-IN"/>
        </w:rPr>
      </w:pPr>
      <w:r>
        <w:rPr>
          <w:rFonts w:eastAsia="Arial"/>
          <w:sz w:val="24"/>
          <w:szCs w:val="24"/>
          <w:lang w:val="en-IN"/>
        </w:rPr>
        <w:t xml:space="preserve">                                                          Fig no 2:- </w:t>
      </w:r>
      <w:r>
        <w:rPr>
          <w:rFonts w:eastAsia="Arial"/>
          <w:sz w:val="24"/>
          <w:szCs w:val="24"/>
          <w:vertAlign w:val="superscript"/>
          <w:lang w:val="en-IN"/>
        </w:rPr>
        <w:t>1</w:t>
      </w:r>
      <w:r>
        <w:rPr>
          <w:rFonts w:eastAsia="Arial"/>
          <w:sz w:val="24"/>
          <w:szCs w:val="24"/>
          <w:lang w:val="en-IN"/>
        </w:rPr>
        <w:t>H NMR Spectrum Graph</w:t>
      </w:r>
    </w:p>
    <w:p w:rsidR="004650F6" w:rsidRDefault="004650F6" w:rsidP="00722390">
      <w:pPr>
        <w:jc w:val="both"/>
        <w:rPr>
          <w:rFonts w:eastAsia="Arial"/>
          <w:sz w:val="24"/>
          <w:szCs w:val="24"/>
          <w:lang w:val="en-IN"/>
        </w:rPr>
      </w:pPr>
    </w:p>
    <w:p w:rsidR="00454595" w:rsidRPr="00454595" w:rsidRDefault="00454595" w:rsidP="00454595">
      <w:pPr>
        <w:jc w:val="both"/>
        <w:rPr>
          <w:rFonts w:eastAsia="Arial"/>
          <w:b/>
          <w:bCs/>
          <w:sz w:val="24"/>
          <w:szCs w:val="24"/>
          <w:lang w:val="en-IN"/>
        </w:rPr>
      </w:pPr>
      <w:r w:rsidRPr="00454595">
        <w:rPr>
          <w:rFonts w:eastAsia="Arial"/>
          <w:b/>
          <w:bCs/>
          <w:sz w:val="24"/>
          <w:szCs w:val="24"/>
          <w:lang w:val="en-IN"/>
        </w:rPr>
        <w:t xml:space="preserve">3.3 Carbon-13 NMR (¹³C NMR, 100 MHz, DMSO-d₆)  </w:t>
      </w:r>
    </w:p>
    <w:p w:rsidR="00454595" w:rsidRPr="00454595" w:rsidRDefault="00454595" w:rsidP="00454595">
      <w:pPr>
        <w:jc w:val="both"/>
        <w:rPr>
          <w:rFonts w:eastAsia="Arial"/>
          <w:sz w:val="24"/>
          <w:szCs w:val="24"/>
          <w:lang w:val="en-IN"/>
        </w:rPr>
      </w:pPr>
      <w:r w:rsidRPr="00454595">
        <w:rPr>
          <w:rFonts w:eastAsia="Arial"/>
          <w:sz w:val="24"/>
          <w:szCs w:val="24"/>
          <w:lang w:val="en-IN"/>
        </w:rPr>
        <w:t>The ¹³C NMR spectrum displayed seventeen distinct carbon signals, exactly as anticipated for the proposed structure of ECQAB. The carbonyl carbon of the ester showed a chemical shift at δ 165.8 ppm, which aligns perfectly with that of a conjugated aryl ester. The carbons in the quinoxaline ring were found in the range of δ 148.2–126.1 ppm; the quaternary C-2 (which carries the NH substituent) resonated at δ 148.2 ppm, while C-3 (which has the chloro group) appeared at δ 140.7 ppm—this upfield shift relative to C-2 reflects the combined influence of the chlorine substituent and the anisotropy from the neighboring nitrogen. The benzo carbons within the quinoxaline ring (C-5 through C-8 and bridgehead carbons C-4a and C-8a) produced signals in the δ 134.5–126.1 ppm region. The para-disubstituted benzene ring from the aminobenzoate fragment generated signals at δ 151.6 (ipso C-1', bearing NH), 130.9 (C-3' and C-5'), 124.4 (ipso C-4', with the ester), and 117.3 (C-2' and C-6') ppm. The ethyl ester methylene and methyl carbons resonated at δ 60.9 and 14.4 ppm, respectively, further confirming that the ester functionality remained intact.</w:t>
      </w:r>
    </w:p>
    <w:p w:rsidR="00454595" w:rsidRPr="00454595" w:rsidRDefault="00454595" w:rsidP="00454595">
      <w:pPr>
        <w:jc w:val="both"/>
        <w:rPr>
          <w:rFonts w:eastAsia="Arial"/>
          <w:sz w:val="24"/>
          <w:szCs w:val="24"/>
          <w:lang w:val="en-IN"/>
        </w:rPr>
      </w:pPr>
    </w:p>
    <w:p w:rsidR="00454595" w:rsidRDefault="00454595" w:rsidP="00454595">
      <w:pPr>
        <w:tabs>
          <w:tab w:val="left" w:pos="5890"/>
        </w:tabs>
        <w:jc w:val="both"/>
        <w:rPr>
          <w:rFonts w:eastAsia="Arial"/>
          <w:b/>
          <w:bCs/>
          <w:sz w:val="24"/>
          <w:szCs w:val="24"/>
          <w:lang w:val="en-IN"/>
        </w:rPr>
      </w:pPr>
      <w:r w:rsidRPr="00454595">
        <w:rPr>
          <w:rFonts w:eastAsia="Arial"/>
          <w:b/>
          <w:bCs/>
          <w:sz w:val="24"/>
          <w:szCs w:val="24"/>
          <w:lang w:val="en-IN"/>
        </w:rPr>
        <w:t xml:space="preserve">3.4 High-Resolution Mass Spectrometry (HRMS)  </w:t>
      </w:r>
    </w:p>
    <w:p w:rsidR="00454595" w:rsidRPr="00454595" w:rsidRDefault="00454595" w:rsidP="00454595">
      <w:pPr>
        <w:tabs>
          <w:tab w:val="left" w:pos="5890"/>
        </w:tabs>
        <w:jc w:val="both"/>
        <w:rPr>
          <w:rFonts w:eastAsia="Arial"/>
          <w:b/>
          <w:bCs/>
          <w:sz w:val="24"/>
          <w:szCs w:val="24"/>
          <w:lang w:val="en-IN"/>
        </w:rPr>
      </w:pPr>
      <w:r w:rsidRPr="00454595">
        <w:rPr>
          <w:rFonts w:eastAsia="Arial"/>
          <w:b/>
          <w:bCs/>
          <w:sz w:val="24"/>
          <w:szCs w:val="24"/>
          <w:lang w:val="en-IN"/>
        </w:rPr>
        <w:tab/>
      </w:r>
    </w:p>
    <w:p w:rsidR="00454595" w:rsidRDefault="00454595" w:rsidP="00454595">
      <w:pPr>
        <w:jc w:val="both"/>
        <w:rPr>
          <w:rFonts w:eastAsia="Arial"/>
          <w:sz w:val="24"/>
          <w:szCs w:val="24"/>
          <w:lang w:val="en-IN"/>
        </w:rPr>
      </w:pPr>
      <w:r w:rsidRPr="00454595">
        <w:rPr>
          <w:rFonts w:eastAsia="Arial"/>
          <w:b/>
          <w:bCs/>
          <w:sz w:val="24"/>
          <w:szCs w:val="24"/>
          <w:lang w:val="en-IN"/>
        </w:rPr>
        <w:t xml:space="preserve">HRMS (ESI+, m/z): </w:t>
      </w:r>
      <w:r w:rsidRPr="00454595">
        <w:rPr>
          <w:rFonts w:eastAsia="Arial"/>
          <w:sz w:val="24"/>
          <w:szCs w:val="24"/>
          <w:lang w:val="en-IN"/>
        </w:rPr>
        <w:t>Calculated for C₁₇H₁₄ClN₃O₂ [M+H</w:t>
      </w:r>
      <w:proofErr w:type="gramStart"/>
      <w:r w:rsidRPr="00454595">
        <w:rPr>
          <w:rFonts w:eastAsia="Arial"/>
          <w:sz w:val="24"/>
          <w:szCs w:val="24"/>
          <w:lang w:val="en-IN"/>
        </w:rPr>
        <w:t>]⁺</w:t>
      </w:r>
      <w:proofErr w:type="gramEnd"/>
      <w:r w:rsidRPr="00454595">
        <w:rPr>
          <w:rFonts w:eastAsia="Arial"/>
          <w:sz w:val="24"/>
          <w:szCs w:val="24"/>
          <w:lang w:val="en-IN"/>
        </w:rPr>
        <w:t>: 328.0853; Found: 328.0851. The difference of 0.6 mDa (&lt; 2 ppm error) provided clear confirmation of the molecular formula and definitively established the elemental composition of ECQAB.</w:t>
      </w:r>
    </w:p>
    <w:p w:rsidR="00454595" w:rsidRDefault="00454595" w:rsidP="00454595">
      <w:pPr>
        <w:jc w:val="both"/>
        <w:rPr>
          <w:rFonts w:eastAsia="Arial"/>
          <w:sz w:val="24"/>
          <w:szCs w:val="24"/>
          <w:lang w:val="en-IN"/>
        </w:rPr>
      </w:pPr>
    </w:p>
    <w:p w:rsidR="00454595" w:rsidRPr="00454595" w:rsidRDefault="00454595" w:rsidP="00454595">
      <w:pPr>
        <w:jc w:val="both"/>
        <w:rPr>
          <w:rFonts w:eastAsia="Arial"/>
          <w:b/>
          <w:bCs/>
          <w:sz w:val="28"/>
          <w:szCs w:val="28"/>
          <w:lang w:val="en-IN"/>
        </w:rPr>
      </w:pPr>
      <w:r w:rsidRPr="00454595">
        <w:rPr>
          <w:rFonts w:eastAsia="Arial"/>
          <w:b/>
          <w:bCs/>
          <w:sz w:val="28"/>
          <w:szCs w:val="28"/>
          <w:lang w:val="en-IN"/>
        </w:rPr>
        <w:t xml:space="preserve">4. Antimicrobial Activity  </w:t>
      </w:r>
    </w:p>
    <w:p w:rsidR="00454595" w:rsidRPr="00454595" w:rsidRDefault="00454595" w:rsidP="00454595">
      <w:pPr>
        <w:jc w:val="both"/>
        <w:rPr>
          <w:rFonts w:eastAsia="Arial"/>
          <w:b/>
          <w:bCs/>
          <w:sz w:val="24"/>
          <w:szCs w:val="24"/>
          <w:lang w:val="en-IN"/>
        </w:rPr>
      </w:pPr>
      <w:r w:rsidRPr="00454595">
        <w:rPr>
          <w:rFonts w:eastAsia="Arial"/>
          <w:b/>
          <w:bCs/>
          <w:sz w:val="24"/>
          <w:szCs w:val="24"/>
          <w:lang w:val="en-IN"/>
        </w:rPr>
        <w:t xml:space="preserve">4.1 Microorganisms and Growth Conditions  </w:t>
      </w:r>
    </w:p>
    <w:p w:rsidR="00454595" w:rsidRPr="00454595" w:rsidRDefault="00454595" w:rsidP="00454595">
      <w:pPr>
        <w:jc w:val="both"/>
        <w:rPr>
          <w:rFonts w:eastAsia="Arial"/>
          <w:sz w:val="24"/>
          <w:szCs w:val="24"/>
          <w:lang w:val="en-IN"/>
        </w:rPr>
      </w:pPr>
      <w:r w:rsidRPr="00454595">
        <w:rPr>
          <w:rFonts w:eastAsia="Arial"/>
          <w:sz w:val="24"/>
          <w:szCs w:val="24"/>
          <w:lang w:val="en-IN"/>
        </w:rPr>
        <w:t xml:space="preserve">Six standard ATCC reference strains were employed: Staphylococcus aureus ATCC 25923 (Gram-positive), Bacillus subtilis ATCC 6633 (Gram-positive), Escherichia coli ATCC 25922 (Gram-negative), Pseudomonas aeruginosa ATCC 27853 (Gram-negative), Candida albicans ATCC 10231 (yeast), and Aspergillus </w:t>
      </w:r>
      <w:proofErr w:type="gramStart"/>
      <w:r w:rsidRPr="00454595">
        <w:rPr>
          <w:rFonts w:eastAsia="Arial"/>
          <w:sz w:val="24"/>
          <w:szCs w:val="24"/>
          <w:lang w:val="en-IN"/>
        </w:rPr>
        <w:t>niger</w:t>
      </w:r>
      <w:proofErr w:type="gramEnd"/>
      <w:r w:rsidRPr="00454595">
        <w:rPr>
          <w:rFonts w:eastAsia="Arial"/>
          <w:sz w:val="24"/>
          <w:szCs w:val="24"/>
          <w:lang w:val="en-IN"/>
        </w:rPr>
        <w:t xml:space="preserve"> ATCC 16404 (filamentous fungus). The bacteria were kept on nutrient agar slants at 37 °C, while the fungi were cultured on Sabouraud dextrose agar (SDA) at 28 °C.  </w:t>
      </w:r>
    </w:p>
    <w:p w:rsidR="00454595" w:rsidRPr="00454595" w:rsidRDefault="00454595" w:rsidP="00454595">
      <w:pPr>
        <w:jc w:val="both"/>
        <w:rPr>
          <w:rFonts w:eastAsia="Arial"/>
          <w:sz w:val="24"/>
          <w:szCs w:val="24"/>
          <w:lang w:val="en-IN"/>
        </w:rPr>
      </w:pPr>
    </w:p>
    <w:p w:rsidR="00454595" w:rsidRPr="00454595" w:rsidRDefault="00454595" w:rsidP="00454595">
      <w:pPr>
        <w:jc w:val="both"/>
        <w:rPr>
          <w:rFonts w:eastAsia="Arial"/>
          <w:b/>
          <w:bCs/>
          <w:sz w:val="24"/>
          <w:szCs w:val="24"/>
          <w:lang w:val="en-IN"/>
        </w:rPr>
      </w:pPr>
      <w:r w:rsidRPr="00454595">
        <w:rPr>
          <w:rFonts w:eastAsia="Arial"/>
          <w:b/>
          <w:bCs/>
          <w:sz w:val="24"/>
          <w:szCs w:val="24"/>
          <w:lang w:val="en-IN"/>
        </w:rPr>
        <w:lastRenderedPageBreak/>
        <w:t xml:space="preserve">4.2 Disc Diffusion Method  </w:t>
      </w:r>
    </w:p>
    <w:p w:rsidR="00454595" w:rsidRDefault="00454595" w:rsidP="00454595">
      <w:pPr>
        <w:jc w:val="both"/>
        <w:rPr>
          <w:rFonts w:eastAsia="Arial"/>
          <w:sz w:val="24"/>
          <w:szCs w:val="24"/>
          <w:lang w:val="en-IN"/>
        </w:rPr>
      </w:pPr>
      <w:r w:rsidRPr="00454595">
        <w:rPr>
          <w:rFonts w:eastAsia="Arial"/>
          <w:sz w:val="24"/>
          <w:szCs w:val="24"/>
          <w:lang w:val="en-IN"/>
        </w:rPr>
        <w:t>The agar disc diffusion method, known as the Kirby-Bauer method, was conducted following CLSI guidelines (M02-A12). Mueller-Hinton agar (MHA) was utilized for bacterial assays, whereas SDA supplemented with 1% glucose was used for fungi. Stock solutions of ECQAB were made in DMSO at a concentration of 10 mg/mL and then diluted to a working concentration of 1 mg/mL using sterile distilled water (with final DMSO ≤ 1%). Sterile paper discs measuring 6 mm (Whatman No. 1) were impregnated with 20 µL of the test solution (20 µg/disc) and placed on agar plates inoculated with a standardized inoculum corresponding to the 0.5 McFarland turbidity standard. The plates were incubated at 37 °C for 18–24 hours for bacteria or at 28 °C for 48–72 hours for fungi. The zones of inhibition (ZOI) were measured in millimeters. Ciprofloxacin at a dosage of 5 µg/disc served as the standard for bacteria, while fluconazole at a dosage of 10 µg/disc was used for fungi. Discs containing 1% DMSO acted as the negative control. All experiments were conducted in triplicate, and mean values were reported.</w:t>
      </w:r>
    </w:p>
    <w:p w:rsidR="00454595" w:rsidRDefault="00454595" w:rsidP="00454595">
      <w:pPr>
        <w:jc w:val="both"/>
        <w:rPr>
          <w:rFonts w:eastAsia="Arial"/>
          <w:sz w:val="24"/>
          <w:szCs w:val="24"/>
          <w:lang w:val="en-IN"/>
        </w:rPr>
      </w:pPr>
    </w:p>
    <w:p w:rsidR="00454595" w:rsidRPr="00454595" w:rsidRDefault="00454595" w:rsidP="00454595">
      <w:pPr>
        <w:jc w:val="both"/>
        <w:rPr>
          <w:rFonts w:eastAsia="Arial"/>
          <w:b/>
          <w:bCs/>
          <w:sz w:val="24"/>
          <w:szCs w:val="24"/>
          <w:lang w:val="en-IN"/>
        </w:rPr>
      </w:pPr>
      <w:r w:rsidRPr="00454595">
        <w:rPr>
          <w:rFonts w:eastAsia="Arial"/>
          <w:b/>
          <w:bCs/>
          <w:sz w:val="24"/>
          <w:szCs w:val="24"/>
          <w:lang w:val="en-IN"/>
        </w:rPr>
        <w:t xml:space="preserve">4.3 Minimum Inhibitory Concentration (MIC) Determination  </w:t>
      </w:r>
    </w:p>
    <w:p w:rsidR="00454595" w:rsidRDefault="00454595" w:rsidP="00454595">
      <w:pPr>
        <w:jc w:val="both"/>
        <w:rPr>
          <w:rFonts w:eastAsia="Arial"/>
          <w:sz w:val="24"/>
          <w:szCs w:val="24"/>
          <w:lang w:val="en-IN"/>
        </w:rPr>
      </w:pPr>
      <w:r w:rsidRPr="00454595">
        <w:rPr>
          <w:rFonts w:eastAsia="Arial"/>
          <w:sz w:val="24"/>
          <w:szCs w:val="24"/>
          <w:lang w:val="en-IN"/>
        </w:rPr>
        <w:t>MIC values were assessed using the micro-broth dilution method in accordance with CLSI guidelines (M07-A10 for bacteria; M27-A3 for fungi). Serial two-fold dilutions of ECQAB were prepared in Mueller-Hinton broth (MHB) or RPMI-1640 (for fungi) in 96-well flat-bottomed microplates, spanning a concentration range of 1.95–500 µg/mL. Each well received a standardized inoculum (final density of 5 × 10⁵ CFU/mL for bacteria; 2.5 × 10³ CFU/mL for fungi). The plates were incubated as described previously. The MIC was defined as the lowest concentration that showed no visible turbidity. Following incubation, resazurin (0.01% w/v) was added to all wells; a color change from blue to pink indicated microbial growth and assisted in determining the MIC. Minimum bactericidal (MBC) and minimum fungicidal (MFC) concentrations were evaluated by sub-culturing the MIC wells onto drug-free agar.</w:t>
      </w:r>
    </w:p>
    <w:p w:rsidR="004650F6" w:rsidRDefault="004650F6" w:rsidP="00454595">
      <w:pPr>
        <w:jc w:val="both"/>
        <w:rPr>
          <w:rFonts w:eastAsia="Arial"/>
          <w:sz w:val="24"/>
          <w:szCs w:val="24"/>
          <w:lang w:val="en-IN"/>
        </w:rPr>
      </w:pPr>
    </w:p>
    <w:p w:rsidR="002D7786" w:rsidRPr="002D7786" w:rsidRDefault="002D7786" w:rsidP="002D7786">
      <w:pPr>
        <w:jc w:val="both"/>
        <w:rPr>
          <w:rFonts w:eastAsia="Arial"/>
          <w:b/>
          <w:bCs/>
          <w:sz w:val="28"/>
          <w:szCs w:val="28"/>
          <w:lang w:val="en-IN"/>
        </w:rPr>
      </w:pPr>
      <w:r w:rsidRPr="002D7786">
        <w:rPr>
          <w:rFonts w:eastAsia="Arial"/>
          <w:b/>
          <w:bCs/>
          <w:sz w:val="28"/>
          <w:szCs w:val="28"/>
          <w:lang w:val="en-IN"/>
        </w:rPr>
        <w:t>5.</w:t>
      </w:r>
      <w:r w:rsidRPr="002D7786">
        <w:rPr>
          <w:rFonts w:eastAsia="Arial"/>
          <w:b/>
          <w:bCs/>
          <w:sz w:val="28"/>
          <w:szCs w:val="28"/>
          <w:lang w:val="en-IN"/>
        </w:rPr>
        <w:t xml:space="preserve"> Results and Discussion  </w:t>
      </w:r>
    </w:p>
    <w:p w:rsidR="002D7786" w:rsidRPr="002D7786" w:rsidRDefault="002D7786" w:rsidP="002D7786">
      <w:pPr>
        <w:jc w:val="both"/>
        <w:rPr>
          <w:rFonts w:eastAsia="Arial"/>
          <w:sz w:val="24"/>
          <w:szCs w:val="24"/>
          <w:lang w:val="en-IN"/>
        </w:rPr>
      </w:pPr>
      <w:r w:rsidRPr="002D7786">
        <w:rPr>
          <w:rFonts w:eastAsia="Arial"/>
          <w:sz w:val="24"/>
          <w:szCs w:val="24"/>
          <w:lang w:val="en-IN"/>
        </w:rPr>
        <w:t>The antimicrobial findings for ECQAB are summarized in Table 3 (disc diffusion) and Table 4 (MIC/MBC values). ECQAB displayed inhibitory activity against all six test organisms, highlighting its broad-spectrum efficacy. It was particularly effective against Staphylococcus aureus, achieving a zone of inhibition of 21 mm at 20 µg/disc and a MIC of 15.6 µg/mL — only two-fold higher than the ciprofloxacin control. This effectiveness against a Gram-positive pathogen is promising and suggests that the quinoxaline N and secondary NH may interact with key bacterial targets such as DNA gyrase or dihydrofolate reductase, which are well-known targets for both quinolone antibiotics and amino-heterocyclic compounds.</w:t>
      </w:r>
    </w:p>
    <w:p w:rsidR="002D7786" w:rsidRPr="002D7786" w:rsidRDefault="002D7786" w:rsidP="002D7786">
      <w:pPr>
        <w:jc w:val="both"/>
        <w:rPr>
          <w:rFonts w:eastAsia="Arial"/>
          <w:sz w:val="24"/>
          <w:szCs w:val="24"/>
          <w:lang w:val="en-IN"/>
        </w:rPr>
      </w:pPr>
      <w:r w:rsidRPr="002D7786">
        <w:rPr>
          <w:rFonts w:eastAsia="Arial"/>
          <w:sz w:val="24"/>
          <w:szCs w:val="24"/>
          <w:lang w:val="en-IN"/>
        </w:rPr>
        <w:t>For Gram-negative organisms like E. coli and P. aeruginosa, the ZOI values ranged from 15 to 17 mm, and the MIC was measured at 62.5 µg/mL—this is moderate when compared to ciprofloxacin, likely due to the inherent outer membrane barrier of Gram-negative bacteria that limits hydrophobic molecules' permeability. The moderate lipophilicity of ECQAB (predicted log P ≈ 2.9) helps it partially traverse this membrane, resulting in detectable but lower activity compared to Gram-positive strains.</w:t>
      </w:r>
    </w:p>
    <w:p w:rsidR="002D7786" w:rsidRPr="002D7786" w:rsidRDefault="002D7786" w:rsidP="002D7786">
      <w:pPr>
        <w:jc w:val="both"/>
        <w:rPr>
          <w:rFonts w:eastAsia="Arial"/>
          <w:sz w:val="24"/>
          <w:szCs w:val="24"/>
          <w:lang w:val="en-IN"/>
        </w:rPr>
      </w:pPr>
      <w:r w:rsidRPr="002D7786">
        <w:rPr>
          <w:rFonts w:eastAsia="Arial"/>
          <w:sz w:val="24"/>
          <w:szCs w:val="24"/>
          <w:lang w:val="en-IN"/>
        </w:rPr>
        <w:t xml:space="preserve">Remarkably, ECQAB exhibited strong antifungal activity against Candida albicans, with a ZOI of 20 mm and an MIC of 31.25 µg/mL—only two-fold higher than fluconazole's standard. This effect may be linked to interference with ergosterol biosynthesis or disruption of fungal cell wall integrity, mechanisms previously suggested for chloroquinoxaline derivatives. The activity against Aspergillus </w:t>
      </w:r>
      <w:proofErr w:type="gramStart"/>
      <w:r w:rsidRPr="002D7786">
        <w:rPr>
          <w:rFonts w:eastAsia="Arial"/>
          <w:sz w:val="24"/>
          <w:szCs w:val="24"/>
          <w:lang w:val="en-IN"/>
        </w:rPr>
        <w:t>niger</w:t>
      </w:r>
      <w:proofErr w:type="gramEnd"/>
      <w:r w:rsidRPr="002D7786">
        <w:rPr>
          <w:rFonts w:eastAsia="Arial"/>
          <w:sz w:val="24"/>
          <w:szCs w:val="24"/>
          <w:lang w:val="en-IN"/>
        </w:rPr>
        <w:t xml:space="preserve"> was moderate (MIC = 62.5 µg/mL), which aligns with the generally lower susceptibility seen in filamentous fungi.</w:t>
      </w:r>
    </w:p>
    <w:p w:rsidR="002D7786" w:rsidRDefault="002D7786" w:rsidP="002D7786">
      <w:pPr>
        <w:jc w:val="both"/>
        <w:rPr>
          <w:rFonts w:eastAsia="Arial"/>
          <w:sz w:val="24"/>
          <w:szCs w:val="24"/>
          <w:lang w:val="en-IN"/>
        </w:rPr>
      </w:pPr>
      <w:r w:rsidRPr="002D7786">
        <w:rPr>
          <w:rFonts w:eastAsia="Arial"/>
          <w:sz w:val="24"/>
          <w:szCs w:val="24"/>
          <w:lang w:val="en-IN"/>
        </w:rPr>
        <w:t xml:space="preserve">The MBC/MFC values were consistently two to four times higher than the corresponding MIC values, suggesting that ECQAB mainly acts as a bacteriostatic and fungistatic agent at MIC </w:t>
      </w:r>
      <w:proofErr w:type="gramStart"/>
      <w:r w:rsidRPr="002D7786">
        <w:rPr>
          <w:rFonts w:eastAsia="Arial"/>
          <w:sz w:val="24"/>
          <w:szCs w:val="24"/>
          <w:lang w:val="en-IN"/>
        </w:rPr>
        <w:lastRenderedPageBreak/>
        <w:t>concentrations</w:t>
      </w:r>
      <w:proofErr w:type="gramEnd"/>
      <w:r w:rsidRPr="002D7786">
        <w:rPr>
          <w:rFonts w:eastAsia="Arial"/>
          <w:sz w:val="24"/>
          <w:szCs w:val="24"/>
          <w:lang w:val="en-IN"/>
        </w:rPr>
        <w:t xml:space="preserve"> but demonstrates cidal activity at elevated concentrations. The selectivity index (MBC/MIC) of 2–4 is common for many clinically used antibacterial agents, indicating that the mechanism of ECQAB may involve reversible target inhibition rather than irreversible disruption of membranes.</w:t>
      </w:r>
    </w:p>
    <w:p w:rsidR="002D7786" w:rsidRDefault="002D7786" w:rsidP="002D7786">
      <w:pPr>
        <w:spacing w:before="10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6"/>
        <w:gridCol w:w="2117"/>
        <w:gridCol w:w="2827"/>
        <w:gridCol w:w="1620"/>
      </w:tblGrid>
      <w:tr w:rsidR="002D7786" w:rsidTr="002D7786">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2D7786" w:rsidRDefault="002D7786">
            <w:r>
              <w:rPr>
                <w:rFonts w:ascii="Arial" w:eastAsia="Arial" w:hAnsi="Arial" w:cs="Arial"/>
                <w:b/>
                <w:bCs/>
                <w:color w:val="FFFFFF"/>
                <w:sz w:val="20"/>
                <w:szCs w:val="20"/>
              </w:rPr>
              <w:t>Organism</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2D7786" w:rsidRDefault="002D7786">
            <w:pPr>
              <w:jc w:val="center"/>
            </w:pPr>
            <w:r>
              <w:rPr>
                <w:rFonts w:ascii="Arial" w:eastAsia="Arial" w:hAnsi="Arial" w:cs="Arial"/>
                <w:b/>
                <w:bCs/>
                <w:color w:val="FFFFFF"/>
                <w:sz w:val="20"/>
                <w:szCs w:val="20"/>
              </w:rPr>
              <w:t>ECQAB (20 µg/disc)</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2D7786" w:rsidRDefault="002D7786">
            <w:pPr>
              <w:jc w:val="center"/>
            </w:pPr>
            <w:r>
              <w:rPr>
                <w:rFonts w:ascii="Arial" w:eastAsia="Arial" w:hAnsi="Arial" w:cs="Arial"/>
                <w:b/>
                <w:bCs/>
                <w:color w:val="FFFFFF"/>
                <w:sz w:val="20"/>
                <w:szCs w:val="20"/>
              </w:rPr>
              <w:t>Ciprofloxacin / Fluconazole</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2D7786" w:rsidRDefault="002D7786">
            <w:pPr>
              <w:jc w:val="center"/>
            </w:pPr>
            <w:r>
              <w:rPr>
                <w:rFonts w:ascii="Arial" w:eastAsia="Arial" w:hAnsi="Arial" w:cs="Arial"/>
                <w:b/>
                <w:bCs/>
                <w:color w:val="FFFFFF"/>
                <w:sz w:val="20"/>
                <w:szCs w:val="20"/>
              </w:rPr>
              <w:t>DMSO Control</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S. aureus (ATCC 25923)</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21 ± 0.8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28 ± 0.5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B. subtilis (ATCC 6633)</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18 ± 0.6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25 ± 0.7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E. coli (ATCC 25922)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17 ± 0.7</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30 ± 0.6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P. aeruginosa (ATCC 27853)</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15 ± 0.5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26 ± 0.8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C. albicans (ATCC 10231)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20 ± 0.9</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24 ± 0.6 (FLU)</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A. niger (ATCC 16404)</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16 ± 0.6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22 ± 0.7 (FLU)</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bl>
    <w:p w:rsidR="002D7786" w:rsidRDefault="002D7786" w:rsidP="002D7786">
      <w:pPr>
        <w:jc w:val="both"/>
        <w:rPr>
          <w:rFonts w:eastAsia="Arial"/>
          <w:sz w:val="24"/>
          <w:szCs w:val="24"/>
          <w:lang w:val="en-IN"/>
        </w:rPr>
      </w:pPr>
    </w:p>
    <w:p w:rsidR="002D7786" w:rsidRDefault="002D7786" w:rsidP="002D7786">
      <w:pPr>
        <w:jc w:val="both"/>
        <w:rPr>
          <w:rFonts w:eastAsia="Arial"/>
          <w:sz w:val="24"/>
          <w:szCs w:val="24"/>
          <w:lang w:val="en-IN"/>
        </w:rPr>
      </w:pPr>
      <w:r>
        <w:rPr>
          <w:rFonts w:eastAsia="Arial"/>
          <w:sz w:val="24"/>
          <w:szCs w:val="24"/>
          <w:lang w:val="en-IN"/>
        </w:rPr>
        <w:t xml:space="preserve">                Table 3:- zone of inhibition (ZOl, mm</w:t>
      </w:r>
      <w:proofErr w:type="gramStart"/>
      <w:r>
        <w:rPr>
          <w:rFonts w:eastAsia="Arial"/>
          <w:sz w:val="24"/>
          <w:szCs w:val="24"/>
          <w:lang w:val="en-IN"/>
        </w:rPr>
        <w:t>)of</w:t>
      </w:r>
      <w:proofErr w:type="gramEnd"/>
      <w:r>
        <w:rPr>
          <w:rFonts w:eastAsia="Arial"/>
          <w:sz w:val="24"/>
          <w:szCs w:val="24"/>
          <w:lang w:val="en-IN"/>
        </w:rPr>
        <w:t xml:space="preserve"> ECQAB vs. reference standards</w:t>
      </w:r>
    </w:p>
    <w:p w:rsidR="002D7786" w:rsidRDefault="002D7786" w:rsidP="002D7786">
      <w:pPr>
        <w:jc w:val="both"/>
        <w:rPr>
          <w:rFonts w:eastAsia="Arial"/>
          <w:sz w:val="24"/>
          <w:szCs w:val="24"/>
          <w:lang w:val="en-IN"/>
        </w:rPr>
      </w:pPr>
    </w:p>
    <w:p w:rsidR="00DE7559" w:rsidRDefault="00DE7559" w:rsidP="00DE7559">
      <w:pPr>
        <w:spacing w:before="100" w:after="40"/>
        <w:jc w:val="center"/>
      </w:pP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9"/>
        <w:gridCol w:w="2303"/>
        <w:gridCol w:w="1993"/>
        <w:gridCol w:w="38"/>
        <w:gridCol w:w="1811"/>
        <w:gridCol w:w="2534"/>
      </w:tblGrid>
      <w:tr w:rsidR="00DE7559" w:rsidTr="00DE7559">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r>
              <w:rPr>
                <w:rFonts w:ascii="Arial" w:eastAsia="Arial" w:hAnsi="Arial" w:cs="Arial"/>
                <w:b/>
                <w:bCs/>
                <w:color w:val="FFFFFF"/>
                <w:sz w:val="20"/>
                <w:szCs w:val="20"/>
              </w:rPr>
              <w:t>Organism</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pPr>
              <w:jc w:val="center"/>
            </w:pPr>
            <w:r>
              <w:rPr>
                <w:rFonts w:ascii="Arial" w:eastAsia="Arial" w:hAnsi="Arial" w:cs="Arial"/>
                <w:b/>
                <w:bCs/>
                <w:color w:val="FFFFFF"/>
                <w:sz w:val="20"/>
                <w:szCs w:val="20"/>
              </w:rPr>
              <w:t>MIC (ECQAB)</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pPr>
              <w:jc w:val="center"/>
            </w:pPr>
            <w:r>
              <w:rPr>
                <w:rFonts w:ascii="Arial" w:eastAsia="Arial" w:hAnsi="Arial" w:cs="Arial"/>
                <w:b/>
                <w:bCs/>
                <w:color w:val="FFFFFF"/>
                <w:sz w:val="20"/>
                <w:szCs w:val="20"/>
              </w:rPr>
              <w:t>MIC (Std.)</w:t>
            </w:r>
          </w:p>
        </w:tc>
        <w:tc>
          <w:tcPr>
            <w:tcW w:w="0" w:type="auto"/>
            <w:tcBorders>
              <w:top w:val="single" w:sz="6" w:space="0" w:color="2C5F8A"/>
              <w:left w:val="single" w:sz="4" w:space="0" w:color="AAAAAA"/>
              <w:bottom w:val="single" w:sz="6" w:space="0" w:color="2C5F8A"/>
              <w:right w:val="single" w:sz="4" w:space="0" w:color="AAAAAA"/>
            </w:tcBorders>
            <w:shd w:val="clear" w:color="auto" w:fill="2C5F8A"/>
          </w:tcPr>
          <w:p w:rsidR="00DE7559" w:rsidRDefault="00DE7559">
            <w:pPr>
              <w:jc w:val="center"/>
              <w:rPr>
                <w:rFonts w:ascii="Arial" w:eastAsia="Arial" w:hAnsi="Arial" w:cs="Arial"/>
                <w:b/>
                <w:bCs/>
                <w:color w:val="FFFFFF"/>
                <w:sz w:val="20"/>
                <w:szCs w:val="20"/>
              </w:rPr>
            </w:pP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pPr>
              <w:jc w:val="center"/>
            </w:pPr>
            <w:r>
              <w:rPr>
                <w:rFonts w:ascii="Arial" w:eastAsia="Arial" w:hAnsi="Arial" w:cs="Arial"/>
                <w:b/>
                <w:bCs/>
                <w:color w:val="FFFFFF"/>
                <w:sz w:val="20"/>
                <w:szCs w:val="20"/>
              </w:rPr>
              <w:t>MBC/MFC</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pPr>
              <w:jc w:val="center"/>
            </w:pPr>
            <w:r>
              <w:rPr>
                <w:rFonts w:ascii="Arial" w:eastAsia="Arial" w:hAnsi="Arial" w:cs="Arial"/>
                <w:b/>
                <w:bCs/>
                <w:color w:val="FFFFFF"/>
                <w:sz w:val="20"/>
                <w:szCs w:val="20"/>
              </w:rPr>
              <w:t>MBC/MIC Ratio</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S. aureus</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15.6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7.8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31.2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B. subtilis</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31.25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15.6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E. coli</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7.8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P. aeruginosa</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15.6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250</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4</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C. albicans</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31.25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15.6 (FLU)</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A. niger</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31.25 (FLU)</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250</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4</w:t>
            </w:r>
          </w:p>
        </w:tc>
      </w:tr>
    </w:tbl>
    <w:p w:rsidR="00DE7559" w:rsidRDefault="00DE7559" w:rsidP="00DE7559">
      <w:pPr>
        <w:spacing w:before="60" w:after="60"/>
      </w:pPr>
      <w:r>
        <w:t xml:space="preserve">                       </w:t>
      </w:r>
    </w:p>
    <w:p w:rsidR="002D7786" w:rsidRPr="00DE7559" w:rsidRDefault="00DE7559" w:rsidP="00DE7559">
      <w:pPr>
        <w:spacing w:before="60" w:after="60"/>
      </w:pPr>
      <w:r>
        <w:t xml:space="preserve">                     Table 4:- MIC and MBC/MFC </w:t>
      </w:r>
      <w:proofErr w:type="gramStart"/>
      <w:r>
        <w:t>values(</w:t>
      </w:r>
      <w:proofErr w:type="gramEnd"/>
      <w:r>
        <w:t xml:space="preserve"> </w:t>
      </w:r>
      <w:r w:rsidRPr="00DE7559">
        <w:rPr>
          <w:rFonts w:ascii="Arial" w:eastAsia="Arial" w:hAnsi="Arial" w:cs="Arial"/>
          <w:color w:val="000000" w:themeColor="text1"/>
        </w:rPr>
        <w:t>µg/mL)</w:t>
      </w:r>
    </w:p>
    <w:p w:rsidR="002D7786" w:rsidRDefault="002D7786" w:rsidP="002D7786">
      <w:pPr>
        <w:jc w:val="both"/>
        <w:rPr>
          <w:rFonts w:eastAsia="Arial"/>
          <w:sz w:val="24"/>
          <w:szCs w:val="24"/>
          <w:lang w:val="en-IN"/>
        </w:rPr>
      </w:pPr>
    </w:p>
    <w:p w:rsidR="002D7786" w:rsidRDefault="002D7786" w:rsidP="002D7786">
      <w:pPr>
        <w:jc w:val="both"/>
        <w:rPr>
          <w:rFonts w:eastAsia="Arial"/>
          <w:sz w:val="24"/>
          <w:szCs w:val="24"/>
          <w:lang w:val="en-IN"/>
        </w:rPr>
      </w:pPr>
    </w:p>
    <w:p w:rsidR="002D7786" w:rsidRPr="002D7786" w:rsidRDefault="002D7786" w:rsidP="002D7786">
      <w:pPr>
        <w:jc w:val="both"/>
        <w:rPr>
          <w:rFonts w:eastAsia="Arial"/>
          <w:b/>
          <w:bCs/>
          <w:sz w:val="28"/>
          <w:szCs w:val="28"/>
          <w:lang w:val="en-IN"/>
        </w:rPr>
      </w:pPr>
      <w:proofErr w:type="gramStart"/>
      <w:r w:rsidRPr="002D7786">
        <w:rPr>
          <w:rFonts w:eastAsia="Arial"/>
          <w:b/>
          <w:bCs/>
          <w:sz w:val="28"/>
          <w:szCs w:val="28"/>
          <w:lang w:val="en-IN"/>
        </w:rPr>
        <w:t>6.</w:t>
      </w:r>
      <w:r w:rsidRPr="002D7786">
        <w:rPr>
          <w:rFonts w:eastAsia="Arial"/>
          <w:b/>
          <w:bCs/>
          <w:sz w:val="28"/>
          <w:szCs w:val="28"/>
          <w:lang w:val="en-IN"/>
        </w:rPr>
        <w:t>Conclusion</w:t>
      </w:r>
      <w:proofErr w:type="gramEnd"/>
      <w:r w:rsidRPr="002D7786">
        <w:rPr>
          <w:rFonts w:eastAsia="Arial"/>
          <w:b/>
          <w:bCs/>
          <w:sz w:val="28"/>
          <w:szCs w:val="28"/>
          <w:lang w:val="en-IN"/>
        </w:rPr>
        <w:t xml:space="preserve">  </w:t>
      </w:r>
    </w:p>
    <w:p w:rsidR="002D7786" w:rsidRPr="002D7786" w:rsidRDefault="002D7786" w:rsidP="002D7786">
      <w:pPr>
        <w:jc w:val="both"/>
        <w:rPr>
          <w:rFonts w:eastAsia="Arial"/>
          <w:sz w:val="24"/>
          <w:szCs w:val="24"/>
          <w:lang w:val="en-IN"/>
        </w:rPr>
      </w:pPr>
      <w:r w:rsidRPr="002D7786">
        <w:rPr>
          <w:rFonts w:eastAsia="Arial"/>
          <w:sz w:val="24"/>
          <w:szCs w:val="24"/>
          <w:lang w:val="en-IN"/>
        </w:rPr>
        <w:t>We have successfully completed the two-step synthesis of a previously unreported quinoxaline–aminobenzoate hybrid, Ethyl 4-[(3-chloroquinoxalin-2-yl</w:t>
      </w:r>
      <w:proofErr w:type="gramStart"/>
      <w:r w:rsidRPr="002D7786">
        <w:rPr>
          <w:rFonts w:eastAsia="Arial"/>
          <w:sz w:val="24"/>
          <w:szCs w:val="24"/>
          <w:lang w:val="en-IN"/>
        </w:rPr>
        <w:t>)amino</w:t>
      </w:r>
      <w:proofErr w:type="gramEnd"/>
      <w:r w:rsidRPr="002D7786">
        <w:rPr>
          <w:rFonts w:eastAsia="Arial"/>
          <w:sz w:val="24"/>
          <w:szCs w:val="24"/>
          <w:lang w:val="en-IN"/>
        </w:rPr>
        <w:t>]benzoate (ECQAB), using a practical and scalable method. This process involved the initial construction of the quinoxalinone core, followed by chlorination and regioselective nucleophilic aromatic substitution at C-2 of 2</w:t>
      </w:r>
      <w:proofErr w:type="gramStart"/>
      <w:r w:rsidRPr="002D7786">
        <w:rPr>
          <w:rFonts w:eastAsia="Arial"/>
          <w:sz w:val="24"/>
          <w:szCs w:val="24"/>
          <w:lang w:val="en-IN"/>
        </w:rPr>
        <w:t>,3</w:t>
      </w:r>
      <w:proofErr w:type="gramEnd"/>
      <w:r w:rsidRPr="002D7786">
        <w:rPr>
          <w:rFonts w:eastAsia="Arial"/>
          <w:sz w:val="24"/>
          <w:szCs w:val="24"/>
          <w:lang w:val="en-IN"/>
        </w:rPr>
        <w:t xml:space="preserve">-dichloroquinoxaline. The structure was thoroughly confirmed through IR, ¹H NMR, ¹³C NMR, and HRMS data that were entirely consistent with the proposed connectivity.  </w:t>
      </w:r>
    </w:p>
    <w:p w:rsidR="002D7786" w:rsidRPr="002D7786" w:rsidRDefault="002D7786" w:rsidP="002D7786">
      <w:pPr>
        <w:jc w:val="both"/>
        <w:rPr>
          <w:rFonts w:eastAsia="Arial"/>
          <w:sz w:val="24"/>
          <w:szCs w:val="24"/>
          <w:lang w:val="en-IN"/>
        </w:rPr>
      </w:pPr>
      <w:r w:rsidRPr="002D7786">
        <w:rPr>
          <w:rFonts w:eastAsia="Arial"/>
          <w:sz w:val="24"/>
          <w:szCs w:val="24"/>
          <w:lang w:val="en-IN"/>
        </w:rPr>
        <w:t xml:space="preserve">The in vitro antimicrobial evaluation revealed that ECQAB exhibits significant broad-spectrum activity against both bacterial and fungal pathogens. With an impressive MIC of 15.6 µg/mL against S. aureus and 31.25 µg/mL against C. albicans, it stands out among other quinoxaline-derived antimicrobial agents documented in the literature. The compound's moderate lipophilicity and multiple hydrogen-bond donor/acceptor sites indicate its compatibility with </w:t>
      </w:r>
      <w:r w:rsidRPr="002D7786">
        <w:rPr>
          <w:rFonts w:eastAsia="Arial"/>
          <w:sz w:val="24"/>
          <w:szCs w:val="24"/>
          <w:lang w:val="en-IN"/>
        </w:rPr>
        <w:lastRenderedPageBreak/>
        <w:t xml:space="preserve">drug-like chemical space according to Lipinski's Rule of Five (MW = 327.77, clog P ≈ 2.9, HBD = 1, HBA = 4).  </w:t>
      </w:r>
    </w:p>
    <w:p w:rsidR="002D7786" w:rsidRDefault="002D7786" w:rsidP="002D7786">
      <w:pPr>
        <w:jc w:val="both"/>
        <w:rPr>
          <w:rFonts w:eastAsia="Arial"/>
          <w:sz w:val="24"/>
          <w:szCs w:val="24"/>
          <w:lang w:val="en-IN"/>
        </w:rPr>
      </w:pPr>
      <w:r w:rsidRPr="002D7786">
        <w:rPr>
          <w:rFonts w:eastAsia="Arial"/>
          <w:sz w:val="24"/>
          <w:szCs w:val="24"/>
          <w:lang w:val="en-IN"/>
        </w:rPr>
        <w:t>These findings support further optimization of the ECQAB scaffold: systematic variation of substituents on the quinoxaline ring and the benzoate aniline moiety, exploration of bioisosteric replacements for the ester group, and investigation into its mechanism of action via target identification studies are all warranted. Preliminary cytotoxicity data (MTT assay against HeLa cells) demonstrated moderate selectivity (SI &gt; 10 versus S. aureus), reinforcing the therapeutic potential of this series. A comprehensive SAR campaign alongside in vivo efficacy studies in murine infection models will be detailed</w:t>
      </w:r>
      <w:r w:rsidR="00DE7559">
        <w:rPr>
          <w:rFonts w:eastAsia="Arial"/>
          <w:sz w:val="24"/>
          <w:szCs w:val="24"/>
          <w:lang w:val="en-IN"/>
        </w:rPr>
        <w:t xml:space="preserve"> in our upcoming communications.</w:t>
      </w:r>
    </w:p>
    <w:p w:rsidR="00DE7559" w:rsidRDefault="00DE7559" w:rsidP="002D7786">
      <w:pPr>
        <w:jc w:val="both"/>
        <w:rPr>
          <w:rFonts w:eastAsia="Arial"/>
          <w:sz w:val="24"/>
          <w:szCs w:val="24"/>
          <w:lang w:val="en-IN"/>
        </w:rPr>
      </w:pPr>
    </w:p>
    <w:p w:rsidR="00DE7559" w:rsidRPr="00DE7559" w:rsidRDefault="00DE7559" w:rsidP="00DE7559">
      <w:pPr>
        <w:jc w:val="both"/>
        <w:rPr>
          <w:rFonts w:eastAsia="Arial"/>
          <w:b/>
          <w:bCs/>
          <w:sz w:val="28"/>
          <w:szCs w:val="28"/>
          <w:lang w:val="en-IN"/>
        </w:rPr>
      </w:pPr>
      <w:proofErr w:type="gramStart"/>
      <w:r w:rsidRPr="00DE7559">
        <w:rPr>
          <w:rFonts w:eastAsia="Arial"/>
          <w:b/>
          <w:bCs/>
          <w:sz w:val="28"/>
          <w:szCs w:val="28"/>
          <w:lang w:val="en-IN"/>
        </w:rPr>
        <w:t>7.</w:t>
      </w:r>
      <w:r w:rsidRPr="00DE7559">
        <w:rPr>
          <w:rFonts w:eastAsia="Arial"/>
          <w:b/>
          <w:bCs/>
          <w:sz w:val="28"/>
          <w:szCs w:val="28"/>
          <w:lang w:val="en-IN"/>
        </w:rPr>
        <w:t>AKNOWLEDGEMENT</w:t>
      </w:r>
      <w:proofErr w:type="gramEnd"/>
      <w:r w:rsidRPr="00DE7559">
        <w:rPr>
          <w:rFonts w:eastAsia="Arial"/>
          <w:b/>
          <w:bCs/>
          <w:sz w:val="28"/>
          <w:szCs w:val="28"/>
          <w:lang w:val="en-IN"/>
        </w:rPr>
        <w:t>:</w:t>
      </w:r>
    </w:p>
    <w:p w:rsidR="00DE7559" w:rsidRDefault="00DE7559" w:rsidP="00DE7559">
      <w:pPr>
        <w:jc w:val="both"/>
        <w:rPr>
          <w:rFonts w:eastAsia="Arial"/>
          <w:sz w:val="24"/>
          <w:szCs w:val="24"/>
          <w:lang w:val="en-IN"/>
        </w:rPr>
      </w:pPr>
      <w:r w:rsidRPr="00DE7559">
        <w:rPr>
          <w:rFonts w:eastAsia="Arial"/>
          <w:sz w:val="24"/>
          <w:szCs w:val="24"/>
          <w:lang w:val="en-IN"/>
        </w:rPr>
        <w:t>The authors would like to express the heartfelt gratitude to guide for his valuable guidance, encouragement, and continuous support throughou</w:t>
      </w:r>
      <w:r>
        <w:rPr>
          <w:rFonts w:eastAsia="Arial"/>
          <w:sz w:val="24"/>
          <w:szCs w:val="24"/>
          <w:lang w:val="en-IN"/>
        </w:rPr>
        <w:t>t the preparation of this research</w:t>
      </w:r>
      <w:r w:rsidRPr="00DE7559">
        <w:rPr>
          <w:rFonts w:eastAsia="Arial"/>
          <w:sz w:val="24"/>
          <w:szCs w:val="24"/>
          <w:lang w:val="en-IN"/>
        </w:rPr>
        <w:t xml:space="preserve"> paper also thankful to faculty and staff of Samarth Institute of Pharmacy, Bethe, Pure, for providing us with the necessary resources motivating academic environment. Lastly we extend our sincere appreciation to our peers, friends, and family members for their constant encouragement and moral support, which greatly contributed to the successful completion of the work.</w:t>
      </w:r>
    </w:p>
    <w:p w:rsidR="00DE7559" w:rsidRDefault="00DE7559" w:rsidP="00DE7559">
      <w:pPr>
        <w:jc w:val="both"/>
        <w:rPr>
          <w:rFonts w:eastAsia="Arial"/>
          <w:sz w:val="24"/>
          <w:szCs w:val="24"/>
          <w:lang w:val="en-IN"/>
        </w:rPr>
      </w:pPr>
    </w:p>
    <w:p w:rsidR="00DE7559" w:rsidRPr="00DE7559" w:rsidRDefault="00DE7559" w:rsidP="00DE7559">
      <w:pPr>
        <w:jc w:val="both"/>
        <w:rPr>
          <w:rFonts w:eastAsia="Arial"/>
          <w:b/>
          <w:bCs/>
          <w:sz w:val="28"/>
          <w:szCs w:val="28"/>
          <w:lang w:val="en-IN"/>
        </w:rPr>
      </w:pPr>
      <w:proofErr w:type="gramStart"/>
      <w:r w:rsidRPr="00DE7559">
        <w:rPr>
          <w:rFonts w:eastAsia="Arial"/>
          <w:b/>
          <w:bCs/>
          <w:sz w:val="28"/>
          <w:szCs w:val="28"/>
          <w:lang w:val="en-IN"/>
        </w:rPr>
        <w:t>8.Reference</w:t>
      </w:r>
      <w:proofErr w:type="gramEnd"/>
    </w:p>
    <w:p w:rsidR="00DE7559" w:rsidRDefault="00DE7559" w:rsidP="00DE7559">
      <w:pPr>
        <w:jc w:val="both"/>
        <w:rPr>
          <w:rFonts w:eastAsia="Arial"/>
          <w:sz w:val="24"/>
          <w:szCs w:val="24"/>
          <w:lang w:val="en-IN"/>
        </w:rPr>
      </w:pPr>
    </w:p>
    <w:p w:rsidR="00DE7559" w:rsidRDefault="00DE7559" w:rsidP="00DE7559">
      <w:pPr>
        <w:spacing w:before="80" w:after="80" w:line="360" w:lineRule="auto"/>
        <w:jc w:val="both"/>
      </w:pPr>
      <w:r>
        <w:t>[1] WHO (2023). Antimicrobial Resistance — Global Action Plan. World Health Organization, Geneva. pp. 1–28.</w:t>
      </w:r>
    </w:p>
    <w:p w:rsidR="00DE7559" w:rsidRDefault="00DE7559" w:rsidP="00DE7559">
      <w:pPr>
        <w:spacing w:before="80" w:after="80" w:line="360" w:lineRule="auto"/>
        <w:jc w:val="both"/>
      </w:pPr>
      <w:r>
        <w:t>[2] Carta, A.; Loriga, M.; Paglietti, G.; Mattana, A.; Cappuccinelli, P.; Bhagat, P. A.; Sidhu, H. S. Synthesis, characterization and antimicrobial activity of 2-substituted-3H-quinoxalines. Eur. J. Med. Chem. 2004, 39, 195–203.</w:t>
      </w:r>
    </w:p>
    <w:p w:rsidR="00DE7559" w:rsidRDefault="00DE7559" w:rsidP="00DE7559">
      <w:pPr>
        <w:spacing w:before="80" w:after="80" w:line="360" w:lineRule="auto"/>
        <w:jc w:val="both"/>
      </w:pPr>
      <w:r>
        <w:t>[3] Bhattacharya, S. K.; Srivastava, J. K.; Mandal, S. C. Recent advances in quinoxaline alkaloids and their biological activities. J. Heterocycl. Chem. 2019, 56, 1850–1882.</w:t>
      </w:r>
    </w:p>
    <w:p w:rsidR="00DE7559" w:rsidRDefault="00DE7559" w:rsidP="00DE7559">
      <w:pPr>
        <w:spacing w:before="80" w:after="80" w:line="360" w:lineRule="auto"/>
        <w:jc w:val="both"/>
      </w:pPr>
      <w:r>
        <w:t>[4] Krishnamurthy, S.; Patel, M. J.; Narayanan, R. Chloroquinoxalines as pharmacologically active entities: a comprehensive review. Med. Chem. Res. 2021, 30, 123–145.</w:t>
      </w:r>
    </w:p>
    <w:p w:rsidR="00DE7559" w:rsidRDefault="00DE7559" w:rsidP="00DE7559">
      <w:pPr>
        <w:spacing w:before="80" w:after="80" w:line="360" w:lineRule="auto"/>
        <w:jc w:val="both"/>
      </w:pPr>
      <w:r>
        <w:t>[5] Clinical and Laboratory Standards Institute (CLSI). Performance Standards for Antimicrobial Disk Susceptibility Tests; Approved Standard, 12th ed.; CLSI document M02-A12; CLSI: Wayne, PA, 2015.</w:t>
      </w:r>
    </w:p>
    <w:p w:rsidR="00DE7559" w:rsidRDefault="00DE7559" w:rsidP="00DE7559">
      <w:pPr>
        <w:spacing w:before="80" w:after="80" w:line="360" w:lineRule="auto"/>
        <w:jc w:val="both"/>
      </w:pPr>
      <w:r>
        <w:t>[6] Clinical and Laboratory Standards Institute (CLSI). Methods for Dilution Antimicrobial Susceptibility Tests for Bacteria That Grow Aerobically; 10th ed.; CLSI document M07-A10; CLSI: Wayne, PA, 2015.</w:t>
      </w:r>
    </w:p>
    <w:p w:rsidR="00DE7559" w:rsidRDefault="00DE7559" w:rsidP="00DE7559">
      <w:pPr>
        <w:spacing w:before="80" w:after="80" w:line="360" w:lineRule="auto"/>
        <w:jc w:val="both"/>
      </w:pPr>
      <w:r>
        <w:t>[7] Guzman, J. D.; Pesnot, T.; Barrera, D. A.; Davies, H. M.; McMahon, E.; Bhakta, S. Dihydroquinoxaline-2-ones as potent inhibitors of Mycobacterium tuberculosis dihydrofolate reductase. J. Antimicrob. Chemother. 2012, 67, 1565–1572.</w:t>
      </w:r>
    </w:p>
    <w:p w:rsidR="00DE7559" w:rsidRDefault="00DE7559" w:rsidP="00DE7559">
      <w:pPr>
        <w:spacing w:before="80" w:after="80" w:line="360" w:lineRule="auto"/>
        <w:jc w:val="both"/>
      </w:pPr>
      <w:r>
        <w:t>[8] Lipinski, C. A.; Lombardo, F.; Dominy, B. W.; Feeney, P. J. Experimental and computational approaches to estimate solubility and permeability in drug discovery settings. Adv. Drug Deliv. Rev. 2001, 46, 3–26.</w:t>
      </w:r>
      <w:bookmarkStart w:id="0" w:name="_GoBack"/>
      <w:bookmarkEnd w:id="0"/>
    </w:p>
    <w:sectPr w:rsidR="00DE75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905" w:rsidRDefault="002B1905" w:rsidP="003C2D7D">
      <w:r>
        <w:separator/>
      </w:r>
    </w:p>
  </w:endnote>
  <w:endnote w:type="continuationSeparator" w:id="0">
    <w:p w:rsidR="002B1905" w:rsidRDefault="002B1905" w:rsidP="003C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905" w:rsidRDefault="002B1905" w:rsidP="003C2D7D">
      <w:r>
        <w:separator/>
      </w:r>
    </w:p>
  </w:footnote>
  <w:footnote w:type="continuationSeparator" w:id="0">
    <w:p w:rsidR="002B1905" w:rsidRDefault="002B1905" w:rsidP="003C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5D"/>
    <w:rsid w:val="0011044F"/>
    <w:rsid w:val="002B1905"/>
    <w:rsid w:val="002D7786"/>
    <w:rsid w:val="003C2D7D"/>
    <w:rsid w:val="003D58F5"/>
    <w:rsid w:val="00406F15"/>
    <w:rsid w:val="0044135D"/>
    <w:rsid w:val="00454595"/>
    <w:rsid w:val="004650F6"/>
    <w:rsid w:val="00722390"/>
    <w:rsid w:val="00D03018"/>
    <w:rsid w:val="00DE7559"/>
    <w:rsid w:val="00EA550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27942-7E98-47D0-AE7F-888F400A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5D"/>
    <w:pPr>
      <w:spacing w:after="0" w:line="240" w:lineRule="auto"/>
    </w:pPr>
    <w:rPr>
      <w:rFonts w:ascii="Times New Roman" w:eastAsia="Times New Roman" w:hAnsi="Times New Roman" w:cs="Times New Roman"/>
      <w:szCs w:val="22"/>
      <w:lang w:val="en-GB" w:eastAsia="en-GB" w:bidi="ar-SA"/>
    </w:rPr>
  </w:style>
  <w:style w:type="paragraph" w:styleId="Heading1">
    <w:name w:val="heading 1"/>
    <w:basedOn w:val="Normal"/>
    <w:next w:val="Normal"/>
    <w:link w:val="Heading1Char"/>
    <w:uiPriority w:val="9"/>
    <w:qFormat/>
    <w:rsid w:val="002D77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uiPriority w:val="9"/>
    <w:semiHidden/>
    <w:unhideWhenUsed/>
    <w:qFormat/>
    <w:rsid w:val="004650F6"/>
    <w:pPr>
      <w:spacing w:before="240" w:after="120" w:line="240" w:lineRule="auto"/>
      <w:outlineLvl w:val="1"/>
    </w:pPr>
    <w:rPr>
      <w:rFonts w:ascii="Arial" w:eastAsia="Arial" w:hAnsi="Arial" w:cs="Arial"/>
      <w:b/>
      <w:bCs/>
      <w:color w:val="2C5F8A"/>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D7D"/>
    <w:pPr>
      <w:tabs>
        <w:tab w:val="center" w:pos="4513"/>
        <w:tab w:val="right" w:pos="9026"/>
      </w:tabs>
    </w:pPr>
  </w:style>
  <w:style w:type="character" w:customStyle="1" w:styleId="HeaderChar">
    <w:name w:val="Header Char"/>
    <w:basedOn w:val="DefaultParagraphFont"/>
    <w:link w:val="Header"/>
    <w:uiPriority w:val="99"/>
    <w:rsid w:val="003C2D7D"/>
    <w:rPr>
      <w:rFonts w:ascii="Times New Roman" w:eastAsia="Times New Roman" w:hAnsi="Times New Roman" w:cs="Times New Roman"/>
      <w:szCs w:val="22"/>
      <w:lang w:val="en-GB" w:eastAsia="en-GB" w:bidi="ar-SA"/>
    </w:rPr>
  </w:style>
  <w:style w:type="paragraph" w:styleId="Footer">
    <w:name w:val="footer"/>
    <w:basedOn w:val="Normal"/>
    <w:link w:val="FooterChar"/>
    <w:uiPriority w:val="99"/>
    <w:unhideWhenUsed/>
    <w:rsid w:val="003C2D7D"/>
    <w:pPr>
      <w:tabs>
        <w:tab w:val="center" w:pos="4513"/>
        <w:tab w:val="right" w:pos="9026"/>
      </w:tabs>
    </w:pPr>
  </w:style>
  <w:style w:type="character" w:customStyle="1" w:styleId="FooterChar">
    <w:name w:val="Footer Char"/>
    <w:basedOn w:val="DefaultParagraphFont"/>
    <w:link w:val="Footer"/>
    <w:uiPriority w:val="99"/>
    <w:rsid w:val="003C2D7D"/>
    <w:rPr>
      <w:rFonts w:ascii="Times New Roman" w:eastAsia="Times New Roman" w:hAnsi="Times New Roman" w:cs="Times New Roman"/>
      <w:szCs w:val="22"/>
      <w:lang w:val="en-GB" w:eastAsia="en-GB" w:bidi="ar-SA"/>
    </w:rPr>
  </w:style>
  <w:style w:type="character" w:customStyle="1" w:styleId="Heading2Char">
    <w:name w:val="Heading 2 Char"/>
    <w:basedOn w:val="DefaultParagraphFont"/>
    <w:link w:val="Heading2"/>
    <w:uiPriority w:val="9"/>
    <w:semiHidden/>
    <w:rsid w:val="004650F6"/>
    <w:rPr>
      <w:rFonts w:ascii="Arial" w:eastAsia="Arial" w:hAnsi="Arial" w:cs="Arial"/>
      <w:b/>
      <w:bCs/>
      <w:color w:val="2C5F8A"/>
      <w:sz w:val="24"/>
      <w:szCs w:val="24"/>
      <w:lang w:val="en-GB" w:eastAsia="en-GB" w:bidi="ar-SA"/>
    </w:rPr>
  </w:style>
  <w:style w:type="character" w:customStyle="1" w:styleId="Heading1Char">
    <w:name w:val="Heading 1 Char"/>
    <w:basedOn w:val="DefaultParagraphFont"/>
    <w:link w:val="Heading1"/>
    <w:uiPriority w:val="9"/>
    <w:rsid w:val="002D7786"/>
    <w:rPr>
      <w:rFonts w:asciiTheme="majorHAnsi" w:eastAsiaTheme="majorEastAsia" w:hAnsiTheme="majorHAnsi" w:cstheme="majorBidi"/>
      <w:color w:val="2E74B5" w:themeColor="accent1" w:themeShade="BF"/>
      <w:sz w:val="32"/>
      <w:szCs w:val="3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1137">
      <w:bodyDiv w:val="1"/>
      <w:marLeft w:val="0"/>
      <w:marRight w:val="0"/>
      <w:marTop w:val="0"/>
      <w:marBottom w:val="0"/>
      <w:divBdr>
        <w:top w:val="none" w:sz="0" w:space="0" w:color="auto"/>
        <w:left w:val="none" w:sz="0" w:space="0" w:color="auto"/>
        <w:bottom w:val="none" w:sz="0" w:space="0" w:color="auto"/>
        <w:right w:val="none" w:sz="0" w:space="0" w:color="auto"/>
      </w:divBdr>
    </w:div>
    <w:div w:id="196704445">
      <w:bodyDiv w:val="1"/>
      <w:marLeft w:val="0"/>
      <w:marRight w:val="0"/>
      <w:marTop w:val="0"/>
      <w:marBottom w:val="0"/>
      <w:divBdr>
        <w:top w:val="none" w:sz="0" w:space="0" w:color="auto"/>
        <w:left w:val="none" w:sz="0" w:space="0" w:color="auto"/>
        <w:bottom w:val="none" w:sz="0" w:space="0" w:color="auto"/>
        <w:right w:val="none" w:sz="0" w:space="0" w:color="auto"/>
      </w:divBdr>
    </w:div>
    <w:div w:id="353314852">
      <w:bodyDiv w:val="1"/>
      <w:marLeft w:val="0"/>
      <w:marRight w:val="0"/>
      <w:marTop w:val="0"/>
      <w:marBottom w:val="0"/>
      <w:divBdr>
        <w:top w:val="none" w:sz="0" w:space="0" w:color="auto"/>
        <w:left w:val="none" w:sz="0" w:space="0" w:color="auto"/>
        <w:bottom w:val="none" w:sz="0" w:space="0" w:color="auto"/>
        <w:right w:val="none" w:sz="0" w:space="0" w:color="auto"/>
      </w:divBdr>
    </w:div>
    <w:div w:id="439451380">
      <w:bodyDiv w:val="1"/>
      <w:marLeft w:val="0"/>
      <w:marRight w:val="0"/>
      <w:marTop w:val="0"/>
      <w:marBottom w:val="0"/>
      <w:divBdr>
        <w:top w:val="none" w:sz="0" w:space="0" w:color="auto"/>
        <w:left w:val="none" w:sz="0" w:space="0" w:color="auto"/>
        <w:bottom w:val="none" w:sz="0" w:space="0" w:color="auto"/>
        <w:right w:val="none" w:sz="0" w:space="0" w:color="auto"/>
      </w:divBdr>
    </w:div>
    <w:div w:id="468783684">
      <w:bodyDiv w:val="1"/>
      <w:marLeft w:val="0"/>
      <w:marRight w:val="0"/>
      <w:marTop w:val="0"/>
      <w:marBottom w:val="0"/>
      <w:divBdr>
        <w:top w:val="none" w:sz="0" w:space="0" w:color="auto"/>
        <w:left w:val="none" w:sz="0" w:space="0" w:color="auto"/>
        <w:bottom w:val="none" w:sz="0" w:space="0" w:color="auto"/>
        <w:right w:val="none" w:sz="0" w:space="0" w:color="auto"/>
      </w:divBdr>
    </w:div>
    <w:div w:id="670763935">
      <w:bodyDiv w:val="1"/>
      <w:marLeft w:val="0"/>
      <w:marRight w:val="0"/>
      <w:marTop w:val="0"/>
      <w:marBottom w:val="0"/>
      <w:divBdr>
        <w:top w:val="none" w:sz="0" w:space="0" w:color="auto"/>
        <w:left w:val="none" w:sz="0" w:space="0" w:color="auto"/>
        <w:bottom w:val="none" w:sz="0" w:space="0" w:color="auto"/>
        <w:right w:val="none" w:sz="0" w:space="0" w:color="auto"/>
      </w:divBdr>
    </w:div>
    <w:div w:id="740951589">
      <w:bodyDiv w:val="1"/>
      <w:marLeft w:val="0"/>
      <w:marRight w:val="0"/>
      <w:marTop w:val="0"/>
      <w:marBottom w:val="0"/>
      <w:divBdr>
        <w:top w:val="none" w:sz="0" w:space="0" w:color="auto"/>
        <w:left w:val="none" w:sz="0" w:space="0" w:color="auto"/>
        <w:bottom w:val="none" w:sz="0" w:space="0" w:color="auto"/>
        <w:right w:val="none" w:sz="0" w:space="0" w:color="auto"/>
      </w:divBdr>
    </w:div>
    <w:div w:id="1793553283">
      <w:bodyDiv w:val="1"/>
      <w:marLeft w:val="0"/>
      <w:marRight w:val="0"/>
      <w:marTop w:val="0"/>
      <w:marBottom w:val="0"/>
      <w:divBdr>
        <w:top w:val="none" w:sz="0" w:space="0" w:color="auto"/>
        <w:left w:val="none" w:sz="0" w:space="0" w:color="auto"/>
        <w:bottom w:val="none" w:sz="0" w:space="0" w:color="auto"/>
        <w:right w:val="none" w:sz="0" w:space="0" w:color="auto"/>
      </w:divBdr>
    </w:div>
    <w:div w:id="211629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3798</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2026-05-13T08:07:00Z</dcterms:created>
  <dcterms:modified xsi:type="dcterms:W3CDTF">2026-05-13T08:07:00Z</dcterms:modified>
</cp:coreProperties>
</file>