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CDF9" w14:textId="70531C45" w:rsidR="008519FD" w:rsidRPr="00F41F74" w:rsidRDefault="00855E8D" w:rsidP="00F41F74">
      <w:pPr>
        <w:spacing w:before="240" w:after="240" w:line="240" w:lineRule="auto"/>
        <w:jc w:val="center"/>
        <w:rPr>
          <w:b/>
          <w:bCs/>
          <w:sz w:val="36"/>
          <w:szCs w:val="36"/>
        </w:rPr>
      </w:pPr>
      <w:r w:rsidRPr="00855E8D">
        <w:rPr>
          <w:b/>
          <w:bCs/>
          <w:sz w:val="36"/>
          <w:szCs w:val="36"/>
        </w:rPr>
        <w:t>Transitioning toward a circular economy in super-intensive shrimp aquaculture: a comprehensive review of resource recovery from wastewater and waste sludge</w:t>
      </w:r>
    </w:p>
    <w:p w14:paraId="5A0EA54C" w14:textId="6E94827D" w:rsidR="008519FD" w:rsidRPr="00F41F74" w:rsidRDefault="00855E8D" w:rsidP="00F41F74">
      <w:pPr>
        <w:spacing w:before="240" w:after="240" w:line="240" w:lineRule="auto"/>
        <w:jc w:val="center"/>
        <w:rPr>
          <w:b/>
          <w:bCs/>
          <w:sz w:val="24"/>
          <w:lang w:val="fr-FR"/>
        </w:rPr>
      </w:pPr>
      <w:r w:rsidRPr="00855E8D">
        <w:rPr>
          <w:b/>
          <w:bCs/>
          <w:sz w:val="24"/>
          <w:lang w:val="fr-FR"/>
        </w:rPr>
        <w:t xml:space="preserve"/>
      </w:r>
      <w:proofErr w:type="spellStart"/>
      <w:r w:rsidRPr="00855E8D">
        <w:rPr>
          <w:b/>
          <w:bCs/>
          <w:sz w:val="24"/>
          <w:lang w:val="fr-FR"/>
        </w:rPr>
        <w:t/>
      </w:r>
      <w:proofErr w:type="spellEnd"/>
      <w:r w:rsidRPr="00855E8D">
        <w:rPr>
          <w:b/>
          <w:bCs/>
          <w:sz w:val="24"/>
          <w:lang w:val="fr-FR"/>
        </w:rPr>
        <w:t xml:space="preserve"/>
      </w:r>
      <w:r w:rsidR="000466BD" w:rsidRPr="00F41F74">
        <w:rPr>
          <w:b/>
          <w:bCs/>
          <w:sz w:val="24"/>
          <w:vertAlign w:val="superscript"/>
          <w:lang w:val="fr-FR"/>
        </w:rPr>
        <w:t/>
      </w:r>
      <w:r w:rsidR="00F9295F">
        <w:rPr>
          <w:b/>
          <w:bCs/>
          <w:sz w:val="24"/>
          <w:vertAlign w:val="superscript"/>
          <w:lang w:val="fr-FR"/>
        </w:rPr>
        <w:t/>
      </w:r>
      <w:r w:rsidR="00EB184E" w:rsidRPr="00F41F74">
        <w:rPr>
          <w:b/>
          <w:bCs/>
          <w:sz w:val="24"/>
          <w:lang w:val="fr-FR"/>
        </w:rPr>
        <w:t xml:space="preserve"/>
      </w:r>
      <w:r w:rsidRPr="00855E8D">
        <w:rPr>
          <w:b/>
          <w:bCs/>
          <w:sz w:val="24"/>
          <w:lang w:val="fr-FR"/>
        </w:rPr>
        <w:t xml:space="preserve"/>
      </w:r>
      <w:proofErr w:type="spellStart"/>
      <w:r w:rsidRPr="00855E8D">
        <w:rPr>
          <w:b/>
          <w:bCs/>
          <w:sz w:val="24"/>
          <w:lang w:val="fr-FR"/>
        </w:rPr>
        <w:t/>
      </w:r>
      <w:proofErr w:type="spellEnd"/>
      <w:r w:rsidRPr="00855E8D">
        <w:rPr>
          <w:b/>
          <w:bCs/>
          <w:sz w:val="24"/>
          <w:lang w:val="fr-FR"/>
        </w:rPr>
        <w:t xml:space="preserve"/>
      </w:r>
      <w:r w:rsidR="00A57B7B">
        <w:rPr>
          <w:b/>
          <w:bCs/>
          <w:sz w:val="24"/>
          <w:vertAlign w:val="superscript"/>
          <w:lang w:val="fr-FR"/>
        </w:rPr>
        <w:t/>
      </w:r>
      <w:r w:rsidRPr="00855E8D">
        <w:rPr>
          <w:b/>
          <w:bCs/>
          <w:sz w:val="24"/>
          <w:lang w:val="fr-FR"/>
        </w:rPr>
        <w:t xml:space="preserve"/>
      </w:r>
      <w:proofErr w:type="spellStart"/>
      <w:r w:rsidRPr="00855E8D">
        <w:rPr>
          <w:b/>
          <w:bCs/>
          <w:sz w:val="24"/>
          <w:lang w:val="fr-FR"/>
        </w:rPr>
        <w:t/>
      </w:r>
      <w:proofErr w:type="spellEnd"/>
      <w:r w:rsidRPr="00855E8D">
        <w:rPr>
          <w:b/>
          <w:bCs/>
          <w:sz w:val="24"/>
          <w:lang w:val="fr-FR"/>
        </w:rPr>
        <w:t xml:space="preserve"/>
      </w:r>
      <w:r w:rsidR="00A57B7B">
        <w:rPr>
          <w:b/>
          <w:bCs/>
          <w:sz w:val="24"/>
          <w:vertAlign w:val="superscript"/>
          <w:lang w:val="fr-FR"/>
        </w:rPr>
        <w:t/>
      </w:r>
      <w:r w:rsidRPr="00855E8D">
        <w:rPr>
          <w:b/>
          <w:bCs/>
          <w:sz w:val="24"/>
          <w:lang w:val="fr-FR"/>
        </w:rPr>
        <w:t/>
      </w:r>
      <w:r w:rsidR="00A57B7B">
        <w:rPr>
          <w:b/>
          <w:bCs/>
          <w:sz w:val="24"/>
          <w:vertAlign w:val="superscript"/>
          <w:lang w:val="fr-FR"/>
        </w:rPr>
        <w:t/>
      </w:r>
      <w:r w:rsidRPr="00855E8D">
        <w:rPr>
          <w:b/>
          <w:bCs/>
          <w:sz w:val="24"/>
          <w:lang w:val="fr-FR"/>
        </w:rPr>
        <w:t/>
      </w:r>
      <w:r>
        <w:rPr>
          <w:b/>
          <w:bCs/>
          <w:sz w:val="24"/>
          <w:lang w:val="fr-FR"/>
        </w:rPr>
        <w:t xml:space="preserve"/>
      </w:r>
      <w:r w:rsidR="00EB184E" w:rsidRPr="00F41F74">
        <w:rPr>
          <w:b/>
          <w:bCs/>
          <w:sz w:val="24"/>
          <w:lang w:val="fr-FR"/>
        </w:rPr>
        <w:t/>
      </w:r>
      <w:r w:rsidR="00A57B7B">
        <w:rPr>
          <w:b/>
          <w:bCs/>
          <w:sz w:val="24"/>
          <w:vertAlign w:val="superscript"/>
          <w:lang w:val="fr-FR"/>
        </w:rPr>
        <w:t/>
      </w:r>
      <w:r w:rsidR="000466BD" w:rsidRPr="00F41F74">
        <w:rPr>
          <w:b/>
          <w:bCs/>
          <w:sz w:val="24"/>
          <w:lang w:val="fr-FR"/>
        </w:rPr>
        <w:t/>
      </w:r>
    </w:p>
    <w:p w14:paraId="6AB62CEC" w14:textId="6A161750" w:rsidR="00EB184E" w:rsidRDefault="000466BD" w:rsidP="00F41F74">
      <w:pPr>
        <w:spacing w:before="240" w:after="240" w:line="240" w:lineRule="auto"/>
        <w:jc w:val="center"/>
        <w:rPr>
          <w:b/>
          <w:bCs/>
          <w:sz w:val="24"/>
        </w:rPr>
      </w:pPr>
      <w:r w:rsidRPr="00F41F74">
        <w:rPr>
          <w:b/>
          <w:bCs/>
          <w:sz w:val="24"/>
          <w:vertAlign w:val="superscript"/>
        </w:rPr>
        <w:t/>
      </w:r>
      <w:r w:rsidRPr="00F41F74">
        <w:rPr>
          <w:b/>
          <w:bCs/>
          <w:sz w:val="24"/>
        </w:rPr>
        <w:t xml:space="preserve"/>
      </w:r>
      <w:r w:rsidR="00F9295F">
        <w:rPr>
          <w:b/>
          <w:bCs/>
          <w:sz w:val="24"/>
        </w:rPr>
        <w:t/>
      </w:r>
      <w:r w:rsidRPr="00F41F74">
        <w:rPr>
          <w:b/>
          <w:bCs/>
          <w:sz w:val="24"/>
        </w:rPr>
        <w:t xml:space="preserve"/>
      </w:r>
      <w:r w:rsidR="00925F07">
        <w:rPr>
          <w:b/>
          <w:bCs/>
          <w:sz w:val="24"/>
        </w:rPr>
        <w:t/>
      </w:r>
      <w:r w:rsidRPr="00F41F74">
        <w:rPr>
          <w:b/>
          <w:bCs/>
          <w:sz w:val="24"/>
        </w:rPr>
        <w:t xml:space="preserve"/>
      </w:r>
      <w:r w:rsidR="00F9295F" w:rsidRPr="00F9295F">
        <w:rPr>
          <w:b/>
          <w:bCs/>
          <w:sz w:val="24"/>
        </w:rPr>
        <w:t/>
      </w:r>
      <w:r w:rsidR="00F9295F">
        <w:rPr>
          <w:b/>
          <w:bCs/>
          <w:sz w:val="24"/>
        </w:rPr>
        <w:t/>
      </w:r>
    </w:p>
    <w:p w14:paraId="1D8C1D9F" w14:textId="77777777" w:rsidR="00A57B7B" w:rsidRPr="00F41F74" w:rsidRDefault="00A57B7B" w:rsidP="00A57B7B">
      <w:pPr>
        <w:spacing w:before="240" w:after="240" w:line="240" w:lineRule="auto"/>
        <w:jc w:val="center"/>
        <w:rPr>
          <w:b/>
          <w:bCs/>
          <w:sz w:val="24"/>
        </w:rPr>
      </w:pPr>
      <w:r w:rsidRPr="00F41F74">
        <w:rPr>
          <w:b/>
          <w:bCs/>
          <w:sz w:val="24"/>
          <w:vertAlign w:val="superscript"/>
        </w:rPr>
        <w:t/>
      </w:r>
      <w:r>
        <w:rPr>
          <w:b/>
          <w:bCs/>
          <w:sz w:val="24"/>
        </w:rPr>
        <w:t/>
      </w:r>
      <w:r w:rsidRPr="00F41F74">
        <w:rPr>
          <w:b/>
          <w:bCs/>
          <w:sz w:val="24"/>
        </w:rPr>
        <w:t xml:space="preserve"/>
      </w:r>
      <w:r w:rsidRPr="00D56A7D">
        <w:rPr>
          <w:b/>
          <w:bCs/>
          <w:sz w:val="24"/>
        </w:rPr>
        <w:t xml:space="preserve"/>
      </w:r>
      <w:proofErr w:type="spellStart"/>
      <w:r w:rsidRPr="00D56A7D">
        <w:rPr>
          <w:b/>
          <w:bCs/>
          <w:sz w:val="24"/>
        </w:rPr>
        <w:t/>
      </w:r>
      <w:proofErr w:type="spellEnd"/>
      <w:r w:rsidRPr="00D56A7D">
        <w:rPr>
          <w:b/>
          <w:bCs/>
          <w:sz w:val="24"/>
        </w:rPr>
        <w:t xml:space="preserve"/>
      </w:r>
      <w:r>
        <w:rPr>
          <w:b/>
          <w:bCs/>
          <w:sz w:val="24"/>
        </w:rPr>
        <w:t/>
      </w:r>
    </w:p>
    <w:p w14:paraId="6C895544" w14:textId="2C3AF58A" w:rsidR="00A57B7B" w:rsidRDefault="00A57B7B" w:rsidP="00F41F74">
      <w:pPr>
        <w:spacing w:before="240" w:after="240" w:line="240" w:lineRule="auto"/>
        <w:jc w:val="center"/>
        <w:rPr>
          <w:b/>
          <w:bCs/>
          <w:sz w:val="24"/>
        </w:rPr>
      </w:pPr>
      <w:r>
        <w:rPr>
          <w:b/>
          <w:bCs/>
          <w:sz w:val="24"/>
          <w:vertAlign w:val="superscript"/>
        </w:rPr>
        <w:t/>
      </w:r>
      <w:r w:rsidRPr="00F9295F">
        <w:rPr>
          <w:b/>
          <w:bCs/>
          <w:sz w:val="24"/>
        </w:rPr>
        <w:t/>
      </w:r>
      <w:r>
        <w:rPr>
          <w:b/>
          <w:bCs/>
          <w:sz w:val="24"/>
        </w:rPr>
        <w:t/>
      </w:r>
    </w:p>
    <w:p w14:paraId="7C0DD855" w14:textId="7970AE56" w:rsidR="000466BD" w:rsidRDefault="00A57B7B" w:rsidP="00F41F74">
      <w:pPr>
        <w:spacing w:before="240" w:after="240" w:line="240" w:lineRule="auto"/>
        <w:jc w:val="center"/>
        <w:rPr>
          <w:b/>
          <w:bCs/>
          <w:sz w:val="24"/>
        </w:rPr>
      </w:pPr>
      <w:r>
        <w:rPr>
          <w:b/>
          <w:bCs/>
          <w:sz w:val="24"/>
          <w:vertAlign w:val="superscript"/>
        </w:rPr>
        <w:t/>
      </w:r>
      <w:r w:rsidR="00D56A7D" w:rsidRPr="00D56A7D">
        <w:rPr>
          <w:b/>
          <w:bCs/>
          <w:sz w:val="24"/>
        </w:rPr>
        <w:t/>
      </w:r>
      <w:r w:rsidR="00D56A7D">
        <w:rPr>
          <w:b/>
          <w:bCs/>
          <w:sz w:val="24"/>
        </w:rPr>
        <w:t xml:space="preserve"/>
      </w:r>
    </w:p>
    <w:p w14:paraId="4B35BCD2" w14:textId="278D7782" w:rsidR="00D56A7D" w:rsidRPr="00F41F74" w:rsidRDefault="00A57B7B" w:rsidP="00F41F74">
      <w:pPr>
        <w:spacing w:before="240" w:after="240" w:line="240" w:lineRule="auto"/>
        <w:jc w:val="center"/>
        <w:rPr>
          <w:b/>
          <w:bCs/>
          <w:sz w:val="24"/>
        </w:rPr>
      </w:pPr>
      <w:r>
        <w:rPr>
          <w:b/>
          <w:bCs/>
          <w:sz w:val="24"/>
          <w:vertAlign w:val="superscript"/>
        </w:rPr>
        <w:t/>
      </w:r>
      <w:r w:rsidR="00D56A7D" w:rsidRPr="00D56A7D">
        <w:rPr>
          <w:b/>
          <w:bCs/>
          <w:sz w:val="24"/>
        </w:rPr>
        <w:t xml:space="preserve"/>
      </w:r>
      <w:proofErr w:type="spellStart"/>
      <w:r w:rsidR="00D56A7D" w:rsidRPr="00D56A7D">
        <w:rPr>
          <w:b/>
          <w:bCs/>
          <w:sz w:val="24"/>
        </w:rPr>
        <w:t/>
      </w:r>
      <w:proofErr w:type="spellEnd"/>
      <w:r w:rsidR="00D56A7D" w:rsidRPr="00D56A7D">
        <w:rPr>
          <w:b/>
          <w:bCs/>
          <w:sz w:val="24"/>
        </w:rPr>
        <w:t xml:space="preserve"/>
      </w:r>
    </w:p>
    <w:p w14:paraId="1358F4C5" w14:textId="227D5536" w:rsidR="000C736F" w:rsidRPr="00F41F74" w:rsidRDefault="00F41F74" w:rsidP="00F41F74">
      <w:pPr>
        <w:spacing w:before="240" w:after="240" w:line="240" w:lineRule="auto"/>
        <w:jc w:val="center"/>
        <w:rPr>
          <w:b/>
          <w:bCs/>
          <w:sz w:val="24"/>
        </w:rPr>
      </w:pPr>
      <w:r>
        <w:rPr>
          <w:b/>
          <w:bCs/>
          <w:sz w:val="24"/>
        </w:rPr>
        <w:t/>
      </w:r>
      <w:r w:rsidR="000C736F" w:rsidRPr="00F41F74">
        <w:rPr>
          <w:b/>
          <w:bCs/>
          <w:sz w:val="24"/>
        </w:rPr>
        <w:t/>
      </w:r>
    </w:p>
    <w:p w14:paraId="1581C237" w14:textId="28F2CAEC" w:rsidR="000C736F" w:rsidRPr="00E03A92" w:rsidRDefault="00E03A92" w:rsidP="00F41F74">
      <w:pPr>
        <w:spacing w:before="240" w:after="240" w:line="240" w:lineRule="auto"/>
        <w:jc w:val="both"/>
        <w:rPr>
          <w:b/>
          <w:bCs/>
          <w:sz w:val="28"/>
          <w:szCs w:val="28"/>
        </w:rPr>
      </w:pPr>
      <w:r w:rsidRPr="00E03A92">
        <w:rPr>
          <w:b/>
          <w:bCs/>
          <w:sz w:val="28"/>
          <w:szCs w:val="28"/>
        </w:rPr>
        <w:t>ABSTRACT</w:t>
      </w:r>
    </w:p>
    <w:p w14:paraId="7DE74DAE" w14:textId="40FB0116" w:rsidR="000C736F" w:rsidRPr="00F41F74" w:rsidRDefault="00D56A7D" w:rsidP="00F41F74">
      <w:pPr>
        <w:spacing w:before="240" w:after="240" w:line="240" w:lineRule="auto"/>
        <w:jc w:val="both"/>
        <w:rPr>
          <w:sz w:val="24"/>
        </w:rPr>
      </w:pPr>
      <w:r w:rsidRPr="00D56A7D">
        <w:rPr>
          <w:sz w:val="24"/>
        </w:rPr>
        <w:t xml:space="preserve">Super-intensive shrimp farming activities in the Mekong Delta </w:t>
      </w:r>
      <w:r w:rsidR="00D0513E">
        <w:rPr>
          <w:sz w:val="24"/>
        </w:rPr>
        <w:t xml:space="preserve">of Vietnam </w:t>
      </w:r>
      <w:r w:rsidRPr="00D56A7D">
        <w:rPr>
          <w:sz w:val="24"/>
        </w:rPr>
        <w:t xml:space="preserve">generate substantial waste loads that threaten coastal environments. This review paper systemizes eco-circular technologies aiming toward zero-discharge and resource recovery from aquaculture wastewater and sludge, drawing from reputable domestic and international scientific publications. For wastewater treatment and recirculation, consolidated data indicate that integrating biological settling ponds optimized for hydraulic retention time ~ 13.4 days, </w:t>
      </w:r>
      <w:proofErr w:type="spellStart"/>
      <w:r w:rsidRPr="00D56A7D">
        <w:rPr>
          <w:sz w:val="24"/>
        </w:rPr>
        <w:t>Biofloc</w:t>
      </w:r>
      <w:proofErr w:type="spellEnd"/>
      <w:r w:rsidRPr="00D56A7D">
        <w:rPr>
          <w:sz w:val="24"/>
        </w:rPr>
        <w:t xml:space="preserve"> technology, ultrafiltration membrane systems, and constructed wetlands efficiently removes 76–94% of organic and nutrient pollutants, cutting effluent discharge from 1,000 m</w:t>
      </w:r>
      <w:r w:rsidRPr="00925F07">
        <w:rPr>
          <w:sz w:val="24"/>
          <w:vertAlign w:val="superscript"/>
        </w:rPr>
        <w:t>3</w:t>
      </w:r>
      <w:r w:rsidRPr="00D56A7D">
        <w:rPr>
          <w:sz w:val="24"/>
        </w:rPr>
        <w:t>/day down to 33 m</w:t>
      </w:r>
      <w:r w:rsidRPr="00925F07">
        <w:rPr>
          <w:sz w:val="24"/>
          <w:vertAlign w:val="superscript"/>
        </w:rPr>
        <w:t>3</w:t>
      </w:r>
      <w:r w:rsidRPr="00D56A7D">
        <w:rPr>
          <w:sz w:val="24"/>
        </w:rPr>
        <w:t xml:space="preserve">/day. For waste sludge recovery, compiled empirical studies demonstrate that anaerobic co-digestion of shrimp sludge with sugarcane bagasse boosts methane yields by up to 53% at an optimal mixing frequency of 1 time/day. Additionally, aerobic co-composting of shrimp sludge with coconut coir pith (at a </w:t>
      </w:r>
      <w:proofErr w:type="gramStart"/>
      <w:r w:rsidRPr="00D56A7D">
        <w:rPr>
          <w:sz w:val="24"/>
        </w:rPr>
        <w:t>7 :</w:t>
      </w:r>
      <w:proofErr w:type="gramEnd"/>
      <w:r w:rsidRPr="00D56A7D">
        <w:rPr>
          <w:sz w:val="24"/>
        </w:rPr>
        <w:t xml:space="preserve"> 3 ratio) inoculated with an EM consortium over 65 days produces a mature organic fertilizer with an ideal C/N ratio (~ 19.7), which strongly supports </w:t>
      </w:r>
      <w:proofErr w:type="spellStart"/>
      <w:r w:rsidRPr="00D56A7D">
        <w:rPr>
          <w:i/>
          <w:iCs/>
          <w:sz w:val="24"/>
        </w:rPr>
        <w:t>Lactuca</w:t>
      </w:r>
      <w:proofErr w:type="spellEnd"/>
      <w:r w:rsidRPr="00D56A7D">
        <w:rPr>
          <w:i/>
          <w:iCs/>
          <w:sz w:val="24"/>
        </w:rPr>
        <w:t xml:space="preserve"> sativa</w:t>
      </w:r>
      <w:r w:rsidRPr="00D56A7D">
        <w:rPr>
          <w:sz w:val="24"/>
        </w:rPr>
        <w:t xml:space="preserve"> growth, though the residual electrical conductivity (EC ~ 12 mS/cm) requires careful monitoring. Systematized LCA and LCC analyses confirm the outstanding ecological sustainability and economic efficiency of this closed-loop configuration, yielding a net residual value of 32.22 VND/m</w:t>
      </w:r>
      <w:r w:rsidRPr="00D56A7D">
        <w:rPr>
          <w:sz w:val="24"/>
          <w:vertAlign w:val="superscript"/>
        </w:rPr>
        <w:t>3</w:t>
      </w:r>
      <w:r w:rsidRPr="00D56A7D">
        <w:rPr>
          <w:sz w:val="24"/>
        </w:rPr>
        <w:t xml:space="preserve"> of recirculated water and 786.67 VND/kg of compost. Ultimately, linking smallholders through agricultural cooperative models is the key strategic recommendation to overcome capital expenditure and land availability barriers.</w:t>
      </w:r>
    </w:p>
    <w:p w14:paraId="393DAE70" w14:textId="7858DAD2" w:rsidR="000C736F" w:rsidRDefault="000C736F" w:rsidP="00F41F74">
      <w:pPr>
        <w:spacing w:before="240" w:after="240" w:line="240" w:lineRule="auto"/>
        <w:jc w:val="both"/>
        <w:rPr>
          <w:sz w:val="24"/>
        </w:rPr>
      </w:pPr>
      <w:r w:rsidRPr="00F41F74">
        <w:rPr>
          <w:b/>
          <w:bCs/>
          <w:sz w:val="24"/>
        </w:rPr>
        <w:t xml:space="preserve">Keywords: </w:t>
      </w:r>
      <w:r w:rsidR="00D56A7D" w:rsidRPr="00D56A7D">
        <w:rPr>
          <w:sz w:val="24"/>
        </w:rPr>
        <w:t>life cycle assessment, resource recovery, shrimp pond waste sludge, super-intensive shrimp farming, water recirculation</w:t>
      </w:r>
    </w:p>
    <w:p w14:paraId="03CFA10E" w14:textId="77777777" w:rsidR="00B55E1C" w:rsidRPr="00F41F74" w:rsidRDefault="00B55E1C" w:rsidP="00F41F74">
      <w:pPr>
        <w:spacing w:before="240" w:after="240" w:line="240" w:lineRule="auto"/>
        <w:jc w:val="both"/>
        <w:rPr>
          <w:sz w:val="24"/>
        </w:rPr>
      </w:pPr>
    </w:p>
    <w:p w14:paraId="79B54385" w14:textId="30E7CB2A" w:rsidR="000C736F" w:rsidRPr="00E03A92" w:rsidRDefault="000C736F" w:rsidP="00F41F74">
      <w:pPr>
        <w:pStyle w:val="ListParagraph"/>
        <w:numPr>
          <w:ilvl w:val="0"/>
          <w:numId w:val="1"/>
        </w:numPr>
        <w:spacing w:before="240" w:after="240" w:line="240" w:lineRule="auto"/>
        <w:jc w:val="both"/>
        <w:rPr>
          <w:b/>
          <w:bCs/>
          <w:sz w:val="28"/>
          <w:szCs w:val="28"/>
        </w:rPr>
      </w:pPr>
      <w:r w:rsidRPr="00E03A92">
        <w:rPr>
          <w:b/>
          <w:bCs/>
          <w:sz w:val="28"/>
          <w:szCs w:val="28"/>
        </w:rPr>
        <w:lastRenderedPageBreak/>
        <w:t>INTRODUCTION</w:t>
      </w:r>
    </w:p>
    <w:p w14:paraId="19505DB2" w14:textId="77777777" w:rsidR="00B55E1C" w:rsidRPr="00B55E1C" w:rsidRDefault="00B55E1C" w:rsidP="00B55E1C">
      <w:pPr>
        <w:spacing w:before="240" w:after="240" w:line="240" w:lineRule="auto"/>
        <w:jc w:val="both"/>
        <w:rPr>
          <w:sz w:val="24"/>
        </w:rPr>
      </w:pPr>
      <w:r w:rsidRPr="00B55E1C">
        <w:rPr>
          <w:sz w:val="24"/>
        </w:rPr>
        <w:t>The aquaculture sector, particularly brackish water shrimp farming, serves as one of the strategic pillars of Vietnam’s agricultural economy. In 2025, Vietnam’s total shrimp export turnover reached USD 4.6 billion, a 19% increase compared to 2024, marking an all-time high (VASEP, 2026). To meet export targets and optimize profit per unit area, the shrimp industry is undergoing a profound paradigm shift from extensive and semi-intensive methods to super-intensive shrimp farming (SISF) models, particularly for the white-leg shrimp (</w:t>
      </w:r>
      <w:proofErr w:type="spellStart"/>
      <w:r w:rsidRPr="00B55E1C">
        <w:rPr>
          <w:i/>
          <w:iCs/>
          <w:sz w:val="24"/>
        </w:rPr>
        <w:t>Litopenaeus</w:t>
      </w:r>
      <w:proofErr w:type="spellEnd"/>
      <w:r w:rsidRPr="00B55E1C">
        <w:rPr>
          <w:i/>
          <w:iCs/>
          <w:sz w:val="24"/>
        </w:rPr>
        <w:t xml:space="preserve"> </w:t>
      </w:r>
      <w:proofErr w:type="spellStart"/>
      <w:r w:rsidRPr="00B55E1C">
        <w:rPr>
          <w:i/>
          <w:iCs/>
          <w:sz w:val="24"/>
        </w:rPr>
        <w:t>vannamei</w:t>
      </w:r>
      <w:proofErr w:type="spellEnd"/>
      <w:r w:rsidRPr="00B55E1C">
        <w:rPr>
          <w:sz w:val="24"/>
        </w:rPr>
        <w:t>) (Ngan et al., 2025; Thang, 2023).</w:t>
      </w:r>
    </w:p>
    <w:p w14:paraId="3B272BD6" w14:textId="77777777" w:rsidR="00B55E1C" w:rsidRPr="00B55E1C" w:rsidRDefault="00B55E1C" w:rsidP="00B55E1C">
      <w:pPr>
        <w:spacing w:before="240" w:after="240" w:line="240" w:lineRule="auto"/>
        <w:jc w:val="both"/>
        <w:rPr>
          <w:sz w:val="24"/>
        </w:rPr>
      </w:pPr>
      <w:r w:rsidRPr="00B55E1C">
        <w:rPr>
          <w:sz w:val="24"/>
        </w:rPr>
        <w:t>In contrast to traditional models that yield only 0.8–1.5 tons/ha, the SISF model operates at ultra-high stocking densities ranging from 150 to over 300 individuals/m</w:t>
      </w:r>
      <w:r w:rsidRPr="00925F07">
        <w:rPr>
          <w:sz w:val="24"/>
          <w:vertAlign w:val="superscript"/>
        </w:rPr>
        <w:t>3</w:t>
      </w:r>
      <w:r w:rsidRPr="00B55E1C">
        <w:rPr>
          <w:sz w:val="24"/>
        </w:rPr>
        <w:t>. This boosts productivity to 10–15 tons/ha, and even reaches 25–70 tons/ha per crop in greenhouse-enclosed farming systems (Nguyen et al., 2019; Nguyen, 2021). However, this extreme escalation in stocking density and yield poses a critical dilemma regarding the environmental carrying capacity of coastal ecosystems.</w:t>
      </w:r>
    </w:p>
    <w:p w14:paraId="68C99718" w14:textId="77777777" w:rsidR="00B55E1C" w:rsidRPr="00B55E1C" w:rsidRDefault="00B55E1C" w:rsidP="00B55E1C">
      <w:pPr>
        <w:spacing w:before="240" w:after="240" w:line="240" w:lineRule="auto"/>
        <w:jc w:val="both"/>
        <w:rPr>
          <w:sz w:val="24"/>
        </w:rPr>
      </w:pPr>
      <w:r w:rsidRPr="00B55E1C">
        <w:rPr>
          <w:sz w:val="24"/>
        </w:rPr>
        <w:t>According to nutrient dynamics studies, shrimp assimilate only a fraction of the provided nutrients. Approximately 26.3% of total nitrogen (TN), 12.2% of total phosphorus (TP), and 17.5% of total organic carbon (TOC) are retained within the shrimp biomass; the remainder (over 73% of TN and 87% of TP) is discharged into the water column or accumulates as bottom sludge (Thao et al., 2024; Trang et al., 2022). Consequently, the SISF model generates massive volumes of two primary waste streams:</w:t>
      </w:r>
    </w:p>
    <w:p w14:paraId="18B65235" w14:textId="19BC67F9" w:rsidR="00B55E1C" w:rsidRPr="002A7D63" w:rsidRDefault="00B55E1C" w:rsidP="002A7D63">
      <w:pPr>
        <w:pStyle w:val="ListParagraph"/>
        <w:numPr>
          <w:ilvl w:val="0"/>
          <w:numId w:val="23"/>
        </w:numPr>
        <w:spacing w:before="240" w:after="240" w:line="240" w:lineRule="auto"/>
        <w:jc w:val="both"/>
        <w:rPr>
          <w:sz w:val="24"/>
        </w:rPr>
      </w:pPr>
      <w:r w:rsidRPr="002A7D63">
        <w:rPr>
          <w:sz w:val="24"/>
        </w:rPr>
        <w:t>Wastewater: To maintain water quality at high stocking densities, SISF farms must implement continuous water exchange regimes ranging from 10% to 30% of the total pond volume daily, combined with bottom siphoning (Tien et al., 2024). The discharged wastewater carries a heavy organic pollution load. Parameters such as chemical oxygen demand (COD), biochemical oxygen demand (BOD), total suspended solids (TSS), and nitrogenous compounds NH</w:t>
      </w:r>
      <w:r w:rsidRPr="002A7D63">
        <w:rPr>
          <w:sz w:val="24"/>
          <w:vertAlign w:val="subscript"/>
        </w:rPr>
        <w:t>4</w:t>
      </w:r>
      <w:r w:rsidRPr="002A7D63">
        <w:rPr>
          <w:sz w:val="24"/>
          <w:vertAlign w:val="superscript"/>
        </w:rPr>
        <w:t>+</w:t>
      </w:r>
      <w:r w:rsidRPr="002A7D63">
        <w:rPr>
          <w:sz w:val="24"/>
        </w:rPr>
        <w:t>, NO</w:t>
      </w:r>
      <w:r w:rsidRPr="002A7D63">
        <w:rPr>
          <w:sz w:val="24"/>
          <w:vertAlign w:val="subscript"/>
        </w:rPr>
        <w:t>2</w:t>
      </w:r>
      <w:r w:rsidRPr="002A7D63">
        <w:rPr>
          <w:sz w:val="24"/>
          <w:vertAlign w:val="superscript"/>
        </w:rPr>
        <w:t>-</w:t>
      </w:r>
      <w:r w:rsidRPr="002A7D63">
        <w:rPr>
          <w:sz w:val="24"/>
        </w:rPr>
        <w:t>) frequently exceed National technical regulations by multiple folds (Ton et al., 2023; Tran et al., 2023).</w:t>
      </w:r>
    </w:p>
    <w:p w14:paraId="257C709B" w14:textId="0F2CF420" w:rsidR="00B55E1C" w:rsidRPr="002A7D63" w:rsidRDefault="00B55E1C" w:rsidP="002A7D63">
      <w:pPr>
        <w:pStyle w:val="ListParagraph"/>
        <w:numPr>
          <w:ilvl w:val="0"/>
          <w:numId w:val="23"/>
        </w:numPr>
        <w:spacing w:before="240" w:after="240" w:line="240" w:lineRule="auto"/>
        <w:jc w:val="both"/>
        <w:rPr>
          <w:sz w:val="24"/>
        </w:rPr>
      </w:pPr>
      <w:r w:rsidRPr="002A7D63">
        <w:rPr>
          <w:sz w:val="24"/>
        </w:rPr>
        <w:t>Waste sludge: It is estimated that the amount of sludge generated from super-intensive shrimp ponds can reach 123–151 tons/ha per crop (Tri et al., 2022). This consists of dense, low-to-moderately saline sludge (1.28–4.19‰) that is highly enriched with organic matter (11.1–23.2%) and harbors a massive microbial load (An et al., 2024; Thang, 2023).</w:t>
      </w:r>
    </w:p>
    <w:p w14:paraId="31F8AA60" w14:textId="77777777" w:rsidR="00B55E1C" w:rsidRPr="00B55E1C" w:rsidRDefault="00B55E1C" w:rsidP="00B55E1C">
      <w:pPr>
        <w:spacing w:before="240" w:after="240" w:line="240" w:lineRule="auto"/>
        <w:jc w:val="both"/>
        <w:rPr>
          <w:sz w:val="24"/>
        </w:rPr>
      </w:pPr>
      <w:r w:rsidRPr="00B55E1C">
        <w:rPr>
          <w:sz w:val="24"/>
        </w:rPr>
        <w:t xml:space="preserve">The direct discharge of untreated wastewater and sludge into canals and rivers is the root cause of eutrophication, dissolved oxygen depletion, and proliferation of pathogenic microbial populations. The transmission of Early Mortality Syndrome (EMS) caused by </w:t>
      </w:r>
      <w:r w:rsidRPr="002A7D63">
        <w:rPr>
          <w:i/>
          <w:iCs/>
          <w:sz w:val="24"/>
        </w:rPr>
        <w:t xml:space="preserve">Vibrio </w:t>
      </w:r>
      <w:proofErr w:type="spellStart"/>
      <w:proofErr w:type="gramStart"/>
      <w:r w:rsidRPr="002A7D63">
        <w:rPr>
          <w:i/>
          <w:iCs/>
          <w:sz w:val="24"/>
        </w:rPr>
        <w:t>parapaemolyticus</w:t>
      </w:r>
      <w:proofErr w:type="spellEnd"/>
      <w:proofErr w:type="gramEnd"/>
      <w:r w:rsidRPr="00B55E1C">
        <w:rPr>
          <w:sz w:val="24"/>
        </w:rPr>
        <w:t xml:space="preserve"> or White Spot Disease (WSD) has caused, and continues to cause, severe economic losses to the shrimp industry on a global scale (Hai et al., 2020). Furthermore, under the severe impacts of climate change (salinity intrusion, temperature fluctuations), the vulnerability of open-culture systems has become increasingly evident (Nguyen et al., 2019).</w:t>
      </w:r>
    </w:p>
    <w:p w14:paraId="42F654C9" w14:textId="373840CF" w:rsidR="00B55E1C" w:rsidRPr="00B55E1C" w:rsidRDefault="00B55E1C" w:rsidP="00B55E1C">
      <w:pPr>
        <w:spacing w:before="240" w:after="240" w:line="240" w:lineRule="auto"/>
        <w:jc w:val="both"/>
        <w:rPr>
          <w:sz w:val="24"/>
        </w:rPr>
      </w:pPr>
      <w:r w:rsidRPr="00B55E1C">
        <w:rPr>
          <w:sz w:val="24"/>
        </w:rPr>
        <w:t>Driven by these practical constraints, this review article aims to systemize and comprehensively evaluate the application potential of the circular economy in super-intensive shrimp farming systems. Three core objectives are targeted:</w:t>
      </w:r>
      <w:r w:rsidR="002A7D63">
        <w:rPr>
          <w:sz w:val="24"/>
        </w:rPr>
        <w:t xml:space="preserve"> (</w:t>
      </w:r>
      <w:proofErr w:type="spellStart"/>
      <w:r w:rsidR="002A7D63">
        <w:rPr>
          <w:sz w:val="24"/>
        </w:rPr>
        <w:t>i</w:t>
      </w:r>
      <w:proofErr w:type="spellEnd"/>
      <w:r w:rsidR="002A7D63">
        <w:rPr>
          <w:sz w:val="24"/>
        </w:rPr>
        <w:t xml:space="preserve">) </w:t>
      </w:r>
      <w:r w:rsidRPr="00B55E1C">
        <w:rPr>
          <w:sz w:val="24"/>
        </w:rPr>
        <w:t>To analyze nutrient dynamics and material flows in depth to elucidate the nature of pollutants in the SISF model</w:t>
      </w:r>
      <w:r w:rsidR="002A7D63">
        <w:rPr>
          <w:sz w:val="24"/>
        </w:rPr>
        <w:t xml:space="preserve">; (ii) </w:t>
      </w:r>
      <w:r w:rsidRPr="00B55E1C">
        <w:rPr>
          <w:sz w:val="24"/>
        </w:rPr>
        <w:t>To synthesize and compare the performance of modern ecological technologies in treating and recycling shrimp pond wastewater and sludge</w:t>
      </w:r>
      <w:r w:rsidR="002A7D63">
        <w:rPr>
          <w:sz w:val="24"/>
        </w:rPr>
        <w:t xml:space="preserve">; (iii) </w:t>
      </w:r>
      <w:r w:rsidRPr="00B55E1C">
        <w:rPr>
          <w:sz w:val="24"/>
        </w:rPr>
        <w:t xml:space="preserve">To provide a comprehensive insight into the feasibility </w:t>
      </w:r>
      <w:r w:rsidRPr="00B55E1C">
        <w:rPr>
          <w:sz w:val="24"/>
        </w:rPr>
        <w:lastRenderedPageBreak/>
        <w:t>of the circular model using standardized international assessment tools such as Life Cycle Assessment (LCA), Life Cycle Costing (LCC), and energy efficiency analysis.</w:t>
      </w:r>
    </w:p>
    <w:p w14:paraId="35CCACBD" w14:textId="7F1F8C5D" w:rsidR="000C736F" w:rsidRPr="00F41F74" w:rsidRDefault="00B55E1C" w:rsidP="00B55E1C">
      <w:pPr>
        <w:spacing w:before="240" w:after="240" w:line="240" w:lineRule="auto"/>
        <w:jc w:val="both"/>
        <w:rPr>
          <w:sz w:val="24"/>
        </w:rPr>
      </w:pPr>
      <w:r w:rsidRPr="00B55E1C">
        <w:rPr>
          <w:sz w:val="24"/>
        </w:rPr>
        <w:t>Through these objectives, this review is expected to provide solid scientific evidence for researchers, shrimp farmers, and policymakers to plan and develop the Mekong Delta (MD) shrimp industry sustainably, enhancing climate resilience and meeting the stringent standards of the global export market.</w:t>
      </w:r>
      <w:r w:rsidR="000C736F" w:rsidRPr="00F41F74">
        <w:rPr>
          <w:sz w:val="24"/>
        </w:rPr>
        <w:t xml:space="preserve"> </w:t>
      </w:r>
    </w:p>
    <w:p w14:paraId="37BFA441" w14:textId="754F3FCC" w:rsidR="00B6608E" w:rsidRPr="00177462" w:rsidRDefault="002A7D63" w:rsidP="00F41F74">
      <w:pPr>
        <w:pStyle w:val="ListParagraph"/>
        <w:numPr>
          <w:ilvl w:val="0"/>
          <w:numId w:val="1"/>
        </w:numPr>
        <w:spacing w:before="240" w:after="240" w:line="240" w:lineRule="auto"/>
        <w:jc w:val="both"/>
        <w:rPr>
          <w:rFonts w:eastAsia="Times New Roman"/>
          <w:sz w:val="28"/>
          <w:szCs w:val="28"/>
        </w:rPr>
      </w:pPr>
      <w:r w:rsidRPr="002A7D63">
        <w:rPr>
          <w:rFonts w:eastAsia="Times New Roman"/>
          <w:b/>
          <w:bCs/>
          <w:sz w:val="28"/>
          <w:szCs w:val="28"/>
        </w:rPr>
        <w:t>NUTRIENT DYNAMICS AND WASTE CHARACTERISTICS IN SISF SYSTEMS</w:t>
      </w:r>
    </w:p>
    <w:p w14:paraId="66E4B9DE" w14:textId="5FFC228C" w:rsidR="00B6608E" w:rsidRPr="00F41F74" w:rsidRDefault="007B0C76" w:rsidP="00F41F74">
      <w:pPr>
        <w:spacing w:before="240" w:after="240" w:line="240" w:lineRule="auto"/>
        <w:outlineLvl w:val="2"/>
        <w:rPr>
          <w:rFonts w:eastAsia="Times New Roman"/>
          <w:b/>
          <w:bCs/>
          <w:sz w:val="24"/>
        </w:rPr>
      </w:pPr>
      <w:r w:rsidRPr="00F41F74">
        <w:rPr>
          <w:rFonts w:eastAsia="Times New Roman"/>
          <w:b/>
          <w:bCs/>
          <w:sz w:val="24"/>
        </w:rPr>
        <w:t>2.</w:t>
      </w:r>
      <w:r w:rsidR="00B6608E" w:rsidRPr="00F41F74">
        <w:rPr>
          <w:rFonts w:eastAsia="Times New Roman"/>
          <w:b/>
          <w:bCs/>
          <w:sz w:val="24"/>
        </w:rPr>
        <w:t xml:space="preserve">1 </w:t>
      </w:r>
      <w:r w:rsidR="002A7D63" w:rsidRPr="002A7D63">
        <w:rPr>
          <w:rFonts w:eastAsia="Times New Roman"/>
          <w:b/>
          <w:bCs/>
          <w:sz w:val="24"/>
        </w:rPr>
        <w:t>Nutrient dynamics and mass balance</w:t>
      </w:r>
    </w:p>
    <w:p w14:paraId="36CA19EE" w14:textId="77777777" w:rsidR="002A7D63" w:rsidRPr="002A7D63" w:rsidRDefault="002A7D63" w:rsidP="002A7D63">
      <w:pPr>
        <w:spacing w:before="240" w:after="240" w:line="240" w:lineRule="auto"/>
        <w:jc w:val="both"/>
        <w:rPr>
          <w:rFonts w:eastAsia="Times New Roman"/>
          <w:sz w:val="24"/>
        </w:rPr>
      </w:pPr>
      <w:r w:rsidRPr="002A7D63">
        <w:rPr>
          <w:rFonts w:eastAsia="Times New Roman"/>
          <w:sz w:val="24"/>
        </w:rPr>
        <w:t>The key to evaluating the sustainability and environmental carrying capacity of super-intensive shrimp farming systems lies in the principle of mass balance. Escalating culture intensity demands massive feed inputs, resulting in a corresponding increase in nutrient loads within the effluent streams. In these systems, waste sludge and wastewater contain highly elevated nutrient concentrations, originating primarily from unconsumed feed biomass and shrimp feces (Nguyen, 2025).</w:t>
      </w:r>
    </w:p>
    <w:p w14:paraId="0251975B" w14:textId="77777777" w:rsidR="002A7D63" w:rsidRPr="002A7D63" w:rsidRDefault="002A7D63" w:rsidP="002A7D63">
      <w:pPr>
        <w:spacing w:before="240" w:after="240" w:line="240" w:lineRule="auto"/>
        <w:jc w:val="both"/>
        <w:rPr>
          <w:rFonts w:eastAsia="Times New Roman"/>
          <w:sz w:val="24"/>
        </w:rPr>
      </w:pPr>
      <w:r w:rsidRPr="002A7D63">
        <w:rPr>
          <w:rFonts w:eastAsia="Times New Roman"/>
          <w:sz w:val="24"/>
        </w:rPr>
        <w:t>Nutrient flow analyses reveal that white-leg shrimp exhibit explicit physiological limits regarding feed assimilation. Specifically, only approximately 23% to 30% of the nitrogen ingested via feed is converted into shrimp biomass (Nguyen, 2025). Further detailed analyses regarding the accumulation of other nutrients indicate that the retention rate of TP in shrimp is the lowest, reaching only about 12.2%, whereas the accumulation efficiencies for TN and TOC are 26.3% and 17.5%, respectively (Thao et al., 2024).</w:t>
      </w:r>
    </w:p>
    <w:p w14:paraId="0F283403" w14:textId="77777777" w:rsidR="002A7D63" w:rsidRPr="002A7D63" w:rsidRDefault="002A7D63" w:rsidP="002A7D63">
      <w:pPr>
        <w:spacing w:before="240" w:after="240" w:line="240" w:lineRule="auto"/>
        <w:jc w:val="both"/>
        <w:rPr>
          <w:rFonts w:eastAsia="Times New Roman"/>
          <w:sz w:val="24"/>
        </w:rPr>
      </w:pPr>
      <w:r w:rsidRPr="002A7D63">
        <w:rPr>
          <w:rFonts w:eastAsia="Times New Roman"/>
          <w:sz w:val="24"/>
        </w:rPr>
        <w:t>This substantial disparity in the mass balance implies that most nutrients - approximately 70–77% of nitrogen and nearly 88% of phosphorus - are not absorbed by the shrimp. Instead, they are excreted into the aquatic environment or accumulate as bottom sludge (Thao et al., 2024). If left unmanaged, this surplus nutrient load poses a severe risk of eutrophication and harmful algal blooms in the receiving water bodies (Nguyen, 2025).</w:t>
      </w:r>
    </w:p>
    <w:p w14:paraId="1460022E" w14:textId="77777777" w:rsidR="002A7D63" w:rsidRPr="002A7D63" w:rsidRDefault="002A7D63" w:rsidP="002A7D63">
      <w:pPr>
        <w:spacing w:before="240" w:after="240" w:line="240" w:lineRule="auto"/>
        <w:jc w:val="both"/>
        <w:rPr>
          <w:rFonts w:eastAsia="Times New Roman"/>
          <w:sz w:val="24"/>
        </w:rPr>
      </w:pPr>
      <w:r w:rsidRPr="002A7D63">
        <w:rPr>
          <w:rFonts w:eastAsia="Times New Roman"/>
          <w:sz w:val="24"/>
        </w:rPr>
        <w:t>From a kinetic perspective, nitrogen transformation pathways within shrimp ponds are heavily governed by stocking density, feeding regimes, siphoning frequency, and water exchange rates (Nguyen, 2025). Nitrogen derived from decomposing feed enters the water column as total ammonia nitrogen (TAN), dissolved nitrogen, and nitrites/nitrates (NO</w:t>
      </w:r>
      <w:r w:rsidRPr="00925F07">
        <w:rPr>
          <w:rFonts w:eastAsia="Times New Roman"/>
          <w:sz w:val="24"/>
          <w:vertAlign w:val="subscript"/>
        </w:rPr>
        <w:t>x</w:t>
      </w:r>
      <w:r w:rsidRPr="002A7D63">
        <w:rPr>
          <w:rFonts w:eastAsia="Times New Roman"/>
          <w:sz w:val="24"/>
        </w:rPr>
        <w:t>), while also accumulating in the bottom sludge (Nguyen, 2025). Throughout the culture cycle, the concentrations of TAN, NOx, and dissolved nitrogen exhibit a continuous upward trend (Nguyen, 2025).</w:t>
      </w:r>
    </w:p>
    <w:p w14:paraId="34414286" w14:textId="6D9A9254" w:rsidR="00477291" w:rsidRDefault="002A7D63" w:rsidP="002A7D63">
      <w:pPr>
        <w:spacing w:before="240" w:after="240" w:line="240" w:lineRule="auto"/>
        <w:jc w:val="both"/>
        <w:rPr>
          <w:rFonts w:eastAsia="Times New Roman"/>
          <w:sz w:val="24"/>
        </w:rPr>
      </w:pPr>
      <w:r w:rsidRPr="002A7D63">
        <w:rPr>
          <w:rFonts w:eastAsia="Times New Roman"/>
          <w:sz w:val="24"/>
        </w:rPr>
        <w:t>Controlling the volume and frequency of water exchange plays a decisive role in limiting the overall pollution load. Kinetic simulation scenarios for nitrogen demonstrate that implementing a daily water exchange rate of 50% doubles the TN load discharged into the environment compared to a 20% exchange regime (Nguyen, 2025). Consequently, minimizing water exchange, coupled with optimized feed management, represents an imperative technical solution to mitigate nutrient leakage into the surrounding ecosystem.</w:t>
      </w:r>
    </w:p>
    <w:p w14:paraId="64397EA5" w14:textId="4B45E74C" w:rsidR="002A7D63" w:rsidRPr="00F41F74" w:rsidRDefault="002A7D63" w:rsidP="002A7D63">
      <w:pPr>
        <w:spacing w:before="240" w:after="240" w:line="240" w:lineRule="auto"/>
        <w:jc w:val="both"/>
        <w:outlineLvl w:val="2"/>
        <w:rPr>
          <w:rFonts w:eastAsia="Times New Roman"/>
          <w:b/>
          <w:bCs/>
          <w:sz w:val="24"/>
        </w:rPr>
      </w:pPr>
      <w:r w:rsidRPr="00F41F74">
        <w:rPr>
          <w:rFonts w:eastAsia="Times New Roman"/>
          <w:b/>
          <w:bCs/>
          <w:sz w:val="24"/>
        </w:rPr>
        <w:t xml:space="preserve">2.2 </w:t>
      </w:r>
      <w:r w:rsidRPr="002A7D63">
        <w:rPr>
          <w:rFonts w:eastAsia="Times New Roman"/>
          <w:b/>
          <w:bCs/>
          <w:sz w:val="24"/>
        </w:rPr>
        <w:t>Physicochemical characteristics and pollution loads of SISF effluents</w:t>
      </w:r>
    </w:p>
    <w:p w14:paraId="157F42FF" w14:textId="77777777" w:rsidR="002A7D63" w:rsidRPr="002A7D63" w:rsidRDefault="002A7D63" w:rsidP="002A7D63">
      <w:pPr>
        <w:spacing w:before="240" w:after="240" w:line="240" w:lineRule="auto"/>
        <w:jc w:val="both"/>
        <w:rPr>
          <w:rFonts w:eastAsia="Times New Roman"/>
          <w:sz w:val="24"/>
        </w:rPr>
      </w:pPr>
      <w:r w:rsidRPr="002A7D63">
        <w:rPr>
          <w:rFonts w:eastAsia="Times New Roman"/>
          <w:sz w:val="24"/>
        </w:rPr>
        <w:t xml:space="preserve">The SISF system requires continuous water exchange and bottom siphoning to maintain a viable habitat for shrimp stocked at high densities. This operational process generates two primary effluent streams: daily </w:t>
      </w:r>
      <w:r w:rsidRPr="002A7D63">
        <w:rPr>
          <w:rFonts w:eastAsia="Times New Roman"/>
          <w:sz w:val="24"/>
        </w:rPr>
        <w:lastRenderedPageBreak/>
        <w:t>exchange wastewater and siphon wastewater. The volume of generated effluent is substantial, with an estimated average SISF discharging around 218 m</w:t>
      </w:r>
      <w:r w:rsidRPr="00925F07">
        <w:rPr>
          <w:rFonts w:eastAsia="Times New Roman"/>
          <w:sz w:val="24"/>
          <w:vertAlign w:val="superscript"/>
        </w:rPr>
        <w:t>3</w:t>
      </w:r>
      <w:r w:rsidRPr="002A7D63">
        <w:rPr>
          <w:rFonts w:eastAsia="Times New Roman"/>
          <w:sz w:val="24"/>
        </w:rPr>
        <w:t>/ha/day (Nam et al., 2022).</w:t>
      </w:r>
    </w:p>
    <w:p w14:paraId="0CBC6E04" w14:textId="4E39DD71" w:rsidR="002A7D63" w:rsidRPr="00F41F74" w:rsidRDefault="002A7D63" w:rsidP="002A7D63">
      <w:pPr>
        <w:spacing w:before="240" w:after="240" w:line="240" w:lineRule="auto"/>
        <w:jc w:val="both"/>
        <w:rPr>
          <w:rFonts w:eastAsia="Times New Roman"/>
          <w:sz w:val="24"/>
        </w:rPr>
      </w:pPr>
      <w:r w:rsidRPr="002A7D63">
        <w:rPr>
          <w:rFonts w:eastAsia="Times New Roman"/>
          <w:sz w:val="24"/>
        </w:rPr>
        <w:t>The organic and nutrient pollution profiles of SISF effluents far exceed those of traditional aquaculture models, exerting immense pressure on natural receiving water bodies (Figure 1).</w:t>
      </w:r>
    </w:p>
    <w:p w14:paraId="5DEC97A6" w14:textId="4244D511" w:rsidR="002A7D63" w:rsidRDefault="003D7789" w:rsidP="003D7789">
      <w:pPr>
        <w:spacing w:before="240" w:after="240" w:line="240" w:lineRule="auto"/>
        <w:jc w:val="center"/>
        <w:rPr>
          <w:rFonts w:eastAsia="Times New Roman"/>
          <w:sz w:val="24"/>
        </w:rPr>
      </w:pPr>
      <w:r w:rsidRPr="00FE337F">
        <w:rPr>
          <w:rFonts w:eastAsia="Times New Roman"/>
          <w:noProof/>
          <w:color w:val="303030"/>
        </w:rPr>
        <w:drawing>
          <wp:inline distT="0" distB="0" distL="0" distR="0" wp14:anchorId="65AECE35" wp14:editId="7E29A9B5">
            <wp:extent cx="4601537" cy="2773680"/>
            <wp:effectExtent l="0" t="0" r="8890" b="7620"/>
            <wp:docPr id="5" name="Picture 5" descr="A graph of a shrimp farm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a shrimp farming&#10;&#10;Description automatically generated"/>
                    <pic:cNvPicPr/>
                  </pic:nvPicPr>
                  <pic:blipFill rotWithShape="1">
                    <a:blip r:embed="rId8"/>
                    <a:srcRect l="5506" t="8146" r="4613" b="9485"/>
                    <a:stretch/>
                  </pic:blipFill>
                  <pic:spPr bwMode="auto">
                    <a:xfrm>
                      <a:off x="0" y="0"/>
                      <a:ext cx="4602880" cy="2774490"/>
                    </a:xfrm>
                    <a:prstGeom prst="rect">
                      <a:avLst/>
                    </a:prstGeom>
                    <a:ln>
                      <a:noFill/>
                    </a:ln>
                    <a:extLst>
                      <a:ext uri="{53640926-AAD7-44D8-BBD7-CCE9431645EC}">
                        <a14:shadowObscured xmlns:a14="http://schemas.microsoft.com/office/drawing/2010/main"/>
                      </a:ext>
                    </a:extLst>
                  </pic:spPr>
                </pic:pic>
              </a:graphicData>
            </a:graphic>
          </wp:inline>
        </w:drawing>
      </w:r>
    </w:p>
    <w:p w14:paraId="294C4851" w14:textId="340F74C7" w:rsidR="002A7D63" w:rsidRDefault="003D7789" w:rsidP="003D7789">
      <w:pPr>
        <w:spacing w:before="240" w:after="240" w:line="240" w:lineRule="auto"/>
        <w:jc w:val="center"/>
        <w:rPr>
          <w:rFonts w:eastAsia="Times New Roman"/>
          <w:sz w:val="24"/>
        </w:rPr>
      </w:pPr>
      <w:r w:rsidRPr="003D7789">
        <w:rPr>
          <w:rFonts w:eastAsia="Times New Roman"/>
          <w:b/>
          <w:bCs/>
          <w:sz w:val="24"/>
        </w:rPr>
        <w:t>Figure 1</w:t>
      </w:r>
      <w:r w:rsidRPr="003D7789">
        <w:rPr>
          <w:rFonts w:eastAsia="Times New Roman"/>
          <w:b/>
          <w:bCs/>
          <w:sz w:val="24"/>
        </w:rPr>
        <w:t>.</w:t>
      </w:r>
      <w:r w:rsidRPr="003D7789">
        <w:rPr>
          <w:rFonts w:eastAsia="Times New Roman"/>
          <w:sz w:val="24"/>
        </w:rPr>
        <w:t xml:space="preserve"> Comparison of pollutant loads in intensive and SISF pond effluents</w:t>
      </w:r>
    </w:p>
    <w:p w14:paraId="428BC190" w14:textId="77777777" w:rsidR="003D7789" w:rsidRPr="003D7789" w:rsidRDefault="003D7789" w:rsidP="003D7789">
      <w:pPr>
        <w:spacing w:before="240" w:after="240" w:line="240" w:lineRule="auto"/>
        <w:jc w:val="both"/>
        <w:rPr>
          <w:rFonts w:eastAsia="Times New Roman"/>
          <w:sz w:val="24"/>
        </w:rPr>
      </w:pPr>
      <w:r w:rsidRPr="003D7789">
        <w:rPr>
          <w:rFonts w:eastAsia="Times New Roman"/>
          <w:sz w:val="24"/>
        </w:rPr>
        <w:t>A study by Nam et al. (2022) documented that the daily pollutant load discharged per hectare can reach up to 177.15 kg of TSS, 113.49 kg of COD, 9.86 kg of TN, and 4.19 kg of TP. The extreme concentration of these components - derived from unconsumed feed, shrimp feces, and molted exoskeletons - will lead to the eutrophication of surface waters, dissolved oxygen depletion, and the outbreak of dangerous epidemics across the entire farming region if discharged directly into the external environment without passing through a treatment system.</w:t>
      </w:r>
    </w:p>
    <w:p w14:paraId="068D88C2" w14:textId="77777777" w:rsidR="003D7789" w:rsidRPr="003D7789" w:rsidRDefault="003D7789" w:rsidP="003D7789">
      <w:pPr>
        <w:spacing w:before="240" w:after="240" w:line="240" w:lineRule="auto"/>
        <w:jc w:val="both"/>
        <w:rPr>
          <w:rFonts w:eastAsia="Times New Roman"/>
          <w:sz w:val="24"/>
        </w:rPr>
      </w:pPr>
      <w:r w:rsidRPr="003D7789">
        <w:rPr>
          <w:rFonts w:eastAsia="Times New Roman"/>
          <w:sz w:val="24"/>
        </w:rPr>
        <w:t>A synthesis of the physicochemical parameters of SISF effluents (Table 1) reveals the following:</w:t>
      </w:r>
    </w:p>
    <w:p w14:paraId="7EC42CFA" w14:textId="036AC1EE" w:rsidR="003D7789" w:rsidRPr="003D7789" w:rsidRDefault="003D7789" w:rsidP="003D7789">
      <w:pPr>
        <w:pStyle w:val="ListParagraph"/>
        <w:numPr>
          <w:ilvl w:val="0"/>
          <w:numId w:val="25"/>
        </w:numPr>
        <w:spacing w:before="240" w:after="240" w:line="240" w:lineRule="auto"/>
        <w:jc w:val="both"/>
        <w:rPr>
          <w:rFonts w:eastAsia="Times New Roman"/>
          <w:sz w:val="24"/>
        </w:rPr>
      </w:pPr>
      <w:r w:rsidRPr="003D7789">
        <w:rPr>
          <w:rFonts w:eastAsia="Times New Roman"/>
          <w:sz w:val="24"/>
        </w:rPr>
        <w:t>Organic matter and suspended solids: Siphon wastewater (SW) are characterized by peak pollution concentrations due to its high content of shrimp feces and uneaten feed. The TSS concentration in the SW stream can reach 3,422.9 mg/L, exceeding the 80 mg/L threshold of QCVN 40:2025/BTNMT by more than 42-fold. The COD concentration in the SW stream also reaches up to 1,853.7 mg/L, and has even been recorded at 2,054.6 mg/L in Ben Tre, far surpassing the permissible limit of 90 mg/L.</w:t>
      </w:r>
    </w:p>
    <w:p w14:paraId="46FE5CFE" w14:textId="24FBEE69" w:rsidR="003D7789" w:rsidRPr="003D7789" w:rsidRDefault="003D7789" w:rsidP="003D7789">
      <w:pPr>
        <w:pStyle w:val="ListParagraph"/>
        <w:numPr>
          <w:ilvl w:val="0"/>
          <w:numId w:val="25"/>
        </w:numPr>
        <w:spacing w:before="240" w:after="240" w:line="240" w:lineRule="auto"/>
        <w:jc w:val="both"/>
        <w:rPr>
          <w:rFonts w:eastAsia="Times New Roman"/>
          <w:sz w:val="24"/>
        </w:rPr>
      </w:pPr>
      <w:r w:rsidRPr="003D7789">
        <w:rPr>
          <w:rFonts w:eastAsia="Times New Roman"/>
          <w:sz w:val="24"/>
        </w:rPr>
        <w:t>Nitrogenous and phosphorous compounds: Although the updated regulations no longer mandate the control of NH</w:t>
      </w:r>
      <w:r w:rsidRPr="00514AE7">
        <w:rPr>
          <w:rFonts w:eastAsia="Times New Roman"/>
          <w:sz w:val="24"/>
          <w:vertAlign w:val="subscript"/>
        </w:rPr>
        <w:t>4</w:t>
      </w:r>
      <w:r w:rsidRPr="00514AE7">
        <w:rPr>
          <w:rFonts w:eastAsia="Times New Roman"/>
          <w:sz w:val="24"/>
          <w:vertAlign w:val="superscript"/>
        </w:rPr>
        <w:t>+</w:t>
      </w:r>
      <w:r w:rsidRPr="003D7789">
        <w:rPr>
          <w:rFonts w:eastAsia="Times New Roman"/>
          <w:sz w:val="24"/>
        </w:rPr>
        <w:t xml:space="preserve"> for aquaculture effluents, empirical data show that the NH</w:t>
      </w:r>
      <w:r w:rsidRPr="00514AE7">
        <w:rPr>
          <w:rFonts w:eastAsia="Times New Roman"/>
          <w:sz w:val="24"/>
          <w:vertAlign w:val="subscript"/>
        </w:rPr>
        <w:t>4</w:t>
      </w:r>
      <w:r w:rsidRPr="00514AE7">
        <w:rPr>
          <w:rFonts w:eastAsia="Times New Roman"/>
          <w:sz w:val="24"/>
          <w:vertAlign w:val="superscript"/>
        </w:rPr>
        <w:t>+</w:t>
      </w:r>
      <w:r w:rsidRPr="003D7789">
        <w:rPr>
          <w:rFonts w:eastAsia="Times New Roman"/>
          <w:sz w:val="24"/>
        </w:rPr>
        <w:t xml:space="preserve"> concentration in the SW stream remains at an alarming level (101.21 mg/L), posing direct toxicity to aquatic organisms. Regarding mandatory parameters, the TN content in siphon water ranges from 145 to 161.32 mg/L, which is 4 times higher than the 40 mg/L threshold. The TP content also reaches up to 91.68 mg/L in SW, far exceeding the discharge limit into rivers and streams (14 mg/L), making it the primary driver of algal blooms.</w:t>
      </w:r>
    </w:p>
    <w:p w14:paraId="1AC061AD" w14:textId="79D82761" w:rsidR="002A7D63" w:rsidRPr="003D7789" w:rsidRDefault="003D7789" w:rsidP="003D7789">
      <w:pPr>
        <w:pStyle w:val="ListParagraph"/>
        <w:numPr>
          <w:ilvl w:val="0"/>
          <w:numId w:val="25"/>
        </w:numPr>
        <w:spacing w:before="240" w:after="240" w:line="240" w:lineRule="auto"/>
        <w:jc w:val="both"/>
        <w:rPr>
          <w:rFonts w:eastAsia="Times New Roman"/>
          <w:sz w:val="24"/>
        </w:rPr>
      </w:pPr>
      <w:r w:rsidRPr="003D7789">
        <w:rPr>
          <w:rFonts w:eastAsia="Times New Roman"/>
          <w:sz w:val="24"/>
        </w:rPr>
        <w:t xml:space="preserve">Microbial pollution: Coliform densities in super-intensive effluents frequently exceed the threshold (5,000 MPN/100 mL) of the updated regulation, ranging from 7,850 to 27,585 MPN/100 </w:t>
      </w:r>
      <w:proofErr w:type="spellStart"/>
      <w:r w:rsidRPr="003D7789">
        <w:rPr>
          <w:rFonts w:eastAsia="Times New Roman"/>
          <w:sz w:val="24"/>
        </w:rPr>
        <w:t>mL.</w:t>
      </w:r>
      <w:proofErr w:type="spellEnd"/>
      <w:r w:rsidRPr="003D7789">
        <w:rPr>
          <w:rFonts w:eastAsia="Times New Roman"/>
          <w:sz w:val="24"/>
        </w:rPr>
        <w:t xml:space="preserve"> This indicates a high </w:t>
      </w:r>
      <w:r w:rsidRPr="003D7789">
        <w:rPr>
          <w:rFonts w:eastAsia="Times New Roman"/>
          <w:sz w:val="24"/>
        </w:rPr>
        <w:lastRenderedPageBreak/>
        <w:t>risk of cross-transmission of diseases between adjacent farming areas if the effluent is not thoroughly disinfected.</w:t>
      </w:r>
    </w:p>
    <w:p w14:paraId="5C52631D" w14:textId="38DD0A44" w:rsidR="00B6608E" w:rsidRDefault="006E42FA" w:rsidP="00F41F74">
      <w:pPr>
        <w:spacing w:before="240" w:after="240" w:line="240" w:lineRule="auto"/>
        <w:jc w:val="both"/>
        <w:rPr>
          <w:rFonts w:eastAsia="Times New Roman"/>
          <w:sz w:val="24"/>
        </w:rPr>
      </w:pPr>
      <w:r w:rsidRPr="00F41F74">
        <w:rPr>
          <w:rFonts w:eastAsia="Times New Roman"/>
          <w:sz w:val="24"/>
        </w:rPr>
        <w:t>Table 1 provides a concise summary of the objectives, data sources, model families, validation strategies, and metrics referenced throughout Section 2.</w:t>
      </w:r>
    </w:p>
    <w:p w14:paraId="239B13FF" w14:textId="77777777" w:rsidR="003D7789" w:rsidRPr="00F41F74" w:rsidRDefault="003D7789" w:rsidP="003D7789">
      <w:pPr>
        <w:pStyle w:val="NormalWeb"/>
        <w:spacing w:before="240" w:beforeAutospacing="0" w:after="240" w:afterAutospacing="0"/>
        <w:jc w:val="center"/>
      </w:pPr>
      <w:r w:rsidRPr="00F41F74">
        <w:rPr>
          <w:rStyle w:val="Strong"/>
          <w:rFonts w:eastAsiaTheme="majorEastAsia"/>
        </w:rPr>
        <w:t>Table 1.</w:t>
      </w:r>
      <w:r w:rsidRPr="00F41F74">
        <w:t xml:space="preserve"> </w:t>
      </w:r>
      <w:r w:rsidRPr="00F41F74">
        <w:rPr>
          <w:rFonts w:hint="eastAsia"/>
        </w:rPr>
        <w:t>Summary comparison of workflow stages for AGB mapping</w:t>
      </w:r>
    </w:p>
    <w:tbl>
      <w:tblPr>
        <w:tblStyle w:val="TableGrid"/>
        <w:tblW w:w="0" w:type="auto"/>
        <w:tblLook w:val="04A0" w:firstRow="1" w:lastRow="0" w:firstColumn="1" w:lastColumn="0" w:noHBand="0" w:noVBand="1"/>
      </w:tblPr>
      <w:tblGrid>
        <w:gridCol w:w="1320"/>
        <w:gridCol w:w="1652"/>
        <w:gridCol w:w="1843"/>
        <w:gridCol w:w="1984"/>
        <w:gridCol w:w="1701"/>
        <w:gridCol w:w="2186"/>
      </w:tblGrid>
      <w:tr w:rsidR="00A3509C" w:rsidRPr="00F41F74" w14:paraId="736FAD1A" w14:textId="77777777" w:rsidTr="00A3509C">
        <w:trPr>
          <w:tblHeader/>
        </w:trPr>
        <w:tc>
          <w:tcPr>
            <w:tcW w:w="1320" w:type="dxa"/>
          </w:tcPr>
          <w:p w14:paraId="02CEDE39" w14:textId="49AA9530" w:rsidR="003D7789" w:rsidRPr="00F41F74" w:rsidRDefault="003D7789" w:rsidP="003D7789">
            <w:pPr>
              <w:pStyle w:val="NormalWeb"/>
              <w:spacing w:before="240" w:beforeAutospacing="0" w:after="240" w:afterAutospacing="0"/>
              <w:jc w:val="center"/>
              <w:rPr>
                <w:szCs w:val="24"/>
              </w:rPr>
            </w:pPr>
            <w:r>
              <w:rPr>
                <w:b/>
                <w:bCs/>
                <w:color w:val="303030"/>
                <w:szCs w:val="24"/>
              </w:rPr>
              <w:t>Parameter</w:t>
            </w:r>
          </w:p>
        </w:tc>
        <w:tc>
          <w:tcPr>
            <w:tcW w:w="1652" w:type="dxa"/>
          </w:tcPr>
          <w:p w14:paraId="552FD57F" w14:textId="5BD1FE65" w:rsidR="003D7789" w:rsidRPr="00F41F74" w:rsidRDefault="003D7789" w:rsidP="003D7789">
            <w:pPr>
              <w:pStyle w:val="NormalWeb"/>
              <w:spacing w:before="240" w:beforeAutospacing="0" w:after="240" w:afterAutospacing="0"/>
              <w:jc w:val="center"/>
              <w:rPr>
                <w:szCs w:val="24"/>
              </w:rPr>
            </w:pPr>
            <w:r>
              <w:rPr>
                <w:b/>
                <w:bCs/>
                <w:color w:val="303030"/>
                <w:szCs w:val="24"/>
              </w:rPr>
              <w:t>Unit</w:t>
            </w:r>
          </w:p>
        </w:tc>
        <w:tc>
          <w:tcPr>
            <w:tcW w:w="1843" w:type="dxa"/>
          </w:tcPr>
          <w:p w14:paraId="271E4A19" w14:textId="424D3CB6" w:rsidR="003D7789" w:rsidRPr="00F41F74" w:rsidRDefault="003D7789" w:rsidP="003D7789">
            <w:pPr>
              <w:pStyle w:val="NormalWeb"/>
              <w:spacing w:before="240" w:beforeAutospacing="0" w:after="240" w:afterAutospacing="0"/>
              <w:jc w:val="center"/>
              <w:rPr>
                <w:szCs w:val="24"/>
              </w:rPr>
            </w:pPr>
            <w:r w:rsidRPr="00B04CEA">
              <w:rPr>
                <w:b/>
                <w:bCs/>
                <w:color w:val="303030"/>
                <w:szCs w:val="24"/>
              </w:rPr>
              <w:t>Daily water exchange (WE)</w:t>
            </w:r>
          </w:p>
        </w:tc>
        <w:tc>
          <w:tcPr>
            <w:tcW w:w="1984" w:type="dxa"/>
          </w:tcPr>
          <w:p w14:paraId="500D6D35" w14:textId="443AF417" w:rsidR="003D7789" w:rsidRPr="00F41F74" w:rsidRDefault="003D7789" w:rsidP="003D7789">
            <w:pPr>
              <w:pStyle w:val="NormalWeb"/>
              <w:spacing w:before="240" w:beforeAutospacing="0" w:after="240" w:afterAutospacing="0"/>
              <w:jc w:val="center"/>
              <w:rPr>
                <w:szCs w:val="24"/>
              </w:rPr>
            </w:pPr>
            <w:bookmarkStart w:id="0" w:name="_Hlk233915488"/>
            <w:r w:rsidRPr="00B04CEA">
              <w:rPr>
                <w:b/>
                <w:bCs/>
                <w:color w:val="303030"/>
                <w:szCs w:val="24"/>
              </w:rPr>
              <w:t xml:space="preserve">Siphon </w:t>
            </w:r>
            <w:r>
              <w:rPr>
                <w:b/>
                <w:bCs/>
                <w:color w:val="303030"/>
                <w:szCs w:val="24"/>
              </w:rPr>
              <w:t>w</w:t>
            </w:r>
            <w:r w:rsidRPr="00B04CEA">
              <w:rPr>
                <w:b/>
                <w:bCs/>
                <w:color w:val="303030"/>
                <w:szCs w:val="24"/>
              </w:rPr>
              <w:t xml:space="preserve">astewater </w:t>
            </w:r>
            <w:bookmarkEnd w:id="0"/>
            <w:r w:rsidRPr="00B04CEA">
              <w:rPr>
                <w:b/>
                <w:bCs/>
                <w:color w:val="303030"/>
                <w:szCs w:val="24"/>
              </w:rPr>
              <w:t>(SW)</w:t>
            </w:r>
          </w:p>
        </w:tc>
        <w:tc>
          <w:tcPr>
            <w:tcW w:w="1701" w:type="dxa"/>
          </w:tcPr>
          <w:p w14:paraId="2E237913" w14:textId="01702BED" w:rsidR="003D7789" w:rsidRPr="00F41F74" w:rsidRDefault="003D7789" w:rsidP="003D7789">
            <w:pPr>
              <w:pStyle w:val="NormalWeb"/>
              <w:spacing w:before="240" w:beforeAutospacing="0" w:after="240" w:afterAutospacing="0"/>
              <w:jc w:val="center"/>
              <w:rPr>
                <w:szCs w:val="24"/>
              </w:rPr>
            </w:pPr>
            <w:r w:rsidRPr="00B04CEA">
              <w:rPr>
                <w:b/>
                <w:bCs/>
                <w:color w:val="303030"/>
                <w:szCs w:val="24"/>
              </w:rPr>
              <w:t>Combined pond effluents</w:t>
            </w:r>
          </w:p>
        </w:tc>
        <w:tc>
          <w:tcPr>
            <w:tcW w:w="2186" w:type="dxa"/>
          </w:tcPr>
          <w:p w14:paraId="21E89A2E" w14:textId="39A28B70" w:rsidR="003D7789" w:rsidRPr="00F41F74" w:rsidRDefault="003D7789" w:rsidP="003D7789">
            <w:pPr>
              <w:pStyle w:val="NormalWeb"/>
              <w:spacing w:before="240" w:beforeAutospacing="0" w:after="240" w:afterAutospacing="0"/>
              <w:jc w:val="center"/>
              <w:rPr>
                <w:szCs w:val="24"/>
              </w:rPr>
            </w:pPr>
            <w:r>
              <w:rPr>
                <w:b/>
                <w:bCs/>
                <w:color w:val="303030"/>
                <w:szCs w:val="24"/>
              </w:rPr>
              <w:t>T</w:t>
            </w:r>
            <w:r w:rsidRPr="00B04CEA">
              <w:rPr>
                <w:b/>
                <w:bCs/>
                <w:color w:val="303030"/>
                <w:szCs w:val="24"/>
              </w:rPr>
              <w:t xml:space="preserve">hreshold </w:t>
            </w:r>
            <w:r w:rsidRPr="00AA6CA1">
              <w:rPr>
                <w:b/>
                <w:bCs/>
                <w:color w:val="303030"/>
                <w:szCs w:val="24"/>
              </w:rPr>
              <w:t xml:space="preserve">(QCVN 40:2025/BTNMT </w:t>
            </w:r>
            <w:r>
              <w:rPr>
                <w:b/>
                <w:bCs/>
                <w:color w:val="303030"/>
                <w:szCs w:val="24"/>
              </w:rPr>
              <w:t>column</w:t>
            </w:r>
            <w:r w:rsidRPr="00AA6CA1">
              <w:rPr>
                <w:b/>
                <w:bCs/>
                <w:color w:val="303030"/>
                <w:szCs w:val="24"/>
              </w:rPr>
              <w:t xml:space="preserve"> B)</w:t>
            </w:r>
          </w:p>
        </w:tc>
      </w:tr>
      <w:tr w:rsidR="00A3509C" w:rsidRPr="00F41F74" w14:paraId="28441983" w14:textId="77777777" w:rsidTr="00A3509C">
        <w:tc>
          <w:tcPr>
            <w:tcW w:w="1320" w:type="dxa"/>
          </w:tcPr>
          <w:p w14:paraId="1E50A8D9" w14:textId="78F6A521" w:rsidR="003D7789" w:rsidRPr="00F41F74" w:rsidRDefault="003D7789" w:rsidP="003D7789">
            <w:pPr>
              <w:pStyle w:val="NormalWeb"/>
              <w:spacing w:before="240" w:beforeAutospacing="0" w:after="240" w:afterAutospacing="0"/>
              <w:jc w:val="left"/>
              <w:rPr>
                <w:szCs w:val="24"/>
              </w:rPr>
            </w:pPr>
            <w:r w:rsidRPr="00AA6CA1">
              <w:rPr>
                <w:color w:val="303030"/>
                <w:szCs w:val="24"/>
              </w:rPr>
              <w:t>pH</w:t>
            </w:r>
          </w:p>
        </w:tc>
        <w:tc>
          <w:tcPr>
            <w:tcW w:w="1652" w:type="dxa"/>
          </w:tcPr>
          <w:p w14:paraId="176A3D9D" w14:textId="2929E1FE" w:rsidR="003D7789" w:rsidRPr="00F41F74" w:rsidRDefault="003D7789" w:rsidP="00A3509C">
            <w:pPr>
              <w:pStyle w:val="NormalWeb"/>
              <w:spacing w:before="240" w:beforeAutospacing="0" w:after="240" w:afterAutospacing="0"/>
              <w:jc w:val="center"/>
              <w:rPr>
                <w:szCs w:val="24"/>
              </w:rPr>
            </w:pPr>
            <w:r w:rsidRPr="00AA6CA1">
              <w:rPr>
                <w:color w:val="303030"/>
                <w:szCs w:val="24"/>
              </w:rPr>
              <w:t>-</w:t>
            </w:r>
          </w:p>
        </w:tc>
        <w:tc>
          <w:tcPr>
            <w:tcW w:w="1843" w:type="dxa"/>
          </w:tcPr>
          <w:p w14:paraId="61CA6D06" w14:textId="46CFA29E" w:rsidR="003D7789" w:rsidRPr="00F41F74" w:rsidRDefault="003D7789" w:rsidP="00A3509C">
            <w:pPr>
              <w:pStyle w:val="NormalWeb"/>
              <w:spacing w:before="240" w:beforeAutospacing="0" w:after="240" w:afterAutospacing="0"/>
              <w:jc w:val="center"/>
              <w:rPr>
                <w:szCs w:val="24"/>
              </w:rPr>
            </w:pPr>
            <w:r w:rsidRPr="00AA6CA1">
              <w:rPr>
                <w:color w:val="303030"/>
                <w:szCs w:val="24"/>
              </w:rPr>
              <w:t>7</w:t>
            </w:r>
            <w:r>
              <w:rPr>
                <w:color w:val="303030"/>
                <w:szCs w:val="24"/>
              </w:rPr>
              <w:t>.</w:t>
            </w:r>
            <w:r w:rsidRPr="00AA6CA1">
              <w:rPr>
                <w:color w:val="303030"/>
                <w:szCs w:val="24"/>
              </w:rPr>
              <w:t>53 ± 0</w:t>
            </w:r>
            <w:r>
              <w:rPr>
                <w:color w:val="303030"/>
                <w:szCs w:val="24"/>
              </w:rPr>
              <w:t>.</w:t>
            </w:r>
            <w:r w:rsidRPr="00AA6CA1">
              <w:rPr>
                <w:color w:val="303030"/>
                <w:szCs w:val="24"/>
              </w:rPr>
              <w:t>24</w:t>
            </w:r>
          </w:p>
        </w:tc>
        <w:tc>
          <w:tcPr>
            <w:tcW w:w="1984" w:type="dxa"/>
          </w:tcPr>
          <w:p w14:paraId="2DC579D7" w14:textId="269E5CF8" w:rsidR="003D7789" w:rsidRPr="00F41F74" w:rsidRDefault="003D7789" w:rsidP="00A3509C">
            <w:pPr>
              <w:pStyle w:val="NormalWeb"/>
              <w:spacing w:before="240" w:beforeAutospacing="0" w:after="240" w:afterAutospacing="0"/>
              <w:jc w:val="center"/>
              <w:rPr>
                <w:szCs w:val="24"/>
              </w:rPr>
            </w:pPr>
            <w:r w:rsidRPr="00AA6CA1">
              <w:rPr>
                <w:color w:val="303030"/>
                <w:szCs w:val="24"/>
              </w:rPr>
              <w:t>7</w:t>
            </w:r>
            <w:r>
              <w:rPr>
                <w:color w:val="303030"/>
                <w:szCs w:val="24"/>
              </w:rPr>
              <w:t>.</w:t>
            </w:r>
            <w:r w:rsidRPr="00AA6CA1">
              <w:rPr>
                <w:color w:val="303030"/>
                <w:szCs w:val="24"/>
              </w:rPr>
              <w:t>46 ± 0</w:t>
            </w:r>
            <w:r>
              <w:rPr>
                <w:color w:val="303030"/>
                <w:szCs w:val="24"/>
              </w:rPr>
              <w:t>.</w:t>
            </w:r>
            <w:r w:rsidRPr="00AA6CA1">
              <w:rPr>
                <w:color w:val="303030"/>
                <w:szCs w:val="24"/>
              </w:rPr>
              <w:t>27</w:t>
            </w:r>
          </w:p>
        </w:tc>
        <w:tc>
          <w:tcPr>
            <w:tcW w:w="1701" w:type="dxa"/>
          </w:tcPr>
          <w:p w14:paraId="0BDFEDD9" w14:textId="24615A35" w:rsidR="003D7789" w:rsidRPr="00F41F74" w:rsidRDefault="003D7789" w:rsidP="00A3509C">
            <w:pPr>
              <w:pStyle w:val="NormalWeb"/>
              <w:spacing w:before="240" w:beforeAutospacing="0" w:after="240" w:afterAutospacing="0"/>
              <w:jc w:val="center"/>
              <w:rPr>
                <w:szCs w:val="24"/>
              </w:rPr>
            </w:pPr>
            <w:r w:rsidRPr="00AA6CA1">
              <w:rPr>
                <w:color w:val="303030"/>
                <w:szCs w:val="24"/>
              </w:rPr>
              <w:t>7</w:t>
            </w:r>
            <w:r>
              <w:rPr>
                <w:color w:val="303030"/>
                <w:szCs w:val="24"/>
              </w:rPr>
              <w:t>.</w:t>
            </w:r>
            <w:r w:rsidRPr="00AA6CA1">
              <w:rPr>
                <w:color w:val="303030"/>
                <w:szCs w:val="24"/>
              </w:rPr>
              <w:t>4 - 7</w:t>
            </w:r>
            <w:r>
              <w:rPr>
                <w:color w:val="303030"/>
                <w:szCs w:val="24"/>
              </w:rPr>
              <w:t>.</w:t>
            </w:r>
            <w:r w:rsidRPr="00AA6CA1">
              <w:rPr>
                <w:color w:val="303030"/>
                <w:szCs w:val="24"/>
              </w:rPr>
              <w:t>87</w:t>
            </w:r>
          </w:p>
        </w:tc>
        <w:tc>
          <w:tcPr>
            <w:tcW w:w="2186" w:type="dxa"/>
          </w:tcPr>
          <w:p w14:paraId="28B44EE9" w14:textId="45CE5B00" w:rsidR="003D7789" w:rsidRPr="00F41F74" w:rsidRDefault="003D7789" w:rsidP="00A3509C">
            <w:pPr>
              <w:pStyle w:val="NormalWeb"/>
              <w:spacing w:before="240" w:beforeAutospacing="0" w:after="240" w:afterAutospacing="0"/>
              <w:ind w:right="-145"/>
              <w:jc w:val="center"/>
              <w:rPr>
                <w:szCs w:val="24"/>
              </w:rPr>
            </w:pPr>
            <w:r w:rsidRPr="00AA6CA1">
              <w:rPr>
                <w:color w:val="303030"/>
                <w:szCs w:val="24"/>
              </w:rPr>
              <w:t>6</w:t>
            </w:r>
            <w:r>
              <w:rPr>
                <w:color w:val="303030"/>
                <w:szCs w:val="24"/>
              </w:rPr>
              <w:t>.</w:t>
            </w:r>
            <w:r w:rsidRPr="00AA6CA1">
              <w:rPr>
                <w:color w:val="303030"/>
                <w:szCs w:val="24"/>
              </w:rPr>
              <w:t xml:space="preserve">0 </w:t>
            </w:r>
            <w:r>
              <w:rPr>
                <w:color w:val="303030"/>
                <w:szCs w:val="24"/>
              </w:rPr>
              <w:t>-</w:t>
            </w:r>
            <w:r w:rsidRPr="00AA6CA1">
              <w:rPr>
                <w:color w:val="303030"/>
                <w:szCs w:val="24"/>
              </w:rPr>
              <w:t xml:space="preserve"> 9</w:t>
            </w:r>
            <w:r>
              <w:rPr>
                <w:color w:val="303030"/>
                <w:szCs w:val="24"/>
              </w:rPr>
              <w:t>.</w:t>
            </w:r>
            <w:r w:rsidRPr="00AA6CA1">
              <w:rPr>
                <w:color w:val="303030"/>
                <w:szCs w:val="24"/>
              </w:rPr>
              <w:t>0</w:t>
            </w:r>
          </w:p>
        </w:tc>
      </w:tr>
      <w:tr w:rsidR="00A3509C" w:rsidRPr="00F41F74" w14:paraId="75E6D593" w14:textId="77777777" w:rsidTr="00A3509C">
        <w:tc>
          <w:tcPr>
            <w:tcW w:w="1320" w:type="dxa"/>
          </w:tcPr>
          <w:p w14:paraId="57937A66" w14:textId="1885EE3D" w:rsidR="003D7789" w:rsidRPr="00F41F74" w:rsidRDefault="003D7789" w:rsidP="003D7789">
            <w:pPr>
              <w:pStyle w:val="NormalWeb"/>
              <w:spacing w:before="240" w:beforeAutospacing="0" w:after="240" w:afterAutospacing="0"/>
              <w:ind w:right="-109"/>
              <w:jc w:val="left"/>
              <w:rPr>
                <w:szCs w:val="24"/>
              </w:rPr>
            </w:pPr>
            <w:r w:rsidRPr="00AA6CA1">
              <w:rPr>
                <w:color w:val="303030"/>
                <w:szCs w:val="24"/>
              </w:rPr>
              <w:t>BOD</w:t>
            </w:r>
            <w:r w:rsidRPr="00AA6CA1">
              <w:rPr>
                <w:color w:val="303030"/>
                <w:szCs w:val="24"/>
                <w:vertAlign w:val="subscript"/>
              </w:rPr>
              <w:t>5</w:t>
            </w:r>
          </w:p>
        </w:tc>
        <w:tc>
          <w:tcPr>
            <w:tcW w:w="1652" w:type="dxa"/>
          </w:tcPr>
          <w:p w14:paraId="4FCB83A7" w14:textId="65114877" w:rsidR="003D7789" w:rsidRPr="00F41F74" w:rsidRDefault="003D7789" w:rsidP="00A3509C">
            <w:pPr>
              <w:pStyle w:val="NormalWeb"/>
              <w:spacing w:before="240" w:beforeAutospacing="0" w:after="240" w:afterAutospacing="0"/>
              <w:ind w:right="-107"/>
              <w:jc w:val="center"/>
              <w:rPr>
                <w:szCs w:val="24"/>
              </w:rPr>
            </w:pPr>
            <w:r w:rsidRPr="00AA6CA1">
              <w:rPr>
                <w:color w:val="303030"/>
                <w:szCs w:val="24"/>
              </w:rPr>
              <w:t>mg/L</w:t>
            </w:r>
          </w:p>
        </w:tc>
        <w:tc>
          <w:tcPr>
            <w:tcW w:w="1843" w:type="dxa"/>
          </w:tcPr>
          <w:p w14:paraId="4D868D63" w14:textId="6315E0CF" w:rsidR="003D7789" w:rsidRPr="00F41F74" w:rsidRDefault="003D7789" w:rsidP="00A3509C">
            <w:pPr>
              <w:pStyle w:val="NormalWeb"/>
              <w:spacing w:before="240" w:beforeAutospacing="0" w:after="240" w:afterAutospacing="0"/>
              <w:jc w:val="center"/>
              <w:rPr>
                <w:szCs w:val="24"/>
              </w:rPr>
            </w:pPr>
            <w:r w:rsidRPr="00AA6CA1">
              <w:rPr>
                <w:color w:val="303030"/>
                <w:szCs w:val="24"/>
              </w:rPr>
              <w:t>-</w:t>
            </w:r>
          </w:p>
        </w:tc>
        <w:tc>
          <w:tcPr>
            <w:tcW w:w="1984" w:type="dxa"/>
          </w:tcPr>
          <w:p w14:paraId="3DEAE223" w14:textId="595E4E66" w:rsidR="003D7789" w:rsidRPr="00F41F74" w:rsidRDefault="003D7789" w:rsidP="00A3509C">
            <w:pPr>
              <w:pStyle w:val="NormalWeb"/>
              <w:spacing w:before="240" w:beforeAutospacing="0" w:after="240" w:afterAutospacing="0"/>
              <w:jc w:val="center"/>
              <w:rPr>
                <w:szCs w:val="24"/>
              </w:rPr>
            </w:pPr>
            <w:r w:rsidRPr="00AA6CA1">
              <w:rPr>
                <w:color w:val="303030"/>
                <w:szCs w:val="24"/>
              </w:rPr>
              <w:t>-</w:t>
            </w:r>
          </w:p>
        </w:tc>
        <w:tc>
          <w:tcPr>
            <w:tcW w:w="1701" w:type="dxa"/>
          </w:tcPr>
          <w:p w14:paraId="76F22404" w14:textId="11F279CC" w:rsidR="003D7789" w:rsidRPr="00F41F74" w:rsidRDefault="003D7789" w:rsidP="00A3509C">
            <w:pPr>
              <w:pStyle w:val="NormalWeb"/>
              <w:spacing w:before="240" w:beforeAutospacing="0" w:after="240" w:afterAutospacing="0"/>
              <w:jc w:val="center"/>
              <w:rPr>
                <w:szCs w:val="24"/>
              </w:rPr>
            </w:pPr>
            <w:r w:rsidRPr="00AA6CA1">
              <w:rPr>
                <w:color w:val="303030"/>
                <w:szCs w:val="24"/>
              </w:rPr>
              <w:t>16</w:t>
            </w:r>
            <w:r>
              <w:rPr>
                <w:color w:val="303030"/>
                <w:szCs w:val="24"/>
              </w:rPr>
              <w:t>.</w:t>
            </w:r>
            <w:r w:rsidRPr="00AA6CA1">
              <w:rPr>
                <w:color w:val="303030"/>
                <w:szCs w:val="24"/>
              </w:rPr>
              <w:t>02 - 757</w:t>
            </w:r>
            <w:r>
              <w:rPr>
                <w:color w:val="303030"/>
                <w:szCs w:val="24"/>
              </w:rPr>
              <w:t>.</w:t>
            </w:r>
            <w:r w:rsidRPr="00AA6CA1">
              <w:rPr>
                <w:color w:val="303030"/>
                <w:szCs w:val="24"/>
              </w:rPr>
              <w:t>3</w:t>
            </w:r>
          </w:p>
        </w:tc>
        <w:tc>
          <w:tcPr>
            <w:tcW w:w="2186" w:type="dxa"/>
          </w:tcPr>
          <w:p w14:paraId="425C9C59" w14:textId="1E373950" w:rsidR="003D7789" w:rsidRPr="00F41F74" w:rsidRDefault="003D7789" w:rsidP="00A3509C">
            <w:pPr>
              <w:pStyle w:val="NormalWeb"/>
              <w:spacing w:before="240" w:beforeAutospacing="0" w:after="240" w:afterAutospacing="0"/>
              <w:jc w:val="center"/>
              <w:rPr>
                <w:szCs w:val="24"/>
              </w:rPr>
            </w:pPr>
            <w:r w:rsidRPr="00AA6CA1">
              <w:rPr>
                <w:color w:val="303030"/>
                <w:szCs w:val="24"/>
              </w:rPr>
              <w:t>≤ 60</w:t>
            </w:r>
          </w:p>
        </w:tc>
      </w:tr>
      <w:tr w:rsidR="00A3509C" w:rsidRPr="00F41F74" w14:paraId="293AE599" w14:textId="77777777" w:rsidTr="00A3509C">
        <w:tc>
          <w:tcPr>
            <w:tcW w:w="1320" w:type="dxa"/>
          </w:tcPr>
          <w:p w14:paraId="339C610A" w14:textId="479E805D" w:rsidR="003D7789" w:rsidRPr="00F41F74" w:rsidRDefault="003D7789" w:rsidP="003D7789">
            <w:pPr>
              <w:pStyle w:val="NormalWeb"/>
              <w:spacing w:before="240" w:beforeAutospacing="0" w:after="240" w:afterAutospacing="0"/>
              <w:jc w:val="left"/>
              <w:rPr>
                <w:szCs w:val="24"/>
              </w:rPr>
            </w:pPr>
            <w:r w:rsidRPr="00AA6CA1">
              <w:rPr>
                <w:color w:val="303030"/>
                <w:szCs w:val="24"/>
              </w:rPr>
              <w:t>COD</w:t>
            </w:r>
          </w:p>
        </w:tc>
        <w:tc>
          <w:tcPr>
            <w:tcW w:w="1652" w:type="dxa"/>
          </w:tcPr>
          <w:p w14:paraId="11438132" w14:textId="26AF4282" w:rsidR="003D7789" w:rsidRPr="00F41F74" w:rsidRDefault="003D7789" w:rsidP="00A3509C">
            <w:pPr>
              <w:pStyle w:val="NormalWeb"/>
              <w:spacing w:before="240" w:beforeAutospacing="0" w:after="240" w:afterAutospacing="0"/>
              <w:jc w:val="center"/>
              <w:rPr>
                <w:szCs w:val="24"/>
              </w:rPr>
            </w:pPr>
            <w:r w:rsidRPr="00AA6CA1">
              <w:rPr>
                <w:color w:val="303030"/>
                <w:szCs w:val="24"/>
              </w:rPr>
              <w:t>mg/L</w:t>
            </w:r>
          </w:p>
        </w:tc>
        <w:tc>
          <w:tcPr>
            <w:tcW w:w="1843" w:type="dxa"/>
          </w:tcPr>
          <w:p w14:paraId="65C0165B" w14:textId="2C973D16" w:rsidR="003D7789" w:rsidRPr="00F41F74" w:rsidRDefault="003D7789" w:rsidP="00A3509C">
            <w:pPr>
              <w:pStyle w:val="NormalWeb"/>
              <w:spacing w:before="240" w:beforeAutospacing="0" w:after="240" w:afterAutospacing="0"/>
              <w:jc w:val="center"/>
              <w:rPr>
                <w:szCs w:val="24"/>
              </w:rPr>
            </w:pPr>
            <w:r w:rsidRPr="00AA6CA1">
              <w:rPr>
                <w:color w:val="303030"/>
                <w:szCs w:val="24"/>
              </w:rPr>
              <w:t>198</w:t>
            </w:r>
            <w:r>
              <w:rPr>
                <w:color w:val="303030"/>
                <w:szCs w:val="24"/>
              </w:rPr>
              <w:t>.</w:t>
            </w:r>
            <w:r w:rsidRPr="00AA6CA1">
              <w:rPr>
                <w:color w:val="303030"/>
                <w:szCs w:val="24"/>
              </w:rPr>
              <w:t>31 ± 62</w:t>
            </w:r>
            <w:r>
              <w:rPr>
                <w:color w:val="303030"/>
                <w:szCs w:val="24"/>
              </w:rPr>
              <w:t>.</w:t>
            </w:r>
            <w:r w:rsidRPr="00AA6CA1">
              <w:rPr>
                <w:color w:val="303030"/>
                <w:szCs w:val="24"/>
              </w:rPr>
              <w:t>46</w:t>
            </w:r>
          </w:p>
        </w:tc>
        <w:tc>
          <w:tcPr>
            <w:tcW w:w="1984" w:type="dxa"/>
          </w:tcPr>
          <w:p w14:paraId="15268DEF" w14:textId="410F2FE3" w:rsidR="003D7789" w:rsidRPr="00F41F74" w:rsidRDefault="003D7789" w:rsidP="00A3509C">
            <w:pPr>
              <w:pStyle w:val="NormalWeb"/>
              <w:spacing w:before="240" w:beforeAutospacing="0" w:after="240" w:afterAutospacing="0"/>
              <w:ind w:left="-112" w:right="-104"/>
              <w:jc w:val="center"/>
              <w:rPr>
                <w:szCs w:val="24"/>
              </w:rPr>
            </w:pPr>
            <w:r w:rsidRPr="00AA6CA1">
              <w:rPr>
                <w:color w:val="303030"/>
                <w:szCs w:val="24"/>
              </w:rPr>
              <w:t>1</w:t>
            </w:r>
            <w:r>
              <w:rPr>
                <w:color w:val="303030"/>
                <w:szCs w:val="24"/>
              </w:rPr>
              <w:t>,</w:t>
            </w:r>
            <w:r w:rsidRPr="00AA6CA1">
              <w:rPr>
                <w:color w:val="303030"/>
                <w:szCs w:val="24"/>
              </w:rPr>
              <w:t>853</w:t>
            </w:r>
            <w:r>
              <w:rPr>
                <w:color w:val="303030"/>
                <w:szCs w:val="24"/>
              </w:rPr>
              <w:t>.</w:t>
            </w:r>
            <w:r w:rsidRPr="00AA6CA1">
              <w:rPr>
                <w:color w:val="303030"/>
                <w:szCs w:val="24"/>
              </w:rPr>
              <w:t>7 ± 1</w:t>
            </w:r>
            <w:r>
              <w:rPr>
                <w:color w:val="303030"/>
                <w:szCs w:val="24"/>
              </w:rPr>
              <w:t>,</w:t>
            </w:r>
            <w:r w:rsidRPr="00AA6CA1">
              <w:rPr>
                <w:color w:val="303030"/>
                <w:szCs w:val="24"/>
              </w:rPr>
              <w:t>103</w:t>
            </w:r>
            <w:r>
              <w:rPr>
                <w:color w:val="303030"/>
                <w:szCs w:val="24"/>
              </w:rPr>
              <w:t>.</w:t>
            </w:r>
            <w:r w:rsidRPr="00AA6CA1">
              <w:rPr>
                <w:color w:val="303030"/>
                <w:szCs w:val="24"/>
              </w:rPr>
              <w:t>8</w:t>
            </w:r>
          </w:p>
        </w:tc>
        <w:tc>
          <w:tcPr>
            <w:tcW w:w="1701" w:type="dxa"/>
          </w:tcPr>
          <w:p w14:paraId="031FBA62" w14:textId="7EACE875" w:rsidR="003D7789" w:rsidRPr="00F41F74" w:rsidRDefault="003D7789" w:rsidP="00A3509C">
            <w:pPr>
              <w:pStyle w:val="NormalWeb"/>
              <w:spacing w:before="240" w:beforeAutospacing="0" w:after="240" w:afterAutospacing="0"/>
              <w:jc w:val="center"/>
              <w:rPr>
                <w:szCs w:val="24"/>
              </w:rPr>
            </w:pPr>
            <w:r w:rsidRPr="00AA6CA1">
              <w:rPr>
                <w:color w:val="303030"/>
                <w:szCs w:val="24"/>
              </w:rPr>
              <w:t>29</w:t>
            </w:r>
            <w:r>
              <w:rPr>
                <w:color w:val="303030"/>
                <w:szCs w:val="24"/>
              </w:rPr>
              <w:t>.</w:t>
            </w:r>
            <w:r w:rsidRPr="00AA6CA1">
              <w:rPr>
                <w:color w:val="303030"/>
                <w:szCs w:val="24"/>
              </w:rPr>
              <w:t xml:space="preserve">86 </w:t>
            </w:r>
            <w:r>
              <w:rPr>
                <w:color w:val="303030"/>
                <w:szCs w:val="24"/>
              </w:rPr>
              <w:t>-</w:t>
            </w:r>
            <w:r w:rsidRPr="00AA6CA1">
              <w:rPr>
                <w:color w:val="303030"/>
                <w:szCs w:val="24"/>
              </w:rPr>
              <w:t xml:space="preserve"> 2</w:t>
            </w:r>
            <w:r>
              <w:rPr>
                <w:color w:val="303030"/>
                <w:szCs w:val="24"/>
              </w:rPr>
              <w:t>,</w:t>
            </w:r>
            <w:r w:rsidRPr="00AA6CA1">
              <w:rPr>
                <w:color w:val="303030"/>
                <w:szCs w:val="24"/>
              </w:rPr>
              <w:t>054</w:t>
            </w:r>
            <w:r>
              <w:rPr>
                <w:color w:val="303030"/>
                <w:szCs w:val="24"/>
              </w:rPr>
              <w:t>.</w:t>
            </w:r>
            <w:r w:rsidRPr="00AA6CA1">
              <w:rPr>
                <w:color w:val="303030"/>
                <w:szCs w:val="24"/>
              </w:rPr>
              <w:t>6</w:t>
            </w:r>
          </w:p>
        </w:tc>
        <w:tc>
          <w:tcPr>
            <w:tcW w:w="2186" w:type="dxa"/>
          </w:tcPr>
          <w:p w14:paraId="733DE9AF" w14:textId="4A5EDE45" w:rsidR="003D7789" w:rsidRPr="00F41F74" w:rsidRDefault="003D7789" w:rsidP="00A3509C">
            <w:pPr>
              <w:pStyle w:val="NormalWeb"/>
              <w:spacing w:before="240" w:beforeAutospacing="0" w:after="240" w:afterAutospacing="0"/>
              <w:jc w:val="center"/>
              <w:rPr>
                <w:szCs w:val="24"/>
              </w:rPr>
            </w:pPr>
            <w:r w:rsidRPr="00AA6CA1">
              <w:rPr>
                <w:color w:val="303030"/>
                <w:szCs w:val="24"/>
              </w:rPr>
              <w:t>≤ 90</w:t>
            </w:r>
          </w:p>
        </w:tc>
      </w:tr>
      <w:tr w:rsidR="00A3509C" w:rsidRPr="00F41F74" w14:paraId="5E203E8C" w14:textId="77777777" w:rsidTr="00A3509C">
        <w:tc>
          <w:tcPr>
            <w:tcW w:w="1320" w:type="dxa"/>
          </w:tcPr>
          <w:p w14:paraId="5386F546" w14:textId="3481CA05" w:rsidR="003D7789" w:rsidRPr="00F41F74" w:rsidRDefault="003D7789" w:rsidP="003D7789">
            <w:pPr>
              <w:pStyle w:val="NormalWeb"/>
              <w:spacing w:before="240" w:beforeAutospacing="0" w:after="240" w:afterAutospacing="0"/>
              <w:jc w:val="left"/>
              <w:rPr>
                <w:szCs w:val="24"/>
              </w:rPr>
            </w:pPr>
            <w:r w:rsidRPr="00AA6CA1">
              <w:rPr>
                <w:color w:val="303030"/>
                <w:szCs w:val="24"/>
              </w:rPr>
              <w:t>TSS</w:t>
            </w:r>
          </w:p>
        </w:tc>
        <w:tc>
          <w:tcPr>
            <w:tcW w:w="1652" w:type="dxa"/>
          </w:tcPr>
          <w:p w14:paraId="7B7C5E56" w14:textId="722FEA32" w:rsidR="003D7789" w:rsidRPr="00F41F74" w:rsidRDefault="003D7789" w:rsidP="00A3509C">
            <w:pPr>
              <w:pStyle w:val="NormalWeb"/>
              <w:spacing w:before="240" w:beforeAutospacing="0" w:after="240" w:afterAutospacing="0"/>
              <w:jc w:val="center"/>
              <w:rPr>
                <w:szCs w:val="24"/>
              </w:rPr>
            </w:pPr>
            <w:r w:rsidRPr="00AA6CA1">
              <w:rPr>
                <w:color w:val="303030"/>
                <w:szCs w:val="24"/>
              </w:rPr>
              <w:t>mg/L</w:t>
            </w:r>
          </w:p>
        </w:tc>
        <w:tc>
          <w:tcPr>
            <w:tcW w:w="1843" w:type="dxa"/>
          </w:tcPr>
          <w:p w14:paraId="6D3BF643" w14:textId="33386BD6" w:rsidR="003D7789" w:rsidRPr="00F41F74" w:rsidRDefault="003D7789" w:rsidP="00A3509C">
            <w:pPr>
              <w:pStyle w:val="NormalWeb"/>
              <w:spacing w:before="240" w:beforeAutospacing="0" w:after="240" w:afterAutospacing="0"/>
              <w:jc w:val="center"/>
              <w:rPr>
                <w:szCs w:val="24"/>
              </w:rPr>
            </w:pPr>
            <w:r w:rsidRPr="00AA6CA1">
              <w:rPr>
                <w:color w:val="303030"/>
                <w:szCs w:val="24"/>
              </w:rPr>
              <w:t>238</w:t>
            </w:r>
            <w:r>
              <w:rPr>
                <w:color w:val="303030"/>
                <w:szCs w:val="24"/>
              </w:rPr>
              <w:t>.</w:t>
            </w:r>
            <w:r w:rsidRPr="00AA6CA1">
              <w:rPr>
                <w:color w:val="303030"/>
                <w:szCs w:val="24"/>
              </w:rPr>
              <w:t>61 ± 152</w:t>
            </w:r>
            <w:r>
              <w:rPr>
                <w:color w:val="303030"/>
                <w:szCs w:val="24"/>
              </w:rPr>
              <w:t>.</w:t>
            </w:r>
            <w:r w:rsidRPr="00AA6CA1">
              <w:rPr>
                <w:color w:val="303030"/>
                <w:szCs w:val="24"/>
              </w:rPr>
              <w:t>48</w:t>
            </w:r>
          </w:p>
        </w:tc>
        <w:tc>
          <w:tcPr>
            <w:tcW w:w="1984" w:type="dxa"/>
          </w:tcPr>
          <w:p w14:paraId="30634D45" w14:textId="168DCB55" w:rsidR="003D7789" w:rsidRPr="00F41F74" w:rsidRDefault="003D7789" w:rsidP="00A3509C">
            <w:pPr>
              <w:pStyle w:val="NormalWeb"/>
              <w:spacing w:before="240" w:beforeAutospacing="0" w:after="240" w:afterAutospacing="0"/>
              <w:jc w:val="center"/>
              <w:rPr>
                <w:szCs w:val="24"/>
              </w:rPr>
            </w:pPr>
            <w:r w:rsidRPr="00AA6CA1">
              <w:rPr>
                <w:color w:val="303030"/>
                <w:szCs w:val="24"/>
              </w:rPr>
              <w:t>3</w:t>
            </w:r>
            <w:r>
              <w:rPr>
                <w:color w:val="303030"/>
                <w:szCs w:val="24"/>
              </w:rPr>
              <w:t>,</w:t>
            </w:r>
            <w:r w:rsidRPr="00AA6CA1">
              <w:rPr>
                <w:color w:val="303030"/>
                <w:szCs w:val="24"/>
              </w:rPr>
              <w:t>422</w:t>
            </w:r>
            <w:r>
              <w:rPr>
                <w:color w:val="303030"/>
                <w:szCs w:val="24"/>
              </w:rPr>
              <w:t>.</w:t>
            </w:r>
            <w:r w:rsidRPr="00AA6CA1">
              <w:rPr>
                <w:color w:val="303030"/>
                <w:szCs w:val="24"/>
              </w:rPr>
              <w:t>9 ± 2</w:t>
            </w:r>
            <w:r>
              <w:rPr>
                <w:color w:val="303030"/>
                <w:szCs w:val="24"/>
              </w:rPr>
              <w:t>,</w:t>
            </w:r>
            <w:r w:rsidRPr="00AA6CA1">
              <w:rPr>
                <w:color w:val="303030"/>
                <w:szCs w:val="24"/>
              </w:rPr>
              <w:t>820</w:t>
            </w:r>
            <w:r>
              <w:rPr>
                <w:color w:val="303030"/>
                <w:szCs w:val="24"/>
              </w:rPr>
              <w:t>.</w:t>
            </w:r>
            <w:r w:rsidRPr="00AA6CA1">
              <w:rPr>
                <w:color w:val="303030"/>
                <w:szCs w:val="24"/>
              </w:rPr>
              <w:t>3</w:t>
            </w:r>
          </w:p>
        </w:tc>
        <w:tc>
          <w:tcPr>
            <w:tcW w:w="1701" w:type="dxa"/>
          </w:tcPr>
          <w:p w14:paraId="6C981D51" w14:textId="58BE4682" w:rsidR="003D7789" w:rsidRPr="00F41F74" w:rsidRDefault="003D7789" w:rsidP="00A3509C">
            <w:pPr>
              <w:pStyle w:val="NormalWeb"/>
              <w:spacing w:before="240" w:beforeAutospacing="0" w:after="240" w:afterAutospacing="0"/>
              <w:ind w:right="-103"/>
              <w:jc w:val="center"/>
              <w:rPr>
                <w:szCs w:val="24"/>
              </w:rPr>
            </w:pPr>
            <w:r w:rsidRPr="00AA6CA1">
              <w:rPr>
                <w:color w:val="303030"/>
                <w:szCs w:val="24"/>
              </w:rPr>
              <w:t>36</w:t>
            </w:r>
            <w:r>
              <w:rPr>
                <w:color w:val="303030"/>
                <w:szCs w:val="24"/>
              </w:rPr>
              <w:t>.</w:t>
            </w:r>
            <w:r w:rsidRPr="00AA6CA1">
              <w:rPr>
                <w:color w:val="303030"/>
                <w:szCs w:val="24"/>
              </w:rPr>
              <w:t>6 - 698</w:t>
            </w:r>
            <w:r>
              <w:rPr>
                <w:color w:val="303030"/>
                <w:szCs w:val="24"/>
              </w:rPr>
              <w:t>.</w:t>
            </w:r>
            <w:r w:rsidRPr="00AA6CA1">
              <w:rPr>
                <w:color w:val="303030"/>
                <w:szCs w:val="24"/>
              </w:rPr>
              <w:t>6</w:t>
            </w:r>
          </w:p>
        </w:tc>
        <w:tc>
          <w:tcPr>
            <w:tcW w:w="2186" w:type="dxa"/>
          </w:tcPr>
          <w:p w14:paraId="22A990AF" w14:textId="16A3BFC6" w:rsidR="003D7789" w:rsidRPr="00F41F74" w:rsidRDefault="003D7789" w:rsidP="00A3509C">
            <w:pPr>
              <w:pStyle w:val="NormalWeb"/>
              <w:spacing w:before="240" w:beforeAutospacing="0" w:after="240" w:afterAutospacing="0"/>
              <w:jc w:val="center"/>
              <w:rPr>
                <w:szCs w:val="24"/>
              </w:rPr>
            </w:pPr>
            <w:r w:rsidRPr="00AA6CA1">
              <w:rPr>
                <w:color w:val="303030"/>
                <w:szCs w:val="24"/>
              </w:rPr>
              <w:t>≤ 80</w:t>
            </w:r>
          </w:p>
        </w:tc>
      </w:tr>
      <w:tr w:rsidR="00A3509C" w:rsidRPr="00F41F74" w14:paraId="7E25B4EE" w14:textId="77777777" w:rsidTr="00A3509C">
        <w:tc>
          <w:tcPr>
            <w:tcW w:w="1320" w:type="dxa"/>
          </w:tcPr>
          <w:p w14:paraId="160C6AD0" w14:textId="2300BA8A" w:rsidR="003D7789" w:rsidRPr="00F41F74" w:rsidRDefault="003D7789" w:rsidP="003D7789">
            <w:pPr>
              <w:pStyle w:val="NormalWeb"/>
              <w:spacing w:before="240" w:beforeAutospacing="0" w:after="240" w:afterAutospacing="0"/>
              <w:ind w:right="-109"/>
              <w:jc w:val="left"/>
              <w:rPr>
                <w:szCs w:val="24"/>
              </w:rPr>
            </w:pPr>
            <w:r w:rsidRPr="00AA6CA1">
              <w:rPr>
                <w:color w:val="303030"/>
                <w:szCs w:val="24"/>
              </w:rPr>
              <w:t>TN</w:t>
            </w:r>
          </w:p>
        </w:tc>
        <w:tc>
          <w:tcPr>
            <w:tcW w:w="1652" w:type="dxa"/>
          </w:tcPr>
          <w:p w14:paraId="756A5AE4" w14:textId="6E010F08" w:rsidR="003D7789" w:rsidRPr="00F41F74" w:rsidRDefault="003D7789" w:rsidP="00A3509C">
            <w:pPr>
              <w:pStyle w:val="NormalWeb"/>
              <w:spacing w:before="240" w:beforeAutospacing="0" w:after="240" w:afterAutospacing="0"/>
              <w:ind w:right="-107"/>
              <w:jc w:val="center"/>
              <w:rPr>
                <w:szCs w:val="24"/>
              </w:rPr>
            </w:pPr>
            <w:r w:rsidRPr="00AA6CA1">
              <w:rPr>
                <w:color w:val="303030"/>
                <w:szCs w:val="24"/>
              </w:rPr>
              <w:t>mg/L</w:t>
            </w:r>
          </w:p>
        </w:tc>
        <w:tc>
          <w:tcPr>
            <w:tcW w:w="1843" w:type="dxa"/>
          </w:tcPr>
          <w:p w14:paraId="0C2DD8EA" w14:textId="39AA8A03" w:rsidR="003D7789" w:rsidRPr="00F41F74" w:rsidRDefault="003D7789" w:rsidP="00A3509C">
            <w:pPr>
              <w:pStyle w:val="NormalWeb"/>
              <w:spacing w:before="240" w:beforeAutospacing="0" w:after="240" w:afterAutospacing="0"/>
              <w:jc w:val="center"/>
              <w:rPr>
                <w:szCs w:val="24"/>
              </w:rPr>
            </w:pPr>
            <w:r w:rsidRPr="00AA6CA1">
              <w:rPr>
                <w:color w:val="303030"/>
                <w:szCs w:val="24"/>
              </w:rPr>
              <w:t>19</w:t>
            </w:r>
            <w:r>
              <w:rPr>
                <w:color w:val="303030"/>
                <w:szCs w:val="24"/>
              </w:rPr>
              <w:t>.</w:t>
            </w:r>
            <w:r w:rsidRPr="00AA6CA1">
              <w:rPr>
                <w:color w:val="303030"/>
                <w:szCs w:val="24"/>
              </w:rPr>
              <w:t>48 ± 6</w:t>
            </w:r>
            <w:r>
              <w:rPr>
                <w:color w:val="303030"/>
                <w:szCs w:val="24"/>
              </w:rPr>
              <w:t>.</w:t>
            </w:r>
            <w:r w:rsidRPr="00AA6CA1">
              <w:rPr>
                <w:color w:val="303030"/>
                <w:szCs w:val="24"/>
              </w:rPr>
              <w:t>80</w:t>
            </w:r>
          </w:p>
        </w:tc>
        <w:tc>
          <w:tcPr>
            <w:tcW w:w="1984" w:type="dxa"/>
          </w:tcPr>
          <w:p w14:paraId="55E734B1" w14:textId="5E7D6257" w:rsidR="003D7789" w:rsidRPr="00F41F74" w:rsidRDefault="003D7789" w:rsidP="00A3509C">
            <w:pPr>
              <w:pStyle w:val="NormalWeb"/>
              <w:spacing w:before="240" w:beforeAutospacing="0" w:after="240" w:afterAutospacing="0"/>
              <w:jc w:val="center"/>
              <w:rPr>
                <w:szCs w:val="24"/>
              </w:rPr>
            </w:pPr>
            <w:r w:rsidRPr="00AA6CA1">
              <w:rPr>
                <w:color w:val="303030"/>
                <w:szCs w:val="24"/>
              </w:rPr>
              <w:t>161</w:t>
            </w:r>
            <w:r>
              <w:rPr>
                <w:color w:val="303030"/>
                <w:szCs w:val="24"/>
              </w:rPr>
              <w:t>.</w:t>
            </w:r>
            <w:r w:rsidRPr="00AA6CA1">
              <w:rPr>
                <w:color w:val="303030"/>
                <w:szCs w:val="24"/>
              </w:rPr>
              <w:t>32 ± 163</w:t>
            </w:r>
            <w:r>
              <w:rPr>
                <w:color w:val="303030"/>
                <w:szCs w:val="24"/>
              </w:rPr>
              <w:t>.</w:t>
            </w:r>
            <w:r w:rsidRPr="00AA6CA1">
              <w:rPr>
                <w:color w:val="303030"/>
                <w:szCs w:val="24"/>
              </w:rPr>
              <w:t>93</w:t>
            </w:r>
          </w:p>
        </w:tc>
        <w:tc>
          <w:tcPr>
            <w:tcW w:w="1701" w:type="dxa"/>
          </w:tcPr>
          <w:p w14:paraId="21DD402C" w14:textId="0B3287DD" w:rsidR="003D7789" w:rsidRPr="00F41F74" w:rsidRDefault="003D7789" w:rsidP="00A3509C">
            <w:pPr>
              <w:pStyle w:val="NormalWeb"/>
              <w:spacing w:before="240" w:beforeAutospacing="0" w:after="240" w:afterAutospacing="0"/>
              <w:jc w:val="center"/>
              <w:rPr>
                <w:szCs w:val="24"/>
              </w:rPr>
            </w:pPr>
            <w:r w:rsidRPr="00AA6CA1">
              <w:rPr>
                <w:color w:val="303030"/>
                <w:szCs w:val="24"/>
              </w:rPr>
              <w:t>2</w:t>
            </w:r>
            <w:r>
              <w:rPr>
                <w:color w:val="303030"/>
                <w:szCs w:val="24"/>
              </w:rPr>
              <w:t>.</w:t>
            </w:r>
            <w:r w:rsidRPr="00AA6CA1">
              <w:rPr>
                <w:color w:val="303030"/>
                <w:szCs w:val="24"/>
              </w:rPr>
              <w:t>02 - 145</w:t>
            </w:r>
            <w:r>
              <w:rPr>
                <w:color w:val="303030"/>
                <w:szCs w:val="24"/>
              </w:rPr>
              <w:t>.</w:t>
            </w:r>
            <w:r w:rsidRPr="00AA6CA1">
              <w:rPr>
                <w:color w:val="303030"/>
                <w:szCs w:val="24"/>
              </w:rPr>
              <w:t>0</w:t>
            </w:r>
          </w:p>
        </w:tc>
        <w:tc>
          <w:tcPr>
            <w:tcW w:w="2186" w:type="dxa"/>
          </w:tcPr>
          <w:p w14:paraId="3FF3919B" w14:textId="2C92DE1C" w:rsidR="003D7789" w:rsidRPr="00F41F74" w:rsidRDefault="003D7789" w:rsidP="00A3509C">
            <w:pPr>
              <w:pStyle w:val="NormalWeb"/>
              <w:spacing w:before="240" w:beforeAutospacing="0" w:after="240" w:afterAutospacing="0"/>
              <w:jc w:val="center"/>
              <w:rPr>
                <w:szCs w:val="24"/>
              </w:rPr>
            </w:pPr>
            <w:r w:rsidRPr="00AA6CA1">
              <w:rPr>
                <w:color w:val="303030"/>
                <w:szCs w:val="24"/>
              </w:rPr>
              <w:t>≤ 40</w:t>
            </w:r>
          </w:p>
        </w:tc>
      </w:tr>
      <w:tr w:rsidR="00A3509C" w:rsidRPr="00F41F74" w14:paraId="000EE7F8" w14:textId="77777777" w:rsidTr="00A3509C">
        <w:tc>
          <w:tcPr>
            <w:tcW w:w="1320" w:type="dxa"/>
          </w:tcPr>
          <w:p w14:paraId="079B158F" w14:textId="195FB430" w:rsidR="003D7789" w:rsidRPr="00F41F74" w:rsidRDefault="003D7789" w:rsidP="003D7789">
            <w:pPr>
              <w:pStyle w:val="NormalWeb"/>
              <w:spacing w:before="240" w:beforeAutospacing="0" w:after="240" w:afterAutospacing="0"/>
              <w:ind w:right="-109"/>
              <w:jc w:val="left"/>
              <w:rPr>
                <w:szCs w:val="24"/>
              </w:rPr>
            </w:pPr>
            <w:r w:rsidRPr="00AA6CA1">
              <w:rPr>
                <w:color w:val="303030"/>
                <w:szCs w:val="24"/>
              </w:rPr>
              <w:t>TP</w:t>
            </w:r>
          </w:p>
        </w:tc>
        <w:tc>
          <w:tcPr>
            <w:tcW w:w="1652" w:type="dxa"/>
          </w:tcPr>
          <w:p w14:paraId="6396D59B" w14:textId="07904B04" w:rsidR="003D7789" w:rsidRPr="00F41F74" w:rsidRDefault="003D7789" w:rsidP="00A3509C">
            <w:pPr>
              <w:pStyle w:val="NormalWeb"/>
              <w:spacing w:before="240" w:beforeAutospacing="0" w:after="240" w:afterAutospacing="0"/>
              <w:ind w:right="-107"/>
              <w:jc w:val="center"/>
              <w:rPr>
                <w:szCs w:val="24"/>
              </w:rPr>
            </w:pPr>
            <w:r w:rsidRPr="00AA6CA1">
              <w:rPr>
                <w:color w:val="303030"/>
                <w:szCs w:val="24"/>
              </w:rPr>
              <w:t>mg/L</w:t>
            </w:r>
          </w:p>
        </w:tc>
        <w:tc>
          <w:tcPr>
            <w:tcW w:w="1843" w:type="dxa"/>
          </w:tcPr>
          <w:p w14:paraId="2C8D802A" w14:textId="459A870F" w:rsidR="003D7789" w:rsidRPr="00F41F74" w:rsidRDefault="003D7789" w:rsidP="00A3509C">
            <w:pPr>
              <w:pStyle w:val="NormalWeb"/>
              <w:spacing w:before="240" w:beforeAutospacing="0" w:after="240" w:afterAutospacing="0"/>
              <w:jc w:val="center"/>
              <w:rPr>
                <w:szCs w:val="24"/>
              </w:rPr>
            </w:pPr>
            <w:r w:rsidRPr="00AA6CA1">
              <w:rPr>
                <w:color w:val="303030"/>
                <w:szCs w:val="24"/>
              </w:rPr>
              <w:t>4</w:t>
            </w:r>
            <w:r>
              <w:rPr>
                <w:color w:val="303030"/>
                <w:szCs w:val="24"/>
              </w:rPr>
              <w:t>.</w:t>
            </w:r>
            <w:r w:rsidRPr="00AA6CA1">
              <w:rPr>
                <w:color w:val="303030"/>
                <w:szCs w:val="24"/>
              </w:rPr>
              <w:t>68 ± 1</w:t>
            </w:r>
            <w:r>
              <w:rPr>
                <w:color w:val="303030"/>
                <w:szCs w:val="24"/>
              </w:rPr>
              <w:t>.</w:t>
            </w:r>
            <w:r w:rsidRPr="00AA6CA1">
              <w:rPr>
                <w:color w:val="303030"/>
                <w:szCs w:val="24"/>
              </w:rPr>
              <w:t>91</w:t>
            </w:r>
          </w:p>
        </w:tc>
        <w:tc>
          <w:tcPr>
            <w:tcW w:w="1984" w:type="dxa"/>
          </w:tcPr>
          <w:p w14:paraId="4B7A9177" w14:textId="543C238A" w:rsidR="003D7789" w:rsidRPr="00F41F74" w:rsidRDefault="003D7789" w:rsidP="00A3509C">
            <w:pPr>
              <w:pStyle w:val="NormalWeb"/>
              <w:spacing w:before="240" w:beforeAutospacing="0" w:after="240" w:afterAutospacing="0"/>
              <w:jc w:val="center"/>
              <w:rPr>
                <w:szCs w:val="24"/>
              </w:rPr>
            </w:pPr>
            <w:r w:rsidRPr="00AA6CA1">
              <w:rPr>
                <w:color w:val="303030"/>
                <w:szCs w:val="24"/>
              </w:rPr>
              <w:t>91</w:t>
            </w:r>
            <w:r>
              <w:rPr>
                <w:color w:val="303030"/>
                <w:szCs w:val="24"/>
              </w:rPr>
              <w:t>.</w:t>
            </w:r>
            <w:r w:rsidRPr="00AA6CA1">
              <w:rPr>
                <w:color w:val="303030"/>
                <w:szCs w:val="24"/>
              </w:rPr>
              <w:t>68 ± 133</w:t>
            </w:r>
            <w:r>
              <w:rPr>
                <w:color w:val="303030"/>
                <w:szCs w:val="24"/>
              </w:rPr>
              <w:t>.</w:t>
            </w:r>
            <w:r w:rsidRPr="00AA6CA1">
              <w:rPr>
                <w:color w:val="303030"/>
                <w:szCs w:val="24"/>
              </w:rPr>
              <w:t>50</w:t>
            </w:r>
          </w:p>
        </w:tc>
        <w:tc>
          <w:tcPr>
            <w:tcW w:w="1701" w:type="dxa"/>
          </w:tcPr>
          <w:p w14:paraId="382B63A3" w14:textId="222C3DDA" w:rsidR="003D7789" w:rsidRPr="00F41F74" w:rsidRDefault="003D7789" w:rsidP="00A3509C">
            <w:pPr>
              <w:pStyle w:val="NormalWeb"/>
              <w:spacing w:before="240" w:beforeAutospacing="0" w:after="240" w:afterAutospacing="0"/>
              <w:jc w:val="center"/>
              <w:rPr>
                <w:szCs w:val="24"/>
              </w:rPr>
            </w:pPr>
            <w:r w:rsidRPr="00AA6CA1">
              <w:rPr>
                <w:color w:val="303030"/>
                <w:szCs w:val="24"/>
              </w:rPr>
              <w:t>0</w:t>
            </w:r>
            <w:r>
              <w:rPr>
                <w:color w:val="303030"/>
                <w:szCs w:val="24"/>
              </w:rPr>
              <w:t>.</w:t>
            </w:r>
            <w:r w:rsidRPr="00AA6CA1">
              <w:rPr>
                <w:color w:val="303030"/>
                <w:szCs w:val="24"/>
              </w:rPr>
              <w:t>78 - 17</w:t>
            </w:r>
            <w:r>
              <w:rPr>
                <w:color w:val="303030"/>
                <w:szCs w:val="24"/>
              </w:rPr>
              <w:t>.</w:t>
            </w:r>
            <w:r w:rsidRPr="00AA6CA1">
              <w:rPr>
                <w:color w:val="303030"/>
                <w:szCs w:val="24"/>
              </w:rPr>
              <w:t>32</w:t>
            </w:r>
          </w:p>
        </w:tc>
        <w:tc>
          <w:tcPr>
            <w:tcW w:w="2186" w:type="dxa"/>
          </w:tcPr>
          <w:p w14:paraId="739A4325" w14:textId="164D8A12" w:rsidR="003D7789" w:rsidRPr="00F41F74" w:rsidRDefault="003D7789" w:rsidP="00A3509C">
            <w:pPr>
              <w:pStyle w:val="NormalWeb"/>
              <w:spacing w:before="240" w:beforeAutospacing="0" w:after="240" w:afterAutospacing="0"/>
              <w:jc w:val="center"/>
              <w:rPr>
                <w:szCs w:val="24"/>
              </w:rPr>
            </w:pPr>
            <w:r w:rsidRPr="00AA6CA1">
              <w:rPr>
                <w:color w:val="303030"/>
                <w:szCs w:val="24"/>
              </w:rPr>
              <w:t>≤ 14</w:t>
            </w:r>
          </w:p>
        </w:tc>
      </w:tr>
      <w:tr w:rsidR="003D7789" w:rsidRPr="00F41F74" w14:paraId="7AF73CE6" w14:textId="77777777" w:rsidTr="00A3509C">
        <w:tc>
          <w:tcPr>
            <w:tcW w:w="1320" w:type="dxa"/>
          </w:tcPr>
          <w:p w14:paraId="0D88AD56" w14:textId="37B69F05" w:rsidR="003D7789" w:rsidRPr="00F41F74" w:rsidRDefault="003D7789" w:rsidP="003D7789">
            <w:pPr>
              <w:pStyle w:val="NormalWeb"/>
              <w:spacing w:before="240" w:beforeAutospacing="0" w:after="240" w:afterAutospacing="0"/>
              <w:ind w:right="-109"/>
            </w:pPr>
            <w:r w:rsidRPr="00AA6CA1">
              <w:rPr>
                <w:color w:val="303030"/>
                <w:szCs w:val="24"/>
              </w:rPr>
              <w:t>Coliforms</w:t>
            </w:r>
          </w:p>
        </w:tc>
        <w:tc>
          <w:tcPr>
            <w:tcW w:w="1652" w:type="dxa"/>
          </w:tcPr>
          <w:p w14:paraId="4F6E6753" w14:textId="11B98B41" w:rsidR="003D7789" w:rsidRPr="00F41F74" w:rsidRDefault="003D7789" w:rsidP="00A3509C">
            <w:pPr>
              <w:pStyle w:val="NormalWeb"/>
              <w:spacing w:before="240" w:beforeAutospacing="0" w:after="240" w:afterAutospacing="0"/>
              <w:ind w:left="-152" w:right="-107"/>
              <w:jc w:val="center"/>
            </w:pPr>
            <w:r w:rsidRPr="00AA6CA1">
              <w:rPr>
                <w:color w:val="303030"/>
                <w:szCs w:val="24"/>
              </w:rPr>
              <w:t>MPN/100</w:t>
            </w:r>
            <w:r>
              <w:rPr>
                <w:color w:val="303030"/>
                <w:szCs w:val="24"/>
              </w:rPr>
              <w:t xml:space="preserve"> </w:t>
            </w:r>
            <w:r w:rsidRPr="00AA6CA1">
              <w:rPr>
                <w:color w:val="303030"/>
                <w:szCs w:val="24"/>
              </w:rPr>
              <w:t>mL</w:t>
            </w:r>
          </w:p>
        </w:tc>
        <w:tc>
          <w:tcPr>
            <w:tcW w:w="1843" w:type="dxa"/>
          </w:tcPr>
          <w:p w14:paraId="597EC600" w14:textId="23FD4873" w:rsidR="003D7789" w:rsidRPr="00F41F74" w:rsidRDefault="003D7789" w:rsidP="00A3509C">
            <w:pPr>
              <w:pStyle w:val="NormalWeb"/>
              <w:spacing w:before="240" w:beforeAutospacing="0" w:after="240" w:afterAutospacing="0"/>
              <w:jc w:val="center"/>
            </w:pPr>
            <w:r w:rsidRPr="00AA6CA1">
              <w:rPr>
                <w:color w:val="303030"/>
                <w:szCs w:val="24"/>
              </w:rPr>
              <w:t>-</w:t>
            </w:r>
          </w:p>
        </w:tc>
        <w:tc>
          <w:tcPr>
            <w:tcW w:w="1984" w:type="dxa"/>
          </w:tcPr>
          <w:p w14:paraId="6F7EC896" w14:textId="46D131ED" w:rsidR="003D7789" w:rsidRPr="00F41F74" w:rsidRDefault="003D7789" w:rsidP="00A3509C">
            <w:pPr>
              <w:pStyle w:val="NormalWeb"/>
              <w:spacing w:before="240" w:beforeAutospacing="0" w:after="240" w:afterAutospacing="0"/>
              <w:jc w:val="center"/>
            </w:pPr>
            <w:r w:rsidRPr="00AA6CA1">
              <w:rPr>
                <w:color w:val="303030"/>
                <w:szCs w:val="24"/>
              </w:rPr>
              <w:t>-</w:t>
            </w:r>
          </w:p>
        </w:tc>
        <w:tc>
          <w:tcPr>
            <w:tcW w:w="1701" w:type="dxa"/>
          </w:tcPr>
          <w:p w14:paraId="6DE2137B" w14:textId="62753C3E" w:rsidR="003D7789" w:rsidRPr="00F41F74" w:rsidRDefault="003D7789" w:rsidP="00A3509C">
            <w:pPr>
              <w:pStyle w:val="NormalWeb"/>
              <w:spacing w:before="240" w:beforeAutospacing="0" w:after="240" w:afterAutospacing="0"/>
              <w:jc w:val="center"/>
            </w:pPr>
            <w:r w:rsidRPr="00AA6CA1">
              <w:rPr>
                <w:color w:val="303030"/>
                <w:szCs w:val="24"/>
              </w:rPr>
              <w:t>7.850 - 27.585</w:t>
            </w:r>
          </w:p>
        </w:tc>
        <w:tc>
          <w:tcPr>
            <w:tcW w:w="2186" w:type="dxa"/>
          </w:tcPr>
          <w:p w14:paraId="15125298" w14:textId="46950CFC" w:rsidR="003D7789" w:rsidRPr="00F41F74" w:rsidRDefault="003D7789" w:rsidP="00A3509C">
            <w:pPr>
              <w:pStyle w:val="NormalWeb"/>
              <w:spacing w:before="240" w:beforeAutospacing="0" w:after="240" w:afterAutospacing="0"/>
              <w:jc w:val="center"/>
            </w:pPr>
            <w:r w:rsidRPr="00AA6CA1">
              <w:rPr>
                <w:color w:val="303030"/>
                <w:szCs w:val="24"/>
              </w:rPr>
              <w:t>≤ 5</w:t>
            </w:r>
            <w:r>
              <w:rPr>
                <w:color w:val="303030"/>
                <w:szCs w:val="24"/>
              </w:rPr>
              <w:t>,</w:t>
            </w:r>
            <w:r w:rsidRPr="00AA6CA1">
              <w:rPr>
                <w:color w:val="303030"/>
                <w:szCs w:val="24"/>
              </w:rPr>
              <w:t>000</w:t>
            </w:r>
          </w:p>
        </w:tc>
      </w:tr>
    </w:tbl>
    <w:p w14:paraId="12DF9E29" w14:textId="7D6E65A3" w:rsidR="002A7D63" w:rsidRPr="00A3509C" w:rsidRDefault="00A3509C" w:rsidP="00A3509C">
      <w:pPr>
        <w:spacing w:before="240" w:after="240" w:line="240" w:lineRule="auto"/>
        <w:jc w:val="center"/>
        <w:rPr>
          <w:rFonts w:eastAsia="Times New Roman"/>
          <w:i/>
          <w:iCs/>
          <w:sz w:val="24"/>
        </w:rPr>
      </w:pPr>
      <w:r w:rsidRPr="00A3509C">
        <w:rPr>
          <w:rFonts w:eastAsia="Times New Roman"/>
          <w:i/>
          <w:iCs/>
          <w:sz w:val="24"/>
        </w:rPr>
        <w:t>(Source: Compiled from Nam et al., 2022; Ton et al., 2023; Thang, 2023; Tri et al., 2022)</w:t>
      </w:r>
    </w:p>
    <w:p w14:paraId="5179E4A6" w14:textId="441DB761" w:rsidR="00A3509C" w:rsidRPr="00F41F74" w:rsidRDefault="00A3509C" w:rsidP="00A3509C">
      <w:pPr>
        <w:spacing w:before="240" w:after="240" w:line="240" w:lineRule="auto"/>
        <w:jc w:val="both"/>
        <w:outlineLvl w:val="2"/>
        <w:rPr>
          <w:rFonts w:eastAsia="Times New Roman"/>
          <w:b/>
          <w:bCs/>
          <w:sz w:val="24"/>
        </w:rPr>
      </w:pPr>
      <w:r w:rsidRPr="00F41F74">
        <w:rPr>
          <w:rFonts w:eastAsia="Times New Roman"/>
          <w:b/>
          <w:bCs/>
          <w:sz w:val="24"/>
        </w:rPr>
        <w:t>2.</w:t>
      </w:r>
      <w:r>
        <w:rPr>
          <w:rFonts w:eastAsia="Times New Roman"/>
          <w:b/>
          <w:bCs/>
          <w:sz w:val="24"/>
        </w:rPr>
        <w:t>3</w:t>
      </w:r>
      <w:r w:rsidRPr="00F41F74">
        <w:rPr>
          <w:rFonts w:eastAsia="Times New Roman"/>
          <w:b/>
          <w:bCs/>
          <w:sz w:val="24"/>
        </w:rPr>
        <w:t xml:space="preserve"> </w:t>
      </w:r>
      <w:r w:rsidRPr="00A3509C">
        <w:rPr>
          <w:rFonts w:eastAsia="Times New Roman"/>
          <w:b/>
          <w:bCs/>
          <w:sz w:val="24"/>
        </w:rPr>
        <w:t>Characteristics and quantities of pond bottom waste sludge</w:t>
      </w:r>
    </w:p>
    <w:p w14:paraId="36FE00A6" w14:textId="77777777" w:rsidR="00A3509C" w:rsidRPr="00A3509C" w:rsidRDefault="00A3509C" w:rsidP="00A3509C">
      <w:pPr>
        <w:spacing w:before="240" w:after="240" w:line="240" w:lineRule="auto"/>
        <w:jc w:val="both"/>
        <w:rPr>
          <w:rFonts w:eastAsia="Times New Roman"/>
          <w:sz w:val="24"/>
        </w:rPr>
      </w:pPr>
      <w:r w:rsidRPr="00A3509C">
        <w:rPr>
          <w:rFonts w:eastAsia="Times New Roman"/>
          <w:sz w:val="24"/>
        </w:rPr>
        <w:t>In contrast to wastewater, pond bottom sludge is a dense organic sediment collected through the siphon system. In the MD, it is estimated that the volume of waste sludge generated per hectare of SISF ponds ranges from 123 to 151 tons per crop (Tri et al., 2022). Poor management of this substantial sludge volume, such as direct discharge into canals and rivers, not only causes sedimentation and narrowing of waterways but also leads to organic pollution and salinization of surrounding agricultural lands.</w:t>
      </w:r>
    </w:p>
    <w:p w14:paraId="496BB1AD" w14:textId="77777777" w:rsidR="00A3509C" w:rsidRPr="00A3509C" w:rsidRDefault="00A3509C" w:rsidP="00A3509C">
      <w:pPr>
        <w:spacing w:before="240" w:after="240" w:line="240" w:lineRule="auto"/>
        <w:jc w:val="both"/>
        <w:rPr>
          <w:rFonts w:eastAsia="Times New Roman"/>
          <w:sz w:val="24"/>
        </w:rPr>
      </w:pPr>
      <w:r w:rsidRPr="00A3509C">
        <w:rPr>
          <w:rFonts w:eastAsia="Times New Roman"/>
          <w:sz w:val="24"/>
        </w:rPr>
        <w:t xml:space="preserve">From a circular economy perspective, shrimp pond bottom sludge is essentially a nutrient bank. An analysis by Thang (2023) documented that the physicochemical composition of SISF shrimp pond sludge has a pH ranging from neutral to slightly alkaline (6.57–8.0). Furthermore, the sludge contains an abundant TOC content, ranging </w:t>
      </w:r>
      <w:r w:rsidRPr="00A3509C">
        <w:rPr>
          <w:rFonts w:eastAsia="Times New Roman"/>
          <w:sz w:val="24"/>
        </w:rPr>
        <w:lastRenderedPageBreak/>
        <w:t>from 5.14% to 9.79%. Due to unconsumed feed inputs, TN, and TP accumulation in SISF sludge reaches relatively high concentrations of 1.85 mg/g and 0.69 mg/g, respectively (Thang, 2023).</w:t>
      </w:r>
    </w:p>
    <w:p w14:paraId="4D9BC900" w14:textId="438C1DBA" w:rsidR="00AA4587" w:rsidRDefault="00A3509C" w:rsidP="00A3509C">
      <w:pPr>
        <w:spacing w:before="240" w:after="240" w:line="240" w:lineRule="auto"/>
        <w:jc w:val="both"/>
        <w:rPr>
          <w:rFonts w:eastAsia="Times New Roman"/>
          <w:sz w:val="24"/>
        </w:rPr>
      </w:pPr>
      <w:r w:rsidRPr="00A3509C">
        <w:rPr>
          <w:rFonts w:eastAsia="Times New Roman"/>
          <w:sz w:val="24"/>
        </w:rPr>
        <w:t>A critical characteristic that must be considered when reusing shrimp sludge is salinity. The salinity of SISF bottom sludge is recorded at a moderate level, ranging from 3.18 to 4.83‰ (occasionally reaching up to 5.4‰), which is significantly higher than that of semi-intensive models (Thang, 2023). This factor poses a major technical challenge when applying biological decomposition processes (such as aerobic or anaerobic digestion), as high salinity can inhibit microbial growth. However, a positive finding recorded from the study by Thang (2023) is that although the concentrations of highly toxic heavy metals in the sludge are higher than those in traditional models (As: 16.23 mg/kg; Zn: 81.81 mg/kg), they remain within safe limits, fully complying with the QCVN 43:2025/BTNMT National technical regulation on sediment quality. This characteristic confirms that SISF shrimp pond waste sludge fully satisfies ecological safety criteria for use as an input material for organic compost or biogas production.</w:t>
      </w:r>
    </w:p>
    <w:p w14:paraId="29ECDE4C" w14:textId="2FF561CD" w:rsidR="00A3509C" w:rsidRPr="00177462" w:rsidRDefault="00A3509C" w:rsidP="00A3509C">
      <w:pPr>
        <w:pStyle w:val="ListParagraph"/>
        <w:numPr>
          <w:ilvl w:val="0"/>
          <w:numId w:val="1"/>
        </w:numPr>
        <w:spacing w:before="240" w:after="240" w:line="240" w:lineRule="auto"/>
        <w:jc w:val="both"/>
        <w:rPr>
          <w:rFonts w:eastAsia="Times New Roman"/>
          <w:sz w:val="28"/>
          <w:szCs w:val="28"/>
        </w:rPr>
      </w:pPr>
      <w:r w:rsidRPr="00A3509C">
        <w:rPr>
          <w:rFonts w:eastAsia="Times New Roman"/>
          <w:b/>
          <w:bCs/>
          <w:sz w:val="28"/>
          <w:szCs w:val="28"/>
        </w:rPr>
        <w:t>ECOLOGICAL TECHNOLOGIES FOR WASTEWATER RECIRCULATION AND TREATMENT</w:t>
      </w:r>
    </w:p>
    <w:p w14:paraId="7F18D954" w14:textId="3B469C80" w:rsidR="00A3509C" w:rsidRPr="00F41F74" w:rsidRDefault="00A3509C" w:rsidP="00A3509C">
      <w:pPr>
        <w:spacing w:before="240" w:after="240" w:line="240" w:lineRule="auto"/>
        <w:outlineLvl w:val="2"/>
        <w:rPr>
          <w:rFonts w:eastAsia="Times New Roman"/>
          <w:b/>
          <w:bCs/>
          <w:sz w:val="24"/>
        </w:rPr>
      </w:pPr>
      <w:r>
        <w:rPr>
          <w:rFonts w:eastAsia="Times New Roman"/>
          <w:b/>
          <w:bCs/>
          <w:sz w:val="24"/>
        </w:rPr>
        <w:t>3</w:t>
      </w:r>
      <w:r w:rsidRPr="00F41F74">
        <w:rPr>
          <w:rFonts w:eastAsia="Times New Roman"/>
          <w:b/>
          <w:bCs/>
          <w:sz w:val="24"/>
        </w:rPr>
        <w:t xml:space="preserve">.1 </w:t>
      </w:r>
      <w:r w:rsidRPr="00A3509C">
        <w:rPr>
          <w:rFonts w:eastAsia="Times New Roman"/>
          <w:b/>
          <w:bCs/>
          <w:sz w:val="24"/>
        </w:rPr>
        <w:t>Biological settling pond systems: Optimization of hydraulic retention time and area planning</w:t>
      </w:r>
    </w:p>
    <w:p w14:paraId="44C374AE" w14:textId="62DB28B5" w:rsidR="00594748" w:rsidRPr="00594748" w:rsidRDefault="00594748" w:rsidP="00594748">
      <w:pPr>
        <w:spacing w:before="240" w:after="240" w:line="240" w:lineRule="auto"/>
        <w:outlineLvl w:val="2"/>
        <w:rPr>
          <w:rFonts w:eastAsia="Times New Roman"/>
          <w:b/>
          <w:bCs/>
          <w:i/>
          <w:iCs/>
          <w:sz w:val="24"/>
        </w:rPr>
      </w:pPr>
      <w:r w:rsidRPr="00594748">
        <w:rPr>
          <w:rFonts w:eastAsia="Times New Roman"/>
          <w:b/>
          <w:bCs/>
          <w:i/>
          <w:iCs/>
          <w:sz w:val="24"/>
        </w:rPr>
        <w:t>3.1</w:t>
      </w:r>
      <w:r>
        <w:rPr>
          <w:rFonts w:eastAsia="Times New Roman"/>
          <w:b/>
          <w:bCs/>
          <w:i/>
          <w:iCs/>
          <w:sz w:val="24"/>
        </w:rPr>
        <w:t>.1</w:t>
      </w:r>
      <w:r w:rsidRPr="00594748">
        <w:rPr>
          <w:rFonts w:eastAsia="Times New Roman"/>
          <w:b/>
          <w:bCs/>
          <w:i/>
          <w:iCs/>
          <w:sz w:val="24"/>
        </w:rPr>
        <w:t xml:space="preserve"> Sedimentation kinetics and optimization of hydraulic retention time</w:t>
      </w:r>
    </w:p>
    <w:p w14:paraId="23E903BB" w14:textId="77777777" w:rsidR="00594748" w:rsidRPr="00594748" w:rsidRDefault="00594748" w:rsidP="00594748">
      <w:pPr>
        <w:spacing w:before="240" w:after="240" w:line="240" w:lineRule="auto"/>
        <w:jc w:val="both"/>
        <w:rPr>
          <w:rFonts w:eastAsia="Times New Roman"/>
          <w:sz w:val="24"/>
        </w:rPr>
      </w:pPr>
      <w:r w:rsidRPr="00594748">
        <w:rPr>
          <w:rFonts w:eastAsia="Times New Roman"/>
          <w:sz w:val="24"/>
        </w:rPr>
        <w:t>The core mechanism for the effective operation of biological settling pond systems lies in extending the hydraulic retention time (HRT). This extension ensures that suspended solid particles precipitate completely and provides the indigenous microbiota with adequate time to mineralize dissolved organic matter. Through non-linear regression models evaluating the correlation between effluent pollutant concentrations and HRT across 20 typical SISF farms, a study by Nam et al. (2022) demonstrated that COD and TSS removal efficiencies increase exponentially as HRT is prolonged.</w:t>
      </w:r>
    </w:p>
    <w:p w14:paraId="3D40DC40" w14:textId="578CD45C" w:rsidR="00594748" w:rsidRPr="00594748" w:rsidRDefault="00594748" w:rsidP="00594748">
      <w:pPr>
        <w:pStyle w:val="ListParagraph"/>
        <w:numPr>
          <w:ilvl w:val="0"/>
          <w:numId w:val="26"/>
        </w:numPr>
        <w:spacing w:before="240" w:after="240" w:line="240" w:lineRule="auto"/>
        <w:jc w:val="both"/>
        <w:rPr>
          <w:rFonts w:eastAsia="Times New Roman"/>
          <w:sz w:val="24"/>
        </w:rPr>
      </w:pPr>
      <w:r w:rsidRPr="00594748">
        <w:rPr>
          <w:rFonts w:eastAsia="Times New Roman"/>
          <w:sz w:val="24"/>
        </w:rPr>
        <w:t xml:space="preserve">Meeting domestic discharge standards: According to the kinetic simulations by Nam et al. (2022), for the effluent to comply with the permissible thresholds of QCVN 02-19:2014/BNNPTNT (COD </w:t>
      </w:r>
      <w:r>
        <w:rPr>
          <w:rFonts w:eastAsia="Times New Roman"/>
          <w:sz w:val="24"/>
        </w:rPr>
        <w:sym w:font="Symbol" w:char="F0A3"/>
      </w:r>
      <w:r w:rsidRPr="00594748">
        <w:rPr>
          <w:rFonts w:eastAsia="Times New Roman"/>
          <w:sz w:val="24"/>
        </w:rPr>
        <w:t xml:space="preserve"> 150 mg/L and TSS </w:t>
      </w:r>
      <w:r>
        <w:rPr>
          <w:rFonts w:eastAsia="Times New Roman"/>
          <w:sz w:val="24"/>
        </w:rPr>
        <w:sym w:font="Symbol" w:char="F0A3"/>
      </w:r>
      <w:r w:rsidRPr="00594748">
        <w:rPr>
          <w:rFonts w:eastAsia="Times New Roman"/>
          <w:sz w:val="24"/>
        </w:rPr>
        <w:t xml:space="preserve"> 100 mg/L), the minimum retention times required are 4.47 days for COD and 6.23 days for TSS.</w:t>
      </w:r>
    </w:p>
    <w:p w14:paraId="775675E8" w14:textId="05BCBBA2" w:rsidR="00A3509C" w:rsidRPr="00594748" w:rsidRDefault="00594748" w:rsidP="00594748">
      <w:pPr>
        <w:pStyle w:val="ListParagraph"/>
        <w:numPr>
          <w:ilvl w:val="0"/>
          <w:numId w:val="26"/>
        </w:numPr>
        <w:spacing w:before="240" w:after="240" w:line="240" w:lineRule="auto"/>
        <w:jc w:val="both"/>
        <w:rPr>
          <w:rFonts w:eastAsia="Times New Roman"/>
          <w:sz w:val="24"/>
        </w:rPr>
      </w:pPr>
      <w:r w:rsidRPr="00594748">
        <w:rPr>
          <w:rFonts w:eastAsia="Times New Roman"/>
          <w:sz w:val="24"/>
        </w:rPr>
        <w:t>Meeting stringent international standards: To align with the Best Aquaculture Practices (BAP) standards (which strictly mandate an effluent TSS concentration below 50 mg/L), mathematical modeling indicates that the HRT must be extended and optimized to 13.4 days (Nam et al., 2022). At this specific HRT parameter, the TSS removal efficiency reaches 71.8% (reducing from an influent concentration of 177 mg/L to an effluent concentration of 50 mg/L). Concurrently, this timeframe represents an absolute safe threshold for the microbiota to thoroughly degrade COD and other nutrient compounds (Nam et al., 2022).</w:t>
      </w:r>
    </w:p>
    <w:p w14:paraId="0E768FDB" w14:textId="6E1AB4E6" w:rsidR="00594748" w:rsidRPr="00594748" w:rsidRDefault="00594748" w:rsidP="00594748">
      <w:pPr>
        <w:spacing w:before="240" w:after="240" w:line="240" w:lineRule="auto"/>
        <w:outlineLvl w:val="2"/>
        <w:rPr>
          <w:rFonts w:eastAsia="Times New Roman"/>
          <w:b/>
          <w:bCs/>
          <w:i/>
          <w:iCs/>
          <w:sz w:val="24"/>
        </w:rPr>
      </w:pPr>
      <w:r w:rsidRPr="00594748">
        <w:rPr>
          <w:rFonts w:eastAsia="Times New Roman"/>
          <w:b/>
          <w:bCs/>
          <w:i/>
          <w:iCs/>
          <w:sz w:val="24"/>
        </w:rPr>
        <w:t>3.1.</w:t>
      </w:r>
      <w:r>
        <w:rPr>
          <w:rFonts w:eastAsia="Times New Roman"/>
          <w:b/>
          <w:bCs/>
          <w:i/>
          <w:iCs/>
          <w:sz w:val="24"/>
        </w:rPr>
        <w:t>2</w:t>
      </w:r>
      <w:r w:rsidRPr="00594748">
        <w:rPr>
          <w:rFonts w:eastAsia="Times New Roman"/>
          <w:b/>
          <w:bCs/>
          <w:i/>
          <w:iCs/>
          <w:sz w:val="24"/>
        </w:rPr>
        <w:t xml:space="preserve"> Planning the minimum settling pond area</w:t>
      </w:r>
    </w:p>
    <w:p w14:paraId="7D834385" w14:textId="77777777" w:rsidR="00594748" w:rsidRPr="00594748" w:rsidRDefault="00594748" w:rsidP="00594748">
      <w:pPr>
        <w:spacing w:before="240" w:after="240" w:line="240" w:lineRule="auto"/>
        <w:jc w:val="both"/>
        <w:rPr>
          <w:rFonts w:eastAsia="Times New Roman"/>
          <w:sz w:val="24"/>
        </w:rPr>
      </w:pPr>
      <w:r w:rsidRPr="00594748">
        <w:rPr>
          <w:rFonts w:eastAsia="Times New Roman"/>
          <w:sz w:val="24"/>
        </w:rPr>
        <w:t xml:space="preserve">Derived from optimized kinetic parameters, spatial planning for the settling pond system is calculated quantitatively using the flow balance equation. Given the optimal HRT of 13.4 days, an average effluent generation rate of 218 m3/ha/day for SISF (Nam et al., 2022), and a standard design pond depth of 1.5 m which </w:t>
      </w:r>
      <w:r w:rsidRPr="00594748">
        <w:rPr>
          <w:rFonts w:eastAsia="Times New Roman"/>
          <w:sz w:val="24"/>
        </w:rPr>
        <w:lastRenderedPageBreak/>
        <w:t>aligned with the technical recommendations of WWF-VN, the minimum settling pond area must be established at 1,947 m</w:t>
      </w:r>
      <w:r w:rsidRPr="00594748">
        <w:rPr>
          <w:rFonts w:eastAsia="Times New Roman"/>
          <w:sz w:val="24"/>
          <w:vertAlign w:val="superscript"/>
        </w:rPr>
        <w:t>2</w:t>
      </w:r>
      <w:r w:rsidRPr="00594748">
        <w:rPr>
          <w:rFonts w:eastAsia="Times New Roman"/>
          <w:sz w:val="24"/>
        </w:rPr>
        <w:t xml:space="preserve"> per hectare of culture pond area (Nam et al., 2022).</w:t>
      </w:r>
    </w:p>
    <w:p w14:paraId="5B6154CB" w14:textId="2FC2382F" w:rsidR="00A3509C" w:rsidRDefault="00594748" w:rsidP="00594748">
      <w:pPr>
        <w:spacing w:before="240" w:after="240" w:line="240" w:lineRule="auto"/>
        <w:jc w:val="both"/>
        <w:rPr>
          <w:rFonts w:eastAsia="Times New Roman"/>
          <w:sz w:val="24"/>
        </w:rPr>
      </w:pPr>
      <w:r w:rsidRPr="00594748">
        <w:rPr>
          <w:rFonts w:eastAsia="Times New Roman"/>
          <w:sz w:val="24"/>
        </w:rPr>
        <w:t>Ecological efficiency accounting by Thao et al. (2024) confirms that when the discharge stream is routed through a scientifically planned settling pond system, the effluent pollutant load drops sharply: TN decreases to 30.9 mg/L, TP drops to 1.0 mg/L, and TSS achieves an ultra-clean level of just 20.2 mg/L. This significantly facilitates the subsequent water recirculation phase.</w:t>
      </w:r>
    </w:p>
    <w:p w14:paraId="7C5989A5" w14:textId="355FB296" w:rsidR="00594748" w:rsidRPr="00594748" w:rsidRDefault="00594748" w:rsidP="00594748">
      <w:pPr>
        <w:spacing w:before="240" w:after="240" w:line="240" w:lineRule="auto"/>
        <w:outlineLvl w:val="2"/>
        <w:rPr>
          <w:rFonts w:eastAsia="Times New Roman"/>
          <w:b/>
          <w:bCs/>
          <w:i/>
          <w:iCs/>
          <w:sz w:val="24"/>
        </w:rPr>
      </w:pPr>
      <w:r w:rsidRPr="00594748">
        <w:rPr>
          <w:rFonts w:eastAsia="Times New Roman"/>
          <w:b/>
          <w:bCs/>
          <w:i/>
          <w:iCs/>
          <w:sz w:val="24"/>
        </w:rPr>
        <w:t>3.1.</w:t>
      </w:r>
      <w:r>
        <w:rPr>
          <w:rFonts w:eastAsia="Times New Roman"/>
          <w:b/>
          <w:bCs/>
          <w:i/>
          <w:iCs/>
          <w:sz w:val="24"/>
        </w:rPr>
        <w:t>3</w:t>
      </w:r>
      <w:r w:rsidRPr="00594748">
        <w:rPr>
          <w:rFonts w:eastAsia="Times New Roman"/>
          <w:b/>
          <w:bCs/>
          <w:i/>
          <w:iCs/>
          <w:sz w:val="24"/>
        </w:rPr>
        <w:t xml:space="preserve"> Ecological zonation structure of settling pond systems</w:t>
      </w:r>
    </w:p>
    <w:p w14:paraId="3E38005C" w14:textId="77777777" w:rsidR="00594748" w:rsidRPr="00594748" w:rsidRDefault="00594748" w:rsidP="00594748">
      <w:pPr>
        <w:spacing w:before="240" w:after="240" w:line="240" w:lineRule="auto"/>
        <w:jc w:val="both"/>
        <w:rPr>
          <w:rFonts w:eastAsia="Times New Roman"/>
          <w:sz w:val="24"/>
        </w:rPr>
      </w:pPr>
      <w:r w:rsidRPr="00594748">
        <w:rPr>
          <w:rFonts w:eastAsia="Times New Roman"/>
          <w:sz w:val="24"/>
        </w:rPr>
        <w:t>To maximize the operational capacity of the allocated 1,947 m</w:t>
      </w:r>
      <w:r w:rsidRPr="00594748">
        <w:rPr>
          <w:rFonts w:eastAsia="Times New Roman"/>
          <w:sz w:val="24"/>
          <w:vertAlign w:val="superscript"/>
        </w:rPr>
        <w:t>2</w:t>
      </w:r>
      <w:r w:rsidRPr="00594748">
        <w:rPr>
          <w:rFonts w:eastAsia="Times New Roman"/>
          <w:sz w:val="24"/>
        </w:rPr>
        <w:t>/ha land asset, the ecological architecture of the settling pond system should be scientifically partitioned into a continuous three-tier series to optimize natural physicochemical and physiological processes:</w:t>
      </w:r>
    </w:p>
    <w:p w14:paraId="05729E52" w14:textId="6ED48ACE" w:rsidR="00594748" w:rsidRPr="00594748" w:rsidRDefault="00594748" w:rsidP="00594748">
      <w:pPr>
        <w:pStyle w:val="ListParagraph"/>
        <w:numPr>
          <w:ilvl w:val="0"/>
          <w:numId w:val="27"/>
        </w:numPr>
        <w:spacing w:before="240" w:after="240" w:line="240" w:lineRule="auto"/>
        <w:jc w:val="both"/>
        <w:rPr>
          <w:rFonts w:eastAsia="Times New Roman"/>
          <w:sz w:val="24"/>
        </w:rPr>
      </w:pPr>
      <w:r w:rsidRPr="00594748">
        <w:rPr>
          <w:rFonts w:eastAsia="Times New Roman"/>
          <w:sz w:val="24"/>
        </w:rPr>
        <w:t>Anaerobic pond: Characterized by a short HRT (2–3 days), this unit directly receives the highly concentrated organic load from the bottom siphon wastewater stream to precipitate heavy sludge and initiate the preliminary anaerobic digestion of recalcitrant, long-chain organic compounds (Nam et al., 2022).</w:t>
      </w:r>
    </w:p>
    <w:p w14:paraId="19305B8D" w14:textId="7B861181" w:rsidR="00594748" w:rsidRPr="00594748" w:rsidRDefault="00594748" w:rsidP="00594748">
      <w:pPr>
        <w:pStyle w:val="ListParagraph"/>
        <w:numPr>
          <w:ilvl w:val="0"/>
          <w:numId w:val="27"/>
        </w:numPr>
        <w:spacing w:before="240" w:after="240" w:line="240" w:lineRule="auto"/>
        <w:jc w:val="both"/>
        <w:rPr>
          <w:rFonts w:eastAsia="Times New Roman"/>
          <w:sz w:val="24"/>
        </w:rPr>
      </w:pPr>
      <w:r w:rsidRPr="00594748">
        <w:rPr>
          <w:rFonts w:eastAsia="Times New Roman"/>
          <w:sz w:val="24"/>
        </w:rPr>
        <w:t>Facultative pond: Operating with an HRT of 3–6 days, this unit integrates alternating aerobic and anaerobic processes to further degrade dissolved organic compounds distributed within the water column (Nam et al., 2022).</w:t>
      </w:r>
    </w:p>
    <w:p w14:paraId="12027029" w14:textId="4CFDC069" w:rsidR="00594748" w:rsidRPr="00594748" w:rsidRDefault="00594748" w:rsidP="00594748">
      <w:pPr>
        <w:pStyle w:val="ListParagraph"/>
        <w:numPr>
          <w:ilvl w:val="0"/>
          <w:numId w:val="27"/>
        </w:numPr>
        <w:spacing w:before="240" w:after="240" w:line="240" w:lineRule="auto"/>
        <w:jc w:val="both"/>
        <w:rPr>
          <w:rFonts w:eastAsia="Times New Roman"/>
          <w:sz w:val="24"/>
        </w:rPr>
      </w:pPr>
      <w:r w:rsidRPr="00594748">
        <w:rPr>
          <w:rFonts w:eastAsia="Times New Roman"/>
          <w:sz w:val="24"/>
        </w:rPr>
        <w:t>Aerobic/polishing pond: Designed with an HRT of 3–5 days, this final stage integrates the stocking of biomass-filtering fish species (such as Tilapia) to fully assimilate remaining shrimp feces and unconsumed feed (Hai et al., 2020). Additionally, salt-tolerant aquatic macrophytes are cultivated to thoroughly uptake diluted dissolved nitrogen and phosphorus before recirculating the biologically clean water back into the culture ponds (Thang et al., 2024).</w:t>
      </w:r>
    </w:p>
    <w:p w14:paraId="383327F5" w14:textId="0C7BCCA3" w:rsidR="00594748" w:rsidRPr="00F41F74" w:rsidRDefault="00594748" w:rsidP="00594748">
      <w:pPr>
        <w:pStyle w:val="NormalWeb"/>
        <w:spacing w:before="240" w:beforeAutospacing="0" w:after="240" w:afterAutospacing="0"/>
        <w:jc w:val="center"/>
      </w:pPr>
      <w:r w:rsidRPr="00F41F74">
        <w:rPr>
          <w:rStyle w:val="Strong"/>
          <w:rFonts w:eastAsiaTheme="majorEastAsia"/>
        </w:rPr>
        <w:t>Table 1.</w:t>
      </w:r>
      <w:r w:rsidRPr="00F41F74">
        <w:t xml:space="preserve"> </w:t>
      </w:r>
      <w:r w:rsidRPr="00594748">
        <w:t>Kinetic modeling of pollutant removal efficiency as a function of hydraulic retention time in biological settling pond system</w:t>
      </w:r>
    </w:p>
    <w:tbl>
      <w:tblPr>
        <w:tblStyle w:val="TableGrid"/>
        <w:tblW w:w="10768" w:type="dxa"/>
        <w:jc w:val="center"/>
        <w:tblLook w:val="04A0" w:firstRow="1" w:lastRow="0" w:firstColumn="1" w:lastColumn="0" w:noHBand="0" w:noVBand="1"/>
      </w:tblPr>
      <w:tblGrid>
        <w:gridCol w:w="1320"/>
        <w:gridCol w:w="1652"/>
        <w:gridCol w:w="2552"/>
        <w:gridCol w:w="1842"/>
        <w:gridCol w:w="3402"/>
      </w:tblGrid>
      <w:tr w:rsidR="00594748" w:rsidRPr="00F41F74" w14:paraId="0B802F04" w14:textId="77777777" w:rsidTr="00B710D0">
        <w:trPr>
          <w:tblHeader/>
          <w:jc w:val="center"/>
        </w:trPr>
        <w:tc>
          <w:tcPr>
            <w:tcW w:w="1320" w:type="dxa"/>
          </w:tcPr>
          <w:p w14:paraId="1D90C2F7" w14:textId="13B6D1DB" w:rsidR="00594748" w:rsidRPr="00F41F74" w:rsidRDefault="00594748" w:rsidP="00594748">
            <w:pPr>
              <w:pStyle w:val="NormalWeb"/>
              <w:spacing w:before="240" w:beforeAutospacing="0" w:after="240" w:afterAutospacing="0"/>
              <w:jc w:val="center"/>
              <w:rPr>
                <w:szCs w:val="24"/>
              </w:rPr>
            </w:pPr>
            <w:r>
              <w:rPr>
                <w:b/>
                <w:bCs/>
                <w:color w:val="303030"/>
                <w:szCs w:val="24"/>
              </w:rPr>
              <w:t>HRT</w:t>
            </w:r>
          </w:p>
        </w:tc>
        <w:tc>
          <w:tcPr>
            <w:tcW w:w="1652" w:type="dxa"/>
          </w:tcPr>
          <w:p w14:paraId="559432DB" w14:textId="679D81FE" w:rsidR="00594748" w:rsidRPr="00F41F74" w:rsidRDefault="00594748" w:rsidP="00594748">
            <w:pPr>
              <w:pStyle w:val="NormalWeb"/>
              <w:spacing w:before="240" w:beforeAutospacing="0" w:after="240" w:afterAutospacing="0"/>
              <w:jc w:val="center"/>
              <w:rPr>
                <w:szCs w:val="24"/>
              </w:rPr>
            </w:pPr>
            <w:r>
              <w:rPr>
                <w:b/>
                <w:bCs/>
                <w:color w:val="303030"/>
                <w:szCs w:val="24"/>
              </w:rPr>
              <w:t>The effluent BOD</w:t>
            </w:r>
            <w:r w:rsidRPr="00A71CF6">
              <w:rPr>
                <w:b/>
                <w:bCs/>
                <w:color w:val="303030"/>
                <w:szCs w:val="24"/>
              </w:rPr>
              <w:t xml:space="preserve"> (mg/L)</w:t>
            </w:r>
          </w:p>
        </w:tc>
        <w:tc>
          <w:tcPr>
            <w:tcW w:w="2552" w:type="dxa"/>
          </w:tcPr>
          <w:p w14:paraId="316FCD15" w14:textId="2090D966" w:rsidR="00594748" w:rsidRPr="00F41F74" w:rsidRDefault="00594748" w:rsidP="00594748">
            <w:pPr>
              <w:pStyle w:val="NormalWeb"/>
              <w:spacing w:before="240" w:beforeAutospacing="0" w:after="240" w:afterAutospacing="0"/>
              <w:jc w:val="center"/>
              <w:rPr>
                <w:szCs w:val="24"/>
              </w:rPr>
            </w:pPr>
            <w:r w:rsidRPr="00DC54AF">
              <w:rPr>
                <w:b/>
                <w:bCs/>
                <w:color w:val="303030"/>
                <w:szCs w:val="24"/>
              </w:rPr>
              <w:t xml:space="preserve">Effluent TSS concentration </w:t>
            </w:r>
            <w:r w:rsidRPr="00A71CF6">
              <w:rPr>
                <w:b/>
                <w:bCs/>
                <w:color w:val="303030"/>
                <w:szCs w:val="24"/>
              </w:rPr>
              <w:t>(mg/L)</w:t>
            </w:r>
          </w:p>
        </w:tc>
        <w:tc>
          <w:tcPr>
            <w:tcW w:w="1842" w:type="dxa"/>
          </w:tcPr>
          <w:p w14:paraId="291B6A15" w14:textId="6FF0D5A6" w:rsidR="00594748" w:rsidRPr="00F41F74" w:rsidRDefault="00594748" w:rsidP="00594748">
            <w:pPr>
              <w:pStyle w:val="NormalWeb"/>
              <w:spacing w:before="240" w:beforeAutospacing="0" w:after="240" w:afterAutospacing="0"/>
              <w:jc w:val="center"/>
              <w:rPr>
                <w:szCs w:val="24"/>
              </w:rPr>
            </w:pPr>
            <w:r>
              <w:rPr>
                <w:b/>
                <w:bCs/>
                <w:color w:val="303030"/>
                <w:szCs w:val="24"/>
              </w:rPr>
              <w:t>T</w:t>
            </w:r>
            <w:r w:rsidRPr="00DC54AF">
              <w:rPr>
                <w:b/>
                <w:bCs/>
                <w:color w:val="303030"/>
                <w:szCs w:val="24"/>
              </w:rPr>
              <w:t xml:space="preserve">SS removal efficiency </w:t>
            </w:r>
            <w:r w:rsidRPr="00A71CF6">
              <w:rPr>
                <w:b/>
                <w:bCs/>
                <w:color w:val="303030"/>
                <w:szCs w:val="24"/>
              </w:rPr>
              <w:t>(%)</w:t>
            </w:r>
          </w:p>
        </w:tc>
        <w:tc>
          <w:tcPr>
            <w:tcW w:w="3402" w:type="dxa"/>
          </w:tcPr>
          <w:p w14:paraId="1BC17E19" w14:textId="054138F8" w:rsidR="00594748" w:rsidRPr="00F41F74" w:rsidRDefault="00594748" w:rsidP="00594748">
            <w:pPr>
              <w:pStyle w:val="NormalWeb"/>
              <w:spacing w:before="240" w:beforeAutospacing="0" w:after="240" w:afterAutospacing="0"/>
              <w:jc w:val="center"/>
              <w:rPr>
                <w:szCs w:val="24"/>
              </w:rPr>
            </w:pPr>
            <w:r w:rsidRPr="00C414F4">
              <w:rPr>
                <w:b/>
                <w:bCs/>
                <w:color w:val="303030"/>
                <w:szCs w:val="24"/>
              </w:rPr>
              <w:t>Compliance assessment</w:t>
            </w:r>
          </w:p>
        </w:tc>
      </w:tr>
      <w:tr w:rsidR="00594748" w:rsidRPr="00F41F74" w14:paraId="34FEDAE1" w14:textId="77777777" w:rsidTr="00B710D0">
        <w:trPr>
          <w:jc w:val="center"/>
        </w:trPr>
        <w:tc>
          <w:tcPr>
            <w:tcW w:w="1320" w:type="dxa"/>
          </w:tcPr>
          <w:p w14:paraId="4F9869D2" w14:textId="50416EF3" w:rsidR="00594748" w:rsidRPr="00F41F74" w:rsidRDefault="00594748" w:rsidP="00594748">
            <w:pPr>
              <w:pStyle w:val="NormalWeb"/>
              <w:spacing w:before="240" w:beforeAutospacing="0" w:after="240" w:afterAutospacing="0"/>
              <w:jc w:val="left"/>
              <w:rPr>
                <w:szCs w:val="24"/>
              </w:rPr>
            </w:pPr>
            <w:r w:rsidRPr="00A71CF6">
              <w:rPr>
                <w:color w:val="303030"/>
                <w:szCs w:val="24"/>
              </w:rPr>
              <w:t xml:space="preserve">&lt; 4 </w:t>
            </w:r>
            <w:r>
              <w:rPr>
                <w:color w:val="303030"/>
                <w:szCs w:val="24"/>
              </w:rPr>
              <w:t>days</w:t>
            </w:r>
          </w:p>
        </w:tc>
        <w:tc>
          <w:tcPr>
            <w:tcW w:w="1652" w:type="dxa"/>
          </w:tcPr>
          <w:p w14:paraId="25206E10" w14:textId="794A2F66" w:rsidR="00594748" w:rsidRPr="00F41F74" w:rsidRDefault="00594748" w:rsidP="00594748">
            <w:pPr>
              <w:pStyle w:val="NormalWeb"/>
              <w:spacing w:before="240" w:beforeAutospacing="0" w:after="240" w:afterAutospacing="0"/>
              <w:jc w:val="center"/>
              <w:rPr>
                <w:szCs w:val="24"/>
              </w:rPr>
            </w:pPr>
            <w:r w:rsidRPr="00A71CF6">
              <w:rPr>
                <w:color w:val="303030"/>
                <w:szCs w:val="24"/>
              </w:rPr>
              <w:t>&gt; 160</w:t>
            </w:r>
          </w:p>
        </w:tc>
        <w:tc>
          <w:tcPr>
            <w:tcW w:w="2552" w:type="dxa"/>
          </w:tcPr>
          <w:p w14:paraId="682B2E4E" w14:textId="2E095511" w:rsidR="00594748" w:rsidRPr="00F41F74" w:rsidRDefault="00594748" w:rsidP="00594748">
            <w:pPr>
              <w:pStyle w:val="NormalWeb"/>
              <w:spacing w:before="240" w:beforeAutospacing="0" w:after="240" w:afterAutospacing="0"/>
              <w:jc w:val="center"/>
              <w:rPr>
                <w:szCs w:val="24"/>
              </w:rPr>
            </w:pPr>
            <w:r w:rsidRPr="00A71CF6">
              <w:rPr>
                <w:color w:val="303030"/>
                <w:szCs w:val="24"/>
              </w:rPr>
              <w:t>&gt; 140</w:t>
            </w:r>
          </w:p>
        </w:tc>
        <w:tc>
          <w:tcPr>
            <w:tcW w:w="1842" w:type="dxa"/>
          </w:tcPr>
          <w:p w14:paraId="5B9C6603" w14:textId="37112E24" w:rsidR="00594748" w:rsidRPr="00F41F74" w:rsidRDefault="00594748" w:rsidP="00594748">
            <w:pPr>
              <w:pStyle w:val="NormalWeb"/>
              <w:spacing w:before="240" w:beforeAutospacing="0" w:after="240" w:afterAutospacing="0"/>
              <w:jc w:val="center"/>
              <w:rPr>
                <w:szCs w:val="24"/>
              </w:rPr>
            </w:pPr>
            <w:r w:rsidRPr="00A71CF6">
              <w:rPr>
                <w:color w:val="303030"/>
                <w:szCs w:val="24"/>
              </w:rPr>
              <w:t>&lt; 45 %</w:t>
            </w:r>
          </w:p>
        </w:tc>
        <w:tc>
          <w:tcPr>
            <w:tcW w:w="3402" w:type="dxa"/>
          </w:tcPr>
          <w:p w14:paraId="1A026EB6" w14:textId="2923E110" w:rsidR="00594748" w:rsidRPr="00F41F74" w:rsidRDefault="00594748" w:rsidP="00B710D0">
            <w:pPr>
              <w:pStyle w:val="NormalWeb"/>
              <w:spacing w:before="240" w:beforeAutospacing="0" w:after="240" w:afterAutospacing="0"/>
              <w:jc w:val="left"/>
              <w:rPr>
                <w:szCs w:val="24"/>
              </w:rPr>
            </w:pPr>
            <w:r w:rsidRPr="00C414F4">
              <w:rPr>
                <w:color w:val="303030"/>
                <w:szCs w:val="24"/>
              </w:rPr>
              <w:t xml:space="preserve">Non-compliant with </w:t>
            </w:r>
            <w:r w:rsidRPr="00A71CF6">
              <w:rPr>
                <w:color w:val="303030"/>
                <w:szCs w:val="24"/>
              </w:rPr>
              <w:t>QCVN 40:2025/BTNMT</w:t>
            </w:r>
          </w:p>
        </w:tc>
      </w:tr>
      <w:tr w:rsidR="00594748" w:rsidRPr="00F41F74" w14:paraId="5AA6E865" w14:textId="77777777" w:rsidTr="00B710D0">
        <w:trPr>
          <w:jc w:val="center"/>
        </w:trPr>
        <w:tc>
          <w:tcPr>
            <w:tcW w:w="1320" w:type="dxa"/>
          </w:tcPr>
          <w:p w14:paraId="301FA7C8" w14:textId="607DEF50" w:rsidR="00594748" w:rsidRPr="00F41F74" w:rsidRDefault="00594748" w:rsidP="00594748">
            <w:pPr>
              <w:pStyle w:val="NormalWeb"/>
              <w:spacing w:before="240" w:beforeAutospacing="0" w:after="240" w:afterAutospacing="0"/>
              <w:ind w:right="-109"/>
              <w:jc w:val="left"/>
              <w:rPr>
                <w:szCs w:val="24"/>
              </w:rPr>
            </w:pPr>
            <w:r w:rsidRPr="00A71CF6">
              <w:rPr>
                <w:color w:val="303030"/>
                <w:szCs w:val="24"/>
              </w:rPr>
              <w:t xml:space="preserve">6,23 </w:t>
            </w:r>
            <w:r>
              <w:rPr>
                <w:color w:val="303030"/>
                <w:szCs w:val="24"/>
              </w:rPr>
              <w:t>days</w:t>
            </w:r>
          </w:p>
        </w:tc>
        <w:tc>
          <w:tcPr>
            <w:tcW w:w="1652" w:type="dxa"/>
          </w:tcPr>
          <w:p w14:paraId="4974666B" w14:textId="5A52BB5C" w:rsidR="00594748" w:rsidRPr="00F41F74" w:rsidRDefault="00594748" w:rsidP="00594748">
            <w:pPr>
              <w:pStyle w:val="NormalWeb"/>
              <w:spacing w:before="240" w:beforeAutospacing="0" w:after="240" w:afterAutospacing="0"/>
              <w:ind w:right="-107"/>
              <w:jc w:val="center"/>
              <w:rPr>
                <w:szCs w:val="24"/>
              </w:rPr>
            </w:pPr>
            <w:r w:rsidRPr="00A71CF6">
              <w:rPr>
                <w:color w:val="303030"/>
                <w:szCs w:val="24"/>
              </w:rPr>
              <w:t>~ 110</w:t>
            </w:r>
          </w:p>
        </w:tc>
        <w:tc>
          <w:tcPr>
            <w:tcW w:w="2552" w:type="dxa"/>
          </w:tcPr>
          <w:p w14:paraId="1189EAA5" w14:textId="32EA9675" w:rsidR="00594748" w:rsidRPr="00F41F74" w:rsidRDefault="00594748" w:rsidP="00594748">
            <w:pPr>
              <w:pStyle w:val="NormalWeb"/>
              <w:spacing w:before="240" w:beforeAutospacing="0" w:after="240" w:afterAutospacing="0"/>
              <w:jc w:val="center"/>
              <w:rPr>
                <w:szCs w:val="24"/>
              </w:rPr>
            </w:pPr>
            <w:r w:rsidRPr="00A71CF6">
              <w:rPr>
                <w:color w:val="303030"/>
                <w:szCs w:val="24"/>
              </w:rPr>
              <w:t>~ 100</w:t>
            </w:r>
          </w:p>
        </w:tc>
        <w:tc>
          <w:tcPr>
            <w:tcW w:w="1842" w:type="dxa"/>
          </w:tcPr>
          <w:p w14:paraId="72FB7243" w14:textId="6C9ADEC4" w:rsidR="00594748" w:rsidRPr="00F41F74" w:rsidRDefault="00594748" w:rsidP="00594748">
            <w:pPr>
              <w:pStyle w:val="NormalWeb"/>
              <w:spacing w:before="240" w:beforeAutospacing="0" w:after="240" w:afterAutospacing="0"/>
              <w:jc w:val="center"/>
              <w:rPr>
                <w:szCs w:val="24"/>
              </w:rPr>
            </w:pPr>
            <w:r w:rsidRPr="00A71CF6">
              <w:rPr>
                <w:color w:val="303030"/>
                <w:szCs w:val="24"/>
              </w:rPr>
              <w:t>~ 55 %</w:t>
            </w:r>
          </w:p>
        </w:tc>
        <w:tc>
          <w:tcPr>
            <w:tcW w:w="3402" w:type="dxa"/>
          </w:tcPr>
          <w:p w14:paraId="335B68A1" w14:textId="0C61045C" w:rsidR="00594748" w:rsidRPr="00F41F74" w:rsidRDefault="00594748" w:rsidP="00B710D0">
            <w:pPr>
              <w:pStyle w:val="NormalWeb"/>
              <w:spacing w:before="240" w:beforeAutospacing="0" w:after="240" w:afterAutospacing="0"/>
              <w:jc w:val="left"/>
              <w:rPr>
                <w:szCs w:val="24"/>
              </w:rPr>
            </w:pPr>
            <w:r>
              <w:rPr>
                <w:color w:val="303030"/>
                <w:szCs w:val="24"/>
              </w:rPr>
              <w:t>C</w:t>
            </w:r>
            <w:r w:rsidRPr="00C414F4">
              <w:rPr>
                <w:color w:val="303030"/>
                <w:szCs w:val="24"/>
              </w:rPr>
              <w:t>ompliant with</w:t>
            </w:r>
            <w:r w:rsidRPr="00A71CF6">
              <w:rPr>
                <w:color w:val="303030"/>
                <w:szCs w:val="24"/>
              </w:rPr>
              <w:t xml:space="preserve"> QCVN 40:2025</w:t>
            </w:r>
            <w:r>
              <w:rPr>
                <w:color w:val="303030"/>
                <w:szCs w:val="24"/>
              </w:rPr>
              <w:t xml:space="preserve"> </w:t>
            </w:r>
            <w:r w:rsidRPr="00A71CF6">
              <w:rPr>
                <w:color w:val="303030"/>
                <w:szCs w:val="24"/>
              </w:rPr>
              <w:t>/BTNMT (</w:t>
            </w:r>
            <w:r w:rsidRPr="002A10D2">
              <w:rPr>
                <w:color w:val="303030"/>
                <w:szCs w:val="24"/>
              </w:rPr>
              <w:t>Minimum threshold</w:t>
            </w:r>
            <w:r w:rsidRPr="00A71CF6">
              <w:rPr>
                <w:color w:val="303030"/>
                <w:szCs w:val="24"/>
              </w:rPr>
              <w:t>)</w:t>
            </w:r>
          </w:p>
        </w:tc>
      </w:tr>
      <w:tr w:rsidR="00594748" w:rsidRPr="00F41F74" w14:paraId="26ADC4F5" w14:textId="77777777" w:rsidTr="00B710D0">
        <w:trPr>
          <w:jc w:val="center"/>
        </w:trPr>
        <w:tc>
          <w:tcPr>
            <w:tcW w:w="1320" w:type="dxa"/>
          </w:tcPr>
          <w:p w14:paraId="502E4A13" w14:textId="00F0FA58" w:rsidR="00594748" w:rsidRPr="00F41F74" w:rsidRDefault="00594748" w:rsidP="00594748">
            <w:pPr>
              <w:pStyle w:val="NormalWeb"/>
              <w:spacing w:before="240" w:beforeAutospacing="0" w:after="240" w:afterAutospacing="0"/>
              <w:jc w:val="left"/>
              <w:rPr>
                <w:szCs w:val="24"/>
              </w:rPr>
            </w:pPr>
            <w:r w:rsidRPr="00A71CF6">
              <w:rPr>
                <w:color w:val="303030"/>
                <w:szCs w:val="24"/>
              </w:rPr>
              <w:t xml:space="preserve">13,4 </w:t>
            </w:r>
            <w:r>
              <w:rPr>
                <w:color w:val="303030"/>
                <w:szCs w:val="24"/>
              </w:rPr>
              <w:t>days</w:t>
            </w:r>
          </w:p>
        </w:tc>
        <w:tc>
          <w:tcPr>
            <w:tcW w:w="1652" w:type="dxa"/>
          </w:tcPr>
          <w:p w14:paraId="1ADC9D83" w14:textId="37C0A8EF" w:rsidR="00594748" w:rsidRPr="00F41F74" w:rsidRDefault="00594748" w:rsidP="00594748">
            <w:pPr>
              <w:pStyle w:val="NormalWeb"/>
              <w:spacing w:before="240" w:beforeAutospacing="0" w:after="240" w:afterAutospacing="0"/>
              <w:jc w:val="center"/>
              <w:rPr>
                <w:szCs w:val="24"/>
              </w:rPr>
            </w:pPr>
            <w:r w:rsidRPr="00A71CF6">
              <w:rPr>
                <w:color w:val="303030"/>
                <w:szCs w:val="24"/>
              </w:rPr>
              <w:t>&lt; 80</w:t>
            </w:r>
          </w:p>
        </w:tc>
        <w:tc>
          <w:tcPr>
            <w:tcW w:w="2552" w:type="dxa"/>
          </w:tcPr>
          <w:p w14:paraId="1C935F91" w14:textId="751D9DAE" w:rsidR="00594748" w:rsidRPr="00F41F74" w:rsidRDefault="00594748" w:rsidP="00594748">
            <w:pPr>
              <w:pStyle w:val="NormalWeb"/>
              <w:spacing w:before="240" w:beforeAutospacing="0" w:after="240" w:afterAutospacing="0"/>
              <w:jc w:val="center"/>
              <w:rPr>
                <w:szCs w:val="24"/>
              </w:rPr>
            </w:pPr>
            <w:r w:rsidRPr="00A71CF6">
              <w:rPr>
                <w:color w:val="303030"/>
                <w:szCs w:val="24"/>
              </w:rPr>
              <w:t>&lt; 50</w:t>
            </w:r>
          </w:p>
        </w:tc>
        <w:tc>
          <w:tcPr>
            <w:tcW w:w="1842" w:type="dxa"/>
          </w:tcPr>
          <w:p w14:paraId="5CC60142" w14:textId="0C37251C" w:rsidR="00594748" w:rsidRPr="00F41F74" w:rsidRDefault="00594748" w:rsidP="00594748">
            <w:pPr>
              <w:pStyle w:val="NormalWeb"/>
              <w:spacing w:before="240" w:beforeAutospacing="0" w:after="240" w:afterAutospacing="0"/>
              <w:ind w:left="-112" w:right="-104"/>
              <w:jc w:val="center"/>
              <w:rPr>
                <w:szCs w:val="24"/>
              </w:rPr>
            </w:pPr>
            <w:r w:rsidRPr="00A71CF6">
              <w:rPr>
                <w:color w:val="303030"/>
                <w:szCs w:val="24"/>
              </w:rPr>
              <w:t>&gt; 71,8 %</w:t>
            </w:r>
          </w:p>
        </w:tc>
        <w:tc>
          <w:tcPr>
            <w:tcW w:w="3402" w:type="dxa"/>
          </w:tcPr>
          <w:p w14:paraId="332B3B09" w14:textId="3A975141" w:rsidR="00594748" w:rsidRPr="00F41F74" w:rsidRDefault="00594748" w:rsidP="00B710D0">
            <w:pPr>
              <w:pStyle w:val="NormalWeb"/>
              <w:spacing w:before="240" w:beforeAutospacing="0" w:after="240" w:afterAutospacing="0"/>
              <w:jc w:val="left"/>
              <w:rPr>
                <w:szCs w:val="24"/>
              </w:rPr>
            </w:pPr>
            <w:r>
              <w:rPr>
                <w:color w:val="303030"/>
                <w:szCs w:val="24"/>
              </w:rPr>
              <w:t>C</w:t>
            </w:r>
            <w:r w:rsidRPr="00C414F4">
              <w:rPr>
                <w:color w:val="303030"/>
                <w:szCs w:val="24"/>
              </w:rPr>
              <w:t>ompliant with</w:t>
            </w:r>
            <w:r w:rsidRPr="00A71CF6">
              <w:rPr>
                <w:color w:val="303030"/>
                <w:szCs w:val="24"/>
              </w:rPr>
              <w:t xml:space="preserve"> QCVN </w:t>
            </w:r>
            <w:r>
              <w:rPr>
                <w:color w:val="303030"/>
                <w:szCs w:val="24"/>
              </w:rPr>
              <w:t>and</w:t>
            </w:r>
            <w:r w:rsidRPr="00A71CF6">
              <w:rPr>
                <w:color w:val="303030"/>
                <w:szCs w:val="24"/>
              </w:rPr>
              <w:t xml:space="preserve"> </w:t>
            </w:r>
            <w:r>
              <w:rPr>
                <w:color w:val="303030"/>
                <w:szCs w:val="24"/>
              </w:rPr>
              <w:t>i</w:t>
            </w:r>
            <w:r w:rsidRPr="00C3728E">
              <w:rPr>
                <w:color w:val="303030"/>
                <w:szCs w:val="24"/>
              </w:rPr>
              <w:t xml:space="preserve">nternational BAP </w:t>
            </w:r>
            <w:r>
              <w:rPr>
                <w:color w:val="303030"/>
                <w:szCs w:val="24"/>
              </w:rPr>
              <w:t>s</w:t>
            </w:r>
            <w:r w:rsidRPr="00C3728E">
              <w:rPr>
                <w:color w:val="303030"/>
                <w:szCs w:val="24"/>
              </w:rPr>
              <w:t xml:space="preserve">tandard (Optimized </w:t>
            </w:r>
            <w:r>
              <w:rPr>
                <w:color w:val="303030"/>
                <w:szCs w:val="24"/>
              </w:rPr>
              <w:t>s</w:t>
            </w:r>
            <w:r w:rsidRPr="00C3728E">
              <w:rPr>
                <w:color w:val="303030"/>
                <w:szCs w:val="24"/>
              </w:rPr>
              <w:t>cenario)</w:t>
            </w:r>
          </w:p>
        </w:tc>
      </w:tr>
    </w:tbl>
    <w:p w14:paraId="3F361E9A" w14:textId="0D077A8C" w:rsidR="00594748" w:rsidRPr="00B710D0" w:rsidRDefault="00594748" w:rsidP="00B710D0">
      <w:pPr>
        <w:spacing w:before="240" w:after="240" w:line="240" w:lineRule="auto"/>
        <w:jc w:val="center"/>
        <w:rPr>
          <w:rFonts w:eastAsia="Times New Roman"/>
          <w:i/>
          <w:iCs/>
          <w:sz w:val="24"/>
        </w:rPr>
      </w:pPr>
      <w:r w:rsidRPr="00B710D0">
        <w:rPr>
          <w:rFonts w:eastAsia="Times New Roman"/>
          <w:i/>
          <w:iCs/>
          <w:sz w:val="24"/>
        </w:rPr>
        <w:lastRenderedPageBreak/>
        <w:t xml:space="preserve">(Source: </w:t>
      </w:r>
      <w:r w:rsidR="00B710D0" w:rsidRPr="00B710D0">
        <w:rPr>
          <w:rFonts w:eastAsia="Times New Roman"/>
          <w:i/>
          <w:iCs/>
          <w:sz w:val="24"/>
        </w:rPr>
        <w:t>Data adapted from regression functions in Nam et al., 2022</w:t>
      </w:r>
      <w:r w:rsidRPr="00B710D0">
        <w:rPr>
          <w:rFonts w:eastAsia="Times New Roman"/>
          <w:i/>
          <w:iCs/>
          <w:sz w:val="24"/>
        </w:rPr>
        <w:t>)</w:t>
      </w:r>
    </w:p>
    <w:p w14:paraId="47BDADED" w14:textId="46CA06B9" w:rsidR="00B710D0" w:rsidRPr="00F41F74" w:rsidRDefault="00B710D0" w:rsidP="00B710D0">
      <w:pPr>
        <w:spacing w:before="240" w:after="240" w:line="240" w:lineRule="auto"/>
        <w:outlineLvl w:val="2"/>
        <w:rPr>
          <w:rFonts w:eastAsia="Times New Roman"/>
          <w:b/>
          <w:bCs/>
          <w:sz w:val="24"/>
        </w:rPr>
      </w:pPr>
      <w:r>
        <w:rPr>
          <w:rFonts w:eastAsia="Times New Roman"/>
          <w:b/>
          <w:bCs/>
          <w:sz w:val="24"/>
        </w:rPr>
        <w:t>3</w:t>
      </w:r>
      <w:r w:rsidRPr="00F41F74">
        <w:rPr>
          <w:rFonts w:eastAsia="Times New Roman"/>
          <w:b/>
          <w:bCs/>
          <w:sz w:val="24"/>
        </w:rPr>
        <w:t>.</w:t>
      </w:r>
      <w:r>
        <w:rPr>
          <w:rFonts w:eastAsia="Times New Roman"/>
          <w:b/>
          <w:bCs/>
          <w:sz w:val="24"/>
        </w:rPr>
        <w:t>2</w:t>
      </w:r>
      <w:r w:rsidRPr="00F41F74">
        <w:rPr>
          <w:rFonts w:eastAsia="Times New Roman"/>
          <w:b/>
          <w:bCs/>
          <w:sz w:val="24"/>
        </w:rPr>
        <w:t xml:space="preserve"> </w:t>
      </w:r>
      <w:proofErr w:type="spellStart"/>
      <w:r w:rsidRPr="00B710D0">
        <w:rPr>
          <w:rFonts w:eastAsia="Times New Roman"/>
          <w:b/>
          <w:bCs/>
          <w:sz w:val="24"/>
        </w:rPr>
        <w:t>Biofloc</w:t>
      </w:r>
      <w:proofErr w:type="spellEnd"/>
      <w:r w:rsidRPr="00B710D0">
        <w:rPr>
          <w:rFonts w:eastAsia="Times New Roman"/>
          <w:b/>
          <w:bCs/>
          <w:sz w:val="24"/>
        </w:rPr>
        <w:t xml:space="preserve"> technology and water recirculation: Converting waste into biomass</w:t>
      </w:r>
    </w:p>
    <w:p w14:paraId="52C648D8" w14:textId="5105FDEF" w:rsidR="00B710D0" w:rsidRPr="00594748" w:rsidRDefault="00B710D0" w:rsidP="00B710D0">
      <w:pPr>
        <w:spacing w:before="240" w:after="240" w:line="240" w:lineRule="auto"/>
        <w:outlineLvl w:val="2"/>
        <w:rPr>
          <w:rFonts w:eastAsia="Times New Roman"/>
          <w:b/>
          <w:bCs/>
          <w:i/>
          <w:iCs/>
          <w:sz w:val="24"/>
        </w:rPr>
      </w:pPr>
      <w:r w:rsidRPr="00594748">
        <w:rPr>
          <w:rFonts w:eastAsia="Times New Roman"/>
          <w:b/>
          <w:bCs/>
          <w:i/>
          <w:iCs/>
          <w:sz w:val="24"/>
        </w:rPr>
        <w:t>3.</w:t>
      </w:r>
      <w:r>
        <w:rPr>
          <w:rFonts w:eastAsia="Times New Roman"/>
          <w:b/>
          <w:bCs/>
          <w:i/>
          <w:iCs/>
          <w:sz w:val="24"/>
        </w:rPr>
        <w:t>2</w:t>
      </w:r>
      <w:r>
        <w:rPr>
          <w:rFonts w:eastAsia="Times New Roman"/>
          <w:b/>
          <w:bCs/>
          <w:i/>
          <w:iCs/>
          <w:sz w:val="24"/>
        </w:rPr>
        <w:t>.1</w:t>
      </w:r>
      <w:r w:rsidRPr="00594748">
        <w:rPr>
          <w:rFonts w:eastAsia="Times New Roman"/>
          <w:b/>
          <w:bCs/>
          <w:i/>
          <w:iCs/>
          <w:sz w:val="24"/>
        </w:rPr>
        <w:t xml:space="preserve"> Sedimentation kinetics and optimization of hydraulic retention time</w:t>
      </w:r>
    </w:p>
    <w:p w14:paraId="3C2219CC" w14:textId="77777777" w:rsidR="00B710D0" w:rsidRPr="00B710D0" w:rsidRDefault="00B710D0" w:rsidP="00B710D0">
      <w:pPr>
        <w:spacing w:before="240" w:after="240" w:line="240" w:lineRule="auto"/>
        <w:jc w:val="both"/>
        <w:outlineLvl w:val="2"/>
        <w:rPr>
          <w:rFonts w:eastAsia="Times New Roman"/>
          <w:sz w:val="24"/>
        </w:rPr>
      </w:pPr>
      <w:r w:rsidRPr="00B710D0">
        <w:rPr>
          <w:rFonts w:eastAsia="Times New Roman"/>
          <w:sz w:val="24"/>
        </w:rPr>
        <w:t xml:space="preserve">The operational principle of </w:t>
      </w:r>
      <w:proofErr w:type="spellStart"/>
      <w:r w:rsidRPr="00B710D0">
        <w:rPr>
          <w:rFonts w:eastAsia="Times New Roman"/>
          <w:sz w:val="24"/>
        </w:rPr>
        <w:t>Biofloc</w:t>
      </w:r>
      <w:proofErr w:type="spellEnd"/>
      <w:r w:rsidRPr="00B710D0">
        <w:rPr>
          <w:rFonts w:eastAsia="Times New Roman"/>
          <w:sz w:val="24"/>
        </w:rPr>
        <w:t xml:space="preserve"> technology (BFT) is based on manipulating the Carbon/Nitrogen (C/N) ratio in the water column by supplementing external organic carbon sources (such as molasses or cassava flour) in conjunction with continuous, high-intensity aeration. When the C/N ratio is elevated above 15/1, heterotrophic bacteria undergo an exponential growth phase, outcompeting autotrophic bacteria. This bacterial community is capable of directly assimilating toxic ammonia (NH</w:t>
      </w:r>
      <w:r w:rsidRPr="00B710D0">
        <w:rPr>
          <w:rFonts w:eastAsia="Times New Roman"/>
          <w:sz w:val="24"/>
          <w:vertAlign w:val="subscript"/>
        </w:rPr>
        <w:t>3</w:t>
      </w:r>
      <w:r w:rsidRPr="00B710D0">
        <w:rPr>
          <w:rFonts w:eastAsia="Times New Roman"/>
          <w:sz w:val="24"/>
        </w:rPr>
        <w:t>/NH</w:t>
      </w:r>
      <w:r w:rsidRPr="00B710D0">
        <w:rPr>
          <w:rFonts w:eastAsia="Times New Roman"/>
          <w:sz w:val="24"/>
          <w:vertAlign w:val="subscript"/>
        </w:rPr>
        <w:t>4</w:t>
      </w:r>
      <w:r w:rsidRPr="00B710D0">
        <w:rPr>
          <w:rFonts w:eastAsia="Times New Roman"/>
          <w:sz w:val="24"/>
          <w:vertAlign w:val="superscript"/>
        </w:rPr>
        <w:t>+</w:t>
      </w:r>
      <w:r w:rsidRPr="00B710D0">
        <w:rPr>
          <w:rFonts w:eastAsia="Times New Roman"/>
          <w:sz w:val="24"/>
        </w:rPr>
        <w:t>) and NO</w:t>
      </w:r>
      <w:r w:rsidRPr="00B710D0">
        <w:rPr>
          <w:rFonts w:eastAsia="Times New Roman"/>
          <w:sz w:val="24"/>
          <w:vertAlign w:val="subscript"/>
        </w:rPr>
        <w:t>2</w:t>
      </w:r>
      <w:r w:rsidRPr="00B710D0">
        <w:rPr>
          <w:rFonts w:eastAsia="Times New Roman"/>
          <w:sz w:val="24"/>
          <w:vertAlign w:val="superscript"/>
        </w:rPr>
        <w:t>-</w:t>
      </w:r>
      <w:r w:rsidRPr="00B710D0">
        <w:rPr>
          <w:rFonts w:eastAsia="Times New Roman"/>
          <w:sz w:val="24"/>
        </w:rPr>
        <w:t xml:space="preserve"> derived from shrimp waste to synthesize cellular protein (Iber &amp; Kasan, 2021).</w:t>
      </w:r>
    </w:p>
    <w:p w14:paraId="297C159E" w14:textId="77777777" w:rsidR="00B710D0" w:rsidRDefault="00B710D0" w:rsidP="00B710D0">
      <w:pPr>
        <w:spacing w:before="240" w:after="240" w:line="240" w:lineRule="auto"/>
        <w:jc w:val="both"/>
        <w:outlineLvl w:val="2"/>
        <w:rPr>
          <w:rFonts w:eastAsia="Times New Roman"/>
          <w:sz w:val="24"/>
        </w:rPr>
      </w:pPr>
      <w:r w:rsidRPr="00B710D0">
        <w:rPr>
          <w:rFonts w:eastAsia="Times New Roman"/>
          <w:sz w:val="24"/>
        </w:rPr>
        <w:t>This biological process aggregates microorganisms, algae, fungi, and unconsumed feed particles into suspended flocs within the water column. The hallmark of this ecological technology is that these nutrient-rich flocs (containing 30–45% crude protein) serve as an excellent natural food source for white-leg shrimp (Nguyen et al., 2019). Consequently, BFT delivers dual benefits: it thoroughly controls ambient ammonia concentrations within safe thresholds without requiring water exchange, and it substantially lowers the feed conversion ratio, resulting in up to a 20% reduction in commercial feed costs.</w:t>
      </w:r>
    </w:p>
    <w:p w14:paraId="7A6AC9D2" w14:textId="1727153E" w:rsidR="00B710D0" w:rsidRPr="00594748" w:rsidRDefault="00B710D0" w:rsidP="00B710D0">
      <w:pPr>
        <w:spacing w:before="240" w:after="240" w:line="240" w:lineRule="auto"/>
        <w:outlineLvl w:val="2"/>
        <w:rPr>
          <w:rFonts w:eastAsia="Times New Roman"/>
          <w:b/>
          <w:bCs/>
          <w:i/>
          <w:iCs/>
          <w:sz w:val="24"/>
        </w:rPr>
      </w:pPr>
      <w:r w:rsidRPr="00594748">
        <w:rPr>
          <w:rFonts w:eastAsia="Times New Roman"/>
          <w:b/>
          <w:bCs/>
          <w:i/>
          <w:iCs/>
          <w:sz w:val="24"/>
        </w:rPr>
        <w:t>3.</w:t>
      </w:r>
      <w:r>
        <w:rPr>
          <w:rFonts w:eastAsia="Times New Roman"/>
          <w:b/>
          <w:bCs/>
          <w:i/>
          <w:iCs/>
          <w:sz w:val="24"/>
        </w:rPr>
        <w:t>2</w:t>
      </w:r>
      <w:r>
        <w:rPr>
          <w:rFonts w:eastAsia="Times New Roman"/>
          <w:b/>
          <w:bCs/>
          <w:i/>
          <w:iCs/>
          <w:sz w:val="24"/>
        </w:rPr>
        <w:t>.</w:t>
      </w:r>
      <w:r>
        <w:rPr>
          <w:rFonts w:eastAsia="Times New Roman"/>
          <w:b/>
          <w:bCs/>
          <w:i/>
          <w:iCs/>
          <w:sz w:val="24"/>
        </w:rPr>
        <w:t>2</w:t>
      </w:r>
      <w:r w:rsidRPr="00594748">
        <w:rPr>
          <w:rFonts w:eastAsia="Times New Roman"/>
          <w:b/>
          <w:bCs/>
          <w:i/>
          <w:iCs/>
          <w:sz w:val="24"/>
        </w:rPr>
        <w:t xml:space="preserve"> </w:t>
      </w:r>
      <w:r w:rsidRPr="00B710D0">
        <w:rPr>
          <w:rFonts w:eastAsia="Times New Roman"/>
          <w:b/>
          <w:bCs/>
          <w:i/>
          <w:iCs/>
          <w:sz w:val="24"/>
        </w:rPr>
        <w:t>Recirculating aquaculture systems</w:t>
      </w:r>
    </w:p>
    <w:p w14:paraId="6AFD8787" w14:textId="77777777" w:rsidR="00B710D0" w:rsidRPr="00B710D0" w:rsidRDefault="00B710D0" w:rsidP="00B710D0">
      <w:pPr>
        <w:spacing w:before="240" w:after="240" w:line="240" w:lineRule="auto"/>
        <w:jc w:val="both"/>
        <w:rPr>
          <w:rFonts w:eastAsia="Times New Roman"/>
          <w:sz w:val="24"/>
        </w:rPr>
      </w:pPr>
      <w:r w:rsidRPr="00B710D0">
        <w:rPr>
          <w:rFonts w:eastAsia="Times New Roman"/>
          <w:sz w:val="24"/>
        </w:rPr>
        <w:t>Recirculating aquaculture systems (RAS) represents a fully closed-loop technological solution, wherein culture effluent is pumped through a sequential series of filtration modules (mechanical filtration for feces/sludge separation, nitrifying/denitrifying biofiltration, and UV/Ozone disinfection) before being 100% recirculated back into the culture ponds (</w:t>
      </w:r>
      <w:proofErr w:type="spellStart"/>
      <w:r w:rsidRPr="00B710D0">
        <w:rPr>
          <w:rFonts w:eastAsia="Times New Roman"/>
          <w:sz w:val="24"/>
        </w:rPr>
        <w:t>Suantika</w:t>
      </w:r>
      <w:proofErr w:type="spellEnd"/>
      <w:r w:rsidRPr="00B710D0">
        <w:rPr>
          <w:rFonts w:eastAsia="Times New Roman"/>
          <w:sz w:val="24"/>
        </w:rPr>
        <w:t xml:space="preserve"> et al., 2018).</w:t>
      </w:r>
    </w:p>
    <w:p w14:paraId="1B452B33" w14:textId="0E490AEF" w:rsidR="00B710D0" w:rsidRPr="00B710D0" w:rsidRDefault="00B710D0" w:rsidP="00B710D0">
      <w:pPr>
        <w:spacing w:before="240" w:after="240" w:line="240" w:lineRule="auto"/>
        <w:jc w:val="both"/>
        <w:rPr>
          <w:rFonts w:eastAsia="Times New Roman"/>
          <w:sz w:val="24"/>
        </w:rPr>
      </w:pPr>
      <w:r w:rsidRPr="00B710D0">
        <w:rPr>
          <w:rFonts w:eastAsia="Times New Roman"/>
          <w:sz w:val="24"/>
        </w:rPr>
        <w:t xml:space="preserve">A major contemporary advancement in RAS is the integration of ultrafiltration membranes, establishing the Membrane-RAS (M-RAS) configuration. The ultra-small pore size of UF membranes allows for the absolute removal of colloidal suspended particles (&lt; 35 </w:t>
      </w:r>
      <w:r w:rsidR="00514AE7">
        <w:rPr>
          <w:rFonts w:eastAsia="Times New Roman"/>
          <w:sz w:val="24"/>
        </w:rPr>
        <w:sym w:font="Symbol" w:char="F06D"/>
      </w:r>
      <w:r w:rsidRPr="00B710D0">
        <w:rPr>
          <w:rFonts w:eastAsia="Times New Roman"/>
          <w:sz w:val="24"/>
        </w:rPr>
        <w:t xml:space="preserve">m), pathogenic bacteria (specifically </w:t>
      </w:r>
      <w:r w:rsidRPr="00514AE7">
        <w:rPr>
          <w:rFonts w:eastAsia="Times New Roman"/>
          <w:i/>
          <w:iCs/>
          <w:sz w:val="24"/>
        </w:rPr>
        <w:t>Vibrio</w:t>
      </w:r>
      <w:r w:rsidRPr="00B710D0">
        <w:rPr>
          <w:rFonts w:eastAsia="Times New Roman"/>
          <w:sz w:val="24"/>
        </w:rPr>
        <w:t xml:space="preserve"> spp. strains), and viral pathogens prior to the water entering the biofilter (</w:t>
      </w:r>
      <w:proofErr w:type="spellStart"/>
      <w:r w:rsidRPr="00B710D0">
        <w:rPr>
          <w:rFonts w:eastAsia="Times New Roman"/>
          <w:sz w:val="24"/>
        </w:rPr>
        <w:t>Widiasa</w:t>
      </w:r>
      <w:proofErr w:type="spellEnd"/>
      <w:r w:rsidRPr="00B710D0">
        <w:rPr>
          <w:rFonts w:eastAsia="Times New Roman"/>
          <w:sz w:val="24"/>
        </w:rPr>
        <w:t xml:space="preserve"> et al., 2024). The application of M-RAS maintains strict stability of physicochemical parameters (DO, pH, alkalinity), yielding a shrimp survival rate of up to 86.85% at an ultra-high stocking density of 400 individuals/m</w:t>
      </w:r>
      <w:r w:rsidRPr="00514AE7">
        <w:rPr>
          <w:rFonts w:eastAsia="Times New Roman"/>
          <w:sz w:val="24"/>
          <w:vertAlign w:val="superscript"/>
        </w:rPr>
        <w:t>3</w:t>
      </w:r>
      <w:r w:rsidRPr="00B710D0">
        <w:rPr>
          <w:rFonts w:eastAsia="Times New Roman"/>
          <w:sz w:val="24"/>
        </w:rPr>
        <w:t xml:space="preserve"> (</w:t>
      </w:r>
      <w:proofErr w:type="spellStart"/>
      <w:r w:rsidRPr="00B710D0">
        <w:rPr>
          <w:rFonts w:eastAsia="Times New Roman"/>
          <w:sz w:val="24"/>
        </w:rPr>
        <w:t>Widiasa</w:t>
      </w:r>
      <w:proofErr w:type="spellEnd"/>
      <w:r w:rsidRPr="00B710D0">
        <w:rPr>
          <w:rFonts w:eastAsia="Times New Roman"/>
          <w:sz w:val="24"/>
        </w:rPr>
        <w:t xml:space="preserve"> et al., 2024).</w:t>
      </w:r>
    </w:p>
    <w:p w14:paraId="6DCD87FB" w14:textId="4796FF65" w:rsidR="00B710D0" w:rsidRPr="00594748" w:rsidRDefault="00B710D0" w:rsidP="00B710D0">
      <w:pPr>
        <w:spacing w:before="240" w:after="240" w:line="240" w:lineRule="auto"/>
        <w:jc w:val="both"/>
        <w:rPr>
          <w:rFonts w:eastAsia="Times New Roman"/>
          <w:sz w:val="24"/>
        </w:rPr>
      </w:pPr>
      <w:r w:rsidRPr="00B710D0">
        <w:rPr>
          <w:rFonts w:eastAsia="Times New Roman"/>
          <w:sz w:val="24"/>
        </w:rPr>
        <w:t>Viewed through the lens of the water balance principle, the efficiency of recirculating systems is definitive. Mathematical models demonstrate that a traditional intensive system can consume and lose up to 1,000 m</w:t>
      </w:r>
      <w:r w:rsidRPr="00514AE7">
        <w:rPr>
          <w:rFonts w:eastAsia="Times New Roman"/>
          <w:sz w:val="24"/>
          <w:vertAlign w:val="superscript"/>
        </w:rPr>
        <w:t>3</w:t>
      </w:r>
      <w:r w:rsidRPr="00B710D0">
        <w:rPr>
          <w:rFonts w:eastAsia="Times New Roman"/>
          <w:sz w:val="24"/>
        </w:rPr>
        <w:t xml:space="preserve"> of water per crop via discharge and leakage. However, by implementing a recirculating configuration integrated with sequential biological treatment ponds, water loss is mitigated to just 33 m</w:t>
      </w:r>
      <w:r w:rsidRPr="00514AE7">
        <w:rPr>
          <w:rFonts w:eastAsia="Times New Roman"/>
          <w:sz w:val="24"/>
          <w:vertAlign w:val="superscript"/>
        </w:rPr>
        <w:t>3</w:t>
      </w:r>
      <w:r w:rsidRPr="00B710D0">
        <w:rPr>
          <w:rFonts w:eastAsia="Times New Roman"/>
          <w:sz w:val="24"/>
        </w:rPr>
        <w:t>/day (primarily driven by evaporation). This translates to a 97% reduction in wastewater discharge volumes and a 20% savings in freshwater intake requirements (Nguyen, 2023). The synergy between BFT and M-RAS represents the ideal archetype for operationalizing a Zero-discharge ecological model within the shrimp aquaculture industry.</w:t>
      </w:r>
    </w:p>
    <w:p w14:paraId="404EED54" w14:textId="2191CC33" w:rsidR="00B710D0" w:rsidRPr="00F41F74" w:rsidRDefault="00B710D0" w:rsidP="00B710D0">
      <w:pPr>
        <w:spacing w:before="240" w:after="240" w:line="240" w:lineRule="auto"/>
        <w:outlineLvl w:val="2"/>
        <w:rPr>
          <w:rFonts w:eastAsia="Times New Roman"/>
          <w:b/>
          <w:bCs/>
          <w:sz w:val="24"/>
        </w:rPr>
      </w:pPr>
      <w:r>
        <w:rPr>
          <w:rFonts w:eastAsia="Times New Roman"/>
          <w:b/>
          <w:bCs/>
          <w:sz w:val="24"/>
        </w:rPr>
        <w:t>3</w:t>
      </w:r>
      <w:r w:rsidRPr="00F41F74">
        <w:rPr>
          <w:rFonts w:eastAsia="Times New Roman"/>
          <w:b/>
          <w:bCs/>
          <w:sz w:val="24"/>
        </w:rPr>
        <w:t>.</w:t>
      </w:r>
      <w:r>
        <w:rPr>
          <w:rFonts w:eastAsia="Times New Roman"/>
          <w:b/>
          <w:bCs/>
          <w:sz w:val="24"/>
        </w:rPr>
        <w:t>3</w:t>
      </w:r>
      <w:r w:rsidRPr="00F41F74">
        <w:rPr>
          <w:rFonts w:eastAsia="Times New Roman"/>
          <w:b/>
          <w:bCs/>
          <w:sz w:val="24"/>
        </w:rPr>
        <w:t xml:space="preserve"> </w:t>
      </w:r>
      <w:r w:rsidRPr="00B710D0">
        <w:rPr>
          <w:rFonts w:eastAsia="Times New Roman"/>
          <w:b/>
          <w:bCs/>
          <w:sz w:val="24"/>
        </w:rPr>
        <w:t>Constructed wetlands: Optimizing treatment via aquatic macrophyte diversity</w:t>
      </w:r>
    </w:p>
    <w:p w14:paraId="18D8889E" w14:textId="77777777" w:rsidR="00B710D0" w:rsidRPr="005E6136" w:rsidRDefault="00B710D0" w:rsidP="005E6136">
      <w:pPr>
        <w:shd w:val="clear" w:color="auto" w:fill="FFFFFF"/>
        <w:spacing w:before="240" w:after="240" w:line="240" w:lineRule="auto"/>
        <w:jc w:val="both"/>
        <w:rPr>
          <w:rFonts w:eastAsia="Times New Roman"/>
          <w:color w:val="303030"/>
          <w:sz w:val="24"/>
          <w:szCs w:val="22"/>
        </w:rPr>
      </w:pPr>
      <w:r w:rsidRPr="005E6136">
        <w:rPr>
          <w:rFonts w:eastAsia="Times New Roman"/>
          <w:color w:val="303030"/>
          <w:sz w:val="24"/>
          <w:szCs w:val="22"/>
        </w:rPr>
        <w:lastRenderedPageBreak/>
        <w:t>Although biological settling pond systems and RAS can eliminate most suspended solids and organic matter, dissolved nutrient forms - particularly nitrates and phosphates - remain a major challenge. Within this context, constructed wetlands (CWs) emerge as a highly effective, terminal ecological engineering solution for polishing shrimp aquaculture effluents (Iber &amp; Kasan, 2021). The core mechanism of CWs in purifying wastewater is the synergistic interaction of three primary pathways: (</w:t>
      </w:r>
      <w:proofErr w:type="spellStart"/>
      <w:r w:rsidRPr="005E6136">
        <w:rPr>
          <w:rFonts w:eastAsia="Times New Roman"/>
          <w:color w:val="303030"/>
          <w:sz w:val="24"/>
          <w:szCs w:val="22"/>
        </w:rPr>
        <w:t>i</w:t>
      </w:r>
      <w:proofErr w:type="spellEnd"/>
      <w:r w:rsidRPr="005E6136">
        <w:rPr>
          <w:rFonts w:eastAsia="Times New Roman"/>
          <w:color w:val="303030"/>
          <w:sz w:val="24"/>
          <w:szCs w:val="22"/>
        </w:rPr>
        <w:t>) physicochemical adsorption; (ii) microbial degradation (nitrification and denitrification); and (iii) the direct assimilation of inorganic ions (NH</w:t>
      </w:r>
      <w:r w:rsidRPr="005E6136">
        <w:rPr>
          <w:rFonts w:eastAsia="Times New Roman"/>
          <w:color w:val="303030"/>
          <w:sz w:val="24"/>
          <w:szCs w:val="22"/>
          <w:vertAlign w:val="subscript"/>
        </w:rPr>
        <w:t>4</w:t>
      </w:r>
      <w:r w:rsidRPr="005E6136">
        <w:rPr>
          <w:rFonts w:eastAsia="Times New Roman"/>
          <w:color w:val="303030"/>
          <w:sz w:val="24"/>
          <w:szCs w:val="22"/>
          <w:vertAlign w:val="superscript"/>
        </w:rPr>
        <w:t>+</w:t>
      </w:r>
      <w:r w:rsidRPr="005E6136">
        <w:rPr>
          <w:rFonts w:eastAsia="Times New Roman"/>
          <w:color w:val="303030"/>
          <w:sz w:val="24"/>
          <w:szCs w:val="22"/>
        </w:rPr>
        <w:t>, NO</w:t>
      </w:r>
      <w:r w:rsidRPr="005E6136">
        <w:rPr>
          <w:rFonts w:eastAsia="Times New Roman"/>
          <w:color w:val="303030"/>
          <w:sz w:val="24"/>
          <w:szCs w:val="22"/>
          <w:vertAlign w:val="subscript"/>
        </w:rPr>
        <w:t>3</w:t>
      </w:r>
      <w:r w:rsidRPr="005E6136">
        <w:rPr>
          <w:rFonts w:eastAsia="Times New Roman"/>
          <w:color w:val="303030"/>
          <w:sz w:val="24"/>
          <w:szCs w:val="22"/>
          <w:vertAlign w:val="superscript"/>
        </w:rPr>
        <w:t>-</w:t>
      </w:r>
      <w:r w:rsidRPr="005E6136">
        <w:rPr>
          <w:rFonts w:eastAsia="Times New Roman"/>
          <w:color w:val="303030"/>
          <w:sz w:val="24"/>
          <w:szCs w:val="22"/>
        </w:rPr>
        <w:t>, PO</w:t>
      </w:r>
      <w:r w:rsidRPr="005E6136">
        <w:rPr>
          <w:rFonts w:eastAsia="Times New Roman"/>
          <w:color w:val="303030"/>
          <w:sz w:val="24"/>
          <w:szCs w:val="22"/>
          <w:vertAlign w:val="subscript"/>
        </w:rPr>
        <w:t>4</w:t>
      </w:r>
      <w:r w:rsidRPr="005E6136">
        <w:rPr>
          <w:rFonts w:eastAsia="Times New Roman"/>
          <w:color w:val="303030"/>
          <w:sz w:val="24"/>
          <w:szCs w:val="22"/>
          <w:vertAlign w:val="superscript"/>
        </w:rPr>
        <w:t>3-</w:t>
      </w:r>
      <w:r w:rsidRPr="005E6136">
        <w:rPr>
          <w:rFonts w:eastAsia="Times New Roman"/>
          <w:color w:val="303030"/>
          <w:sz w:val="24"/>
          <w:szCs w:val="22"/>
        </w:rPr>
        <w:t>) into the biomass of aquatic macrophytes. The radial oxygen loss from the root systems of wetland plants significantly accelerates the oxidation of organic compounds, thereby enhancing the overall performance of the entire system (Pham et al., 2021).</w:t>
      </w:r>
    </w:p>
    <w:p w14:paraId="45FDCD04" w14:textId="77777777" w:rsidR="00B710D0" w:rsidRPr="005E6136" w:rsidRDefault="00B710D0" w:rsidP="005E6136">
      <w:pPr>
        <w:shd w:val="clear" w:color="auto" w:fill="FFFFFF"/>
        <w:spacing w:before="240" w:after="240" w:line="240" w:lineRule="auto"/>
        <w:jc w:val="both"/>
        <w:rPr>
          <w:rFonts w:eastAsia="Times New Roman"/>
          <w:color w:val="303030"/>
          <w:sz w:val="24"/>
          <w:szCs w:val="22"/>
        </w:rPr>
      </w:pPr>
      <w:r w:rsidRPr="005E6136">
        <w:rPr>
          <w:rFonts w:eastAsia="Times New Roman"/>
          <w:color w:val="303030"/>
          <w:sz w:val="24"/>
          <w:szCs w:val="22"/>
        </w:rPr>
        <w:t>Empirical research conducted in Ben Tre demonstrated that reed-planted CWs eliminated 70% of COD and removed 64.1–76.6% of ammonium (That &amp; Hoang, 2024). Systems utilizing the bulrush (</w:t>
      </w:r>
      <w:proofErr w:type="spellStart"/>
      <w:r w:rsidRPr="005E6136">
        <w:rPr>
          <w:rFonts w:eastAsia="Times New Roman"/>
          <w:i/>
          <w:iCs/>
          <w:color w:val="303030"/>
          <w:sz w:val="24"/>
          <w:szCs w:val="22"/>
        </w:rPr>
        <w:t>Scirpus</w:t>
      </w:r>
      <w:proofErr w:type="spellEnd"/>
      <w:r w:rsidRPr="005E6136">
        <w:rPr>
          <w:rFonts w:eastAsia="Times New Roman"/>
          <w:i/>
          <w:iCs/>
          <w:color w:val="303030"/>
          <w:sz w:val="24"/>
          <w:szCs w:val="22"/>
        </w:rPr>
        <w:t xml:space="preserve"> </w:t>
      </w:r>
      <w:proofErr w:type="spellStart"/>
      <w:r w:rsidRPr="005E6136">
        <w:rPr>
          <w:rFonts w:eastAsia="Times New Roman"/>
          <w:i/>
          <w:iCs/>
          <w:color w:val="303030"/>
          <w:sz w:val="24"/>
          <w:szCs w:val="22"/>
        </w:rPr>
        <w:t>littoralis</w:t>
      </w:r>
      <w:proofErr w:type="spellEnd"/>
      <w:r w:rsidRPr="005E6136">
        <w:rPr>
          <w:rFonts w:eastAsia="Times New Roman"/>
          <w:color w:val="303030"/>
          <w:sz w:val="24"/>
          <w:szCs w:val="22"/>
        </w:rPr>
        <w:t>) yielded a comparable COD removal efficiency of 76% (Pham et al., 2021). Notably, regarding NO</w:t>
      </w:r>
      <w:r w:rsidRPr="005E6136">
        <w:rPr>
          <w:rFonts w:eastAsia="Times New Roman"/>
          <w:color w:val="303030"/>
          <w:sz w:val="24"/>
          <w:szCs w:val="22"/>
          <w:vertAlign w:val="subscript"/>
        </w:rPr>
        <w:t>2</w:t>
      </w:r>
      <w:r w:rsidRPr="005E6136">
        <w:rPr>
          <w:rFonts w:eastAsia="Times New Roman"/>
          <w:color w:val="303030"/>
          <w:sz w:val="24"/>
          <w:szCs w:val="22"/>
          <w:vertAlign w:val="superscript"/>
        </w:rPr>
        <w:t>-</w:t>
      </w:r>
      <w:r w:rsidRPr="005E6136">
        <w:rPr>
          <w:rFonts w:eastAsia="Times New Roman"/>
          <w:color w:val="303030"/>
          <w:sz w:val="24"/>
          <w:szCs w:val="22"/>
        </w:rPr>
        <w:t xml:space="preserve"> toxicity, CW systems integrating reeds and cattails have been proven capable of thoroughly removing 83–94% through intensive nitrification within the rhizosphere (Lin et al., 2005; Shi et al., 2011).</w:t>
      </w:r>
    </w:p>
    <w:p w14:paraId="583EC407" w14:textId="34AEDBE7" w:rsidR="00A3509C" w:rsidRPr="005E6136" w:rsidRDefault="00B710D0" w:rsidP="005E6136">
      <w:pPr>
        <w:spacing w:before="240" w:after="240" w:line="240" w:lineRule="auto"/>
        <w:jc w:val="both"/>
        <w:rPr>
          <w:rFonts w:eastAsia="Times New Roman"/>
          <w:sz w:val="22"/>
          <w:szCs w:val="22"/>
        </w:rPr>
      </w:pPr>
      <w:r w:rsidRPr="005E6136">
        <w:rPr>
          <w:rFonts w:eastAsia="Times New Roman"/>
          <w:color w:val="303030"/>
          <w:sz w:val="24"/>
          <w:szCs w:val="22"/>
        </w:rPr>
        <w:t>Experiments conducted by Phuong et al. (2025) using CW models planted with Flamingo flower (</w:t>
      </w:r>
      <w:r w:rsidRPr="005E6136">
        <w:rPr>
          <w:rFonts w:eastAsia="Times New Roman"/>
          <w:i/>
          <w:iCs/>
          <w:color w:val="303030"/>
          <w:sz w:val="24"/>
          <w:szCs w:val="22"/>
        </w:rPr>
        <w:t xml:space="preserve">Anthurium </w:t>
      </w:r>
      <w:proofErr w:type="spellStart"/>
      <w:r w:rsidRPr="005E6136">
        <w:rPr>
          <w:rFonts w:eastAsia="Times New Roman"/>
          <w:i/>
          <w:iCs/>
          <w:color w:val="303030"/>
          <w:sz w:val="24"/>
          <w:szCs w:val="22"/>
        </w:rPr>
        <w:t>andraeanum</w:t>
      </w:r>
      <w:proofErr w:type="spellEnd"/>
      <w:r w:rsidRPr="005E6136">
        <w:rPr>
          <w:rFonts w:eastAsia="Times New Roman"/>
          <w:color w:val="303030"/>
          <w:sz w:val="24"/>
          <w:szCs w:val="22"/>
        </w:rPr>
        <w:t>) on a gravel substrate blended with coconut coir documented superior treatment outcomes. After a 15-day hydraulic retention time, this system achieved an organic matter removal efficiency of up to 87.5%, while successfully removing 76% of ammonium, 91.6% of nitrite, and 44.1% of phosphate. This success is attributed not only to the plant species itself but also to the optimization of the coconut coir substrate, which acts as a sustainable organic carbon source that drives the denitrification process (Phuong et al., 2025).</w:t>
      </w:r>
    </w:p>
    <w:p w14:paraId="5FC3E8E3" w14:textId="6466B9D4" w:rsidR="00B710D0" w:rsidRPr="00F41F74" w:rsidRDefault="00B710D0" w:rsidP="00B710D0">
      <w:pPr>
        <w:spacing w:before="240" w:after="240" w:line="240" w:lineRule="auto"/>
        <w:outlineLvl w:val="2"/>
        <w:rPr>
          <w:rFonts w:eastAsia="Times New Roman"/>
          <w:b/>
          <w:bCs/>
          <w:sz w:val="24"/>
        </w:rPr>
      </w:pPr>
      <w:r>
        <w:rPr>
          <w:rFonts w:eastAsia="Times New Roman"/>
          <w:b/>
          <w:bCs/>
          <w:sz w:val="24"/>
        </w:rPr>
        <w:t>3</w:t>
      </w:r>
      <w:r w:rsidRPr="00F41F74">
        <w:rPr>
          <w:rFonts w:eastAsia="Times New Roman"/>
          <w:b/>
          <w:bCs/>
          <w:sz w:val="24"/>
        </w:rPr>
        <w:t>.</w:t>
      </w:r>
      <w:r>
        <w:rPr>
          <w:rFonts w:eastAsia="Times New Roman"/>
          <w:b/>
          <w:bCs/>
          <w:sz w:val="24"/>
        </w:rPr>
        <w:t>4</w:t>
      </w:r>
      <w:r w:rsidRPr="00F41F74">
        <w:rPr>
          <w:rFonts w:eastAsia="Times New Roman"/>
          <w:b/>
          <w:bCs/>
          <w:sz w:val="24"/>
        </w:rPr>
        <w:t xml:space="preserve"> </w:t>
      </w:r>
      <w:r w:rsidRPr="00B710D0">
        <w:rPr>
          <w:rFonts w:eastAsia="Times New Roman"/>
          <w:b/>
          <w:bCs/>
          <w:sz w:val="24"/>
        </w:rPr>
        <w:t>Water recirculation efficiency and Zero-discharge targets</w:t>
      </w:r>
    </w:p>
    <w:p w14:paraId="79CA28EC" w14:textId="4596D1AD" w:rsidR="00B710D0" w:rsidRPr="00B710D0" w:rsidRDefault="00B710D0" w:rsidP="00B710D0">
      <w:pPr>
        <w:spacing w:before="240" w:after="240" w:line="240" w:lineRule="auto"/>
        <w:outlineLvl w:val="2"/>
        <w:rPr>
          <w:rFonts w:eastAsia="Times New Roman"/>
          <w:b/>
          <w:bCs/>
          <w:i/>
          <w:iCs/>
          <w:sz w:val="24"/>
        </w:rPr>
      </w:pPr>
      <w:r w:rsidRPr="00B710D0">
        <w:rPr>
          <w:rFonts w:eastAsia="Times New Roman"/>
          <w:b/>
          <w:bCs/>
          <w:i/>
          <w:iCs/>
          <w:sz w:val="24"/>
        </w:rPr>
        <w:t>3.</w:t>
      </w:r>
      <w:r w:rsidRPr="00B710D0">
        <w:rPr>
          <w:rFonts w:eastAsia="Times New Roman"/>
          <w:b/>
          <w:bCs/>
          <w:i/>
          <w:iCs/>
          <w:sz w:val="24"/>
        </w:rPr>
        <w:t>4.1</w:t>
      </w:r>
      <w:r w:rsidRPr="00B710D0">
        <w:rPr>
          <w:rFonts w:eastAsia="Times New Roman"/>
          <w:b/>
          <w:bCs/>
          <w:i/>
          <w:iCs/>
          <w:sz w:val="24"/>
        </w:rPr>
        <w:t xml:space="preserve"> Quantifying resource conservation efficiency via water mass balance</w:t>
      </w:r>
    </w:p>
    <w:p w14:paraId="1FB6AA54" w14:textId="77777777" w:rsidR="00B710D0" w:rsidRPr="00B710D0" w:rsidRDefault="00B710D0" w:rsidP="00B710D0">
      <w:pPr>
        <w:spacing w:before="240" w:after="240" w:line="240" w:lineRule="auto"/>
        <w:jc w:val="both"/>
        <w:rPr>
          <w:rFonts w:eastAsia="Times New Roman"/>
          <w:sz w:val="24"/>
        </w:rPr>
      </w:pPr>
      <w:r w:rsidRPr="00B710D0">
        <w:rPr>
          <w:rFonts w:eastAsia="Times New Roman"/>
          <w:sz w:val="24"/>
        </w:rPr>
        <w:t>To maintain water quality in high-density SISF ponds, periodic water exchange is an imperative technical requirement. The daily freshwater intake volume increments progressively with shrimp age, typically fluctuating between 10% and 30% of the total pond volume and can escalate to 50% under conventional farming scenarios. Applying a water mass balance analytical framework based on the conservation of mass equation provides the core scientific foundation to accurately quantify water consumption pathways and evaluate the efficiency of recirculating configurations:</w:t>
      </w:r>
    </w:p>
    <w:p w14:paraId="3DB10CE4" w14:textId="6A6E90D6" w:rsidR="00B710D0" w:rsidRPr="00B710D0" w:rsidRDefault="00B710D0" w:rsidP="00B710D0">
      <w:pPr>
        <w:pStyle w:val="ListParagraph"/>
        <w:numPr>
          <w:ilvl w:val="0"/>
          <w:numId w:val="28"/>
        </w:numPr>
        <w:spacing w:before="240" w:after="240" w:line="240" w:lineRule="auto"/>
        <w:jc w:val="both"/>
        <w:rPr>
          <w:rFonts w:eastAsia="Times New Roman"/>
          <w:sz w:val="24"/>
        </w:rPr>
      </w:pPr>
      <w:r w:rsidRPr="00B710D0">
        <w:rPr>
          <w:rFonts w:eastAsia="Times New Roman"/>
          <w:sz w:val="24"/>
        </w:rPr>
        <w:t>Effluent discharge in conventional open-culture models: Fieldwork conducted by Nguyen (2023) at a white-leg shrimp farm in Ca Mau revealed that the volume of wastewater discharged directly into the natural environment daily (encompassing pond exchange water, dense bottom siphon streams, evaporation, and seepage) reached up to 1,000 m</w:t>
      </w:r>
      <w:r w:rsidRPr="00B710D0">
        <w:rPr>
          <w:rFonts w:eastAsia="Times New Roman"/>
          <w:sz w:val="24"/>
          <w:vertAlign w:val="superscript"/>
        </w:rPr>
        <w:t>3</w:t>
      </w:r>
      <w:r w:rsidRPr="00B710D0">
        <w:rPr>
          <w:rFonts w:eastAsia="Times New Roman"/>
          <w:sz w:val="24"/>
        </w:rPr>
        <w:t>/day (accounting for over 20% of the cumulative water footprint of the culture cycle). This massive discharge stream, laden with concentrated organic and nutrient loads, drives the degradation of natural receiving water bodies.</w:t>
      </w:r>
    </w:p>
    <w:p w14:paraId="4C485F65" w14:textId="66186F25" w:rsidR="00B710D0" w:rsidRPr="00B710D0" w:rsidRDefault="00B710D0" w:rsidP="00B710D0">
      <w:pPr>
        <w:pStyle w:val="ListParagraph"/>
        <w:numPr>
          <w:ilvl w:val="0"/>
          <w:numId w:val="28"/>
        </w:numPr>
        <w:spacing w:before="240" w:after="240" w:line="240" w:lineRule="auto"/>
        <w:jc w:val="both"/>
        <w:rPr>
          <w:rFonts w:eastAsia="Times New Roman"/>
          <w:sz w:val="24"/>
        </w:rPr>
      </w:pPr>
      <w:r w:rsidRPr="00B710D0">
        <w:rPr>
          <w:rFonts w:eastAsia="Times New Roman"/>
          <w:sz w:val="24"/>
        </w:rPr>
        <w:t xml:space="preserve">Closed-loop recirculating water models: Upon transitioning to a closed-loop recirculation system - wherein effluents are routed through a sequential series of biological settling and polishing ponds for purification prior to being pumped back into the culture units - direct wastewater discharge into receiving rivers is eliminated. Data from Nguyen (2023) demonstrated that the actual water loss within the farm was confined </w:t>
      </w:r>
      <w:r w:rsidRPr="00B710D0">
        <w:rPr>
          <w:rFonts w:eastAsia="Times New Roman"/>
          <w:sz w:val="24"/>
        </w:rPr>
        <w:lastRenderedPageBreak/>
        <w:t>solely to natural evaporation and embankment seepage, dropping to an ultra-low level of just 33 m</w:t>
      </w:r>
      <w:r w:rsidRPr="00514AE7">
        <w:rPr>
          <w:rFonts w:eastAsia="Times New Roman"/>
          <w:sz w:val="24"/>
          <w:vertAlign w:val="superscript"/>
        </w:rPr>
        <w:t>3</w:t>
      </w:r>
      <w:r w:rsidRPr="00B710D0">
        <w:rPr>
          <w:rFonts w:eastAsia="Times New Roman"/>
          <w:sz w:val="24"/>
        </w:rPr>
        <w:t>/day. This recirculation process enables the farm to mitigate effluent discharge by 97% while directly conserving 20% of natural freshwater intake requirements.</w:t>
      </w:r>
    </w:p>
    <w:p w14:paraId="5B731155" w14:textId="0F8073FF" w:rsidR="00A3509C" w:rsidRDefault="00B710D0" w:rsidP="00B710D0">
      <w:pPr>
        <w:spacing w:before="240" w:after="240" w:line="240" w:lineRule="auto"/>
        <w:jc w:val="both"/>
        <w:rPr>
          <w:rFonts w:eastAsia="Times New Roman"/>
          <w:sz w:val="24"/>
        </w:rPr>
      </w:pPr>
      <w:r w:rsidRPr="00B710D0">
        <w:rPr>
          <w:rFonts w:eastAsia="Times New Roman"/>
          <w:sz w:val="24"/>
        </w:rPr>
        <w:t>This equivalent performance in water resource conservation was further validated by a detailed material flow cost accounting study conducted by Thang et al. (2024) on a 2.5-hectare closed-loop waste recovery model in Ca Mau province. The operational water accounting results indicated that the total daily exchange water (1,344 m</w:t>
      </w:r>
      <w:r w:rsidRPr="00B710D0">
        <w:rPr>
          <w:rFonts w:eastAsia="Times New Roman"/>
          <w:sz w:val="24"/>
          <w:vertAlign w:val="superscript"/>
        </w:rPr>
        <w:t>3</w:t>
      </w:r>
      <w:r w:rsidRPr="00B710D0">
        <w:rPr>
          <w:rFonts w:eastAsia="Times New Roman"/>
          <w:sz w:val="24"/>
        </w:rPr>
        <w:t>/day), blended with the bottom siphon stream (134.4 m</w:t>
      </w:r>
      <w:r w:rsidRPr="00B710D0">
        <w:rPr>
          <w:rFonts w:eastAsia="Times New Roman"/>
          <w:sz w:val="24"/>
          <w:vertAlign w:val="superscript"/>
        </w:rPr>
        <w:t>3</w:t>
      </w:r>
      <w:r w:rsidRPr="00B710D0">
        <w:rPr>
          <w:rFonts w:eastAsia="Times New Roman"/>
          <w:sz w:val="24"/>
        </w:rPr>
        <w:t>/day), yielded a recovered water volume of up to 1,465.7 m</w:t>
      </w:r>
      <w:r w:rsidRPr="00B710D0">
        <w:rPr>
          <w:rFonts w:eastAsia="Times New Roman"/>
          <w:sz w:val="24"/>
          <w:vertAlign w:val="superscript"/>
        </w:rPr>
        <w:t>3</w:t>
      </w:r>
      <w:r w:rsidRPr="00B710D0">
        <w:rPr>
          <w:rFonts w:eastAsia="Times New Roman"/>
          <w:sz w:val="24"/>
        </w:rPr>
        <w:t>/day after passing through the biological settling pond system. The actual water loss escaping the system boundaries was exceptionally minor, restricted to a mere 12.7 m</w:t>
      </w:r>
      <w:r w:rsidRPr="00B710D0">
        <w:rPr>
          <w:rFonts w:eastAsia="Times New Roman"/>
          <w:sz w:val="24"/>
          <w:vertAlign w:val="superscript"/>
        </w:rPr>
        <w:t>3</w:t>
      </w:r>
      <w:r w:rsidRPr="00B710D0">
        <w:rPr>
          <w:rFonts w:eastAsia="Times New Roman"/>
          <w:sz w:val="24"/>
        </w:rPr>
        <w:t>/day (Thang et al., 2024).</w:t>
      </w:r>
    </w:p>
    <w:p w14:paraId="7A5D0B97" w14:textId="2EB24D69" w:rsidR="00B710D0" w:rsidRPr="00B710D0" w:rsidRDefault="00B710D0" w:rsidP="00B710D0">
      <w:pPr>
        <w:spacing w:before="240" w:after="240" w:line="240" w:lineRule="auto"/>
        <w:outlineLvl w:val="2"/>
        <w:rPr>
          <w:rFonts w:eastAsia="Times New Roman"/>
          <w:b/>
          <w:bCs/>
          <w:i/>
          <w:iCs/>
          <w:sz w:val="24"/>
        </w:rPr>
      </w:pPr>
      <w:r w:rsidRPr="00B710D0">
        <w:rPr>
          <w:rFonts w:eastAsia="Times New Roman"/>
          <w:b/>
          <w:bCs/>
          <w:i/>
          <w:iCs/>
          <w:sz w:val="24"/>
        </w:rPr>
        <w:t>3.4.</w:t>
      </w:r>
      <w:r>
        <w:rPr>
          <w:rFonts w:eastAsia="Times New Roman"/>
          <w:b/>
          <w:bCs/>
          <w:i/>
          <w:iCs/>
          <w:sz w:val="24"/>
        </w:rPr>
        <w:t>2</w:t>
      </w:r>
      <w:r w:rsidRPr="00B710D0">
        <w:rPr>
          <w:rFonts w:eastAsia="Times New Roman"/>
          <w:b/>
          <w:bCs/>
          <w:i/>
          <w:iCs/>
          <w:sz w:val="24"/>
        </w:rPr>
        <w:t xml:space="preserve"> Dual eco-economic benefits and biosecurity assurance</w:t>
      </w:r>
    </w:p>
    <w:p w14:paraId="733C6A1A" w14:textId="77777777" w:rsidR="00B710D0" w:rsidRPr="00B710D0" w:rsidRDefault="00B710D0" w:rsidP="00B710D0">
      <w:pPr>
        <w:spacing w:before="240" w:after="240" w:line="240" w:lineRule="auto"/>
        <w:jc w:val="both"/>
        <w:rPr>
          <w:rFonts w:eastAsia="Times New Roman"/>
          <w:sz w:val="24"/>
        </w:rPr>
      </w:pPr>
      <w:r w:rsidRPr="00B710D0">
        <w:rPr>
          <w:rFonts w:eastAsia="Times New Roman"/>
          <w:sz w:val="24"/>
        </w:rPr>
        <w:t>From a kinetic perspective, minimizing effluent discharge enables the system to sequester and isolate nutrients within its boundaries. Nitrogen kinetic simulations confirm that implementing a daily water exchange rate of 50% doubles the total nitrogen load discharged into the environment compared to a 20% exchange regime (Nguyen, 2025). Therefore, transitioning toward a fully closed-loop recirculating system represents the most effective technical measure to halt the eutrophication of receiving water bodies.</w:t>
      </w:r>
    </w:p>
    <w:p w14:paraId="6FBF6566" w14:textId="77777777" w:rsidR="00B710D0" w:rsidRPr="00B710D0" w:rsidRDefault="00B710D0" w:rsidP="00B710D0">
      <w:pPr>
        <w:spacing w:before="240" w:after="240" w:line="240" w:lineRule="auto"/>
        <w:jc w:val="both"/>
        <w:rPr>
          <w:rFonts w:eastAsia="Times New Roman"/>
          <w:sz w:val="24"/>
        </w:rPr>
      </w:pPr>
      <w:r w:rsidRPr="00B710D0">
        <w:rPr>
          <w:rFonts w:eastAsia="Times New Roman"/>
          <w:sz w:val="24"/>
        </w:rPr>
        <w:t>By applying the residual value method, a study by Nguyen (2023) quantified the economic value of water resources in SISF systems at 6,000 VND/m</w:t>
      </w:r>
      <w:r w:rsidRPr="007124A6">
        <w:rPr>
          <w:rFonts w:eastAsia="Times New Roman"/>
          <w:sz w:val="24"/>
          <w:vertAlign w:val="superscript"/>
        </w:rPr>
        <w:t>3</w:t>
      </w:r>
      <w:r w:rsidRPr="00B710D0">
        <w:rPr>
          <w:rFonts w:eastAsia="Times New Roman"/>
          <w:sz w:val="24"/>
        </w:rPr>
        <w:t>. Establishing recirculating configurations to retain this water volume within the system instead of discharging it minimizes operational input costs, directly offsetting the initial capital expenditure for infrastructure development.</w:t>
      </w:r>
    </w:p>
    <w:p w14:paraId="31CAE26D" w14:textId="1CA1E0EF" w:rsidR="00A3509C" w:rsidRDefault="00B710D0" w:rsidP="00B710D0">
      <w:pPr>
        <w:spacing w:before="240" w:after="240" w:line="240" w:lineRule="auto"/>
        <w:jc w:val="both"/>
        <w:rPr>
          <w:rFonts w:eastAsia="Times New Roman"/>
          <w:sz w:val="24"/>
        </w:rPr>
      </w:pPr>
      <w:r w:rsidRPr="00B710D0">
        <w:rPr>
          <w:rFonts w:eastAsia="Times New Roman"/>
          <w:sz w:val="24"/>
        </w:rPr>
        <w:t xml:space="preserve">Furthermore, reducing the continuous freshwater intake demand from natural canal systems eliminates the risks of cross-contamination by external pathogens. The integration of ultrafiltration technologies, such as M-RAS membranes combined with biological polishing ponds, provides the ideal framework to operationalize the Zero-discharge model, ensuring that the shrimp aquaculture industry satisfies the most stringent standards of international export markets (Nguyen et al., 2019; </w:t>
      </w:r>
      <w:proofErr w:type="spellStart"/>
      <w:r w:rsidRPr="00B710D0">
        <w:rPr>
          <w:rFonts w:eastAsia="Times New Roman"/>
          <w:sz w:val="24"/>
        </w:rPr>
        <w:t>Widiasa</w:t>
      </w:r>
      <w:proofErr w:type="spellEnd"/>
      <w:r w:rsidRPr="00B710D0">
        <w:rPr>
          <w:rFonts w:eastAsia="Times New Roman"/>
          <w:sz w:val="24"/>
        </w:rPr>
        <w:t xml:space="preserve"> et al., 2024).</w:t>
      </w:r>
    </w:p>
    <w:p w14:paraId="00532423" w14:textId="5A74E066" w:rsidR="007124A6" w:rsidRPr="00177462" w:rsidRDefault="007124A6" w:rsidP="007124A6">
      <w:pPr>
        <w:pStyle w:val="ListParagraph"/>
        <w:numPr>
          <w:ilvl w:val="0"/>
          <w:numId w:val="1"/>
        </w:numPr>
        <w:spacing w:before="240" w:after="240" w:line="240" w:lineRule="auto"/>
        <w:jc w:val="both"/>
        <w:rPr>
          <w:rFonts w:eastAsia="Times New Roman"/>
          <w:sz w:val="28"/>
          <w:szCs w:val="28"/>
        </w:rPr>
      </w:pPr>
      <w:r w:rsidRPr="007124A6">
        <w:rPr>
          <w:rFonts w:eastAsia="Times New Roman"/>
          <w:b/>
          <w:bCs/>
          <w:sz w:val="28"/>
          <w:szCs w:val="28"/>
        </w:rPr>
        <w:t>RESOURCE RECOVERY FROM POND WASTE SLUDGE</w:t>
      </w:r>
    </w:p>
    <w:p w14:paraId="109DF8A2" w14:textId="4E4E545C" w:rsidR="007124A6" w:rsidRPr="00F41F74" w:rsidRDefault="007124A6" w:rsidP="007124A6">
      <w:pPr>
        <w:spacing w:before="240" w:after="240" w:line="240" w:lineRule="auto"/>
        <w:outlineLvl w:val="2"/>
        <w:rPr>
          <w:rFonts w:eastAsia="Times New Roman"/>
          <w:b/>
          <w:bCs/>
          <w:sz w:val="24"/>
        </w:rPr>
      </w:pPr>
      <w:r>
        <w:rPr>
          <w:rFonts w:eastAsia="Times New Roman"/>
          <w:b/>
          <w:bCs/>
          <w:sz w:val="24"/>
        </w:rPr>
        <w:t>4</w:t>
      </w:r>
      <w:r w:rsidRPr="00F41F74">
        <w:rPr>
          <w:rFonts w:eastAsia="Times New Roman"/>
          <w:b/>
          <w:bCs/>
          <w:sz w:val="24"/>
        </w:rPr>
        <w:t xml:space="preserve">.1 </w:t>
      </w:r>
      <w:r w:rsidRPr="007124A6">
        <w:rPr>
          <w:rFonts w:eastAsia="Times New Roman"/>
          <w:b/>
          <w:bCs/>
          <w:sz w:val="24"/>
        </w:rPr>
        <w:t>Biogas production from shrimp pond waste sludge</w:t>
      </w:r>
    </w:p>
    <w:p w14:paraId="17580EE3" w14:textId="655A116A" w:rsidR="007124A6" w:rsidRPr="00594748" w:rsidRDefault="007124A6" w:rsidP="007124A6">
      <w:pPr>
        <w:spacing w:before="240" w:after="240" w:line="240" w:lineRule="auto"/>
        <w:outlineLvl w:val="2"/>
        <w:rPr>
          <w:rFonts w:eastAsia="Times New Roman"/>
          <w:b/>
          <w:bCs/>
          <w:i/>
          <w:iCs/>
          <w:sz w:val="24"/>
        </w:rPr>
      </w:pPr>
      <w:r>
        <w:rPr>
          <w:rFonts w:eastAsia="Times New Roman"/>
          <w:b/>
          <w:bCs/>
          <w:i/>
          <w:iCs/>
          <w:sz w:val="24"/>
        </w:rPr>
        <w:t>4</w:t>
      </w:r>
      <w:r w:rsidRPr="00594748">
        <w:rPr>
          <w:rFonts w:eastAsia="Times New Roman"/>
          <w:b/>
          <w:bCs/>
          <w:i/>
          <w:iCs/>
          <w:sz w:val="24"/>
        </w:rPr>
        <w:t>.1</w:t>
      </w:r>
      <w:r>
        <w:rPr>
          <w:rFonts w:eastAsia="Times New Roman"/>
          <w:b/>
          <w:bCs/>
          <w:i/>
          <w:iCs/>
          <w:sz w:val="24"/>
        </w:rPr>
        <w:t>.1</w:t>
      </w:r>
      <w:r w:rsidRPr="00594748">
        <w:rPr>
          <w:rFonts w:eastAsia="Times New Roman"/>
          <w:b/>
          <w:bCs/>
          <w:i/>
          <w:iCs/>
          <w:sz w:val="24"/>
        </w:rPr>
        <w:t xml:space="preserve"> </w:t>
      </w:r>
      <w:r w:rsidRPr="007124A6">
        <w:rPr>
          <w:rFonts w:eastAsia="Times New Roman"/>
          <w:b/>
          <w:bCs/>
          <w:i/>
          <w:iCs/>
          <w:sz w:val="24"/>
        </w:rPr>
        <w:t>Biochemical challenges: High salinity and C/N ratio imbalance</w:t>
      </w:r>
    </w:p>
    <w:p w14:paraId="194CF236" w14:textId="77777777" w:rsidR="007124A6" w:rsidRPr="007124A6" w:rsidRDefault="007124A6" w:rsidP="007124A6">
      <w:pPr>
        <w:spacing w:before="240" w:after="240" w:line="240" w:lineRule="auto"/>
        <w:jc w:val="both"/>
        <w:rPr>
          <w:rFonts w:eastAsia="Times New Roman"/>
          <w:sz w:val="24"/>
        </w:rPr>
      </w:pPr>
      <w:r w:rsidRPr="007124A6">
        <w:rPr>
          <w:rFonts w:eastAsia="Times New Roman"/>
          <w:sz w:val="24"/>
        </w:rPr>
        <w:t>Although SISF shrimp sludge contains a massive reservoir of nitrogen and phosphorus due to incomplete feed assimilation by the shrimp, its easily biodegradable organic carbon content is relatively limited. Elemental composition analysis indicates that siphon sludge exhibits a C/N ratio hovering around 18.46, which is significantly lower than the ideal threshold required for methanogenic bacterial activity (the optimal C/N ratio typically ranges from 25 to 30) (Thuan et al., 2023). This carbon deficiency stalls the metabolic pathways, thereby reducing biogas production efficiency.</w:t>
      </w:r>
    </w:p>
    <w:p w14:paraId="49B19588" w14:textId="45E79C72" w:rsidR="00A3509C" w:rsidRDefault="007124A6" w:rsidP="007124A6">
      <w:pPr>
        <w:spacing w:before="240" w:after="240" w:line="240" w:lineRule="auto"/>
        <w:jc w:val="both"/>
        <w:rPr>
          <w:rFonts w:eastAsia="Times New Roman"/>
          <w:sz w:val="24"/>
        </w:rPr>
      </w:pPr>
      <w:r w:rsidRPr="007124A6">
        <w:rPr>
          <w:rFonts w:eastAsia="Times New Roman"/>
          <w:sz w:val="24"/>
        </w:rPr>
        <w:t xml:space="preserve">In addition to nutrient imbalances, salinity acts as a severe inhibitory factor. In SISF systems, the salinity of the waste sludge is frequently recorded at highly elevated levels, reaching up to 20‰ (Thuan et al., 2023). High salt </w:t>
      </w:r>
      <w:r w:rsidRPr="007124A6">
        <w:rPr>
          <w:rFonts w:eastAsia="Times New Roman"/>
          <w:sz w:val="24"/>
        </w:rPr>
        <w:lastRenderedPageBreak/>
        <w:t>concentrations alter the osmotic pressure across microbial cell membranes, causing cellular dehydration and directly inhibiting the intracellular enzyme systems of anaerobic bacterial strains. Consequently, mono-digestion of SISF shrimp sludge to produce methane is generally inefficient, yielding low and unstable biogas outputs (Nam et al., 2022).</w:t>
      </w:r>
    </w:p>
    <w:p w14:paraId="16D3F1F9" w14:textId="3B1E9AF1" w:rsidR="007124A6" w:rsidRPr="00594748" w:rsidRDefault="007124A6" w:rsidP="007124A6">
      <w:pPr>
        <w:spacing w:before="240" w:after="240" w:line="240" w:lineRule="auto"/>
        <w:outlineLvl w:val="2"/>
        <w:rPr>
          <w:rFonts w:eastAsia="Times New Roman"/>
          <w:b/>
          <w:bCs/>
          <w:i/>
          <w:iCs/>
          <w:sz w:val="24"/>
        </w:rPr>
      </w:pPr>
      <w:r>
        <w:rPr>
          <w:rFonts w:eastAsia="Times New Roman"/>
          <w:b/>
          <w:bCs/>
          <w:i/>
          <w:iCs/>
          <w:sz w:val="24"/>
        </w:rPr>
        <w:t>4</w:t>
      </w:r>
      <w:r w:rsidRPr="00594748">
        <w:rPr>
          <w:rFonts w:eastAsia="Times New Roman"/>
          <w:b/>
          <w:bCs/>
          <w:i/>
          <w:iCs/>
          <w:sz w:val="24"/>
        </w:rPr>
        <w:t>.1</w:t>
      </w:r>
      <w:r>
        <w:rPr>
          <w:rFonts w:eastAsia="Times New Roman"/>
          <w:b/>
          <w:bCs/>
          <w:i/>
          <w:iCs/>
          <w:sz w:val="24"/>
        </w:rPr>
        <w:t>.</w:t>
      </w:r>
      <w:r>
        <w:rPr>
          <w:rFonts w:eastAsia="Times New Roman"/>
          <w:b/>
          <w:bCs/>
          <w:i/>
          <w:iCs/>
          <w:sz w:val="24"/>
        </w:rPr>
        <w:t>2</w:t>
      </w:r>
      <w:r w:rsidRPr="00594748">
        <w:rPr>
          <w:rFonts w:eastAsia="Times New Roman"/>
          <w:b/>
          <w:bCs/>
          <w:i/>
          <w:iCs/>
          <w:sz w:val="24"/>
        </w:rPr>
        <w:t xml:space="preserve"> </w:t>
      </w:r>
      <w:r w:rsidRPr="007124A6">
        <w:rPr>
          <w:rFonts w:eastAsia="Times New Roman"/>
          <w:b/>
          <w:bCs/>
          <w:i/>
          <w:iCs/>
          <w:sz w:val="24"/>
        </w:rPr>
        <w:t>Anaerobic co-digestion solutions using agricultural by-products</w:t>
      </w:r>
    </w:p>
    <w:p w14:paraId="252B18BA" w14:textId="77777777" w:rsidR="007124A6" w:rsidRPr="007124A6" w:rsidRDefault="007124A6" w:rsidP="007124A6">
      <w:pPr>
        <w:spacing w:before="240" w:after="240" w:line="240" w:lineRule="auto"/>
        <w:jc w:val="both"/>
        <w:rPr>
          <w:rFonts w:eastAsia="Times New Roman"/>
          <w:sz w:val="24"/>
        </w:rPr>
      </w:pPr>
      <w:r w:rsidRPr="007124A6">
        <w:rPr>
          <w:rFonts w:eastAsia="Times New Roman"/>
          <w:sz w:val="24"/>
        </w:rPr>
        <w:t>Under single-source (mono-digestion) anaerobic conditions, treating SISF shrimp pond waste sludge encounters two major biochemical barriers that limit methane yield: an extremely low C/N ratio ranging from only 5.2 to 10 due to the accumulation of residual protein from shrimp feed (An et al., 2024), and highly elevated dissolved salt concentrations within the sludge (Zhang et al., 2019). Under the metabolic action of anaerobic microorganisms, this highly concentrated organic nitrogen is rapidly converted into free ammonium and un-ionized ammonia gas (NH</w:t>
      </w:r>
      <w:r w:rsidRPr="00514AE7">
        <w:rPr>
          <w:rFonts w:eastAsia="Times New Roman"/>
          <w:sz w:val="24"/>
          <w:vertAlign w:val="subscript"/>
        </w:rPr>
        <w:t>3</w:t>
      </w:r>
      <w:r w:rsidRPr="007124A6">
        <w:rPr>
          <w:rFonts w:eastAsia="Times New Roman"/>
          <w:sz w:val="24"/>
        </w:rPr>
        <w:t xml:space="preserve">), triggering ammonia toxicity accumulation, and directly inhibiting biomethane production pathways (Chen et al., 2007; </w:t>
      </w:r>
      <w:proofErr w:type="spellStart"/>
      <w:r w:rsidRPr="007124A6">
        <w:rPr>
          <w:rFonts w:eastAsia="Times New Roman"/>
          <w:sz w:val="24"/>
        </w:rPr>
        <w:t>Sirvichai</w:t>
      </w:r>
      <w:proofErr w:type="spellEnd"/>
      <w:r w:rsidRPr="007124A6">
        <w:rPr>
          <w:rFonts w:eastAsia="Times New Roman"/>
          <w:sz w:val="24"/>
        </w:rPr>
        <w:t xml:space="preserve"> &amp; </w:t>
      </w:r>
      <w:proofErr w:type="spellStart"/>
      <w:r w:rsidRPr="007124A6">
        <w:rPr>
          <w:rFonts w:eastAsia="Times New Roman"/>
          <w:sz w:val="24"/>
        </w:rPr>
        <w:t>Chavalparit</w:t>
      </w:r>
      <w:proofErr w:type="spellEnd"/>
      <w:r w:rsidRPr="007124A6">
        <w:rPr>
          <w:rFonts w:eastAsia="Times New Roman"/>
          <w:sz w:val="24"/>
        </w:rPr>
        <w:t>, 2020).</w:t>
      </w:r>
    </w:p>
    <w:p w14:paraId="016063A0" w14:textId="77777777" w:rsidR="007124A6" w:rsidRPr="007124A6" w:rsidRDefault="007124A6" w:rsidP="007124A6">
      <w:pPr>
        <w:spacing w:before="240" w:after="240" w:line="240" w:lineRule="auto"/>
        <w:jc w:val="both"/>
        <w:rPr>
          <w:rFonts w:eastAsia="Times New Roman"/>
          <w:sz w:val="24"/>
        </w:rPr>
      </w:pPr>
      <w:r w:rsidRPr="007124A6">
        <w:rPr>
          <w:rFonts w:eastAsia="Times New Roman"/>
          <w:sz w:val="24"/>
        </w:rPr>
        <w:t>To overcome this kinetic limitation, anaerobic co-digestion currently represents the most breakthrough and sustainable engineering solution (Tran et al., 2022). By blending shrimp pond waste sludge with carbon-rich agricultural by-products readily available in the MD - such as sugarcane bagasse, rice straw, or lemongrass leaves post-essential oil distillation - operators can proactively adjust the C/N ratio of the influent feedstock mixture to an ideal level of 25 (Tran et al., 2022). The incorporation of these carbon-rich co-substrates plays a decisive role in balancing nutrient kinetics for the microbial community, while simultaneously diluting salt concentrations and enhancing the system’s buffering capacity, thereby halting the risk of ammonia inhibition (</w:t>
      </w:r>
      <w:proofErr w:type="spellStart"/>
      <w:r w:rsidRPr="007124A6">
        <w:rPr>
          <w:rFonts w:eastAsia="Times New Roman"/>
          <w:sz w:val="24"/>
        </w:rPr>
        <w:t>Sirvichai</w:t>
      </w:r>
      <w:proofErr w:type="spellEnd"/>
      <w:r w:rsidRPr="007124A6">
        <w:rPr>
          <w:rFonts w:eastAsia="Times New Roman"/>
          <w:sz w:val="24"/>
        </w:rPr>
        <w:t xml:space="preserve"> &amp; </w:t>
      </w:r>
      <w:proofErr w:type="spellStart"/>
      <w:r w:rsidRPr="007124A6">
        <w:rPr>
          <w:rFonts w:eastAsia="Times New Roman"/>
          <w:sz w:val="24"/>
        </w:rPr>
        <w:t>Chavalparit</w:t>
      </w:r>
      <w:proofErr w:type="spellEnd"/>
      <w:r w:rsidRPr="007124A6">
        <w:rPr>
          <w:rFonts w:eastAsia="Times New Roman"/>
          <w:sz w:val="24"/>
        </w:rPr>
        <w:t>, 2020; Ye et al., 2013).</w:t>
      </w:r>
    </w:p>
    <w:p w14:paraId="69DAB29C" w14:textId="77777777" w:rsidR="007124A6" w:rsidRPr="007124A6" w:rsidRDefault="007124A6" w:rsidP="007124A6">
      <w:pPr>
        <w:spacing w:before="240" w:after="240" w:line="240" w:lineRule="auto"/>
        <w:jc w:val="both"/>
        <w:rPr>
          <w:rFonts w:eastAsia="Times New Roman"/>
          <w:sz w:val="24"/>
        </w:rPr>
      </w:pPr>
      <w:r w:rsidRPr="007124A6">
        <w:rPr>
          <w:rFonts w:eastAsia="Times New Roman"/>
          <w:sz w:val="24"/>
        </w:rPr>
        <w:t>Empirical evaluations of digestion kinetics have demonstrated remarkable improvements in both biogas yield and production rates when applying anaerobic co-digestion:</w:t>
      </w:r>
    </w:p>
    <w:p w14:paraId="06030170" w14:textId="5E660150" w:rsidR="007124A6" w:rsidRPr="007124A6" w:rsidRDefault="007124A6" w:rsidP="007124A6">
      <w:pPr>
        <w:pStyle w:val="ListParagraph"/>
        <w:numPr>
          <w:ilvl w:val="0"/>
          <w:numId w:val="29"/>
        </w:numPr>
        <w:spacing w:before="240" w:after="240" w:line="240" w:lineRule="auto"/>
        <w:jc w:val="both"/>
        <w:rPr>
          <w:rFonts w:eastAsia="Times New Roman"/>
          <w:sz w:val="24"/>
        </w:rPr>
      </w:pPr>
      <w:r w:rsidRPr="007124A6">
        <w:rPr>
          <w:rFonts w:eastAsia="Times New Roman"/>
          <w:sz w:val="24"/>
        </w:rPr>
        <w:t>Superior efficiency of sugarcane bagasse: Experimental data from Tran et al. (2022) indicated that sugarcane bagasse is the most optimal carbon supplement due to its porous cellulose structure, which is readily biodegradable in brackish environments. Co-digestion of shrimp sludge with sugarcane bagasse boosted the specific CH</w:t>
      </w:r>
      <w:r w:rsidRPr="00514AE7">
        <w:rPr>
          <w:rFonts w:eastAsia="Times New Roman"/>
          <w:sz w:val="24"/>
          <w:vertAlign w:val="subscript"/>
        </w:rPr>
        <w:t>4</w:t>
      </w:r>
      <w:r w:rsidRPr="007124A6">
        <w:rPr>
          <w:rFonts w:eastAsia="Times New Roman"/>
          <w:sz w:val="24"/>
        </w:rPr>
        <w:t xml:space="preserve"> yield up to 126.8 L/kg of volatile solids (VS) fed, achieving a 53% increase compared to the mono-digestion of unblended waste sludge (82.48 L/kg VS) (Tran et al., 2022).</w:t>
      </w:r>
    </w:p>
    <w:p w14:paraId="3C5AE0CE" w14:textId="47C6B77D" w:rsidR="007124A6" w:rsidRPr="007124A6" w:rsidRDefault="007124A6" w:rsidP="007124A6">
      <w:pPr>
        <w:pStyle w:val="ListParagraph"/>
        <w:numPr>
          <w:ilvl w:val="0"/>
          <w:numId w:val="29"/>
        </w:numPr>
        <w:spacing w:before="240" w:after="240" w:line="240" w:lineRule="auto"/>
        <w:jc w:val="both"/>
        <w:rPr>
          <w:rFonts w:eastAsia="Times New Roman"/>
          <w:sz w:val="24"/>
        </w:rPr>
      </w:pPr>
      <w:r w:rsidRPr="007124A6">
        <w:rPr>
          <w:rFonts w:eastAsia="Times New Roman"/>
          <w:sz w:val="24"/>
        </w:rPr>
        <w:t>Role of rice straw and lemongrass leaves: Other prevalent crop residues, such as rice straw and lemongrass leaves, also delivered distinct enhancements in biogas yields, ranging from 26% to 29% (Tran et al., 2022).</w:t>
      </w:r>
    </w:p>
    <w:p w14:paraId="056F24BE" w14:textId="77777777" w:rsidR="007124A6" w:rsidRPr="007124A6" w:rsidRDefault="007124A6" w:rsidP="007124A6">
      <w:pPr>
        <w:spacing w:before="240" w:after="240" w:line="240" w:lineRule="auto"/>
        <w:jc w:val="both"/>
        <w:rPr>
          <w:rFonts w:eastAsia="Times New Roman"/>
          <w:sz w:val="24"/>
        </w:rPr>
      </w:pPr>
      <w:r w:rsidRPr="007124A6">
        <w:rPr>
          <w:rFonts w:eastAsia="Times New Roman"/>
          <w:sz w:val="24"/>
        </w:rPr>
        <w:t>In parallel with the increased volume of recovered gas, the quality of the generated biogas was substantially improved. The CH</w:t>
      </w:r>
      <w:r w:rsidRPr="00514AE7">
        <w:rPr>
          <w:rFonts w:eastAsia="Times New Roman"/>
          <w:sz w:val="24"/>
          <w:vertAlign w:val="subscript"/>
        </w:rPr>
        <w:t>4</w:t>
      </w:r>
      <w:r w:rsidRPr="007124A6">
        <w:rPr>
          <w:rFonts w:eastAsia="Times New Roman"/>
          <w:sz w:val="24"/>
        </w:rPr>
        <w:t xml:space="preserve"> concentration in the gas mixture derived from the co-digestion treatments reached highly elevated levels, ranging from 41.77% to 44.36% (Tran et al., 2022), thereby significantly enhancing the heating value of the gas stream for practical utilization.</w:t>
      </w:r>
    </w:p>
    <w:p w14:paraId="61699B07" w14:textId="13E141B3" w:rsidR="007124A6" w:rsidRDefault="007124A6" w:rsidP="007124A6">
      <w:pPr>
        <w:spacing w:before="240" w:after="240" w:line="240" w:lineRule="auto"/>
        <w:jc w:val="both"/>
        <w:rPr>
          <w:rFonts w:eastAsia="Times New Roman"/>
          <w:sz w:val="24"/>
        </w:rPr>
      </w:pPr>
      <w:r w:rsidRPr="007124A6">
        <w:rPr>
          <w:rFonts w:eastAsia="Times New Roman"/>
          <w:sz w:val="24"/>
        </w:rPr>
        <w:t>From the perspective of energy accounting and circular economy principles, converting this waste sludge into bioenergy satisfies the daily cooking energy demands of farm workers, curtails fossil fuel procurement costs, and minimizes the net carbon footprint of the entire SISF production cycle (Tien et al., 2024).</w:t>
      </w:r>
    </w:p>
    <w:p w14:paraId="5BF68EE9" w14:textId="74E110C6" w:rsidR="007124A6" w:rsidRPr="00594748" w:rsidRDefault="007124A6" w:rsidP="007124A6">
      <w:pPr>
        <w:spacing w:before="240" w:after="240" w:line="240" w:lineRule="auto"/>
        <w:outlineLvl w:val="2"/>
        <w:rPr>
          <w:rFonts w:eastAsia="Times New Roman"/>
          <w:b/>
          <w:bCs/>
          <w:i/>
          <w:iCs/>
          <w:sz w:val="24"/>
        </w:rPr>
      </w:pPr>
      <w:r>
        <w:rPr>
          <w:rFonts w:eastAsia="Times New Roman"/>
          <w:b/>
          <w:bCs/>
          <w:i/>
          <w:iCs/>
          <w:sz w:val="24"/>
        </w:rPr>
        <w:lastRenderedPageBreak/>
        <w:t>4</w:t>
      </w:r>
      <w:r w:rsidRPr="00594748">
        <w:rPr>
          <w:rFonts w:eastAsia="Times New Roman"/>
          <w:b/>
          <w:bCs/>
          <w:i/>
          <w:iCs/>
          <w:sz w:val="24"/>
        </w:rPr>
        <w:t>.1</w:t>
      </w:r>
      <w:r>
        <w:rPr>
          <w:rFonts w:eastAsia="Times New Roman"/>
          <w:b/>
          <w:bCs/>
          <w:i/>
          <w:iCs/>
          <w:sz w:val="24"/>
        </w:rPr>
        <w:t>.</w:t>
      </w:r>
      <w:r>
        <w:rPr>
          <w:rFonts w:eastAsia="Times New Roman"/>
          <w:b/>
          <w:bCs/>
          <w:i/>
          <w:iCs/>
          <w:sz w:val="24"/>
        </w:rPr>
        <w:t>3</w:t>
      </w:r>
      <w:r w:rsidRPr="00594748">
        <w:rPr>
          <w:rFonts w:eastAsia="Times New Roman"/>
          <w:b/>
          <w:bCs/>
          <w:i/>
          <w:iCs/>
          <w:sz w:val="24"/>
        </w:rPr>
        <w:t xml:space="preserve"> </w:t>
      </w:r>
      <w:r w:rsidRPr="007124A6">
        <w:rPr>
          <w:rFonts w:eastAsia="Times New Roman"/>
          <w:b/>
          <w:bCs/>
          <w:i/>
          <w:iCs/>
          <w:sz w:val="24"/>
        </w:rPr>
        <w:t>Hydrodynamic optimization: Theoretical foundations and mixing frequency control</w:t>
      </w:r>
    </w:p>
    <w:p w14:paraId="2A635AFB" w14:textId="77777777" w:rsidR="007124A6" w:rsidRPr="007124A6" w:rsidRDefault="007124A6" w:rsidP="007124A6">
      <w:pPr>
        <w:spacing w:before="240" w:after="240" w:line="240" w:lineRule="auto"/>
        <w:jc w:val="both"/>
        <w:rPr>
          <w:rFonts w:eastAsia="Times New Roman"/>
          <w:sz w:val="24"/>
        </w:rPr>
      </w:pPr>
      <w:r w:rsidRPr="007124A6">
        <w:rPr>
          <w:rFonts w:eastAsia="Times New Roman"/>
          <w:sz w:val="24"/>
        </w:rPr>
        <w:t>In the operational practice of biogas systems in the MD, shrimp waste sludge exhibits cohesive properties and a high propensity for stratification, leading to the formation of scum layers. This scum layer forms a rigid crust on the liquid surface, impeding gas release and severely degrading the system’s biogas production efficiency (Nam et al., 2022). To overcome this limitation, mechanical intervention via mixing is an imperative engineering technique. From a theoretical perspective, mixing disintegrates scum formations, ensures uniform distribution of nutrients, temperature, and pH, and maximizes the interfacial contact area between the microbial community and the substrate (El-</w:t>
      </w:r>
      <w:proofErr w:type="spellStart"/>
      <w:r w:rsidRPr="007124A6">
        <w:rPr>
          <w:rFonts w:eastAsia="Times New Roman"/>
          <w:sz w:val="24"/>
        </w:rPr>
        <w:t>Bakhshwan</w:t>
      </w:r>
      <w:proofErr w:type="spellEnd"/>
      <w:r w:rsidRPr="007124A6">
        <w:rPr>
          <w:rFonts w:eastAsia="Times New Roman"/>
          <w:sz w:val="24"/>
        </w:rPr>
        <w:t xml:space="preserve"> et al., 2015; Stroot et al., 2001).</w:t>
      </w:r>
    </w:p>
    <w:p w14:paraId="190A323D" w14:textId="40A629B2" w:rsidR="007124A6" w:rsidRDefault="007124A6" w:rsidP="007124A6">
      <w:pPr>
        <w:spacing w:before="240" w:after="240" w:line="240" w:lineRule="auto"/>
        <w:jc w:val="both"/>
        <w:rPr>
          <w:rFonts w:eastAsia="Times New Roman"/>
          <w:sz w:val="24"/>
        </w:rPr>
      </w:pPr>
      <w:r w:rsidRPr="007124A6">
        <w:rPr>
          <w:rFonts w:eastAsia="Times New Roman"/>
          <w:sz w:val="24"/>
        </w:rPr>
        <w:t>However, the relationship between mixing intensity and biomethane yield is non-linear, involving a fundamental microbiological trade-off. International studies have demonstrated a paradox: excessive or continuous high-frequency daily mixing fails to enhance efficiency and instead reduces CH</w:t>
      </w:r>
      <w:r w:rsidRPr="007124A6">
        <w:rPr>
          <w:rFonts w:eastAsia="Times New Roman"/>
          <w:sz w:val="24"/>
          <w:vertAlign w:val="subscript"/>
        </w:rPr>
        <w:t>4</w:t>
      </w:r>
      <w:r w:rsidRPr="007124A6">
        <w:rPr>
          <w:rFonts w:eastAsia="Times New Roman"/>
          <w:sz w:val="24"/>
        </w:rPr>
        <w:t xml:space="preserve"> yields (</w:t>
      </w:r>
      <w:proofErr w:type="spellStart"/>
      <w:r w:rsidRPr="007124A6">
        <w:rPr>
          <w:rFonts w:eastAsia="Times New Roman"/>
          <w:sz w:val="24"/>
        </w:rPr>
        <w:t>Monyluak</w:t>
      </w:r>
      <w:proofErr w:type="spellEnd"/>
      <w:r w:rsidRPr="007124A6">
        <w:rPr>
          <w:rFonts w:eastAsia="Times New Roman"/>
          <w:sz w:val="24"/>
        </w:rPr>
        <w:t xml:space="preserve"> et al., 2021). Extreme mixing regimes generate shear stresses that disrupt the structural integrity of biological sludge flocs, directly inhibiting the methanogenic pathways of the bacterial community (Muftah et al., 2009).</w:t>
      </w:r>
    </w:p>
    <w:p w14:paraId="0C6CCF7F" w14:textId="77777777" w:rsidR="007124A6" w:rsidRPr="007124A6" w:rsidRDefault="007124A6" w:rsidP="007124A6">
      <w:pPr>
        <w:spacing w:before="240" w:after="240" w:line="240" w:lineRule="auto"/>
        <w:jc w:val="both"/>
        <w:rPr>
          <w:rFonts w:eastAsia="Times New Roman"/>
          <w:sz w:val="24"/>
        </w:rPr>
      </w:pPr>
      <w:r w:rsidRPr="007124A6">
        <w:rPr>
          <w:rFonts w:eastAsia="Times New Roman"/>
          <w:sz w:val="24"/>
        </w:rPr>
        <w:t>Applying this theoretical framework to SISF shrimp sludge, an empirical study conducted by Thuan et al. (2023) evaluating the mixing frequency of shrimp sludge slurry (with a fixed duration of 2 minutes per mixing event) documented the following (Figure 2):</w:t>
      </w:r>
    </w:p>
    <w:p w14:paraId="4560E0AD" w14:textId="22F76116" w:rsidR="007124A6" w:rsidRPr="007124A6" w:rsidRDefault="007124A6" w:rsidP="007124A6">
      <w:pPr>
        <w:pStyle w:val="ListParagraph"/>
        <w:numPr>
          <w:ilvl w:val="0"/>
          <w:numId w:val="30"/>
        </w:numPr>
        <w:spacing w:before="240" w:after="240" w:line="240" w:lineRule="auto"/>
        <w:jc w:val="both"/>
        <w:rPr>
          <w:rFonts w:eastAsia="Times New Roman"/>
          <w:sz w:val="24"/>
        </w:rPr>
      </w:pPr>
      <w:r w:rsidRPr="007124A6">
        <w:rPr>
          <w:rFonts w:eastAsia="Times New Roman"/>
          <w:sz w:val="24"/>
        </w:rPr>
        <w:t>Optimal zone (Low frequency): Implementing an intermittent, low-frequency mixing regime (1, 2, or 4 times/day) yielded a substantial increase in CH</w:t>
      </w:r>
      <w:r w:rsidRPr="007124A6">
        <w:rPr>
          <w:rFonts w:eastAsia="Times New Roman"/>
          <w:sz w:val="24"/>
          <w:vertAlign w:val="subscript"/>
        </w:rPr>
        <w:t>4</w:t>
      </w:r>
      <w:r w:rsidRPr="007124A6">
        <w:rPr>
          <w:rFonts w:eastAsia="Times New Roman"/>
          <w:sz w:val="24"/>
        </w:rPr>
        <w:t xml:space="preserve"> productivity. Among these, a mixing frequency of 1 time/day represented the absolute optimum, boosting CH</w:t>
      </w:r>
      <w:r w:rsidRPr="007124A6">
        <w:rPr>
          <w:rFonts w:eastAsia="Times New Roman"/>
          <w:sz w:val="24"/>
          <w:vertAlign w:val="subscript"/>
        </w:rPr>
        <w:t>4</w:t>
      </w:r>
      <w:r w:rsidRPr="007124A6">
        <w:rPr>
          <w:rFonts w:eastAsia="Times New Roman"/>
          <w:sz w:val="24"/>
        </w:rPr>
        <w:t xml:space="preserve"> yield by 10.01% compared to the unmixed control. Mixing frequencies of 2 and 4 times/day also provided corresponding increases of 5.99% and 4.2%, respectively.</w:t>
      </w:r>
    </w:p>
    <w:p w14:paraId="693AAB38" w14:textId="160F9799" w:rsidR="007124A6" w:rsidRPr="007124A6" w:rsidRDefault="007124A6" w:rsidP="007124A6">
      <w:pPr>
        <w:pStyle w:val="ListParagraph"/>
        <w:numPr>
          <w:ilvl w:val="0"/>
          <w:numId w:val="30"/>
        </w:numPr>
        <w:spacing w:before="240" w:after="240" w:line="240" w:lineRule="auto"/>
        <w:jc w:val="both"/>
        <w:rPr>
          <w:rFonts w:eastAsia="Times New Roman"/>
          <w:sz w:val="24"/>
        </w:rPr>
      </w:pPr>
      <w:r w:rsidRPr="007124A6">
        <w:rPr>
          <w:rFonts w:eastAsia="Times New Roman"/>
          <w:sz w:val="24"/>
        </w:rPr>
        <w:t>Inhibitory zone (High frequency): Confirming the negative correlation theory of microbial kinetics, when the mixing frequency was escalated to a high level (8 times/day), the CH</w:t>
      </w:r>
      <w:r w:rsidRPr="007124A6">
        <w:rPr>
          <w:rFonts w:eastAsia="Times New Roman"/>
          <w:sz w:val="24"/>
          <w:vertAlign w:val="subscript"/>
        </w:rPr>
        <w:t>4</w:t>
      </w:r>
      <w:r w:rsidRPr="007124A6">
        <w:rPr>
          <w:rFonts w:eastAsia="Times New Roman"/>
          <w:sz w:val="24"/>
        </w:rPr>
        <w:t xml:space="preserve"> yield dropped abruptly, performing no better than the unmixed control.</w:t>
      </w:r>
    </w:p>
    <w:p w14:paraId="0AD97329" w14:textId="77777777" w:rsidR="007124A6" w:rsidRPr="007124A6" w:rsidRDefault="007124A6" w:rsidP="007124A6">
      <w:pPr>
        <w:spacing w:before="240" w:after="240" w:line="240" w:lineRule="auto"/>
        <w:jc w:val="center"/>
        <w:rPr>
          <w:rFonts w:eastAsia="Times New Roman"/>
          <w:sz w:val="24"/>
        </w:rPr>
      </w:pPr>
      <w:r w:rsidRPr="00D71FBC">
        <w:rPr>
          <w:noProof/>
        </w:rPr>
        <w:drawing>
          <wp:inline distT="0" distB="0" distL="0" distR="0" wp14:anchorId="594C7200" wp14:editId="64BE548C">
            <wp:extent cx="4594860" cy="2773680"/>
            <wp:effectExtent l="0" t="0" r="0" b="7620"/>
            <wp:docPr id="1" name="Picture 1" descr="A graph with blue dot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with blue dots and a line&#10;&#10;Description automatically generated"/>
                    <pic:cNvPicPr/>
                  </pic:nvPicPr>
                  <pic:blipFill rotWithShape="1">
                    <a:blip r:embed="rId9"/>
                    <a:srcRect l="3110" t="4176" r="3110" b="6388"/>
                    <a:stretch/>
                  </pic:blipFill>
                  <pic:spPr bwMode="auto">
                    <a:xfrm>
                      <a:off x="0" y="0"/>
                      <a:ext cx="4595259" cy="2773921"/>
                    </a:xfrm>
                    <a:prstGeom prst="rect">
                      <a:avLst/>
                    </a:prstGeom>
                    <a:ln>
                      <a:noFill/>
                    </a:ln>
                    <a:extLst>
                      <a:ext uri="{53640926-AAD7-44D8-BBD7-CCE9431645EC}">
                        <a14:shadowObscured xmlns:a14="http://schemas.microsoft.com/office/drawing/2010/main"/>
                      </a:ext>
                    </a:extLst>
                  </pic:spPr>
                </pic:pic>
              </a:graphicData>
            </a:graphic>
          </wp:inline>
        </w:drawing>
      </w:r>
    </w:p>
    <w:p w14:paraId="5323ACB5" w14:textId="77777777" w:rsidR="007124A6" w:rsidRPr="007124A6" w:rsidRDefault="007124A6" w:rsidP="007124A6">
      <w:pPr>
        <w:spacing w:before="240" w:after="240" w:line="240" w:lineRule="auto"/>
        <w:jc w:val="center"/>
        <w:rPr>
          <w:rFonts w:eastAsia="Times New Roman"/>
          <w:sz w:val="24"/>
        </w:rPr>
      </w:pPr>
      <w:r w:rsidRPr="007124A6">
        <w:rPr>
          <w:rFonts w:eastAsia="Times New Roman"/>
          <w:b/>
          <w:bCs/>
          <w:sz w:val="24"/>
        </w:rPr>
        <w:t>Figure 2.</w:t>
      </w:r>
      <w:r w:rsidRPr="007124A6">
        <w:rPr>
          <w:rFonts w:eastAsia="Times New Roman"/>
          <w:sz w:val="24"/>
        </w:rPr>
        <w:t xml:space="preserve"> Optimization of mixing frequency for CH</w:t>
      </w:r>
      <w:r w:rsidRPr="007124A6">
        <w:rPr>
          <w:rFonts w:eastAsia="Times New Roman"/>
          <w:sz w:val="24"/>
          <w:vertAlign w:val="subscript"/>
        </w:rPr>
        <w:t>4</w:t>
      </w:r>
      <w:r w:rsidRPr="007124A6">
        <w:rPr>
          <w:rFonts w:eastAsia="Times New Roman"/>
          <w:sz w:val="24"/>
        </w:rPr>
        <w:t xml:space="preserve"> recovery from SISF shrimp pond sludge</w:t>
      </w:r>
    </w:p>
    <w:p w14:paraId="1AA57A2B" w14:textId="77777777" w:rsidR="007124A6" w:rsidRPr="007124A6" w:rsidRDefault="007124A6" w:rsidP="007124A6">
      <w:pPr>
        <w:spacing w:before="240" w:after="240" w:line="240" w:lineRule="auto"/>
        <w:jc w:val="center"/>
        <w:rPr>
          <w:rFonts w:eastAsia="Times New Roman"/>
          <w:i/>
          <w:iCs/>
          <w:sz w:val="24"/>
        </w:rPr>
      </w:pPr>
      <w:r w:rsidRPr="007124A6">
        <w:rPr>
          <w:rFonts w:eastAsia="Times New Roman"/>
          <w:i/>
          <w:iCs/>
          <w:sz w:val="24"/>
        </w:rPr>
        <w:lastRenderedPageBreak/>
        <w:t>(Source: Derived from data in Thuan et al., 2023)</w:t>
      </w:r>
    </w:p>
    <w:p w14:paraId="598EE115" w14:textId="18647114" w:rsidR="002E13E6" w:rsidRPr="00F41F74" w:rsidRDefault="002E13E6" w:rsidP="002E13E6">
      <w:pPr>
        <w:spacing w:before="240" w:after="240" w:line="240" w:lineRule="auto"/>
        <w:outlineLvl w:val="2"/>
        <w:rPr>
          <w:rFonts w:eastAsia="Times New Roman"/>
          <w:b/>
          <w:bCs/>
          <w:sz w:val="24"/>
        </w:rPr>
      </w:pPr>
      <w:r>
        <w:rPr>
          <w:rFonts w:eastAsia="Times New Roman"/>
          <w:b/>
          <w:bCs/>
          <w:sz w:val="24"/>
        </w:rPr>
        <w:t>4</w:t>
      </w:r>
      <w:r w:rsidRPr="00F41F74">
        <w:rPr>
          <w:rFonts w:eastAsia="Times New Roman"/>
          <w:b/>
          <w:bCs/>
          <w:sz w:val="24"/>
        </w:rPr>
        <w:t>.</w:t>
      </w:r>
      <w:r>
        <w:rPr>
          <w:rFonts w:eastAsia="Times New Roman"/>
          <w:b/>
          <w:bCs/>
          <w:sz w:val="24"/>
        </w:rPr>
        <w:t>2</w:t>
      </w:r>
      <w:r w:rsidRPr="00F41F74">
        <w:rPr>
          <w:rFonts w:eastAsia="Times New Roman"/>
          <w:b/>
          <w:bCs/>
          <w:sz w:val="24"/>
        </w:rPr>
        <w:t xml:space="preserve"> </w:t>
      </w:r>
      <w:r w:rsidRPr="002E13E6">
        <w:rPr>
          <w:rFonts w:eastAsia="Times New Roman"/>
          <w:b/>
          <w:bCs/>
          <w:sz w:val="24"/>
        </w:rPr>
        <w:t>Composting: Reclaiming nutrients from pond bottom sludge</w:t>
      </w:r>
    </w:p>
    <w:p w14:paraId="595DD8EE" w14:textId="49605564" w:rsidR="002E13E6" w:rsidRPr="00594748" w:rsidRDefault="002E13E6" w:rsidP="002E13E6">
      <w:pPr>
        <w:spacing w:before="240" w:after="240" w:line="240" w:lineRule="auto"/>
        <w:outlineLvl w:val="2"/>
        <w:rPr>
          <w:rFonts w:eastAsia="Times New Roman"/>
          <w:b/>
          <w:bCs/>
          <w:i/>
          <w:iCs/>
          <w:sz w:val="24"/>
        </w:rPr>
      </w:pPr>
      <w:r>
        <w:rPr>
          <w:rFonts w:eastAsia="Times New Roman"/>
          <w:b/>
          <w:bCs/>
          <w:i/>
          <w:iCs/>
          <w:sz w:val="24"/>
        </w:rPr>
        <w:t>4</w:t>
      </w:r>
      <w:r w:rsidRPr="00594748">
        <w:rPr>
          <w:rFonts w:eastAsia="Times New Roman"/>
          <w:b/>
          <w:bCs/>
          <w:i/>
          <w:iCs/>
          <w:sz w:val="24"/>
        </w:rPr>
        <w:t>.</w:t>
      </w:r>
      <w:r>
        <w:rPr>
          <w:rFonts w:eastAsia="Times New Roman"/>
          <w:b/>
          <w:bCs/>
          <w:i/>
          <w:iCs/>
          <w:sz w:val="24"/>
        </w:rPr>
        <w:t>2</w:t>
      </w:r>
      <w:r>
        <w:rPr>
          <w:rFonts w:eastAsia="Times New Roman"/>
          <w:b/>
          <w:bCs/>
          <w:i/>
          <w:iCs/>
          <w:sz w:val="24"/>
        </w:rPr>
        <w:t>.1</w:t>
      </w:r>
      <w:r w:rsidRPr="00594748">
        <w:rPr>
          <w:rFonts w:eastAsia="Times New Roman"/>
          <w:b/>
          <w:bCs/>
          <w:i/>
          <w:iCs/>
          <w:sz w:val="24"/>
        </w:rPr>
        <w:t xml:space="preserve"> </w:t>
      </w:r>
      <w:r w:rsidRPr="002E13E6">
        <w:rPr>
          <w:rFonts w:eastAsia="Times New Roman"/>
          <w:b/>
          <w:bCs/>
          <w:i/>
          <w:iCs/>
          <w:sz w:val="24"/>
        </w:rPr>
        <w:t>Composting kinetics: Blending ratio optimization and parameter control</w:t>
      </w:r>
    </w:p>
    <w:p w14:paraId="6C0B639E" w14:textId="77777777" w:rsidR="002E13E6" w:rsidRPr="002E13E6" w:rsidRDefault="002E13E6" w:rsidP="002E13E6">
      <w:pPr>
        <w:spacing w:before="240" w:after="240" w:line="240" w:lineRule="auto"/>
        <w:jc w:val="both"/>
        <w:rPr>
          <w:rFonts w:eastAsia="Times New Roman"/>
          <w:sz w:val="24"/>
        </w:rPr>
      </w:pPr>
      <w:r w:rsidRPr="002E13E6">
        <w:rPr>
          <w:rFonts w:eastAsia="Times New Roman"/>
          <w:sz w:val="24"/>
        </w:rPr>
        <w:t>The primary obstacle in direct composting of super-intensive shrimp pond bottom sludge is its highly dense structure, high moisture content (typically &gt; 72%), and an extremely low C/N ratio hovering around 5.2 (An et al., 2024). If composted without amendments, the matrix collapses into localized anaerobic states, generating offensive odors (due to the release of NH</w:t>
      </w:r>
      <w:r w:rsidRPr="00D0513E">
        <w:rPr>
          <w:rFonts w:eastAsia="Times New Roman"/>
          <w:sz w:val="24"/>
          <w:vertAlign w:val="subscript"/>
        </w:rPr>
        <w:t>3</w:t>
      </w:r>
      <w:r w:rsidRPr="002E13E6">
        <w:rPr>
          <w:rFonts w:eastAsia="Times New Roman"/>
          <w:sz w:val="24"/>
        </w:rPr>
        <w:t xml:space="preserve"> and H</w:t>
      </w:r>
      <w:r w:rsidRPr="00D0513E">
        <w:rPr>
          <w:rFonts w:eastAsia="Times New Roman"/>
          <w:sz w:val="24"/>
          <w:vertAlign w:val="subscript"/>
        </w:rPr>
        <w:t>2</w:t>
      </w:r>
      <w:r w:rsidRPr="002E13E6">
        <w:rPr>
          <w:rFonts w:eastAsia="Times New Roman"/>
          <w:sz w:val="24"/>
        </w:rPr>
        <w:t>S) and causing substantial nitrogen loss.</w:t>
      </w:r>
    </w:p>
    <w:p w14:paraId="0BF9A0A2" w14:textId="77777777" w:rsidR="002E13E6" w:rsidRPr="002E13E6" w:rsidRDefault="002E13E6" w:rsidP="002E13E6">
      <w:pPr>
        <w:spacing w:before="240" w:after="240" w:line="240" w:lineRule="auto"/>
        <w:jc w:val="both"/>
        <w:rPr>
          <w:rFonts w:eastAsia="Times New Roman"/>
          <w:sz w:val="24"/>
        </w:rPr>
      </w:pPr>
      <w:r w:rsidRPr="002E13E6">
        <w:rPr>
          <w:rFonts w:eastAsia="Times New Roman"/>
          <w:sz w:val="24"/>
        </w:rPr>
        <w:t xml:space="preserve">To resolve this issue, agricultural engineers have implemented a co-composting technique blending shrimp sludge with coconut coir pith - an abundant agricultural by-product in the MD. Coconut coir pith possesses a highly porous structure, excellent water-retention capacity, and inherently high carbon content (up to 40%). Quantitative experiments have established the optimal blending ratio at </w:t>
      </w:r>
      <w:proofErr w:type="gramStart"/>
      <w:r w:rsidRPr="002E13E6">
        <w:rPr>
          <w:rFonts w:eastAsia="Times New Roman"/>
          <w:sz w:val="24"/>
        </w:rPr>
        <w:t>7 :</w:t>
      </w:r>
      <w:proofErr w:type="gramEnd"/>
      <w:r w:rsidRPr="002E13E6">
        <w:rPr>
          <w:rFonts w:eastAsia="Times New Roman"/>
          <w:sz w:val="24"/>
        </w:rPr>
        <w:t xml:space="preserve"> 3 (70% shrimp pond sludge : 30% coconut coir pith) on a wet weight basis (An et al., 2024). This specific ratio immediately adjusts the initial moisture content of the compost matrix to the ideal range of 60–70%, providing the essential porosity required for oxygen diffusion.</w:t>
      </w:r>
    </w:p>
    <w:p w14:paraId="029420A0" w14:textId="77777777" w:rsidR="002E13E6" w:rsidRPr="002E13E6" w:rsidRDefault="002E13E6" w:rsidP="002E13E6">
      <w:pPr>
        <w:spacing w:before="240" w:after="240" w:line="240" w:lineRule="auto"/>
        <w:jc w:val="both"/>
        <w:rPr>
          <w:rFonts w:eastAsia="Times New Roman"/>
          <w:sz w:val="24"/>
        </w:rPr>
      </w:pPr>
      <w:r w:rsidRPr="002E13E6">
        <w:rPr>
          <w:rFonts w:eastAsia="Times New Roman"/>
          <w:sz w:val="24"/>
        </w:rPr>
        <w:t>Concurrently, to accelerate mineralization, a secondary Effective Microorganisms (EM) consortium (comprising photosynthetic bacteria, lactic acid bacteria, and yeasts) is inoculated into the compost pile. The synergy between the coconut coir pith and the EM inoculum drives excellent physicochemical kinetic transformations over a 65-day aerated, manually turned composting cycle:</w:t>
      </w:r>
    </w:p>
    <w:p w14:paraId="07B44F54" w14:textId="72D08B9F" w:rsidR="002E13E6" w:rsidRPr="002E13E6" w:rsidRDefault="002E13E6" w:rsidP="002E13E6">
      <w:pPr>
        <w:pStyle w:val="ListParagraph"/>
        <w:numPr>
          <w:ilvl w:val="0"/>
          <w:numId w:val="31"/>
        </w:numPr>
        <w:spacing w:before="240" w:after="240" w:line="240" w:lineRule="auto"/>
        <w:jc w:val="both"/>
        <w:rPr>
          <w:rFonts w:eastAsia="Times New Roman"/>
          <w:sz w:val="24"/>
        </w:rPr>
      </w:pPr>
      <w:r w:rsidRPr="002E13E6">
        <w:rPr>
          <w:rFonts w:eastAsia="Times New Roman"/>
          <w:sz w:val="24"/>
        </w:rPr>
        <w:t>Temperature kinetics: The system rapidly enters the thermophilic phase. The core temperature of the compost matrix increases sharply, peaking at 44.6°C on day 36. This thermal level functions as a biological pasteurization mechanism, effectively eliminating most pathogenic bacteria (</w:t>
      </w:r>
      <w:r w:rsidRPr="00D0513E">
        <w:rPr>
          <w:rFonts w:eastAsia="Times New Roman"/>
          <w:i/>
          <w:iCs/>
          <w:sz w:val="24"/>
        </w:rPr>
        <w:t>Vibrio</w:t>
      </w:r>
      <w:r w:rsidRPr="002E13E6">
        <w:rPr>
          <w:rFonts w:eastAsia="Times New Roman"/>
          <w:sz w:val="24"/>
        </w:rPr>
        <w:t xml:space="preserve">, </w:t>
      </w:r>
      <w:r w:rsidRPr="00D0513E">
        <w:rPr>
          <w:rFonts w:eastAsia="Times New Roman"/>
          <w:i/>
          <w:iCs/>
          <w:sz w:val="24"/>
        </w:rPr>
        <w:t>Salmonella</w:t>
      </w:r>
      <w:r w:rsidRPr="002E13E6">
        <w:rPr>
          <w:rFonts w:eastAsia="Times New Roman"/>
          <w:sz w:val="24"/>
        </w:rPr>
        <w:t>) and helminth eggs harboring in the bottom sludge (An et al., 2024).</w:t>
      </w:r>
    </w:p>
    <w:p w14:paraId="2B53FBA6" w14:textId="0AF94221" w:rsidR="002E13E6" w:rsidRPr="002E13E6" w:rsidRDefault="002E13E6" w:rsidP="002E13E6">
      <w:pPr>
        <w:pStyle w:val="ListParagraph"/>
        <w:numPr>
          <w:ilvl w:val="0"/>
          <w:numId w:val="31"/>
        </w:numPr>
        <w:spacing w:before="240" w:after="240" w:line="240" w:lineRule="auto"/>
        <w:jc w:val="both"/>
        <w:rPr>
          <w:rFonts w:eastAsia="Times New Roman"/>
          <w:sz w:val="24"/>
        </w:rPr>
      </w:pPr>
      <w:r w:rsidRPr="002E13E6">
        <w:rPr>
          <w:rFonts w:eastAsia="Times New Roman"/>
          <w:sz w:val="24"/>
        </w:rPr>
        <w:t>pH fluctuations and nutrient transformation: The pH of the compost matrix undergoes an initial slight decline driven by the formation of volatile organic acids (such as lactic acid), followed by a gradual increase into a slightly alkaline range, stabilizing at pH = 8.19 (An et al., 2024). Intensive mineralization takes place, with available potassium increasing from 4,300 mg/kg to 7,200 mg/kg, and available phosphorus escalating from 136.4 mg/100 g to 1,030 mg/100 g.</w:t>
      </w:r>
    </w:p>
    <w:p w14:paraId="2181B561" w14:textId="42049EA9" w:rsidR="007124A6" w:rsidRPr="002E13E6" w:rsidRDefault="002E13E6" w:rsidP="002E13E6">
      <w:pPr>
        <w:pStyle w:val="ListParagraph"/>
        <w:numPr>
          <w:ilvl w:val="0"/>
          <w:numId w:val="31"/>
        </w:numPr>
        <w:spacing w:before="240" w:after="240" w:line="240" w:lineRule="auto"/>
        <w:jc w:val="both"/>
        <w:rPr>
          <w:rFonts w:eastAsia="Times New Roman"/>
          <w:sz w:val="24"/>
        </w:rPr>
      </w:pPr>
      <w:r w:rsidRPr="002E13E6">
        <w:rPr>
          <w:rFonts w:eastAsia="Times New Roman"/>
          <w:sz w:val="24"/>
        </w:rPr>
        <w:t>Optimization of the C/N ratio: This represents the most critical success of the model. Enabled by the abundant carbon source from the coir pith, the TOC of the compost pile increases to 10.9%, while TN is retained at 7.51 g/kg. Consequently, the C/N ratio of the final compost product reaches 19.7 (An et al., 2024). According to international agronomic standards, a C/N ratio within the 15–20 range confirms that the compost is fully mature, highly humified, and ready to immediately deliver nutrients to crops without inducing nitrogen immobilization in the soil.</w:t>
      </w:r>
    </w:p>
    <w:p w14:paraId="10E5DBCD" w14:textId="4EB278E0" w:rsidR="005E6136" w:rsidRPr="00F41F74" w:rsidRDefault="005E6136" w:rsidP="005E6136">
      <w:pPr>
        <w:pStyle w:val="NormalWeb"/>
        <w:spacing w:before="240" w:beforeAutospacing="0" w:after="240" w:afterAutospacing="0"/>
        <w:jc w:val="center"/>
      </w:pPr>
      <w:r w:rsidRPr="00F41F74">
        <w:rPr>
          <w:rStyle w:val="Strong"/>
          <w:rFonts w:eastAsiaTheme="majorEastAsia"/>
        </w:rPr>
        <w:t xml:space="preserve">Table </w:t>
      </w:r>
      <w:r>
        <w:rPr>
          <w:rStyle w:val="Strong"/>
          <w:rFonts w:eastAsiaTheme="majorEastAsia"/>
        </w:rPr>
        <w:t>3</w:t>
      </w:r>
      <w:r w:rsidRPr="00F41F74">
        <w:rPr>
          <w:rStyle w:val="Strong"/>
          <w:rFonts w:eastAsiaTheme="majorEastAsia"/>
        </w:rPr>
        <w:t>.</w:t>
      </w:r>
      <w:r w:rsidRPr="00F41F74">
        <w:t xml:space="preserve"> </w:t>
      </w:r>
      <w:r w:rsidRPr="005E6136">
        <w:t>Physicochemical profile transformations of shrimp pond sludge after a 65-day aerobic composting cycle</w:t>
      </w:r>
    </w:p>
    <w:tbl>
      <w:tblPr>
        <w:tblStyle w:val="TableGrid"/>
        <w:tblW w:w="10768" w:type="dxa"/>
        <w:jc w:val="center"/>
        <w:tblLook w:val="04A0" w:firstRow="1" w:lastRow="0" w:firstColumn="1" w:lastColumn="0" w:noHBand="0" w:noVBand="1"/>
      </w:tblPr>
      <w:tblGrid>
        <w:gridCol w:w="1337"/>
        <w:gridCol w:w="926"/>
        <w:gridCol w:w="1843"/>
        <w:gridCol w:w="2126"/>
        <w:gridCol w:w="4536"/>
      </w:tblGrid>
      <w:tr w:rsidR="005E6136" w:rsidRPr="00F41F74" w14:paraId="54A73C52" w14:textId="77777777" w:rsidTr="005E6136">
        <w:trPr>
          <w:tblHeader/>
          <w:jc w:val="center"/>
        </w:trPr>
        <w:tc>
          <w:tcPr>
            <w:tcW w:w="1337" w:type="dxa"/>
          </w:tcPr>
          <w:p w14:paraId="5D2DF10E" w14:textId="137A397D" w:rsidR="005E6136" w:rsidRPr="00F41F74" w:rsidRDefault="005E6136" w:rsidP="005E6136">
            <w:pPr>
              <w:pStyle w:val="NormalWeb"/>
              <w:spacing w:before="240" w:beforeAutospacing="0" w:after="240" w:afterAutospacing="0"/>
              <w:jc w:val="center"/>
              <w:rPr>
                <w:szCs w:val="24"/>
              </w:rPr>
            </w:pPr>
            <w:r>
              <w:rPr>
                <w:b/>
                <w:bCs/>
                <w:color w:val="303030"/>
                <w:szCs w:val="24"/>
              </w:rPr>
              <w:lastRenderedPageBreak/>
              <w:t>Parameter</w:t>
            </w:r>
          </w:p>
        </w:tc>
        <w:tc>
          <w:tcPr>
            <w:tcW w:w="926" w:type="dxa"/>
          </w:tcPr>
          <w:p w14:paraId="46859F05" w14:textId="52FC3438" w:rsidR="005E6136" w:rsidRPr="00F41F74" w:rsidRDefault="005E6136" w:rsidP="005E6136">
            <w:pPr>
              <w:pStyle w:val="NormalWeb"/>
              <w:spacing w:before="240" w:beforeAutospacing="0" w:after="240" w:afterAutospacing="0"/>
              <w:jc w:val="center"/>
              <w:rPr>
                <w:szCs w:val="24"/>
              </w:rPr>
            </w:pPr>
            <w:r>
              <w:rPr>
                <w:b/>
                <w:bCs/>
                <w:color w:val="303030"/>
                <w:szCs w:val="24"/>
              </w:rPr>
              <w:t>Unit</w:t>
            </w:r>
          </w:p>
        </w:tc>
        <w:tc>
          <w:tcPr>
            <w:tcW w:w="1843" w:type="dxa"/>
          </w:tcPr>
          <w:p w14:paraId="0F32631A" w14:textId="2DFBC4BC" w:rsidR="005E6136" w:rsidRPr="00F41F74" w:rsidRDefault="005E6136" w:rsidP="005E6136">
            <w:pPr>
              <w:pStyle w:val="NormalWeb"/>
              <w:spacing w:before="240" w:beforeAutospacing="0" w:after="240" w:afterAutospacing="0"/>
              <w:jc w:val="center"/>
              <w:rPr>
                <w:szCs w:val="24"/>
              </w:rPr>
            </w:pPr>
            <w:r w:rsidRPr="00AD2E97">
              <w:rPr>
                <w:b/>
                <w:bCs/>
                <w:color w:val="303030"/>
                <w:szCs w:val="24"/>
              </w:rPr>
              <w:t xml:space="preserve">Raw </w:t>
            </w:r>
            <w:r>
              <w:rPr>
                <w:b/>
                <w:bCs/>
                <w:color w:val="303030"/>
                <w:szCs w:val="24"/>
              </w:rPr>
              <w:t>s</w:t>
            </w:r>
            <w:r w:rsidRPr="00AD2E97">
              <w:rPr>
                <w:b/>
                <w:bCs/>
                <w:color w:val="303030"/>
                <w:szCs w:val="24"/>
              </w:rPr>
              <w:t>ludge (</w:t>
            </w:r>
            <w:r>
              <w:rPr>
                <w:b/>
                <w:bCs/>
                <w:color w:val="303030"/>
                <w:szCs w:val="24"/>
              </w:rPr>
              <w:t>u</w:t>
            </w:r>
            <w:r w:rsidRPr="00AD2E97">
              <w:rPr>
                <w:b/>
                <w:bCs/>
                <w:color w:val="303030"/>
                <w:szCs w:val="24"/>
              </w:rPr>
              <w:t>n</w:t>
            </w:r>
            <w:r>
              <w:rPr>
                <w:b/>
                <w:bCs/>
                <w:color w:val="303030"/>
                <w:szCs w:val="24"/>
              </w:rPr>
              <w:t>-</w:t>
            </w:r>
            <w:r w:rsidRPr="00AD2E97">
              <w:rPr>
                <w:b/>
                <w:bCs/>
                <w:color w:val="303030"/>
                <w:szCs w:val="24"/>
              </w:rPr>
              <w:t>composted)</w:t>
            </w:r>
          </w:p>
        </w:tc>
        <w:tc>
          <w:tcPr>
            <w:tcW w:w="2126" w:type="dxa"/>
          </w:tcPr>
          <w:p w14:paraId="1B109F95" w14:textId="419E7D45" w:rsidR="005E6136" w:rsidRPr="00F41F74" w:rsidRDefault="005E6136" w:rsidP="005E6136">
            <w:pPr>
              <w:pStyle w:val="NormalWeb"/>
              <w:spacing w:before="240" w:beforeAutospacing="0" w:after="240" w:afterAutospacing="0"/>
              <w:ind w:left="-113" w:right="-105"/>
              <w:jc w:val="center"/>
              <w:rPr>
                <w:szCs w:val="24"/>
              </w:rPr>
            </w:pPr>
            <w:r w:rsidRPr="00AD2E97">
              <w:rPr>
                <w:b/>
                <w:bCs/>
                <w:color w:val="303030"/>
                <w:szCs w:val="24"/>
              </w:rPr>
              <w:t xml:space="preserve">Compost </w:t>
            </w:r>
            <w:r>
              <w:rPr>
                <w:b/>
                <w:bCs/>
                <w:color w:val="303030"/>
                <w:szCs w:val="24"/>
              </w:rPr>
              <w:t>p</w:t>
            </w:r>
            <w:r w:rsidRPr="00AD2E97">
              <w:rPr>
                <w:b/>
                <w:bCs/>
                <w:color w:val="303030"/>
                <w:szCs w:val="24"/>
              </w:rPr>
              <w:t>roduct (</w:t>
            </w:r>
            <w:r>
              <w:rPr>
                <w:b/>
                <w:bCs/>
                <w:color w:val="303030"/>
                <w:szCs w:val="24"/>
              </w:rPr>
              <w:t>a</w:t>
            </w:r>
            <w:r w:rsidRPr="00AD2E97">
              <w:rPr>
                <w:b/>
                <w:bCs/>
                <w:color w:val="303030"/>
                <w:szCs w:val="24"/>
              </w:rPr>
              <w:t xml:space="preserve">fter 65 </w:t>
            </w:r>
            <w:r>
              <w:rPr>
                <w:b/>
                <w:bCs/>
                <w:color w:val="303030"/>
                <w:szCs w:val="24"/>
              </w:rPr>
              <w:t>d</w:t>
            </w:r>
            <w:r w:rsidRPr="00AD2E97">
              <w:rPr>
                <w:b/>
                <w:bCs/>
                <w:color w:val="303030"/>
                <w:szCs w:val="24"/>
              </w:rPr>
              <w:t>ays)</w:t>
            </w:r>
          </w:p>
        </w:tc>
        <w:tc>
          <w:tcPr>
            <w:tcW w:w="4536" w:type="dxa"/>
          </w:tcPr>
          <w:p w14:paraId="67C6E760" w14:textId="7838933C" w:rsidR="005E6136" w:rsidRPr="00F41F74" w:rsidRDefault="005E6136" w:rsidP="005E6136">
            <w:pPr>
              <w:pStyle w:val="NormalWeb"/>
              <w:spacing w:before="240" w:beforeAutospacing="0" w:after="240" w:afterAutospacing="0"/>
              <w:jc w:val="center"/>
              <w:rPr>
                <w:szCs w:val="24"/>
              </w:rPr>
            </w:pPr>
            <w:r w:rsidRPr="00AD2E97">
              <w:rPr>
                <w:b/>
                <w:bCs/>
                <w:color w:val="303030"/>
                <w:szCs w:val="24"/>
              </w:rPr>
              <w:t>Agronomic quality evaluation</w:t>
            </w:r>
          </w:p>
        </w:tc>
      </w:tr>
      <w:tr w:rsidR="005E6136" w:rsidRPr="00F41F74" w14:paraId="6DCDC355" w14:textId="77777777" w:rsidTr="005E6136">
        <w:trPr>
          <w:jc w:val="center"/>
        </w:trPr>
        <w:tc>
          <w:tcPr>
            <w:tcW w:w="1337" w:type="dxa"/>
          </w:tcPr>
          <w:p w14:paraId="2EC1E597" w14:textId="2A63B625" w:rsidR="005E6136" w:rsidRPr="00F41F74" w:rsidRDefault="005E6136" w:rsidP="005E6136">
            <w:pPr>
              <w:pStyle w:val="NormalWeb"/>
              <w:spacing w:before="240" w:beforeAutospacing="0" w:after="240" w:afterAutospacing="0"/>
              <w:jc w:val="left"/>
              <w:rPr>
                <w:szCs w:val="24"/>
              </w:rPr>
            </w:pPr>
            <w:r>
              <w:rPr>
                <w:color w:val="303030"/>
                <w:szCs w:val="24"/>
              </w:rPr>
              <w:t>Humidity</w:t>
            </w:r>
          </w:p>
        </w:tc>
        <w:tc>
          <w:tcPr>
            <w:tcW w:w="926" w:type="dxa"/>
          </w:tcPr>
          <w:p w14:paraId="5F91967D" w14:textId="4E4F85E7" w:rsidR="005E6136" w:rsidRPr="00F41F74" w:rsidRDefault="005E6136" w:rsidP="005E6136">
            <w:pPr>
              <w:pStyle w:val="NormalWeb"/>
              <w:spacing w:before="240" w:beforeAutospacing="0" w:after="240" w:afterAutospacing="0"/>
              <w:jc w:val="center"/>
              <w:rPr>
                <w:szCs w:val="24"/>
              </w:rPr>
            </w:pPr>
            <w:r w:rsidRPr="007B0DA4">
              <w:rPr>
                <w:color w:val="303030"/>
                <w:szCs w:val="24"/>
              </w:rPr>
              <w:t>%</w:t>
            </w:r>
          </w:p>
        </w:tc>
        <w:tc>
          <w:tcPr>
            <w:tcW w:w="1843" w:type="dxa"/>
          </w:tcPr>
          <w:p w14:paraId="6F4721EF" w14:textId="5BD0CE4D" w:rsidR="005E6136" w:rsidRPr="00F41F74" w:rsidRDefault="005E6136" w:rsidP="005E6136">
            <w:pPr>
              <w:pStyle w:val="NormalWeb"/>
              <w:spacing w:before="240" w:beforeAutospacing="0" w:after="240" w:afterAutospacing="0"/>
              <w:jc w:val="center"/>
              <w:rPr>
                <w:szCs w:val="24"/>
              </w:rPr>
            </w:pPr>
            <w:r w:rsidRPr="007B0DA4">
              <w:rPr>
                <w:color w:val="303030"/>
                <w:szCs w:val="24"/>
              </w:rPr>
              <w:t>72</w:t>
            </w:r>
            <w:r>
              <w:rPr>
                <w:color w:val="303030"/>
                <w:szCs w:val="24"/>
              </w:rPr>
              <w:t>.</w:t>
            </w:r>
            <w:r w:rsidRPr="007B0DA4">
              <w:rPr>
                <w:color w:val="303030"/>
                <w:szCs w:val="24"/>
              </w:rPr>
              <w:t>0</w:t>
            </w:r>
          </w:p>
        </w:tc>
        <w:tc>
          <w:tcPr>
            <w:tcW w:w="2126" w:type="dxa"/>
          </w:tcPr>
          <w:p w14:paraId="16EDB694" w14:textId="74874293" w:rsidR="005E6136" w:rsidRPr="00F41F74" w:rsidRDefault="005E6136" w:rsidP="005E6136">
            <w:pPr>
              <w:pStyle w:val="NormalWeb"/>
              <w:spacing w:before="240" w:beforeAutospacing="0" w:after="240" w:afterAutospacing="0"/>
              <w:jc w:val="center"/>
              <w:rPr>
                <w:szCs w:val="24"/>
              </w:rPr>
            </w:pPr>
            <w:r w:rsidRPr="007B0DA4">
              <w:rPr>
                <w:color w:val="303030"/>
                <w:szCs w:val="24"/>
              </w:rPr>
              <w:t>63</w:t>
            </w:r>
            <w:r>
              <w:rPr>
                <w:color w:val="303030"/>
                <w:szCs w:val="24"/>
              </w:rPr>
              <w:t>.</w:t>
            </w:r>
            <w:r w:rsidRPr="007B0DA4">
              <w:rPr>
                <w:color w:val="303030"/>
                <w:szCs w:val="24"/>
              </w:rPr>
              <w:t>0</w:t>
            </w:r>
          </w:p>
        </w:tc>
        <w:tc>
          <w:tcPr>
            <w:tcW w:w="4536" w:type="dxa"/>
          </w:tcPr>
          <w:p w14:paraId="3881FCD8" w14:textId="0412031B" w:rsidR="005E6136" w:rsidRPr="00F41F74" w:rsidRDefault="005E6136" w:rsidP="005E6136">
            <w:pPr>
              <w:pStyle w:val="NormalWeb"/>
              <w:spacing w:before="240" w:beforeAutospacing="0" w:after="240" w:afterAutospacing="0"/>
              <w:ind w:right="-105"/>
              <w:jc w:val="left"/>
              <w:rPr>
                <w:szCs w:val="24"/>
              </w:rPr>
            </w:pPr>
            <w:r w:rsidRPr="00AD2E97">
              <w:rPr>
                <w:color w:val="303030"/>
                <w:szCs w:val="24"/>
              </w:rPr>
              <w:t>Porous texture, complies with storage standards</w:t>
            </w:r>
          </w:p>
        </w:tc>
      </w:tr>
      <w:tr w:rsidR="005E6136" w:rsidRPr="00F41F74" w14:paraId="4C097952" w14:textId="77777777" w:rsidTr="005E6136">
        <w:trPr>
          <w:jc w:val="center"/>
        </w:trPr>
        <w:tc>
          <w:tcPr>
            <w:tcW w:w="1337" w:type="dxa"/>
          </w:tcPr>
          <w:p w14:paraId="09CB7E0E" w14:textId="420DE678" w:rsidR="005E6136" w:rsidRPr="00F41F74" w:rsidRDefault="005E6136" w:rsidP="005E6136">
            <w:pPr>
              <w:pStyle w:val="NormalWeb"/>
              <w:spacing w:before="240" w:beforeAutospacing="0" w:after="240" w:afterAutospacing="0"/>
              <w:ind w:right="-109"/>
              <w:jc w:val="left"/>
              <w:rPr>
                <w:szCs w:val="24"/>
              </w:rPr>
            </w:pPr>
            <w:r w:rsidRPr="007B0DA4">
              <w:rPr>
                <w:color w:val="303030"/>
                <w:szCs w:val="24"/>
              </w:rPr>
              <w:t>pH</w:t>
            </w:r>
            <w:r>
              <w:rPr>
                <w:color w:val="303030"/>
                <w:szCs w:val="24"/>
              </w:rPr>
              <w:t xml:space="preserve"> (</w:t>
            </w:r>
            <w:proofErr w:type="spellStart"/>
            <w:r w:rsidRPr="004E6429">
              <w:rPr>
                <w:color w:val="303030"/>
                <w:szCs w:val="24"/>
              </w:rPr>
              <w:t>KCl</w:t>
            </w:r>
            <w:proofErr w:type="spellEnd"/>
            <w:r>
              <w:rPr>
                <w:color w:val="303030"/>
                <w:szCs w:val="24"/>
              </w:rPr>
              <w:t>)</w:t>
            </w:r>
          </w:p>
        </w:tc>
        <w:tc>
          <w:tcPr>
            <w:tcW w:w="926" w:type="dxa"/>
          </w:tcPr>
          <w:p w14:paraId="5EAFA165" w14:textId="2A4F6442" w:rsidR="005E6136" w:rsidRPr="00F41F74" w:rsidRDefault="005E6136" w:rsidP="005E6136">
            <w:pPr>
              <w:pStyle w:val="NormalWeb"/>
              <w:spacing w:before="240" w:beforeAutospacing="0" w:after="240" w:afterAutospacing="0"/>
              <w:ind w:right="-107"/>
              <w:jc w:val="center"/>
              <w:rPr>
                <w:szCs w:val="24"/>
              </w:rPr>
            </w:pPr>
            <w:r w:rsidRPr="007B0DA4">
              <w:rPr>
                <w:color w:val="303030"/>
                <w:szCs w:val="24"/>
              </w:rPr>
              <w:t>-</w:t>
            </w:r>
          </w:p>
        </w:tc>
        <w:tc>
          <w:tcPr>
            <w:tcW w:w="1843" w:type="dxa"/>
          </w:tcPr>
          <w:p w14:paraId="12CF9662" w14:textId="42C60993" w:rsidR="005E6136" w:rsidRPr="00F41F74" w:rsidRDefault="005E6136" w:rsidP="005E6136">
            <w:pPr>
              <w:pStyle w:val="NormalWeb"/>
              <w:spacing w:before="240" w:beforeAutospacing="0" w:after="240" w:afterAutospacing="0"/>
              <w:jc w:val="center"/>
              <w:rPr>
                <w:szCs w:val="24"/>
              </w:rPr>
            </w:pPr>
            <w:r w:rsidRPr="007B0DA4">
              <w:rPr>
                <w:color w:val="303030"/>
                <w:szCs w:val="24"/>
              </w:rPr>
              <w:t>5</w:t>
            </w:r>
            <w:r>
              <w:rPr>
                <w:color w:val="303030"/>
                <w:szCs w:val="24"/>
              </w:rPr>
              <w:t>.</w:t>
            </w:r>
            <w:r w:rsidRPr="007B0DA4">
              <w:rPr>
                <w:color w:val="303030"/>
                <w:szCs w:val="24"/>
              </w:rPr>
              <w:t>29</w:t>
            </w:r>
          </w:p>
        </w:tc>
        <w:tc>
          <w:tcPr>
            <w:tcW w:w="2126" w:type="dxa"/>
          </w:tcPr>
          <w:p w14:paraId="40C8D64A" w14:textId="426A1ED3" w:rsidR="005E6136" w:rsidRPr="00F41F74" w:rsidRDefault="005E6136" w:rsidP="005E6136">
            <w:pPr>
              <w:pStyle w:val="NormalWeb"/>
              <w:spacing w:before="240" w:beforeAutospacing="0" w:after="240" w:afterAutospacing="0"/>
              <w:jc w:val="center"/>
              <w:rPr>
                <w:szCs w:val="24"/>
              </w:rPr>
            </w:pPr>
            <w:r w:rsidRPr="007B0DA4">
              <w:rPr>
                <w:color w:val="303030"/>
                <w:szCs w:val="24"/>
              </w:rPr>
              <w:t>8</w:t>
            </w:r>
            <w:r>
              <w:rPr>
                <w:color w:val="303030"/>
                <w:szCs w:val="24"/>
              </w:rPr>
              <w:t>.</w:t>
            </w:r>
            <w:r w:rsidRPr="007B0DA4">
              <w:rPr>
                <w:color w:val="303030"/>
                <w:szCs w:val="24"/>
              </w:rPr>
              <w:t>19</w:t>
            </w:r>
          </w:p>
        </w:tc>
        <w:tc>
          <w:tcPr>
            <w:tcW w:w="4536" w:type="dxa"/>
          </w:tcPr>
          <w:p w14:paraId="73D1A08F" w14:textId="7C2D56FF" w:rsidR="005E6136" w:rsidRPr="00F41F74" w:rsidRDefault="005E6136" w:rsidP="005E6136">
            <w:pPr>
              <w:pStyle w:val="NormalWeb"/>
              <w:spacing w:before="240" w:beforeAutospacing="0" w:after="240" w:afterAutospacing="0"/>
              <w:jc w:val="left"/>
              <w:rPr>
                <w:szCs w:val="24"/>
              </w:rPr>
            </w:pPr>
            <w:r w:rsidRPr="00AD2E97">
              <w:rPr>
                <w:color w:val="303030"/>
                <w:szCs w:val="24"/>
              </w:rPr>
              <w:t>Slightly alkaline, ideal for soil microbiota</w:t>
            </w:r>
          </w:p>
        </w:tc>
      </w:tr>
      <w:tr w:rsidR="005E6136" w:rsidRPr="00F41F74" w14:paraId="6A623205" w14:textId="77777777" w:rsidTr="005E6136">
        <w:trPr>
          <w:jc w:val="center"/>
        </w:trPr>
        <w:tc>
          <w:tcPr>
            <w:tcW w:w="1337" w:type="dxa"/>
          </w:tcPr>
          <w:p w14:paraId="228023DF" w14:textId="726F6660" w:rsidR="005E6136" w:rsidRPr="00F41F74" w:rsidRDefault="005E6136" w:rsidP="005E6136">
            <w:pPr>
              <w:pStyle w:val="NormalWeb"/>
              <w:spacing w:before="240" w:beforeAutospacing="0" w:after="240" w:afterAutospacing="0"/>
              <w:jc w:val="left"/>
              <w:rPr>
                <w:szCs w:val="24"/>
              </w:rPr>
            </w:pPr>
            <w:r w:rsidRPr="007B0DA4">
              <w:rPr>
                <w:color w:val="303030"/>
                <w:szCs w:val="24"/>
              </w:rPr>
              <w:t>EC</w:t>
            </w:r>
          </w:p>
        </w:tc>
        <w:tc>
          <w:tcPr>
            <w:tcW w:w="926" w:type="dxa"/>
          </w:tcPr>
          <w:p w14:paraId="28ECD6C3" w14:textId="36B766E3" w:rsidR="005E6136" w:rsidRPr="00F41F74" w:rsidRDefault="005E6136" w:rsidP="005E6136">
            <w:pPr>
              <w:pStyle w:val="NormalWeb"/>
              <w:spacing w:before="240" w:beforeAutospacing="0" w:after="240" w:afterAutospacing="0"/>
              <w:jc w:val="center"/>
              <w:rPr>
                <w:szCs w:val="24"/>
              </w:rPr>
            </w:pPr>
            <w:r w:rsidRPr="007B0DA4">
              <w:rPr>
                <w:color w:val="303030"/>
                <w:szCs w:val="24"/>
              </w:rPr>
              <w:t>mS/cm</w:t>
            </w:r>
          </w:p>
        </w:tc>
        <w:tc>
          <w:tcPr>
            <w:tcW w:w="1843" w:type="dxa"/>
          </w:tcPr>
          <w:p w14:paraId="20F7CBE3" w14:textId="34F2EF9A" w:rsidR="005E6136" w:rsidRPr="00F41F74" w:rsidRDefault="005E6136" w:rsidP="005E6136">
            <w:pPr>
              <w:pStyle w:val="NormalWeb"/>
              <w:spacing w:before="240" w:beforeAutospacing="0" w:after="240" w:afterAutospacing="0"/>
              <w:jc w:val="center"/>
              <w:rPr>
                <w:szCs w:val="24"/>
              </w:rPr>
            </w:pPr>
            <w:r w:rsidRPr="007B0DA4">
              <w:rPr>
                <w:color w:val="303030"/>
                <w:szCs w:val="24"/>
              </w:rPr>
              <w:t>15</w:t>
            </w:r>
            <w:r>
              <w:rPr>
                <w:color w:val="303030"/>
                <w:szCs w:val="24"/>
              </w:rPr>
              <w:t>.</w:t>
            </w:r>
            <w:r w:rsidRPr="007B0DA4">
              <w:rPr>
                <w:color w:val="303030"/>
                <w:szCs w:val="24"/>
              </w:rPr>
              <w:t>23</w:t>
            </w:r>
          </w:p>
        </w:tc>
        <w:tc>
          <w:tcPr>
            <w:tcW w:w="2126" w:type="dxa"/>
          </w:tcPr>
          <w:p w14:paraId="5D557D28" w14:textId="66DEB851" w:rsidR="005E6136" w:rsidRPr="00F41F74" w:rsidRDefault="005E6136" w:rsidP="00D0513E">
            <w:pPr>
              <w:pStyle w:val="NormalWeb"/>
              <w:spacing w:before="240" w:beforeAutospacing="0" w:after="240" w:afterAutospacing="0"/>
              <w:ind w:left="-113" w:right="-104"/>
              <w:jc w:val="center"/>
              <w:rPr>
                <w:szCs w:val="24"/>
              </w:rPr>
            </w:pPr>
            <w:r w:rsidRPr="007B0DA4">
              <w:rPr>
                <w:color w:val="303030"/>
                <w:szCs w:val="24"/>
              </w:rPr>
              <w:t>12</w:t>
            </w:r>
            <w:r>
              <w:rPr>
                <w:color w:val="303030"/>
                <w:szCs w:val="24"/>
              </w:rPr>
              <w:t>.</w:t>
            </w:r>
            <w:r w:rsidRPr="007B0DA4">
              <w:rPr>
                <w:color w:val="303030"/>
                <w:szCs w:val="24"/>
              </w:rPr>
              <w:t>00</w:t>
            </w:r>
          </w:p>
        </w:tc>
        <w:tc>
          <w:tcPr>
            <w:tcW w:w="4536" w:type="dxa"/>
          </w:tcPr>
          <w:p w14:paraId="33AF627D" w14:textId="0951DF4F" w:rsidR="005E6136" w:rsidRPr="00F41F74" w:rsidRDefault="005E6136" w:rsidP="005E6136">
            <w:pPr>
              <w:pStyle w:val="NormalWeb"/>
              <w:spacing w:before="240" w:beforeAutospacing="0" w:after="240" w:afterAutospacing="0"/>
              <w:jc w:val="left"/>
              <w:rPr>
                <w:szCs w:val="24"/>
              </w:rPr>
            </w:pPr>
            <w:r w:rsidRPr="00AD2E97">
              <w:rPr>
                <w:color w:val="303030"/>
                <w:szCs w:val="24"/>
              </w:rPr>
              <w:t>Relatively high (saline); caution required during application</w:t>
            </w:r>
          </w:p>
        </w:tc>
      </w:tr>
      <w:tr w:rsidR="005E6136" w:rsidRPr="00F41F74" w14:paraId="55FC217A" w14:textId="77777777" w:rsidTr="005E6136">
        <w:trPr>
          <w:jc w:val="center"/>
        </w:trPr>
        <w:tc>
          <w:tcPr>
            <w:tcW w:w="1337" w:type="dxa"/>
          </w:tcPr>
          <w:p w14:paraId="785B7964" w14:textId="24F0920C" w:rsidR="005E6136" w:rsidRPr="00F41F74" w:rsidRDefault="005E6136" w:rsidP="005E6136">
            <w:pPr>
              <w:pStyle w:val="NormalWeb"/>
              <w:spacing w:before="240" w:beforeAutospacing="0" w:after="240" w:afterAutospacing="0"/>
            </w:pPr>
            <w:r w:rsidRPr="007B0DA4">
              <w:rPr>
                <w:color w:val="303030"/>
                <w:szCs w:val="24"/>
              </w:rPr>
              <w:t>TN</w:t>
            </w:r>
          </w:p>
        </w:tc>
        <w:tc>
          <w:tcPr>
            <w:tcW w:w="926" w:type="dxa"/>
          </w:tcPr>
          <w:p w14:paraId="684CF413" w14:textId="3C1FA09D" w:rsidR="005E6136" w:rsidRPr="00F41F74" w:rsidRDefault="005E6136" w:rsidP="005E6136">
            <w:pPr>
              <w:pStyle w:val="NormalWeb"/>
              <w:spacing w:before="240" w:beforeAutospacing="0" w:after="240" w:afterAutospacing="0"/>
              <w:jc w:val="center"/>
            </w:pPr>
            <w:r w:rsidRPr="007B0DA4">
              <w:rPr>
                <w:color w:val="303030"/>
                <w:szCs w:val="24"/>
              </w:rPr>
              <w:t>g/kg</w:t>
            </w:r>
          </w:p>
        </w:tc>
        <w:tc>
          <w:tcPr>
            <w:tcW w:w="1843" w:type="dxa"/>
          </w:tcPr>
          <w:p w14:paraId="6B3C7BC1" w14:textId="2461811A" w:rsidR="005E6136" w:rsidRPr="00F41F74" w:rsidRDefault="005E6136" w:rsidP="005E6136">
            <w:pPr>
              <w:pStyle w:val="NormalWeb"/>
              <w:spacing w:before="240" w:beforeAutospacing="0" w:after="240" w:afterAutospacing="0"/>
              <w:jc w:val="center"/>
            </w:pPr>
            <w:r w:rsidRPr="007B0DA4">
              <w:rPr>
                <w:color w:val="303030"/>
                <w:szCs w:val="24"/>
              </w:rPr>
              <w:t>9</w:t>
            </w:r>
            <w:r>
              <w:rPr>
                <w:color w:val="303030"/>
                <w:szCs w:val="24"/>
              </w:rPr>
              <w:t>.</w:t>
            </w:r>
            <w:r w:rsidRPr="007B0DA4">
              <w:rPr>
                <w:color w:val="303030"/>
                <w:szCs w:val="24"/>
              </w:rPr>
              <w:t>20</w:t>
            </w:r>
          </w:p>
        </w:tc>
        <w:tc>
          <w:tcPr>
            <w:tcW w:w="2126" w:type="dxa"/>
          </w:tcPr>
          <w:p w14:paraId="0A6488D0" w14:textId="4BA282A9" w:rsidR="005E6136" w:rsidRPr="00F41F74" w:rsidRDefault="005E6136" w:rsidP="005E6136">
            <w:pPr>
              <w:pStyle w:val="NormalWeb"/>
              <w:spacing w:before="240" w:beforeAutospacing="0" w:after="240" w:afterAutospacing="0"/>
              <w:ind w:right="-104"/>
              <w:jc w:val="center"/>
            </w:pPr>
            <w:r w:rsidRPr="007B0DA4">
              <w:rPr>
                <w:color w:val="303030"/>
                <w:szCs w:val="24"/>
              </w:rPr>
              <w:t>7</w:t>
            </w:r>
            <w:r>
              <w:rPr>
                <w:color w:val="303030"/>
                <w:szCs w:val="24"/>
              </w:rPr>
              <w:t>.</w:t>
            </w:r>
            <w:r w:rsidRPr="007B0DA4">
              <w:rPr>
                <w:color w:val="303030"/>
                <w:szCs w:val="24"/>
              </w:rPr>
              <w:t>51</w:t>
            </w:r>
          </w:p>
        </w:tc>
        <w:tc>
          <w:tcPr>
            <w:tcW w:w="4536" w:type="dxa"/>
          </w:tcPr>
          <w:p w14:paraId="4DE1440A" w14:textId="347B5A6C" w:rsidR="005E6136" w:rsidRPr="00F41F74" w:rsidRDefault="005E6136" w:rsidP="005E6136">
            <w:pPr>
              <w:pStyle w:val="NormalWeb"/>
              <w:spacing w:before="240" w:beforeAutospacing="0" w:after="240" w:afterAutospacing="0"/>
            </w:pPr>
            <w:r w:rsidRPr="00AD2E97">
              <w:rPr>
                <w:color w:val="303030"/>
                <w:szCs w:val="24"/>
              </w:rPr>
              <w:t>Abundant nitrogen source</w:t>
            </w:r>
          </w:p>
        </w:tc>
      </w:tr>
      <w:tr w:rsidR="005E6136" w:rsidRPr="00F41F74" w14:paraId="504CA06B" w14:textId="77777777" w:rsidTr="005E6136">
        <w:trPr>
          <w:jc w:val="center"/>
        </w:trPr>
        <w:tc>
          <w:tcPr>
            <w:tcW w:w="1337" w:type="dxa"/>
          </w:tcPr>
          <w:p w14:paraId="26E4124E" w14:textId="7B48B095" w:rsidR="005E6136" w:rsidRPr="00F41F74" w:rsidRDefault="005E6136" w:rsidP="005E6136">
            <w:pPr>
              <w:pStyle w:val="NormalWeb"/>
              <w:spacing w:before="240" w:beforeAutospacing="0" w:after="240" w:afterAutospacing="0"/>
            </w:pPr>
            <w:r w:rsidRPr="0059225F">
              <w:rPr>
                <w:color w:val="303030"/>
                <w:szCs w:val="24"/>
              </w:rPr>
              <w:t>Available Potassium</w:t>
            </w:r>
          </w:p>
        </w:tc>
        <w:tc>
          <w:tcPr>
            <w:tcW w:w="926" w:type="dxa"/>
          </w:tcPr>
          <w:p w14:paraId="169EF9CE" w14:textId="2EAB2BAE" w:rsidR="005E6136" w:rsidRPr="00F41F74" w:rsidRDefault="005E6136" w:rsidP="005E6136">
            <w:pPr>
              <w:pStyle w:val="NormalWeb"/>
              <w:spacing w:before="240" w:beforeAutospacing="0" w:after="240" w:afterAutospacing="0"/>
              <w:jc w:val="center"/>
            </w:pPr>
            <w:r w:rsidRPr="007B0DA4">
              <w:rPr>
                <w:color w:val="303030"/>
                <w:szCs w:val="24"/>
              </w:rPr>
              <w:t>mg/kg</w:t>
            </w:r>
          </w:p>
        </w:tc>
        <w:tc>
          <w:tcPr>
            <w:tcW w:w="1843" w:type="dxa"/>
          </w:tcPr>
          <w:p w14:paraId="6BE2018A" w14:textId="77B78D3F" w:rsidR="005E6136" w:rsidRPr="00F41F74" w:rsidRDefault="005E6136" w:rsidP="005E6136">
            <w:pPr>
              <w:pStyle w:val="NormalWeb"/>
              <w:spacing w:before="240" w:beforeAutospacing="0" w:after="240" w:afterAutospacing="0"/>
              <w:jc w:val="center"/>
            </w:pPr>
            <w:r w:rsidRPr="007B0DA4">
              <w:rPr>
                <w:color w:val="303030"/>
                <w:szCs w:val="24"/>
              </w:rPr>
              <w:t>4</w:t>
            </w:r>
            <w:r>
              <w:rPr>
                <w:color w:val="303030"/>
                <w:szCs w:val="24"/>
              </w:rPr>
              <w:t>,</w:t>
            </w:r>
            <w:r w:rsidRPr="007B0DA4">
              <w:rPr>
                <w:color w:val="303030"/>
                <w:szCs w:val="24"/>
              </w:rPr>
              <w:t>300</w:t>
            </w:r>
          </w:p>
        </w:tc>
        <w:tc>
          <w:tcPr>
            <w:tcW w:w="2126" w:type="dxa"/>
          </w:tcPr>
          <w:p w14:paraId="586203B1" w14:textId="57B29E53" w:rsidR="005E6136" w:rsidRPr="00F41F74" w:rsidRDefault="005E6136" w:rsidP="005E6136">
            <w:pPr>
              <w:pStyle w:val="NormalWeb"/>
              <w:spacing w:before="240" w:beforeAutospacing="0" w:after="240" w:afterAutospacing="0"/>
              <w:ind w:right="-104"/>
              <w:jc w:val="center"/>
            </w:pPr>
            <w:r w:rsidRPr="007B0DA4">
              <w:rPr>
                <w:color w:val="303030"/>
                <w:szCs w:val="24"/>
              </w:rPr>
              <w:t>7</w:t>
            </w:r>
            <w:r>
              <w:rPr>
                <w:color w:val="303030"/>
                <w:szCs w:val="24"/>
              </w:rPr>
              <w:t>,</w:t>
            </w:r>
            <w:r w:rsidRPr="007B0DA4">
              <w:rPr>
                <w:color w:val="303030"/>
                <w:szCs w:val="24"/>
              </w:rPr>
              <w:t>200</w:t>
            </w:r>
          </w:p>
        </w:tc>
        <w:tc>
          <w:tcPr>
            <w:tcW w:w="4536" w:type="dxa"/>
          </w:tcPr>
          <w:p w14:paraId="4334812E" w14:textId="7A70BA7A" w:rsidR="005E6136" w:rsidRPr="00F41F74" w:rsidRDefault="005E6136" w:rsidP="005E6136">
            <w:pPr>
              <w:pStyle w:val="NormalWeb"/>
              <w:spacing w:before="240" w:beforeAutospacing="0" w:after="240" w:afterAutospacing="0"/>
            </w:pPr>
            <w:r w:rsidRPr="00AD2E97">
              <w:rPr>
                <w:color w:val="303030"/>
                <w:szCs w:val="24"/>
              </w:rPr>
              <w:t>Sharp increase driven by mineralization</w:t>
            </w:r>
          </w:p>
        </w:tc>
      </w:tr>
      <w:tr w:rsidR="005E6136" w:rsidRPr="00F41F74" w14:paraId="530B7261" w14:textId="77777777" w:rsidTr="005E6136">
        <w:trPr>
          <w:jc w:val="center"/>
        </w:trPr>
        <w:tc>
          <w:tcPr>
            <w:tcW w:w="1337" w:type="dxa"/>
          </w:tcPr>
          <w:p w14:paraId="7751ABD2" w14:textId="51AEE2D7" w:rsidR="005E6136" w:rsidRPr="00F41F74" w:rsidRDefault="005E6136" w:rsidP="005E6136">
            <w:pPr>
              <w:pStyle w:val="NormalWeb"/>
              <w:spacing w:before="240" w:beforeAutospacing="0" w:after="240" w:afterAutospacing="0"/>
            </w:pPr>
            <w:r w:rsidRPr="0059225F">
              <w:rPr>
                <w:color w:val="303030"/>
                <w:szCs w:val="24"/>
              </w:rPr>
              <w:t>Available Phosphorus</w:t>
            </w:r>
          </w:p>
        </w:tc>
        <w:tc>
          <w:tcPr>
            <w:tcW w:w="926" w:type="dxa"/>
          </w:tcPr>
          <w:p w14:paraId="1339813E" w14:textId="71E0A068" w:rsidR="005E6136" w:rsidRPr="00F41F74" w:rsidRDefault="005E6136" w:rsidP="005E6136">
            <w:pPr>
              <w:pStyle w:val="NormalWeb"/>
              <w:spacing w:before="240" w:beforeAutospacing="0" w:after="240" w:afterAutospacing="0"/>
              <w:jc w:val="center"/>
            </w:pPr>
            <w:r>
              <w:rPr>
                <w:color w:val="303030"/>
                <w:szCs w:val="24"/>
              </w:rPr>
              <w:t>m</w:t>
            </w:r>
            <w:r w:rsidRPr="007B0DA4">
              <w:rPr>
                <w:color w:val="303030"/>
                <w:szCs w:val="24"/>
              </w:rPr>
              <w:t>g/</w:t>
            </w:r>
            <w:r>
              <w:rPr>
                <w:color w:val="303030"/>
                <w:szCs w:val="24"/>
              </w:rPr>
              <w:t xml:space="preserve"> </w:t>
            </w:r>
            <w:r w:rsidRPr="007B0DA4">
              <w:rPr>
                <w:color w:val="303030"/>
                <w:szCs w:val="24"/>
              </w:rPr>
              <w:t>100</w:t>
            </w:r>
            <w:r>
              <w:rPr>
                <w:color w:val="303030"/>
                <w:szCs w:val="24"/>
              </w:rPr>
              <w:t xml:space="preserve"> </w:t>
            </w:r>
            <w:r w:rsidRPr="007B0DA4">
              <w:rPr>
                <w:color w:val="303030"/>
                <w:szCs w:val="24"/>
              </w:rPr>
              <w:t>g</w:t>
            </w:r>
          </w:p>
        </w:tc>
        <w:tc>
          <w:tcPr>
            <w:tcW w:w="1843" w:type="dxa"/>
          </w:tcPr>
          <w:p w14:paraId="201FD502" w14:textId="07FAB7B2" w:rsidR="005E6136" w:rsidRPr="00F41F74" w:rsidRDefault="005E6136" w:rsidP="005E6136">
            <w:pPr>
              <w:pStyle w:val="NormalWeb"/>
              <w:spacing w:before="240" w:beforeAutospacing="0" w:after="240" w:afterAutospacing="0"/>
              <w:jc w:val="center"/>
            </w:pPr>
            <w:r w:rsidRPr="007B0DA4">
              <w:rPr>
                <w:color w:val="303030"/>
                <w:szCs w:val="24"/>
              </w:rPr>
              <w:t>136</w:t>
            </w:r>
            <w:r>
              <w:rPr>
                <w:color w:val="303030"/>
                <w:szCs w:val="24"/>
              </w:rPr>
              <w:t>.</w:t>
            </w:r>
            <w:r w:rsidRPr="007B0DA4">
              <w:rPr>
                <w:color w:val="303030"/>
                <w:szCs w:val="24"/>
              </w:rPr>
              <w:t>4</w:t>
            </w:r>
          </w:p>
        </w:tc>
        <w:tc>
          <w:tcPr>
            <w:tcW w:w="2126" w:type="dxa"/>
          </w:tcPr>
          <w:p w14:paraId="003B6B06" w14:textId="3865CA82" w:rsidR="005E6136" w:rsidRPr="00F41F74" w:rsidRDefault="005E6136" w:rsidP="005E6136">
            <w:pPr>
              <w:pStyle w:val="NormalWeb"/>
              <w:spacing w:before="240" w:beforeAutospacing="0" w:after="240" w:afterAutospacing="0"/>
              <w:ind w:right="-104"/>
              <w:jc w:val="center"/>
            </w:pPr>
            <w:r w:rsidRPr="007B0DA4">
              <w:rPr>
                <w:color w:val="303030"/>
                <w:szCs w:val="24"/>
              </w:rPr>
              <w:t>1</w:t>
            </w:r>
            <w:r>
              <w:rPr>
                <w:color w:val="303030"/>
                <w:szCs w:val="24"/>
              </w:rPr>
              <w:t>,</w:t>
            </w:r>
            <w:r w:rsidRPr="007B0DA4">
              <w:rPr>
                <w:color w:val="303030"/>
                <w:szCs w:val="24"/>
              </w:rPr>
              <w:t>030</w:t>
            </w:r>
          </w:p>
        </w:tc>
        <w:tc>
          <w:tcPr>
            <w:tcW w:w="4536" w:type="dxa"/>
          </w:tcPr>
          <w:p w14:paraId="028568A0" w14:textId="3416A276" w:rsidR="005E6136" w:rsidRPr="00F41F74" w:rsidRDefault="005E6136" w:rsidP="005E6136">
            <w:pPr>
              <w:pStyle w:val="NormalWeb"/>
              <w:spacing w:before="240" w:beforeAutospacing="0" w:after="240" w:afterAutospacing="0"/>
            </w:pPr>
            <w:r w:rsidRPr="0059225F">
              <w:rPr>
                <w:color w:val="303030"/>
                <w:szCs w:val="24"/>
              </w:rPr>
              <w:t>Highly assimilable form for root systems</w:t>
            </w:r>
          </w:p>
        </w:tc>
      </w:tr>
      <w:tr w:rsidR="005E6136" w:rsidRPr="00F41F74" w14:paraId="6AABDB5A" w14:textId="77777777" w:rsidTr="005E6136">
        <w:trPr>
          <w:jc w:val="center"/>
        </w:trPr>
        <w:tc>
          <w:tcPr>
            <w:tcW w:w="1337" w:type="dxa"/>
          </w:tcPr>
          <w:p w14:paraId="2E36930E" w14:textId="63635C69" w:rsidR="005E6136" w:rsidRPr="00F41F74" w:rsidRDefault="005E6136" w:rsidP="005E6136">
            <w:pPr>
              <w:pStyle w:val="NormalWeb"/>
              <w:spacing w:before="240" w:beforeAutospacing="0" w:after="240" w:afterAutospacing="0"/>
            </w:pPr>
            <w:r w:rsidRPr="007B0DA4">
              <w:rPr>
                <w:color w:val="303030"/>
                <w:szCs w:val="24"/>
              </w:rPr>
              <w:t>TOC</w:t>
            </w:r>
          </w:p>
        </w:tc>
        <w:tc>
          <w:tcPr>
            <w:tcW w:w="926" w:type="dxa"/>
          </w:tcPr>
          <w:p w14:paraId="7EB45AF8" w14:textId="75DD1649" w:rsidR="005E6136" w:rsidRPr="00F41F74" w:rsidRDefault="005E6136" w:rsidP="005E6136">
            <w:pPr>
              <w:pStyle w:val="NormalWeb"/>
              <w:spacing w:before="240" w:beforeAutospacing="0" w:after="240" w:afterAutospacing="0"/>
              <w:jc w:val="center"/>
            </w:pPr>
            <w:r w:rsidRPr="007B0DA4">
              <w:rPr>
                <w:color w:val="303030"/>
                <w:szCs w:val="24"/>
              </w:rPr>
              <w:t>%</w:t>
            </w:r>
          </w:p>
        </w:tc>
        <w:tc>
          <w:tcPr>
            <w:tcW w:w="1843" w:type="dxa"/>
          </w:tcPr>
          <w:p w14:paraId="6812E8F5" w14:textId="3DACEF2C" w:rsidR="005E6136" w:rsidRPr="00F41F74" w:rsidRDefault="005E6136" w:rsidP="005E6136">
            <w:pPr>
              <w:pStyle w:val="NormalWeb"/>
              <w:spacing w:before="240" w:beforeAutospacing="0" w:after="240" w:afterAutospacing="0"/>
              <w:jc w:val="center"/>
            </w:pPr>
            <w:r w:rsidRPr="007B0DA4">
              <w:rPr>
                <w:color w:val="303030"/>
                <w:szCs w:val="24"/>
              </w:rPr>
              <w:t>4</w:t>
            </w:r>
            <w:r>
              <w:rPr>
                <w:color w:val="303030"/>
                <w:szCs w:val="24"/>
              </w:rPr>
              <w:t>.</w:t>
            </w:r>
            <w:r w:rsidRPr="007B0DA4">
              <w:rPr>
                <w:color w:val="303030"/>
                <w:szCs w:val="24"/>
              </w:rPr>
              <w:t>8</w:t>
            </w:r>
          </w:p>
        </w:tc>
        <w:tc>
          <w:tcPr>
            <w:tcW w:w="2126" w:type="dxa"/>
          </w:tcPr>
          <w:p w14:paraId="387FEB6D" w14:textId="2E60402E" w:rsidR="005E6136" w:rsidRPr="00F41F74" w:rsidRDefault="005E6136" w:rsidP="005E6136">
            <w:pPr>
              <w:pStyle w:val="NormalWeb"/>
              <w:spacing w:before="240" w:beforeAutospacing="0" w:after="240" w:afterAutospacing="0"/>
              <w:ind w:right="-104"/>
              <w:jc w:val="center"/>
            </w:pPr>
            <w:r w:rsidRPr="007B0DA4">
              <w:rPr>
                <w:color w:val="303030"/>
                <w:szCs w:val="24"/>
              </w:rPr>
              <w:t>10</w:t>
            </w:r>
            <w:r>
              <w:rPr>
                <w:color w:val="303030"/>
                <w:szCs w:val="24"/>
              </w:rPr>
              <w:t>.</w:t>
            </w:r>
            <w:r w:rsidRPr="007B0DA4">
              <w:rPr>
                <w:color w:val="303030"/>
                <w:szCs w:val="24"/>
              </w:rPr>
              <w:t>9</w:t>
            </w:r>
          </w:p>
        </w:tc>
        <w:tc>
          <w:tcPr>
            <w:tcW w:w="4536" w:type="dxa"/>
          </w:tcPr>
          <w:p w14:paraId="1E778812" w14:textId="3D8AEC58" w:rsidR="005E6136" w:rsidRPr="00F41F74" w:rsidRDefault="005E6136" w:rsidP="005E6136">
            <w:pPr>
              <w:pStyle w:val="NormalWeb"/>
              <w:spacing w:before="240" w:beforeAutospacing="0" w:after="240" w:afterAutospacing="0"/>
            </w:pPr>
            <w:r w:rsidRPr="0059225F">
              <w:rPr>
                <w:color w:val="303030"/>
                <w:szCs w:val="24"/>
              </w:rPr>
              <w:t>Enhances soil humus content</w:t>
            </w:r>
          </w:p>
        </w:tc>
      </w:tr>
      <w:tr w:rsidR="005E6136" w:rsidRPr="00F41F74" w14:paraId="54F1C0D5" w14:textId="77777777" w:rsidTr="005E6136">
        <w:trPr>
          <w:jc w:val="center"/>
        </w:trPr>
        <w:tc>
          <w:tcPr>
            <w:tcW w:w="1337" w:type="dxa"/>
          </w:tcPr>
          <w:p w14:paraId="7A81E1FF" w14:textId="1599B853" w:rsidR="005E6136" w:rsidRPr="00F41F74" w:rsidRDefault="005E6136" w:rsidP="005E6136">
            <w:pPr>
              <w:pStyle w:val="NormalWeb"/>
              <w:spacing w:before="240" w:beforeAutospacing="0" w:after="240" w:afterAutospacing="0"/>
            </w:pPr>
            <w:r w:rsidRPr="007B0DA4">
              <w:rPr>
                <w:color w:val="303030"/>
                <w:szCs w:val="24"/>
              </w:rPr>
              <w:t>C/N</w:t>
            </w:r>
            <w:r>
              <w:rPr>
                <w:color w:val="303030"/>
                <w:szCs w:val="24"/>
              </w:rPr>
              <w:t xml:space="preserve"> ratio</w:t>
            </w:r>
          </w:p>
        </w:tc>
        <w:tc>
          <w:tcPr>
            <w:tcW w:w="926" w:type="dxa"/>
          </w:tcPr>
          <w:p w14:paraId="63C7F5EF" w14:textId="4540FF26" w:rsidR="005E6136" w:rsidRPr="00F41F74" w:rsidRDefault="005E6136" w:rsidP="005E6136">
            <w:pPr>
              <w:pStyle w:val="NormalWeb"/>
              <w:spacing w:before="240" w:beforeAutospacing="0" w:after="240" w:afterAutospacing="0"/>
              <w:jc w:val="center"/>
            </w:pPr>
            <w:r w:rsidRPr="007B0DA4">
              <w:rPr>
                <w:color w:val="303030"/>
                <w:szCs w:val="24"/>
              </w:rPr>
              <w:t>-</w:t>
            </w:r>
          </w:p>
        </w:tc>
        <w:tc>
          <w:tcPr>
            <w:tcW w:w="1843" w:type="dxa"/>
          </w:tcPr>
          <w:p w14:paraId="0932CD3C" w14:textId="69893B14" w:rsidR="005E6136" w:rsidRPr="00F41F74" w:rsidRDefault="005E6136" w:rsidP="005E6136">
            <w:pPr>
              <w:pStyle w:val="NormalWeb"/>
              <w:spacing w:before="240" w:beforeAutospacing="0" w:after="240" w:afterAutospacing="0"/>
              <w:jc w:val="center"/>
            </w:pPr>
            <w:r w:rsidRPr="007B0DA4">
              <w:rPr>
                <w:color w:val="303030"/>
                <w:szCs w:val="24"/>
              </w:rPr>
              <w:t>5</w:t>
            </w:r>
            <w:r>
              <w:rPr>
                <w:color w:val="303030"/>
                <w:szCs w:val="24"/>
              </w:rPr>
              <w:t>.</w:t>
            </w:r>
            <w:r w:rsidRPr="007B0DA4">
              <w:rPr>
                <w:color w:val="303030"/>
                <w:szCs w:val="24"/>
              </w:rPr>
              <w:t>2</w:t>
            </w:r>
          </w:p>
        </w:tc>
        <w:tc>
          <w:tcPr>
            <w:tcW w:w="2126" w:type="dxa"/>
          </w:tcPr>
          <w:p w14:paraId="7CF8307D" w14:textId="50AC6C25" w:rsidR="005E6136" w:rsidRPr="00F41F74" w:rsidRDefault="005E6136" w:rsidP="005E6136">
            <w:pPr>
              <w:pStyle w:val="NormalWeb"/>
              <w:spacing w:before="240" w:beforeAutospacing="0" w:after="240" w:afterAutospacing="0"/>
              <w:ind w:right="-104"/>
              <w:jc w:val="center"/>
            </w:pPr>
            <w:r w:rsidRPr="007B0DA4">
              <w:rPr>
                <w:color w:val="303030"/>
                <w:szCs w:val="24"/>
              </w:rPr>
              <w:t>19</w:t>
            </w:r>
            <w:r>
              <w:rPr>
                <w:color w:val="303030"/>
                <w:szCs w:val="24"/>
              </w:rPr>
              <w:t>.</w:t>
            </w:r>
            <w:r w:rsidRPr="007B0DA4">
              <w:rPr>
                <w:color w:val="303030"/>
                <w:szCs w:val="24"/>
              </w:rPr>
              <w:t>7</w:t>
            </w:r>
          </w:p>
        </w:tc>
        <w:tc>
          <w:tcPr>
            <w:tcW w:w="4536" w:type="dxa"/>
          </w:tcPr>
          <w:p w14:paraId="5869265E" w14:textId="01BDA747" w:rsidR="005E6136" w:rsidRPr="00F41F74" w:rsidRDefault="005E6136" w:rsidP="005E6136">
            <w:pPr>
              <w:pStyle w:val="NormalWeb"/>
              <w:spacing w:before="240" w:beforeAutospacing="0" w:after="240" w:afterAutospacing="0"/>
            </w:pPr>
            <w:r w:rsidRPr="0059225F">
              <w:rPr>
                <w:color w:val="303030"/>
                <w:szCs w:val="24"/>
              </w:rPr>
              <w:t>Achieves the perfect ideal threshold (15–20)</w:t>
            </w:r>
          </w:p>
        </w:tc>
      </w:tr>
    </w:tbl>
    <w:p w14:paraId="5425D723" w14:textId="5008EC24" w:rsidR="005E6136" w:rsidRPr="005E6136" w:rsidRDefault="005E6136" w:rsidP="005E6136">
      <w:pPr>
        <w:spacing w:before="240" w:after="240" w:line="240" w:lineRule="auto"/>
        <w:jc w:val="center"/>
        <w:rPr>
          <w:rFonts w:eastAsia="Times New Roman"/>
          <w:i/>
          <w:iCs/>
          <w:sz w:val="24"/>
        </w:rPr>
      </w:pPr>
      <w:r w:rsidRPr="005E6136">
        <w:rPr>
          <w:rFonts w:eastAsia="Times New Roman"/>
          <w:i/>
          <w:iCs/>
          <w:sz w:val="24"/>
        </w:rPr>
        <w:t>(Source: Compiled from An et al., 2024)</w:t>
      </w:r>
    </w:p>
    <w:p w14:paraId="3BEB50B0" w14:textId="02E47695" w:rsidR="005E6136" w:rsidRPr="00594748" w:rsidRDefault="005E6136" w:rsidP="005E6136">
      <w:pPr>
        <w:spacing w:before="240" w:after="240" w:line="240" w:lineRule="auto"/>
        <w:outlineLvl w:val="2"/>
        <w:rPr>
          <w:rFonts w:eastAsia="Times New Roman"/>
          <w:b/>
          <w:bCs/>
          <w:i/>
          <w:iCs/>
          <w:sz w:val="24"/>
        </w:rPr>
      </w:pPr>
      <w:r>
        <w:rPr>
          <w:rFonts w:eastAsia="Times New Roman"/>
          <w:b/>
          <w:bCs/>
          <w:i/>
          <w:iCs/>
          <w:sz w:val="24"/>
        </w:rPr>
        <w:t>4</w:t>
      </w:r>
      <w:r w:rsidRPr="00594748">
        <w:rPr>
          <w:rFonts w:eastAsia="Times New Roman"/>
          <w:b/>
          <w:bCs/>
          <w:i/>
          <w:iCs/>
          <w:sz w:val="24"/>
        </w:rPr>
        <w:t>.</w:t>
      </w:r>
      <w:r>
        <w:rPr>
          <w:rFonts w:eastAsia="Times New Roman"/>
          <w:b/>
          <w:bCs/>
          <w:i/>
          <w:iCs/>
          <w:sz w:val="24"/>
        </w:rPr>
        <w:t>2.</w:t>
      </w:r>
      <w:r>
        <w:rPr>
          <w:rFonts w:eastAsia="Times New Roman"/>
          <w:b/>
          <w:bCs/>
          <w:i/>
          <w:iCs/>
          <w:sz w:val="24"/>
        </w:rPr>
        <w:t>2</w:t>
      </w:r>
      <w:r w:rsidRPr="00594748">
        <w:rPr>
          <w:rFonts w:eastAsia="Times New Roman"/>
          <w:b/>
          <w:bCs/>
          <w:i/>
          <w:iCs/>
          <w:sz w:val="24"/>
        </w:rPr>
        <w:t xml:space="preserve"> </w:t>
      </w:r>
      <w:r w:rsidRPr="005E6136">
        <w:rPr>
          <w:rFonts w:eastAsia="Times New Roman"/>
          <w:b/>
          <w:bCs/>
          <w:i/>
          <w:iCs/>
          <w:sz w:val="24"/>
        </w:rPr>
        <w:t>Agronomic efficiency and salinity control challenges</w:t>
      </w:r>
    </w:p>
    <w:p w14:paraId="0A384B18" w14:textId="77777777" w:rsidR="005E6136" w:rsidRPr="005E6136" w:rsidRDefault="005E6136" w:rsidP="005E6136">
      <w:pPr>
        <w:spacing w:before="240" w:after="240" w:line="240" w:lineRule="auto"/>
        <w:jc w:val="both"/>
        <w:rPr>
          <w:rFonts w:eastAsia="Times New Roman"/>
          <w:sz w:val="24"/>
        </w:rPr>
      </w:pPr>
      <w:r w:rsidRPr="005E6136">
        <w:rPr>
          <w:rFonts w:eastAsia="Times New Roman"/>
          <w:sz w:val="24"/>
        </w:rPr>
        <w:t xml:space="preserve">From a practical standpoint, the ultimate objective of the circular economy is for recycled products to generate distinct residual value. Biological assessments utilizing shrimp-sludge-derived compost for cultivation trials on </w:t>
      </w:r>
      <w:proofErr w:type="spellStart"/>
      <w:r w:rsidRPr="005E6136">
        <w:rPr>
          <w:rFonts w:eastAsia="Times New Roman"/>
          <w:sz w:val="24"/>
        </w:rPr>
        <w:t>Looseleaf</w:t>
      </w:r>
      <w:proofErr w:type="spellEnd"/>
      <w:r w:rsidRPr="005E6136">
        <w:rPr>
          <w:rFonts w:eastAsia="Times New Roman"/>
          <w:sz w:val="24"/>
        </w:rPr>
        <w:t xml:space="preserve"> lettuce (</w:t>
      </w:r>
      <w:proofErr w:type="spellStart"/>
      <w:r w:rsidRPr="00D0513E">
        <w:rPr>
          <w:rFonts w:eastAsia="Times New Roman"/>
          <w:i/>
          <w:iCs/>
          <w:sz w:val="24"/>
        </w:rPr>
        <w:t>Lactuca</w:t>
      </w:r>
      <w:proofErr w:type="spellEnd"/>
      <w:r w:rsidRPr="00D0513E">
        <w:rPr>
          <w:rFonts w:eastAsia="Times New Roman"/>
          <w:i/>
          <w:iCs/>
          <w:sz w:val="24"/>
        </w:rPr>
        <w:t xml:space="preserve"> sativa</w:t>
      </w:r>
      <w:r w:rsidRPr="005E6136">
        <w:rPr>
          <w:rFonts w:eastAsia="Times New Roman"/>
          <w:sz w:val="24"/>
        </w:rPr>
        <w:t>) have yielded highly promising results.</w:t>
      </w:r>
    </w:p>
    <w:p w14:paraId="2CA59AB5" w14:textId="1D0F7009" w:rsidR="005E6136" w:rsidRPr="005E6136" w:rsidRDefault="005E6136" w:rsidP="005E6136">
      <w:pPr>
        <w:spacing w:before="240" w:after="240" w:line="240" w:lineRule="auto"/>
        <w:jc w:val="both"/>
        <w:rPr>
          <w:rFonts w:eastAsia="Times New Roman"/>
          <w:sz w:val="24"/>
        </w:rPr>
      </w:pPr>
      <w:r w:rsidRPr="005E6136">
        <w:rPr>
          <w:rFonts w:eastAsia="Times New Roman"/>
          <w:sz w:val="24"/>
        </w:rPr>
        <w:t xml:space="preserve">In a bioassay conducted by An et al. (2024) across different soil-compost blending treatments, biometric measurements after 45 days indicated that the treatment consisting of 80% baseline soil and 20% shrimp sludge compost promoted the most superior growth. Under this treatment, lettuce shoot length reached 12.8 </w:t>
      </w:r>
      <w:r w:rsidR="00D0513E">
        <w:rPr>
          <w:rFonts w:eastAsia="Times New Roman"/>
          <w:sz w:val="24"/>
        </w:rPr>
        <w:sym w:font="Symbol" w:char="F0B1"/>
      </w:r>
      <w:r w:rsidRPr="005E6136">
        <w:rPr>
          <w:rFonts w:eastAsia="Times New Roman"/>
          <w:sz w:val="24"/>
        </w:rPr>
        <w:t xml:space="preserve"> 0.2 cm and leaf length reached 6.1 </w:t>
      </w:r>
      <w:r w:rsidR="00D0513E">
        <w:rPr>
          <w:rFonts w:eastAsia="Times New Roman"/>
          <w:sz w:val="24"/>
        </w:rPr>
        <w:sym w:font="Symbol" w:char="F0B1"/>
      </w:r>
      <w:r w:rsidRPr="005E6136">
        <w:rPr>
          <w:rFonts w:eastAsia="Times New Roman"/>
          <w:sz w:val="24"/>
        </w:rPr>
        <w:t xml:space="preserve"> 0.3 cm, which were approximately 30% to 40% higher than the 100% baseline soil control (An et al., 2024). This vigorous growth is attributed to the superior moisture-retention characteristics of the organic fertilizer (enabled by the coconut coir matrix) alongside a continuous supply of macro-nutrients (N, P, K) in highly available forms, which enhances root proliferation and maximizes nutrient uptake.</w:t>
      </w:r>
    </w:p>
    <w:p w14:paraId="682CD410" w14:textId="77777777" w:rsidR="005E6136" w:rsidRPr="005E6136" w:rsidRDefault="005E6136" w:rsidP="005E6136">
      <w:pPr>
        <w:spacing w:before="240" w:after="240" w:line="240" w:lineRule="auto"/>
        <w:jc w:val="both"/>
        <w:rPr>
          <w:rFonts w:eastAsia="Times New Roman"/>
          <w:sz w:val="24"/>
        </w:rPr>
      </w:pPr>
      <w:r w:rsidRPr="005E6136">
        <w:rPr>
          <w:rFonts w:eastAsia="Times New Roman"/>
          <w:sz w:val="24"/>
        </w:rPr>
        <w:lastRenderedPageBreak/>
        <w:t>However, physicochemical analysis revealed that despite undergoing a 65-day composting and blending cycle, the EC value of the compost only decreased from 15.23 mS/cm to 12.00 mS/cm (An et al., 2024; Thao et al., 2024). In agronomy, an EC threshold exceeding 4 mS/cm initiates salinity stress in salt-sensitive crops. Applying excessive quantities of this compost (such as treatments exceeding 20% compost by volume) can induce root scorching, disrupt osmotic pressure, and inhibit water uptake, thereby restricting plant growth (An et al., 2024).</w:t>
      </w:r>
    </w:p>
    <w:p w14:paraId="1AD06080" w14:textId="77777777" w:rsidR="005E6136" w:rsidRPr="005E6136" w:rsidRDefault="005E6136" w:rsidP="005E6136">
      <w:pPr>
        <w:spacing w:before="240" w:after="240" w:line="240" w:lineRule="auto"/>
        <w:jc w:val="both"/>
        <w:rPr>
          <w:rFonts w:eastAsia="Times New Roman"/>
          <w:sz w:val="24"/>
        </w:rPr>
      </w:pPr>
      <w:r w:rsidRPr="005E6136">
        <w:rPr>
          <w:rFonts w:eastAsia="Times New Roman"/>
          <w:sz w:val="24"/>
        </w:rPr>
        <w:t>To overcome this salinity challenge, two strategies must be implemented when managing shrimp-sludge derived compost (Thao et al., 2024):</w:t>
      </w:r>
    </w:p>
    <w:p w14:paraId="4712DD8D" w14:textId="7F08BBF4" w:rsidR="005E6136" w:rsidRPr="005E6136" w:rsidRDefault="005E6136" w:rsidP="005E6136">
      <w:pPr>
        <w:pStyle w:val="ListParagraph"/>
        <w:numPr>
          <w:ilvl w:val="0"/>
          <w:numId w:val="32"/>
        </w:numPr>
        <w:spacing w:before="240" w:after="240" w:line="240" w:lineRule="auto"/>
        <w:jc w:val="both"/>
        <w:rPr>
          <w:rFonts w:eastAsia="Times New Roman"/>
          <w:sz w:val="24"/>
        </w:rPr>
      </w:pPr>
      <w:r w:rsidRPr="005E6136">
        <w:rPr>
          <w:rFonts w:eastAsia="Times New Roman"/>
          <w:sz w:val="24"/>
        </w:rPr>
        <w:t>Application dosage control: The compost should strictly be used as a micronutrient supplement and a soil conditioner to improve soil porosity at a low blending ratio (&lt; 20% of soil volume), and it must never be utilized as the primary growth medium.</w:t>
      </w:r>
    </w:p>
    <w:p w14:paraId="39CA35E7" w14:textId="618C5876" w:rsidR="005E6136" w:rsidRPr="005E6136" w:rsidRDefault="005E6136" w:rsidP="005E6136">
      <w:pPr>
        <w:pStyle w:val="ListParagraph"/>
        <w:numPr>
          <w:ilvl w:val="0"/>
          <w:numId w:val="32"/>
        </w:numPr>
        <w:spacing w:before="240" w:after="240" w:line="240" w:lineRule="auto"/>
        <w:jc w:val="both"/>
        <w:rPr>
          <w:rFonts w:eastAsia="Times New Roman"/>
          <w:sz w:val="24"/>
        </w:rPr>
      </w:pPr>
      <w:r w:rsidRPr="005E6136">
        <w:rPr>
          <w:rFonts w:eastAsia="Times New Roman"/>
          <w:sz w:val="24"/>
        </w:rPr>
        <w:t>Pre-treatment desalination (Leaching): For industrial-scale operations, a mechanism utilizing harvested rainwater can be deployed to leach salts from the pond bottom sludge (via 3 to 5 cycles of flooding and draining) over approximately 1.5 months prior to entering the composting system. This method has been proven to thoroughly mitigate salinity, lowering the EC to an absolute safe threshold for all crop species.</w:t>
      </w:r>
    </w:p>
    <w:p w14:paraId="4CD56C5B" w14:textId="1D82A3EE" w:rsidR="002E13E6" w:rsidRDefault="005E6136" w:rsidP="005E6136">
      <w:pPr>
        <w:spacing w:before="240" w:after="240" w:line="240" w:lineRule="auto"/>
        <w:jc w:val="both"/>
        <w:rPr>
          <w:rFonts w:eastAsia="Times New Roman"/>
          <w:sz w:val="24"/>
        </w:rPr>
      </w:pPr>
      <w:r w:rsidRPr="005E6136">
        <w:rPr>
          <w:rFonts w:eastAsia="Times New Roman"/>
          <w:sz w:val="24"/>
        </w:rPr>
        <w:t>Co-composting waste sludge from SISF ponds with coconut coir pith represents not only an ecological solution that eliminates tons of solid waste per crop, but also an economic avenue that generates direct financial value. LCC calculations indicate that farmers can capture a net benefit exceeding 780 VND for each kilogram of compost produced (Thang et al., 2024). Nevertheless, the success of this model depends entirely on precise control over physicochemical parameters, particularly the C/N ratio and salinity risk management.</w:t>
      </w:r>
    </w:p>
    <w:p w14:paraId="3EB64657" w14:textId="53CADD9C" w:rsidR="005E6136" w:rsidRPr="00177462" w:rsidRDefault="005E6136" w:rsidP="005E6136">
      <w:pPr>
        <w:pStyle w:val="ListParagraph"/>
        <w:numPr>
          <w:ilvl w:val="0"/>
          <w:numId w:val="1"/>
        </w:numPr>
        <w:spacing w:before="240" w:after="240" w:line="240" w:lineRule="auto"/>
        <w:jc w:val="both"/>
        <w:rPr>
          <w:rFonts w:eastAsia="Times New Roman"/>
          <w:sz w:val="28"/>
          <w:szCs w:val="28"/>
        </w:rPr>
      </w:pPr>
      <w:r w:rsidRPr="005E6136">
        <w:rPr>
          <w:rFonts w:eastAsia="Times New Roman"/>
          <w:b/>
          <w:bCs/>
          <w:sz w:val="28"/>
          <w:szCs w:val="28"/>
        </w:rPr>
        <w:t>COMPREHENSIVE SUSTAINABILITY ASSESSMENT: ENVIRONMENTAL, ENERGETIC, AND ECONOMIC PERSPECTIVES</w:t>
      </w:r>
    </w:p>
    <w:p w14:paraId="71B54D05" w14:textId="048D765A" w:rsidR="005E6136" w:rsidRPr="00F41F74" w:rsidRDefault="005E6136" w:rsidP="005E6136">
      <w:pPr>
        <w:spacing w:before="240" w:after="240" w:line="240" w:lineRule="auto"/>
        <w:outlineLvl w:val="2"/>
        <w:rPr>
          <w:rFonts w:eastAsia="Times New Roman"/>
          <w:b/>
          <w:bCs/>
          <w:sz w:val="24"/>
        </w:rPr>
      </w:pPr>
      <w:r>
        <w:rPr>
          <w:rFonts w:eastAsia="Times New Roman"/>
          <w:b/>
          <w:bCs/>
          <w:sz w:val="24"/>
        </w:rPr>
        <w:t>5</w:t>
      </w:r>
      <w:r w:rsidRPr="00F41F74">
        <w:rPr>
          <w:rFonts w:eastAsia="Times New Roman"/>
          <w:b/>
          <w:bCs/>
          <w:sz w:val="24"/>
        </w:rPr>
        <w:t xml:space="preserve">.1 </w:t>
      </w:r>
      <w:r w:rsidRPr="005E6136">
        <w:rPr>
          <w:rFonts w:eastAsia="Times New Roman"/>
          <w:b/>
          <w:bCs/>
          <w:sz w:val="24"/>
        </w:rPr>
        <w:t>Life Cycle Assessment and Carbon Footprint</w:t>
      </w:r>
    </w:p>
    <w:p w14:paraId="5358BBB7" w14:textId="62489247" w:rsidR="005E6136" w:rsidRPr="00594748" w:rsidRDefault="005E6136" w:rsidP="005E6136">
      <w:pPr>
        <w:spacing w:before="240" w:after="240" w:line="240" w:lineRule="auto"/>
        <w:outlineLvl w:val="2"/>
        <w:rPr>
          <w:rFonts w:eastAsia="Times New Roman"/>
          <w:b/>
          <w:bCs/>
          <w:i/>
          <w:iCs/>
          <w:sz w:val="24"/>
        </w:rPr>
      </w:pPr>
      <w:r>
        <w:rPr>
          <w:rFonts w:eastAsia="Times New Roman"/>
          <w:b/>
          <w:bCs/>
          <w:i/>
          <w:iCs/>
          <w:sz w:val="24"/>
        </w:rPr>
        <w:t>5</w:t>
      </w:r>
      <w:r w:rsidRPr="00594748">
        <w:rPr>
          <w:rFonts w:eastAsia="Times New Roman"/>
          <w:b/>
          <w:bCs/>
          <w:i/>
          <w:iCs/>
          <w:sz w:val="24"/>
        </w:rPr>
        <w:t>.1</w:t>
      </w:r>
      <w:r>
        <w:rPr>
          <w:rFonts w:eastAsia="Times New Roman"/>
          <w:b/>
          <w:bCs/>
          <w:i/>
          <w:iCs/>
          <w:sz w:val="24"/>
        </w:rPr>
        <w:t>.1</w:t>
      </w:r>
      <w:r w:rsidRPr="00594748">
        <w:rPr>
          <w:rFonts w:eastAsia="Times New Roman"/>
          <w:b/>
          <w:bCs/>
          <w:i/>
          <w:iCs/>
          <w:sz w:val="24"/>
        </w:rPr>
        <w:t xml:space="preserve"> </w:t>
      </w:r>
      <w:r w:rsidRPr="005E6136">
        <w:rPr>
          <w:rFonts w:eastAsia="Times New Roman"/>
          <w:b/>
          <w:bCs/>
          <w:i/>
          <w:iCs/>
          <w:sz w:val="24"/>
        </w:rPr>
        <w:t>Emission hotspots in SISF systems</w:t>
      </w:r>
    </w:p>
    <w:p w14:paraId="1528633A" w14:textId="77777777" w:rsidR="005E6136" w:rsidRPr="005E6136" w:rsidRDefault="005E6136" w:rsidP="005E6136">
      <w:pPr>
        <w:spacing w:before="240" w:after="240" w:line="240" w:lineRule="auto"/>
        <w:jc w:val="both"/>
        <w:rPr>
          <w:rFonts w:eastAsia="Times New Roman"/>
          <w:sz w:val="24"/>
        </w:rPr>
      </w:pPr>
      <w:r w:rsidRPr="005E6136">
        <w:rPr>
          <w:rFonts w:eastAsia="Times New Roman"/>
          <w:sz w:val="24"/>
        </w:rPr>
        <w:t>The transition toward the SISF model effectively resolves productivity constraints but introduces profound ecological challenges. Insights from Nguyen et al. (2019) regarding the sustainability of shrimp exports highlighted that high-density intensive model carry severe environmental risks due to their absolute dependence on energy subsidies and material inputs.</w:t>
      </w:r>
    </w:p>
    <w:p w14:paraId="49736F7A" w14:textId="77777777" w:rsidR="005E6136" w:rsidRPr="005E6136" w:rsidRDefault="005E6136" w:rsidP="005E6136">
      <w:pPr>
        <w:spacing w:before="240" w:after="240" w:line="240" w:lineRule="auto"/>
        <w:jc w:val="both"/>
        <w:rPr>
          <w:rFonts w:eastAsia="Times New Roman"/>
          <w:sz w:val="24"/>
        </w:rPr>
      </w:pPr>
      <w:r w:rsidRPr="005E6136">
        <w:rPr>
          <w:rFonts w:eastAsia="Times New Roman"/>
          <w:sz w:val="24"/>
        </w:rPr>
        <w:t>To elucidate this issue, an energy sustainability model analysis for the MD shrimp industry conducted by Tien et al. (2019) confirmed that the primary barrier facing SISF is its high energy consumption intensity. Inventory analysis indicated that to produce 1 kg of commercial shrimp, the system consumes 78–97 MJ of energy, which translates to a massive greenhouse gas (GHG) emission load of 5.7–7.7 kg of carbon dioxide equivalent (CO</w:t>
      </w:r>
      <w:r w:rsidRPr="00D0513E">
        <w:rPr>
          <w:rFonts w:eastAsia="Times New Roman"/>
          <w:sz w:val="24"/>
          <w:vertAlign w:val="subscript"/>
        </w:rPr>
        <w:t>2eq</w:t>
      </w:r>
      <w:r w:rsidRPr="005E6136">
        <w:rPr>
          <w:rFonts w:eastAsia="Times New Roman"/>
          <w:sz w:val="24"/>
        </w:rPr>
        <w:t>) (Thang et al., 2024).</w:t>
      </w:r>
    </w:p>
    <w:p w14:paraId="5C5E7A46" w14:textId="6C887921" w:rsidR="002E13E6" w:rsidRDefault="005E6136" w:rsidP="005E6136">
      <w:pPr>
        <w:spacing w:before="240" w:after="240" w:line="240" w:lineRule="auto"/>
        <w:jc w:val="both"/>
        <w:rPr>
          <w:rFonts w:eastAsia="Times New Roman"/>
          <w:sz w:val="24"/>
        </w:rPr>
      </w:pPr>
      <w:r w:rsidRPr="005E6136">
        <w:rPr>
          <w:rFonts w:eastAsia="Times New Roman"/>
          <w:sz w:val="24"/>
        </w:rPr>
        <w:t xml:space="preserve">Deconstructing the emission hotspots through the lens of material mass balance, Trang et al. (2022) and Thao et al. (2024) demonstrated that the primary drivers directly influencing the global warming potential originate from two sources: commercial feed manufacturing and electrical energy consumption. To maintain DO levels and continuous hydrodynamic circulation for ultra-high stocking densities, mechanical aeration systems must </w:t>
      </w:r>
      <w:r w:rsidRPr="005E6136">
        <w:rPr>
          <w:rFonts w:eastAsia="Times New Roman"/>
          <w:sz w:val="24"/>
        </w:rPr>
        <w:lastRenderedPageBreak/>
        <w:t>operate 24/7, accounting for up to 80% of the cumulative energy demand, followed by water pumping systems at approximately 10% (Tien et al., 2024). Utilizing the national electricity grid (which is characterized by a high carbon emission factor) causes operational electricity consumption to contribute approximately 30% of the total carbon footprint across the entire shrimp farming life cycle (Thang et al., 2024).</w:t>
      </w:r>
    </w:p>
    <w:p w14:paraId="3BFA0805" w14:textId="3D4758D7" w:rsidR="005E6136" w:rsidRPr="00594748" w:rsidRDefault="005E6136" w:rsidP="005E6136">
      <w:pPr>
        <w:spacing w:before="240" w:after="240" w:line="240" w:lineRule="auto"/>
        <w:outlineLvl w:val="2"/>
        <w:rPr>
          <w:rFonts w:eastAsia="Times New Roman"/>
          <w:b/>
          <w:bCs/>
          <w:i/>
          <w:iCs/>
          <w:sz w:val="24"/>
        </w:rPr>
      </w:pPr>
      <w:r>
        <w:rPr>
          <w:rFonts w:eastAsia="Times New Roman"/>
          <w:b/>
          <w:bCs/>
          <w:i/>
          <w:iCs/>
          <w:sz w:val="24"/>
        </w:rPr>
        <w:t>5</w:t>
      </w:r>
      <w:r w:rsidRPr="00594748">
        <w:rPr>
          <w:rFonts w:eastAsia="Times New Roman"/>
          <w:b/>
          <w:bCs/>
          <w:i/>
          <w:iCs/>
          <w:sz w:val="24"/>
        </w:rPr>
        <w:t>.1</w:t>
      </w:r>
      <w:r>
        <w:rPr>
          <w:rFonts w:eastAsia="Times New Roman"/>
          <w:b/>
          <w:bCs/>
          <w:i/>
          <w:iCs/>
          <w:sz w:val="24"/>
        </w:rPr>
        <w:t>.</w:t>
      </w:r>
      <w:r>
        <w:rPr>
          <w:rFonts w:eastAsia="Times New Roman"/>
          <w:b/>
          <w:bCs/>
          <w:i/>
          <w:iCs/>
          <w:sz w:val="24"/>
        </w:rPr>
        <w:t>2</w:t>
      </w:r>
      <w:r w:rsidRPr="00594748">
        <w:rPr>
          <w:rFonts w:eastAsia="Times New Roman"/>
          <w:b/>
          <w:bCs/>
          <w:i/>
          <w:iCs/>
          <w:sz w:val="24"/>
        </w:rPr>
        <w:t xml:space="preserve"> </w:t>
      </w:r>
      <w:r w:rsidRPr="005E6136">
        <w:rPr>
          <w:rFonts w:eastAsia="Times New Roman"/>
          <w:b/>
          <w:bCs/>
          <w:i/>
          <w:iCs/>
          <w:sz w:val="24"/>
        </w:rPr>
        <w:t>Carbon footprint of the waste recovery model</w:t>
      </w:r>
    </w:p>
    <w:p w14:paraId="3687A48F" w14:textId="094B743A" w:rsidR="002E13E6" w:rsidRDefault="00875046" w:rsidP="007124A6">
      <w:pPr>
        <w:spacing w:before="240" w:after="240" w:line="240" w:lineRule="auto"/>
        <w:jc w:val="both"/>
        <w:rPr>
          <w:rFonts w:eastAsia="Times New Roman"/>
          <w:sz w:val="24"/>
        </w:rPr>
      </w:pPr>
      <w:r w:rsidRPr="00875046">
        <w:rPr>
          <w:rFonts w:eastAsia="Times New Roman"/>
          <w:sz w:val="24"/>
        </w:rPr>
        <w:t>When implementing circular technologies (such as biological settling pond systems, composting, and biogas digesters), an academic skepticism often arises: Does the construction and operation of these ancillary components introduce an additional emission burden that negates the overall ecological benefits? A LCA conducted by Nguyen et al. (2024) on a wastewater and waste sludge recirculation system at a representative farm (2.5 ha) in Ca Mau quantified the total GHGs for the treatment stage at 4,823.54 kg CO</w:t>
      </w:r>
      <w:r w:rsidRPr="00875046">
        <w:rPr>
          <w:rFonts w:eastAsia="Times New Roman"/>
          <w:sz w:val="24"/>
          <w:vertAlign w:val="subscript"/>
        </w:rPr>
        <w:t>2</w:t>
      </w:r>
      <w:r w:rsidRPr="00875046">
        <w:rPr>
          <w:rFonts w:eastAsia="Times New Roman"/>
          <w:sz w:val="24"/>
        </w:rPr>
        <w:t>/crop (Figure 3).</w:t>
      </w:r>
    </w:p>
    <w:p w14:paraId="2018F15B" w14:textId="0E7919C0" w:rsidR="007124A6" w:rsidRDefault="00875046" w:rsidP="00875046">
      <w:pPr>
        <w:spacing w:before="240" w:after="240" w:line="240" w:lineRule="auto"/>
        <w:jc w:val="center"/>
        <w:rPr>
          <w:rFonts w:eastAsia="Times New Roman"/>
          <w:sz w:val="24"/>
        </w:rPr>
      </w:pPr>
      <w:r w:rsidRPr="003F3E7E">
        <w:rPr>
          <w:rFonts w:eastAsia="Times New Roman"/>
          <w:b/>
          <w:bCs/>
          <w:noProof/>
          <w:color w:val="303030"/>
          <w:sz w:val="24"/>
        </w:rPr>
        <w:drawing>
          <wp:inline distT="0" distB="0" distL="0" distR="0" wp14:anchorId="56DD8B27" wp14:editId="0C303E0C">
            <wp:extent cx="5730240" cy="2499360"/>
            <wp:effectExtent l="0" t="0" r="3810" b="0"/>
            <wp:docPr id="9" name="Picture 9" descr="A pie chart with different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e chart with different numbers&#10;&#10;Description automatically generated"/>
                    <pic:cNvPicPr/>
                  </pic:nvPicPr>
                  <pic:blipFill rotWithShape="1">
                    <a:blip r:embed="rId10"/>
                    <a:srcRect l="2437" t="6014" r="1091" b="11798"/>
                    <a:stretch/>
                  </pic:blipFill>
                  <pic:spPr bwMode="auto">
                    <a:xfrm>
                      <a:off x="0" y="0"/>
                      <a:ext cx="5730240" cy="2499360"/>
                    </a:xfrm>
                    <a:prstGeom prst="rect">
                      <a:avLst/>
                    </a:prstGeom>
                    <a:ln>
                      <a:noFill/>
                    </a:ln>
                    <a:extLst>
                      <a:ext uri="{53640926-AAD7-44D8-BBD7-CCE9431645EC}">
                        <a14:shadowObscured xmlns:a14="http://schemas.microsoft.com/office/drawing/2010/main"/>
                      </a:ext>
                    </a:extLst>
                  </pic:spPr>
                </pic:pic>
              </a:graphicData>
            </a:graphic>
          </wp:inline>
        </w:drawing>
      </w:r>
    </w:p>
    <w:p w14:paraId="3A80EC30" w14:textId="3096A3FF" w:rsidR="00875046" w:rsidRPr="007124A6" w:rsidRDefault="00875046" w:rsidP="00875046">
      <w:pPr>
        <w:spacing w:before="240" w:after="240" w:line="240" w:lineRule="auto"/>
        <w:jc w:val="center"/>
        <w:rPr>
          <w:rFonts w:eastAsia="Times New Roman"/>
          <w:sz w:val="24"/>
        </w:rPr>
      </w:pPr>
      <w:r w:rsidRPr="007124A6">
        <w:rPr>
          <w:rFonts w:eastAsia="Times New Roman"/>
          <w:b/>
          <w:bCs/>
          <w:sz w:val="24"/>
        </w:rPr>
        <w:t xml:space="preserve">Figure </w:t>
      </w:r>
      <w:r>
        <w:rPr>
          <w:rFonts w:eastAsia="Times New Roman"/>
          <w:b/>
          <w:bCs/>
          <w:sz w:val="24"/>
        </w:rPr>
        <w:t>3</w:t>
      </w:r>
      <w:r w:rsidRPr="007124A6">
        <w:rPr>
          <w:rFonts w:eastAsia="Times New Roman"/>
          <w:b/>
          <w:bCs/>
          <w:sz w:val="24"/>
        </w:rPr>
        <w:t>.</w:t>
      </w:r>
      <w:r w:rsidRPr="007124A6">
        <w:rPr>
          <w:rFonts w:eastAsia="Times New Roman"/>
          <w:sz w:val="24"/>
        </w:rPr>
        <w:t xml:space="preserve"> </w:t>
      </w:r>
      <w:r w:rsidRPr="00875046">
        <w:rPr>
          <w:rFonts w:eastAsia="Times New Roman"/>
          <w:sz w:val="24"/>
        </w:rPr>
        <w:t>CO</w:t>
      </w:r>
      <w:r w:rsidRPr="00875046">
        <w:rPr>
          <w:rFonts w:eastAsia="Times New Roman"/>
          <w:sz w:val="24"/>
          <w:vertAlign w:val="subscript"/>
        </w:rPr>
        <w:t>2</w:t>
      </w:r>
      <w:r w:rsidRPr="00875046">
        <w:rPr>
          <w:rFonts w:eastAsia="Times New Roman"/>
          <w:sz w:val="24"/>
        </w:rPr>
        <w:t xml:space="preserve"> emission inventory analysis of the water and waste sludge recovery system for super-intensive shrimp ponds per culture cycle</w:t>
      </w:r>
    </w:p>
    <w:p w14:paraId="7EF1C314" w14:textId="47120BA8" w:rsidR="00875046" w:rsidRPr="007124A6" w:rsidRDefault="00875046" w:rsidP="00875046">
      <w:pPr>
        <w:spacing w:before="240" w:after="240" w:line="240" w:lineRule="auto"/>
        <w:jc w:val="center"/>
        <w:rPr>
          <w:rFonts w:eastAsia="Times New Roman"/>
          <w:i/>
          <w:iCs/>
          <w:sz w:val="24"/>
        </w:rPr>
      </w:pPr>
      <w:r w:rsidRPr="007124A6">
        <w:rPr>
          <w:rFonts w:eastAsia="Times New Roman"/>
          <w:i/>
          <w:iCs/>
          <w:sz w:val="24"/>
        </w:rPr>
        <w:t xml:space="preserve">(Source: </w:t>
      </w:r>
      <w:r w:rsidRPr="00875046">
        <w:rPr>
          <w:rFonts w:eastAsia="Times New Roman"/>
          <w:i/>
          <w:iCs/>
          <w:sz w:val="24"/>
        </w:rPr>
        <w:t>Extracted and compiled from LCA data in Thang et al., 2024</w:t>
      </w:r>
      <w:r w:rsidRPr="007124A6">
        <w:rPr>
          <w:rFonts w:eastAsia="Times New Roman"/>
          <w:i/>
          <w:iCs/>
          <w:sz w:val="24"/>
        </w:rPr>
        <w:t>)</w:t>
      </w:r>
    </w:p>
    <w:p w14:paraId="4490AD85" w14:textId="5E5B15A7" w:rsidR="00875046" w:rsidRPr="00875046" w:rsidRDefault="00875046" w:rsidP="00875046">
      <w:pPr>
        <w:pStyle w:val="ListParagraph"/>
        <w:numPr>
          <w:ilvl w:val="0"/>
          <w:numId w:val="33"/>
        </w:numPr>
        <w:spacing w:before="240" w:after="240" w:line="240" w:lineRule="auto"/>
        <w:jc w:val="both"/>
        <w:rPr>
          <w:rFonts w:eastAsia="Times New Roman"/>
          <w:sz w:val="24"/>
        </w:rPr>
      </w:pPr>
      <w:r w:rsidRPr="00875046">
        <w:rPr>
          <w:rFonts w:eastAsia="Times New Roman"/>
          <w:sz w:val="24"/>
        </w:rPr>
        <w:t>Construction phase (Material sources): The utilization of HDPE geomembrane liners (accounting for 26.4% of the generated CO</w:t>
      </w:r>
      <w:r w:rsidRPr="00875046">
        <w:rPr>
          <w:rFonts w:eastAsia="Times New Roman"/>
          <w:sz w:val="24"/>
          <w:vertAlign w:val="subscript"/>
        </w:rPr>
        <w:t>2</w:t>
      </w:r>
      <w:r w:rsidRPr="00875046">
        <w:rPr>
          <w:rFonts w:eastAsia="Times New Roman"/>
          <w:sz w:val="24"/>
        </w:rPr>
        <w:t>), PVC piping, composite materials for the biogas digesters, and cement generates a notable emission load. However, in accordance with LCA amortization principles, these emissions are allocated exclusively to the initial culture cycle. As the system transitions into steady-state operation during subsequent years, the annualized CO</w:t>
      </w:r>
      <w:r w:rsidRPr="00875046">
        <w:rPr>
          <w:rFonts w:eastAsia="Times New Roman"/>
          <w:sz w:val="24"/>
          <w:vertAlign w:val="subscript"/>
        </w:rPr>
        <w:t>2</w:t>
      </w:r>
      <w:r w:rsidRPr="00875046">
        <w:rPr>
          <w:rFonts w:eastAsia="Times New Roman"/>
          <w:sz w:val="24"/>
        </w:rPr>
        <w:t xml:space="preserve"> contributions from this category approach zero (Thang et al., 2024).</w:t>
      </w:r>
    </w:p>
    <w:p w14:paraId="7D5DB17D" w14:textId="590B630D" w:rsidR="00875046" w:rsidRPr="00875046" w:rsidRDefault="00875046" w:rsidP="00875046">
      <w:pPr>
        <w:pStyle w:val="ListParagraph"/>
        <w:numPr>
          <w:ilvl w:val="0"/>
          <w:numId w:val="33"/>
        </w:numPr>
        <w:spacing w:before="240" w:after="240" w:line="240" w:lineRule="auto"/>
        <w:jc w:val="both"/>
        <w:rPr>
          <w:rFonts w:eastAsia="Times New Roman"/>
          <w:sz w:val="24"/>
        </w:rPr>
      </w:pPr>
      <w:r w:rsidRPr="00875046">
        <w:rPr>
          <w:rFonts w:eastAsia="Times New Roman"/>
          <w:sz w:val="24"/>
        </w:rPr>
        <w:t>Operational phase (Electricity consumption): The primary emission hotspot within the resource recovery system is the energy required to drive the recirculating hydrodynamics. Continuously operating the pumping system to recirculate a flow rate of 1,465.7 m</w:t>
      </w:r>
      <w:r w:rsidRPr="00875046">
        <w:rPr>
          <w:rFonts w:eastAsia="Times New Roman"/>
          <w:sz w:val="24"/>
          <w:vertAlign w:val="superscript"/>
        </w:rPr>
        <w:t>3</w:t>
      </w:r>
      <w:r w:rsidRPr="00875046">
        <w:rPr>
          <w:rFonts w:eastAsia="Times New Roman"/>
          <w:sz w:val="24"/>
        </w:rPr>
        <w:t>/day from the secondary biological pond back into the culture system generates an emission load of 1,420.62 kg CO</w:t>
      </w:r>
      <w:r w:rsidRPr="00875046">
        <w:rPr>
          <w:rFonts w:eastAsia="Times New Roman"/>
          <w:sz w:val="24"/>
          <w:vertAlign w:val="subscript"/>
        </w:rPr>
        <w:t>2</w:t>
      </w:r>
      <w:r w:rsidRPr="00875046">
        <w:rPr>
          <w:rFonts w:eastAsia="Times New Roman"/>
          <w:sz w:val="24"/>
        </w:rPr>
        <w:t>/crop, representing the highest share at 29.5% of the total treatment-stage emissions (Thang et al., 2024).</w:t>
      </w:r>
    </w:p>
    <w:p w14:paraId="0656FA34" w14:textId="0E6EF103" w:rsidR="00A3509C" w:rsidRDefault="00875046" w:rsidP="00875046">
      <w:pPr>
        <w:spacing w:before="240" w:after="240" w:line="240" w:lineRule="auto"/>
        <w:jc w:val="both"/>
        <w:rPr>
          <w:rFonts w:eastAsia="Times New Roman"/>
          <w:sz w:val="24"/>
        </w:rPr>
      </w:pPr>
      <w:r w:rsidRPr="00875046">
        <w:rPr>
          <w:rFonts w:eastAsia="Times New Roman"/>
          <w:sz w:val="24"/>
        </w:rPr>
        <w:t xml:space="preserve">Despite the recorded GHGs originating from the recirculation pumps, experts affirm that the cumulative emissions of this process remain substantially lower than the ecosystem damages inflicted by direct effluent discharge (Trang et al., 2022). More importantly, by applying a carbon offsetting mechanism derived from </w:t>
      </w:r>
      <w:r w:rsidRPr="00875046">
        <w:rPr>
          <w:rFonts w:eastAsia="Times New Roman"/>
          <w:sz w:val="24"/>
        </w:rPr>
        <w:lastRenderedPageBreak/>
        <w:t>utilizing the captured biogas to replace commercial liquefied petroleum gas (LPG) and reusing the compost product to substitute synthetic chemical fertilizers, the net carbon footprint of the entire circular configuration drops sharply, substantiating the superiority of the zero-discharge paradigm (Thao et al., 2024; Thang et al., 2024).</w:t>
      </w:r>
    </w:p>
    <w:p w14:paraId="07EBC3E4" w14:textId="7CB29968" w:rsidR="00875046" w:rsidRPr="00F41F74" w:rsidRDefault="00875046" w:rsidP="00875046">
      <w:pPr>
        <w:spacing w:before="240" w:after="240" w:line="240" w:lineRule="auto"/>
        <w:outlineLvl w:val="2"/>
        <w:rPr>
          <w:rFonts w:eastAsia="Times New Roman"/>
          <w:b/>
          <w:bCs/>
          <w:sz w:val="24"/>
        </w:rPr>
      </w:pPr>
      <w:r>
        <w:rPr>
          <w:rFonts w:eastAsia="Times New Roman"/>
          <w:b/>
          <w:bCs/>
          <w:sz w:val="24"/>
        </w:rPr>
        <w:t>5</w:t>
      </w:r>
      <w:r w:rsidRPr="00F41F74">
        <w:rPr>
          <w:rFonts w:eastAsia="Times New Roman"/>
          <w:b/>
          <w:bCs/>
          <w:sz w:val="24"/>
        </w:rPr>
        <w:t>.</w:t>
      </w:r>
      <w:r>
        <w:rPr>
          <w:rFonts w:eastAsia="Times New Roman"/>
          <w:b/>
          <w:bCs/>
          <w:sz w:val="24"/>
        </w:rPr>
        <w:t>2</w:t>
      </w:r>
      <w:r w:rsidRPr="00F41F74">
        <w:rPr>
          <w:rFonts w:eastAsia="Times New Roman"/>
          <w:b/>
          <w:bCs/>
          <w:sz w:val="24"/>
        </w:rPr>
        <w:t xml:space="preserve"> </w:t>
      </w:r>
      <w:r w:rsidRPr="00875046">
        <w:rPr>
          <w:rFonts w:eastAsia="Times New Roman"/>
          <w:b/>
          <w:bCs/>
          <w:sz w:val="24"/>
        </w:rPr>
        <w:t>Energetic and environmental efficiency of circular models</w:t>
      </w:r>
    </w:p>
    <w:p w14:paraId="7AC6C975" w14:textId="1D189A38" w:rsidR="00875046" w:rsidRPr="00594748" w:rsidRDefault="00875046" w:rsidP="00875046">
      <w:pPr>
        <w:spacing w:before="240" w:after="240" w:line="240" w:lineRule="auto"/>
        <w:outlineLvl w:val="2"/>
        <w:rPr>
          <w:rFonts w:eastAsia="Times New Roman"/>
          <w:b/>
          <w:bCs/>
          <w:i/>
          <w:iCs/>
          <w:sz w:val="24"/>
        </w:rPr>
      </w:pPr>
      <w:r>
        <w:rPr>
          <w:rFonts w:eastAsia="Times New Roman"/>
          <w:b/>
          <w:bCs/>
          <w:i/>
          <w:iCs/>
          <w:sz w:val="24"/>
        </w:rPr>
        <w:t>5</w:t>
      </w:r>
      <w:r w:rsidRPr="00594748">
        <w:rPr>
          <w:rFonts w:eastAsia="Times New Roman"/>
          <w:b/>
          <w:bCs/>
          <w:i/>
          <w:iCs/>
          <w:sz w:val="24"/>
        </w:rPr>
        <w:t>.</w:t>
      </w:r>
      <w:r>
        <w:rPr>
          <w:rFonts w:eastAsia="Times New Roman"/>
          <w:b/>
          <w:bCs/>
          <w:i/>
          <w:iCs/>
          <w:sz w:val="24"/>
        </w:rPr>
        <w:t>2</w:t>
      </w:r>
      <w:r>
        <w:rPr>
          <w:rFonts w:eastAsia="Times New Roman"/>
          <w:b/>
          <w:bCs/>
          <w:i/>
          <w:iCs/>
          <w:sz w:val="24"/>
        </w:rPr>
        <w:t>.1</w:t>
      </w:r>
      <w:r w:rsidRPr="00594748">
        <w:rPr>
          <w:rFonts w:eastAsia="Times New Roman"/>
          <w:b/>
          <w:bCs/>
          <w:i/>
          <w:iCs/>
          <w:sz w:val="24"/>
        </w:rPr>
        <w:t xml:space="preserve"> </w:t>
      </w:r>
      <w:r w:rsidRPr="00875046">
        <w:rPr>
          <w:rFonts w:eastAsia="Times New Roman"/>
          <w:b/>
          <w:bCs/>
          <w:i/>
          <w:iCs/>
          <w:sz w:val="24"/>
        </w:rPr>
        <w:t>Eco-energetic assessment and inventory across models</w:t>
      </w:r>
    </w:p>
    <w:p w14:paraId="20F43A1A" w14:textId="77777777" w:rsidR="00875046" w:rsidRPr="00875046" w:rsidRDefault="00875046" w:rsidP="00875046">
      <w:pPr>
        <w:spacing w:before="240" w:after="240" w:line="240" w:lineRule="auto"/>
        <w:jc w:val="both"/>
        <w:rPr>
          <w:rFonts w:eastAsia="Times New Roman"/>
          <w:sz w:val="24"/>
        </w:rPr>
      </w:pPr>
      <w:r w:rsidRPr="00875046">
        <w:rPr>
          <w:rFonts w:eastAsia="Times New Roman"/>
          <w:sz w:val="24"/>
        </w:rPr>
        <w:t>Eco-energetic inventory analyses have clearly deconstructed the substantial disparity in performance between the conventional linear model and the closed-loop circular model:</w:t>
      </w:r>
    </w:p>
    <w:p w14:paraId="5465C97E" w14:textId="4993A175" w:rsidR="00875046" w:rsidRPr="00875046" w:rsidRDefault="00875046" w:rsidP="00875046">
      <w:pPr>
        <w:pStyle w:val="ListParagraph"/>
        <w:numPr>
          <w:ilvl w:val="0"/>
          <w:numId w:val="34"/>
        </w:numPr>
        <w:spacing w:before="240" w:after="240" w:line="240" w:lineRule="auto"/>
        <w:jc w:val="both"/>
        <w:rPr>
          <w:rFonts w:eastAsia="Times New Roman"/>
          <w:sz w:val="24"/>
        </w:rPr>
      </w:pPr>
      <w:r w:rsidRPr="00875046">
        <w:rPr>
          <w:rFonts w:eastAsia="Times New Roman"/>
          <w:sz w:val="24"/>
        </w:rPr>
        <w:t>Linear SISF model (Conventional): To sustain growth rates under ultra-high stocking densities, the system demands massive feed inputs and continuous 24/7 mechanical aeration. According to a baseline assessment by Tien et al. (2024) across representative farms in the MD, the average energy use efficiency (the ratio of Energy Output / Energy Input) reached only 9.47. In this model, energy productivity was limited to a low level of 0.19 kg/MJ, the specific energy consumed to produce 1 kg of commercial shrimp was 5.58 MJ/kg, and the net surplus energy value generated by the system stood at 1,206,133 MJ/ha.</w:t>
      </w:r>
    </w:p>
    <w:p w14:paraId="735B44E4" w14:textId="7A2E3C86" w:rsidR="00875046" w:rsidRPr="00875046" w:rsidRDefault="00875046" w:rsidP="00875046">
      <w:pPr>
        <w:pStyle w:val="ListParagraph"/>
        <w:numPr>
          <w:ilvl w:val="0"/>
          <w:numId w:val="34"/>
        </w:numPr>
        <w:spacing w:before="240" w:after="240" w:line="240" w:lineRule="auto"/>
        <w:jc w:val="both"/>
        <w:rPr>
          <w:rFonts w:eastAsia="Times New Roman"/>
          <w:sz w:val="24"/>
        </w:rPr>
      </w:pPr>
      <w:r w:rsidRPr="00875046">
        <w:rPr>
          <w:rFonts w:eastAsia="Times New Roman"/>
          <w:sz w:val="24"/>
        </w:rPr>
        <w:t>Integrated circular SISF model: When the system transitions toward a closed-loop eco-circular framework (integrating biological treatment settling ponds for water recirculation and anaerobic digestion for waste sludge recycling), the performance profile exhibits a systemic breakthrough. Reclaiming biomethane to substitute heating fuels or grid electricity for cooking, coupled with reusing the recirculated water, profoundly optimizes the input energy flows. Experimental calculations by Tien et al. (2024) indicated that the energy use efficiency of this closed-loop ecosystem surged to 26.54 (approximately 2.8 times higher than the conventional model). Notably, energy productivity escalated sharply to 26.45 kg/MJ, specific energy intensity dropped drastically to an ultra-efficient level of just 0.04 MJ/kg, and the net energy surplus reached a massive 11,294,813 MJ/ha.</w:t>
      </w:r>
    </w:p>
    <w:p w14:paraId="6785D110" w14:textId="2D2D5F90" w:rsidR="00875046" w:rsidRPr="00875046" w:rsidRDefault="00875046" w:rsidP="00875046">
      <w:pPr>
        <w:spacing w:before="240" w:after="240" w:line="240" w:lineRule="auto"/>
        <w:outlineLvl w:val="2"/>
        <w:rPr>
          <w:rFonts w:eastAsia="Times New Roman"/>
          <w:b/>
          <w:bCs/>
          <w:i/>
          <w:iCs/>
          <w:sz w:val="24"/>
        </w:rPr>
      </w:pPr>
      <w:r w:rsidRPr="00875046">
        <w:rPr>
          <w:rFonts w:eastAsia="Times New Roman"/>
          <w:b/>
          <w:bCs/>
          <w:i/>
          <w:iCs/>
          <w:sz w:val="24"/>
        </w:rPr>
        <w:t>5.2.</w:t>
      </w:r>
      <w:r>
        <w:rPr>
          <w:rFonts w:eastAsia="Times New Roman"/>
          <w:b/>
          <w:bCs/>
          <w:i/>
          <w:iCs/>
          <w:sz w:val="24"/>
        </w:rPr>
        <w:t>2</w:t>
      </w:r>
      <w:r w:rsidRPr="00875046">
        <w:rPr>
          <w:rFonts w:eastAsia="Times New Roman"/>
          <w:b/>
          <w:bCs/>
          <w:i/>
          <w:iCs/>
          <w:sz w:val="24"/>
        </w:rPr>
        <w:t xml:space="preserve"> Environmental efficiency through the lens of material mass balance</w:t>
      </w:r>
    </w:p>
    <w:p w14:paraId="6C93EF5D" w14:textId="77777777" w:rsidR="00875046" w:rsidRPr="00875046" w:rsidRDefault="00875046" w:rsidP="00875046">
      <w:pPr>
        <w:spacing w:before="240" w:after="240" w:line="240" w:lineRule="auto"/>
        <w:jc w:val="both"/>
        <w:rPr>
          <w:rFonts w:eastAsia="Times New Roman"/>
          <w:sz w:val="24"/>
        </w:rPr>
      </w:pPr>
      <w:r w:rsidRPr="00875046">
        <w:rPr>
          <w:rFonts w:eastAsia="Times New Roman"/>
          <w:sz w:val="24"/>
        </w:rPr>
        <w:t>From the perspective of macro-environmental efficiency management, quantifying the surplus nutrient flows discharged into the environment is performed based on the principle of mass balance. By applying Data Envelopment Analysis mathematical modeling integrated with the mass balance principle across 230 farms in the MD, a study by Trang et al. (2022) revealed that the baseline environmental efficiency of the farms averaged only 19.52%, generating a surplus nutrient load of up to 1,216 kg/ha discharged directly into natural water bodies.</w:t>
      </w:r>
    </w:p>
    <w:p w14:paraId="0252AFE3" w14:textId="77777777" w:rsidR="00875046" w:rsidRPr="00875046" w:rsidRDefault="00875046" w:rsidP="00875046">
      <w:pPr>
        <w:spacing w:before="240" w:after="240" w:line="240" w:lineRule="auto"/>
        <w:jc w:val="both"/>
        <w:rPr>
          <w:rFonts w:eastAsia="Times New Roman"/>
          <w:sz w:val="24"/>
        </w:rPr>
      </w:pPr>
      <w:r w:rsidRPr="00875046">
        <w:rPr>
          <w:rFonts w:eastAsia="Times New Roman"/>
          <w:sz w:val="24"/>
        </w:rPr>
        <w:t xml:space="preserve">However, empirical analysis established a paradox of the SISF model exhibited an environmental efficiency index of up to 40%, which is significantly higher than the 23.27% of semi-intensive models and the 17.08% of conventional intensive models (Trang et al., 2022). This optimization is attributed to the deployment of high-tech solutions, such as </w:t>
      </w:r>
      <w:proofErr w:type="spellStart"/>
      <w:r w:rsidRPr="00875046">
        <w:rPr>
          <w:rFonts w:eastAsia="Times New Roman"/>
          <w:sz w:val="24"/>
        </w:rPr>
        <w:t>Biofloc</w:t>
      </w:r>
      <w:proofErr w:type="spellEnd"/>
      <w:r w:rsidRPr="00875046">
        <w:rPr>
          <w:rFonts w:eastAsia="Times New Roman"/>
          <w:sz w:val="24"/>
        </w:rPr>
        <w:t xml:space="preserve"> and closed-loop recirculating filtration systems, which enable proactive water quality control and improve shrimp feed utilization efficiency.</w:t>
      </w:r>
    </w:p>
    <w:p w14:paraId="28A347EF" w14:textId="39323690" w:rsidR="00875046" w:rsidRDefault="00875046" w:rsidP="00875046">
      <w:pPr>
        <w:spacing w:before="240" w:after="240" w:line="240" w:lineRule="auto"/>
        <w:jc w:val="both"/>
        <w:rPr>
          <w:rFonts w:eastAsia="Times New Roman"/>
          <w:sz w:val="24"/>
        </w:rPr>
      </w:pPr>
      <w:r w:rsidRPr="00875046">
        <w:rPr>
          <w:rFonts w:eastAsia="Times New Roman"/>
          <w:sz w:val="24"/>
        </w:rPr>
        <w:t xml:space="preserve">Nevertheless, the predictive model by Trang et al. (2022) also warned that stocking density exhibits a distinct negative correlation with environmental efficiency - meaning that higher densities accelerate the risk of nutrient </w:t>
      </w:r>
      <w:r w:rsidRPr="00875046">
        <w:rPr>
          <w:rFonts w:eastAsia="Times New Roman"/>
          <w:sz w:val="24"/>
        </w:rPr>
        <w:lastRenderedPageBreak/>
        <w:t>leakage. Consequently, incentivizing synchronized investment in ancillary anaerobic waste recovery facilities and achieving international certifications (</w:t>
      </w:r>
      <w:proofErr w:type="spellStart"/>
      <w:r w:rsidRPr="00875046">
        <w:rPr>
          <w:rFonts w:eastAsia="Times New Roman"/>
          <w:sz w:val="24"/>
        </w:rPr>
        <w:t>VietGAP</w:t>
      </w:r>
      <w:proofErr w:type="spellEnd"/>
      <w:r w:rsidRPr="00875046">
        <w:rPr>
          <w:rFonts w:eastAsia="Times New Roman"/>
          <w:sz w:val="24"/>
        </w:rPr>
        <w:t>, ASC, BAP) represent vital solutions for sustainable development, preventing SISF from transforming into concentrated point sources of pollution.</w:t>
      </w:r>
    </w:p>
    <w:p w14:paraId="6E988786" w14:textId="6F175223" w:rsidR="00875046" w:rsidRPr="00F41F74" w:rsidRDefault="00875046" w:rsidP="00875046">
      <w:pPr>
        <w:pStyle w:val="NormalWeb"/>
        <w:spacing w:before="240" w:beforeAutospacing="0" w:after="240" w:afterAutospacing="0"/>
        <w:jc w:val="center"/>
      </w:pPr>
      <w:r w:rsidRPr="00F41F74">
        <w:rPr>
          <w:rStyle w:val="Strong"/>
          <w:rFonts w:eastAsiaTheme="majorEastAsia"/>
        </w:rPr>
        <w:t xml:space="preserve">Table </w:t>
      </w:r>
      <w:r>
        <w:rPr>
          <w:rStyle w:val="Strong"/>
          <w:rFonts w:eastAsiaTheme="majorEastAsia"/>
        </w:rPr>
        <w:t>4</w:t>
      </w:r>
      <w:r w:rsidRPr="00F41F74">
        <w:rPr>
          <w:rStyle w:val="Strong"/>
          <w:rFonts w:eastAsiaTheme="majorEastAsia"/>
        </w:rPr>
        <w:t>.</w:t>
      </w:r>
      <w:r w:rsidRPr="00F41F74">
        <w:t xml:space="preserve"> </w:t>
      </w:r>
      <w:r w:rsidRPr="00875046">
        <w:t>Comparison of energy efficiency indices between the conventional SISF model and the closed-loop eco-circular SISF model</w:t>
      </w:r>
    </w:p>
    <w:tbl>
      <w:tblPr>
        <w:tblStyle w:val="TableGrid"/>
        <w:tblW w:w="10768" w:type="dxa"/>
        <w:jc w:val="center"/>
        <w:tblLook w:val="04A0" w:firstRow="1" w:lastRow="0" w:firstColumn="1" w:lastColumn="0" w:noHBand="0" w:noVBand="1"/>
      </w:tblPr>
      <w:tblGrid>
        <w:gridCol w:w="2405"/>
        <w:gridCol w:w="851"/>
        <w:gridCol w:w="1701"/>
        <w:gridCol w:w="1701"/>
        <w:gridCol w:w="4110"/>
      </w:tblGrid>
      <w:tr w:rsidR="007F5584" w:rsidRPr="00F41F74" w14:paraId="2C9FEA2F" w14:textId="77777777" w:rsidTr="007F5584">
        <w:trPr>
          <w:tblHeader/>
          <w:jc w:val="center"/>
        </w:trPr>
        <w:tc>
          <w:tcPr>
            <w:tcW w:w="2405" w:type="dxa"/>
          </w:tcPr>
          <w:p w14:paraId="6C9421FA" w14:textId="2221E475" w:rsidR="007F5584" w:rsidRPr="00F41F74" w:rsidRDefault="007F5584" w:rsidP="007F5584">
            <w:pPr>
              <w:pStyle w:val="NormalWeb"/>
              <w:spacing w:before="240" w:beforeAutospacing="0" w:after="240" w:afterAutospacing="0"/>
              <w:jc w:val="center"/>
              <w:rPr>
                <w:szCs w:val="24"/>
              </w:rPr>
            </w:pPr>
            <w:r w:rsidRPr="00221EBB">
              <w:rPr>
                <w:b/>
                <w:bCs/>
                <w:color w:val="303030"/>
                <w:szCs w:val="24"/>
              </w:rPr>
              <w:t>Energy assessment index</w:t>
            </w:r>
          </w:p>
        </w:tc>
        <w:tc>
          <w:tcPr>
            <w:tcW w:w="851" w:type="dxa"/>
          </w:tcPr>
          <w:p w14:paraId="09E86F3B" w14:textId="094619A6" w:rsidR="007F5584" w:rsidRPr="00F41F74" w:rsidRDefault="007F5584" w:rsidP="007F5584">
            <w:pPr>
              <w:pStyle w:val="NormalWeb"/>
              <w:spacing w:before="240" w:beforeAutospacing="0" w:after="240" w:afterAutospacing="0"/>
              <w:jc w:val="center"/>
              <w:rPr>
                <w:szCs w:val="24"/>
              </w:rPr>
            </w:pPr>
            <w:r>
              <w:rPr>
                <w:b/>
                <w:bCs/>
                <w:color w:val="303030"/>
                <w:szCs w:val="24"/>
              </w:rPr>
              <w:t>Unit</w:t>
            </w:r>
          </w:p>
        </w:tc>
        <w:tc>
          <w:tcPr>
            <w:tcW w:w="1701" w:type="dxa"/>
          </w:tcPr>
          <w:p w14:paraId="34FFE434" w14:textId="6152B12C" w:rsidR="007F5584" w:rsidRPr="00F41F74" w:rsidRDefault="007F5584" w:rsidP="007F5584">
            <w:pPr>
              <w:pStyle w:val="NormalWeb"/>
              <w:spacing w:before="240" w:beforeAutospacing="0" w:after="240" w:afterAutospacing="0"/>
              <w:jc w:val="center"/>
              <w:rPr>
                <w:szCs w:val="24"/>
              </w:rPr>
            </w:pPr>
            <w:r w:rsidRPr="00221EBB">
              <w:rPr>
                <w:b/>
                <w:bCs/>
                <w:color w:val="303030"/>
                <w:szCs w:val="24"/>
              </w:rPr>
              <w:t xml:space="preserve">Conventional SISF </w:t>
            </w:r>
            <w:r>
              <w:rPr>
                <w:b/>
                <w:bCs/>
                <w:color w:val="303030"/>
                <w:szCs w:val="24"/>
              </w:rPr>
              <w:t>m</w:t>
            </w:r>
            <w:r w:rsidRPr="00221EBB">
              <w:rPr>
                <w:b/>
                <w:bCs/>
                <w:color w:val="303030"/>
                <w:szCs w:val="24"/>
              </w:rPr>
              <w:t>odel</w:t>
            </w:r>
          </w:p>
        </w:tc>
        <w:tc>
          <w:tcPr>
            <w:tcW w:w="1701" w:type="dxa"/>
          </w:tcPr>
          <w:p w14:paraId="57E27A74" w14:textId="3C63C3D8" w:rsidR="007F5584" w:rsidRPr="00F41F74" w:rsidRDefault="007F5584" w:rsidP="007F5584">
            <w:pPr>
              <w:pStyle w:val="NormalWeb"/>
              <w:spacing w:before="240" w:beforeAutospacing="0" w:after="240" w:afterAutospacing="0"/>
              <w:ind w:left="-113" w:right="-105"/>
              <w:jc w:val="center"/>
              <w:rPr>
                <w:szCs w:val="24"/>
              </w:rPr>
            </w:pPr>
            <w:r w:rsidRPr="00221EBB">
              <w:rPr>
                <w:b/>
                <w:bCs/>
                <w:color w:val="303030"/>
                <w:szCs w:val="24"/>
              </w:rPr>
              <w:t>Eco-</w:t>
            </w:r>
            <w:r>
              <w:rPr>
                <w:b/>
                <w:bCs/>
                <w:color w:val="303030"/>
                <w:szCs w:val="24"/>
              </w:rPr>
              <w:t>c</w:t>
            </w:r>
            <w:r w:rsidRPr="00221EBB">
              <w:rPr>
                <w:b/>
                <w:bCs/>
                <w:color w:val="303030"/>
                <w:szCs w:val="24"/>
              </w:rPr>
              <w:t xml:space="preserve">ircular SISF </w:t>
            </w:r>
            <w:r>
              <w:rPr>
                <w:b/>
                <w:bCs/>
                <w:color w:val="303030"/>
                <w:szCs w:val="24"/>
              </w:rPr>
              <w:t>m</w:t>
            </w:r>
            <w:r w:rsidRPr="00221EBB">
              <w:rPr>
                <w:b/>
                <w:bCs/>
                <w:color w:val="303030"/>
                <w:szCs w:val="24"/>
              </w:rPr>
              <w:t>odel</w:t>
            </w:r>
          </w:p>
        </w:tc>
        <w:tc>
          <w:tcPr>
            <w:tcW w:w="4110" w:type="dxa"/>
          </w:tcPr>
          <w:p w14:paraId="26808CA2" w14:textId="5A5D0DA8" w:rsidR="007F5584" w:rsidRPr="00F41F74" w:rsidRDefault="007F5584" w:rsidP="007F5584">
            <w:pPr>
              <w:pStyle w:val="NormalWeb"/>
              <w:spacing w:before="240" w:beforeAutospacing="0" w:after="240" w:afterAutospacing="0"/>
              <w:jc w:val="center"/>
              <w:rPr>
                <w:szCs w:val="24"/>
              </w:rPr>
            </w:pPr>
            <w:r w:rsidRPr="00221EBB">
              <w:rPr>
                <w:b/>
                <w:bCs/>
                <w:color w:val="303030"/>
                <w:szCs w:val="24"/>
              </w:rPr>
              <w:t xml:space="preserve">Improvement </w:t>
            </w:r>
            <w:r>
              <w:rPr>
                <w:b/>
                <w:bCs/>
                <w:color w:val="303030"/>
                <w:szCs w:val="24"/>
              </w:rPr>
              <w:t>a</w:t>
            </w:r>
            <w:r w:rsidRPr="00221EBB">
              <w:rPr>
                <w:b/>
                <w:bCs/>
                <w:color w:val="303030"/>
                <w:szCs w:val="24"/>
              </w:rPr>
              <w:t>ssessment</w:t>
            </w:r>
          </w:p>
        </w:tc>
      </w:tr>
      <w:tr w:rsidR="007F5584" w:rsidRPr="00F41F74" w14:paraId="17B21F62" w14:textId="77777777" w:rsidTr="007F5584">
        <w:trPr>
          <w:jc w:val="center"/>
        </w:trPr>
        <w:tc>
          <w:tcPr>
            <w:tcW w:w="2405" w:type="dxa"/>
          </w:tcPr>
          <w:p w14:paraId="0DE7E3EB" w14:textId="2C3204B6" w:rsidR="007F5584" w:rsidRPr="00F41F74" w:rsidRDefault="007F5584" w:rsidP="007F5584">
            <w:pPr>
              <w:pStyle w:val="NormalWeb"/>
              <w:spacing w:before="240" w:beforeAutospacing="0" w:after="240" w:afterAutospacing="0"/>
              <w:jc w:val="left"/>
              <w:rPr>
                <w:szCs w:val="24"/>
              </w:rPr>
            </w:pPr>
            <w:r w:rsidRPr="00221EBB">
              <w:rPr>
                <w:color w:val="303030"/>
                <w:szCs w:val="24"/>
              </w:rPr>
              <w:t>Energy use efficiency</w:t>
            </w:r>
          </w:p>
        </w:tc>
        <w:tc>
          <w:tcPr>
            <w:tcW w:w="851" w:type="dxa"/>
          </w:tcPr>
          <w:p w14:paraId="141F75DB" w14:textId="15EB8546" w:rsidR="007F5584" w:rsidRPr="00F41F74" w:rsidRDefault="007F5584" w:rsidP="007F5584">
            <w:pPr>
              <w:pStyle w:val="NormalWeb"/>
              <w:spacing w:before="240" w:beforeAutospacing="0" w:after="240" w:afterAutospacing="0"/>
              <w:jc w:val="center"/>
              <w:rPr>
                <w:szCs w:val="24"/>
              </w:rPr>
            </w:pPr>
            <w:r>
              <w:rPr>
                <w:color w:val="303030"/>
                <w:szCs w:val="24"/>
              </w:rPr>
              <w:t>fold</w:t>
            </w:r>
          </w:p>
        </w:tc>
        <w:tc>
          <w:tcPr>
            <w:tcW w:w="1701" w:type="dxa"/>
          </w:tcPr>
          <w:p w14:paraId="15F910FA" w14:textId="07648907" w:rsidR="007F5584" w:rsidRPr="00F41F74" w:rsidRDefault="007F5584" w:rsidP="007F5584">
            <w:pPr>
              <w:pStyle w:val="NormalWeb"/>
              <w:spacing w:before="240" w:beforeAutospacing="0" w:after="240" w:afterAutospacing="0"/>
              <w:jc w:val="center"/>
              <w:rPr>
                <w:szCs w:val="24"/>
              </w:rPr>
            </w:pPr>
            <w:r w:rsidRPr="00FD0F5D">
              <w:rPr>
                <w:color w:val="303030"/>
                <w:szCs w:val="24"/>
              </w:rPr>
              <w:t>9,47</w:t>
            </w:r>
          </w:p>
        </w:tc>
        <w:tc>
          <w:tcPr>
            <w:tcW w:w="1701" w:type="dxa"/>
          </w:tcPr>
          <w:p w14:paraId="0F0D0610" w14:textId="36E986AB" w:rsidR="007F5584" w:rsidRPr="00F41F74" w:rsidRDefault="007F5584" w:rsidP="007F5584">
            <w:pPr>
              <w:pStyle w:val="NormalWeb"/>
              <w:spacing w:before="240" w:beforeAutospacing="0" w:after="240" w:afterAutospacing="0"/>
              <w:jc w:val="center"/>
              <w:rPr>
                <w:szCs w:val="24"/>
              </w:rPr>
            </w:pPr>
            <w:r w:rsidRPr="00FD0F5D">
              <w:rPr>
                <w:color w:val="303030"/>
                <w:szCs w:val="24"/>
              </w:rPr>
              <w:t>26,54</w:t>
            </w:r>
          </w:p>
        </w:tc>
        <w:tc>
          <w:tcPr>
            <w:tcW w:w="4110" w:type="dxa"/>
          </w:tcPr>
          <w:p w14:paraId="01AE52FB" w14:textId="37E01FA5" w:rsidR="007F5584" w:rsidRPr="00F41F74" w:rsidRDefault="007F5584" w:rsidP="007F5584">
            <w:pPr>
              <w:pStyle w:val="NormalWeb"/>
              <w:spacing w:before="240" w:beforeAutospacing="0" w:after="240" w:afterAutospacing="0"/>
              <w:ind w:right="-105"/>
              <w:jc w:val="left"/>
              <w:rPr>
                <w:szCs w:val="24"/>
              </w:rPr>
            </w:pPr>
            <w:r w:rsidRPr="00EA1EF2">
              <w:rPr>
                <w:color w:val="303030"/>
                <w:szCs w:val="24"/>
              </w:rPr>
              <w:t>Increased by ~2.8-fold</w:t>
            </w:r>
          </w:p>
        </w:tc>
      </w:tr>
      <w:tr w:rsidR="007F5584" w:rsidRPr="00F41F74" w14:paraId="74AB82C3" w14:textId="77777777" w:rsidTr="007F5584">
        <w:trPr>
          <w:jc w:val="center"/>
        </w:trPr>
        <w:tc>
          <w:tcPr>
            <w:tcW w:w="2405" w:type="dxa"/>
          </w:tcPr>
          <w:p w14:paraId="276AAEEC" w14:textId="2C2AC865" w:rsidR="007F5584" w:rsidRPr="00F41F74" w:rsidRDefault="007F5584" w:rsidP="007F5584">
            <w:pPr>
              <w:pStyle w:val="NormalWeb"/>
              <w:spacing w:before="240" w:beforeAutospacing="0" w:after="240" w:afterAutospacing="0"/>
              <w:ind w:right="-109"/>
              <w:jc w:val="left"/>
              <w:rPr>
                <w:szCs w:val="24"/>
              </w:rPr>
            </w:pPr>
            <w:r w:rsidRPr="00221EBB">
              <w:rPr>
                <w:color w:val="303030"/>
                <w:szCs w:val="24"/>
              </w:rPr>
              <w:t xml:space="preserve">Energy </w:t>
            </w:r>
            <w:r>
              <w:rPr>
                <w:color w:val="303030"/>
                <w:szCs w:val="24"/>
              </w:rPr>
              <w:t>p</w:t>
            </w:r>
            <w:r w:rsidRPr="00221EBB">
              <w:rPr>
                <w:color w:val="303030"/>
                <w:szCs w:val="24"/>
              </w:rPr>
              <w:t>roductivity</w:t>
            </w:r>
          </w:p>
        </w:tc>
        <w:tc>
          <w:tcPr>
            <w:tcW w:w="851" w:type="dxa"/>
          </w:tcPr>
          <w:p w14:paraId="42C566AE" w14:textId="0056A12A" w:rsidR="007F5584" w:rsidRPr="00F41F74" w:rsidRDefault="007F5584" w:rsidP="007F5584">
            <w:pPr>
              <w:pStyle w:val="NormalWeb"/>
              <w:spacing w:before="240" w:beforeAutospacing="0" w:after="240" w:afterAutospacing="0"/>
              <w:ind w:left="-110" w:right="-107"/>
              <w:jc w:val="center"/>
              <w:rPr>
                <w:szCs w:val="24"/>
              </w:rPr>
            </w:pPr>
            <w:r w:rsidRPr="00FD0F5D">
              <w:rPr>
                <w:color w:val="303030"/>
                <w:szCs w:val="24"/>
              </w:rPr>
              <w:t>kg/MJ</w:t>
            </w:r>
          </w:p>
        </w:tc>
        <w:tc>
          <w:tcPr>
            <w:tcW w:w="1701" w:type="dxa"/>
          </w:tcPr>
          <w:p w14:paraId="2A00FDF9" w14:textId="16716CE7" w:rsidR="007F5584" w:rsidRPr="00F41F74" w:rsidRDefault="007F5584" w:rsidP="007F5584">
            <w:pPr>
              <w:pStyle w:val="NormalWeb"/>
              <w:spacing w:before="240" w:beforeAutospacing="0" w:after="240" w:afterAutospacing="0"/>
              <w:jc w:val="center"/>
              <w:rPr>
                <w:szCs w:val="24"/>
              </w:rPr>
            </w:pPr>
            <w:r w:rsidRPr="00FD0F5D">
              <w:rPr>
                <w:color w:val="303030"/>
                <w:szCs w:val="24"/>
              </w:rPr>
              <w:t>0,19</w:t>
            </w:r>
          </w:p>
        </w:tc>
        <w:tc>
          <w:tcPr>
            <w:tcW w:w="1701" w:type="dxa"/>
          </w:tcPr>
          <w:p w14:paraId="031C0E5B" w14:textId="186B8694" w:rsidR="007F5584" w:rsidRPr="00F41F74" w:rsidRDefault="007F5584" w:rsidP="007F5584">
            <w:pPr>
              <w:pStyle w:val="NormalWeb"/>
              <w:spacing w:before="240" w:beforeAutospacing="0" w:after="240" w:afterAutospacing="0"/>
              <w:jc w:val="center"/>
              <w:rPr>
                <w:szCs w:val="24"/>
              </w:rPr>
            </w:pPr>
            <w:r w:rsidRPr="00FD0F5D">
              <w:rPr>
                <w:color w:val="303030"/>
                <w:szCs w:val="24"/>
              </w:rPr>
              <w:t>26,45</w:t>
            </w:r>
          </w:p>
        </w:tc>
        <w:tc>
          <w:tcPr>
            <w:tcW w:w="4110" w:type="dxa"/>
          </w:tcPr>
          <w:p w14:paraId="665F64D1" w14:textId="7016A77F" w:rsidR="007F5584" w:rsidRPr="00F41F74" w:rsidRDefault="007F5584" w:rsidP="007F5584">
            <w:pPr>
              <w:pStyle w:val="NormalWeb"/>
              <w:spacing w:before="240" w:beforeAutospacing="0" w:after="240" w:afterAutospacing="0"/>
              <w:jc w:val="left"/>
              <w:rPr>
                <w:szCs w:val="24"/>
              </w:rPr>
            </w:pPr>
            <w:r w:rsidRPr="00EA1EF2">
              <w:rPr>
                <w:color w:val="303030"/>
                <w:szCs w:val="24"/>
              </w:rPr>
              <w:t>Breakthrough increase driven by by-product recovery</w:t>
            </w:r>
          </w:p>
        </w:tc>
      </w:tr>
      <w:tr w:rsidR="007F5584" w:rsidRPr="00F41F74" w14:paraId="7F49964D" w14:textId="77777777" w:rsidTr="007F5584">
        <w:trPr>
          <w:jc w:val="center"/>
        </w:trPr>
        <w:tc>
          <w:tcPr>
            <w:tcW w:w="2405" w:type="dxa"/>
          </w:tcPr>
          <w:p w14:paraId="72C465B4" w14:textId="3024AD54" w:rsidR="007F5584" w:rsidRPr="00F41F74" w:rsidRDefault="007F5584" w:rsidP="007F5584">
            <w:pPr>
              <w:pStyle w:val="NormalWeb"/>
              <w:spacing w:before="240" w:beforeAutospacing="0" w:after="240" w:afterAutospacing="0"/>
              <w:jc w:val="left"/>
              <w:rPr>
                <w:szCs w:val="24"/>
              </w:rPr>
            </w:pPr>
            <w:r w:rsidRPr="00221EBB">
              <w:rPr>
                <w:color w:val="303030"/>
                <w:szCs w:val="24"/>
              </w:rPr>
              <w:t xml:space="preserve">Specific </w:t>
            </w:r>
            <w:r>
              <w:rPr>
                <w:color w:val="303030"/>
                <w:szCs w:val="24"/>
              </w:rPr>
              <w:t>e</w:t>
            </w:r>
            <w:r w:rsidRPr="00221EBB">
              <w:rPr>
                <w:color w:val="303030"/>
                <w:szCs w:val="24"/>
              </w:rPr>
              <w:t>nergy</w:t>
            </w:r>
          </w:p>
        </w:tc>
        <w:tc>
          <w:tcPr>
            <w:tcW w:w="851" w:type="dxa"/>
          </w:tcPr>
          <w:p w14:paraId="737E95C3" w14:textId="0A1A34AE" w:rsidR="007F5584" w:rsidRPr="00F41F74" w:rsidRDefault="007F5584" w:rsidP="007F5584">
            <w:pPr>
              <w:pStyle w:val="NormalWeb"/>
              <w:spacing w:before="240" w:beforeAutospacing="0" w:after="240" w:afterAutospacing="0"/>
              <w:jc w:val="center"/>
              <w:rPr>
                <w:szCs w:val="24"/>
              </w:rPr>
            </w:pPr>
            <w:r w:rsidRPr="00FD0F5D">
              <w:rPr>
                <w:color w:val="303030"/>
                <w:szCs w:val="24"/>
              </w:rPr>
              <w:t>MJ/kg</w:t>
            </w:r>
          </w:p>
        </w:tc>
        <w:tc>
          <w:tcPr>
            <w:tcW w:w="1701" w:type="dxa"/>
          </w:tcPr>
          <w:p w14:paraId="5A443EEB" w14:textId="2A639D6D" w:rsidR="007F5584" w:rsidRPr="00F41F74" w:rsidRDefault="007F5584" w:rsidP="007F5584">
            <w:pPr>
              <w:pStyle w:val="NormalWeb"/>
              <w:spacing w:before="240" w:beforeAutospacing="0" w:after="240" w:afterAutospacing="0"/>
              <w:jc w:val="center"/>
              <w:rPr>
                <w:szCs w:val="24"/>
              </w:rPr>
            </w:pPr>
            <w:r w:rsidRPr="00FD0F5D">
              <w:rPr>
                <w:color w:val="303030"/>
                <w:szCs w:val="24"/>
              </w:rPr>
              <w:t>5,58</w:t>
            </w:r>
          </w:p>
        </w:tc>
        <w:tc>
          <w:tcPr>
            <w:tcW w:w="1701" w:type="dxa"/>
          </w:tcPr>
          <w:p w14:paraId="072E9890" w14:textId="4A9B2A80" w:rsidR="007F5584" w:rsidRPr="00F41F74" w:rsidRDefault="007F5584" w:rsidP="007F5584">
            <w:pPr>
              <w:pStyle w:val="NormalWeb"/>
              <w:spacing w:before="240" w:beforeAutospacing="0" w:after="240" w:afterAutospacing="0"/>
              <w:ind w:right="-104"/>
              <w:jc w:val="center"/>
              <w:rPr>
                <w:szCs w:val="24"/>
              </w:rPr>
            </w:pPr>
            <w:r w:rsidRPr="00FD0F5D">
              <w:rPr>
                <w:color w:val="303030"/>
                <w:szCs w:val="24"/>
              </w:rPr>
              <w:t>0,04</w:t>
            </w:r>
          </w:p>
        </w:tc>
        <w:tc>
          <w:tcPr>
            <w:tcW w:w="4110" w:type="dxa"/>
          </w:tcPr>
          <w:p w14:paraId="219F81F7" w14:textId="3DBA4A6A" w:rsidR="007F5584" w:rsidRPr="00F41F74" w:rsidRDefault="007F5584" w:rsidP="007F5584">
            <w:pPr>
              <w:pStyle w:val="NormalWeb"/>
              <w:spacing w:before="240" w:beforeAutospacing="0" w:after="240" w:afterAutospacing="0"/>
              <w:jc w:val="left"/>
              <w:rPr>
                <w:szCs w:val="24"/>
              </w:rPr>
            </w:pPr>
            <w:r w:rsidRPr="00EA1EF2">
              <w:rPr>
                <w:color w:val="303030"/>
                <w:szCs w:val="24"/>
              </w:rPr>
              <w:t>Drastic reduction in energy consumption intensity per kg of shrimp</w:t>
            </w:r>
          </w:p>
        </w:tc>
      </w:tr>
      <w:tr w:rsidR="007F5584" w:rsidRPr="00F41F74" w14:paraId="217D447C" w14:textId="77777777" w:rsidTr="007F5584">
        <w:trPr>
          <w:jc w:val="center"/>
        </w:trPr>
        <w:tc>
          <w:tcPr>
            <w:tcW w:w="2405" w:type="dxa"/>
          </w:tcPr>
          <w:p w14:paraId="4518034E" w14:textId="2EC59D26" w:rsidR="007F5584" w:rsidRPr="00F41F74" w:rsidRDefault="007F5584" w:rsidP="007F5584">
            <w:pPr>
              <w:pStyle w:val="NormalWeb"/>
              <w:spacing w:before="240" w:beforeAutospacing="0" w:after="240" w:afterAutospacing="0"/>
            </w:pPr>
            <w:r w:rsidRPr="00FD0F5D">
              <w:rPr>
                <w:color w:val="303030"/>
                <w:szCs w:val="24"/>
              </w:rPr>
              <w:t xml:space="preserve">Net </w:t>
            </w:r>
            <w:r>
              <w:rPr>
                <w:color w:val="303030"/>
                <w:szCs w:val="24"/>
              </w:rPr>
              <w:t>e</w:t>
            </w:r>
            <w:r w:rsidRPr="00FD0F5D">
              <w:rPr>
                <w:color w:val="303030"/>
                <w:szCs w:val="24"/>
              </w:rPr>
              <w:t>nergy</w:t>
            </w:r>
          </w:p>
        </w:tc>
        <w:tc>
          <w:tcPr>
            <w:tcW w:w="851" w:type="dxa"/>
          </w:tcPr>
          <w:p w14:paraId="4543A093" w14:textId="6E2A9012" w:rsidR="007F5584" w:rsidRPr="00F41F74" w:rsidRDefault="007F5584" w:rsidP="007F5584">
            <w:pPr>
              <w:pStyle w:val="NormalWeb"/>
              <w:spacing w:before="240" w:beforeAutospacing="0" w:after="240" w:afterAutospacing="0"/>
              <w:jc w:val="center"/>
            </w:pPr>
            <w:r w:rsidRPr="00FD0F5D">
              <w:rPr>
                <w:color w:val="303030"/>
                <w:szCs w:val="24"/>
              </w:rPr>
              <w:t>MJ/ha</w:t>
            </w:r>
          </w:p>
        </w:tc>
        <w:tc>
          <w:tcPr>
            <w:tcW w:w="1701" w:type="dxa"/>
          </w:tcPr>
          <w:p w14:paraId="4E740E0E" w14:textId="71E5F780" w:rsidR="007F5584" w:rsidRPr="00F41F74" w:rsidRDefault="007F5584" w:rsidP="007F5584">
            <w:pPr>
              <w:pStyle w:val="NormalWeb"/>
              <w:spacing w:before="240" w:beforeAutospacing="0" w:after="240" w:afterAutospacing="0"/>
              <w:jc w:val="center"/>
            </w:pPr>
            <w:r w:rsidRPr="00FD0F5D">
              <w:rPr>
                <w:color w:val="303030"/>
                <w:szCs w:val="24"/>
              </w:rPr>
              <w:t>1.206.133</w:t>
            </w:r>
          </w:p>
        </w:tc>
        <w:tc>
          <w:tcPr>
            <w:tcW w:w="1701" w:type="dxa"/>
          </w:tcPr>
          <w:p w14:paraId="554C0314" w14:textId="1E54D82C" w:rsidR="007F5584" w:rsidRPr="00F41F74" w:rsidRDefault="007F5584" w:rsidP="007F5584">
            <w:pPr>
              <w:pStyle w:val="NormalWeb"/>
              <w:spacing w:before="240" w:beforeAutospacing="0" w:after="240" w:afterAutospacing="0"/>
              <w:ind w:right="-104"/>
              <w:jc w:val="center"/>
            </w:pPr>
            <w:r w:rsidRPr="00FD0F5D">
              <w:rPr>
                <w:color w:val="303030"/>
                <w:szCs w:val="24"/>
              </w:rPr>
              <w:t>11.294.813</w:t>
            </w:r>
          </w:p>
        </w:tc>
        <w:tc>
          <w:tcPr>
            <w:tcW w:w="4110" w:type="dxa"/>
          </w:tcPr>
          <w:p w14:paraId="601F07DB" w14:textId="37F5CE67" w:rsidR="007F5584" w:rsidRPr="00F41F74" w:rsidRDefault="007F5584" w:rsidP="007F5584">
            <w:pPr>
              <w:pStyle w:val="NormalWeb"/>
              <w:spacing w:before="240" w:beforeAutospacing="0" w:after="240" w:afterAutospacing="0"/>
            </w:pPr>
            <w:r w:rsidRPr="00EA1EF2">
              <w:rPr>
                <w:color w:val="303030"/>
                <w:szCs w:val="24"/>
              </w:rPr>
              <w:t>Energy surplus (biogas) reinvested back into the system</w:t>
            </w:r>
          </w:p>
        </w:tc>
      </w:tr>
    </w:tbl>
    <w:p w14:paraId="58601E1C" w14:textId="7E2C19FF" w:rsidR="00875046" w:rsidRPr="005E6136" w:rsidRDefault="00875046" w:rsidP="00875046">
      <w:pPr>
        <w:spacing w:before="240" w:after="240" w:line="240" w:lineRule="auto"/>
        <w:jc w:val="center"/>
        <w:rPr>
          <w:rFonts w:eastAsia="Times New Roman"/>
          <w:i/>
          <w:iCs/>
          <w:sz w:val="24"/>
        </w:rPr>
      </w:pPr>
      <w:r w:rsidRPr="005E6136">
        <w:rPr>
          <w:rFonts w:eastAsia="Times New Roman"/>
          <w:i/>
          <w:iCs/>
          <w:sz w:val="24"/>
        </w:rPr>
        <w:t xml:space="preserve">(Source: </w:t>
      </w:r>
      <w:r w:rsidR="007F5584" w:rsidRPr="007F5584">
        <w:rPr>
          <w:rFonts w:eastAsia="Times New Roman"/>
          <w:i/>
          <w:iCs/>
          <w:sz w:val="24"/>
        </w:rPr>
        <w:t>Extracted and compiled from Tien et al., 2024</w:t>
      </w:r>
      <w:r w:rsidRPr="005E6136">
        <w:rPr>
          <w:rFonts w:eastAsia="Times New Roman"/>
          <w:i/>
          <w:iCs/>
          <w:sz w:val="24"/>
        </w:rPr>
        <w:t>)</w:t>
      </w:r>
    </w:p>
    <w:p w14:paraId="7983D402" w14:textId="3248E2F3" w:rsidR="007F5584" w:rsidRPr="00F41F74" w:rsidRDefault="007F5584" w:rsidP="007F5584">
      <w:pPr>
        <w:spacing w:before="240" w:after="240" w:line="240" w:lineRule="auto"/>
        <w:jc w:val="both"/>
        <w:outlineLvl w:val="2"/>
        <w:rPr>
          <w:rFonts w:eastAsia="Times New Roman"/>
          <w:b/>
          <w:bCs/>
          <w:sz w:val="24"/>
        </w:rPr>
      </w:pPr>
      <w:r>
        <w:rPr>
          <w:rFonts w:eastAsia="Times New Roman"/>
          <w:b/>
          <w:bCs/>
          <w:sz w:val="24"/>
        </w:rPr>
        <w:t>5</w:t>
      </w:r>
      <w:r w:rsidRPr="00F41F74">
        <w:rPr>
          <w:rFonts w:eastAsia="Times New Roman"/>
          <w:b/>
          <w:bCs/>
          <w:sz w:val="24"/>
        </w:rPr>
        <w:t>.</w:t>
      </w:r>
      <w:r>
        <w:rPr>
          <w:rFonts w:eastAsia="Times New Roman"/>
          <w:b/>
          <w:bCs/>
          <w:sz w:val="24"/>
        </w:rPr>
        <w:t>3</w:t>
      </w:r>
      <w:r w:rsidRPr="00F41F74">
        <w:rPr>
          <w:rFonts w:eastAsia="Times New Roman"/>
          <w:b/>
          <w:bCs/>
          <w:sz w:val="24"/>
        </w:rPr>
        <w:t xml:space="preserve"> </w:t>
      </w:r>
      <w:r w:rsidRPr="007F5584">
        <w:rPr>
          <w:rFonts w:eastAsia="Times New Roman"/>
          <w:b/>
          <w:bCs/>
          <w:sz w:val="24"/>
        </w:rPr>
        <w:t>Life Cycle Costing and economic benefit analysis: Substantiating the feasibility of the circular economy</w:t>
      </w:r>
    </w:p>
    <w:p w14:paraId="51693E0C" w14:textId="304B62CD" w:rsidR="007F5584" w:rsidRPr="00594748" w:rsidRDefault="007F5584" w:rsidP="007F5584">
      <w:pPr>
        <w:spacing w:before="240" w:after="240" w:line="240" w:lineRule="auto"/>
        <w:outlineLvl w:val="2"/>
        <w:rPr>
          <w:rFonts w:eastAsia="Times New Roman"/>
          <w:b/>
          <w:bCs/>
          <w:i/>
          <w:iCs/>
          <w:sz w:val="24"/>
        </w:rPr>
      </w:pPr>
      <w:r>
        <w:rPr>
          <w:rFonts w:eastAsia="Times New Roman"/>
          <w:b/>
          <w:bCs/>
          <w:i/>
          <w:iCs/>
          <w:sz w:val="24"/>
        </w:rPr>
        <w:t>5</w:t>
      </w:r>
      <w:r w:rsidRPr="00594748">
        <w:rPr>
          <w:rFonts w:eastAsia="Times New Roman"/>
          <w:b/>
          <w:bCs/>
          <w:i/>
          <w:iCs/>
          <w:sz w:val="24"/>
        </w:rPr>
        <w:t>.</w:t>
      </w:r>
      <w:r>
        <w:rPr>
          <w:rFonts w:eastAsia="Times New Roman"/>
          <w:b/>
          <w:bCs/>
          <w:i/>
          <w:iCs/>
          <w:sz w:val="24"/>
        </w:rPr>
        <w:t>3</w:t>
      </w:r>
      <w:r>
        <w:rPr>
          <w:rFonts w:eastAsia="Times New Roman"/>
          <w:b/>
          <w:bCs/>
          <w:i/>
          <w:iCs/>
          <w:sz w:val="24"/>
        </w:rPr>
        <w:t>.1</w:t>
      </w:r>
      <w:r w:rsidRPr="00594748">
        <w:rPr>
          <w:rFonts w:eastAsia="Times New Roman"/>
          <w:b/>
          <w:bCs/>
          <w:i/>
          <w:iCs/>
          <w:sz w:val="24"/>
        </w:rPr>
        <w:t xml:space="preserve"> </w:t>
      </w:r>
      <w:r w:rsidRPr="007F5584">
        <w:rPr>
          <w:rFonts w:eastAsia="Times New Roman"/>
          <w:b/>
          <w:bCs/>
          <w:i/>
          <w:iCs/>
          <w:sz w:val="24"/>
        </w:rPr>
        <w:t>Analysis of capital expenditure and operational expenditure</w:t>
      </w:r>
    </w:p>
    <w:p w14:paraId="2BB093AA" w14:textId="77777777" w:rsidR="007F5584" w:rsidRPr="007F5584" w:rsidRDefault="007F5584" w:rsidP="007F5584">
      <w:pPr>
        <w:spacing w:before="240" w:after="240" w:line="240" w:lineRule="auto"/>
        <w:jc w:val="both"/>
        <w:rPr>
          <w:rFonts w:eastAsia="Times New Roman"/>
          <w:sz w:val="24"/>
        </w:rPr>
      </w:pPr>
      <w:r w:rsidRPr="007F5584">
        <w:rPr>
          <w:rFonts w:eastAsia="Times New Roman"/>
          <w:sz w:val="24"/>
        </w:rPr>
        <w:t>To realize the Zero-discharge objective, the system requires the establishment of peripheral components. The required investment scale depends heavily on the integration capacity and construction materials. According to an analysis by Thao (2023) in Ca Mau, upgrading to a basic water recirculation system (encompassing geomembrane liners and two aerators for the biological pond) demands a cost of approximately 100 million VND. For a comprehensive recovery system (reclaiming both water and waste sludge), estimates by Thao et al. (2024) indicate a substantial installation cost: settling ponds (30 million VND), biological ponds (30 million VND), sludge drying beds (15 million VND), and a biogas digester system (90 million VND).</w:t>
      </w:r>
    </w:p>
    <w:p w14:paraId="1C80A80D" w14:textId="301DA53E" w:rsidR="00875046" w:rsidRDefault="007F5584" w:rsidP="007F5584">
      <w:pPr>
        <w:spacing w:before="240" w:after="240" w:line="240" w:lineRule="auto"/>
        <w:jc w:val="both"/>
        <w:rPr>
          <w:rFonts w:eastAsia="Times New Roman"/>
          <w:sz w:val="24"/>
        </w:rPr>
      </w:pPr>
      <w:r w:rsidRPr="007F5584">
        <w:rPr>
          <w:rFonts w:eastAsia="Times New Roman"/>
          <w:sz w:val="24"/>
        </w:rPr>
        <w:t>In contrast, a LCC analysis conducted by Thang et al. (2024) optimized material cost flows and documented that the initial Capital Expenditure (CAPEX) for a similar engineering cluster was only 78.71 million VND, with an Operational Expenditure (OPEX) of approximately 5 million VND per crop. The variations across these reports demonstrate that farmers can flexibly customize the scale of their circular infrastructure investments to align with their financial capacities.</w:t>
      </w:r>
    </w:p>
    <w:p w14:paraId="4CAF1ECD" w14:textId="568E2EDC" w:rsidR="007F5584" w:rsidRPr="00594748" w:rsidRDefault="007F5584" w:rsidP="007F5584">
      <w:pPr>
        <w:spacing w:before="240" w:after="240" w:line="240" w:lineRule="auto"/>
        <w:outlineLvl w:val="2"/>
        <w:rPr>
          <w:rFonts w:eastAsia="Times New Roman"/>
          <w:b/>
          <w:bCs/>
          <w:i/>
          <w:iCs/>
          <w:sz w:val="24"/>
        </w:rPr>
      </w:pPr>
      <w:r>
        <w:rPr>
          <w:rFonts w:eastAsia="Times New Roman"/>
          <w:b/>
          <w:bCs/>
          <w:i/>
          <w:iCs/>
          <w:sz w:val="24"/>
        </w:rPr>
        <w:t>5</w:t>
      </w:r>
      <w:r w:rsidRPr="00594748">
        <w:rPr>
          <w:rFonts w:eastAsia="Times New Roman"/>
          <w:b/>
          <w:bCs/>
          <w:i/>
          <w:iCs/>
          <w:sz w:val="24"/>
        </w:rPr>
        <w:t>.</w:t>
      </w:r>
      <w:r>
        <w:rPr>
          <w:rFonts w:eastAsia="Times New Roman"/>
          <w:b/>
          <w:bCs/>
          <w:i/>
          <w:iCs/>
          <w:sz w:val="24"/>
        </w:rPr>
        <w:t>3.</w:t>
      </w:r>
      <w:r>
        <w:rPr>
          <w:rFonts w:eastAsia="Times New Roman"/>
          <w:b/>
          <w:bCs/>
          <w:i/>
          <w:iCs/>
          <w:sz w:val="24"/>
        </w:rPr>
        <w:t>2</w:t>
      </w:r>
      <w:r w:rsidRPr="00594748">
        <w:rPr>
          <w:rFonts w:eastAsia="Times New Roman"/>
          <w:b/>
          <w:bCs/>
          <w:i/>
          <w:iCs/>
          <w:sz w:val="24"/>
        </w:rPr>
        <w:t xml:space="preserve"> </w:t>
      </w:r>
      <w:r w:rsidRPr="007F5584">
        <w:rPr>
          <w:rFonts w:eastAsia="Times New Roman"/>
          <w:b/>
          <w:bCs/>
          <w:i/>
          <w:iCs/>
          <w:sz w:val="24"/>
        </w:rPr>
        <w:t>Regenerative revenue streams and cost reductions</w:t>
      </w:r>
    </w:p>
    <w:p w14:paraId="72EEC077" w14:textId="77777777" w:rsidR="007F5584" w:rsidRPr="007F5584" w:rsidRDefault="007F5584" w:rsidP="007F5584">
      <w:pPr>
        <w:spacing w:before="240" w:after="240" w:line="240" w:lineRule="auto"/>
        <w:jc w:val="both"/>
        <w:rPr>
          <w:rFonts w:eastAsia="Times New Roman"/>
          <w:sz w:val="24"/>
        </w:rPr>
      </w:pPr>
      <w:r w:rsidRPr="007F5584">
        <w:rPr>
          <w:rFonts w:eastAsia="Times New Roman"/>
          <w:sz w:val="24"/>
        </w:rPr>
        <w:lastRenderedPageBreak/>
        <w:t>The core value of the circular economy lies in converting waste into residual value. Extant studies have quantified three primary benefit streams:</w:t>
      </w:r>
    </w:p>
    <w:p w14:paraId="4C5A79EF" w14:textId="1ACB6AC9" w:rsidR="007F5584" w:rsidRPr="007F5584" w:rsidRDefault="007F5584" w:rsidP="007F5584">
      <w:pPr>
        <w:pStyle w:val="ListParagraph"/>
        <w:numPr>
          <w:ilvl w:val="0"/>
          <w:numId w:val="35"/>
        </w:numPr>
        <w:spacing w:before="240" w:after="240" w:line="240" w:lineRule="auto"/>
        <w:jc w:val="both"/>
        <w:rPr>
          <w:rFonts w:eastAsia="Times New Roman"/>
          <w:sz w:val="24"/>
        </w:rPr>
      </w:pPr>
      <w:r w:rsidRPr="007F5584">
        <w:rPr>
          <w:rFonts w:eastAsia="Times New Roman"/>
          <w:sz w:val="24"/>
        </w:rPr>
        <w:t>Alternative energy: Utilizing biomethane derived from waste sludge replaces commercial LPG for cooking. The resulting cost savings range from 6 million VND/crop (Thang et al., 2024) to 8 million VND/crop (equivalent to 2.025 million VND/month) (Thao et al., 2024).</w:t>
      </w:r>
    </w:p>
    <w:p w14:paraId="4604A475" w14:textId="08CC5253" w:rsidR="007F5584" w:rsidRPr="007F5584" w:rsidRDefault="007F5584" w:rsidP="007F5584">
      <w:pPr>
        <w:pStyle w:val="ListParagraph"/>
        <w:numPr>
          <w:ilvl w:val="0"/>
          <w:numId w:val="35"/>
        </w:numPr>
        <w:spacing w:before="240" w:after="240" w:line="240" w:lineRule="auto"/>
        <w:jc w:val="both"/>
        <w:rPr>
          <w:rFonts w:eastAsia="Times New Roman"/>
          <w:sz w:val="24"/>
        </w:rPr>
      </w:pPr>
      <w:r w:rsidRPr="007F5584">
        <w:rPr>
          <w:rFonts w:eastAsia="Times New Roman"/>
          <w:sz w:val="24"/>
        </w:rPr>
        <w:t>Fertilizer production: Compost generated from the sludge yields a significant secondary revenue stream, fluctuating from 6.8 million VND/crop (Thao et al., 2024) to 31.5 million VND/crop (Thang et al., 2024), depending on production volumes and market accessibility.</w:t>
      </w:r>
    </w:p>
    <w:p w14:paraId="348A2DAA" w14:textId="217F0190" w:rsidR="00875046" w:rsidRPr="007F5584" w:rsidRDefault="007F5584" w:rsidP="007F5584">
      <w:pPr>
        <w:pStyle w:val="ListParagraph"/>
        <w:numPr>
          <w:ilvl w:val="0"/>
          <w:numId w:val="35"/>
        </w:numPr>
        <w:spacing w:before="240" w:after="240" w:line="240" w:lineRule="auto"/>
        <w:jc w:val="both"/>
        <w:rPr>
          <w:rFonts w:eastAsia="Times New Roman"/>
          <w:sz w:val="24"/>
        </w:rPr>
      </w:pPr>
      <w:r w:rsidRPr="007F5584">
        <w:rPr>
          <w:rFonts w:eastAsia="Times New Roman"/>
          <w:sz w:val="24"/>
        </w:rPr>
        <w:t>Nutrient procurement cost reductions: This represents the largest hidden economic benefit. Upon implementing the circular configuration, the input costs per kilogram of nitrogen, phosphorus, and TOC decrease by 53.6%, 62.8%, and 40%, respectively. This enables farmers to directly recover a value equivalent to 0.44 million VND per kg of nitrogen and 1.86 million VND per kg of phosphorus (Thao et al., 2024).</w:t>
      </w:r>
    </w:p>
    <w:p w14:paraId="5D360433" w14:textId="7DE302D1" w:rsidR="007F5584" w:rsidRPr="007F5584" w:rsidRDefault="007F5584" w:rsidP="007F5584">
      <w:pPr>
        <w:spacing w:before="240" w:after="240" w:line="240" w:lineRule="auto"/>
        <w:outlineLvl w:val="2"/>
        <w:rPr>
          <w:rFonts w:eastAsia="Times New Roman"/>
          <w:b/>
          <w:bCs/>
          <w:i/>
          <w:iCs/>
          <w:sz w:val="24"/>
        </w:rPr>
      </w:pPr>
      <w:r w:rsidRPr="007F5584">
        <w:rPr>
          <w:rFonts w:eastAsia="Times New Roman"/>
          <w:b/>
          <w:bCs/>
          <w:i/>
          <w:iCs/>
          <w:sz w:val="24"/>
        </w:rPr>
        <w:t>5.3.</w:t>
      </w:r>
      <w:r>
        <w:rPr>
          <w:rFonts w:eastAsia="Times New Roman"/>
          <w:b/>
          <w:bCs/>
          <w:i/>
          <w:iCs/>
          <w:sz w:val="24"/>
        </w:rPr>
        <w:t>3</w:t>
      </w:r>
      <w:r w:rsidRPr="007F5584">
        <w:rPr>
          <w:rFonts w:eastAsia="Times New Roman"/>
          <w:b/>
          <w:bCs/>
          <w:i/>
          <w:iCs/>
          <w:sz w:val="24"/>
        </w:rPr>
        <w:t xml:space="preserve"> Quantifying value per functional unit and net profit</w:t>
      </w:r>
    </w:p>
    <w:p w14:paraId="3E09154B" w14:textId="77777777" w:rsidR="007F5584" w:rsidRPr="007F5584" w:rsidRDefault="007F5584" w:rsidP="007F5584">
      <w:pPr>
        <w:spacing w:before="240" w:after="240" w:line="240" w:lineRule="auto"/>
        <w:jc w:val="both"/>
        <w:rPr>
          <w:rFonts w:eastAsia="Times New Roman"/>
          <w:sz w:val="24"/>
        </w:rPr>
      </w:pPr>
      <w:r w:rsidRPr="007F5584">
        <w:rPr>
          <w:rFonts w:eastAsia="Times New Roman"/>
          <w:sz w:val="24"/>
        </w:rPr>
        <w:t>To provide compelling evidence for farmers, macro-economic indices have been micro-scaled into environmental functional units. Regarding water resources, using the residual value method, Thao (2023) determined the economic value of water in shrimp aquaculture to be 6,000 VND/m</w:t>
      </w:r>
      <w:r w:rsidRPr="00D0513E">
        <w:rPr>
          <w:rFonts w:eastAsia="Times New Roman"/>
          <w:sz w:val="24"/>
          <w:vertAlign w:val="superscript"/>
        </w:rPr>
        <w:t>3</w:t>
      </w:r>
      <w:r w:rsidRPr="007F5584">
        <w:rPr>
          <w:rFonts w:eastAsia="Times New Roman"/>
          <w:sz w:val="24"/>
        </w:rPr>
        <w:t>. The establishment of a recirculating system does not significantly degrade this value, while successfully conserving 20% of natural freshwater intake requirements. In a more detailed accounting, each cubic meter of treated and recirculated wastewater yields a net value of 32.22 VND, and each kilogram of compost generates a profit of 786.67 VND (Thang et al., 2024).</w:t>
      </w:r>
    </w:p>
    <w:p w14:paraId="7B1EA908" w14:textId="7D82B862" w:rsidR="00875046" w:rsidRDefault="007F5584" w:rsidP="007F5584">
      <w:pPr>
        <w:spacing w:before="240" w:after="240" w:line="240" w:lineRule="auto"/>
        <w:jc w:val="both"/>
        <w:rPr>
          <w:rFonts w:eastAsia="Times New Roman"/>
          <w:sz w:val="24"/>
        </w:rPr>
      </w:pPr>
      <w:r w:rsidRPr="007F5584">
        <w:rPr>
          <w:rFonts w:eastAsia="Times New Roman"/>
          <w:sz w:val="24"/>
        </w:rPr>
        <w:t>Synthesizing the overall financial balance sheet, Tien et al. (2024) provided definitive evidence regarding the capacity of the closed-loop ecosystem: the net income of the SISF model integrating material and energy recirculation reached over 5 billion VND/ha, which is more than 8-fold higher than the 603 million VND/ha generated by the conventional model. Concurrently, the initial investment ratio also dropped sharply due to efficient capital amortization (Tien et al., 2024).</w:t>
      </w:r>
    </w:p>
    <w:p w14:paraId="44EDA3EB" w14:textId="3406CC3E" w:rsidR="007F5584" w:rsidRPr="00177462" w:rsidRDefault="007F5584" w:rsidP="007F5584">
      <w:pPr>
        <w:pStyle w:val="ListParagraph"/>
        <w:numPr>
          <w:ilvl w:val="0"/>
          <w:numId w:val="1"/>
        </w:numPr>
        <w:spacing w:before="240" w:after="240" w:line="240" w:lineRule="auto"/>
        <w:jc w:val="both"/>
        <w:rPr>
          <w:rFonts w:eastAsia="Times New Roman"/>
          <w:sz w:val="28"/>
          <w:szCs w:val="28"/>
        </w:rPr>
      </w:pPr>
      <w:r w:rsidRPr="007F5584">
        <w:rPr>
          <w:rFonts w:eastAsia="Times New Roman"/>
          <w:b/>
          <w:bCs/>
          <w:sz w:val="28"/>
          <w:szCs w:val="28"/>
        </w:rPr>
        <w:t>CHALLENGES AND POLICY RECOMMENDATIONS</w:t>
      </w:r>
    </w:p>
    <w:p w14:paraId="6BB63567" w14:textId="14D49436" w:rsidR="007F5584" w:rsidRPr="00F41F74" w:rsidRDefault="007F5584" w:rsidP="007F5584">
      <w:pPr>
        <w:spacing w:before="240" w:after="240" w:line="240" w:lineRule="auto"/>
        <w:outlineLvl w:val="2"/>
        <w:rPr>
          <w:rFonts w:eastAsia="Times New Roman"/>
          <w:b/>
          <w:bCs/>
          <w:sz w:val="24"/>
        </w:rPr>
      </w:pPr>
      <w:r>
        <w:rPr>
          <w:rFonts w:eastAsia="Times New Roman"/>
          <w:b/>
          <w:bCs/>
          <w:sz w:val="24"/>
        </w:rPr>
        <w:t>6</w:t>
      </w:r>
      <w:r w:rsidRPr="00F41F74">
        <w:rPr>
          <w:rFonts w:eastAsia="Times New Roman"/>
          <w:b/>
          <w:bCs/>
          <w:sz w:val="24"/>
        </w:rPr>
        <w:t xml:space="preserve">.1 </w:t>
      </w:r>
      <w:r w:rsidRPr="007F5584">
        <w:rPr>
          <w:rFonts w:eastAsia="Times New Roman"/>
          <w:b/>
          <w:bCs/>
          <w:sz w:val="24"/>
        </w:rPr>
        <w:t>Barriers and challenges in circular system implementation</w:t>
      </w:r>
    </w:p>
    <w:p w14:paraId="3723571A" w14:textId="77777777" w:rsidR="007F5584" w:rsidRPr="007F5584" w:rsidRDefault="007F5584" w:rsidP="007F5584">
      <w:pPr>
        <w:spacing w:before="240" w:after="240" w:line="240" w:lineRule="auto"/>
        <w:jc w:val="both"/>
        <w:rPr>
          <w:rFonts w:eastAsia="Times New Roman"/>
          <w:sz w:val="24"/>
        </w:rPr>
      </w:pPr>
      <w:r w:rsidRPr="007F5584">
        <w:rPr>
          <w:rFonts w:eastAsia="Times New Roman"/>
          <w:sz w:val="24"/>
        </w:rPr>
        <w:t>The transition from a direct-discharge paradigm to a closed-loop recirculating model necessitates a comprehensive restructuring of farm infrastructure. The core challenges currently facing shrimp farmers include:</w:t>
      </w:r>
    </w:p>
    <w:p w14:paraId="61D158C9" w14:textId="1094166D" w:rsidR="007F5584" w:rsidRPr="007F5584" w:rsidRDefault="007F5584" w:rsidP="007F5584">
      <w:pPr>
        <w:pStyle w:val="ListParagraph"/>
        <w:numPr>
          <w:ilvl w:val="0"/>
          <w:numId w:val="36"/>
        </w:numPr>
        <w:spacing w:before="240" w:after="240" w:line="240" w:lineRule="auto"/>
        <w:jc w:val="both"/>
        <w:rPr>
          <w:rFonts w:eastAsia="Times New Roman"/>
          <w:sz w:val="24"/>
        </w:rPr>
      </w:pPr>
      <w:r w:rsidRPr="007F5584">
        <w:rPr>
          <w:rFonts w:eastAsia="Times New Roman"/>
          <w:sz w:val="24"/>
        </w:rPr>
        <w:t xml:space="preserve">CAPEX barriers: Establishing a synchronized material and energy recirculation system requires an initial capital investment that is 2 to 3 times higher than that of conventional open-culture shrimp farming models (Tien et al., 2024). This abrupt cost escalation stems from the mandatory requirement to construct a complex series of peripheral facilities and components. Specifically, investors must allocate substantial capital for HDPE geomembrane liners to seal settling ponds, construct secondary biological treatment ponds, invest in composite biogas digester systems, zone compost processing areas, and install a network of high-capacity </w:t>
      </w:r>
      <w:r w:rsidRPr="007F5584">
        <w:rPr>
          <w:rFonts w:eastAsia="Times New Roman"/>
          <w:sz w:val="24"/>
        </w:rPr>
        <w:lastRenderedPageBreak/>
        <w:t>recirculation pumps and mechanical aerators (Tien et al., 2024). For most farmers in the MD, this constitutes a financial burden that far exceeds their self-accumulation capacity.</w:t>
      </w:r>
    </w:p>
    <w:p w14:paraId="3747F6C7" w14:textId="51409801" w:rsidR="007F5584" w:rsidRPr="007F5584" w:rsidRDefault="007F5584" w:rsidP="007F5584">
      <w:pPr>
        <w:pStyle w:val="ListParagraph"/>
        <w:numPr>
          <w:ilvl w:val="0"/>
          <w:numId w:val="36"/>
        </w:numPr>
        <w:spacing w:before="240" w:after="240" w:line="240" w:lineRule="auto"/>
        <w:jc w:val="both"/>
        <w:rPr>
          <w:rFonts w:eastAsia="Times New Roman"/>
          <w:sz w:val="24"/>
        </w:rPr>
      </w:pPr>
      <w:r w:rsidRPr="007F5584">
        <w:rPr>
          <w:rFonts w:eastAsia="Times New Roman"/>
          <w:sz w:val="24"/>
        </w:rPr>
        <w:t>Spatial and land availability constraints: To thoroughly treat the massive volumes of wastewater and waste sludge characterized by high organic loads, circular SISF systems require a substantial surface area to arrange sequential settling and biological ponds in strict accordance with the required HRT (Tien et al., 2024). These structural zoning requirements (encompassing sludge storage ponds, wastewater settling units, and recirculated water storage basins) present an insurmountable challenge for smallholder farmers, who typically own cultivating areas under 1.0 hectare (Nguyen et al., 2019). This land fragmentation represents the most critical bottleneck hindering the scaling of these eco-technologies.</w:t>
      </w:r>
    </w:p>
    <w:p w14:paraId="6FBA3AE2" w14:textId="48FEC9BE" w:rsidR="00875046" w:rsidRPr="007F5584" w:rsidRDefault="007F5584" w:rsidP="007F5584">
      <w:pPr>
        <w:pStyle w:val="ListParagraph"/>
        <w:numPr>
          <w:ilvl w:val="0"/>
          <w:numId w:val="36"/>
        </w:numPr>
        <w:spacing w:before="240" w:after="240" w:line="240" w:lineRule="auto"/>
        <w:jc w:val="both"/>
        <w:rPr>
          <w:rFonts w:eastAsia="Times New Roman"/>
          <w:sz w:val="24"/>
        </w:rPr>
      </w:pPr>
      <w:r w:rsidRPr="007F5584">
        <w:rPr>
          <w:rFonts w:eastAsia="Times New Roman"/>
          <w:sz w:val="24"/>
        </w:rPr>
        <w:t xml:space="preserve">Shortage of highly technical human resources: Operating a closed-loop ecosystem (such as RAS or </w:t>
      </w:r>
      <w:proofErr w:type="spellStart"/>
      <w:r w:rsidRPr="007F5584">
        <w:rPr>
          <w:rFonts w:eastAsia="Times New Roman"/>
          <w:sz w:val="24"/>
        </w:rPr>
        <w:t>Biofloc</w:t>
      </w:r>
      <w:proofErr w:type="spellEnd"/>
      <w:r w:rsidRPr="007F5584">
        <w:rPr>
          <w:rFonts w:eastAsia="Times New Roman"/>
          <w:sz w:val="24"/>
        </w:rPr>
        <w:t xml:space="preserve"> technologies) or controlling the kinetics of anaerobic digestion (biogas production) and aerobic composting cannot rely merely on intuitive, traditional farming experience. It demands a workforce of operators and technicians possessing deep knowledge of water quality management, proficiency in controlling sensitive biochemical indices (such as C/N ratios, dissolved oxygen levels, and toxic gas concentrations including NH3 and H2S), and the capability to maintain microbial community balance under ultra-high stocking densities (Tien et al., 2024). The current deficit of this high-quality human capital within the rural labor market significantly retards the effective adoption and operation of these systems.</w:t>
      </w:r>
    </w:p>
    <w:p w14:paraId="6F8BAF0F" w14:textId="09BDF2B1" w:rsidR="007F5584" w:rsidRPr="007F5584" w:rsidRDefault="007F5584" w:rsidP="007F5584">
      <w:pPr>
        <w:spacing w:before="240" w:after="240" w:line="240" w:lineRule="auto"/>
        <w:outlineLvl w:val="2"/>
        <w:rPr>
          <w:rFonts w:eastAsia="Times New Roman"/>
          <w:b/>
          <w:bCs/>
          <w:sz w:val="24"/>
        </w:rPr>
      </w:pPr>
      <w:r w:rsidRPr="007F5584">
        <w:rPr>
          <w:rFonts w:eastAsia="Times New Roman"/>
          <w:b/>
          <w:bCs/>
          <w:sz w:val="24"/>
        </w:rPr>
        <w:t>6.</w:t>
      </w:r>
      <w:r>
        <w:rPr>
          <w:rFonts w:eastAsia="Times New Roman"/>
          <w:b/>
          <w:bCs/>
          <w:sz w:val="24"/>
        </w:rPr>
        <w:t>2</w:t>
      </w:r>
      <w:r w:rsidRPr="007F5584">
        <w:rPr>
          <w:rFonts w:eastAsia="Times New Roman"/>
          <w:b/>
          <w:bCs/>
          <w:sz w:val="24"/>
        </w:rPr>
        <w:t xml:space="preserve"> Policy recommendations: Prioritizing the development of cooperative models</w:t>
      </w:r>
    </w:p>
    <w:p w14:paraId="0256164E" w14:textId="77777777" w:rsidR="0092033E" w:rsidRPr="0092033E" w:rsidRDefault="0092033E" w:rsidP="0092033E">
      <w:pPr>
        <w:spacing w:before="240" w:after="240" w:line="240" w:lineRule="auto"/>
        <w:jc w:val="both"/>
        <w:rPr>
          <w:rFonts w:eastAsia="Times New Roman"/>
          <w:sz w:val="24"/>
        </w:rPr>
      </w:pPr>
      <w:r w:rsidRPr="0092033E">
        <w:rPr>
          <w:rFonts w:eastAsia="Times New Roman"/>
          <w:sz w:val="24"/>
        </w:rPr>
        <w:t>To thoroughly address the systemic barriers regarding capital scarcity, land fragmentation, and the limited management capacity of individual farmers, the most strategic macro-level solution currently available is to restructure production configurations through the development and consolidation of agricultural cooperative models.</w:t>
      </w:r>
    </w:p>
    <w:p w14:paraId="3BA251ED" w14:textId="77777777" w:rsidR="0092033E" w:rsidRPr="0092033E" w:rsidRDefault="0092033E" w:rsidP="0092033E">
      <w:pPr>
        <w:spacing w:before="240" w:after="240" w:line="240" w:lineRule="auto"/>
        <w:jc w:val="both"/>
        <w:rPr>
          <w:rFonts w:eastAsia="Times New Roman"/>
          <w:sz w:val="24"/>
        </w:rPr>
      </w:pPr>
      <w:r w:rsidRPr="0092033E">
        <w:rPr>
          <w:rFonts w:eastAsia="Times New Roman"/>
          <w:sz w:val="24"/>
        </w:rPr>
        <w:t>Horizontal integration via the cooperative model enables smallholder farmers to tightly interlink their operations, thereby overcoming the inherent disadvantages associated with diseconomies of scale (Nguyen et al., 2019). By participating in cooperatives, individual farmers can pool adjacent land resources to construct centralized, collective wastewater and waste sludge treatment facilities. This configuration allows them to share the initial capital expenditures for expensive machinery and collectively utilize community-based biogas distribution networks to optimize the bioenergy generated from waste sludge (Thao et al., 2022). Crucially, backed by a communal fund, the cooperative possesses the financial capacity required to jointly hire highly qualified technical experts to operate the system safely and optimally, thereby mitigating the critical human resource bottleneck (Tien et al., 2024).</w:t>
      </w:r>
    </w:p>
    <w:p w14:paraId="5D2DD5A7" w14:textId="77777777" w:rsidR="0092033E" w:rsidRPr="0092033E" w:rsidRDefault="0092033E" w:rsidP="0092033E">
      <w:pPr>
        <w:spacing w:before="240" w:after="240" w:line="240" w:lineRule="auto"/>
        <w:jc w:val="both"/>
        <w:rPr>
          <w:rFonts w:eastAsia="Times New Roman"/>
          <w:sz w:val="24"/>
        </w:rPr>
      </w:pPr>
      <w:r w:rsidRPr="0092033E">
        <w:rPr>
          <w:rFonts w:eastAsia="Times New Roman"/>
          <w:sz w:val="24"/>
        </w:rPr>
        <w:t xml:space="preserve">Furthermore, in the context of escalating technical barriers within the global seafood market, compliance with stringent export standards regarding sustainability and eco-biosecurity constitutes a mandatory passport for Vietnamese shrimp to penetrate high-premium markets like the EU, the United States, and Japan (Nguyen et al., 2019). However, the auditing costs, complex record-keeping protocols, and technical infrastructure criteria mandated by these certification frameworks generally exceed the capacities of small-scale producers. In this scenario, the cooperative acts as a representative legal entity to facilitate group certification (Nguyen et al., 2019). This mechanism not only substantially curtails assessment expenses for individual members and simplifies the </w:t>
      </w:r>
      <w:r w:rsidRPr="0092033E">
        <w:rPr>
          <w:rFonts w:eastAsia="Times New Roman"/>
          <w:sz w:val="24"/>
        </w:rPr>
        <w:lastRenderedPageBreak/>
        <w:t>supply chain structure, but also supports smallholders in retaining their farm ownership rather than being driven out of the shrimp industry by the pressures of international integration (Nguyen et al., 2019).</w:t>
      </w:r>
    </w:p>
    <w:p w14:paraId="6825FFCF" w14:textId="426A4F5E" w:rsidR="00875046" w:rsidRDefault="0092033E" w:rsidP="0092033E">
      <w:pPr>
        <w:spacing w:before="240" w:after="240" w:line="240" w:lineRule="auto"/>
        <w:jc w:val="both"/>
        <w:rPr>
          <w:rFonts w:eastAsia="Times New Roman"/>
          <w:sz w:val="24"/>
        </w:rPr>
      </w:pPr>
      <w:r w:rsidRPr="0092033E">
        <w:rPr>
          <w:rFonts w:eastAsia="Times New Roman"/>
          <w:sz w:val="24"/>
        </w:rPr>
        <w:t>Ultimately, establishing robust cooperatives creates the fundamental prerequisite for executing vertical integration with upstream seafood enterprises and conglomerates. Through off-take contracts and technology transfer agreements, large corporations can supply specific pathogen-free high-quality post larvae, standardized feed, and recirculating treatment technologies while guaranteeing stable market outputs. In return, the cooperative manages and monitors its members to ensure strict compliance with Zero-discharge regulations (Nguyen et al., 2019). This symbiosis between organized smallholders within cooperatives and large-scale enterprises represents the definitive pathway for the super-intensive shrimp aquaculture industry in the MD to simultaneously achieve national production targets and secure long-term sustainable development aligned with circular economy principles.</w:t>
      </w:r>
    </w:p>
    <w:p w14:paraId="1DBA08A7" w14:textId="5F3AFF71" w:rsidR="0092033E" w:rsidRPr="00177462" w:rsidRDefault="0092033E" w:rsidP="0092033E">
      <w:pPr>
        <w:pStyle w:val="ListParagraph"/>
        <w:numPr>
          <w:ilvl w:val="0"/>
          <w:numId w:val="1"/>
        </w:numPr>
        <w:spacing w:before="240" w:after="240" w:line="240" w:lineRule="auto"/>
        <w:jc w:val="both"/>
        <w:rPr>
          <w:rFonts w:eastAsia="Times New Roman"/>
          <w:sz w:val="28"/>
          <w:szCs w:val="28"/>
        </w:rPr>
      </w:pPr>
      <w:r w:rsidRPr="0092033E">
        <w:rPr>
          <w:rFonts w:eastAsia="Times New Roman"/>
          <w:b/>
          <w:bCs/>
          <w:sz w:val="28"/>
          <w:szCs w:val="28"/>
        </w:rPr>
        <w:t>CONCLUSION</w:t>
      </w:r>
    </w:p>
    <w:p w14:paraId="314E4C5A" w14:textId="77777777" w:rsidR="0092033E" w:rsidRPr="0092033E" w:rsidRDefault="0092033E" w:rsidP="0092033E">
      <w:pPr>
        <w:spacing w:before="240" w:after="240" w:line="240" w:lineRule="auto"/>
        <w:jc w:val="both"/>
        <w:rPr>
          <w:rFonts w:eastAsia="Times New Roman"/>
          <w:sz w:val="24"/>
        </w:rPr>
      </w:pPr>
      <w:r w:rsidRPr="0092033E">
        <w:rPr>
          <w:rFonts w:eastAsia="Times New Roman"/>
          <w:sz w:val="24"/>
        </w:rPr>
        <w:t>The booming development of SISF in the MD has contributed tremendously to national export turnover. However, the nutrient kinetic imbalance - where shrimp only assimilate approximately 23–30% of nitrogen and phosphorus from the feed - has generated a massive ecological footprint in the form of wastewater and pond bottom sludge. This review paper has systematized scientific evidence to affirm that transitioning from a ‘Linear production - Direct discharge’ paradigm to a ‘Circular economy’ framework is not merely a temporary fix, but a vital imperative for the long-term sustainable development of the shrimp industry.</w:t>
      </w:r>
    </w:p>
    <w:p w14:paraId="23D3E294" w14:textId="77777777" w:rsidR="0092033E" w:rsidRPr="0092033E" w:rsidRDefault="0092033E" w:rsidP="0092033E">
      <w:pPr>
        <w:spacing w:before="240" w:after="240" w:line="240" w:lineRule="auto"/>
        <w:jc w:val="both"/>
        <w:rPr>
          <w:rFonts w:eastAsia="Times New Roman"/>
          <w:sz w:val="24"/>
        </w:rPr>
      </w:pPr>
      <w:r w:rsidRPr="0092033E">
        <w:rPr>
          <w:rFonts w:eastAsia="Times New Roman"/>
          <w:sz w:val="24"/>
        </w:rPr>
        <w:t>Through a comprehensive deconstruction of these biogeochemical cycles, this study draws three core conclusions:</w:t>
      </w:r>
    </w:p>
    <w:p w14:paraId="12A7FEFE" w14:textId="03DAC45C" w:rsidR="0092033E" w:rsidRPr="0092033E" w:rsidRDefault="0092033E" w:rsidP="0092033E">
      <w:pPr>
        <w:pStyle w:val="ListParagraph"/>
        <w:numPr>
          <w:ilvl w:val="0"/>
          <w:numId w:val="37"/>
        </w:numPr>
        <w:spacing w:before="240" w:after="240" w:line="240" w:lineRule="auto"/>
        <w:jc w:val="both"/>
        <w:rPr>
          <w:rFonts w:eastAsia="Times New Roman"/>
          <w:sz w:val="24"/>
        </w:rPr>
      </w:pPr>
      <w:r w:rsidRPr="0092033E">
        <w:rPr>
          <w:rFonts w:eastAsia="Times New Roman"/>
          <w:sz w:val="24"/>
        </w:rPr>
        <w:t>First, regarding treatment and recovery technologies: The synchronized integration of internal ecological technologies (BFT, RAS) and external configurations (biological settling ponds, constructed wetlands) has established a robust biosecurity barrier. These systems not only thoroughly control organic and nutrient pollution parameters to comply with current national technical regulations (QCVN 40:2025/BTNMT) but also realize the Zero-discharge objective by minimizing seepage and water exchange requirements to the absolute maximum. Concurrently, shrimp pond waste sludge has been proven to be a high-value resource bank. Applying optimized hydrodynamic mixing regimes coupled with anaerobic co-digestion using agricultural by-products (such as sugarcane bagasse) boosts biomethane yields by up to 53%. Similarly, aerobic co-composting of shrimp sludge with coconut coir pith optimizes the C/N ratio to an ideal level of 19.7, generating a mineral-rich organic fertilizer source for agriculture.</w:t>
      </w:r>
    </w:p>
    <w:p w14:paraId="51EE04BA" w14:textId="55273C36" w:rsidR="0092033E" w:rsidRPr="0092033E" w:rsidRDefault="0092033E" w:rsidP="0092033E">
      <w:pPr>
        <w:pStyle w:val="ListParagraph"/>
        <w:numPr>
          <w:ilvl w:val="0"/>
          <w:numId w:val="37"/>
        </w:numPr>
        <w:spacing w:before="240" w:after="240" w:line="240" w:lineRule="auto"/>
        <w:jc w:val="both"/>
        <w:rPr>
          <w:rFonts w:eastAsia="Times New Roman"/>
          <w:sz w:val="24"/>
        </w:rPr>
      </w:pPr>
      <w:r w:rsidRPr="0092033E">
        <w:rPr>
          <w:rFonts w:eastAsia="Times New Roman"/>
          <w:sz w:val="24"/>
        </w:rPr>
        <w:t>Second, regarding comprehensive sustainability assessments: Through the lenses of LCA and LCC, the circular shrimp farming model has demonstrated absolute superiority. Although it demands electrical energy for the water recirculation phase (accounting for 29.5% of the total treatment-stage emissions), the net surplus energy generated by this eco-system is dozens of times higher than that of the open conventional model. Recycling waste into bioenergy and agricultural inputs yields direct profits per functional unit, fully transforming environmental remediation costs into residual revenue streams.</w:t>
      </w:r>
    </w:p>
    <w:p w14:paraId="33384516" w14:textId="007063D0" w:rsidR="0092033E" w:rsidRPr="0092033E" w:rsidRDefault="0092033E" w:rsidP="0092033E">
      <w:pPr>
        <w:pStyle w:val="ListParagraph"/>
        <w:numPr>
          <w:ilvl w:val="0"/>
          <w:numId w:val="37"/>
        </w:numPr>
        <w:spacing w:before="240" w:after="240" w:line="240" w:lineRule="auto"/>
        <w:jc w:val="both"/>
        <w:rPr>
          <w:rFonts w:eastAsia="Times New Roman"/>
          <w:sz w:val="24"/>
        </w:rPr>
      </w:pPr>
      <w:r w:rsidRPr="0092033E">
        <w:rPr>
          <w:rFonts w:eastAsia="Times New Roman"/>
          <w:sz w:val="24"/>
        </w:rPr>
        <w:t xml:space="preserve">Third, regarding barriers and policy planning: The primary bottleneck of this ecological transition lies in the extremely high CAPEX and the land footprint constraints faced by individual smallholders. Consequently, </w:t>
      </w:r>
      <w:r w:rsidRPr="0092033E">
        <w:rPr>
          <w:rFonts w:eastAsia="Times New Roman"/>
          <w:sz w:val="24"/>
        </w:rPr>
        <w:lastRenderedPageBreak/>
        <w:t>establishing agricultural cooperative models to leverage economies of scale - enabling group certifications (such as ASC, BAP) and attracting green credit from upstream lead enterprises - represents the decisive macro-level solution.</w:t>
      </w:r>
    </w:p>
    <w:p w14:paraId="10BF3DF4" w14:textId="77777777" w:rsidR="0092033E" w:rsidRPr="0092033E" w:rsidRDefault="0092033E" w:rsidP="0092033E">
      <w:pPr>
        <w:spacing w:before="240" w:after="240" w:line="240" w:lineRule="auto"/>
        <w:jc w:val="both"/>
        <w:rPr>
          <w:rFonts w:eastAsia="Times New Roman"/>
          <w:sz w:val="24"/>
        </w:rPr>
      </w:pPr>
      <w:r w:rsidRPr="0092033E">
        <w:rPr>
          <w:rFonts w:eastAsia="Times New Roman"/>
          <w:sz w:val="24"/>
        </w:rPr>
        <w:t>To further advance the circular economy in aquaculture, future research should focus on two primary fronts: (</w:t>
      </w:r>
      <w:proofErr w:type="spellStart"/>
      <w:r w:rsidRPr="0092033E">
        <w:rPr>
          <w:rFonts w:eastAsia="Times New Roman"/>
          <w:sz w:val="24"/>
        </w:rPr>
        <w:t>i</w:t>
      </w:r>
      <w:proofErr w:type="spellEnd"/>
      <w:r w:rsidRPr="0092033E">
        <w:rPr>
          <w:rFonts w:eastAsia="Times New Roman"/>
          <w:sz w:val="24"/>
        </w:rPr>
        <w:t>) decoding the microbial metagenomics within the rhizosphere of halophytic plants in constructed wetlands to optimize denitrification pathways; and (ii) developing low-cost, natural desalination models to thoroughly eliminate the EC load in bottom sludge, thereby broadening the application scope of the derived compost on salt-sensitive crops.</w:t>
      </w:r>
    </w:p>
    <w:p w14:paraId="12C01955" w14:textId="13B86EC5" w:rsidR="00875046" w:rsidRDefault="0092033E" w:rsidP="0092033E">
      <w:pPr>
        <w:spacing w:before="240" w:after="240" w:line="240" w:lineRule="auto"/>
        <w:jc w:val="both"/>
        <w:rPr>
          <w:rFonts w:eastAsia="Times New Roman"/>
          <w:sz w:val="24"/>
        </w:rPr>
      </w:pPr>
      <w:r w:rsidRPr="0092033E">
        <w:rPr>
          <w:rFonts w:eastAsia="Times New Roman"/>
          <w:sz w:val="24"/>
        </w:rPr>
        <w:t>The synergy between eco-technological innovation and value chain management will serve as the driving force to position the MD as a global paradigm for sustainable, low-emission super-intensive shrimp aquaculture.</w:t>
      </w:r>
    </w:p>
    <w:p w14:paraId="5404EA72" w14:textId="77777777" w:rsidR="00875046" w:rsidRDefault="00875046" w:rsidP="00F41F74">
      <w:pPr>
        <w:spacing w:before="240" w:after="240" w:line="240" w:lineRule="auto"/>
        <w:jc w:val="both"/>
        <w:rPr>
          <w:rFonts w:eastAsia="Times New Roman"/>
          <w:sz w:val="24"/>
        </w:rPr>
      </w:pPr>
    </w:p>
    <w:p w14:paraId="7E9D51DD" w14:textId="7A8C68F1" w:rsidR="0092033E" w:rsidRPr="0092033E" w:rsidRDefault="0092033E" w:rsidP="0092033E">
      <w:pPr>
        <w:spacing w:before="240" w:after="240" w:line="240" w:lineRule="auto"/>
        <w:jc w:val="both"/>
        <w:rPr>
          <w:rFonts w:eastAsia="Times New Roman"/>
          <w:sz w:val="28"/>
          <w:szCs w:val="28"/>
        </w:rPr>
      </w:pPr>
      <w:r w:rsidRPr="0092033E">
        <w:rPr>
          <w:rFonts w:eastAsia="Times New Roman"/>
          <w:b/>
          <w:bCs/>
          <w:sz w:val="28"/>
          <w:szCs w:val="28"/>
        </w:rPr>
        <w:t>ACKNOWLEDGMENT</w:t>
      </w:r>
    </w:p>
    <w:p w14:paraId="31230E95" w14:textId="6AE9971F" w:rsidR="00A3509C" w:rsidRDefault="0092033E" w:rsidP="00F41F74">
      <w:pPr>
        <w:spacing w:before="240" w:after="240" w:line="240" w:lineRule="auto"/>
        <w:jc w:val="both"/>
        <w:rPr>
          <w:rFonts w:eastAsia="Times New Roman"/>
          <w:sz w:val="24"/>
        </w:rPr>
      </w:pPr>
      <w:r w:rsidRPr="0092033E">
        <w:rPr>
          <w:rFonts w:eastAsia="Times New Roman"/>
          <w:sz w:val="24"/>
        </w:rPr>
        <w:t xml:space="preserve">This study was carried out within the framework of the activities of the </w:t>
      </w:r>
      <w:proofErr w:type="spellStart"/>
      <w:r w:rsidRPr="0092033E">
        <w:rPr>
          <w:rFonts w:eastAsia="Times New Roman"/>
          <w:sz w:val="24"/>
        </w:rPr>
        <w:t>AGriCTU</w:t>
      </w:r>
      <w:proofErr w:type="spellEnd"/>
      <w:r w:rsidRPr="0092033E">
        <w:rPr>
          <w:rFonts w:eastAsia="Times New Roman"/>
          <w:sz w:val="24"/>
        </w:rPr>
        <w:t xml:space="preserve"> Research Group, a key research team at Can </w:t>
      </w:r>
      <w:proofErr w:type="spellStart"/>
      <w:r w:rsidRPr="0092033E">
        <w:rPr>
          <w:rFonts w:eastAsia="Times New Roman"/>
          <w:sz w:val="24"/>
        </w:rPr>
        <w:t>Tho</w:t>
      </w:r>
      <w:proofErr w:type="spellEnd"/>
      <w:r w:rsidRPr="0092033E">
        <w:rPr>
          <w:rFonts w:eastAsia="Times New Roman"/>
          <w:sz w:val="24"/>
        </w:rPr>
        <w:t xml:space="preserve"> University, Viet Nam.</w:t>
      </w:r>
    </w:p>
    <w:p w14:paraId="1E5773BB" w14:textId="77777777" w:rsidR="0092033E" w:rsidRDefault="0092033E" w:rsidP="00F41F74">
      <w:pPr>
        <w:spacing w:before="240" w:after="240" w:line="240" w:lineRule="auto"/>
        <w:jc w:val="both"/>
        <w:rPr>
          <w:rFonts w:eastAsia="Times New Roman"/>
          <w:sz w:val="24"/>
        </w:rPr>
      </w:pPr>
    </w:p>
    <w:p w14:paraId="7726886D" w14:textId="77777777" w:rsidR="0092033E" w:rsidRPr="0092033E" w:rsidRDefault="0092033E" w:rsidP="0092033E">
      <w:pPr>
        <w:spacing w:before="240" w:after="240" w:line="240" w:lineRule="auto"/>
        <w:jc w:val="both"/>
        <w:rPr>
          <w:rFonts w:eastAsia="Times New Roman"/>
          <w:sz w:val="28"/>
          <w:szCs w:val="28"/>
        </w:rPr>
      </w:pPr>
      <w:r w:rsidRPr="0092033E">
        <w:rPr>
          <w:rFonts w:eastAsia="Times New Roman"/>
          <w:b/>
          <w:bCs/>
          <w:sz w:val="28"/>
          <w:szCs w:val="28"/>
        </w:rPr>
        <w:t>CONCLUSION</w:t>
      </w:r>
    </w:p>
    <w:p w14:paraId="2FA3A650"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t>An, N. Q., Thao, N. T. P., Hieu, T. T., Tung, T. V., Nam, N. T. P., Hai, L. T., &amp; Tri, N. L. M. (2024). The study of composting sludge from supper-intensive shrimp farming ponds to make organic fertilizer for the cultivation of (</w:t>
      </w:r>
      <w:proofErr w:type="spellStart"/>
      <w:r w:rsidRPr="0092033E">
        <w:rPr>
          <w:rFonts w:eastAsia="Times New Roman"/>
          <w:sz w:val="24"/>
        </w:rPr>
        <w:t>Lactuca</w:t>
      </w:r>
      <w:proofErr w:type="spellEnd"/>
      <w:r w:rsidRPr="0092033E">
        <w:rPr>
          <w:rFonts w:eastAsia="Times New Roman"/>
          <w:sz w:val="24"/>
        </w:rPr>
        <w:t xml:space="preserve"> Sativa). Science &amp; Technology Development Journal - Science of The Earth &amp; Environment, 8(2), 1020–1031. https://doi.org/10.32508/stdjsee.v8i2.781</w:t>
      </w:r>
    </w:p>
    <w:p w14:paraId="343029B3"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t>Chen, Y., Cheng, J. J., &amp; Creamer, K. S. (2008). Inhibition of anaerobic digestion process: A review. Bioresource Technology, 99(10), 4044–4064. https://doi.org/10.1016/j.biortech.2007.01.057</w:t>
      </w:r>
    </w:p>
    <w:p w14:paraId="36BC7B50"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t>El-</w:t>
      </w:r>
      <w:proofErr w:type="spellStart"/>
      <w:r w:rsidRPr="0092033E">
        <w:rPr>
          <w:rFonts w:eastAsia="Times New Roman"/>
          <w:sz w:val="24"/>
        </w:rPr>
        <w:t>Bakhshwan</w:t>
      </w:r>
      <w:proofErr w:type="spellEnd"/>
      <w:r w:rsidRPr="0092033E">
        <w:rPr>
          <w:rFonts w:eastAsia="Times New Roman"/>
          <w:sz w:val="24"/>
        </w:rPr>
        <w:t>, M. K., Abd El-Ghafar, S. M. A., Zayed, M. F., &amp; El-</w:t>
      </w:r>
      <w:proofErr w:type="spellStart"/>
      <w:r w:rsidRPr="0092033E">
        <w:rPr>
          <w:rFonts w:eastAsia="Times New Roman"/>
          <w:sz w:val="24"/>
        </w:rPr>
        <w:t>Shazly</w:t>
      </w:r>
      <w:proofErr w:type="spellEnd"/>
      <w:r w:rsidRPr="0092033E">
        <w:rPr>
          <w:rFonts w:eastAsia="Times New Roman"/>
          <w:sz w:val="24"/>
        </w:rPr>
        <w:t>, A. E. (2015). Effect of mechanical stirring on biogas production efficiency in large scale digesters. Journal of Soil Sciences and Agricultural Engineering, 6(1): 47–63. https://doi.org/10.21608/jssae.2015.41811</w:t>
      </w:r>
    </w:p>
    <w:p w14:paraId="77D38A3F"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t>Hai, T. M., Tung, N. T., Toan, V. D. &amp; Hien, V. T. (2020). Some initial research results in super intensive shrimp farming wastewater treatment. Journal of Water Resources and Environmental Engineering, 71, 124–131 (in Vietnamese).</w:t>
      </w:r>
    </w:p>
    <w:p w14:paraId="096B7918"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t xml:space="preserve">Iber, B. T., &amp; Kasan, N. A. (2021). Recent advances in Shrimp aquaculture wastewater management. </w:t>
      </w:r>
      <w:proofErr w:type="spellStart"/>
      <w:r w:rsidRPr="0092033E">
        <w:rPr>
          <w:rFonts w:eastAsia="Times New Roman"/>
          <w:sz w:val="24"/>
        </w:rPr>
        <w:t>Heliyon</w:t>
      </w:r>
      <w:proofErr w:type="spellEnd"/>
      <w:r w:rsidRPr="0092033E">
        <w:rPr>
          <w:rFonts w:eastAsia="Times New Roman"/>
          <w:sz w:val="24"/>
        </w:rPr>
        <w:t>, 7(11), e08283. https://doi.org/10.1016/j.heliyon.2021.e08283</w:t>
      </w:r>
    </w:p>
    <w:p w14:paraId="7B1137E6"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t>Lin, Y. F., Jing, S. R., Lee, D. Y., Chang, Y. F., Chen, Y. M., &amp; Shih, K. C. (2005). Performance of a constructed wetland treating intensive shrimp aquaculture wastewater under high hydraulic loading rate. Environmental Pollution, 134(3), 411–421. https://doi.org/10.1016/j.envpol.2004.09.015</w:t>
      </w:r>
    </w:p>
    <w:p w14:paraId="5E9A7CDF"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proofErr w:type="spellStart"/>
      <w:r w:rsidRPr="0092033E">
        <w:rPr>
          <w:rFonts w:eastAsia="Times New Roman"/>
          <w:sz w:val="24"/>
        </w:rPr>
        <w:t>Monyluak</w:t>
      </w:r>
      <w:proofErr w:type="spellEnd"/>
      <w:r w:rsidRPr="0092033E">
        <w:rPr>
          <w:rFonts w:eastAsia="Times New Roman"/>
          <w:sz w:val="24"/>
        </w:rPr>
        <w:t>, M. Y. C., Nicasio, M. M., &amp; Daudi, M. N. (2021). Effect of stirring intervals on biogas production from cow dung and maize silage mix ratio. International Journal of Power and Energy Research, 5(1). https://dx.doi.org/10.22606/ijper.2021.51001</w:t>
      </w:r>
    </w:p>
    <w:p w14:paraId="67B55CD6"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lastRenderedPageBreak/>
        <w:t>Muftah, H. E. N., Sulaiman, A. Z., Amal, A. L. &amp; Souzan, M. (2009). Assessment of electrocoagulation for the treatment of petroleum refinery wastewater. Journal of Environmental Management, 91(1), 180–185. https://doi.org/10.1016/j.jenvman.2009.08.003</w:t>
      </w:r>
    </w:p>
    <w:p w14:paraId="33B7782D"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t>Nam, T. S., Thao, H. V., Luan, N. T., Duy, N. P., &amp; Cong, N. V. (2022). Optimizing hydraulic retention time and area of biological settling ponds for super-intensive shrimp wastewater treatment systems. Water, 14(6), 932. https://doi.org/10.3390/w14060932</w:t>
      </w:r>
    </w:p>
    <w:p w14:paraId="208A288C"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t xml:space="preserve">Ngan, N. V. C., Cong, N. V., Hoang, N. H. &amp; Ly, T. H. (2025). Wastewater from aquaculture and aquatic products processing: Current situation and treatment suggestions in “Shrimp Capital” Bac Lieu Province, Vietnam. In: Applied Geography and Geoinformatics for Sustainable Development, edited by </w:t>
      </w:r>
      <w:proofErr w:type="spellStart"/>
      <w:r w:rsidRPr="0092033E">
        <w:rPr>
          <w:rFonts w:eastAsia="Times New Roman"/>
          <w:sz w:val="24"/>
        </w:rPr>
        <w:t>Boonpook</w:t>
      </w:r>
      <w:proofErr w:type="spellEnd"/>
      <w:r w:rsidRPr="0092033E">
        <w:rPr>
          <w:rFonts w:eastAsia="Times New Roman"/>
          <w:sz w:val="24"/>
        </w:rPr>
        <w:t>, W., Lin, Z., Downes, N. K., Truong, C. Q. Springer. 71–96. https://doi.org/10.1007/978-3-031-84308-2_6</w:t>
      </w:r>
    </w:p>
    <w:p w14:paraId="6F42404C"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t>Nguyen, T. A. T., Nguyen, K. A. T., &amp; Jolly, C. (2019). Is super-intensification the solution to shrimp production and export sustainability? Sustainability, 11(19), 5277. https://doi.org/10.3390/su11195277</w:t>
      </w:r>
    </w:p>
    <w:p w14:paraId="5BA9A1B6"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t>Nguyen, T. G. (2021). Water quality in the super-intensive shrimp ponds in Bac lieu. International Journal of Environment, Agriculture and Biotechnology, 6(1). https://doi.org/10.22161/ijeab.61.5</w:t>
      </w:r>
    </w:p>
    <w:p w14:paraId="15ADB7EF"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t>Nguyen, T. T. T. (2023). Assessment of water recycling effectiveness for a super-intensive white leg shrimp farm in Ca Mau Province. Journal of Technical Education Science, 18(3), 48–55. https://doi.org/10.54644/jte.77.2023.1396</w:t>
      </w:r>
    </w:p>
    <w:p w14:paraId="4476061E"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t>Nguyen, T. T. T. (2025). Estimating nitrogen discharge in water exchange regimes for super-intensive shrimp farming systems using nitrogen dynamics model. Journal of Technical Education Science, 20(2), 11–19. https://doi.org/10.54644/jte.2025.1577</w:t>
      </w:r>
    </w:p>
    <w:p w14:paraId="7ED592DF"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t xml:space="preserve">Pham, T. T. H., </w:t>
      </w:r>
      <w:proofErr w:type="spellStart"/>
      <w:r w:rsidRPr="0092033E">
        <w:rPr>
          <w:rFonts w:eastAsia="Times New Roman"/>
          <w:sz w:val="24"/>
        </w:rPr>
        <w:t>Cochevelou</w:t>
      </w:r>
      <w:proofErr w:type="spellEnd"/>
      <w:r w:rsidRPr="0092033E">
        <w:rPr>
          <w:rFonts w:eastAsia="Times New Roman"/>
          <w:sz w:val="24"/>
        </w:rPr>
        <w:t>, V., Dinh, H. D. K., Breider, F., &amp; Rossi, P. (2021). Implementation of a constructed wetland for the sustainable treatment of inland shrimp farming water. Journal of Environmental Management, 279, 111782. https://doi.org/10.1016/j.jenvman.2020.111782</w:t>
      </w:r>
    </w:p>
    <w:p w14:paraId="62707D61"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t xml:space="preserve">Phuong, N. M., Kha, T. M., &amp; Anh, B. T. K. (2025). Aquaculture wastewater treatment by constructed wetlands planted with anthurium plants (Anthurium </w:t>
      </w:r>
      <w:proofErr w:type="spellStart"/>
      <w:r w:rsidRPr="0092033E">
        <w:rPr>
          <w:rFonts w:eastAsia="Times New Roman"/>
          <w:sz w:val="24"/>
        </w:rPr>
        <w:t>andraeanum</w:t>
      </w:r>
      <w:proofErr w:type="spellEnd"/>
      <w:r w:rsidRPr="0092033E">
        <w:rPr>
          <w:rFonts w:eastAsia="Times New Roman"/>
          <w:sz w:val="24"/>
        </w:rPr>
        <w:t>). VNU Journal of Science: Natural Sciences and Technology, 41(3), 66–76. https://doi.org/10.25073/2588-1140/vnunst.5772 (in Vietnamese).</w:t>
      </w:r>
    </w:p>
    <w:p w14:paraId="1086E28F"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t xml:space="preserve">Shi, Y., Zhang, G., Liu, J., Zhu, Y., &amp; Xu, J. (2011). Performance of a constructed wetland in treating brackish wastewater from commercial recirculating and super-intensive shrimp </w:t>
      </w:r>
      <w:proofErr w:type="spellStart"/>
      <w:r w:rsidRPr="0092033E">
        <w:rPr>
          <w:rFonts w:eastAsia="Times New Roman"/>
          <w:sz w:val="24"/>
        </w:rPr>
        <w:t>growout</w:t>
      </w:r>
      <w:proofErr w:type="spellEnd"/>
      <w:r w:rsidRPr="0092033E">
        <w:rPr>
          <w:rFonts w:eastAsia="Times New Roman"/>
          <w:sz w:val="24"/>
        </w:rPr>
        <w:t xml:space="preserve"> systems. Bioresource Technology, 102(20), 9416–9424. https://doi.org/10.1016/j.biortech.2011.07.058</w:t>
      </w:r>
    </w:p>
    <w:p w14:paraId="21AE4624"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proofErr w:type="spellStart"/>
      <w:r w:rsidRPr="0092033E">
        <w:rPr>
          <w:rFonts w:eastAsia="Times New Roman"/>
          <w:sz w:val="24"/>
        </w:rPr>
        <w:t>Srivichai</w:t>
      </w:r>
      <w:proofErr w:type="spellEnd"/>
      <w:r w:rsidRPr="0092033E">
        <w:rPr>
          <w:rFonts w:eastAsia="Times New Roman"/>
          <w:sz w:val="24"/>
        </w:rPr>
        <w:t xml:space="preserve">, P., &amp; </w:t>
      </w:r>
      <w:proofErr w:type="spellStart"/>
      <w:r w:rsidRPr="0092033E">
        <w:rPr>
          <w:rFonts w:eastAsia="Times New Roman"/>
          <w:sz w:val="24"/>
        </w:rPr>
        <w:t>Chavalparit</w:t>
      </w:r>
      <w:proofErr w:type="spellEnd"/>
      <w:r w:rsidRPr="0092033E">
        <w:rPr>
          <w:rFonts w:eastAsia="Times New Roman"/>
          <w:sz w:val="24"/>
        </w:rPr>
        <w:t xml:space="preserve">, O. (2020). Co-digestion of modified tapioca starch sludge and shrimp pond sediment as a method to improve system stability and biogas production. </w:t>
      </w:r>
      <w:proofErr w:type="spellStart"/>
      <w:r w:rsidRPr="0092033E">
        <w:rPr>
          <w:rFonts w:eastAsia="Times New Roman"/>
          <w:sz w:val="24"/>
        </w:rPr>
        <w:t>ScienceAsia</w:t>
      </w:r>
      <w:proofErr w:type="spellEnd"/>
      <w:r w:rsidRPr="0092033E">
        <w:rPr>
          <w:rFonts w:eastAsia="Times New Roman"/>
          <w:sz w:val="24"/>
        </w:rPr>
        <w:t>, 46, 119–127. https://doi.org/10.2306/scienceasia1513-1874.2020.017</w:t>
      </w:r>
    </w:p>
    <w:p w14:paraId="35C5A3C7"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t xml:space="preserve">Stroot, P. G., McMahon, K. D., Mackie, R. I., &amp; Raskin, L. (2001). Anaerobic </w:t>
      </w:r>
      <w:proofErr w:type="spellStart"/>
      <w:r w:rsidRPr="0092033E">
        <w:rPr>
          <w:rFonts w:eastAsia="Times New Roman"/>
          <w:sz w:val="24"/>
        </w:rPr>
        <w:t>codigestion</w:t>
      </w:r>
      <w:proofErr w:type="spellEnd"/>
      <w:r w:rsidRPr="0092033E">
        <w:rPr>
          <w:rFonts w:eastAsia="Times New Roman"/>
          <w:sz w:val="24"/>
        </w:rPr>
        <w:t xml:space="preserve"> of municipal solid waste and biosolids under various mixing conditions-I. digester performance. Water Research, 35(7), 1804–1816. https://doi.org/10.1016/S0043-1354(00)00439-5</w:t>
      </w:r>
    </w:p>
    <w:p w14:paraId="7A28D4D1"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proofErr w:type="spellStart"/>
      <w:r w:rsidRPr="0092033E">
        <w:rPr>
          <w:rFonts w:eastAsia="Times New Roman"/>
          <w:sz w:val="24"/>
        </w:rPr>
        <w:t>Suantika</w:t>
      </w:r>
      <w:proofErr w:type="spellEnd"/>
      <w:r w:rsidRPr="0092033E">
        <w:rPr>
          <w:rFonts w:eastAsia="Times New Roman"/>
          <w:sz w:val="24"/>
        </w:rPr>
        <w:t xml:space="preserve">, G., </w:t>
      </w:r>
      <w:proofErr w:type="spellStart"/>
      <w:r w:rsidRPr="0092033E">
        <w:rPr>
          <w:rFonts w:eastAsia="Times New Roman"/>
          <w:sz w:val="24"/>
        </w:rPr>
        <w:t>Situmorang</w:t>
      </w:r>
      <w:proofErr w:type="spellEnd"/>
      <w:r w:rsidRPr="0092033E">
        <w:rPr>
          <w:rFonts w:eastAsia="Times New Roman"/>
          <w:sz w:val="24"/>
        </w:rPr>
        <w:t xml:space="preserve">, M. L., </w:t>
      </w:r>
      <w:proofErr w:type="spellStart"/>
      <w:r w:rsidRPr="0092033E">
        <w:rPr>
          <w:rFonts w:eastAsia="Times New Roman"/>
          <w:sz w:val="24"/>
        </w:rPr>
        <w:t>Nurfathurahmi</w:t>
      </w:r>
      <w:proofErr w:type="spellEnd"/>
      <w:r w:rsidRPr="0092033E">
        <w:rPr>
          <w:rFonts w:eastAsia="Times New Roman"/>
          <w:sz w:val="24"/>
        </w:rPr>
        <w:t xml:space="preserve">. A., Taufik, I., </w:t>
      </w:r>
      <w:proofErr w:type="spellStart"/>
      <w:r w:rsidRPr="0092033E">
        <w:rPr>
          <w:rFonts w:eastAsia="Times New Roman"/>
          <w:sz w:val="24"/>
        </w:rPr>
        <w:t>Aditiawati</w:t>
      </w:r>
      <w:proofErr w:type="spellEnd"/>
      <w:r w:rsidRPr="0092033E">
        <w:rPr>
          <w:rFonts w:eastAsia="Times New Roman"/>
          <w:sz w:val="24"/>
        </w:rPr>
        <w:t>, P., Yusuf, N., &amp; Aulia, R. (2018). Application of indoor recirculation aquaculture system for white shrimp (</w:t>
      </w:r>
      <w:proofErr w:type="spellStart"/>
      <w:r w:rsidRPr="0092033E">
        <w:rPr>
          <w:rFonts w:eastAsia="Times New Roman"/>
          <w:sz w:val="24"/>
        </w:rPr>
        <w:t>Litopenaeus</w:t>
      </w:r>
      <w:proofErr w:type="spellEnd"/>
      <w:r w:rsidRPr="0092033E">
        <w:rPr>
          <w:rFonts w:eastAsia="Times New Roman"/>
          <w:sz w:val="24"/>
        </w:rPr>
        <w:t xml:space="preserve"> </w:t>
      </w:r>
      <w:proofErr w:type="spellStart"/>
      <w:r w:rsidRPr="0092033E">
        <w:rPr>
          <w:rFonts w:eastAsia="Times New Roman"/>
          <w:sz w:val="24"/>
        </w:rPr>
        <w:t>vannamei</w:t>
      </w:r>
      <w:proofErr w:type="spellEnd"/>
      <w:r w:rsidRPr="0092033E">
        <w:rPr>
          <w:rFonts w:eastAsia="Times New Roman"/>
          <w:sz w:val="24"/>
        </w:rPr>
        <w:t xml:space="preserve">) </w:t>
      </w:r>
      <w:proofErr w:type="spellStart"/>
      <w:r w:rsidRPr="0092033E">
        <w:rPr>
          <w:rFonts w:eastAsia="Times New Roman"/>
          <w:sz w:val="24"/>
        </w:rPr>
        <w:t>growout</w:t>
      </w:r>
      <w:proofErr w:type="spellEnd"/>
      <w:r w:rsidRPr="0092033E">
        <w:rPr>
          <w:rFonts w:eastAsia="Times New Roman"/>
          <w:sz w:val="24"/>
        </w:rPr>
        <w:t xml:space="preserve"> super-intensive culture at low salinity condition. Journal of Aquaculture Research &amp; Development, 9(4), 1000530. https://doi.org/10.4172/2155-9546.1000530</w:t>
      </w:r>
    </w:p>
    <w:p w14:paraId="0B7959BA"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lastRenderedPageBreak/>
        <w:t xml:space="preserve">Thang, L. V. (2023). Comparing some environmental problems between super intensive and intensive - </w:t>
      </w:r>
      <w:proofErr w:type="gramStart"/>
      <w:r w:rsidRPr="0092033E">
        <w:rPr>
          <w:rFonts w:eastAsia="Times New Roman"/>
          <w:sz w:val="24"/>
        </w:rPr>
        <w:t>semi intensive</w:t>
      </w:r>
      <w:proofErr w:type="gramEnd"/>
      <w:r w:rsidRPr="0092033E">
        <w:rPr>
          <w:rFonts w:eastAsia="Times New Roman"/>
          <w:sz w:val="24"/>
        </w:rPr>
        <w:t xml:space="preserve"> shrimp farming models in Bac Lieu province. Journal of Science and Technology, 62, 104–112. https://doi.org/10.46242/jstiuh.v62i02.4787 (in Vietnamese).</w:t>
      </w:r>
    </w:p>
    <w:p w14:paraId="4973FB87"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t>Thang, N. V., Thao, N. T. T., Hai, L. T., &amp; Thao, N. T. P. (2024). Applying life cycle assessment (LCA) and life cycle costing (LCC) tools for waste recovery model in super-intensive shrimp farming system in Ca Mau province. Science &amp; Technology Development Journal - Science of The Earth &amp; Environment, 8(1), 850–863 (in Vietnamese).</w:t>
      </w:r>
    </w:p>
    <w:p w14:paraId="01854469"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t xml:space="preserve">Thao, N. T. P., Tung, T. V., Tri, N. L. M., Thang, N. V., Hai, L. T., Thao, N. T. T., &amp; An, N. Q. (2024). Evaluating environmental and economic efficiency of a super-intensive </w:t>
      </w:r>
      <w:proofErr w:type="spellStart"/>
      <w:r w:rsidRPr="0092033E">
        <w:rPr>
          <w:rFonts w:eastAsia="Times New Roman"/>
          <w:sz w:val="24"/>
        </w:rPr>
        <w:t>Vannamei</w:t>
      </w:r>
      <w:proofErr w:type="spellEnd"/>
      <w:r w:rsidRPr="0092033E">
        <w:rPr>
          <w:rFonts w:eastAsia="Times New Roman"/>
          <w:sz w:val="24"/>
        </w:rPr>
        <w:t xml:space="preserve"> shrimp farm for nutrient flow circulation. IOP Conference Series: Earth and Environmental Science, 1383, 012004. https://doi.org/10.1088/1755-1315/1383/1/012004</w:t>
      </w:r>
    </w:p>
    <w:p w14:paraId="709E25DE"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t>That, L. T., &amp; Hoang, H. Y. (2024). Utilizing a settling pond-based constructed wetland for the treatment of shrimp aquaculture wastewater - From laboratory to field scale: A case study in Ben Tre Province. Ecological Engineering, 199, 107172. https://doi.org/10.1016/j.ecoleng.2023.107172</w:t>
      </w:r>
    </w:p>
    <w:p w14:paraId="7E1F988D"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t xml:space="preserve">Thuan, N. C., Khanh, T. D., Danh, D. T., &amp; Nam, T. S. (2023). Effects of the stirring on biogas production from super intensive shrimp sludge. Can </w:t>
      </w:r>
      <w:proofErr w:type="spellStart"/>
      <w:r w:rsidRPr="0092033E">
        <w:rPr>
          <w:rFonts w:eastAsia="Times New Roman"/>
          <w:sz w:val="24"/>
        </w:rPr>
        <w:t>Tho</w:t>
      </w:r>
      <w:proofErr w:type="spellEnd"/>
      <w:r w:rsidRPr="0092033E">
        <w:rPr>
          <w:rFonts w:eastAsia="Times New Roman"/>
          <w:sz w:val="24"/>
        </w:rPr>
        <w:t xml:space="preserve"> University Journal of Science, 59, 10–20. https://doi.org/10.22144/ctu.jvn.2023.102 (in Vietnamese).</w:t>
      </w:r>
    </w:p>
    <w:p w14:paraId="1D2C5BFA"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t>Tien, H. L., Nguyen, T. K., Pham, S. N., &amp; Tran, T. K. (2024). An evaluation of energy efficiency of super-intensive shrimp farming toward closed-loop water circulation and energy recycling from sewage sludge. Journal of Fisheries Science and Technology, (4), 154–166. https://doi.org/10.53818/jfst.04.2024.513 (in Vietnamese).</w:t>
      </w:r>
    </w:p>
    <w:p w14:paraId="49D137F2"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t xml:space="preserve">Ton, T. L., Lam, V. T., Tu, T. T. K., &amp; Nguyen, V. T. (2023). Evaluation of the </w:t>
      </w:r>
      <w:proofErr w:type="gramStart"/>
      <w:r w:rsidRPr="0092033E">
        <w:rPr>
          <w:rFonts w:eastAsia="Times New Roman"/>
          <w:sz w:val="24"/>
        </w:rPr>
        <w:t>current status</w:t>
      </w:r>
      <w:proofErr w:type="gramEnd"/>
      <w:r w:rsidRPr="0092033E">
        <w:rPr>
          <w:rFonts w:eastAsia="Times New Roman"/>
          <w:sz w:val="24"/>
        </w:rPr>
        <w:t xml:space="preserve"> of wastewater management and treatment from super-intensive </w:t>
      </w:r>
      <w:proofErr w:type="spellStart"/>
      <w:r w:rsidRPr="0092033E">
        <w:rPr>
          <w:rFonts w:eastAsia="Times New Roman"/>
          <w:sz w:val="24"/>
        </w:rPr>
        <w:t>whiteleg</w:t>
      </w:r>
      <w:proofErr w:type="spellEnd"/>
      <w:r w:rsidRPr="0092033E">
        <w:rPr>
          <w:rFonts w:eastAsia="Times New Roman"/>
          <w:sz w:val="24"/>
        </w:rPr>
        <w:t xml:space="preserve"> (Penaeus </w:t>
      </w:r>
      <w:proofErr w:type="spellStart"/>
      <w:r w:rsidRPr="0092033E">
        <w:rPr>
          <w:rFonts w:eastAsia="Times New Roman"/>
          <w:sz w:val="24"/>
        </w:rPr>
        <w:t>vannamei</w:t>
      </w:r>
      <w:proofErr w:type="spellEnd"/>
      <w:r w:rsidRPr="0092033E">
        <w:rPr>
          <w:rFonts w:eastAsia="Times New Roman"/>
          <w:sz w:val="24"/>
        </w:rPr>
        <w:t xml:space="preserve">) shrimp ponds in Ben Tre Province. Journal of </w:t>
      </w:r>
      <w:proofErr w:type="gramStart"/>
      <w:r w:rsidRPr="0092033E">
        <w:rPr>
          <w:rFonts w:eastAsia="Times New Roman"/>
          <w:sz w:val="24"/>
        </w:rPr>
        <w:t>Hydro-Meteorology</w:t>
      </w:r>
      <w:proofErr w:type="gramEnd"/>
      <w:r w:rsidRPr="0092033E">
        <w:rPr>
          <w:rFonts w:eastAsia="Times New Roman"/>
          <w:sz w:val="24"/>
        </w:rPr>
        <w:t>, 16, 56–64. https://doi.org/10.36335/VNJHM.2023(16).56-64</w:t>
      </w:r>
    </w:p>
    <w:p w14:paraId="7A5C2C9B"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t>Tran, M. H., Nguyen, T. T., Nguyen, T. D., Nguyen, C. T., Nguyen, T. Q., &amp; Nguyen, H. C. (2023). The effects of ammonium loading rates and salinity on ammonium treatment of wastewater from super-intensive shrimp farming. Vietnam Journal of Science and Technology, 61(5), 854–864. https://doi.org/10.15625/2525-2518/16427</w:t>
      </w:r>
    </w:p>
    <w:p w14:paraId="3D283384"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t xml:space="preserve">Tran, S. N., Nguyen, H. C., Huynh, V. T., Huynh, C. K., Nguyen, C. T., Dinh, T. D., Duong, T. D., Izumi, T., Maeda, K. &amp; Nguyen, V. C. (2022). Biogas production from biowastes sources in the Vietnamese Mekong Delta. Can </w:t>
      </w:r>
      <w:proofErr w:type="spellStart"/>
      <w:r w:rsidRPr="0092033E">
        <w:rPr>
          <w:rFonts w:eastAsia="Times New Roman"/>
          <w:sz w:val="24"/>
        </w:rPr>
        <w:t>Tho</w:t>
      </w:r>
      <w:proofErr w:type="spellEnd"/>
      <w:r w:rsidRPr="0092033E">
        <w:rPr>
          <w:rFonts w:eastAsia="Times New Roman"/>
          <w:sz w:val="24"/>
        </w:rPr>
        <w:t xml:space="preserve"> University Journal of Science, 58, 239–251. https://doi.org/10.22144/ctu.jvn.2022.210 (in Vietnamese).</w:t>
      </w:r>
    </w:p>
    <w:p w14:paraId="4A4D1682"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t>Trang, N. T., Tu, V. H., Son, L. T., &amp; Son, N. P. (2022). Is super-intensive shrimp farming more environmentally friendly? An application of material balance principle in the Mekong Delta. Environment, Development and Sustainability, 25(3), 2670–2687. https://doi.org/10.1007/s10668-022-02156-2</w:t>
      </w:r>
    </w:p>
    <w:p w14:paraId="0A6564FA"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t xml:space="preserve">Tri, N. L. M., Hieu, T. T., Kien, T. T., Thang, N. V., Thao, N. T. P., &amp; Sung, N. V. (2022). Assessment of the </w:t>
      </w:r>
      <w:proofErr w:type="gramStart"/>
      <w:r w:rsidRPr="0092033E">
        <w:rPr>
          <w:rFonts w:eastAsia="Times New Roman"/>
          <w:sz w:val="24"/>
        </w:rPr>
        <w:t>current status</w:t>
      </w:r>
      <w:proofErr w:type="gramEnd"/>
      <w:r w:rsidRPr="0092033E">
        <w:rPr>
          <w:rFonts w:eastAsia="Times New Roman"/>
          <w:sz w:val="24"/>
        </w:rPr>
        <w:t xml:space="preserve"> of wastewater and sewage sludge generated from intensive and super-intensive shrimp farms in Bac Lieu province and proposal of wastewater treatment and sludge management methods. Journal of Environmental, Special Issue III, 98–104 (in Vietnamese).</w:t>
      </w:r>
    </w:p>
    <w:p w14:paraId="6EDF85F0"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lastRenderedPageBreak/>
        <w:t>VASEP - Vietnam Association of Seafood Exporters and Producers (2026). Vietnam’s shrimp exports peaked at 4.6 billion USD in 2025. https://vasep.com.vn/san-pham-xuat-khau/tom/xuat-nhap-khau/xuat-khau-tom-viet-nam-dat-dinh-4-6-ty-usd-nam-2025-35852.html</w:t>
      </w:r>
    </w:p>
    <w:p w14:paraId="10222E18"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proofErr w:type="spellStart"/>
      <w:r w:rsidRPr="0092033E">
        <w:rPr>
          <w:rFonts w:eastAsia="Times New Roman"/>
          <w:sz w:val="24"/>
        </w:rPr>
        <w:t>Widiasa</w:t>
      </w:r>
      <w:proofErr w:type="spellEnd"/>
      <w:r w:rsidRPr="0092033E">
        <w:rPr>
          <w:rFonts w:eastAsia="Times New Roman"/>
          <w:sz w:val="24"/>
        </w:rPr>
        <w:t xml:space="preserve">, I. N., </w:t>
      </w:r>
      <w:proofErr w:type="spellStart"/>
      <w:r w:rsidRPr="0092033E">
        <w:rPr>
          <w:rFonts w:eastAsia="Times New Roman"/>
          <w:sz w:val="24"/>
        </w:rPr>
        <w:t>Sunaryo</w:t>
      </w:r>
      <w:proofErr w:type="spellEnd"/>
      <w:r w:rsidRPr="0092033E">
        <w:rPr>
          <w:rFonts w:eastAsia="Times New Roman"/>
          <w:sz w:val="24"/>
        </w:rPr>
        <w:t xml:space="preserve">, S., </w:t>
      </w:r>
      <w:proofErr w:type="spellStart"/>
      <w:r w:rsidRPr="0092033E">
        <w:rPr>
          <w:rFonts w:eastAsia="Times New Roman"/>
          <w:sz w:val="24"/>
        </w:rPr>
        <w:t>Yudiati</w:t>
      </w:r>
      <w:proofErr w:type="spellEnd"/>
      <w:r w:rsidRPr="0092033E">
        <w:rPr>
          <w:rFonts w:eastAsia="Times New Roman"/>
          <w:sz w:val="24"/>
        </w:rPr>
        <w:t xml:space="preserve">, E., Susanto, H., Putra, G. D., </w:t>
      </w:r>
      <w:proofErr w:type="spellStart"/>
      <w:r w:rsidRPr="0092033E">
        <w:rPr>
          <w:rFonts w:eastAsia="Times New Roman"/>
          <w:sz w:val="24"/>
        </w:rPr>
        <w:t>Khoiruddin</w:t>
      </w:r>
      <w:proofErr w:type="spellEnd"/>
      <w:r w:rsidRPr="0092033E">
        <w:rPr>
          <w:rFonts w:eastAsia="Times New Roman"/>
          <w:sz w:val="24"/>
        </w:rPr>
        <w:t xml:space="preserve">, K., &amp; </w:t>
      </w:r>
      <w:proofErr w:type="spellStart"/>
      <w:r w:rsidRPr="0092033E">
        <w:rPr>
          <w:rFonts w:eastAsia="Times New Roman"/>
          <w:sz w:val="24"/>
        </w:rPr>
        <w:t>Wenten</w:t>
      </w:r>
      <w:proofErr w:type="spellEnd"/>
      <w:r w:rsidRPr="0092033E">
        <w:rPr>
          <w:rFonts w:eastAsia="Times New Roman"/>
          <w:sz w:val="24"/>
        </w:rPr>
        <w:t xml:space="preserve">, I. G. (2024). Pond water dynamics and cultivation performance of super-intensive </w:t>
      </w:r>
      <w:proofErr w:type="spellStart"/>
      <w:r w:rsidRPr="0092033E">
        <w:rPr>
          <w:rFonts w:eastAsia="Times New Roman"/>
          <w:sz w:val="24"/>
        </w:rPr>
        <w:t>whiteleg</w:t>
      </w:r>
      <w:proofErr w:type="spellEnd"/>
      <w:r w:rsidRPr="0092033E">
        <w:rPr>
          <w:rFonts w:eastAsia="Times New Roman"/>
          <w:sz w:val="24"/>
        </w:rPr>
        <w:t xml:space="preserve"> shrimp (</w:t>
      </w:r>
      <w:proofErr w:type="spellStart"/>
      <w:r w:rsidRPr="0092033E">
        <w:rPr>
          <w:rFonts w:eastAsia="Times New Roman"/>
          <w:sz w:val="24"/>
        </w:rPr>
        <w:t>Litopenaeus</w:t>
      </w:r>
      <w:proofErr w:type="spellEnd"/>
      <w:r w:rsidRPr="0092033E">
        <w:rPr>
          <w:rFonts w:eastAsia="Times New Roman"/>
          <w:sz w:val="24"/>
        </w:rPr>
        <w:t xml:space="preserve"> </w:t>
      </w:r>
      <w:proofErr w:type="spellStart"/>
      <w:r w:rsidRPr="0092033E">
        <w:rPr>
          <w:rFonts w:eastAsia="Times New Roman"/>
          <w:sz w:val="24"/>
        </w:rPr>
        <w:t>vannamei</w:t>
      </w:r>
      <w:proofErr w:type="spellEnd"/>
      <w:r w:rsidRPr="0092033E">
        <w:rPr>
          <w:rFonts w:eastAsia="Times New Roman"/>
          <w:sz w:val="24"/>
        </w:rPr>
        <w:t>) farming in membrane-based recirculating aquaculture system. Aquaculture and Fisheries, 11(4) 808–820. https://doi.org/10.1016/j.aaf.2025.11.013</w:t>
      </w:r>
    </w:p>
    <w:p w14:paraId="0A4F0366" w14:textId="77777777"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t>Ye, J., Li, D., Sun, Y., Wang, G., Yuan, Z., Zhen, F., &amp; Wang, Y. (2013). Improved biogas production from rice straw by co-digestion with kitchen waste and pig manure. Waste Management, 33(12), 2653–2658. https://doi.org/10.1016/j.wasman.2013.05.014</w:t>
      </w:r>
    </w:p>
    <w:p w14:paraId="52C553A3" w14:textId="144207C5" w:rsidR="0092033E" w:rsidRPr="0092033E" w:rsidRDefault="0092033E" w:rsidP="0092033E">
      <w:pPr>
        <w:pStyle w:val="ListParagraph"/>
        <w:numPr>
          <w:ilvl w:val="0"/>
          <w:numId w:val="38"/>
        </w:numPr>
        <w:spacing w:before="240" w:after="240" w:line="240" w:lineRule="auto"/>
        <w:ind w:hanging="436"/>
        <w:jc w:val="both"/>
        <w:rPr>
          <w:rFonts w:eastAsia="Times New Roman"/>
          <w:sz w:val="24"/>
        </w:rPr>
      </w:pPr>
      <w:r w:rsidRPr="0092033E">
        <w:rPr>
          <w:rFonts w:eastAsia="Times New Roman"/>
          <w:sz w:val="24"/>
        </w:rPr>
        <w:t xml:space="preserve">Zhang, L., Loh, K. C., &amp; Zhang, J. (2019). Enhanced biogas production from anaerobic digestion of solid organic wastes: </w:t>
      </w:r>
      <w:proofErr w:type="gramStart"/>
      <w:r w:rsidRPr="0092033E">
        <w:rPr>
          <w:rFonts w:eastAsia="Times New Roman"/>
          <w:sz w:val="24"/>
        </w:rPr>
        <w:t>Current status</w:t>
      </w:r>
      <w:proofErr w:type="gramEnd"/>
      <w:r w:rsidRPr="0092033E">
        <w:rPr>
          <w:rFonts w:eastAsia="Times New Roman"/>
          <w:sz w:val="24"/>
        </w:rPr>
        <w:t xml:space="preserve"> and prospects. Bioresource Technology Reports, 5: 280–296. https://doi.org/10.1016/j.biteb.2018.07.005</w:t>
      </w:r>
    </w:p>
    <w:p w14:paraId="6C7ADC24" w14:textId="2C545AC5" w:rsidR="00AA4587" w:rsidRPr="00F41F74" w:rsidRDefault="00AA4587" w:rsidP="00F41F74">
      <w:pPr>
        <w:spacing w:before="240" w:after="240" w:line="240" w:lineRule="auto"/>
        <w:jc w:val="both"/>
        <w:rPr>
          <w:rFonts w:eastAsia="Times New Roman"/>
          <w:sz w:val="24"/>
        </w:rPr>
      </w:pPr>
    </w:p>
    <w:sectPr w:rsidR="00AA4587" w:rsidRPr="00F41F74" w:rsidSect="00A3509C">
      <w:type w:val="continuous"/>
      <w:pgSz w:w="11906" w:h="16838" w:code="9"/>
      <w:pgMar w:top="1094" w:right="605" w:bottom="605" w:left="605" w:header="346" w:footer="40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E94F9" w14:textId="77777777" w:rsidR="00182548" w:rsidRDefault="00182548" w:rsidP="00AA4587">
      <w:pPr>
        <w:spacing w:before="0" w:line="240" w:lineRule="auto"/>
      </w:pPr>
      <w:r>
        <w:separator/>
      </w:r>
    </w:p>
  </w:endnote>
  <w:endnote w:type="continuationSeparator" w:id="0">
    <w:p w14:paraId="579A27DE" w14:textId="77777777" w:rsidR="00182548" w:rsidRDefault="00182548" w:rsidP="00AA458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E70B4" w14:textId="77777777" w:rsidR="00182548" w:rsidRDefault="00182548" w:rsidP="00AA4587">
      <w:pPr>
        <w:spacing w:before="0" w:line="240" w:lineRule="auto"/>
      </w:pPr>
      <w:r>
        <w:separator/>
      </w:r>
    </w:p>
  </w:footnote>
  <w:footnote w:type="continuationSeparator" w:id="0">
    <w:p w14:paraId="6E929A8C" w14:textId="77777777" w:rsidR="00182548" w:rsidRDefault="00182548" w:rsidP="00AA4587">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29DC"/>
    <w:multiLevelType w:val="hybridMultilevel"/>
    <w:tmpl w:val="8E164CD4"/>
    <w:lvl w:ilvl="0" w:tplc="923CB1E2">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D65725"/>
    <w:multiLevelType w:val="hybridMultilevel"/>
    <w:tmpl w:val="CF406556"/>
    <w:lvl w:ilvl="0" w:tplc="5EFC6BA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79216C"/>
    <w:multiLevelType w:val="hybridMultilevel"/>
    <w:tmpl w:val="B56A37A0"/>
    <w:lvl w:ilvl="0" w:tplc="923CB1E2">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1567C8"/>
    <w:multiLevelType w:val="hybridMultilevel"/>
    <w:tmpl w:val="77128894"/>
    <w:lvl w:ilvl="0" w:tplc="923CB1E2">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525151"/>
    <w:multiLevelType w:val="hybridMultilevel"/>
    <w:tmpl w:val="95A417B6"/>
    <w:lvl w:ilvl="0" w:tplc="5EFC6BA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9A270F"/>
    <w:multiLevelType w:val="hybridMultilevel"/>
    <w:tmpl w:val="3BD60AF6"/>
    <w:lvl w:ilvl="0" w:tplc="5EFC6BA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9110E3"/>
    <w:multiLevelType w:val="hybridMultilevel"/>
    <w:tmpl w:val="AA2E14BA"/>
    <w:lvl w:ilvl="0" w:tplc="84F6401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306115"/>
    <w:multiLevelType w:val="hybridMultilevel"/>
    <w:tmpl w:val="7C869C36"/>
    <w:lvl w:ilvl="0" w:tplc="923CB1E2">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7A7D52"/>
    <w:multiLevelType w:val="hybridMultilevel"/>
    <w:tmpl w:val="DE829BD8"/>
    <w:lvl w:ilvl="0" w:tplc="52B8C392">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2E789B"/>
    <w:multiLevelType w:val="hybridMultilevel"/>
    <w:tmpl w:val="FE4E98B4"/>
    <w:lvl w:ilvl="0" w:tplc="7A021208">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EF3BE7"/>
    <w:multiLevelType w:val="hybridMultilevel"/>
    <w:tmpl w:val="7FE2868A"/>
    <w:lvl w:ilvl="0" w:tplc="5EFC6BA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8E080E"/>
    <w:multiLevelType w:val="hybridMultilevel"/>
    <w:tmpl w:val="752A5746"/>
    <w:lvl w:ilvl="0" w:tplc="923CB1E2">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3195B40"/>
    <w:multiLevelType w:val="hybridMultilevel"/>
    <w:tmpl w:val="E2D0EA6C"/>
    <w:lvl w:ilvl="0" w:tplc="5EFC6BA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A52CFA"/>
    <w:multiLevelType w:val="hybridMultilevel"/>
    <w:tmpl w:val="68D657B0"/>
    <w:lvl w:ilvl="0" w:tplc="923CB1E2">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95346C4"/>
    <w:multiLevelType w:val="hybridMultilevel"/>
    <w:tmpl w:val="1122BF36"/>
    <w:lvl w:ilvl="0" w:tplc="52B8C39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6F1738"/>
    <w:multiLevelType w:val="hybridMultilevel"/>
    <w:tmpl w:val="D6A409BC"/>
    <w:lvl w:ilvl="0" w:tplc="9B0A4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730A5D"/>
    <w:multiLevelType w:val="hybridMultilevel"/>
    <w:tmpl w:val="9B84B7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24CCF"/>
    <w:multiLevelType w:val="hybridMultilevel"/>
    <w:tmpl w:val="D116BD54"/>
    <w:lvl w:ilvl="0" w:tplc="923CB1E2">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C738C4"/>
    <w:multiLevelType w:val="hybridMultilevel"/>
    <w:tmpl w:val="7A6E7226"/>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DC637F"/>
    <w:multiLevelType w:val="hybridMultilevel"/>
    <w:tmpl w:val="AD6A5B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347EC0"/>
    <w:multiLevelType w:val="hybridMultilevel"/>
    <w:tmpl w:val="A28A1F3C"/>
    <w:lvl w:ilvl="0" w:tplc="5EFC6BA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4B67027"/>
    <w:multiLevelType w:val="hybridMultilevel"/>
    <w:tmpl w:val="9680229C"/>
    <w:lvl w:ilvl="0" w:tplc="5EFC6BA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C390CE8"/>
    <w:multiLevelType w:val="hybridMultilevel"/>
    <w:tmpl w:val="B9DA7596"/>
    <w:lvl w:ilvl="0" w:tplc="923CB1E2">
      <w:start w:val="2"/>
      <w:numFmt w:val="bullet"/>
      <w:lvlText w:val="-"/>
      <w:lvlJc w:val="left"/>
      <w:pPr>
        <w:ind w:left="360" w:hanging="360"/>
      </w:pPr>
      <w:rPr>
        <w:rFonts w:ascii="Times New Roman" w:eastAsia="Times New Roman"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1D54C4C"/>
    <w:multiLevelType w:val="hybridMultilevel"/>
    <w:tmpl w:val="9A9CF00C"/>
    <w:lvl w:ilvl="0" w:tplc="5EFC6BA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947D87"/>
    <w:multiLevelType w:val="multilevel"/>
    <w:tmpl w:val="00B8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FB7678"/>
    <w:multiLevelType w:val="hybridMultilevel"/>
    <w:tmpl w:val="4FCA6482"/>
    <w:lvl w:ilvl="0" w:tplc="923CB1E2">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D9A243A"/>
    <w:multiLevelType w:val="hybridMultilevel"/>
    <w:tmpl w:val="0BB6C5A4"/>
    <w:lvl w:ilvl="0" w:tplc="923CB1E2">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E44233E"/>
    <w:multiLevelType w:val="multilevel"/>
    <w:tmpl w:val="6C9C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D8356C"/>
    <w:multiLevelType w:val="hybridMultilevel"/>
    <w:tmpl w:val="6A1AEF12"/>
    <w:lvl w:ilvl="0" w:tplc="5EFC6BA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7230475"/>
    <w:multiLevelType w:val="hybridMultilevel"/>
    <w:tmpl w:val="47F630F2"/>
    <w:lvl w:ilvl="0" w:tplc="923CB1E2">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AF72D6"/>
    <w:multiLevelType w:val="hybridMultilevel"/>
    <w:tmpl w:val="35765968"/>
    <w:lvl w:ilvl="0" w:tplc="68EA7204">
      <w:start w:val="1"/>
      <w:numFmt w:val="decimal"/>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9715242"/>
    <w:multiLevelType w:val="hybridMultilevel"/>
    <w:tmpl w:val="E46EE058"/>
    <w:lvl w:ilvl="0" w:tplc="5EFC6BA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223336"/>
    <w:multiLevelType w:val="hybridMultilevel"/>
    <w:tmpl w:val="C524B376"/>
    <w:lvl w:ilvl="0" w:tplc="5EFC6BA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BEC1035"/>
    <w:multiLevelType w:val="hybridMultilevel"/>
    <w:tmpl w:val="54FCAEC0"/>
    <w:lvl w:ilvl="0" w:tplc="5E4CE9A8">
      <w:numFmt w:val="bullet"/>
      <w:lvlText w:val="-"/>
      <w:lvlJc w:val="left"/>
      <w:pPr>
        <w:ind w:left="1200" w:hanging="84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050A6B"/>
    <w:multiLevelType w:val="hybridMultilevel"/>
    <w:tmpl w:val="A0A0A148"/>
    <w:lvl w:ilvl="0" w:tplc="5EFC6BA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ACC32A1"/>
    <w:multiLevelType w:val="hybridMultilevel"/>
    <w:tmpl w:val="2CBA478A"/>
    <w:lvl w:ilvl="0" w:tplc="923CB1E2">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7E6CE9"/>
    <w:multiLevelType w:val="hybridMultilevel"/>
    <w:tmpl w:val="ABDA619C"/>
    <w:lvl w:ilvl="0" w:tplc="5EFC6BA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F251429"/>
    <w:multiLevelType w:val="hybridMultilevel"/>
    <w:tmpl w:val="5DACF808"/>
    <w:lvl w:ilvl="0" w:tplc="5EFC6BA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0"/>
  </w:num>
  <w:num w:numId="2">
    <w:abstractNumId w:val="15"/>
  </w:num>
  <w:num w:numId="3">
    <w:abstractNumId w:val="6"/>
  </w:num>
  <w:num w:numId="4">
    <w:abstractNumId w:val="18"/>
  </w:num>
  <w:num w:numId="5">
    <w:abstractNumId w:val="27"/>
  </w:num>
  <w:num w:numId="6">
    <w:abstractNumId w:val="22"/>
  </w:num>
  <w:num w:numId="7">
    <w:abstractNumId w:val="9"/>
  </w:num>
  <w:num w:numId="8">
    <w:abstractNumId w:val="29"/>
  </w:num>
  <w:num w:numId="9">
    <w:abstractNumId w:val="17"/>
  </w:num>
  <w:num w:numId="10">
    <w:abstractNumId w:val="25"/>
  </w:num>
  <w:num w:numId="11">
    <w:abstractNumId w:val="11"/>
  </w:num>
  <w:num w:numId="12">
    <w:abstractNumId w:val="35"/>
  </w:num>
  <w:num w:numId="13">
    <w:abstractNumId w:val="16"/>
  </w:num>
  <w:num w:numId="14">
    <w:abstractNumId w:val="2"/>
  </w:num>
  <w:num w:numId="15">
    <w:abstractNumId w:val="3"/>
  </w:num>
  <w:num w:numId="16">
    <w:abstractNumId w:val="0"/>
  </w:num>
  <w:num w:numId="17">
    <w:abstractNumId w:val="24"/>
  </w:num>
  <w:num w:numId="18">
    <w:abstractNumId w:val="7"/>
  </w:num>
  <w:num w:numId="19">
    <w:abstractNumId w:val="13"/>
  </w:num>
  <w:num w:numId="20">
    <w:abstractNumId w:val="19"/>
  </w:num>
  <w:num w:numId="21">
    <w:abstractNumId w:val="26"/>
  </w:num>
  <w:num w:numId="22">
    <w:abstractNumId w:val="8"/>
  </w:num>
  <w:num w:numId="23">
    <w:abstractNumId w:val="28"/>
  </w:num>
  <w:num w:numId="24">
    <w:abstractNumId w:val="33"/>
  </w:num>
  <w:num w:numId="25">
    <w:abstractNumId w:val="10"/>
  </w:num>
  <w:num w:numId="26">
    <w:abstractNumId w:val="37"/>
  </w:num>
  <w:num w:numId="27">
    <w:abstractNumId w:val="5"/>
  </w:num>
  <w:num w:numId="28">
    <w:abstractNumId w:val="34"/>
  </w:num>
  <w:num w:numId="29">
    <w:abstractNumId w:val="12"/>
  </w:num>
  <w:num w:numId="30">
    <w:abstractNumId w:val="32"/>
  </w:num>
  <w:num w:numId="31">
    <w:abstractNumId w:val="36"/>
  </w:num>
  <w:num w:numId="32">
    <w:abstractNumId w:val="21"/>
  </w:num>
  <w:num w:numId="33">
    <w:abstractNumId w:val="20"/>
  </w:num>
  <w:num w:numId="34">
    <w:abstractNumId w:val="23"/>
  </w:num>
  <w:num w:numId="35">
    <w:abstractNumId w:val="4"/>
  </w:num>
  <w:num w:numId="36">
    <w:abstractNumId w:val="31"/>
  </w:num>
  <w:num w:numId="37">
    <w:abstractNumId w:val="1"/>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35"/>
  <w:drawingGridHorizontalSpacing w:val="13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FD"/>
    <w:rsid w:val="0001181B"/>
    <w:rsid w:val="00015FC3"/>
    <w:rsid w:val="00042B1D"/>
    <w:rsid w:val="00046433"/>
    <w:rsid w:val="000466BD"/>
    <w:rsid w:val="00057EA8"/>
    <w:rsid w:val="00066E7C"/>
    <w:rsid w:val="00074F05"/>
    <w:rsid w:val="00097AD9"/>
    <w:rsid w:val="000B7480"/>
    <w:rsid w:val="000C736F"/>
    <w:rsid w:val="000D0E19"/>
    <w:rsid w:val="000D7E65"/>
    <w:rsid w:val="000E18B2"/>
    <w:rsid w:val="000E63D8"/>
    <w:rsid w:val="00102A92"/>
    <w:rsid w:val="001161D0"/>
    <w:rsid w:val="00152A93"/>
    <w:rsid w:val="001651BB"/>
    <w:rsid w:val="00177462"/>
    <w:rsid w:val="00182548"/>
    <w:rsid w:val="00187EBE"/>
    <w:rsid w:val="00192CC7"/>
    <w:rsid w:val="00196872"/>
    <w:rsid w:val="001A138D"/>
    <w:rsid w:val="001A2160"/>
    <w:rsid w:val="001A496D"/>
    <w:rsid w:val="001B0588"/>
    <w:rsid w:val="001D25FD"/>
    <w:rsid w:val="0020090A"/>
    <w:rsid w:val="00217484"/>
    <w:rsid w:val="0024795E"/>
    <w:rsid w:val="00264B68"/>
    <w:rsid w:val="00267F71"/>
    <w:rsid w:val="002818BC"/>
    <w:rsid w:val="00283AA2"/>
    <w:rsid w:val="002A0410"/>
    <w:rsid w:val="002A7D63"/>
    <w:rsid w:val="002E13E6"/>
    <w:rsid w:val="002E4AD0"/>
    <w:rsid w:val="00311F4F"/>
    <w:rsid w:val="00312A4B"/>
    <w:rsid w:val="003168E0"/>
    <w:rsid w:val="00323085"/>
    <w:rsid w:val="003546EB"/>
    <w:rsid w:val="003A6510"/>
    <w:rsid w:val="003D1643"/>
    <w:rsid w:val="003D7789"/>
    <w:rsid w:val="0041178F"/>
    <w:rsid w:val="004154B9"/>
    <w:rsid w:val="00421FB8"/>
    <w:rsid w:val="00424CFC"/>
    <w:rsid w:val="00431359"/>
    <w:rsid w:val="00477291"/>
    <w:rsid w:val="00494559"/>
    <w:rsid w:val="004C56C1"/>
    <w:rsid w:val="004F47BC"/>
    <w:rsid w:val="00514AE7"/>
    <w:rsid w:val="00515DB5"/>
    <w:rsid w:val="00533D59"/>
    <w:rsid w:val="00535F54"/>
    <w:rsid w:val="00542640"/>
    <w:rsid w:val="005512E4"/>
    <w:rsid w:val="005567D6"/>
    <w:rsid w:val="00566179"/>
    <w:rsid w:val="00573763"/>
    <w:rsid w:val="00594748"/>
    <w:rsid w:val="00594FB8"/>
    <w:rsid w:val="005A43E5"/>
    <w:rsid w:val="005B0903"/>
    <w:rsid w:val="005B4E11"/>
    <w:rsid w:val="005D7A6C"/>
    <w:rsid w:val="005E6136"/>
    <w:rsid w:val="005F130E"/>
    <w:rsid w:val="005F4B75"/>
    <w:rsid w:val="005F4EC4"/>
    <w:rsid w:val="00621C74"/>
    <w:rsid w:val="006240FF"/>
    <w:rsid w:val="0066539C"/>
    <w:rsid w:val="00673D94"/>
    <w:rsid w:val="006804C7"/>
    <w:rsid w:val="006A4262"/>
    <w:rsid w:val="006D2B9D"/>
    <w:rsid w:val="006D495E"/>
    <w:rsid w:val="006E42FA"/>
    <w:rsid w:val="006E6558"/>
    <w:rsid w:val="007124A6"/>
    <w:rsid w:val="007221D3"/>
    <w:rsid w:val="0072259D"/>
    <w:rsid w:val="007262FA"/>
    <w:rsid w:val="00734A15"/>
    <w:rsid w:val="00747A49"/>
    <w:rsid w:val="007618CC"/>
    <w:rsid w:val="00772095"/>
    <w:rsid w:val="007816DB"/>
    <w:rsid w:val="00790EDD"/>
    <w:rsid w:val="007915FE"/>
    <w:rsid w:val="007974FD"/>
    <w:rsid w:val="00797714"/>
    <w:rsid w:val="007B0C76"/>
    <w:rsid w:val="007C0B4F"/>
    <w:rsid w:val="007F53D0"/>
    <w:rsid w:val="007F5584"/>
    <w:rsid w:val="008230BF"/>
    <w:rsid w:val="008519FD"/>
    <w:rsid w:val="00855E8D"/>
    <w:rsid w:val="00875046"/>
    <w:rsid w:val="008A7992"/>
    <w:rsid w:val="008B2CA4"/>
    <w:rsid w:val="008C1684"/>
    <w:rsid w:val="0092033E"/>
    <w:rsid w:val="00925F07"/>
    <w:rsid w:val="00940521"/>
    <w:rsid w:val="00960757"/>
    <w:rsid w:val="009B4AAC"/>
    <w:rsid w:val="009F7745"/>
    <w:rsid w:val="00A3509C"/>
    <w:rsid w:val="00A4039B"/>
    <w:rsid w:val="00A563EB"/>
    <w:rsid w:val="00A57543"/>
    <w:rsid w:val="00A57B7B"/>
    <w:rsid w:val="00A62F3E"/>
    <w:rsid w:val="00A738CD"/>
    <w:rsid w:val="00A7749F"/>
    <w:rsid w:val="00A82DBA"/>
    <w:rsid w:val="00A85C4E"/>
    <w:rsid w:val="00A94EFB"/>
    <w:rsid w:val="00AA10F7"/>
    <w:rsid w:val="00AA1319"/>
    <w:rsid w:val="00AA4587"/>
    <w:rsid w:val="00AC12DF"/>
    <w:rsid w:val="00AF5676"/>
    <w:rsid w:val="00AF5C30"/>
    <w:rsid w:val="00B020D6"/>
    <w:rsid w:val="00B21305"/>
    <w:rsid w:val="00B25E55"/>
    <w:rsid w:val="00B30B0A"/>
    <w:rsid w:val="00B35EED"/>
    <w:rsid w:val="00B36A64"/>
    <w:rsid w:val="00B52A04"/>
    <w:rsid w:val="00B55E1C"/>
    <w:rsid w:val="00B6608E"/>
    <w:rsid w:val="00B710D0"/>
    <w:rsid w:val="00B83AAC"/>
    <w:rsid w:val="00B8455F"/>
    <w:rsid w:val="00B84B93"/>
    <w:rsid w:val="00BB52E4"/>
    <w:rsid w:val="00BB53B0"/>
    <w:rsid w:val="00BB76C7"/>
    <w:rsid w:val="00BC2C3D"/>
    <w:rsid w:val="00BE53AA"/>
    <w:rsid w:val="00C11D41"/>
    <w:rsid w:val="00C17412"/>
    <w:rsid w:val="00C248A9"/>
    <w:rsid w:val="00C27D4D"/>
    <w:rsid w:val="00C43E56"/>
    <w:rsid w:val="00C509DC"/>
    <w:rsid w:val="00C9320D"/>
    <w:rsid w:val="00C94654"/>
    <w:rsid w:val="00CA64EE"/>
    <w:rsid w:val="00CA71BB"/>
    <w:rsid w:val="00CA7212"/>
    <w:rsid w:val="00CE08D7"/>
    <w:rsid w:val="00CE418D"/>
    <w:rsid w:val="00CE4876"/>
    <w:rsid w:val="00D0513E"/>
    <w:rsid w:val="00D13111"/>
    <w:rsid w:val="00D2268A"/>
    <w:rsid w:val="00D24BAA"/>
    <w:rsid w:val="00D36E02"/>
    <w:rsid w:val="00D5257F"/>
    <w:rsid w:val="00D56A7D"/>
    <w:rsid w:val="00D62957"/>
    <w:rsid w:val="00D91A21"/>
    <w:rsid w:val="00DA5537"/>
    <w:rsid w:val="00DC0568"/>
    <w:rsid w:val="00DC3E77"/>
    <w:rsid w:val="00DC3FD5"/>
    <w:rsid w:val="00DC46F7"/>
    <w:rsid w:val="00DD6AAB"/>
    <w:rsid w:val="00DD6D5C"/>
    <w:rsid w:val="00DE6458"/>
    <w:rsid w:val="00DE7F36"/>
    <w:rsid w:val="00E03A92"/>
    <w:rsid w:val="00E233CA"/>
    <w:rsid w:val="00E61294"/>
    <w:rsid w:val="00E6516F"/>
    <w:rsid w:val="00EB0720"/>
    <w:rsid w:val="00EB184E"/>
    <w:rsid w:val="00EB23EA"/>
    <w:rsid w:val="00ED2E12"/>
    <w:rsid w:val="00EF0BA4"/>
    <w:rsid w:val="00F04215"/>
    <w:rsid w:val="00F317A0"/>
    <w:rsid w:val="00F41F74"/>
    <w:rsid w:val="00F92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82B65A"/>
  <w15:chartTrackingRefBased/>
  <w15:docId w15:val="{B687E586-1909-492F-835A-AE6DD730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6"/>
        <w:szCs w:val="24"/>
        <w:lang w:val="en-US" w:eastAsia="ja-JP" w:bidi="ar-SA"/>
        <w14:ligatures w14:val="standardContextual"/>
      </w:rPr>
    </w:rPrDefault>
    <w:pPrDefault>
      <w:pPr>
        <w:spacing w:before="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D63"/>
  </w:style>
  <w:style w:type="paragraph" w:styleId="Heading1">
    <w:name w:val="heading 1"/>
    <w:basedOn w:val="Normal"/>
    <w:next w:val="Normal"/>
    <w:link w:val="Heading1Char"/>
    <w:uiPriority w:val="9"/>
    <w:qFormat/>
    <w:rsid w:val="008519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8519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8519FD"/>
    <w:pPr>
      <w:keepNext/>
      <w:keepLines/>
      <w:spacing w:before="160" w:after="80"/>
      <w:outlineLvl w:val="2"/>
    </w:pPr>
    <w:rPr>
      <w:rFonts w:asciiTheme="majorHAnsi" w:eastAsiaTheme="majorEastAsia" w:hAnsiTheme="majorHAnsi" w:cstheme="majorBidi"/>
      <w:color w:val="000000" w:themeColor="text1"/>
      <w:sz w:val="24"/>
    </w:rPr>
  </w:style>
  <w:style w:type="paragraph" w:styleId="Heading4">
    <w:name w:val="heading 4"/>
    <w:basedOn w:val="Normal"/>
    <w:next w:val="Normal"/>
    <w:link w:val="Heading4Char"/>
    <w:uiPriority w:val="9"/>
    <w:semiHidden/>
    <w:unhideWhenUsed/>
    <w:qFormat/>
    <w:rsid w:val="008519FD"/>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8519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8519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8519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8519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8519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9FD"/>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8519FD"/>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8519FD"/>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8519FD"/>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8519FD"/>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8519FD"/>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8519FD"/>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8519FD"/>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8519FD"/>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8519FD"/>
    <w:pPr>
      <w:spacing w:before="0"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9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9FD"/>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8519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19FD"/>
    <w:rPr>
      <w:i/>
      <w:iCs/>
      <w:color w:val="404040" w:themeColor="text1" w:themeTint="BF"/>
    </w:rPr>
  </w:style>
  <w:style w:type="paragraph" w:styleId="ListParagraph">
    <w:name w:val="List Paragraph"/>
    <w:basedOn w:val="Normal"/>
    <w:uiPriority w:val="34"/>
    <w:qFormat/>
    <w:rsid w:val="008519FD"/>
    <w:pPr>
      <w:ind w:left="720"/>
      <w:contextualSpacing/>
    </w:pPr>
  </w:style>
  <w:style w:type="character" w:styleId="IntenseEmphasis">
    <w:name w:val="Intense Emphasis"/>
    <w:basedOn w:val="DefaultParagraphFont"/>
    <w:uiPriority w:val="21"/>
    <w:qFormat/>
    <w:rsid w:val="008519FD"/>
    <w:rPr>
      <w:i/>
      <w:iCs/>
      <w:color w:val="0F4761" w:themeColor="accent1" w:themeShade="BF"/>
    </w:rPr>
  </w:style>
  <w:style w:type="paragraph" w:styleId="IntenseQuote">
    <w:name w:val="Intense Quote"/>
    <w:basedOn w:val="Normal"/>
    <w:next w:val="Normal"/>
    <w:link w:val="IntenseQuoteChar"/>
    <w:uiPriority w:val="30"/>
    <w:qFormat/>
    <w:rsid w:val="00851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9FD"/>
    <w:rPr>
      <w:i/>
      <w:iCs/>
      <w:color w:val="0F4761" w:themeColor="accent1" w:themeShade="BF"/>
    </w:rPr>
  </w:style>
  <w:style w:type="character" w:styleId="IntenseReference">
    <w:name w:val="Intense Reference"/>
    <w:basedOn w:val="DefaultParagraphFont"/>
    <w:uiPriority w:val="32"/>
    <w:qFormat/>
    <w:rsid w:val="008519FD"/>
    <w:rPr>
      <w:b/>
      <w:bCs/>
      <w:smallCaps/>
      <w:color w:val="0F4761" w:themeColor="accent1" w:themeShade="BF"/>
      <w:spacing w:val="5"/>
    </w:rPr>
  </w:style>
  <w:style w:type="table" w:styleId="TableGrid">
    <w:name w:val="Table Grid"/>
    <w:basedOn w:val="TableNormal"/>
    <w:uiPriority w:val="59"/>
    <w:rsid w:val="00B6608E"/>
    <w:pPr>
      <w:spacing w:before="0" w:line="240" w:lineRule="auto"/>
      <w:jc w:val="both"/>
    </w:pPr>
    <w:rPr>
      <w:kern w:val="0"/>
      <w:szCs w:val="26"/>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F4B75"/>
    <w:rPr>
      <w:b/>
      <w:bCs/>
    </w:rPr>
  </w:style>
  <w:style w:type="character" w:styleId="Emphasis">
    <w:name w:val="Emphasis"/>
    <w:basedOn w:val="DefaultParagraphFont"/>
    <w:uiPriority w:val="20"/>
    <w:qFormat/>
    <w:rsid w:val="005F4B75"/>
    <w:rPr>
      <w:i/>
      <w:iCs/>
    </w:rPr>
  </w:style>
  <w:style w:type="paragraph" w:styleId="NormalWeb">
    <w:name w:val="Normal (Web)"/>
    <w:basedOn w:val="Normal"/>
    <w:uiPriority w:val="99"/>
    <w:unhideWhenUsed/>
    <w:rsid w:val="002818BC"/>
    <w:pPr>
      <w:spacing w:before="100" w:beforeAutospacing="1" w:after="100" w:afterAutospacing="1" w:line="240" w:lineRule="auto"/>
    </w:pPr>
    <w:rPr>
      <w:rFonts w:eastAsia="Times New Roman"/>
      <w:kern w:val="0"/>
      <w:sz w:val="24"/>
      <w:lang w:eastAsia="en-US"/>
      <w14:ligatures w14:val="none"/>
    </w:rPr>
  </w:style>
  <w:style w:type="character" w:customStyle="1" w:styleId="relative">
    <w:name w:val="relative"/>
    <w:basedOn w:val="DefaultParagraphFont"/>
    <w:rsid w:val="002818BC"/>
  </w:style>
  <w:style w:type="paragraph" w:customStyle="1" w:styleId="not-prose">
    <w:name w:val="not-prose"/>
    <w:basedOn w:val="Normal"/>
    <w:rsid w:val="002818BC"/>
    <w:pPr>
      <w:spacing w:before="100" w:beforeAutospacing="1" w:after="100" w:afterAutospacing="1" w:line="240" w:lineRule="auto"/>
    </w:pPr>
    <w:rPr>
      <w:rFonts w:eastAsia="Times New Roman"/>
      <w:kern w:val="0"/>
      <w:sz w:val="24"/>
      <w:lang w:eastAsia="en-US"/>
      <w14:ligatures w14:val="none"/>
    </w:rPr>
  </w:style>
  <w:style w:type="character" w:styleId="Hyperlink">
    <w:name w:val="Hyperlink"/>
    <w:basedOn w:val="DefaultParagraphFont"/>
    <w:uiPriority w:val="99"/>
    <w:unhideWhenUsed/>
    <w:rsid w:val="002818BC"/>
    <w:rPr>
      <w:color w:val="0000FF"/>
      <w:u w:val="single"/>
    </w:rPr>
  </w:style>
  <w:style w:type="character" w:styleId="UnresolvedMention">
    <w:name w:val="Unresolved Mention"/>
    <w:basedOn w:val="DefaultParagraphFont"/>
    <w:uiPriority w:val="99"/>
    <w:semiHidden/>
    <w:unhideWhenUsed/>
    <w:rsid w:val="00A82DBA"/>
    <w:rPr>
      <w:color w:val="605E5C"/>
      <w:shd w:val="clear" w:color="auto" w:fill="E1DFDD"/>
    </w:rPr>
  </w:style>
  <w:style w:type="character" w:customStyle="1" w:styleId="ms-1">
    <w:name w:val="ms-1"/>
    <w:basedOn w:val="DefaultParagraphFont"/>
    <w:rsid w:val="008C1684"/>
  </w:style>
  <w:style w:type="character" w:customStyle="1" w:styleId="max-w-15ch">
    <w:name w:val="max-w-[15ch]"/>
    <w:basedOn w:val="DefaultParagraphFont"/>
    <w:rsid w:val="008C1684"/>
  </w:style>
  <w:style w:type="character" w:customStyle="1" w:styleId="-me-1">
    <w:name w:val="-me-1"/>
    <w:basedOn w:val="DefaultParagraphFont"/>
    <w:rsid w:val="008C1684"/>
  </w:style>
  <w:style w:type="character" w:styleId="LineNumber">
    <w:name w:val="line number"/>
    <w:basedOn w:val="DefaultParagraphFont"/>
    <w:uiPriority w:val="99"/>
    <w:semiHidden/>
    <w:unhideWhenUsed/>
    <w:rsid w:val="003546EB"/>
  </w:style>
  <w:style w:type="paragraph" w:styleId="Header">
    <w:name w:val="header"/>
    <w:basedOn w:val="Normal"/>
    <w:link w:val="HeaderChar"/>
    <w:uiPriority w:val="99"/>
    <w:unhideWhenUsed/>
    <w:rsid w:val="00AA458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AA4587"/>
  </w:style>
  <w:style w:type="paragraph" w:styleId="Footer">
    <w:name w:val="footer"/>
    <w:basedOn w:val="Normal"/>
    <w:link w:val="FooterChar"/>
    <w:uiPriority w:val="99"/>
    <w:unhideWhenUsed/>
    <w:rsid w:val="00AA4587"/>
    <w:pPr>
      <w:tabs>
        <w:tab w:val="center" w:pos="4680"/>
        <w:tab w:val="right" w:pos="9360"/>
      </w:tabs>
      <w:spacing w:before="0" w:line="240" w:lineRule="auto"/>
    </w:pPr>
  </w:style>
  <w:style w:type="character" w:customStyle="1" w:styleId="FooterChar">
    <w:name w:val="Footer Char"/>
    <w:basedOn w:val="DefaultParagraphFont"/>
    <w:link w:val="Footer"/>
    <w:uiPriority w:val="99"/>
    <w:rsid w:val="00AA4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8338">
      <w:bodyDiv w:val="1"/>
      <w:marLeft w:val="0"/>
      <w:marRight w:val="0"/>
      <w:marTop w:val="0"/>
      <w:marBottom w:val="0"/>
      <w:divBdr>
        <w:top w:val="none" w:sz="0" w:space="0" w:color="auto"/>
        <w:left w:val="none" w:sz="0" w:space="0" w:color="auto"/>
        <w:bottom w:val="none" w:sz="0" w:space="0" w:color="auto"/>
        <w:right w:val="none" w:sz="0" w:space="0" w:color="auto"/>
      </w:divBdr>
    </w:div>
    <w:div w:id="82456904">
      <w:bodyDiv w:val="1"/>
      <w:marLeft w:val="0"/>
      <w:marRight w:val="0"/>
      <w:marTop w:val="0"/>
      <w:marBottom w:val="0"/>
      <w:divBdr>
        <w:top w:val="none" w:sz="0" w:space="0" w:color="auto"/>
        <w:left w:val="none" w:sz="0" w:space="0" w:color="auto"/>
        <w:bottom w:val="none" w:sz="0" w:space="0" w:color="auto"/>
        <w:right w:val="none" w:sz="0" w:space="0" w:color="auto"/>
      </w:divBdr>
      <w:divsChild>
        <w:div w:id="1072585987">
          <w:marLeft w:val="0"/>
          <w:marRight w:val="0"/>
          <w:marTop w:val="0"/>
          <w:marBottom w:val="0"/>
          <w:divBdr>
            <w:top w:val="none" w:sz="0" w:space="0" w:color="auto"/>
            <w:left w:val="none" w:sz="0" w:space="0" w:color="auto"/>
            <w:bottom w:val="none" w:sz="0" w:space="0" w:color="auto"/>
            <w:right w:val="none" w:sz="0" w:space="0" w:color="auto"/>
          </w:divBdr>
          <w:divsChild>
            <w:div w:id="176279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21802">
      <w:bodyDiv w:val="1"/>
      <w:marLeft w:val="0"/>
      <w:marRight w:val="0"/>
      <w:marTop w:val="0"/>
      <w:marBottom w:val="0"/>
      <w:divBdr>
        <w:top w:val="none" w:sz="0" w:space="0" w:color="auto"/>
        <w:left w:val="none" w:sz="0" w:space="0" w:color="auto"/>
        <w:bottom w:val="none" w:sz="0" w:space="0" w:color="auto"/>
        <w:right w:val="none" w:sz="0" w:space="0" w:color="auto"/>
      </w:divBdr>
    </w:div>
    <w:div w:id="164635744">
      <w:bodyDiv w:val="1"/>
      <w:marLeft w:val="0"/>
      <w:marRight w:val="0"/>
      <w:marTop w:val="0"/>
      <w:marBottom w:val="0"/>
      <w:divBdr>
        <w:top w:val="none" w:sz="0" w:space="0" w:color="auto"/>
        <w:left w:val="none" w:sz="0" w:space="0" w:color="auto"/>
        <w:bottom w:val="none" w:sz="0" w:space="0" w:color="auto"/>
        <w:right w:val="none" w:sz="0" w:space="0" w:color="auto"/>
      </w:divBdr>
    </w:div>
    <w:div w:id="237908312">
      <w:bodyDiv w:val="1"/>
      <w:marLeft w:val="0"/>
      <w:marRight w:val="0"/>
      <w:marTop w:val="0"/>
      <w:marBottom w:val="0"/>
      <w:divBdr>
        <w:top w:val="none" w:sz="0" w:space="0" w:color="auto"/>
        <w:left w:val="none" w:sz="0" w:space="0" w:color="auto"/>
        <w:bottom w:val="none" w:sz="0" w:space="0" w:color="auto"/>
        <w:right w:val="none" w:sz="0" w:space="0" w:color="auto"/>
      </w:divBdr>
    </w:div>
    <w:div w:id="438380985">
      <w:bodyDiv w:val="1"/>
      <w:marLeft w:val="0"/>
      <w:marRight w:val="0"/>
      <w:marTop w:val="0"/>
      <w:marBottom w:val="0"/>
      <w:divBdr>
        <w:top w:val="none" w:sz="0" w:space="0" w:color="auto"/>
        <w:left w:val="none" w:sz="0" w:space="0" w:color="auto"/>
        <w:bottom w:val="none" w:sz="0" w:space="0" w:color="auto"/>
        <w:right w:val="none" w:sz="0" w:space="0" w:color="auto"/>
      </w:divBdr>
      <w:divsChild>
        <w:div w:id="32583083">
          <w:marLeft w:val="0"/>
          <w:marRight w:val="0"/>
          <w:marTop w:val="0"/>
          <w:marBottom w:val="0"/>
          <w:divBdr>
            <w:top w:val="none" w:sz="0" w:space="0" w:color="auto"/>
            <w:left w:val="none" w:sz="0" w:space="0" w:color="auto"/>
            <w:bottom w:val="none" w:sz="0" w:space="0" w:color="auto"/>
            <w:right w:val="none" w:sz="0" w:space="0" w:color="auto"/>
          </w:divBdr>
          <w:divsChild>
            <w:div w:id="3025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51480">
      <w:bodyDiv w:val="1"/>
      <w:marLeft w:val="0"/>
      <w:marRight w:val="0"/>
      <w:marTop w:val="0"/>
      <w:marBottom w:val="0"/>
      <w:divBdr>
        <w:top w:val="none" w:sz="0" w:space="0" w:color="auto"/>
        <w:left w:val="none" w:sz="0" w:space="0" w:color="auto"/>
        <w:bottom w:val="none" w:sz="0" w:space="0" w:color="auto"/>
        <w:right w:val="none" w:sz="0" w:space="0" w:color="auto"/>
      </w:divBdr>
      <w:divsChild>
        <w:div w:id="555162471">
          <w:marLeft w:val="0"/>
          <w:marRight w:val="0"/>
          <w:marTop w:val="0"/>
          <w:marBottom w:val="0"/>
          <w:divBdr>
            <w:top w:val="none" w:sz="0" w:space="0" w:color="auto"/>
            <w:left w:val="none" w:sz="0" w:space="0" w:color="auto"/>
            <w:bottom w:val="none" w:sz="0" w:space="0" w:color="auto"/>
            <w:right w:val="none" w:sz="0" w:space="0" w:color="auto"/>
          </w:divBdr>
          <w:divsChild>
            <w:div w:id="36039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38314">
      <w:bodyDiv w:val="1"/>
      <w:marLeft w:val="0"/>
      <w:marRight w:val="0"/>
      <w:marTop w:val="0"/>
      <w:marBottom w:val="0"/>
      <w:divBdr>
        <w:top w:val="none" w:sz="0" w:space="0" w:color="auto"/>
        <w:left w:val="none" w:sz="0" w:space="0" w:color="auto"/>
        <w:bottom w:val="none" w:sz="0" w:space="0" w:color="auto"/>
        <w:right w:val="none" w:sz="0" w:space="0" w:color="auto"/>
      </w:divBdr>
    </w:div>
    <w:div w:id="1262949596">
      <w:bodyDiv w:val="1"/>
      <w:marLeft w:val="0"/>
      <w:marRight w:val="0"/>
      <w:marTop w:val="0"/>
      <w:marBottom w:val="0"/>
      <w:divBdr>
        <w:top w:val="none" w:sz="0" w:space="0" w:color="auto"/>
        <w:left w:val="none" w:sz="0" w:space="0" w:color="auto"/>
        <w:bottom w:val="none" w:sz="0" w:space="0" w:color="auto"/>
        <w:right w:val="none" w:sz="0" w:space="0" w:color="auto"/>
      </w:divBdr>
    </w:div>
    <w:div w:id="1787694286">
      <w:bodyDiv w:val="1"/>
      <w:marLeft w:val="0"/>
      <w:marRight w:val="0"/>
      <w:marTop w:val="0"/>
      <w:marBottom w:val="0"/>
      <w:divBdr>
        <w:top w:val="none" w:sz="0" w:space="0" w:color="auto"/>
        <w:left w:val="none" w:sz="0" w:space="0" w:color="auto"/>
        <w:bottom w:val="none" w:sz="0" w:space="0" w:color="auto"/>
        <w:right w:val="none" w:sz="0" w:space="0" w:color="auto"/>
      </w:divBdr>
    </w:div>
    <w:div w:id="2096122639">
      <w:bodyDiv w:val="1"/>
      <w:marLeft w:val="0"/>
      <w:marRight w:val="0"/>
      <w:marTop w:val="0"/>
      <w:marBottom w:val="0"/>
      <w:divBdr>
        <w:top w:val="none" w:sz="0" w:space="0" w:color="auto"/>
        <w:left w:val="none" w:sz="0" w:space="0" w:color="auto"/>
        <w:bottom w:val="none" w:sz="0" w:space="0" w:color="auto"/>
        <w:right w:val="none" w:sz="0" w:space="0" w:color="auto"/>
      </w:divBdr>
      <w:divsChild>
        <w:div w:id="573659636">
          <w:marLeft w:val="0"/>
          <w:marRight w:val="0"/>
          <w:marTop w:val="0"/>
          <w:marBottom w:val="0"/>
          <w:divBdr>
            <w:top w:val="none" w:sz="0" w:space="0" w:color="auto"/>
            <w:left w:val="none" w:sz="0" w:space="0" w:color="auto"/>
            <w:bottom w:val="none" w:sz="0" w:space="0" w:color="auto"/>
            <w:right w:val="none" w:sz="0" w:space="0" w:color="auto"/>
          </w:divBdr>
          <w:divsChild>
            <w:div w:id="161632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E786C-D91C-45E0-828D-903EB6497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25</Pages>
  <Words>11056</Words>
  <Characters>63024</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Vo Chau Ngan</dc:creator>
  <cp:keywords/>
  <dc:description/>
  <cp:lastModifiedBy>Nguyễn Võ Châu Ngân</cp:lastModifiedBy>
  <cp:revision>11</cp:revision>
  <cp:lastPrinted>2025-09-30T04:20:00Z</cp:lastPrinted>
  <dcterms:created xsi:type="dcterms:W3CDTF">2026-07-07T03:58:00Z</dcterms:created>
  <dcterms:modified xsi:type="dcterms:W3CDTF">2026-07-07T05:46:00Z</dcterms:modified>
</cp:coreProperties>
</file>