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9733" w14:textId="4A88B658" w:rsidR="00DC07BF" w:rsidRPr="0008447F" w:rsidRDefault="00DC07BF" w:rsidP="00116DBF">
      <w:pPr>
        <w:spacing w:line="360" w:lineRule="auto"/>
        <w:jc w:val="center"/>
        <w:rPr>
          <w:rFonts w:ascii="Times New Roman" w:hAnsi="Times New Roman" w:cs="Times New Roman"/>
        </w:rPr>
      </w:pPr>
      <w:r w:rsidRPr="0008447F">
        <w:rPr>
          <w:rFonts w:ascii="Times New Roman" w:eastAsia="Times New Roman" w:hAnsi="Times New Roman" w:cs="Times New Roman"/>
          <w:b/>
          <w:bCs/>
        </w:rPr>
        <w:t xml:space="preserve">Instructional Continuity, Teacher Agency, and Pedagogical Transition from Early Years to Primary in Malaysian International Schools: A </w:t>
      </w:r>
      <w:r w:rsidR="0055797F" w:rsidRPr="0008447F">
        <w:rPr>
          <w:rFonts w:ascii="Times New Roman" w:eastAsia="Times New Roman" w:hAnsi="Times New Roman" w:cs="Times New Roman"/>
          <w:b/>
          <w:bCs/>
        </w:rPr>
        <w:t xml:space="preserve">Composite </w:t>
      </w:r>
      <w:r w:rsidRPr="0008447F">
        <w:rPr>
          <w:rFonts w:ascii="Times New Roman" w:eastAsia="Times New Roman" w:hAnsi="Times New Roman" w:cs="Times New Roman"/>
          <w:b/>
          <w:bCs/>
        </w:rPr>
        <w:t>Conceptual Framework</w:t>
      </w:r>
    </w:p>
    <w:p w14:paraId="6243166C" w14:textId="0C74B032" w:rsidR="00DC07BF" w:rsidRPr="0008447F" w:rsidRDefault="00DC07BF" w:rsidP="00116DBF">
      <w:pPr>
        <w:spacing w:line="360" w:lineRule="auto"/>
        <w:jc w:val="center"/>
        <w:rPr>
          <w:rFonts w:ascii="Times New Roman" w:hAnsi="Times New Roman" w:cs="Times New Roman"/>
          <w:b/>
          <w:vertAlign w:val="superscript"/>
        </w:rPr>
      </w:pPr>
      <w:r w:rsidRPr="0008447F">
        <w:rPr>
          <w:rFonts w:ascii="Times New Roman" w:hAnsi="Times New Roman" w:cs="Times New Roman"/>
          <w:b/>
        </w:rPr>
        <w:t/>
      </w:r>
      <w:r w:rsidRPr="0008447F">
        <w:rPr>
          <w:rFonts w:ascii="Times New Roman" w:hAnsi="Times New Roman" w:cs="Times New Roman"/>
          <w:b/>
          <w:vertAlign w:val="superscript"/>
        </w:rPr>
        <w:t/>
      </w:r>
      <w:r w:rsidRPr="0008447F">
        <w:rPr>
          <w:rFonts w:ascii="Times New Roman" w:hAnsi="Times New Roman" w:cs="Times New Roman"/>
          <w:b/>
        </w:rPr>
        <w:t/>
      </w:r>
      <w:r w:rsidRPr="0008447F">
        <w:rPr>
          <w:rFonts w:ascii="Times New Roman" w:hAnsi="Times New Roman" w:cs="Times New Roman"/>
          <w:b/>
          <w:vertAlign w:val="superscript"/>
        </w:rPr>
        <w:t/>
      </w:r>
      <w:r w:rsidRPr="0008447F">
        <w:rPr>
          <w:rFonts w:ascii="Times New Roman" w:hAnsi="Times New Roman" w:cs="Times New Roman"/>
          <w:b/>
        </w:rPr>
        <w:t/>
      </w:r>
      <w:r w:rsidRPr="0008447F">
        <w:rPr>
          <w:rFonts w:ascii="Times New Roman" w:hAnsi="Times New Roman" w:cs="Times New Roman"/>
          <w:b/>
          <w:vertAlign w:val="superscript"/>
        </w:rPr>
        <w:t/>
      </w:r>
    </w:p>
    <w:p w14:paraId="5E93D647" w14:textId="77777777" w:rsidR="00DC07BF" w:rsidRPr="0008447F" w:rsidRDefault="00DC07BF" w:rsidP="00116DBF">
      <w:pPr>
        <w:spacing w:after="0" w:line="240" w:lineRule="auto"/>
        <w:jc w:val="center"/>
        <w:rPr>
          <w:rFonts w:ascii="Times New Roman" w:hAnsi="Times New Roman" w:cs="Times New Roman"/>
        </w:rPr>
      </w:pPr>
      <w:r w:rsidRPr="0008447F">
        <w:rPr>
          <w:rFonts w:ascii="Times New Roman" w:hAnsi="Times New Roman" w:cs="Times New Roman"/>
          <w:vertAlign w:val="superscript"/>
        </w:rPr>
        <w:t/>
      </w:r>
      <w:r w:rsidRPr="0008447F">
        <w:rPr>
          <w:rFonts w:ascii="Times New Roman" w:hAnsi="Times New Roman" w:cs="Times New Roman"/>
        </w:rPr>
        <w:t xml:space="preserve"/>
      </w:r>
    </w:p>
    <w:p w14:paraId="15730B1F" w14:textId="77777777" w:rsidR="00DC07BF" w:rsidRPr="0008447F" w:rsidRDefault="00DC07BF" w:rsidP="00116DBF">
      <w:pPr>
        <w:spacing w:after="0" w:line="240" w:lineRule="auto"/>
        <w:jc w:val="center"/>
        <w:rPr>
          <w:rFonts w:ascii="Times New Roman" w:hAnsi="Times New Roman" w:cs="Times New Roman"/>
        </w:rPr>
      </w:pPr>
      <w:r w:rsidRPr="0008447F">
        <w:rPr>
          <w:rFonts w:ascii="Times New Roman" w:hAnsi="Times New Roman" w:cs="Times New Roman"/>
          <w:vertAlign w:val="superscript"/>
        </w:rPr>
        <w:t/>
      </w:r>
      <w:r w:rsidRPr="0008447F">
        <w:rPr>
          <w:rFonts w:ascii="Times New Roman" w:hAnsi="Times New Roman" w:cs="Times New Roman"/>
        </w:rPr>
        <w:t xml:space="preserve"/>
      </w:r>
    </w:p>
    <w:p w14:paraId="4E53BE9A" w14:textId="43BFED75" w:rsidR="00DC07BF" w:rsidRPr="0008447F" w:rsidRDefault="00DC07BF" w:rsidP="00116DBF">
      <w:pPr>
        <w:spacing w:after="0" w:line="240" w:lineRule="auto"/>
        <w:jc w:val="center"/>
        <w:rPr>
          <w:rFonts w:ascii="Times New Roman" w:hAnsi="Times New Roman" w:cs="Times New Roman"/>
        </w:rPr>
      </w:pPr>
      <w:r w:rsidRPr="0008447F">
        <w:rPr>
          <w:rFonts w:ascii="Times New Roman" w:hAnsi="Times New Roman" w:cs="Times New Roman"/>
          <w:vertAlign w:val="superscript"/>
        </w:rPr>
        <w:t/>
      </w:r>
      <w:r w:rsidRPr="0008447F">
        <w:rPr>
          <w:rFonts w:ascii="Times New Roman" w:hAnsi="Times New Roman" w:cs="Times New Roman"/>
        </w:rPr>
        <w:t xml:space="preserve"/>
      </w:r>
      <w:proofErr w:type="spellStart"/>
      <w:r w:rsidRPr="0008447F">
        <w:rPr>
          <w:rFonts w:ascii="Times New Roman" w:hAnsi="Times New Roman" w:cs="Times New Roman"/>
        </w:rPr>
        <w:t/>
      </w:r>
      <w:proofErr w:type="spellEnd"/>
      <w:r w:rsidRPr="0008447F">
        <w:rPr>
          <w:rFonts w:ascii="Times New Roman" w:hAnsi="Times New Roman" w:cs="Times New Roman"/>
        </w:rPr>
        <w:t xml:space="preserve"/>
      </w:r>
      <w:proofErr w:type="spellStart"/>
      <w:r w:rsidRPr="0008447F">
        <w:rPr>
          <w:rFonts w:ascii="Times New Roman" w:hAnsi="Times New Roman" w:cs="Times New Roman"/>
        </w:rPr>
        <w:t/>
      </w:r>
      <w:proofErr w:type="spellEnd"/>
      <w:r w:rsidRPr="0008447F">
        <w:rPr>
          <w:rFonts w:ascii="Times New Roman" w:hAnsi="Times New Roman" w:cs="Times New Roman"/>
        </w:rPr>
        <w:t xml:space="preserve"/>
      </w:r>
      <w:proofErr w:type="spellStart"/>
      <w:r w:rsidRPr="0008447F">
        <w:rPr>
          <w:rFonts w:ascii="Times New Roman" w:hAnsi="Times New Roman" w:cs="Times New Roman"/>
        </w:rPr>
        <w:t/>
      </w:r>
      <w:proofErr w:type="spellEnd"/>
      <w:r w:rsidRPr="0008447F">
        <w:rPr>
          <w:rFonts w:ascii="Times New Roman" w:hAnsi="Times New Roman" w:cs="Times New Roman"/>
        </w:rPr>
        <w:t xml:space="preserve"/>
      </w:r>
      <w:proofErr w:type="spellStart"/>
      <w:r w:rsidRPr="0008447F">
        <w:rPr>
          <w:rFonts w:ascii="Times New Roman" w:hAnsi="Times New Roman" w:cs="Times New Roman"/>
        </w:rPr>
        <w:t/>
      </w:r>
      <w:proofErr w:type="spellEnd"/>
      <w:r w:rsidRPr="0008447F">
        <w:rPr>
          <w:rFonts w:ascii="Times New Roman" w:hAnsi="Times New Roman" w:cs="Times New Roman"/>
        </w:rPr>
        <w:t/>
      </w:r>
    </w:p>
    <w:p w14:paraId="59DE5181" w14:textId="35058C34" w:rsidR="00DC07BF" w:rsidRPr="0008447F" w:rsidRDefault="00DC07BF" w:rsidP="00116DBF">
      <w:pPr>
        <w:spacing w:after="0" w:line="240" w:lineRule="auto"/>
        <w:jc w:val="center"/>
        <w:rPr>
          <w:rFonts w:ascii="Times New Roman" w:hAnsi="Times New Roman" w:cs="Times New Roman"/>
          <w:b/>
          <w:bCs/>
          <w:i/>
          <w:iCs/>
        </w:rPr>
      </w:pPr>
      <w:r w:rsidRPr="0008447F">
        <w:rPr>
          <w:rFonts w:ascii="Times New Roman" w:hAnsi="Times New Roman" w:cs="Times New Roman"/>
          <w:b/>
          <w:bCs/>
          <w:i/>
          <w:iCs/>
        </w:rPr>
        <w:t xml:space="preserve"/>
      </w:r>
    </w:p>
    <w:p w14:paraId="6575636C" w14:textId="77777777" w:rsidR="00DC07BF" w:rsidRPr="0008447F" w:rsidRDefault="00DC07BF" w:rsidP="00750536">
      <w:pPr>
        <w:rPr>
          <w:rFonts w:ascii="Times New Roman" w:hAnsi="Times New Roman" w:cs="Times New Roman"/>
        </w:rPr>
      </w:pPr>
    </w:p>
    <w:p w14:paraId="37DE8F80" w14:textId="77777777" w:rsidR="00D73AEB" w:rsidRPr="0008447F" w:rsidRDefault="00D73AEB" w:rsidP="00D73AEB">
      <w:pPr>
        <w:jc w:val="center"/>
      </w:pPr>
      <w:r w:rsidRPr="0008447F">
        <w:rPr>
          <w:rFonts w:ascii="Times New Roman" w:eastAsia="Times New Roman" w:hAnsi="Times New Roman" w:cs="Times New Roman"/>
          <w:b/>
          <w:bCs/>
        </w:rPr>
        <w:t>ABSTRACT</w:t>
      </w:r>
    </w:p>
    <w:p w14:paraId="42EB951F" w14:textId="6D75EB49" w:rsidR="006D6457" w:rsidRPr="0008447F" w:rsidRDefault="006D6457" w:rsidP="00116DBF">
      <w:pPr>
        <w:spacing w:line="360" w:lineRule="auto"/>
        <w:jc w:val="both"/>
        <w:rPr>
          <w:rFonts w:ascii="Times New Roman" w:eastAsia="Times New Roman" w:hAnsi="Times New Roman" w:cs="Times New Roman"/>
        </w:rPr>
      </w:pPr>
      <w:r w:rsidRPr="0008447F">
        <w:rPr>
          <w:rFonts w:ascii="Times New Roman" w:eastAsia="Times New Roman" w:hAnsi="Times New Roman" w:cs="Times New Roman"/>
        </w:rPr>
        <w:t xml:space="preserve">Transition from early years to primary education is among the most significant yet least theorized pedagogical transition of a child's educational experience. The transition process is additionally complicated in Malaysian international schools due to the combination of pedagogies for play-based and academic instruction, frequent teacher turnover, specific traits of Generation Alpha, and EAL learners' existence. Although a wide range of literature has addressed the issues of instructional designs separately, there is still a major gap in terms of theoretical explanation of how instructional continuity across levels of education could be </w:t>
      </w:r>
      <w:proofErr w:type="spellStart"/>
      <w:r w:rsidRPr="0008447F">
        <w:rPr>
          <w:rFonts w:ascii="Times New Roman" w:eastAsia="Times New Roman" w:hAnsi="Times New Roman" w:cs="Times New Roman"/>
        </w:rPr>
        <w:t>modeled</w:t>
      </w:r>
      <w:proofErr w:type="spellEnd"/>
      <w:r w:rsidRPr="0008447F">
        <w:rPr>
          <w:rFonts w:ascii="Times New Roman" w:eastAsia="Times New Roman" w:hAnsi="Times New Roman" w:cs="Times New Roman"/>
        </w:rPr>
        <w:t xml:space="preserve">, especially in Malaysian international schools. This paper suggests a </w:t>
      </w:r>
      <w:r w:rsidRPr="0008447F">
        <w:rPr>
          <w:rFonts w:ascii="Times New Roman" w:eastAsia="Times New Roman" w:hAnsi="Times New Roman" w:cs="Times New Roman"/>
        </w:rPr>
        <w:t xml:space="preserve">composite </w:t>
      </w:r>
      <w:r w:rsidRPr="0008447F">
        <w:rPr>
          <w:rFonts w:ascii="Times New Roman" w:eastAsia="Times New Roman" w:hAnsi="Times New Roman" w:cs="Times New Roman"/>
        </w:rPr>
        <w:t xml:space="preserve">conceptual framework, which sees instructional continuity as the main mediator between pedagogical transition, teacher agency, and student results. The framework uses principles of instruction as explained by </w:t>
      </w:r>
      <w:proofErr w:type="spellStart"/>
      <w:r w:rsidRPr="0008447F">
        <w:rPr>
          <w:rFonts w:ascii="Times New Roman" w:eastAsia="Times New Roman" w:hAnsi="Times New Roman" w:cs="Times New Roman"/>
        </w:rPr>
        <w:t>Rosenshine</w:t>
      </w:r>
      <w:proofErr w:type="spellEnd"/>
      <w:r w:rsidRPr="0008447F">
        <w:rPr>
          <w:rFonts w:ascii="Times New Roman" w:eastAsia="Times New Roman" w:hAnsi="Times New Roman" w:cs="Times New Roman"/>
        </w:rPr>
        <w:t xml:space="preserve"> (2012); cognitive load theory developed by </w:t>
      </w:r>
      <w:proofErr w:type="spellStart"/>
      <w:r w:rsidRPr="0008447F">
        <w:rPr>
          <w:rFonts w:ascii="Times New Roman" w:eastAsia="Times New Roman" w:hAnsi="Times New Roman" w:cs="Times New Roman"/>
        </w:rPr>
        <w:t>Sweller</w:t>
      </w:r>
      <w:proofErr w:type="spellEnd"/>
      <w:r w:rsidRPr="0008447F">
        <w:rPr>
          <w:rFonts w:ascii="Times New Roman" w:eastAsia="Times New Roman" w:hAnsi="Times New Roman" w:cs="Times New Roman"/>
        </w:rPr>
        <w:t xml:space="preserve"> (1988); social learning theory of Bandura (1971); zone of proximal development by Vygotsky (1978); and connectivism learning theory by Siemens (2005). The Input-Process-Output (IPO) framework described below demonstrates how theoretical and institutional inputs get mediated by practitioners' agency into pedagogical outputs.</w:t>
      </w:r>
    </w:p>
    <w:p w14:paraId="558C5E28" w14:textId="77777777" w:rsidR="006D6457" w:rsidRPr="0008447F" w:rsidRDefault="006D6457" w:rsidP="00116DBF">
      <w:pPr>
        <w:spacing w:line="360" w:lineRule="auto"/>
        <w:jc w:val="both"/>
        <w:rPr>
          <w:rFonts w:ascii="Times New Roman" w:eastAsia="Times New Roman" w:hAnsi="Times New Roman" w:cs="Times New Roman"/>
        </w:rPr>
      </w:pPr>
    </w:p>
    <w:p w14:paraId="54591039" w14:textId="433427E7" w:rsidR="00D73AEB" w:rsidRPr="0008447F" w:rsidRDefault="00D73AEB" w:rsidP="00116DBF">
      <w:pPr>
        <w:spacing w:line="360" w:lineRule="auto"/>
        <w:jc w:val="both"/>
      </w:pPr>
      <w:r w:rsidRPr="0008447F">
        <w:rPr>
          <w:rFonts w:ascii="Times New Roman" w:eastAsia="Times New Roman" w:hAnsi="Times New Roman" w:cs="Times New Roman"/>
          <w:b/>
          <w:bCs/>
        </w:rPr>
        <w:t xml:space="preserve">Keywords: </w:t>
      </w:r>
      <w:r w:rsidRPr="0008447F">
        <w:rPr>
          <w:rFonts w:ascii="Times New Roman" w:eastAsia="Times New Roman" w:hAnsi="Times New Roman" w:cs="Times New Roman"/>
        </w:rPr>
        <w:t xml:space="preserve">instructional continuity, early years, primary education, teacher agency, </w:t>
      </w:r>
      <w:r w:rsidR="006D6457" w:rsidRPr="0008447F">
        <w:rPr>
          <w:rFonts w:ascii="Times New Roman" w:eastAsia="Times New Roman" w:hAnsi="Times New Roman" w:cs="Times New Roman"/>
        </w:rPr>
        <w:t>g</w:t>
      </w:r>
      <w:r w:rsidRPr="0008447F">
        <w:rPr>
          <w:rFonts w:ascii="Times New Roman" w:eastAsia="Times New Roman" w:hAnsi="Times New Roman" w:cs="Times New Roman"/>
        </w:rPr>
        <w:t xml:space="preserve">eneration </w:t>
      </w:r>
      <w:r w:rsidR="006D6457" w:rsidRPr="0008447F">
        <w:rPr>
          <w:rFonts w:ascii="Times New Roman" w:eastAsia="Times New Roman" w:hAnsi="Times New Roman" w:cs="Times New Roman"/>
        </w:rPr>
        <w:t>a</w:t>
      </w:r>
      <w:r w:rsidRPr="0008447F">
        <w:rPr>
          <w:rFonts w:ascii="Times New Roman" w:eastAsia="Times New Roman" w:hAnsi="Times New Roman" w:cs="Times New Roman"/>
        </w:rPr>
        <w:t>lpha, Malaysian international schools, pedagogical transition, conceptual framework</w:t>
      </w:r>
    </w:p>
    <w:p w14:paraId="12380778" w14:textId="77777777" w:rsidR="00D73AEB" w:rsidRPr="0008447F" w:rsidRDefault="00D73AEB" w:rsidP="00750536">
      <w:pPr>
        <w:rPr>
          <w:rFonts w:ascii="Times New Roman" w:hAnsi="Times New Roman" w:cs="Times New Roman"/>
          <w:b/>
          <w:bCs/>
        </w:rPr>
      </w:pPr>
    </w:p>
    <w:p w14:paraId="2E42D5CB" w14:textId="77777777" w:rsidR="006D6457" w:rsidRPr="0008447F" w:rsidRDefault="006D6457" w:rsidP="00750536">
      <w:pPr>
        <w:rPr>
          <w:rFonts w:ascii="Times New Roman" w:hAnsi="Times New Roman" w:cs="Times New Roman"/>
          <w:b/>
          <w:bCs/>
        </w:rPr>
      </w:pPr>
    </w:p>
    <w:p w14:paraId="795B0B1A" w14:textId="77777777" w:rsidR="006D6457" w:rsidRPr="0008447F" w:rsidRDefault="006D6457" w:rsidP="00750536">
      <w:pPr>
        <w:rPr>
          <w:rFonts w:ascii="Times New Roman" w:hAnsi="Times New Roman" w:cs="Times New Roman"/>
          <w:b/>
          <w:bCs/>
        </w:rPr>
      </w:pPr>
    </w:p>
    <w:p w14:paraId="76FC8A80" w14:textId="7C62FF59" w:rsidR="00DC07BF" w:rsidRPr="0008447F" w:rsidRDefault="006D5236" w:rsidP="00750536">
      <w:pPr>
        <w:rPr>
          <w:rFonts w:ascii="Times New Roman" w:hAnsi="Times New Roman" w:cs="Times New Roman"/>
          <w:b/>
          <w:bCs/>
        </w:rPr>
      </w:pPr>
      <w:r w:rsidRPr="0008447F">
        <w:rPr>
          <w:rFonts w:ascii="Times New Roman" w:hAnsi="Times New Roman" w:cs="Times New Roman"/>
          <w:b/>
          <w:bCs/>
        </w:rPr>
        <w:lastRenderedPageBreak/>
        <w:t xml:space="preserve">1.0 </w:t>
      </w:r>
      <w:r w:rsidR="00D73AEB" w:rsidRPr="0008447F">
        <w:rPr>
          <w:rFonts w:ascii="Times New Roman" w:hAnsi="Times New Roman" w:cs="Times New Roman"/>
          <w:b/>
          <w:bCs/>
        </w:rPr>
        <w:t>Introduction</w:t>
      </w:r>
    </w:p>
    <w:p w14:paraId="47C88072" w14:textId="77777777" w:rsidR="00750536" w:rsidRPr="0008447F" w:rsidRDefault="00750536" w:rsidP="00D73AEB">
      <w:pPr>
        <w:spacing w:line="360" w:lineRule="auto"/>
        <w:jc w:val="both"/>
        <w:rPr>
          <w:rFonts w:ascii="Times New Roman" w:hAnsi="Times New Roman" w:cs="Times New Roman"/>
        </w:rPr>
      </w:pPr>
      <w:r w:rsidRPr="0008447F">
        <w:rPr>
          <w:rFonts w:ascii="Times New Roman" w:hAnsi="Times New Roman" w:cs="Times New Roman"/>
        </w:rPr>
        <w:t>“Every educational system is a political means of maintaining or of modifying the appropriation of discourse, with the knowledge and the powers it carries with it" (Foucault, 1972, p. 227). In the context of education, teaching strategies are essential for teachers to promote holistic learning for learners, regardless of the type of institution, whether government, public, or international. Consistency in teaching strategies is necessary to meet the diverse needs of students. A study has shown that successful schools are led by effective and passionate administrators who are dedicated to fostering growth through a strong philosophy and collaborative teamwork among the academic and non-academic teams (Parveen et al., 2024).</w:t>
      </w:r>
    </w:p>
    <w:p w14:paraId="36F7719C" w14:textId="77777777" w:rsidR="00D73AEB" w:rsidRPr="0008447F" w:rsidRDefault="00750536" w:rsidP="00D73AEB">
      <w:pPr>
        <w:spacing w:line="360" w:lineRule="auto"/>
        <w:jc w:val="both"/>
        <w:rPr>
          <w:rFonts w:ascii="Times New Roman" w:hAnsi="Times New Roman" w:cs="Times New Roman"/>
        </w:rPr>
      </w:pPr>
      <w:r w:rsidRPr="0008447F">
        <w:rPr>
          <w:rFonts w:ascii="Times New Roman" w:hAnsi="Times New Roman" w:cs="Times New Roman"/>
        </w:rPr>
        <w:t xml:space="preserve">In Malaysia, a study revealed that one of the key factors in the decline in achievement on the Trends in International Mathematics and Science Study (TIMSS) was uneven teaching pedagogy in translating theory into practice (Ong et al., 2023). This study reflects that without the unified instructional teaching </w:t>
      </w:r>
      <w:proofErr w:type="gramStart"/>
      <w:r w:rsidRPr="0008447F">
        <w:rPr>
          <w:rFonts w:ascii="Times New Roman" w:hAnsi="Times New Roman" w:cs="Times New Roman"/>
        </w:rPr>
        <w:t>strategies,</w:t>
      </w:r>
      <w:proofErr w:type="gramEnd"/>
      <w:r w:rsidRPr="0008447F">
        <w:rPr>
          <w:rFonts w:ascii="Times New Roman" w:hAnsi="Times New Roman" w:cs="Times New Roman"/>
        </w:rPr>
        <w:t xml:space="preserve"> students are exposed with varies learning experiences which may cause overload in their working memory. Based on Cognitive Load Theory (CLT) by </w:t>
      </w:r>
      <w:proofErr w:type="spellStart"/>
      <w:r w:rsidRPr="0008447F">
        <w:rPr>
          <w:rFonts w:ascii="Times New Roman" w:hAnsi="Times New Roman" w:cs="Times New Roman"/>
        </w:rPr>
        <w:t>Sweller</w:t>
      </w:r>
      <w:proofErr w:type="spellEnd"/>
      <w:r w:rsidRPr="0008447F">
        <w:rPr>
          <w:rFonts w:ascii="Times New Roman" w:hAnsi="Times New Roman" w:cs="Times New Roman"/>
        </w:rPr>
        <w:t xml:space="preserve"> (1988; 2021), when teaching strategies change from class to class, the working memory load can be overwhelming. Therefore, the instructional continuity of teaching strategies would be beneficial for all students to receive consistent and clear guidance during the learning process. </w:t>
      </w:r>
    </w:p>
    <w:p w14:paraId="3A9BBFE8" w14:textId="4DCE3F45" w:rsidR="00750536" w:rsidRPr="0008447F" w:rsidRDefault="00750536" w:rsidP="00D73AEB">
      <w:pPr>
        <w:spacing w:line="360" w:lineRule="auto"/>
        <w:jc w:val="both"/>
        <w:rPr>
          <w:rFonts w:ascii="Times New Roman" w:hAnsi="Times New Roman" w:cs="Times New Roman"/>
        </w:rPr>
      </w:pPr>
      <w:r w:rsidRPr="0008447F">
        <w:rPr>
          <w:rFonts w:ascii="Times New Roman" w:hAnsi="Times New Roman" w:cs="Times New Roman"/>
        </w:rPr>
        <w:t>The current education in Malaysia is shifting towards holistic and Higher Order Thinking Skills (HOTS) for future generations. Malaysia’s national curriculum included guidelines for preschool and primary levels, which are the National Preschool Standard Curriculum (NPSC) and the Primary School Standards-Based Curriculum, also known as KSSR (</w:t>
      </w:r>
      <w:proofErr w:type="spellStart"/>
      <w:r w:rsidRPr="0008447F">
        <w:rPr>
          <w:rFonts w:ascii="Times New Roman" w:hAnsi="Times New Roman" w:cs="Times New Roman"/>
          <w:i/>
          <w:iCs/>
        </w:rPr>
        <w:t>Kurikulum</w:t>
      </w:r>
      <w:proofErr w:type="spellEnd"/>
      <w:r w:rsidRPr="0008447F">
        <w:rPr>
          <w:rFonts w:ascii="Times New Roman" w:hAnsi="Times New Roman" w:cs="Times New Roman"/>
          <w:i/>
          <w:iCs/>
        </w:rPr>
        <w:t xml:space="preserve"> Standard </w:t>
      </w:r>
      <w:proofErr w:type="spellStart"/>
      <w:r w:rsidRPr="0008447F">
        <w:rPr>
          <w:rFonts w:ascii="Times New Roman" w:hAnsi="Times New Roman" w:cs="Times New Roman"/>
          <w:i/>
          <w:iCs/>
        </w:rPr>
        <w:t>Sekolah</w:t>
      </w:r>
      <w:proofErr w:type="spellEnd"/>
      <w:r w:rsidRPr="0008447F">
        <w:rPr>
          <w:rFonts w:ascii="Times New Roman" w:hAnsi="Times New Roman" w:cs="Times New Roman"/>
          <w:i/>
          <w:iCs/>
        </w:rPr>
        <w:t xml:space="preserve"> </w:t>
      </w:r>
      <w:proofErr w:type="spellStart"/>
      <w:r w:rsidRPr="0008447F">
        <w:rPr>
          <w:rFonts w:ascii="Times New Roman" w:hAnsi="Times New Roman" w:cs="Times New Roman"/>
          <w:i/>
          <w:iCs/>
        </w:rPr>
        <w:t>Rendah</w:t>
      </w:r>
      <w:proofErr w:type="spellEnd"/>
      <w:r w:rsidRPr="0008447F">
        <w:rPr>
          <w:rFonts w:ascii="Times New Roman" w:hAnsi="Times New Roman" w:cs="Times New Roman"/>
        </w:rPr>
        <w:t xml:space="preserve">). Malaysia's education system has promoted the evolution of the learning system by emphasising holistic student development, 21st-century skills, Higher Order Thinking Skills (HOTS), and student-centred learning (MOE, 2013). Furthermore, the latest Malaysia Higher Education Blueprint 2026-2035 stated that diversity, equity and inclusion create a strong sense of community and belonging in education. Sustainability ensures long-term educational well-being and supports future generations. The transformation will enable learners to receive equitable, high-quality education with global exposure (Ministry of Higher Education, 2025). </w:t>
      </w:r>
    </w:p>
    <w:p w14:paraId="0E7CAFAB" w14:textId="50EEBE3E" w:rsidR="00750536" w:rsidRPr="0008447F" w:rsidRDefault="00750536" w:rsidP="00D73AEB">
      <w:pPr>
        <w:spacing w:line="360" w:lineRule="auto"/>
        <w:jc w:val="both"/>
        <w:rPr>
          <w:rFonts w:ascii="Times New Roman" w:hAnsi="Times New Roman" w:cs="Times New Roman"/>
        </w:rPr>
      </w:pPr>
      <w:r w:rsidRPr="0008447F">
        <w:rPr>
          <w:rFonts w:ascii="Times New Roman" w:hAnsi="Times New Roman" w:cs="Times New Roman"/>
        </w:rPr>
        <w:t xml:space="preserve">According to the 5-Year National Progress Report (5-NPR) on Sustainable Development Goal 4 (SDG 4), which focuses on the quality of education, it provides an overall assessment </w:t>
      </w:r>
      <w:r w:rsidRPr="0008447F">
        <w:rPr>
          <w:rFonts w:ascii="Times New Roman" w:hAnsi="Times New Roman" w:cs="Times New Roman"/>
        </w:rPr>
        <w:lastRenderedPageBreak/>
        <w:t>guideline for Malaysia to reform and align with education policy (UNICEF Malaysia, 2023). A comprehensive report revealed that key challenges include improving the preschool teachers’ teaching quality, aligning skills training with industry needs, and enhancing ICT skills among teachers and students to meet the demands of the digital economy and the Fourth Industrial Revolution. Furthermore, the report emphasises the school-based assessments to evaluate a wider range of student skills, moving beyond exam-driven outcomes to support Malaysia’s sustainable education goals by 2030 (UNICEF Malaysia, 2023). Therefore, the instructional continuity of teaching strategies plays an important role in the education system in Malaysia by providing transparent learning guidelines. It is a belief that the teaching strategies can be adopted in any education system, as these strategies could be modified and be well-suited for all subjects and year groups.</w:t>
      </w:r>
    </w:p>
    <w:p w14:paraId="1A3E955D" w14:textId="77777777" w:rsidR="004835B2" w:rsidRPr="0008447F" w:rsidRDefault="004835B2" w:rsidP="00D73AEB">
      <w:pPr>
        <w:spacing w:line="360" w:lineRule="auto"/>
        <w:jc w:val="both"/>
        <w:rPr>
          <w:rFonts w:ascii="Times New Roman" w:hAnsi="Times New Roman" w:cs="Times New Roman"/>
        </w:rPr>
      </w:pPr>
    </w:p>
    <w:p w14:paraId="606BF79B" w14:textId="27397DF5" w:rsidR="00750536" w:rsidRPr="0008447F" w:rsidRDefault="006D5236" w:rsidP="006D5236">
      <w:pPr>
        <w:spacing w:line="360" w:lineRule="auto"/>
        <w:jc w:val="both"/>
        <w:rPr>
          <w:rFonts w:ascii="Times New Roman" w:hAnsi="Times New Roman" w:cs="Times New Roman"/>
          <w:b/>
          <w:bCs/>
        </w:rPr>
      </w:pPr>
      <w:r w:rsidRPr="0008447F">
        <w:rPr>
          <w:rFonts w:ascii="Times New Roman" w:hAnsi="Times New Roman" w:cs="Times New Roman"/>
          <w:b/>
          <w:bCs/>
        </w:rPr>
        <w:t xml:space="preserve">1.1 </w:t>
      </w:r>
      <w:r w:rsidR="00750536" w:rsidRPr="0008447F">
        <w:rPr>
          <w:rFonts w:ascii="Times New Roman" w:hAnsi="Times New Roman" w:cs="Times New Roman"/>
          <w:b/>
          <w:bCs/>
        </w:rPr>
        <w:t xml:space="preserve">Education for Generation Alpha </w:t>
      </w:r>
      <w:r w:rsidR="007C0D94" w:rsidRPr="0008447F">
        <w:rPr>
          <w:rFonts w:ascii="Times New Roman" w:hAnsi="Times New Roman" w:cs="Times New Roman"/>
          <w:b/>
          <w:bCs/>
        </w:rPr>
        <w:t>and Beyond</w:t>
      </w:r>
    </w:p>
    <w:p w14:paraId="65BF17C0" w14:textId="77777777" w:rsidR="00116DBF" w:rsidRPr="0008447F" w:rsidRDefault="00750536" w:rsidP="006D5236">
      <w:pPr>
        <w:spacing w:line="360" w:lineRule="auto"/>
        <w:jc w:val="both"/>
        <w:rPr>
          <w:rFonts w:ascii="Times New Roman" w:hAnsi="Times New Roman" w:cs="Times New Roman"/>
        </w:rPr>
      </w:pPr>
      <w:r w:rsidRPr="0008447F">
        <w:rPr>
          <w:rFonts w:ascii="Times New Roman" w:hAnsi="Times New Roman" w:cs="Times New Roman"/>
        </w:rPr>
        <w:t>The teaching strategies are crucial to the modern learner who is Generation Alpha and English as an Additional Language (EAL) students. Generation Alpha is a group of individuals born from 2010 to 2024. Generation Alpha has been called the “Glass Generation”, and the Alphas can</w:t>
      </w:r>
      <w:r w:rsidR="00BC0C49" w:rsidRPr="0008447F">
        <w:rPr>
          <w:rFonts w:ascii="Times New Roman" w:hAnsi="Times New Roman" w:cs="Times New Roman"/>
        </w:rPr>
        <w:t>not</w:t>
      </w:r>
      <w:r w:rsidRPr="0008447F">
        <w:rPr>
          <w:rFonts w:ascii="Times New Roman" w:hAnsi="Times New Roman" w:cs="Times New Roman"/>
        </w:rPr>
        <w:t xml:space="preserve"> stay away from technology (McCrindle &amp; Fell, 2020). As education rapidly evolves for Generation Alpha learners, schools must adapt a learning framework that can guide innovation without losing instructional quality. The existence of a unified pedagogical framework provides a balance between structure and flexibility by considering the characteristics and learning styles of Generation Alpha. </w:t>
      </w:r>
    </w:p>
    <w:p w14:paraId="05627530" w14:textId="68502598" w:rsidR="00750536" w:rsidRPr="0008447F" w:rsidRDefault="00750536" w:rsidP="006D5236">
      <w:pPr>
        <w:spacing w:line="360" w:lineRule="auto"/>
        <w:jc w:val="both"/>
        <w:rPr>
          <w:rFonts w:ascii="Times New Roman" w:hAnsi="Times New Roman" w:cs="Times New Roman"/>
        </w:rPr>
      </w:pPr>
      <w:r w:rsidRPr="0008447F">
        <w:rPr>
          <w:rFonts w:ascii="Times New Roman" w:hAnsi="Times New Roman" w:cs="Times New Roman"/>
        </w:rPr>
        <w:t xml:space="preserve">Furthermore, research by </w:t>
      </w:r>
      <w:proofErr w:type="spellStart"/>
      <w:r w:rsidRPr="0008447F">
        <w:rPr>
          <w:rFonts w:ascii="Times New Roman" w:hAnsi="Times New Roman" w:cs="Times New Roman"/>
        </w:rPr>
        <w:t>Zakirman</w:t>
      </w:r>
      <w:proofErr w:type="spellEnd"/>
      <w:r w:rsidRPr="0008447F">
        <w:rPr>
          <w:rFonts w:ascii="Times New Roman" w:hAnsi="Times New Roman" w:cs="Times New Roman"/>
        </w:rPr>
        <w:t xml:space="preserve"> et al. (2023) found that an average percentage of 86% of Alpha learners have more enjoyment when learning with the use of electronic games. Generation Alpha prefers a visual and interactive learning style, such as hands-on learning experiences. Moreover, Generation Alpha learned better through media and gamification lessons than through traditional learning methods. Hands-on learning should be the main aspect of learning for Generation Alpha instead of memorising a textbook (Fernando &amp; Premadasa, 2024). Therefore, a positive classroom environment by incorporating gamification can enhance levels of student engagement, improve specific skills, and optimise learning outcomes based on the learning traits of Generation Alpha (</w:t>
      </w:r>
      <w:proofErr w:type="spellStart"/>
      <w:r w:rsidRPr="0008447F">
        <w:rPr>
          <w:rFonts w:ascii="Times New Roman" w:hAnsi="Times New Roman" w:cs="Times New Roman"/>
        </w:rPr>
        <w:t>Gaurina</w:t>
      </w:r>
      <w:proofErr w:type="spellEnd"/>
      <w:r w:rsidRPr="0008447F">
        <w:rPr>
          <w:rFonts w:ascii="Times New Roman" w:hAnsi="Times New Roman" w:cs="Times New Roman"/>
        </w:rPr>
        <w:t xml:space="preserve"> et al., 2025). As a result, it is believed that key theories that inspired and adapted in this pedagogical framework can provide effective learning for Generation Alpha.</w:t>
      </w:r>
    </w:p>
    <w:p w14:paraId="7CAFB446" w14:textId="77777777" w:rsidR="006D5236" w:rsidRPr="0008447F" w:rsidRDefault="006D5236" w:rsidP="006D5236">
      <w:pPr>
        <w:spacing w:line="360" w:lineRule="auto"/>
        <w:jc w:val="both"/>
        <w:rPr>
          <w:rFonts w:ascii="Times New Roman" w:hAnsi="Times New Roman" w:cs="Times New Roman"/>
        </w:rPr>
      </w:pPr>
    </w:p>
    <w:p w14:paraId="2D36629E" w14:textId="425581EE" w:rsidR="00750536" w:rsidRPr="0008447F" w:rsidRDefault="006D5236" w:rsidP="006D5236">
      <w:pPr>
        <w:spacing w:line="360" w:lineRule="auto"/>
        <w:jc w:val="both"/>
        <w:rPr>
          <w:rFonts w:ascii="Times New Roman" w:hAnsi="Times New Roman" w:cs="Times New Roman"/>
          <w:b/>
          <w:bCs/>
        </w:rPr>
      </w:pPr>
      <w:r w:rsidRPr="0008447F">
        <w:rPr>
          <w:rFonts w:ascii="Times New Roman" w:hAnsi="Times New Roman" w:cs="Times New Roman"/>
          <w:b/>
          <w:bCs/>
        </w:rPr>
        <w:t xml:space="preserve">1.2 </w:t>
      </w:r>
      <w:r w:rsidR="00750536" w:rsidRPr="0008447F">
        <w:rPr>
          <w:rFonts w:ascii="Times New Roman" w:hAnsi="Times New Roman" w:cs="Times New Roman"/>
          <w:b/>
          <w:bCs/>
        </w:rPr>
        <w:t>The Transition from Early Years to Primary</w:t>
      </w:r>
    </w:p>
    <w:p w14:paraId="1A72195F" w14:textId="77777777" w:rsidR="00750536" w:rsidRPr="0008447F" w:rsidRDefault="00750536" w:rsidP="006D5236">
      <w:pPr>
        <w:spacing w:line="360" w:lineRule="auto"/>
        <w:jc w:val="both"/>
        <w:rPr>
          <w:rFonts w:ascii="Times New Roman" w:hAnsi="Times New Roman" w:cs="Times New Roman"/>
        </w:rPr>
      </w:pPr>
      <w:r w:rsidRPr="0008447F">
        <w:rPr>
          <w:rFonts w:ascii="Times New Roman" w:hAnsi="Times New Roman" w:cs="Times New Roman"/>
        </w:rPr>
        <w:t xml:space="preserve">The transition from early years to primary education levels remains a significant concern, as the changes from pre-formal education to formal education. In many schools, the move from the play-based learning environment of the early years to the structured, academic expectations of primary levels often causes children stress and anxiety, resulting in reduced desires to learn (Bird et al., 2025). The transition of a child from early years to the primary levels should be supported by the instructional continuity of teaching strategies across the school. While the core teaching strategies remain consistent, the application shifts from play-based in the early years to more explicit structures in primary. According to the findings from Shuey et al. (2019), the curricula are often understood differently across early years and primary education levels. The differences in the learning approaches could lead to a lack of support in the transition from early years to primary school (Shuey et al., 2019). </w:t>
      </w:r>
    </w:p>
    <w:p w14:paraId="2644206A" w14:textId="77777777" w:rsidR="00750536" w:rsidRPr="0008447F" w:rsidRDefault="00750536" w:rsidP="006D5236">
      <w:pPr>
        <w:spacing w:line="360" w:lineRule="auto"/>
        <w:jc w:val="both"/>
        <w:rPr>
          <w:rFonts w:ascii="Times New Roman" w:hAnsi="Times New Roman" w:cs="Times New Roman"/>
        </w:rPr>
      </w:pPr>
      <w:r w:rsidRPr="0008447F">
        <w:rPr>
          <w:rFonts w:ascii="Times New Roman" w:hAnsi="Times New Roman" w:cs="Times New Roman"/>
        </w:rPr>
        <w:t xml:space="preserve">Besides, Malaysia’s School Curriculum 2027 outlines the curriculum focus for each educational stage. At the preschool level, the learning focus is based on social, emotional, and character development, whereas the learning focus, where the attainment of literacy and numeracy competencies alongside character development will be further enhanced, is at the primary level, year 1 and 2. In years 3 and 4, the learning focus shifts toward the application of skills, knowledge, and values while maintaining character formation. In years 5 and 6, the focus will be on analytical skills and the ability to generate innovation, as well as the development of character (MOE, 2025). Therefore, it is necessary to highlight the issue of transitioning by linking the discontinuities in learning approaches between early years and primary education levels in school. </w:t>
      </w:r>
    </w:p>
    <w:p w14:paraId="1E9C4040" w14:textId="7B4A6D4A" w:rsidR="00750536" w:rsidRPr="0008447F" w:rsidRDefault="000906AE" w:rsidP="006D5236">
      <w:pPr>
        <w:spacing w:line="360" w:lineRule="auto"/>
        <w:jc w:val="both"/>
        <w:rPr>
          <w:rFonts w:ascii="Times New Roman" w:hAnsi="Times New Roman" w:cs="Times New Roman"/>
        </w:rPr>
      </w:pPr>
      <w:r w:rsidRPr="0008447F">
        <w:rPr>
          <w:rFonts w:ascii="Times New Roman" w:hAnsi="Times New Roman" w:cs="Times New Roman"/>
        </w:rPr>
        <w:t>S</w:t>
      </w:r>
      <w:r w:rsidR="00750536" w:rsidRPr="0008447F">
        <w:rPr>
          <w:rFonts w:ascii="Times New Roman" w:hAnsi="Times New Roman" w:cs="Times New Roman"/>
        </w:rPr>
        <w:t>tudy that revealed the experiences and education a child receives in the first five years of life can have far-reaching effects which shape not only their academic success but also their social-emotional development, career paths, health, and well-being into old age (</w:t>
      </w:r>
      <w:proofErr w:type="spellStart"/>
      <w:r w:rsidR="00750536" w:rsidRPr="0008447F">
        <w:rPr>
          <w:rFonts w:ascii="Times New Roman" w:hAnsi="Times New Roman" w:cs="Times New Roman"/>
        </w:rPr>
        <w:t>Kallapiran</w:t>
      </w:r>
      <w:proofErr w:type="spellEnd"/>
      <w:r w:rsidR="00750536" w:rsidRPr="0008447F">
        <w:rPr>
          <w:rFonts w:ascii="Times New Roman" w:hAnsi="Times New Roman" w:cs="Times New Roman"/>
        </w:rPr>
        <w:t xml:space="preserve"> et al., 2025). It is undeniable that children who attend early years programs are more likely to adapt well to the school environment when transitioning to primary education levels. In the recent news in Malaysia, the Prime Minister Datuk Seri Anwar Ibrahim announced that he will make preschool education mandatory for children starting at the age of five, to reform and strengthen the national education system (</w:t>
      </w:r>
      <w:proofErr w:type="spellStart"/>
      <w:r w:rsidR="00750536" w:rsidRPr="0008447F">
        <w:rPr>
          <w:rFonts w:ascii="Times New Roman" w:hAnsi="Times New Roman" w:cs="Times New Roman"/>
        </w:rPr>
        <w:t>Loheswar</w:t>
      </w:r>
      <w:proofErr w:type="spellEnd"/>
      <w:r w:rsidR="00750536" w:rsidRPr="0008447F">
        <w:rPr>
          <w:rFonts w:ascii="Times New Roman" w:hAnsi="Times New Roman" w:cs="Times New Roman"/>
        </w:rPr>
        <w:t xml:space="preserve">, 2025). This is because early childhood centres have </w:t>
      </w:r>
      <w:r w:rsidR="00750536" w:rsidRPr="0008447F">
        <w:rPr>
          <w:rFonts w:ascii="Times New Roman" w:hAnsi="Times New Roman" w:cs="Times New Roman"/>
        </w:rPr>
        <w:lastRenderedPageBreak/>
        <w:t xml:space="preserve">fostered the development of these critical life and mental health skills, such as cooperation, self-control, and problem-solving (Muir et al., 2023). </w:t>
      </w:r>
    </w:p>
    <w:p w14:paraId="0759E26A" w14:textId="77777777" w:rsidR="006D5236" w:rsidRPr="0008447F" w:rsidRDefault="00750536" w:rsidP="006D5236">
      <w:pPr>
        <w:spacing w:line="360" w:lineRule="auto"/>
        <w:jc w:val="both"/>
        <w:rPr>
          <w:rFonts w:ascii="Times New Roman" w:hAnsi="Times New Roman" w:cs="Times New Roman"/>
        </w:rPr>
      </w:pPr>
      <w:r w:rsidRPr="0008447F">
        <w:rPr>
          <w:rFonts w:ascii="Times New Roman" w:hAnsi="Times New Roman" w:cs="Times New Roman"/>
        </w:rPr>
        <w:t>Moreover, Zhang et al. (2023) discovered that childhood circumstances have a strong link to cognitive impairment as they were growing up, such as emotional neglect and physical abuse that occurred before the age of 18. Therefore, early years and primary education levels are both important in providing the holistic development and best-fit education for Generation Alpha. In order to have a better understanding of how a framework could help students transition from early years to primary education levels, it is crucial to compare the teaching strategies between early years and primary education levels in the targeted international school.</w:t>
      </w:r>
    </w:p>
    <w:p w14:paraId="55C3DBAC" w14:textId="1E4FBC6D" w:rsidR="006D5236" w:rsidRPr="0008447F" w:rsidRDefault="006D5236" w:rsidP="006D5236">
      <w:pPr>
        <w:spacing w:line="360" w:lineRule="auto"/>
        <w:jc w:val="both"/>
        <w:rPr>
          <w:rFonts w:ascii="Times New Roman" w:hAnsi="Times New Roman" w:cs="Times New Roman"/>
        </w:rPr>
      </w:pPr>
      <w:r w:rsidRPr="0008447F">
        <w:rPr>
          <w:rFonts w:ascii="Times New Roman" w:hAnsi="Times New Roman" w:cs="Times New Roman"/>
        </w:rPr>
        <w:t>This paper argues that what is needed, for these children, for their teachers, and for the Malaysian international schools that serve them, is a theoretically grounded, contextually responsive framework for instructional continuity: one that bridges the early years and primary stages without erasing the developmental distinctiveness of either. The central question guiding this work is: How do instructional continuity, teacher agency, and pedagogical adaptation theoretically link to support a smooth and developmentally appropriate transition from early years to primary education in Malaysian international schools?</w:t>
      </w:r>
    </w:p>
    <w:p w14:paraId="77393C5F" w14:textId="77777777" w:rsidR="00752635" w:rsidRPr="0008447F" w:rsidRDefault="00752635" w:rsidP="006D5236">
      <w:pPr>
        <w:spacing w:line="360" w:lineRule="auto"/>
        <w:jc w:val="both"/>
        <w:rPr>
          <w:rFonts w:ascii="Times New Roman" w:hAnsi="Times New Roman" w:cs="Times New Roman"/>
        </w:rPr>
      </w:pPr>
    </w:p>
    <w:p w14:paraId="64991E62" w14:textId="445DDDA7" w:rsidR="008E0688" w:rsidRPr="0008447F" w:rsidRDefault="008E0688" w:rsidP="006D5236">
      <w:pPr>
        <w:spacing w:line="360" w:lineRule="auto"/>
        <w:jc w:val="both"/>
        <w:rPr>
          <w:rFonts w:ascii="Times New Roman" w:hAnsi="Times New Roman" w:cs="Times New Roman"/>
          <w:b/>
          <w:bCs/>
        </w:rPr>
      </w:pPr>
      <w:r w:rsidRPr="0008447F">
        <w:rPr>
          <w:rFonts w:ascii="Times New Roman" w:hAnsi="Times New Roman" w:cs="Times New Roman"/>
          <w:b/>
          <w:bCs/>
        </w:rPr>
        <w:t>2.0 Problem Statement and Conceptual Gaps</w:t>
      </w:r>
    </w:p>
    <w:p w14:paraId="6B1AB9E4" w14:textId="77777777" w:rsidR="007C0D94" w:rsidRPr="0008447F" w:rsidRDefault="007C0D94" w:rsidP="006D5236">
      <w:pPr>
        <w:spacing w:line="360" w:lineRule="auto"/>
        <w:jc w:val="both"/>
        <w:rPr>
          <w:rFonts w:ascii="Times New Roman" w:eastAsia="Times New Roman" w:hAnsi="Times New Roman" w:cs="Times New Roman"/>
          <w:b/>
          <w:bCs/>
        </w:rPr>
      </w:pPr>
      <w:r w:rsidRPr="0008447F">
        <w:rPr>
          <w:rFonts w:ascii="Times New Roman" w:eastAsia="Times New Roman" w:hAnsi="Times New Roman" w:cs="Times New Roman"/>
          <w:b/>
          <w:bCs/>
        </w:rPr>
        <w:t>2.1 Instructional Continuity</w:t>
      </w:r>
    </w:p>
    <w:p w14:paraId="0032A63F" w14:textId="7BA2A8DD"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t>The future shocks that were revealed a few decades ago show that changes in education are an ongoing process to meet the needs of modern learners</w:t>
      </w:r>
      <w:r w:rsidR="00993B0D" w:rsidRPr="0008447F">
        <w:rPr>
          <w:rFonts w:ascii="Times New Roman" w:hAnsi="Times New Roman" w:cs="Times New Roman"/>
        </w:rPr>
        <w:t xml:space="preserve">. </w:t>
      </w:r>
      <w:r w:rsidRPr="0008447F">
        <w:rPr>
          <w:rFonts w:ascii="Times New Roman" w:hAnsi="Times New Roman" w:cs="Times New Roman"/>
        </w:rPr>
        <w:t>This statement reflects the importance of change in education; the key to success lies in adapting rather than clinging to static knowledge. However, there will be problems arising from differences among practitioners in the school, including teachers and management. The different views of teaching strategies are based on the frontline educators in interpreting the best-fit teaching for learners from early years to primary levels. This issue happens where the school has a formal, structured lesson plan flow, but a lack of interpretation regarding how individual teachers define and deliver these strategies into real-life classroom practice. These approaches are criticised for their negative impact on the diversity of learning opportunities for children, de-professionalisation of teachers and restrictions on their autonomy, and a high level of control over the education process (</w:t>
      </w:r>
      <w:r w:rsidR="00D9284C" w:rsidRPr="0008447F">
        <w:rPr>
          <w:rFonts w:ascii="Times New Roman" w:hAnsi="Times New Roman" w:cs="Times New Roman"/>
        </w:rPr>
        <w:t>Menzies</w:t>
      </w:r>
      <w:r w:rsidR="00D9284C" w:rsidRPr="0008447F">
        <w:rPr>
          <w:rFonts w:ascii="Times New Roman" w:hAnsi="Times New Roman" w:cs="Times New Roman"/>
        </w:rPr>
        <w:t>, 2023)</w:t>
      </w:r>
      <w:r w:rsidRPr="0008447F">
        <w:rPr>
          <w:rFonts w:ascii="Times New Roman" w:hAnsi="Times New Roman" w:cs="Times New Roman"/>
        </w:rPr>
        <w:t xml:space="preserve"> </w:t>
      </w:r>
    </w:p>
    <w:p w14:paraId="32207CEE" w14:textId="77777777"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lastRenderedPageBreak/>
        <w:t xml:space="preserve">Besides, it could lead to teachers experiencing "unvoiced resistance" because they do not feel empowered to share how the formal plan diverges from their practical experience. This could link with a phenomenon of quiet quitting described by </w:t>
      </w:r>
      <w:proofErr w:type="spellStart"/>
      <w:r w:rsidRPr="0008447F">
        <w:rPr>
          <w:rFonts w:ascii="Times New Roman" w:hAnsi="Times New Roman" w:cs="Times New Roman"/>
        </w:rPr>
        <w:t>Konal</w:t>
      </w:r>
      <w:proofErr w:type="spellEnd"/>
      <w:r w:rsidRPr="0008447F">
        <w:rPr>
          <w:rFonts w:ascii="Times New Roman" w:hAnsi="Times New Roman" w:cs="Times New Roman"/>
        </w:rPr>
        <w:t xml:space="preserve"> Memiş and </w:t>
      </w:r>
      <w:proofErr w:type="spellStart"/>
      <w:r w:rsidRPr="0008447F">
        <w:rPr>
          <w:rFonts w:ascii="Times New Roman" w:hAnsi="Times New Roman" w:cs="Times New Roman"/>
        </w:rPr>
        <w:t>Tabancalı</w:t>
      </w:r>
      <w:proofErr w:type="spellEnd"/>
      <w:r w:rsidRPr="0008447F">
        <w:rPr>
          <w:rFonts w:ascii="Times New Roman" w:hAnsi="Times New Roman" w:cs="Times New Roman"/>
        </w:rPr>
        <w:t xml:space="preserve"> (2024). In this state, teachers fulfil their basic job scopes but withdraw their psychological commitment and sense of belonging. Quiet quitters display a lack of motivation, underdevelopment of skills, a lack of flexibility and an inability to work in a team setting (</w:t>
      </w:r>
      <w:proofErr w:type="spellStart"/>
      <w:r w:rsidRPr="0008447F">
        <w:rPr>
          <w:rFonts w:ascii="Times New Roman" w:hAnsi="Times New Roman" w:cs="Times New Roman"/>
        </w:rPr>
        <w:t>Konal</w:t>
      </w:r>
      <w:proofErr w:type="spellEnd"/>
      <w:r w:rsidRPr="0008447F">
        <w:rPr>
          <w:rFonts w:ascii="Times New Roman" w:hAnsi="Times New Roman" w:cs="Times New Roman"/>
        </w:rPr>
        <w:t xml:space="preserve"> Memiş and </w:t>
      </w:r>
      <w:proofErr w:type="spellStart"/>
      <w:r w:rsidRPr="0008447F">
        <w:rPr>
          <w:rFonts w:ascii="Times New Roman" w:hAnsi="Times New Roman" w:cs="Times New Roman"/>
        </w:rPr>
        <w:t>Tabancalı</w:t>
      </w:r>
      <w:proofErr w:type="spellEnd"/>
      <w:r w:rsidRPr="0008447F">
        <w:rPr>
          <w:rFonts w:ascii="Times New Roman" w:hAnsi="Times New Roman" w:cs="Times New Roman"/>
        </w:rPr>
        <w:t xml:space="preserve">, 2024). As a result, the low engagement in working would hinder the success of any teaching strategies. </w:t>
      </w:r>
    </w:p>
    <w:p w14:paraId="2365793A" w14:textId="0D155058"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t xml:space="preserve">Furthermore, even if clear and shared teaching strategies have been delivered, certain teachers’ beliefs could deviate or even criticise the selected teaching strategies. </w:t>
      </w:r>
      <w:r w:rsidR="00D9284C" w:rsidRPr="0008447F">
        <w:rPr>
          <w:rFonts w:ascii="Times New Roman" w:hAnsi="Times New Roman" w:cs="Times New Roman"/>
        </w:rPr>
        <w:t xml:space="preserve">Meng </w:t>
      </w:r>
      <w:r w:rsidRPr="0008447F">
        <w:rPr>
          <w:rFonts w:ascii="Times New Roman" w:hAnsi="Times New Roman" w:cs="Times New Roman"/>
        </w:rPr>
        <w:t xml:space="preserve">(2025) also observed that teachers experience the shifting curricula as a disorienting dilemma that causes feelings of insecurity, uncertainty, and intellectual anxiety. It could further lead them to reconsider their professional identity. Based on the current research, it is significant to reveal teachers’ opinions on the ways to engage with effective teaching strategies to maintain a healthy workplace (Kamali </w:t>
      </w:r>
      <w:r w:rsidR="00485197" w:rsidRPr="0008447F">
        <w:rPr>
          <w:rFonts w:ascii="Times New Roman" w:hAnsi="Times New Roman" w:cs="Times New Roman"/>
        </w:rPr>
        <w:t>&amp;</w:t>
      </w:r>
      <w:r w:rsidRPr="0008447F">
        <w:rPr>
          <w:rFonts w:ascii="Times New Roman" w:hAnsi="Times New Roman" w:cs="Times New Roman"/>
        </w:rPr>
        <w:t xml:space="preserve"> Javahery, 2024). </w:t>
      </w:r>
    </w:p>
    <w:p w14:paraId="4C7DF041" w14:textId="77777777" w:rsidR="007C0D94" w:rsidRPr="0008447F" w:rsidRDefault="007C0D94" w:rsidP="006D5236">
      <w:pPr>
        <w:spacing w:line="360" w:lineRule="auto"/>
        <w:jc w:val="both"/>
        <w:rPr>
          <w:rFonts w:ascii="Times New Roman" w:eastAsia="Times New Roman" w:hAnsi="Times New Roman" w:cs="Times New Roman"/>
          <w:b/>
          <w:bCs/>
        </w:rPr>
      </w:pPr>
    </w:p>
    <w:p w14:paraId="1500D811" w14:textId="77ACD907" w:rsidR="007C0D94" w:rsidRPr="0008447F" w:rsidRDefault="007C0D94" w:rsidP="006D5236">
      <w:pPr>
        <w:spacing w:line="360" w:lineRule="auto"/>
        <w:jc w:val="both"/>
        <w:rPr>
          <w:rFonts w:ascii="Times New Roman" w:eastAsia="Times New Roman" w:hAnsi="Times New Roman" w:cs="Times New Roman"/>
          <w:b/>
          <w:bCs/>
        </w:rPr>
      </w:pPr>
      <w:r w:rsidRPr="0008447F">
        <w:rPr>
          <w:rFonts w:ascii="Times New Roman" w:eastAsia="Times New Roman" w:hAnsi="Times New Roman" w:cs="Times New Roman"/>
          <w:b/>
          <w:bCs/>
        </w:rPr>
        <w:t>2.1 Teacher Agency</w:t>
      </w:r>
    </w:p>
    <w:p w14:paraId="02E33F54" w14:textId="339104F4"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t xml:space="preserve">Certain challenges should be revealed in the international school </w:t>
      </w:r>
      <w:proofErr w:type="spellStart"/>
      <w:proofErr w:type="gramStart"/>
      <w:r w:rsidRPr="0008447F">
        <w:rPr>
          <w:rFonts w:ascii="Times New Roman" w:hAnsi="Times New Roman" w:cs="Times New Roman"/>
        </w:rPr>
        <w:t>settings.</w:t>
      </w:r>
      <w:r w:rsidR="00EC7086" w:rsidRPr="0008447F">
        <w:rPr>
          <w:rFonts w:ascii="Times New Roman" w:hAnsi="Times New Roman" w:cs="Times New Roman"/>
        </w:rPr>
        <w:t>T</w:t>
      </w:r>
      <w:r w:rsidRPr="0008447F">
        <w:rPr>
          <w:rFonts w:ascii="Times New Roman" w:hAnsi="Times New Roman" w:cs="Times New Roman"/>
        </w:rPr>
        <w:t>he</w:t>
      </w:r>
      <w:proofErr w:type="spellEnd"/>
      <w:proofErr w:type="gramEnd"/>
      <w:r w:rsidRPr="0008447F">
        <w:rPr>
          <w:rFonts w:ascii="Times New Roman" w:hAnsi="Times New Roman" w:cs="Times New Roman"/>
        </w:rPr>
        <w:t xml:space="preserve"> most common issue is the high turnover of teachers, as the homeroom teachers are contract-based and will leave every two years. In international school settings, where staff diversity and high turnover are common (Gibbons et al., 2021). </w:t>
      </w:r>
      <w:r w:rsidR="000906AE" w:rsidRPr="0008447F">
        <w:rPr>
          <w:rFonts w:ascii="Times New Roman" w:hAnsi="Times New Roman" w:cs="Times New Roman"/>
        </w:rPr>
        <w:t>E</w:t>
      </w:r>
      <w:r w:rsidRPr="0008447F">
        <w:rPr>
          <w:rFonts w:ascii="Times New Roman" w:hAnsi="Times New Roman" w:cs="Times New Roman"/>
        </w:rPr>
        <w:t xml:space="preserve">ffective leadership that prioritises, supports, and fosters teachers’ well-being is essential for sustaining a stable and satisfied teaching workforce (Womack, 2025). This suggests that fostering teachers’ well-being and professional growth can help address high turnover rates and motivate educators to adapt to ongoing educational changes. </w:t>
      </w:r>
    </w:p>
    <w:p w14:paraId="630138C1" w14:textId="7B498DDF"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t xml:space="preserve">Hence, teachers’ voices are crucial for identifying the specific challenges that need to be addressed to refine these teaching strategies into an effective and transferable framework. There is a quote by Hargreaves and Shirley (2009, p. 88), stating that “Teachers are the ultimate arbiters of educational change. The classroom door is the open portal to innovation or the raised drawbridge that holds it at bay.” Treacy </w:t>
      </w:r>
      <w:r w:rsidR="00485197" w:rsidRPr="0008447F">
        <w:rPr>
          <w:rFonts w:ascii="Times New Roman" w:hAnsi="Times New Roman" w:cs="Times New Roman"/>
        </w:rPr>
        <w:t>and</w:t>
      </w:r>
      <w:r w:rsidRPr="0008447F">
        <w:rPr>
          <w:rFonts w:ascii="Times New Roman" w:hAnsi="Times New Roman" w:cs="Times New Roman"/>
        </w:rPr>
        <w:t xml:space="preserve"> Leavy (2023) also supported with the statement that the quality of teachers is synonymous with the quality of an education system in an education system. </w:t>
      </w:r>
    </w:p>
    <w:p w14:paraId="40EB29A5" w14:textId="2E593CA6"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lastRenderedPageBreak/>
        <w:t xml:space="preserve">Teacher turnover can disrupt the continuity of the learning process for students. Gibbons et al. (2021) found that schools tend to keep new teachers away from teaching upper primary level students, but also give them a lower teaching workload than the incumbent teachers, perhaps to give time for adapting to the new environment. This finding proves that turnover can be one of the factors that affect learning effectiveness. As </w:t>
      </w:r>
      <w:r w:rsidR="00AC61D8" w:rsidRPr="0008447F">
        <w:rPr>
          <w:rFonts w:ascii="Times New Roman" w:hAnsi="Times New Roman" w:cs="Times New Roman"/>
        </w:rPr>
        <w:t>stated</w:t>
      </w:r>
      <w:r w:rsidRPr="0008447F">
        <w:rPr>
          <w:rFonts w:ascii="Times New Roman" w:hAnsi="Times New Roman" w:cs="Times New Roman"/>
        </w:rPr>
        <w:t xml:space="preserve"> by Hajovsky et al. (2023), the rapport relationship between teacher and students, which in turn encourages student engagement and facilitates academic success. Besides, retaining long-term teachers poses a common challenge for international school administrators. Many organisations struggle to retain their employees due to the ineffectiveness of a management team in identifying retention factors and practices (Leong &amp; Said, 2024). </w:t>
      </w:r>
    </w:p>
    <w:p w14:paraId="18A96E25" w14:textId="77777777" w:rsidR="007C0D94" w:rsidRPr="0008447F" w:rsidRDefault="007C0D94" w:rsidP="007C0D94">
      <w:pPr>
        <w:spacing w:line="360" w:lineRule="auto"/>
        <w:jc w:val="both"/>
        <w:rPr>
          <w:rFonts w:ascii="Times New Roman" w:hAnsi="Times New Roman" w:cs="Times New Roman"/>
        </w:rPr>
      </w:pPr>
      <w:r w:rsidRPr="0008447F">
        <w:rPr>
          <w:rFonts w:ascii="Times New Roman" w:hAnsi="Times New Roman" w:cs="Times New Roman"/>
        </w:rPr>
        <w:t>Based on the challenges that could be discussed, the school support system in which the leadership should take place would be crucial. The school leadership must implement a whole-school approach to meet the needs of all students (Department of Education and Training, 2020). There is a common issue in school, which is the overwhelming amount of content and ideas for students to grasp, where teachers need to choose and implement a teaching method that enhances students’ learning (</w:t>
      </w:r>
      <w:proofErr w:type="spellStart"/>
      <w:r w:rsidRPr="0008447F">
        <w:rPr>
          <w:rFonts w:ascii="Times New Roman" w:hAnsi="Times New Roman" w:cs="Times New Roman"/>
        </w:rPr>
        <w:t>Cadungog</w:t>
      </w:r>
      <w:proofErr w:type="spellEnd"/>
      <w:r w:rsidRPr="0008447F">
        <w:rPr>
          <w:rFonts w:ascii="Times New Roman" w:hAnsi="Times New Roman" w:cs="Times New Roman"/>
        </w:rPr>
        <w:t xml:space="preserve"> &amp; Rollo, 2024). Based on the challenges that the school will face, it is significant to make learning visible to students through various steps. It is a belief that effective school stakeholders are key to ensuring the efficiency and excellence of a school, which provides the most suitable education for diverse learners (Parveen et al., 2024).</w:t>
      </w:r>
    </w:p>
    <w:p w14:paraId="4EA194FF" w14:textId="77777777" w:rsidR="00E756E6" w:rsidRPr="0008447F" w:rsidRDefault="00E756E6" w:rsidP="00E756E6">
      <w:pPr>
        <w:spacing w:line="360" w:lineRule="auto"/>
        <w:jc w:val="both"/>
        <w:rPr>
          <w:rFonts w:ascii="Times New Roman" w:hAnsi="Times New Roman" w:cs="Times New Roman"/>
        </w:rPr>
      </w:pPr>
      <w:r w:rsidRPr="0008447F">
        <w:rPr>
          <w:rFonts w:ascii="Times New Roman" w:hAnsi="Times New Roman" w:cs="Times New Roman"/>
        </w:rPr>
        <w:t xml:space="preserve">On top of that, the barriers in implementing the teaching strategies as assigned by the leadership team, as well as the support efficacy. In school, teachers often face significant practical challenges, such as heavier administrative burdens, while managing high levels of children’s challenging behaviour (Zhao et al., 2025). The challenges can lead to a stressful work environment and cause the ineffectiveness of promoting the teaching strategies effectively. Giri et al. (2025) stated that establishing a shared vision is fundamental to school development and the change process, as it guides the learning organisation toward achieving the long-term goals. Based on this finding, a common goal for school development can only be achieved through positive collaboration between teachers and leadership. </w:t>
      </w:r>
    </w:p>
    <w:p w14:paraId="27DDECD4" w14:textId="2DBDA149" w:rsidR="00E756E6" w:rsidRPr="0008447F" w:rsidRDefault="00E756E6" w:rsidP="00E756E6">
      <w:pPr>
        <w:spacing w:line="360" w:lineRule="auto"/>
        <w:jc w:val="both"/>
        <w:rPr>
          <w:rFonts w:ascii="Times New Roman" w:hAnsi="Times New Roman" w:cs="Times New Roman"/>
        </w:rPr>
      </w:pPr>
      <w:r w:rsidRPr="0008447F">
        <w:rPr>
          <w:rFonts w:ascii="Times New Roman" w:hAnsi="Times New Roman" w:cs="Times New Roman"/>
        </w:rPr>
        <w:t xml:space="preserve">However, the teaching elements that are negotiable and non-negotiable, and the balance between flexibility and rigidity, remain unexplored. This </w:t>
      </w:r>
      <w:r w:rsidR="000906AE" w:rsidRPr="0008447F">
        <w:rPr>
          <w:rFonts w:ascii="Times New Roman" w:hAnsi="Times New Roman" w:cs="Times New Roman"/>
        </w:rPr>
        <w:t xml:space="preserve">framework aims to </w:t>
      </w:r>
      <w:r w:rsidRPr="0008447F">
        <w:rPr>
          <w:rFonts w:ascii="Times New Roman" w:hAnsi="Times New Roman" w:cs="Times New Roman"/>
        </w:rPr>
        <w:t xml:space="preserve">seek how the set of teaching strategies works based on the considerations of teachers and the school. Thus, the </w:t>
      </w:r>
      <w:r w:rsidRPr="0008447F">
        <w:rPr>
          <w:rFonts w:ascii="Times New Roman" w:hAnsi="Times New Roman" w:cs="Times New Roman"/>
        </w:rPr>
        <w:lastRenderedPageBreak/>
        <w:t xml:space="preserve">research proposes a transferable lesson plan flow designed to ensure longitudinal continuity across early years to primary education levels that is applicable to government, private, and international sectors. </w:t>
      </w:r>
    </w:p>
    <w:p w14:paraId="655B83FC" w14:textId="77777777" w:rsidR="007C0D94" w:rsidRPr="0008447F" w:rsidRDefault="007C0D94" w:rsidP="006D5236">
      <w:pPr>
        <w:spacing w:line="360" w:lineRule="auto"/>
        <w:jc w:val="both"/>
        <w:rPr>
          <w:rFonts w:ascii="Times New Roman" w:eastAsia="Times New Roman" w:hAnsi="Times New Roman" w:cs="Times New Roman"/>
          <w:b/>
          <w:bCs/>
        </w:rPr>
      </w:pPr>
    </w:p>
    <w:p w14:paraId="54968C32" w14:textId="6165AF44" w:rsidR="007C0D94" w:rsidRPr="0008447F" w:rsidRDefault="0060321E" w:rsidP="006D5236">
      <w:pPr>
        <w:spacing w:line="360" w:lineRule="auto"/>
        <w:jc w:val="both"/>
        <w:rPr>
          <w:rFonts w:ascii="Times New Roman" w:eastAsia="Times New Roman" w:hAnsi="Times New Roman" w:cs="Times New Roman"/>
          <w:b/>
          <w:bCs/>
        </w:rPr>
      </w:pPr>
      <w:r w:rsidRPr="0008447F">
        <w:rPr>
          <w:rFonts w:ascii="Times New Roman" w:eastAsia="Times New Roman" w:hAnsi="Times New Roman" w:cs="Times New Roman"/>
          <w:b/>
          <w:bCs/>
        </w:rPr>
        <w:t xml:space="preserve">2.3 </w:t>
      </w:r>
      <w:r w:rsidR="007C0D94" w:rsidRPr="0008447F">
        <w:rPr>
          <w:rFonts w:ascii="Times New Roman" w:eastAsia="Times New Roman" w:hAnsi="Times New Roman" w:cs="Times New Roman"/>
          <w:b/>
          <w:bCs/>
        </w:rPr>
        <w:t>Pedagogical Transition from Early Years to Primary in Malaysian International Schools</w:t>
      </w:r>
    </w:p>
    <w:p w14:paraId="36307227" w14:textId="5EE12CD5" w:rsidR="00750536" w:rsidRPr="0008447F" w:rsidRDefault="0060321E" w:rsidP="008E0688">
      <w:pPr>
        <w:spacing w:line="360" w:lineRule="auto"/>
        <w:jc w:val="both"/>
        <w:rPr>
          <w:rFonts w:ascii="Times New Roman" w:hAnsi="Times New Roman" w:cs="Times New Roman"/>
        </w:rPr>
      </w:pPr>
      <w:r w:rsidRPr="0008447F">
        <w:rPr>
          <w:rFonts w:ascii="Times New Roman" w:hAnsi="Times New Roman" w:cs="Times New Roman"/>
        </w:rPr>
        <w:t>Improving t</w:t>
      </w:r>
      <w:r w:rsidR="00750536" w:rsidRPr="0008447F">
        <w:rPr>
          <w:rFonts w:ascii="Times New Roman" w:hAnsi="Times New Roman" w:cs="Times New Roman"/>
        </w:rPr>
        <w:t>he current teaching strategies</w:t>
      </w:r>
      <w:r w:rsidRPr="0008447F">
        <w:rPr>
          <w:rFonts w:ascii="Times New Roman" w:hAnsi="Times New Roman" w:cs="Times New Roman"/>
        </w:rPr>
        <w:t>, is believed</w:t>
      </w:r>
      <w:r w:rsidR="00750536" w:rsidRPr="0008447F">
        <w:rPr>
          <w:rFonts w:ascii="Times New Roman" w:hAnsi="Times New Roman" w:cs="Times New Roman"/>
        </w:rPr>
        <w:t xml:space="preserve"> to bridge the gap between the exploratory stage of early years and the academic practice in primary education levels. This study is necessary to expose the benefits and challenges of implementing an instructional continuity pedagogical framework that adapts explicit instruction in the targeted school. It is significant in improving educational policy and practice within the international school context. According </w:t>
      </w:r>
      <w:proofErr w:type="spellStart"/>
      <w:r w:rsidR="00750536" w:rsidRPr="0008447F">
        <w:rPr>
          <w:rFonts w:ascii="Times New Roman" w:hAnsi="Times New Roman" w:cs="Times New Roman"/>
        </w:rPr>
        <w:t>Cadungog</w:t>
      </w:r>
      <w:proofErr w:type="spellEnd"/>
      <w:r w:rsidR="00750536" w:rsidRPr="0008447F">
        <w:rPr>
          <w:rFonts w:ascii="Times New Roman" w:hAnsi="Times New Roman" w:cs="Times New Roman"/>
        </w:rPr>
        <w:t xml:space="preserve"> &amp; Rollo (2024), the understanding and implementation of explicit instruction for young learners will be able to enhance their holistic development. </w:t>
      </w:r>
    </w:p>
    <w:p w14:paraId="7B980A78" w14:textId="16A6B16A" w:rsidR="00750536" w:rsidRPr="0008447F" w:rsidRDefault="00750536" w:rsidP="008E0688">
      <w:pPr>
        <w:spacing w:line="360" w:lineRule="auto"/>
        <w:jc w:val="both"/>
        <w:rPr>
          <w:rFonts w:ascii="Times New Roman" w:hAnsi="Times New Roman" w:cs="Times New Roman"/>
        </w:rPr>
      </w:pPr>
      <w:r w:rsidRPr="0008447F">
        <w:rPr>
          <w:rFonts w:ascii="Times New Roman" w:hAnsi="Times New Roman" w:cs="Times New Roman"/>
        </w:rPr>
        <w:t xml:space="preserve">Bird et al. (2025) indicate that a balance between child-initiated play and teacher-direct teaching can encourage specific content learning. Nevertheless, Amani and Fussy (2023) argued that child-centred practices cannot be implemented without the active support of the teacher. This statement provides an insight into how this </w:t>
      </w:r>
      <w:r w:rsidR="000906AE" w:rsidRPr="0008447F">
        <w:rPr>
          <w:rFonts w:ascii="Times New Roman" w:hAnsi="Times New Roman" w:cs="Times New Roman"/>
        </w:rPr>
        <w:t xml:space="preserve">framework </w:t>
      </w:r>
      <w:r w:rsidRPr="0008447F">
        <w:rPr>
          <w:rFonts w:ascii="Times New Roman" w:hAnsi="Times New Roman" w:cs="Times New Roman"/>
        </w:rPr>
        <w:t xml:space="preserve">could be beneficial for teachers to reflect and redefine the teaching strategies to meet the teachers’ autonomy and beliefs in teaching. Thus, the teaching strategies in balancing between pre-formal and formal could be discussed </w:t>
      </w:r>
      <w:r w:rsidR="000906AE" w:rsidRPr="0008447F">
        <w:rPr>
          <w:rFonts w:ascii="Times New Roman" w:hAnsi="Times New Roman" w:cs="Times New Roman"/>
        </w:rPr>
        <w:t xml:space="preserve">further </w:t>
      </w:r>
      <w:r w:rsidRPr="0008447F">
        <w:rPr>
          <w:rFonts w:ascii="Times New Roman" w:hAnsi="Times New Roman" w:cs="Times New Roman"/>
        </w:rPr>
        <w:t xml:space="preserve">on teachers’ input. </w:t>
      </w:r>
    </w:p>
    <w:p w14:paraId="3FEC0831" w14:textId="3E666B6B" w:rsidR="00750536" w:rsidRPr="0008447F" w:rsidRDefault="00750536" w:rsidP="008E0688">
      <w:pPr>
        <w:spacing w:line="360" w:lineRule="auto"/>
        <w:jc w:val="both"/>
        <w:rPr>
          <w:rFonts w:ascii="Times New Roman" w:hAnsi="Times New Roman" w:cs="Times New Roman"/>
        </w:rPr>
      </w:pPr>
      <w:r w:rsidRPr="0008447F">
        <w:rPr>
          <w:rFonts w:ascii="Times New Roman" w:hAnsi="Times New Roman" w:cs="Times New Roman"/>
        </w:rPr>
        <w:t xml:space="preserve">Apart from this, </w:t>
      </w:r>
      <w:r w:rsidR="0060321E" w:rsidRPr="0008447F">
        <w:rPr>
          <w:rFonts w:ascii="Times New Roman" w:hAnsi="Times New Roman" w:cs="Times New Roman"/>
        </w:rPr>
        <w:t>the</w:t>
      </w:r>
      <w:r w:rsidRPr="0008447F">
        <w:rPr>
          <w:rFonts w:ascii="Times New Roman" w:hAnsi="Times New Roman" w:cs="Times New Roman"/>
        </w:rPr>
        <w:t xml:space="preserve"> </w:t>
      </w:r>
      <w:r w:rsidR="007C0D94" w:rsidRPr="0008447F">
        <w:rPr>
          <w:rFonts w:ascii="Times New Roman" w:hAnsi="Times New Roman" w:cs="Times New Roman"/>
        </w:rPr>
        <w:t xml:space="preserve">proposed composite </w:t>
      </w:r>
      <w:r w:rsidR="00CB5ADA" w:rsidRPr="0008447F">
        <w:rPr>
          <w:rFonts w:ascii="Times New Roman" w:hAnsi="Times New Roman" w:cs="Times New Roman"/>
        </w:rPr>
        <w:t>conceptual f</w:t>
      </w:r>
      <w:r w:rsidR="007C0D94" w:rsidRPr="0008447F">
        <w:rPr>
          <w:rFonts w:ascii="Times New Roman" w:hAnsi="Times New Roman" w:cs="Times New Roman"/>
        </w:rPr>
        <w:t>ramework</w:t>
      </w:r>
      <w:r w:rsidRPr="0008447F">
        <w:rPr>
          <w:rFonts w:ascii="Times New Roman" w:hAnsi="Times New Roman" w:cs="Times New Roman"/>
        </w:rPr>
        <w:t xml:space="preserve"> aims to maintain a set of structured teaching strategies to overcome the challenges, such as the needs of Generation Alpha and English as an Additional Language (EAL) students. In international school settings, students come from diverse cultural and educational backgrounds. There is a need to adopt a systematic and consistent learning process which suited for students, including those with language barriers and special needs. However, traditional teaching methods will not fully address the needs of all learners in Generation Alpha (McCrindle &amp; Fell, 2020). </w:t>
      </w:r>
      <w:r w:rsidR="000906AE" w:rsidRPr="0008447F">
        <w:rPr>
          <w:rFonts w:ascii="Times New Roman" w:hAnsi="Times New Roman" w:cs="Times New Roman"/>
        </w:rPr>
        <w:t>T</w:t>
      </w:r>
      <w:r w:rsidRPr="0008447F">
        <w:rPr>
          <w:rFonts w:ascii="Times New Roman" w:hAnsi="Times New Roman" w:cs="Times New Roman"/>
        </w:rPr>
        <w:t xml:space="preserve">he learning style of Generation Alpha revealed that “Keeping their attention, things need to be very fast paced” (Huss &amp; Eastep, 2024). The issue will be visible where the rigid structure of the lesson plan could be modified to meet the needs of Gen Alpha in connecting learning in this digital era. </w:t>
      </w:r>
    </w:p>
    <w:p w14:paraId="3FA4FF15" w14:textId="33C974E9" w:rsidR="00EC7086" w:rsidRPr="0008447F" w:rsidRDefault="00EC7086" w:rsidP="00EC7086">
      <w:pPr>
        <w:spacing w:line="360" w:lineRule="auto"/>
        <w:jc w:val="both"/>
        <w:rPr>
          <w:rFonts w:ascii="Times New Roman" w:hAnsi="Times New Roman" w:cs="Times New Roman"/>
        </w:rPr>
      </w:pPr>
      <w:r w:rsidRPr="0008447F">
        <w:rPr>
          <w:rFonts w:ascii="Times New Roman" w:hAnsi="Times New Roman" w:cs="Times New Roman"/>
        </w:rPr>
        <w:lastRenderedPageBreak/>
        <w:t xml:space="preserve">This framework proposes to clarify the instructional continuity of teaching strategies across early years and primary education levels in the targeted international school. This framework aims to address the needs of Generation Alpha and EAL learners in coping with learning using a set of instructional continuity teaching strategies that are supported by explicit instructions as introduced by </w:t>
      </w:r>
      <w:proofErr w:type="spellStart"/>
      <w:r w:rsidRPr="0008447F">
        <w:rPr>
          <w:rFonts w:ascii="Times New Roman" w:hAnsi="Times New Roman" w:cs="Times New Roman"/>
        </w:rPr>
        <w:t>Rosenshine</w:t>
      </w:r>
      <w:proofErr w:type="spellEnd"/>
      <w:r w:rsidRPr="0008447F">
        <w:rPr>
          <w:rFonts w:ascii="Times New Roman" w:hAnsi="Times New Roman" w:cs="Times New Roman"/>
        </w:rPr>
        <w:t xml:space="preserve"> (2012). Furthermore, this composite </w:t>
      </w:r>
      <w:r w:rsidR="00CB5ADA" w:rsidRPr="0008447F">
        <w:rPr>
          <w:rFonts w:ascii="Times New Roman" w:hAnsi="Times New Roman" w:cs="Times New Roman"/>
        </w:rPr>
        <w:t xml:space="preserve">conceptual </w:t>
      </w:r>
      <w:r w:rsidRPr="0008447F">
        <w:rPr>
          <w:rFonts w:ascii="Times New Roman" w:hAnsi="Times New Roman" w:cs="Times New Roman"/>
        </w:rPr>
        <w:t>framework seeks to reveal challenges and barriers faced by teachers in utilising the instructional continuity teaching strategies. Through an in-depth research design and methodology, this proposed framework aims to provide a holistic understanding of how these teaching strategies contribute to a structured lesson plan flow and therefore foster a high-quality environment for longitudinal learning without changing the school’s epistemological beliefs.</w:t>
      </w:r>
    </w:p>
    <w:p w14:paraId="4901E4FF" w14:textId="356C1E0E" w:rsidR="00750536" w:rsidRPr="0008447F" w:rsidRDefault="005D565B" w:rsidP="008E0688">
      <w:pPr>
        <w:spacing w:line="360" w:lineRule="auto"/>
        <w:jc w:val="both"/>
        <w:rPr>
          <w:rFonts w:ascii="Times New Roman" w:hAnsi="Times New Roman" w:cs="Times New Roman"/>
        </w:rPr>
      </w:pPr>
      <w:r w:rsidRPr="0008447F">
        <w:rPr>
          <w:rFonts w:ascii="Times New Roman" w:hAnsi="Times New Roman" w:cs="Times New Roman"/>
        </w:rPr>
        <w:t>Generally</w:t>
      </w:r>
      <w:r w:rsidR="00750536" w:rsidRPr="0008447F">
        <w:rPr>
          <w:rFonts w:ascii="Times New Roman" w:hAnsi="Times New Roman" w:cs="Times New Roman"/>
        </w:rPr>
        <w:t xml:space="preserve">, it is significant to reveal the effectiveness of the teaching strategies and further discover the modifications of them to meet the rapid change in learning style of the young generations. This research underscores the critical disconnection between the mandate of structured teaching strategies and the practical interpretation in real-life classroom practice. When lack of teachers’ autonomy to define these strategies, it could face “unvoiced resistance” and lead to the withdrawal of psychological commitment. On the other hand, schools should improvise strategies that bridge the gap between play-based early years and academic primary levels to maintain longitudinal learning. Furthermore, it is undeniable that the success of any framework depends on alleviating the significant practical challenges in school. Findings of this </w:t>
      </w:r>
      <w:r w:rsidR="00EC7086" w:rsidRPr="0008447F">
        <w:rPr>
          <w:rFonts w:ascii="Times New Roman" w:hAnsi="Times New Roman" w:cs="Times New Roman"/>
        </w:rPr>
        <w:t xml:space="preserve">proposed composite </w:t>
      </w:r>
      <w:r w:rsidR="00CB5ADA" w:rsidRPr="0008447F">
        <w:rPr>
          <w:rFonts w:ascii="Times New Roman" w:hAnsi="Times New Roman" w:cs="Times New Roman"/>
        </w:rPr>
        <w:t xml:space="preserve">conceptual </w:t>
      </w:r>
      <w:r w:rsidR="00EC7086" w:rsidRPr="0008447F">
        <w:rPr>
          <w:rFonts w:ascii="Times New Roman" w:hAnsi="Times New Roman" w:cs="Times New Roman"/>
        </w:rPr>
        <w:t>framework</w:t>
      </w:r>
      <w:r w:rsidR="00750536" w:rsidRPr="0008447F">
        <w:rPr>
          <w:rFonts w:ascii="Times New Roman" w:hAnsi="Times New Roman" w:cs="Times New Roman"/>
        </w:rPr>
        <w:t xml:space="preserve"> </w:t>
      </w:r>
      <w:r w:rsidR="00EC7086" w:rsidRPr="0008447F">
        <w:rPr>
          <w:rFonts w:ascii="Times New Roman" w:hAnsi="Times New Roman" w:cs="Times New Roman"/>
        </w:rPr>
        <w:t>is believed to</w:t>
      </w:r>
      <w:r w:rsidR="00750536" w:rsidRPr="0008447F">
        <w:rPr>
          <w:rFonts w:ascii="Times New Roman" w:hAnsi="Times New Roman" w:cs="Times New Roman"/>
        </w:rPr>
        <w:t xml:space="preserve"> modify and improve the teaching strategies and provide the most suitable lesson plan flow to help students in their learning journey.</w:t>
      </w:r>
    </w:p>
    <w:p w14:paraId="57387810" w14:textId="77777777" w:rsidR="00750536" w:rsidRPr="0008447F" w:rsidRDefault="00750536" w:rsidP="00750536">
      <w:pPr>
        <w:rPr>
          <w:rFonts w:ascii="Times New Roman" w:hAnsi="Times New Roman" w:cs="Times New Roman"/>
        </w:rPr>
      </w:pPr>
    </w:p>
    <w:p w14:paraId="1666C535" w14:textId="2C03C14F" w:rsidR="00750536" w:rsidRPr="0008447F" w:rsidRDefault="00CB5ADA" w:rsidP="00750536">
      <w:pPr>
        <w:rPr>
          <w:rFonts w:ascii="Times New Roman" w:hAnsi="Times New Roman" w:cs="Times New Roman"/>
          <w:b/>
          <w:bCs/>
        </w:rPr>
      </w:pPr>
      <w:r w:rsidRPr="0008447F">
        <w:rPr>
          <w:rFonts w:ascii="Times New Roman" w:hAnsi="Times New Roman" w:cs="Times New Roman"/>
          <w:b/>
          <w:bCs/>
        </w:rPr>
        <w:t xml:space="preserve">3.0 Proposed Composite Conceptual </w:t>
      </w:r>
      <w:r w:rsidR="00750536" w:rsidRPr="0008447F">
        <w:rPr>
          <w:rFonts w:ascii="Times New Roman" w:hAnsi="Times New Roman" w:cs="Times New Roman"/>
          <w:b/>
          <w:bCs/>
        </w:rPr>
        <w:t xml:space="preserve">Framework of the Study </w:t>
      </w:r>
    </w:p>
    <w:p w14:paraId="756C7E38" w14:textId="7CB9EA65" w:rsidR="00750536" w:rsidRPr="0008447F" w:rsidRDefault="00750536" w:rsidP="005D565B">
      <w:pPr>
        <w:spacing w:line="360" w:lineRule="auto"/>
        <w:jc w:val="both"/>
        <w:rPr>
          <w:rFonts w:ascii="Times New Roman" w:hAnsi="Times New Roman" w:cs="Times New Roman"/>
        </w:rPr>
      </w:pPr>
      <w:r w:rsidRPr="0008447F">
        <w:rPr>
          <w:rFonts w:ascii="Times New Roman" w:hAnsi="Times New Roman" w:cs="Times New Roman"/>
        </w:rPr>
        <w:t>This study</w:t>
      </w:r>
      <w:r w:rsidR="000906AE" w:rsidRPr="0008447F">
        <w:rPr>
          <w:rFonts w:ascii="Times New Roman" w:hAnsi="Times New Roman" w:cs="Times New Roman"/>
        </w:rPr>
        <w:t xml:space="preserve"> focuses on </w:t>
      </w:r>
      <w:r w:rsidRPr="0008447F">
        <w:rPr>
          <w:rFonts w:ascii="Times New Roman" w:hAnsi="Times New Roman" w:cs="Times New Roman"/>
        </w:rPr>
        <w:t xml:space="preserve">a </w:t>
      </w:r>
      <w:r w:rsidR="000906AE" w:rsidRPr="0008447F">
        <w:rPr>
          <w:rFonts w:ascii="Times New Roman" w:hAnsi="Times New Roman" w:cs="Times New Roman"/>
        </w:rPr>
        <w:t xml:space="preserve">composite </w:t>
      </w:r>
      <w:r w:rsidRPr="0008447F">
        <w:rPr>
          <w:rFonts w:ascii="Times New Roman" w:hAnsi="Times New Roman" w:cs="Times New Roman"/>
        </w:rPr>
        <w:t xml:space="preserve">conceptual framework that investigates the interrelationship between theoretical pedagogical foundations, practitioner implementation, and institutional continuity. The framework follows an Input-Process-Output (IPO) structural methodology. As proposed by McGrath (1964), the IPO provides a structured approach to systems analysis based on individual, team and organisation. Based on this study, the Inputs are foundational theories and national standards, which can be transformed through a Process which is teacher implementation and classroom reality, to produce a specific Output of a standardised lesson plan flow. </w:t>
      </w:r>
      <w:r w:rsidR="000906AE" w:rsidRPr="0008447F">
        <w:rPr>
          <w:rFonts w:ascii="Times New Roman" w:hAnsi="Times New Roman" w:cs="Times New Roman"/>
        </w:rPr>
        <w:t>T</w:t>
      </w:r>
      <w:r w:rsidRPr="0008447F">
        <w:rPr>
          <w:rFonts w:ascii="Times New Roman" w:hAnsi="Times New Roman" w:cs="Times New Roman"/>
        </w:rPr>
        <w:t xml:space="preserve">he selection of the IPO structural methodology is due to its capacity to analyse the </w:t>
      </w:r>
      <w:r w:rsidRPr="0008447F">
        <w:rPr>
          <w:rFonts w:ascii="Times New Roman" w:hAnsi="Times New Roman" w:cs="Times New Roman"/>
        </w:rPr>
        <w:lastRenderedPageBreak/>
        <w:t>whole-school dynamic system. This IPO is suited for a qualitative case study, as it focuses on a group functioning based on the antecedents (Inputs), internal dynamics (Processes), and consequences (Outputs) (McGrath, 1964). The researcher moves beyond linear observations to treat the transition from early years to primary as a complex, integrated organisational system. As a holistic system, the IPO model is highly relevant for investigating the relationships between team training (I), team learning (P), and team coordination (O) (</w:t>
      </w:r>
      <w:proofErr w:type="spellStart"/>
      <w:r w:rsidRPr="0008447F">
        <w:rPr>
          <w:rFonts w:ascii="Times New Roman" w:hAnsi="Times New Roman" w:cs="Times New Roman"/>
        </w:rPr>
        <w:t>Kérivel</w:t>
      </w:r>
      <w:proofErr w:type="spellEnd"/>
      <w:r w:rsidRPr="0008447F">
        <w:rPr>
          <w:rFonts w:ascii="Times New Roman" w:hAnsi="Times New Roman" w:cs="Times New Roman"/>
        </w:rPr>
        <w:t xml:space="preserve"> et al., 2021). </w:t>
      </w:r>
    </w:p>
    <w:p w14:paraId="6C67096E" w14:textId="68FF8CCC" w:rsidR="00750536" w:rsidRPr="0008447F" w:rsidRDefault="00750536" w:rsidP="005D565B">
      <w:pPr>
        <w:spacing w:line="360" w:lineRule="auto"/>
        <w:jc w:val="both"/>
        <w:rPr>
          <w:rFonts w:ascii="Times New Roman" w:hAnsi="Times New Roman" w:cs="Times New Roman"/>
        </w:rPr>
      </w:pPr>
      <w:r w:rsidRPr="0008447F">
        <w:rPr>
          <w:rFonts w:ascii="Times New Roman" w:hAnsi="Times New Roman" w:cs="Times New Roman"/>
        </w:rPr>
        <w:t xml:space="preserve">In this study, the Inputs (I) are the school’s instructional epistemology and core pedagogical theories, which are further aligned with external academic standards, including the Malaysian Qualifications Framework (MQF) and Sustainable Development Goal (SDG) 4.7. The inputs are actively transformed during the Process (P), which is the stage of practitioner implementation. This is the stage where teachers interpret and adapt these inputs within the lived reality of the classroom. Throughout the process, the challenges and barriers would be revealed from this study. The Output (O) of this systemic interaction is a preliminary </w:t>
      </w:r>
      <w:proofErr w:type="spellStart"/>
      <w:r w:rsidRPr="0008447F">
        <w:rPr>
          <w:rFonts w:ascii="Times New Roman" w:hAnsi="Times New Roman" w:cs="Times New Roman"/>
        </w:rPr>
        <w:t>preliminary</w:t>
      </w:r>
      <w:proofErr w:type="spellEnd"/>
      <w:r w:rsidRPr="0008447F">
        <w:rPr>
          <w:rFonts w:ascii="Times New Roman" w:hAnsi="Times New Roman" w:cs="Times New Roman"/>
        </w:rPr>
        <w:t xml:space="preserve"> pedagogical framework delivered as a standardised lesson plan flow.</w:t>
      </w:r>
      <w:r w:rsidR="000906AE" w:rsidRPr="0008447F">
        <w:rPr>
          <w:rFonts w:ascii="Times New Roman" w:hAnsi="Times New Roman" w:cs="Times New Roman"/>
        </w:rPr>
        <w:t xml:space="preserve"> </w:t>
      </w:r>
      <w:r w:rsidR="001726E5" w:rsidRPr="0008447F">
        <w:rPr>
          <w:rFonts w:ascii="Times New Roman" w:hAnsi="Times New Roman" w:cs="Times New Roman"/>
        </w:rPr>
        <w:t>T</w:t>
      </w:r>
      <w:r w:rsidRPr="0008447F">
        <w:rPr>
          <w:rFonts w:ascii="Times New Roman" w:hAnsi="Times New Roman" w:cs="Times New Roman"/>
        </w:rPr>
        <w:t>he researcher</w:t>
      </w:r>
      <w:r w:rsidR="008E0688" w:rsidRPr="0008447F">
        <w:rPr>
          <w:rFonts w:ascii="Times New Roman" w:hAnsi="Times New Roman" w:cs="Times New Roman"/>
        </w:rPr>
        <w:t>s</w:t>
      </w:r>
      <w:r w:rsidRPr="0008447F">
        <w:rPr>
          <w:rFonts w:ascii="Times New Roman" w:hAnsi="Times New Roman" w:cs="Times New Roman"/>
        </w:rPr>
        <w:t xml:space="preserve"> acknowledges that the framework is not a</w:t>
      </w:r>
      <w:r w:rsidR="001726E5" w:rsidRPr="0008447F">
        <w:rPr>
          <w:rFonts w:ascii="Times New Roman" w:hAnsi="Times New Roman" w:cs="Times New Roman"/>
        </w:rPr>
        <w:t xml:space="preserve"> “one size fix all”</w:t>
      </w:r>
      <w:r w:rsidRPr="0008447F">
        <w:rPr>
          <w:rFonts w:ascii="Times New Roman" w:hAnsi="Times New Roman" w:cs="Times New Roman"/>
        </w:rPr>
        <w:t xml:space="preserve"> solution, but it could be an in-depth discovery mechanism for refining and aligning the school’s instructional epistemology with global standards. As studied by Wang (2018), the outputs of </w:t>
      </w:r>
      <w:r w:rsidR="001726E5" w:rsidRPr="0008447F">
        <w:rPr>
          <w:rFonts w:ascii="Times New Roman" w:hAnsi="Times New Roman" w:cs="Times New Roman"/>
        </w:rPr>
        <w:t>a well-designed</w:t>
      </w:r>
      <w:r w:rsidRPr="0008447F">
        <w:rPr>
          <w:rFonts w:ascii="Times New Roman" w:hAnsi="Times New Roman" w:cs="Times New Roman"/>
        </w:rPr>
        <w:t xml:space="preserve"> system</w:t>
      </w:r>
      <w:r w:rsidR="001726E5" w:rsidRPr="0008447F">
        <w:rPr>
          <w:rFonts w:ascii="Times New Roman" w:hAnsi="Times New Roman" w:cs="Times New Roman"/>
        </w:rPr>
        <w:t xml:space="preserve"> or teaching strategies</w:t>
      </w:r>
      <w:r w:rsidRPr="0008447F">
        <w:rPr>
          <w:rFonts w:ascii="Times New Roman" w:hAnsi="Times New Roman" w:cs="Times New Roman"/>
        </w:rPr>
        <w:t xml:space="preserve"> have a feedback impact on future inputs. By standardising the lesson plan flow, the school establishes a new "reference belief" that stabilises the instructional epistemology for future academic cycles. Therefore, this systemic approach allows the researcher to identify where 'pedagogical friction' occurs during the transition from early years to primary education levels, ensuring that the final output is both functional and sustainable within the school’s unique context, as shown in Figure 1.1. </w:t>
      </w:r>
      <w:r w:rsidR="001726E5" w:rsidRPr="0008447F">
        <w:rPr>
          <w:rFonts w:ascii="Times New Roman" w:hAnsi="Times New Roman" w:cs="Times New Roman"/>
        </w:rPr>
        <w:t>In-depth discussion of the proposed composite</w:t>
      </w:r>
      <w:r w:rsidR="00CB5ADA" w:rsidRPr="0008447F">
        <w:rPr>
          <w:rFonts w:ascii="Times New Roman" w:hAnsi="Times New Roman" w:cs="Times New Roman"/>
        </w:rPr>
        <w:t xml:space="preserve"> conceptual</w:t>
      </w:r>
      <w:r w:rsidR="001726E5" w:rsidRPr="0008447F">
        <w:rPr>
          <w:rFonts w:ascii="Times New Roman" w:hAnsi="Times New Roman" w:cs="Times New Roman"/>
        </w:rPr>
        <w:t xml:space="preserve"> framework is presented in the next section.</w:t>
      </w:r>
    </w:p>
    <w:p w14:paraId="47E1BC4B" w14:textId="3D9BF59A" w:rsidR="00750536" w:rsidRPr="0008447F" w:rsidRDefault="00CB5ADA" w:rsidP="00CB5ADA">
      <w:pPr>
        <w:jc w:val="center"/>
        <w:rPr>
          <w:rFonts w:ascii="Times New Roman" w:hAnsi="Times New Roman" w:cs="Times New Roman"/>
        </w:rPr>
      </w:pPr>
      <w:r w:rsidRPr="0008447F">
        <w:rPr>
          <w:rFonts w:ascii="Times New Roman" w:hAnsi="Times New Roman" w:cs="Times New Roman"/>
          <w:noProof/>
          <w:color w:val="000000"/>
        </w:rPr>
        <w:lastRenderedPageBreak/>
        <w:drawing>
          <wp:inline distT="0" distB="0" distL="0" distR="0" wp14:anchorId="636AAF71" wp14:editId="0ED97E83">
            <wp:extent cx="4282440" cy="6522720"/>
            <wp:effectExtent l="0" t="0" r="3810" b="0"/>
            <wp:docPr id="154368953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795" name="Picture 1" descr="A diagram of a diagram&#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b="14321"/>
                    <a:stretch>
                      <a:fillRect/>
                    </a:stretch>
                  </pic:blipFill>
                  <pic:spPr bwMode="auto">
                    <a:xfrm>
                      <a:off x="0" y="0"/>
                      <a:ext cx="4284308" cy="6525565"/>
                    </a:xfrm>
                    <a:prstGeom prst="rect">
                      <a:avLst/>
                    </a:prstGeom>
                    <a:noFill/>
                    <a:ln>
                      <a:noFill/>
                    </a:ln>
                    <a:extLst>
                      <a:ext uri="{53640926-AAD7-44D8-BBD7-CCE9431645EC}">
                        <a14:shadowObscured xmlns:a14="http://schemas.microsoft.com/office/drawing/2010/main"/>
                      </a:ext>
                    </a:extLst>
                  </pic:spPr>
                </pic:pic>
              </a:graphicData>
            </a:graphic>
          </wp:inline>
        </w:drawing>
      </w:r>
    </w:p>
    <w:p w14:paraId="3A01627D" w14:textId="75E82110" w:rsidR="00750536" w:rsidRPr="0008447F" w:rsidRDefault="00750536" w:rsidP="00CB5ADA">
      <w:pPr>
        <w:jc w:val="center"/>
        <w:rPr>
          <w:rFonts w:ascii="Times New Roman" w:hAnsi="Times New Roman" w:cs="Times New Roman"/>
        </w:rPr>
      </w:pPr>
      <w:r w:rsidRPr="0008447F">
        <w:rPr>
          <w:rFonts w:ascii="Times New Roman" w:hAnsi="Times New Roman" w:cs="Times New Roman"/>
        </w:rPr>
        <w:t xml:space="preserve">Figure 1.1: </w:t>
      </w:r>
      <w:r w:rsidR="00CB5ADA" w:rsidRPr="0008447F">
        <w:rPr>
          <w:rFonts w:ascii="Times New Roman" w:hAnsi="Times New Roman" w:cs="Times New Roman"/>
        </w:rPr>
        <w:t xml:space="preserve">Composite Conceptual </w:t>
      </w:r>
      <w:r w:rsidRPr="0008447F">
        <w:rPr>
          <w:rFonts w:ascii="Times New Roman" w:hAnsi="Times New Roman" w:cs="Times New Roman"/>
        </w:rPr>
        <w:t>Framework of the Study</w:t>
      </w:r>
    </w:p>
    <w:p w14:paraId="029B49B8" w14:textId="77777777" w:rsidR="00D422E9" w:rsidRPr="0008447F" w:rsidRDefault="00D422E9" w:rsidP="00750536">
      <w:pPr>
        <w:rPr>
          <w:rFonts w:ascii="Times New Roman" w:hAnsi="Times New Roman" w:cs="Times New Roman"/>
          <w:b/>
          <w:bCs/>
        </w:rPr>
      </w:pPr>
    </w:p>
    <w:p w14:paraId="52E742B8" w14:textId="7650535F" w:rsidR="008C1FBD" w:rsidRPr="0008447F" w:rsidRDefault="008C1FBD" w:rsidP="00750536">
      <w:pPr>
        <w:rPr>
          <w:rFonts w:ascii="Times New Roman" w:hAnsi="Times New Roman" w:cs="Times New Roman"/>
          <w:b/>
          <w:bCs/>
        </w:rPr>
      </w:pPr>
      <w:r w:rsidRPr="0008447F">
        <w:rPr>
          <w:rFonts w:ascii="Times New Roman" w:hAnsi="Times New Roman" w:cs="Times New Roman"/>
          <w:b/>
          <w:bCs/>
        </w:rPr>
        <w:t>4.0 Discussion of the Proposed Composite Conceptual Framework</w:t>
      </w:r>
    </w:p>
    <w:p w14:paraId="2D7A082A" w14:textId="7DECEEDF" w:rsidR="0017321B" w:rsidRPr="0008447F" w:rsidRDefault="0017321B" w:rsidP="00750536">
      <w:pPr>
        <w:rPr>
          <w:rFonts w:ascii="Times New Roman" w:hAnsi="Times New Roman" w:cs="Times New Roman"/>
          <w:b/>
          <w:bCs/>
        </w:rPr>
      </w:pPr>
      <w:r w:rsidRPr="0008447F">
        <w:rPr>
          <w:rFonts w:ascii="Times New Roman" w:hAnsi="Times New Roman" w:cs="Times New Roman"/>
          <w:b/>
          <w:bCs/>
        </w:rPr>
        <w:t>4.1 Implementation of the Teaching Strategies and Challenges Faced by Teachers</w:t>
      </w:r>
    </w:p>
    <w:p w14:paraId="530D52B5" w14:textId="493A76C3" w:rsidR="00750536" w:rsidRPr="0008447F" w:rsidRDefault="008C1FBD" w:rsidP="00A901EE">
      <w:pPr>
        <w:spacing w:line="360" w:lineRule="auto"/>
        <w:jc w:val="both"/>
        <w:rPr>
          <w:rFonts w:ascii="Times New Roman" w:hAnsi="Times New Roman" w:cs="Times New Roman"/>
        </w:rPr>
      </w:pPr>
      <w:r w:rsidRPr="0008447F">
        <w:rPr>
          <w:rFonts w:ascii="Times New Roman" w:hAnsi="Times New Roman" w:cs="Times New Roman"/>
        </w:rPr>
        <w:t>The framework</w:t>
      </w:r>
      <w:r w:rsidR="00750536" w:rsidRPr="0008447F">
        <w:rPr>
          <w:rFonts w:ascii="Times New Roman" w:hAnsi="Times New Roman" w:cs="Times New Roman"/>
        </w:rPr>
        <w:t xml:space="preserve"> represents the dynamic environment where theoretical strategies are transformed into classroom practice, which is based on the teachers’ voice, the difference between early years and primary education levels as well as the classroom reality. Teachers’ perceptions and experiences are the keys to performing a successful whole-school approach. </w:t>
      </w:r>
      <w:r w:rsidR="00936FB8" w:rsidRPr="0008447F">
        <w:rPr>
          <w:rFonts w:ascii="Times New Roman" w:hAnsi="Times New Roman" w:cs="Times New Roman"/>
        </w:rPr>
        <w:lastRenderedPageBreak/>
        <w:t>T</w:t>
      </w:r>
      <w:r w:rsidR="00750536" w:rsidRPr="0008447F">
        <w:rPr>
          <w:rFonts w:ascii="Times New Roman" w:hAnsi="Times New Roman" w:cs="Times New Roman"/>
        </w:rPr>
        <w:t xml:space="preserve">eacher perceptions encompass the usability and impact of instructional continuity teaching strategies in their specific classroom settings. Teachers’ beliefs regarding the effectiveness of instructional routines, their confidence in applying those routines, and their emotional engagement with the change process are the key factors in evaluating the effectiveness of the pedagogical framework. As </w:t>
      </w:r>
      <w:proofErr w:type="spellStart"/>
      <w:r w:rsidR="00750536" w:rsidRPr="0008447F">
        <w:rPr>
          <w:rFonts w:ascii="Times New Roman" w:hAnsi="Times New Roman" w:cs="Times New Roman"/>
        </w:rPr>
        <w:t>Ourda</w:t>
      </w:r>
      <w:proofErr w:type="spellEnd"/>
      <w:r w:rsidR="00750536" w:rsidRPr="0008447F">
        <w:rPr>
          <w:rFonts w:ascii="Times New Roman" w:hAnsi="Times New Roman" w:cs="Times New Roman"/>
        </w:rPr>
        <w:t xml:space="preserve"> et al. (2025) highlighted, no educational reform can succeed without acknowledging and addressing the beliefs and attitudes of the very individuals responsible for its implementation.</w:t>
      </w:r>
    </w:p>
    <w:p w14:paraId="203F9429" w14:textId="7FBAAA9C"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 xml:space="preserve">The </w:t>
      </w:r>
      <w:r w:rsidR="008C1FBD" w:rsidRPr="0008447F">
        <w:rPr>
          <w:rFonts w:ascii="Times New Roman" w:hAnsi="Times New Roman" w:cs="Times New Roman"/>
        </w:rPr>
        <w:t>framework</w:t>
      </w:r>
      <w:r w:rsidRPr="0008447F">
        <w:rPr>
          <w:rFonts w:ascii="Times New Roman" w:hAnsi="Times New Roman" w:cs="Times New Roman"/>
        </w:rPr>
        <w:t xml:space="preserve"> highlights that the effectiveness of these teaching strategies depends heavily on the educator. Therefore, it is essential that teachers across all year groups are thoroughly engaged, informed about the goals of the whole-school approach, and aligned with the intended outcomes of the instructional framework. Furthermore, the teachers’ cultural and professional backgrounds, prior exposure to pedagogical frameworks, and levels of understanding regarding the instructional continuity flow are the factors that shape how they implement the school's teaching strategies. These factors contribute to variations in how the framework is enacted across different age groups. This </w:t>
      </w:r>
      <w:r w:rsidR="008C1FBD" w:rsidRPr="0008447F">
        <w:rPr>
          <w:rFonts w:ascii="Times New Roman" w:hAnsi="Times New Roman" w:cs="Times New Roman"/>
        </w:rPr>
        <w:t>framework</w:t>
      </w:r>
      <w:r w:rsidR="007F08F1" w:rsidRPr="0008447F">
        <w:rPr>
          <w:rFonts w:ascii="Times New Roman" w:hAnsi="Times New Roman" w:cs="Times New Roman"/>
        </w:rPr>
        <w:t xml:space="preserve"> also</w:t>
      </w:r>
      <w:r w:rsidR="008C1FBD" w:rsidRPr="0008447F">
        <w:rPr>
          <w:rFonts w:ascii="Times New Roman" w:hAnsi="Times New Roman" w:cs="Times New Roman"/>
        </w:rPr>
        <w:t xml:space="preserve"> </w:t>
      </w:r>
      <w:r w:rsidRPr="0008447F">
        <w:rPr>
          <w:rFonts w:ascii="Times New Roman" w:hAnsi="Times New Roman" w:cs="Times New Roman"/>
        </w:rPr>
        <w:t xml:space="preserve">posits that a direct relationship exists between teacher perceptions and the fidelity of implementation. Therefore, teachers’ voices play an important role in evaluating the overall application and impact of the instructional flow. However, it can be challenging to capture teachers’ beliefs because these attitudes are subject to shifts over time. Razak et al. (2023) mentioned that teachers’ attitudes and motivation in adapting a set of teaching strategies are crucial for the successful implementation of a curriculum framework. The </w:t>
      </w:r>
      <w:r w:rsidR="00936FB8" w:rsidRPr="0008447F">
        <w:rPr>
          <w:rFonts w:ascii="Times New Roman" w:hAnsi="Times New Roman" w:cs="Times New Roman"/>
        </w:rPr>
        <w:t>framework</w:t>
      </w:r>
      <w:r w:rsidRPr="0008447F">
        <w:rPr>
          <w:rFonts w:ascii="Times New Roman" w:hAnsi="Times New Roman" w:cs="Times New Roman"/>
        </w:rPr>
        <w:t xml:space="preserve"> also further emphasised the importance of aligning school policies with the specific practices of each institution to respect the diversity of teacher experiences.</w:t>
      </w:r>
    </w:p>
    <w:p w14:paraId="6E4376E0" w14:textId="03D644A1"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Besides</w:t>
      </w:r>
      <w:r w:rsidR="008C1FBD" w:rsidRPr="0008447F">
        <w:rPr>
          <w:rFonts w:ascii="Times New Roman" w:hAnsi="Times New Roman" w:cs="Times New Roman"/>
        </w:rPr>
        <w:t xml:space="preserve"> that</w:t>
      </w:r>
      <w:r w:rsidRPr="0008447F">
        <w:rPr>
          <w:rFonts w:ascii="Times New Roman" w:hAnsi="Times New Roman" w:cs="Times New Roman"/>
        </w:rPr>
        <w:t>, teacher experiences and confidence levels are significant factors affecting the implementation of the instructional continuity teaching strategies. Participation in training sessions, engagement with Continuing Professional Development (CPD), collaboration with colleagues, and ongoing classroom practices directly influence the learning outcomes produced by this instructional approach. As Kamali and Javahery (2024) highlighted, experiential learning in schools plays a pivotal role in shaping the pedagogical competence and instructional adaptability of teachers.</w:t>
      </w:r>
      <w:r w:rsidR="007F08F1" w:rsidRPr="0008447F">
        <w:rPr>
          <w:rFonts w:ascii="Times New Roman" w:hAnsi="Times New Roman" w:cs="Times New Roman"/>
        </w:rPr>
        <w:t xml:space="preserve"> </w:t>
      </w:r>
      <w:r w:rsidRPr="0008447F">
        <w:rPr>
          <w:rFonts w:ascii="Times New Roman" w:hAnsi="Times New Roman" w:cs="Times New Roman"/>
        </w:rPr>
        <w:t xml:space="preserve">Furthermore, teachers </w:t>
      </w:r>
      <w:r w:rsidR="008C1FBD" w:rsidRPr="0008447F">
        <w:rPr>
          <w:rFonts w:ascii="Times New Roman" w:hAnsi="Times New Roman" w:cs="Times New Roman"/>
        </w:rPr>
        <w:t xml:space="preserve">are believed to </w:t>
      </w:r>
      <w:r w:rsidRPr="0008447F">
        <w:rPr>
          <w:rFonts w:ascii="Times New Roman" w:hAnsi="Times New Roman" w:cs="Times New Roman"/>
        </w:rPr>
        <w:t xml:space="preserve">reinforce or transform their initial perceptions of the teaching strategies based on their daily practice in the classroom. For instance, a teacher who has doubts about implementing retrieval practice may revise their view on the instructional flow after observing a remarkable improvement in students' progress. Thus, </w:t>
      </w:r>
      <w:r w:rsidRPr="0008447F">
        <w:rPr>
          <w:rFonts w:ascii="Times New Roman" w:hAnsi="Times New Roman" w:cs="Times New Roman"/>
        </w:rPr>
        <w:lastRenderedPageBreak/>
        <w:t>teacher engagement with the instructional continuity strategies serves as a critical mediator between perception and practice, influencing both the fidelity and sustainability of the pedagogical implementation within the school.</w:t>
      </w:r>
    </w:p>
    <w:p w14:paraId="2A9BA165" w14:textId="77777777" w:rsidR="00A901EE" w:rsidRPr="0008447F" w:rsidRDefault="00A901EE" w:rsidP="00A901EE">
      <w:pPr>
        <w:spacing w:line="360" w:lineRule="auto"/>
        <w:jc w:val="both"/>
        <w:rPr>
          <w:rFonts w:ascii="Times New Roman" w:hAnsi="Times New Roman" w:cs="Times New Roman"/>
        </w:rPr>
      </w:pPr>
    </w:p>
    <w:p w14:paraId="0ACCFFB4" w14:textId="77777777" w:rsidR="0017321B" w:rsidRPr="0008447F" w:rsidRDefault="0017321B" w:rsidP="00750536">
      <w:pPr>
        <w:rPr>
          <w:rFonts w:ascii="Times New Roman" w:hAnsi="Times New Roman" w:cs="Times New Roman"/>
          <w:b/>
          <w:bCs/>
        </w:rPr>
      </w:pPr>
      <w:r w:rsidRPr="0008447F">
        <w:rPr>
          <w:rFonts w:ascii="Times New Roman" w:hAnsi="Times New Roman" w:cs="Times New Roman"/>
          <w:b/>
          <w:bCs/>
        </w:rPr>
        <w:t>4.2 Modification for Future Learners</w:t>
      </w:r>
    </w:p>
    <w:p w14:paraId="3855AA32" w14:textId="11789F63"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For the early years stage, the instructional continuity teaching strategies prioritise the establishment of learning environments that are rich in sensory play and social interaction with clear and simple instructions. The instructional flow in the early years is based on the belief that meaningful learning occurs when children are actively engaged in hands-on learning. Teacher-guided interactions using simple visual cues also needed to provide guidance based on their developmental stage. As Feng et al. (2024) mentioned, ongoing and hands-on experiences furnish authentic contexts for the application of newly acquired knowledge and skills, presenting possibilities for prompt feedback and iterative enhancement.</w:t>
      </w:r>
      <w:r w:rsidR="0017321B" w:rsidRPr="0008447F">
        <w:rPr>
          <w:rFonts w:ascii="Times New Roman" w:hAnsi="Times New Roman" w:cs="Times New Roman"/>
        </w:rPr>
        <w:t xml:space="preserve"> </w:t>
      </w:r>
      <w:r w:rsidRPr="0008447F">
        <w:rPr>
          <w:rFonts w:ascii="Times New Roman" w:hAnsi="Times New Roman" w:cs="Times New Roman"/>
        </w:rPr>
        <w:t xml:space="preserve">A key feature among these teaching strategies for the early years is the practice of modelling, which is closely associated with Vygotsky’s Zone of Proximal Development (ZPD) (1978) and Bandura’s Social Learning Theory (SLT) (1971). During the lesson, the teacher acts as the "more knowledgeable other" to guide students through explicit modelling and clear guidance. Moreover, hands-on learning is frequently employed within this pedagogical framework to reinforce oral language development and boost holistic growth. Strategies such as explicit teaching provide young learners with repeated cues, which indirectly promote oral speaking and confidence at a young age. </w:t>
      </w:r>
    </w:p>
    <w:p w14:paraId="439668F2" w14:textId="5B874F23"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 xml:space="preserve">These strategies are foundational in early childhood pedagogy and align with research emphasising the importance of multisensory learning environments in fostering language acquisition and memory retention among early learners (Lucido et al., 2024). In addition, the early years instructional approach encourages the use of concrete and colourful learning materials, including colourful cue cards from the beginning of the lesson. As noted by Zuo et al. (2023), cognitive scaffolding with audiovisuals and pictorial materials, as seen in the designs of Abdelaziz and Al </w:t>
      </w:r>
      <w:proofErr w:type="spellStart"/>
      <w:r w:rsidRPr="0008447F">
        <w:rPr>
          <w:rFonts w:ascii="Times New Roman" w:hAnsi="Times New Roman" w:cs="Times New Roman"/>
        </w:rPr>
        <w:t>Zehmi</w:t>
      </w:r>
      <w:proofErr w:type="spellEnd"/>
      <w:r w:rsidRPr="0008447F">
        <w:rPr>
          <w:rFonts w:ascii="Times New Roman" w:hAnsi="Times New Roman" w:cs="Times New Roman"/>
        </w:rPr>
        <w:t xml:space="preserve"> (2020), is effective in supporting diverse learners across various linguistic backgrounds. The teaching strategy, such as Think Pair Share (TPS), could be utilised in early years settings to foster social interaction of young learners and to build their confidence while expressing themselves. According to Erbil (2020), language develops through social interactions and serves as the medium through which knowledge is passed to children and acts </w:t>
      </w:r>
      <w:r w:rsidRPr="0008447F">
        <w:rPr>
          <w:rFonts w:ascii="Times New Roman" w:hAnsi="Times New Roman" w:cs="Times New Roman"/>
        </w:rPr>
        <w:lastRenderedPageBreak/>
        <w:t xml:space="preserve">as a tool that shapes intellectual development. Thus, social interaction remains a key feature to boost the holistic development of young children. In summary, the instructional strategies in early years classrooms reflect a deep understanding of early childhood development by blending the play-based approach into a structured instructional approach. </w:t>
      </w:r>
    </w:p>
    <w:p w14:paraId="6FF5DF66" w14:textId="61669C35"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The application of the instructional continuity teaching strategies adapts to support the growth of cognitive maturity and learning autonomy of primary students. Although the core principles of modelling and structured support remain the same as in the early years, the pedagogical approach during the primary stage embraces a more explicit and academic method.</w:t>
      </w:r>
      <w:r w:rsidR="00A901EE" w:rsidRPr="0008447F">
        <w:rPr>
          <w:rFonts w:ascii="Times New Roman" w:hAnsi="Times New Roman" w:cs="Times New Roman"/>
        </w:rPr>
        <w:t xml:space="preserve"> </w:t>
      </w:r>
      <w:r w:rsidRPr="0008447F">
        <w:rPr>
          <w:rFonts w:ascii="Times New Roman" w:hAnsi="Times New Roman" w:cs="Times New Roman"/>
        </w:rPr>
        <w:t>The key feature of these teaching strategies in the primary setting is the systematic use of formal, explicit instruction. The systematic approach includes structured activities tasks using mini whiteboards to write words or sentences based on the previous lesson. These strategies are employed in cognitive science research, demonstrating the powerful effects of retrieval on long-term memory consolidation and schema development (Witter, 2025). Through retrieval practice, students not only reinforce neural connections but also develop fluency and confidence in applying knowledge across learning contexts.</w:t>
      </w:r>
    </w:p>
    <w:p w14:paraId="713C4743" w14:textId="16CC571C"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 xml:space="preserve">Furthermore, the instructional framework integrates explicit instruction and retrieval practice methods to promote the cognitive abilities of primary-level learners. The teaching approaches for Primary learners aim to trigger executive function skills, such as planning and self-monitoring, by following the structured instructional flow. Research conducted by Kliegl and </w:t>
      </w:r>
      <w:proofErr w:type="spellStart"/>
      <w:r w:rsidRPr="0008447F">
        <w:rPr>
          <w:rFonts w:ascii="Times New Roman" w:hAnsi="Times New Roman" w:cs="Times New Roman"/>
        </w:rPr>
        <w:t>Bäuml</w:t>
      </w:r>
      <w:proofErr w:type="spellEnd"/>
      <w:r w:rsidRPr="0008447F">
        <w:rPr>
          <w:rFonts w:ascii="Times New Roman" w:hAnsi="Times New Roman" w:cs="Times New Roman"/>
        </w:rPr>
        <w:t xml:space="preserve"> (2021) underscored the advantages of interleaved retrieval in facilitating long-lasting learning, whereas </w:t>
      </w:r>
      <w:proofErr w:type="spellStart"/>
      <w:r w:rsidRPr="0008447F">
        <w:rPr>
          <w:rFonts w:ascii="Times New Roman" w:hAnsi="Times New Roman" w:cs="Times New Roman"/>
        </w:rPr>
        <w:t>Rosenshine</w:t>
      </w:r>
      <w:proofErr w:type="spellEnd"/>
      <w:r w:rsidRPr="0008447F">
        <w:rPr>
          <w:rFonts w:ascii="Times New Roman" w:hAnsi="Times New Roman" w:cs="Times New Roman"/>
        </w:rPr>
        <w:t xml:space="preserve"> (2012) highlighted the importance of structured reviews and guided practice in mitigating cognitive overload and improving instructional clarity.</w:t>
      </w:r>
      <w:r w:rsidR="0017321B" w:rsidRPr="0008447F">
        <w:rPr>
          <w:rFonts w:ascii="Times New Roman" w:hAnsi="Times New Roman" w:cs="Times New Roman"/>
        </w:rPr>
        <w:t xml:space="preserve"> </w:t>
      </w:r>
      <w:r w:rsidRPr="0008447F">
        <w:rPr>
          <w:rFonts w:ascii="Times New Roman" w:hAnsi="Times New Roman" w:cs="Times New Roman"/>
        </w:rPr>
        <w:t xml:space="preserve">For the primary teaching approaches, the independent task phase is critical in reinforcing student learning. This phase differs from the early </w:t>
      </w:r>
      <w:proofErr w:type="gramStart"/>
      <w:r w:rsidRPr="0008447F">
        <w:rPr>
          <w:rFonts w:ascii="Times New Roman" w:hAnsi="Times New Roman" w:cs="Times New Roman"/>
        </w:rPr>
        <w:t>years</w:t>
      </w:r>
      <w:proofErr w:type="gramEnd"/>
      <w:r w:rsidRPr="0008447F">
        <w:rPr>
          <w:rFonts w:ascii="Times New Roman" w:hAnsi="Times New Roman" w:cs="Times New Roman"/>
        </w:rPr>
        <w:t xml:space="preserve"> stages, as students are required to utilise the knowledge and skills they have acquired through formal writing or project-based activities. This approach aligns with Bandura’s Social Learning Theory (SLT) (1971), which asserts that learning is enhanced through active participation and the internalisation of observed behaviours.</w:t>
      </w:r>
    </w:p>
    <w:p w14:paraId="3DACFED6" w14:textId="1F11A50C"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 xml:space="preserve">On the other hand, the instructional continuity strategies in the primary levels also integrate the use of formative challenge tasks and summative assessments. These tasks provide students with transparent learning goals and the means to self-assess their progress, which in turn fosters autonomy and motivation. According to Abd Halim et al. (2024), structured formative </w:t>
      </w:r>
      <w:r w:rsidRPr="0008447F">
        <w:rPr>
          <w:rFonts w:ascii="Times New Roman" w:hAnsi="Times New Roman" w:cs="Times New Roman"/>
        </w:rPr>
        <w:lastRenderedPageBreak/>
        <w:t>assessment practices are essential for evaluating students’ learning, as they enable teachers to tailor instruction according to demonstrated needs and abilities.</w:t>
      </w:r>
      <w:r w:rsidR="0017321B" w:rsidRPr="0008447F">
        <w:rPr>
          <w:rFonts w:ascii="Times New Roman" w:hAnsi="Times New Roman" w:cs="Times New Roman"/>
        </w:rPr>
        <w:t xml:space="preserve"> </w:t>
      </w:r>
      <w:r w:rsidRPr="0008447F">
        <w:rPr>
          <w:rFonts w:ascii="Times New Roman" w:hAnsi="Times New Roman" w:cs="Times New Roman"/>
        </w:rPr>
        <w:t>As a result, the more structured and academic instructions employed in the primary phase reflect a systematic and coherent approach to teaching and learning. The equilibrium of structure between the Early years and primary education levels fosters an atmosphere that encourages continuous learning within the school. The transition from scaffolded assistance in the early years stage to independent application in the primary stage reflects the dedication to cultivating lifelong learners who possess the cognitive and metacognitive skills essential for thriving in progressively intricate academic environments.</w:t>
      </w:r>
    </w:p>
    <w:p w14:paraId="1E60C31F" w14:textId="77777777" w:rsidR="0017321B" w:rsidRPr="0008447F" w:rsidRDefault="0017321B" w:rsidP="0017321B">
      <w:pPr>
        <w:jc w:val="both"/>
        <w:rPr>
          <w:rFonts w:ascii="Times New Roman" w:hAnsi="Times New Roman" w:cs="Times New Roman"/>
        </w:rPr>
      </w:pPr>
    </w:p>
    <w:p w14:paraId="30B92405" w14:textId="2178AE03" w:rsidR="00750536" w:rsidRPr="0008447F" w:rsidRDefault="0017321B" w:rsidP="00750536">
      <w:pPr>
        <w:rPr>
          <w:rFonts w:ascii="Times New Roman" w:hAnsi="Times New Roman" w:cs="Times New Roman"/>
          <w:b/>
          <w:bCs/>
        </w:rPr>
      </w:pPr>
      <w:r w:rsidRPr="0008447F">
        <w:rPr>
          <w:rFonts w:ascii="Times New Roman" w:hAnsi="Times New Roman" w:cs="Times New Roman"/>
          <w:b/>
          <w:bCs/>
        </w:rPr>
        <w:t>4.3 Preliminary Pedagogical Framework</w:t>
      </w:r>
    </w:p>
    <w:p w14:paraId="2FE0768E" w14:textId="5E50463B"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The success of a pedagogical framework depends heavily on the effectiveness of the school’s support systems. However, the transition from theoretical input to classroom real-life practice often encounters significant organisational barriers. This study identifies three Primary challenges that necessitate a more dynamic approach to professional development, which are staff turnover, rigidity versus flexibility and evolving needs of diverse learners.</w:t>
      </w:r>
      <w:r w:rsidR="004354DF" w:rsidRPr="0008447F">
        <w:rPr>
          <w:rFonts w:ascii="Times New Roman" w:hAnsi="Times New Roman" w:cs="Times New Roman"/>
        </w:rPr>
        <w:t xml:space="preserve"> </w:t>
      </w:r>
      <w:r w:rsidR="0017321B" w:rsidRPr="0008447F">
        <w:rPr>
          <w:rFonts w:ascii="Times New Roman" w:hAnsi="Times New Roman" w:cs="Times New Roman"/>
        </w:rPr>
        <w:t>T</w:t>
      </w:r>
      <w:r w:rsidRPr="0008447F">
        <w:rPr>
          <w:rFonts w:ascii="Times New Roman" w:hAnsi="Times New Roman" w:cs="Times New Roman"/>
        </w:rPr>
        <w:t xml:space="preserve">he high teacher turnover presents a critical barrier to the institutional memory, where require teachers to be trained and utilise the ten teaching strategies in their teaching subjects. When experienced or well-trained teachers depart, the collective understanding of instructional continuity routines as introduced in school will be diluted (Gibbons et al., 2021). The school will be at risk when facing the reset of the new staff. Next, certain teachers who come from different backgrounds will face issue which the set of teaching strategies sometimes restricts the flexibility to adapt to classroom practice and the needs of Generation Alpha. </w:t>
      </w:r>
      <w:proofErr w:type="spellStart"/>
      <w:r w:rsidRPr="0008447F">
        <w:rPr>
          <w:rFonts w:ascii="Times New Roman" w:hAnsi="Times New Roman" w:cs="Times New Roman"/>
        </w:rPr>
        <w:t>Gramata</w:t>
      </w:r>
      <w:proofErr w:type="spellEnd"/>
      <w:r w:rsidRPr="0008447F">
        <w:rPr>
          <w:rFonts w:ascii="Times New Roman" w:hAnsi="Times New Roman" w:cs="Times New Roman"/>
        </w:rPr>
        <w:t xml:space="preserve"> (2025) revealed that the service-learning context where teachers expressed a need for clear implementation guidelines and better curricular alignment to ensure instructional coherence. While standardisation ensures quality, over-rigidity can prevent teachers from adapting to the shorter attention spans and high expectations of digital-native learners. </w:t>
      </w:r>
    </w:p>
    <w:p w14:paraId="5130FA08" w14:textId="77777777" w:rsidR="00750536" w:rsidRPr="0008447F" w:rsidRDefault="00750536" w:rsidP="00A901EE">
      <w:pPr>
        <w:spacing w:line="360" w:lineRule="auto"/>
        <w:jc w:val="both"/>
        <w:rPr>
          <w:rFonts w:ascii="Times New Roman" w:hAnsi="Times New Roman" w:cs="Times New Roman"/>
        </w:rPr>
      </w:pPr>
      <w:r w:rsidRPr="0008447F">
        <w:rPr>
          <w:rFonts w:ascii="Times New Roman" w:hAnsi="Times New Roman" w:cs="Times New Roman"/>
        </w:rPr>
        <w:t xml:space="preserve">To address these challenges, professional development must be provided by the leadership team. As McLeod (2025) and Kamali and Javahery (2024) argued, when professional development is rooted in </w:t>
      </w:r>
      <w:proofErr w:type="gramStart"/>
      <w:r w:rsidRPr="0008447F">
        <w:rPr>
          <w:rFonts w:ascii="Times New Roman" w:hAnsi="Times New Roman" w:cs="Times New Roman"/>
        </w:rPr>
        <w:t>teachers’</w:t>
      </w:r>
      <w:proofErr w:type="gramEnd"/>
      <w:r w:rsidRPr="0008447F">
        <w:rPr>
          <w:rFonts w:ascii="Times New Roman" w:hAnsi="Times New Roman" w:cs="Times New Roman"/>
        </w:rPr>
        <w:t xml:space="preserve"> lived experiences, it increases teacher efficacy and the sustainability of teaching strategies. The integration of collaborative planning sessions allows the school to build an open conversation in delivering better education for future generations. </w:t>
      </w:r>
      <w:r w:rsidRPr="0008447F">
        <w:rPr>
          <w:rFonts w:ascii="Times New Roman" w:hAnsi="Times New Roman" w:cs="Times New Roman"/>
        </w:rPr>
        <w:lastRenderedPageBreak/>
        <w:t>Furthermore, support must attend to contextual variation. Differentiating strategies for early years versus primary ensures the flow is developmentally appropriate according to the year group of learners. By addressing these diverse needs, the school ensures that the instructional continuity lesson plan flow empowers educators to meet the complex needs of Generation Alpha while maintaining high academic standards.</w:t>
      </w:r>
    </w:p>
    <w:p w14:paraId="1751FD32" w14:textId="77777777" w:rsidR="004354DF"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To ensure the sustainability of instructional continuity teaching strategies, the school must provide a well-planned support system that addresses the challenges faced by teachers and learners. This study emphasises that Continuing Professional Development (CPD) programs should be provided to ensure the whole school approach is well-adapted in the school. By integrating collaborative planning and weekly meetings, the school ensures that instructional flow remains consistent despite staff turnover. As McLeod (2025) and Kamali and Javahery (2024) argued, when CPD is provided for teachers and coupled with reflective inquiry, it significantly increases the effectiveness and confidence in implementing the unified pedagogical framework.</w:t>
      </w:r>
      <w:r w:rsidR="004354DF" w:rsidRPr="0008447F">
        <w:rPr>
          <w:rFonts w:ascii="Times New Roman" w:hAnsi="Times New Roman" w:cs="Times New Roman"/>
        </w:rPr>
        <w:t xml:space="preserve"> </w:t>
      </w:r>
      <w:r w:rsidRPr="0008447F">
        <w:rPr>
          <w:rFonts w:ascii="Times New Roman" w:hAnsi="Times New Roman" w:cs="Times New Roman"/>
        </w:rPr>
        <w:t>Next, leadership plays a pivotal role in maintaining the fidelity of implementation. Leaders are responsible for monitoring the consistent application of these teaching strategies. Through learning walks and peer-observation cycles, leadership can identify pedagogical friction early and provide targeted support. This oversight ensures that the consistent routines are not merely administrative requirements but are executed with high quality to meet the diverse needs of Generation Alpha.</w:t>
      </w:r>
    </w:p>
    <w:p w14:paraId="5D1C83F7" w14:textId="5747C63E" w:rsidR="004354DF"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 xml:space="preserve">The final phase of the </w:t>
      </w:r>
      <w:r w:rsidR="004354DF" w:rsidRPr="0008447F">
        <w:rPr>
          <w:rFonts w:ascii="Times New Roman" w:hAnsi="Times New Roman" w:cs="Times New Roman"/>
        </w:rPr>
        <w:t xml:space="preserve">composite </w:t>
      </w:r>
      <w:r w:rsidRPr="0008447F">
        <w:rPr>
          <w:rFonts w:ascii="Times New Roman" w:hAnsi="Times New Roman" w:cs="Times New Roman"/>
        </w:rPr>
        <w:t>conceptual framework represents the transition from a set of instructional continuity teaching strategies to a future-ready lesson plan flow. This modification is a strategic evolution designed to address the specific needs of Generation Alpha and English as an Additional Language (EAL) learners within the international school context.</w:t>
      </w:r>
      <w:r w:rsidR="004354DF" w:rsidRPr="0008447F">
        <w:rPr>
          <w:rFonts w:ascii="Times New Roman" w:hAnsi="Times New Roman" w:cs="Times New Roman"/>
        </w:rPr>
        <w:t xml:space="preserve"> </w:t>
      </w:r>
      <w:r w:rsidRPr="0008447F">
        <w:rPr>
          <w:rFonts w:ascii="Times New Roman" w:hAnsi="Times New Roman" w:cs="Times New Roman"/>
        </w:rPr>
        <w:t xml:space="preserve">Research has revealed that Generation Alpha often demonstrates limited social communication and struggles in following instructions (Apaydın </w:t>
      </w:r>
      <w:proofErr w:type="spellStart"/>
      <w:r w:rsidRPr="0008447F">
        <w:rPr>
          <w:rFonts w:ascii="Times New Roman" w:hAnsi="Times New Roman" w:cs="Times New Roman"/>
        </w:rPr>
        <w:t>Çırık</w:t>
      </w:r>
      <w:proofErr w:type="spellEnd"/>
      <w:r w:rsidRPr="0008447F">
        <w:rPr>
          <w:rFonts w:ascii="Times New Roman" w:hAnsi="Times New Roman" w:cs="Times New Roman"/>
        </w:rPr>
        <w:t xml:space="preserve"> &amp; Aksoy, 2023). Thus, the teaching strategies must transition from strict standardisation toward a more flexible and responsive structure. While explicit instruction framework offer a necessary scaffolded learning pathway, future enhancements must ensure these routines remain adaptable for diverse learners.</w:t>
      </w:r>
      <w:r w:rsidR="004354DF" w:rsidRPr="0008447F">
        <w:rPr>
          <w:rFonts w:ascii="Times New Roman" w:hAnsi="Times New Roman" w:cs="Times New Roman"/>
        </w:rPr>
        <w:t xml:space="preserve"> </w:t>
      </w:r>
      <w:r w:rsidRPr="0008447F">
        <w:rPr>
          <w:rFonts w:ascii="Times New Roman" w:hAnsi="Times New Roman" w:cs="Times New Roman"/>
        </w:rPr>
        <w:t xml:space="preserve">The modification of the instructional continuity teaching strategies acknowledges that learning personalisation must not undermine pedagogical coherence or equity (MOHE, 2025). Therefore, the refined instructional flow maintains essential routines, but the content of the strategies could be deviated and flexible based on teacher and students’ opinions. This </w:t>
      </w:r>
      <w:r w:rsidRPr="0008447F">
        <w:rPr>
          <w:rFonts w:ascii="Times New Roman" w:hAnsi="Times New Roman" w:cs="Times New Roman"/>
        </w:rPr>
        <w:lastRenderedPageBreak/>
        <w:t>modification supports learner autonomy and intrinsic motivation by allowing students to apply standardised skills within authentic, real-world contexts</w:t>
      </w:r>
      <w:r w:rsidR="00921DDF" w:rsidRPr="0008447F">
        <w:rPr>
          <w:rFonts w:ascii="Times New Roman" w:hAnsi="Times New Roman" w:cs="Times New Roman"/>
        </w:rPr>
        <w:t>.</w:t>
      </w:r>
      <w:r w:rsidRPr="0008447F">
        <w:rPr>
          <w:rFonts w:ascii="Times New Roman" w:hAnsi="Times New Roman" w:cs="Times New Roman"/>
        </w:rPr>
        <w:t xml:space="preserve"> </w:t>
      </w:r>
    </w:p>
    <w:p w14:paraId="77FA8721" w14:textId="77777777" w:rsidR="004354DF"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For EAL learners, teachers can provide high-intensity verbal scaffolding during the modelling phase while gradually removing supports as students move toward independent tasks. By balancing the "non-negotiable" structure of explicit instruction with the "negotiable" flexibility of student-led inquiry, this modified approach ensures an inclusive and equitable learning environment as aligned with SDG 4 (UNICEF, 2023). A defining characteristic of Generation Alpha is their inherent digital nativity, which necessitates a shift in pedagogical delivery (Huss &amp; Eastep, 2024). The incorporation of technology has transitioned from being an optional enhancement to a compulsory requirement for future generations to maximise their learning experience. While the foundational instructional continuity teaching strategies utilise essential low-tech resources such as mini whiteboards must adapt to include digital devices across both early years and primary education levels to enhance diverse content delivery methods. Research indicates that visual and interactive digital scaffolds are particularly effective in supporting students with language processing difficulties, especially within the international and multilingual contexts of this study (Zuo et al., 2023).</w:t>
      </w:r>
    </w:p>
    <w:p w14:paraId="0D9C6A41" w14:textId="4FD4AA5C" w:rsidR="004354DF"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 xml:space="preserve">Furthermore, as Witter’s (2025) study demonstrated, technology can significantly amplify the effectiveness of retrieval practice when repetition and rapid feedback loops are embedded directly into the teaching and learning flow. By integrating these digital tools, the standardised lesson plan flow provides Generation Alpha with a familiar and engaging medium for learning, ensuring that the </w:t>
      </w:r>
      <w:r w:rsidR="008C1FBD" w:rsidRPr="0008447F">
        <w:rPr>
          <w:rFonts w:ascii="Times New Roman" w:hAnsi="Times New Roman" w:cs="Times New Roman"/>
        </w:rPr>
        <w:t>lesson and</w:t>
      </w:r>
      <w:r w:rsidRPr="0008447F">
        <w:rPr>
          <w:rFonts w:ascii="Times New Roman" w:hAnsi="Times New Roman" w:cs="Times New Roman"/>
        </w:rPr>
        <w:t xml:space="preserve"> assessment phases are both data-rich for the teacher and highly interactive for the student. This integration fosters digital literacy, preparing learners for the increasingly complex technological landscapes they will encounter in higher academic stages.</w:t>
      </w:r>
      <w:r w:rsidR="004354DF" w:rsidRPr="0008447F">
        <w:rPr>
          <w:rFonts w:ascii="Times New Roman" w:hAnsi="Times New Roman" w:cs="Times New Roman"/>
        </w:rPr>
        <w:t xml:space="preserve"> </w:t>
      </w:r>
      <w:r w:rsidRPr="0008447F">
        <w:rPr>
          <w:rFonts w:ascii="Times New Roman" w:hAnsi="Times New Roman" w:cs="Times New Roman"/>
        </w:rPr>
        <w:t>In developing a framework modification for future learners, the integration of Connectivism learning theory, which was introduced by Siemens (2005) and further developed by Downes (2008), provides a critical theoretical bridge to technology-driven education. Siemens (2005) described connectivism as "a learning theory for the digital age," emphasising that technology has fundamentally transformed how individuals interact and learn in daily life (Corbett &amp; Spinello, 2020).</w:t>
      </w:r>
      <w:r w:rsidR="004354DF" w:rsidRPr="0008447F">
        <w:rPr>
          <w:rFonts w:ascii="Times New Roman" w:hAnsi="Times New Roman" w:cs="Times New Roman"/>
        </w:rPr>
        <w:t xml:space="preserve"> </w:t>
      </w:r>
      <w:r w:rsidRPr="0008447F">
        <w:rPr>
          <w:rFonts w:ascii="Times New Roman" w:hAnsi="Times New Roman" w:cs="Times New Roman"/>
        </w:rPr>
        <w:t xml:space="preserve">The theory views learning as a process of forming networks that connect people and information sources. It extends beyond traditional theories such as behaviourism, cognitivism, and constructivism by recognising networking and digital interconnectedness as a primary source of knowledge. In this pedagogical framework, learners are not required to </w:t>
      </w:r>
      <w:r w:rsidRPr="0008447F">
        <w:rPr>
          <w:rFonts w:ascii="Times New Roman" w:hAnsi="Times New Roman" w:cs="Times New Roman"/>
        </w:rPr>
        <w:lastRenderedPageBreak/>
        <w:t>memorise all information but must develop the capacity to comprehend and apply relevant knowledge when needed.</w:t>
      </w:r>
    </w:p>
    <w:p w14:paraId="2EA2AD39" w14:textId="64DC5332" w:rsidR="004354DF"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 xml:space="preserve">Corbett and Spinello (2020) highlighted how connectivism can be fostered from early childhood through activities that link internal classroom experiences with external learning sources supported by technology. For example, Hu et al. (2024) demonstrated that even learners with diverse needs could engage in complex learning using digital tools such as virtual manipulatives and programmable robots. Hence, Connectivism justifies the transition toward more open-ended, technology-integrated tasks. By teaching students to utilise digital tools to find and connect information, it prepares Generation Alpha for a future where the ability to maintain and traverse a network of information is as important as the foundational knowledge itself. </w:t>
      </w:r>
      <w:r w:rsidR="004354DF" w:rsidRPr="0008447F">
        <w:rPr>
          <w:rFonts w:ascii="Times New Roman" w:hAnsi="Times New Roman" w:cs="Times New Roman"/>
        </w:rPr>
        <w:t xml:space="preserve"> </w:t>
      </w:r>
    </w:p>
    <w:p w14:paraId="2A687A87" w14:textId="31DC35FB" w:rsidR="00750536" w:rsidRPr="0008447F" w:rsidRDefault="00750536" w:rsidP="004354DF">
      <w:pPr>
        <w:spacing w:line="360" w:lineRule="auto"/>
        <w:jc w:val="both"/>
        <w:rPr>
          <w:rFonts w:ascii="Times New Roman" w:hAnsi="Times New Roman" w:cs="Times New Roman"/>
        </w:rPr>
      </w:pPr>
      <w:r w:rsidRPr="0008447F">
        <w:rPr>
          <w:rFonts w:ascii="Times New Roman" w:hAnsi="Times New Roman" w:cs="Times New Roman"/>
        </w:rPr>
        <w:t>A systematic quality check is vital to ensuring the continued fidelity and sustainability of the instructional continuity teaching strategies. This process incorporates instructional coaching cycles, reflective inquiry, and collaborative planning to maintain high pedagogical standards across the Early Years and Primary departments. Ross et al. (2023) emphasised the utility of affirming "learning walks" and observations by peers or leaders to encourage improvements in the implementation of these teaching strategies. By embedding these quality assurance measures into the instructional framework, the school ensures that the explicit instruction with the set of teaching strategies can be consistently improved.</w:t>
      </w:r>
      <w:r w:rsidR="004354DF" w:rsidRPr="0008447F">
        <w:rPr>
          <w:rFonts w:ascii="Times New Roman" w:hAnsi="Times New Roman" w:cs="Times New Roman"/>
        </w:rPr>
        <w:t xml:space="preserve"> </w:t>
      </w:r>
      <w:r w:rsidRPr="0008447F">
        <w:rPr>
          <w:rFonts w:ascii="Times New Roman" w:hAnsi="Times New Roman" w:cs="Times New Roman"/>
        </w:rPr>
        <w:t>Furthermore, the revision of the preliminary pedagogical framework must remain strictly data-driven. The framework integrates diagnostic tools and longitudinal assessment data, such as an observation rubric, to guide iterative enhancements. This ensures that the standardised lesson plan flow remains responsive to the shifting needs of Generation Alpha and EAL learners, while staying firmly aligned with the quality benchmarks of the MQF 2nd Edition and SDG 4.7.</w:t>
      </w:r>
    </w:p>
    <w:p w14:paraId="22FB8747" w14:textId="77777777" w:rsidR="0060321E" w:rsidRPr="0008447F" w:rsidRDefault="0060321E" w:rsidP="00750536">
      <w:pPr>
        <w:rPr>
          <w:rFonts w:ascii="Times New Roman" w:hAnsi="Times New Roman" w:cs="Times New Roman"/>
        </w:rPr>
      </w:pPr>
    </w:p>
    <w:p w14:paraId="3779F973" w14:textId="3403BAE0" w:rsidR="0060321E" w:rsidRPr="0008447F" w:rsidRDefault="00CB0CE5" w:rsidP="0060321E">
      <w:pPr>
        <w:rPr>
          <w:rFonts w:ascii="Times New Roman" w:hAnsi="Times New Roman" w:cs="Times New Roman"/>
          <w:b/>
          <w:bCs/>
        </w:rPr>
      </w:pPr>
      <w:r w:rsidRPr="0008447F">
        <w:rPr>
          <w:rFonts w:ascii="Times New Roman" w:hAnsi="Times New Roman" w:cs="Times New Roman"/>
          <w:b/>
          <w:bCs/>
        </w:rPr>
        <w:t xml:space="preserve">5.0 </w:t>
      </w:r>
      <w:r w:rsidR="0060321E" w:rsidRPr="0008447F">
        <w:rPr>
          <w:rFonts w:ascii="Times New Roman" w:hAnsi="Times New Roman" w:cs="Times New Roman"/>
          <w:b/>
          <w:bCs/>
        </w:rPr>
        <w:t>Implications</w:t>
      </w:r>
    </w:p>
    <w:p w14:paraId="5064AE93" w14:textId="35392645" w:rsidR="0060321E" w:rsidRPr="0008447F" w:rsidRDefault="0060321E" w:rsidP="00FB5F8D">
      <w:pPr>
        <w:spacing w:line="360" w:lineRule="auto"/>
        <w:jc w:val="both"/>
        <w:rPr>
          <w:rFonts w:ascii="Times New Roman" w:hAnsi="Times New Roman" w:cs="Times New Roman"/>
        </w:rPr>
      </w:pPr>
      <w:r w:rsidRPr="0008447F">
        <w:rPr>
          <w:rFonts w:ascii="Times New Roman" w:hAnsi="Times New Roman" w:cs="Times New Roman"/>
        </w:rPr>
        <w:t>This study addresses research gaps that correspond to gaps in the literature showing how teachers navigate their professional autonomy within mandated teaching strategies and the school’s epistemology (</w:t>
      </w:r>
      <w:proofErr w:type="spellStart"/>
      <w:r w:rsidRPr="0008447F">
        <w:rPr>
          <w:rFonts w:ascii="Times New Roman" w:hAnsi="Times New Roman" w:cs="Times New Roman"/>
          <w:lang w:val="en-GB"/>
        </w:rPr>
        <w:t>Nxasana</w:t>
      </w:r>
      <w:proofErr w:type="spellEnd"/>
      <w:r w:rsidRPr="0008447F">
        <w:rPr>
          <w:rFonts w:ascii="Times New Roman" w:hAnsi="Times New Roman" w:cs="Times New Roman"/>
          <w:lang w:val="en-GB"/>
        </w:rPr>
        <w:t xml:space="preserve"> et al., 2023)</w:t>
      </w:r>
      <w:r w:rsidRPr="0008447F">
        <w:rPr>
          <w:rFonts w:ascii="Times New Roman" w:hAnsi="Times New Roman" w:cs="Times New Roman"/>
        </w:rPr>
        <w:t xml:space="preserve">. </w:t>
      </w:r>
      <w:r w:rsidR="00FB5F8D" w:rsidRPr="0008447F">
        <w:rPr>
          <w:rFonts w:ascii="Times New Roman" w:hAnsi="Times New Roman" w:cs="Times New Roman"/>
        </w:rPr>
        <w:t xml:space="preserve">There </w:t>
      </w:r>
      <w:r w:rsidRPr="0008447F">
        <w:rPr>
          <w:rFonts w:ascii="Times New Roman" w:hAnsi="Times New Roman" w:cs="Times New Roman"/>
        </w:rPr>
        <w:t xml:space="preserve">is a developmental discontinuity gap due to the absence of longitudinal data tracking the transition and differences in teaching strategies from early years to primary education levels. As mentioned by Bird et al. (2025), the study should focus on how to create a potentially seamless transition for children from ECE services </w:t>
      </w:r>
      <w:r w:rsidRPr="0008447F">
        <w:rPr>
          <w:rFonts w:ascii="Times New Roman" w:hAnsi="Times New Roman" w:cs="Times New Roman"/>
        </w:rPr>
        <w:lastRenderedPageBreak/>
        <w:t xml:space="preserve">to primary schools. Moreover, the challenges of implementing these strategies in high-turnover environments remain unexplored, where </w:t>
      </w:r>
      <w:r w:rsidR="00FB5F8D" w:rsidRPr="0008447F">
        <w:rPr>
          <w:rFonts w:ascii="Times New Roman" w:hAnsi="Times New Roman" w:cs="Times New Roman"/>
        </w:rPr>
        <w:t xml:space="preserve">researchers should </w:t>
      </w:r>
      <w:r w:rsidRPr="0008447F">
        <w:rPr>
          <w:rFonts w:ascii="Times New Roman" w:hAnsi="Times New Roman" w:cs="Times New Roman"/>
        </w:rPr>
        <w:t>examine these implementation hurdles, such as teacher autonomy as studied by (Nguyen et al., 2021) and environmental factors that could undermine teacher commitment and organisational motivation (</w:t>
      </w:r>
      <w:proofErr w:type="spellStart"/>
      <w:r w:rsidRPr="0008447F">
        <w:rPr>
          <w:rFonts w:ascii="Times New Roman" w:hAnsi="Times New Roman" w:cs="Times New Roman"/>
        </w:rPr>
        <w:t>Konal</w:t>
      </w:r>
      <w:proofErr w:type="spellEnd"/>
      <w:r w:rsidRPr="0008447F">
        <w:rPr>
          <w:rFonts w:ascii="Times New Roman" w:hAnsi="Times New Roman" w:cs="Times New Roman"/>
        </w:rPr>
        <w:t xml:space="preserve"> Memiş &amp; </w:t>
      </w:r>
      <w:proofErr w:type="spellStart"/>
      <w:r w:rsidRPr="0008447F">
        <w:rPr>
          <w:rFonts w:ascii="Times New Roman" w:hAnsi="Times New Roman" w:cs="Times New Roman"/>
        </w:rPr>
        <w:t>Tabancalı</w:t>
      </w:r>
      <w:proofErr w:type="spellEnd"/>
      <w:r w:rsidRPr="0008447F">
        <w:rPr>
          <w:rFonts w:ascii="Times New Roman" w:hAnsi="Times New Roman" w:cs="Times New Roman"/>
        </w:rPr>
        <w:t>, 2024). There is a need for a synthesised framework that accommodates the complex needs of Generation Alpha</w:t>
      </w:r>
      <w:r w:rsidR="00FB5F8D" w:rsidRPr="0008447F">
        <w:rPr>
          <w:rFonts w:ascii="Times New Roman" w:hAnsi="Times New Roman" w:cs="Times New Roman"/>
        </w:rPr>
        <w:t xml:space="preserve"> in which the composite conceptual framework </w:t>
      </w:r>
      <w:r w:rsidRPr="0008447F">
        <w:rPr>
          <w:rFonts w:ascii="Times New Roman" w:hAnsi="Times New Roman" w:cs="Times New Roman"/>
        </w:rPr>
        <w:t xml:space="preserve">proposes the components of the preliminary pedagogical framework. As Lammert et al. (2022) highlighted, further research is required to theorise the roles that adaptiveness plays in professional development. </w:t>
      </w:r>
    </w:p>
    <w:p w14:paraId="6D452DAE" w14:textId="69937F4D" w:rsidR="0060321E" w:rsidRPr="0008447F" w:rsidRDefault="00FB5F8D" w:rsidP="00FB5F8D">
      <w:pPr>
        <w:spacing w:line="360" w:lineRule="auto"/>
        <w:jc w:val="both"/>
        <w:rPr>
          <w:rFonts w:ascii="Times New Roman" w:hAnsi="Times New Roman" w:cs="Times New Roman"/>
          <w:lang w:val="en-GB"/>
        </w:rPr>
      </w:pPr>
      <w:r w:rsidRPr="0008447F">
        <w:rPr>
          <w:rFonts w:ascii="Times New Roman" w:hAnsi="Times New Roman" w:cs="Times New Roman"/>
        </w:rPr>
        <w:t>T</w:t>
      </w:r>
      <w:r w:rsidR="0060321E" w:rsidRPr="0008447F">
        <w:rPr>
          <w:rFonts w:ascii="Times New Roman" w:hAnsi="Times New Roman" w:cs="Times New Roman"/>
        </w:rPr>
        <w:t>he existing literature emphasises the mechanics of explicit teaching but is insufficient regarding teacher perceptions and professional identity. Even though Menzies</w:t>
      </w:r>
      <w:r w:rsidR="006F5E01" w:rsidRPr="0008447F">
        <w:rPr>
          <w:rFonts w:ascii="Times New Roman" w:hAnsi="Times New Roman" w:cs="Times New Roman"/>
        </w:rPr>
        <w:t xml:space="preserve"> </w:t>
      </w:r>
      <w:r w:rsidR="0060321E" w:rsidRPr="0008447F">
        <w:rPr>
          <w:rFonts w:ascii="Times New Roman" w:hAnsi="Times New Roman" w:cs="Times New Roman"/>
        </w:rPr>
        <w:t>(2023) mentioned that the consistency and routines create predictability at an institutional level by maintaining management continuity where staff can adapt how things are done in the new workplace, there is a need to explore how international</w:t>
      </w:r>
      <w:r w:rsidRPr="0008447F">
        <w:rPr>
          <w:rFonts w:ascii="Times New Roman" w:hAnsi="Times New Roman" w:cs="Times New Roman"/>
        </w:rPr>
        <w:t xml:space="preserve"> </w:t>
      </w:r>
      <w:proofErr w:type="gramStart"/>
      <w:r w:rsidRPr="0008447F">
        <w:rPr>
          <w:rFonts w:ascii="Times New Roman" w:hAnsi="Times New Roman" w:cs="Times New Roman"/>
        </w:rPr>
        <w:t>school teachers</w:t>
      </w:r>
      <w:proofErr w:type="gramEnd"/>
      <w:r w:rsidR="0060321E" w:rsidRPr="0008447F">
        <w:rPr>
          <w:rFonts w:ascii="Times New Roman" w:hAnsi="Times New Roman" w:cs="Times New Roman"/>
        </w:rPr>
        <w:t xml:space="preserve"> who come from diverse global backgrounds adapt and negotiate their autonomy in following the school’s epistemology across early years to primary education levels. This </w:t>
      </w:r>
      <w:r w:rsidRPr="0008447F">
        <w:rPr>
          <w:rFonts w:ascii="Times New Roman" w:hAnsi="Times New Roman" w:cs="Times New Roman"/>
        </w:rPr>
        <w:t>paper</w:t>
      </w:r>
      <w:r w:rsidR="0060321E" w:rsidRPr="0008447F">
        <w:rPr>
          <w:rFonts w:ascii="Times New Roman" w:hAnsi="Times New Roman" w:cs="Times New Roman"/>
        </w:rPr>
        <w:t xml:space="preserve"> critiques the mandated nature of teaching strategies by investigating how teachers’ perceptions influence the fidelity of the continuity and shift of teaching strategies in school. In addition, </w:t>
      </w:r>
      <w:r w:rsidR="0060321E" w:rsidRPr="0008447F">
        <w:rPr>
          <w:rFonts w:ascii="Times New Roman" w:hAnsi="Times New Roman" w:cs="Times New Roman"/>
          <w:lang w:val="en-GB"/>
        </w:rPr>
        <w:t>visible longitudinal studies are crucial to investigate the effects of explicit instruction across early years to primary education levels. As Degli Esposti &amp; Cigala (2025) mentioned, there should be a more explicit examination of cross-contextual differences, divergent child perspectives, and the cultural and institutional dynamics shaping the preschool-to-primary school transition. The literature</w:t>
      </w:r>
      <w:r w:rsidRPr="0008447F">
        <w:rPr>
          <w:rFonts w:ascii="Times New Roman" w:hAnsi="Times New Roman" w:cs="Times New Roman"/>
          <w:lang w:val="en-GB"/>
        </w:rPr>
        <w:t xml:space="preserve"> found</w:t>
      </w:r>
      <w:r w:rsidR="0060321E" w:rsidRPr="0008447F">
        <w:rPr>
          <w:rFonts w:ascii="Times New Roman" w:hAnsi="Times New Roman" w:cs="Times New Roman"/>
          <w:lang w:val="en-GB"/>
        </w:rPr>
        <w:t xml:space="preserve"> has yet to explore or compare how these teaching </w:t>
      </w:r>
      <w:proofErr w:type="gramStart"/>
      <w:r w:rsidR="0060321E" w:rsidRPr="0008447F">
        <w:rPr>
          <w:rFonts w:ascii="Times New Roman" w:hAnsi="Times New Roman" w:cs="Times New Roman"/>
          <w:lang w:val="en-GB"/>
        </w:rPr>
        <w:t>strategies</w:t>
      </w:r>
      <w:proofErr w:type="gramEnd"/>
      <w:r w:rsidR="0060321E" w:rsidRPr="0008447F">
        <w:rPr>
          <w:rFonts w:ascii="Times New Roman" w:hAnsi="Times New Roman" w:cs="Times New Roman"/>
          <w:lang w:val="en-GB"/>
        </w:rPr>
        <w:t xml:space="preserve"> function implement across the early years and primary education levels to ensure a seamless pedagogical transition that avoids discontinuities in teaching style.</w:t>
      </w:r>
      <w:r w:rsidR="0060321E" w:rsidRPr="0008447F">
        <w:rPr>
          <w:rFonts w:ascii="Times New Roman" w:hAnsi="Times New Roman" w:cs="Times New Roman"/>
        </w:rPr>
        <w:t xml:space="preserve"> Therefore, the study requires further empirical investigation using longitudinal designs that track learner outcomes over time.</w:t>
      </w:r>
    </w:p>
    <w:p w14:paraId="11F65976" w14:textId="5A87A78E" w:rsidR="0060321E" w:rsidRPr="0008447F" w:rsidRDefault="0060321E" w:rsidP="00FB5F8D">
      <w:pPr>
        <w:spacing w:line="360" w:lineRule="auto"/>
        <w:jc w:val="both"/>
        <w:rPr>
          <w:rFonts w:ascii="Times New Roman" w:hAnsi="Times New Roman" w:cs="Times New Roman"/>
          <w:lang w:val="en-GB"/>
        </w:rPr>
      </w:pPr>
      <w:r w:rsidRPr="0008447F">
        <w:rPr>
          <w:rFonts w:ascii="Times New Roman" w:hAnsi="Times New Roman" w:cs="Times New Roman"/>
          <w:lang w:val="en-GB"/>
        </w:rPr>
        <w:t xml:space="preserve">Apart from this, there is a critical lack of evidence regarding the challenges of teachers in implementing instructional teaching strategies in the high-turnover environment. As </w:t>
      </w:r>
      <w:proofErr w:type="spellStart"/>
      <w:r w:rsidRPr="0008447F">
        <w:rPr>
          <w:rFonts w:ascii="Times New Roman" w:hAnsi="Times New Roman" w:cs="Times New Roman"/>
          <w:lang w:val="en-GB"/>
        </w:rPr>
        <w:t>Ardenlid</w:t>
      </w:r>
      <w:proofErr w:type="spellEnd"/>
      <w:r w:rsidRPr="0008447F">
        <w:rPr>
          <w:rFonts w:ascii="Times New Roman" w:hAnsi="Times New Roman" w:cs="Times New Roman"/>
          <w:lang w:val="en-GB"/>
        </w:rPr>
        <w:t xml:space="preserve"> et al. (2025) highlight, the main problem of practice is meeting the needs of diverse learners for both early years and primary educational levels, yet the literature has not identified the specific elements of schools’ teaching strategies. While many teachers appreciate leaders who provide flexibility and acknowledge challenges (Womack, 2025), the literature has not yet identified the specific elements within school cultures that </w:t>
      </w:r>
      <w:r w:rsidR="00FB5F8D" w:rsidRPr="0008447F">
        <w:rPr>
          <w:rFonts w:ascii="Times New Roman" w:hAnsi="Times New Roman" w:cs="Times New Roman"/>
          <w:lang w:val="en-GB"/>
        </w:rPr>
        <w:t xml:space="preserve">could </w:t>
      </w:r>
      <w:r w:rsidRPr="0008447F">
        <w:rPr>
          <w:rFonts w:ascii="Times New Roman" w:hAnsi="Times New Roman" w:cs="Times New Roman"/>
          <w:lang w:val="en-GB"/>
        </w:rPr>
        <w:t xml:space="preserve">undermine organisational </w:t>
      </w:r>
      <w:r w:rsidRPr="0008447F">
        <w:rPr>
          <w:rFonts w:ascii="Times New Roman" w:hAnsi="Times New Roman" w:cs="Times New Roman"/>
          <w:lang w:val="en-GB"/>
        </w:rPr>
        <w:lastRenderedPageBreak/>
        <w:t xml:space="preserve">motivation. As </w:t>
      </w:r>
      <w:proofErr w:type="spellStart"/>
      <w:r w:rsidRPr="0008447F">
        <w:rPr>
          <w:rFonts w:ascii="Times New Roman" w:hAnsi="Times New Roman" w:cs="Times New Roman"/>
          <w:lang w:val="en-GB"/>
        </w:rPr>
        <w:t>Konal</w:t>
      </w:r>
      <w:proofErr w:type="spellEnd"/>
      <w:r w:rsidRPr="0008447F">
        <w:rPr>
          <w:rFonts w:ascii="Times New Roman" w:hAnsi="Times New Roman" w:cs="Times New Roman"/>
          <w:lang w:val="en-GB"/>
        </w:rPr>
        <w:t xml:space="preserve"> Memiş and </w:t>
      </w:r>
      <w:proofErr w:type="spellStart"/>
      <w:r w:rsidRPr="0008447F">
        <w:rPr>
          <w:rFonts w:ascii="Times New Roman" w:hAnsi="Times New Roman" w:cs="Times New Roman"/>
          <w:lang w:val="en-GB"/>
        </w:rPr>
        <w:t>Tabancalı</w:t>
      </w:r>
      <w:proofErr w:type="spellEnd"/>
      <w:r w:rsidRPr="0008447F">
        <w:rPr>
          <w:rFonts w:ascii="Times New Roman" w:hAnsi="Times New Roman" w:cs="Times New Roman"/>
          <w:lang w:val="en-GB"/>
        </w:rPr>
        <w:t xml:space="preserve"> (2024) argue, elements that diminish teacher commitment should be eliminated from the organisational culture to ensure the sustainability of any teaching framework. Thus, further study should be applied in addressing the challenges and motivations of teachers in implementing these teaching strategies. </w:t>
      </w:r>
    </w:p>
    <w:p w14:paraId="32D2B10D" w14:textId="352E0A7C" w:rsidR="0060321E" w:rsidRPr="0008447F" w:rsidRDefault="00FB5F8D" w:rsidP="00FB5F8D">
      <w:pPr>
        <w:spacing w:line="360" w:lineRule="auto"/>
        <w:jc w:val="both"/>
        <w:rPr>
          <w:rFonts w:ascii="Times New Roman" w:hAnsi="Times New Roman" w:cs="Times New Roman"/>
          <w:lang w:val="en-GB"/>
        </w:rPr>
      </w:pPr>
      <w:r w:rsidRPr="0008447F">
        <w:rPr>
          <w:rFonts w:ascii="Times New Roman" w:hAnsi="Times New Roman" w:cs="Times New Roman"/>
          <w:lang w:val="en-GB"/>
        </w:rPr>
        <w:t xml:space="preserve">A meaningful </w:t>
      </w:r>
      <w:r w:rsidR="0060321E" w:rsidRPr="0008447F">
        <w:rPr>
          <w:rFonts w:ascii="Times New Roman" w:hAnsi="Times New Roman" w:cs="Times New Roman"/>
          <w:lang w:val="en-GB"/>
        </w:rPr>
        <w:t xml:space="preserve">research gap exists regarding the synthesis of the instructional continuity framework between early years and primary education levels. There is an urgent need for an adaptable pedagogical framework that prioritises evidence-based processes </w:t>
      </w:r>
      <w:r w:rsidR="0060321E" w:rsidRPr="0008447F">
        <w:rPr>
          <w:rFonts w:ascii="Times New Roman" w:hAnsi="Times New Roman" w:cs="Times New Roman"/>
        </w:rPr>
        <w:t xml:space="preserve">to overcome challenges caused by uncertain, unpredictable, complex, and constantly changing times of the digital era, globalisation, and the rapidly increasing knowledge economy of the 21st century </w:t>
      </w:r>
      <w:r w:rsidR="0060321E" w:rsidRPr="0008447F">
        <w:rPr>
          <w:rFonts w:ascii="Times New Roman" w:hAnsi="Times New Roman" w:cs="Times New Roman"/>
          <w:lang w:val="en-GB"/>
        </w:rPr>
        <w:t xml:space="preserve">(Giri et al., 2025). The literature should further explore how a pedagogical framework could transition from the play-based exploration of the early years and modelling learning of the primary education levels, while allowing the flexibility with the extent to which it accommodates culturally specific teaching methods. This </w:t>
      </w:r>
      <w:r w:rsidRPr="0008447F">
        <w:rPr>
          <w:rFonts w:ascii="Times New Roman" w:hAnsi="Times New Roman" w:cs="Times New Roman"/>
          <w:lang w:val="en-GB"/>
        </w:rPr>
        <w:t>framework</w:t>
      </w:r>
      <w:r w:rsidR="0060321E" w:rsidRPr="0008447F">
        <w:rPr>
          <w:rFonts w:ascii="Times New Roman" w:hAnsi="Times New Roman" w:cs="Times New Roman"/>
          <w:lang w:val="en-GB"/>
        </w:rPr>
        <w:t xml:space="preserve"> seeks to develop a </w:t>
      </w:r>
      <w:r w:rsidR="0060321E" w:rsidRPr="0008447F">
        <w:rPr>
          <w:rFonts w:ascii="Times New Roman" w:hAnsi="Times New Roman" w:cs="Times New Roman"/>
          <w:i/>
          <w:iCs/>
          <w:lang w:val="en-GB"/>
        </w:rPr>
        <w:t>Standardised Lesson Plan Flow</w:t>
      </w:r>
      <w:r w:rsidR="0060321E" w:rsidRPr="0008447F">
        <w:rPr>
          <w:rFonts w:ascii="Times New Roman" w:hAnsi="Times New Roman" w:cs="Times New Roman"/>
          <w:lang w:val="en-GB"/>
        </w:rPr>
        <w:t xml:space="preserve"> that acts as a transferable pedagogical framework that bridge continues learning from early years to primary education levels. </w:t>
      </w:r>
    </w:p>
    <w:p w14:paraId="222FBA27" w14:textId="5E281E1D" w:rsidR="0060321E" w:rsidRPr="0008447F" w:rsidRDefault="0060321E" w:rsidP="00FB5F8D">
      <w:pPr>
        <w:spacing w:line="360" w:lineRule="auto"/>
        <w:jc w:val="both"/>
        <w:rPr>
          <w:rFonts w:ascii="Times New Roman" w:hAnsi="Times New Roman" w:cs="Times New Roman"/>
        </w:rPr>
      </w:pPr>
      <w:r w:rsidRPr="0008447F">
        <w:rPr>
          <w:rFonts w:ascii="Times New Roman" w:hAnsi="Times New Roman" w:cs="Times New Roman"/>
          <w:lang w:val="en-GB"/>
        </w:rPr>
        <w:t xml:space="preserve">Therefore, this study addresses four critical research gaps that stem from the </w:t>
      </w:r>
      <w:r w:rsidR="00FB5F8D" w:rsidRPr="0008447F">
        <w:rPr>
          <w:rFonts w:ascii="Times New Roman" w:hAnsi="Times New Roman" w:cs="Times New Roman"/>
          <w:lang w:val="en-GB"/>
        </w:rPr>
        <w:t>current international school landscape</w:t>
      </w:r>
      <w:r w:rsidRPr="0008447F">
        <w:rPr>
          <w:rFonts w:ascii="Times New Roman" w:hAnsi="Times New Roman" w:cs="Times New Roman"/>
          <w:lang w:val="en-GB"/>
        </w:rPr>
        <w:t xml:space="preserve">. There is a lack of evidence in viewing the perceptions of teachers in negotiating their professional autonomy within a mandated framework and the school’s epistemology. Furthermore, there is a developmental discontinuity gap due to the absence of longitudinal data tracking the transition and differences from the teaching strategies of early years to primary education levels. Besides, some challenges remain unexplored while implementing the teaching strategies for both early years and primary education levels. On the other hand, there is an urgent need for a synthesis of instructional teaching strategies with the flexibility required to accommodate the complex needs of Generation Alpha. </w:t>
      </w:r>
      <w:r w:rsidRPr="0008447F">
        <w:rPr>
          <w:rFonts w:ascii="Times New Roman" w:hAnsi="Times New Roman" w:cs="Times New Roman"/>
        </w:rPr>
        <w:t xml:space="preserve">In summary, the literature strongly supports the core tenets and practical strategies embedded within this </w:t>
      </w:r>
      <w:r w:rsidR="00FB5F8D" w:rsidRPr="0008447F">
        <w:rPr>
          <w:rFonts w:ascii="Times New Roman" w:hAnsi="Times New Roman" w:cs="Times New Roman"/>
        </w:rPr>
        <w:t xml:space="preserve">composite conceptual </w:t>
      </w:r>
      <w:r w:rsidRPr="0008447F">
        <w:rPr>
          <w:rFonts w:ascii="Times New Roman" w:hAnsi="Times New Roman" w:cs="Times New Roman"/>
        </w:rPr>
        <w:t xml:space="preserve">framework. However, the review also reveals the need for ongoing inquiry into the adaptability and teacher well-being when implementing the instructional continuity teaching strategies. Therefore, addressing these gaps will not only strengthen the credibility of the </w:t>
      </w:r>
      <w:r w:rsidRPr="0008447F">
        <w:rPr>
          <w:rFonts w:ascii="Times New Roman" w:hAnsi="Times New Roman" w:cs="Times New Roman"/>
          <w:lang w:val="en-GB"/>
        </w:rPr>
        <w:t>framework</w:t>
      </w:r>
      <w:r w:rsidRPr="0008447F">
        <w:rPr>
          <w:rFonts w:ascii="Times New Roman" w:hAnsi="Times New Roman" w:cs="Times New Roman"/>
        </w:rPr>
        <w:t xml:space="preserve"> but also ensure its relevance across diverse educational contexts. As schools continue to evolve in response to future generations, demographic changes, and pedagogical innovation, the instructional framework must remain dynamic and responsive to longitudinal learning. </w:t>
      </w:r>
    </w:p>
    <w:p w14:paraId="5EB62858" w14:textId="63740475" w:rsidR="00F47A51" w:rsidRPr="0008447F" w:rsidRDefault="00B01488" w:rsidP="00F47A51">
      <w:pPr>
        <w:rPr>
          <w:rFonts w:ascii="Times New Roman" w:hAnsi="Times New Roman" w:cs="Times New Roman"/>
          <w:b/>
          <w:bCs/>
        </w:rPr>
      </w:pPr>
      <w:r w:rsidRPr="0008447F">
        <w:rPr>
          <w:rFonts w:ascii="Times New Roman" w:hAnsi="Times New Roman" w:cs="Times New Roman"/>
          <w:b/>
          <w:bCs/>
        </w:rPr>
        <w:lastRenderedPageBreak/>
        <w:t xml:space="preserve">6.0 </w:t>
      </w:r>
      <w:r w:rsidR="00F47A51" w:rsidRPr="0008447F">
        <w:rPr>
          <w:rFonts w:ascii="Times New Roman" w:hAnsi="Times New Roman" w:cs="Times New Roman"/>
          <w:b/>
          <w:bCs/>
        </w:rPr>
        <w:t xml:space="preserve">Summary </w:t>
      </w:r>
    </w:p>
    <w:p w14:paraId="0D36A212" w14:textId="6CD51B04" w:rsidR="00F47A51" w:rsidRPr="0008447F" w:rsidRDefault="00F47A51" w:rsidP="00936FB8">
      <w:pPr>
        <w:spacing w:line="360" w:lineRule="auto"/>
        <w:jc w:val="both"/>
        <w:rPr>
          <w:rFonts w:ascii="Times New Roman" w:hAnsi="Times New Roman" w:cs="Times New Roman"/>
        </w:rPr>
      </w:pPr>
      <w:r w:rsidRPr="0008447F">
        <w:rPr>
          <w:rFonts w:ascii="Times New Roman" w:hAnsi="Times New Roman" w:cs="Times New Roman"/>
        </w:rPr>
        <w:t>This conceptual framework has provided a comprehensive overview of the research focused on the instructional continuity teaching strategies implemented within a targeted international school. The study is designed to evaluate the implementation of these pedagogical routines across both the early years and primary education levels based on teachers’ voices. By comparing the application of these strategies across different developmental stages, this research seeks to determine if a set of instructional continuity teaching strategies applicable to instructional flow can effectively bridge the gap between early childhood and primary education. Furthermore, proposed</w:t>
      </w:r>
      <w:r w:rsidR="00B01488" w:rsidRPr="0008447F">
        <w:rPr>
          <w:rFonts w:ascii="Times New Roman" w:hAnsi="Times New Roman" w:cs="Times New Roman"/>
        </w:rPr>
        <w:t xml:space="preserve"> composite conceptual</w:t>
      </w:r>
      <w:r w:rsidRPr="0008447F">
        <w:rPr>
          <w:rFonts w:ascii="Times New Roman" w:hAnsi="Times New Roman" w:cs="Times New Roman"/>
        </w:rPr>
        <w:t xml:space="preserve"> framework aims to reveal the challenges and barriers faced by the practitioners with the primary goal of identifying necessary modifications of a preliminary pedagogical framework to ensure greater alignment with the needs of future learners, specifically those of Generation Alpha and the upcoming Beta generation. This evolution is essential to equip future generations with the cognitive, social, and digital competencies required to thrive in an increasingly complex and interconnected global landscape.</w:t>
      </w:r>
    </w:p>
    <w:p w14:paraId="4854EBF2" w14:textId="77777777" w:rsidR="00750536" w:rsidRPr="0008447F" w:rsidRDefault="00750536" w:rsidP="00750536">
      <w:pPr>
        <w:rPr>
          <w:rFonts w:ascii="Times New Roman" w:hAnsi="Times New Roman" w:cs="Times New Roman"/>
        </w:rPr>
      </w:pPr>
    </w:p>
    <w:p w14:paraId="54760B28" w14:textId="77777777" w:rsidR="00D0227A" w:rsidRPr="0008447F" w:rsidRDefault="00D0227A" w:rsidP="00D0227A">
      <w:pPr>
        <w:pStyle w:val="RefTitle"/>
        <w:jc w:val="both"/>
        <w:rPr>
          <w:color w:val="000000" w:themeColor="text1"/>
        </w:rPr>
      </w:pPr>
      <w:bookmarkStart w:id="0" w:name="_Hlk219629134"/>
      <w:bookmarkStart w:id="1" w:name="_Toc228476264"/>
      <w:bookmarkStart w:id="2" w:name="_Hlk219629146"/>
      <w:r w:rsidRPr="0008447F">
        <w:rPr>
          <w:color w:val="000000" w:themeColor="text1"/>
        </w:rPr>
        <w:lastRenderedPageBreak/>
        <w:t>Re</w:t>
      </w:r>
      <w:bookmarkEnd w:id="0"/>
      <w:r w:rsidRPr="0008447F">
        <w:rPr>
          <w:color w:val="000000" w:themeColor="text1"/>
        </w:rPr>
        <w:t>ferences</w:t>
      </w:r>
      <w:bookmarkEnd w:id="1"/>
    </w:p>
    <w:p w14:paraId="4F96EFCC" w14:textId="77777777" w:rsidR="00D0227A" w:rsidRPr="0008447F" w:rsidRDefault="00D0227A" w:rsidP="00D0227A">
      <w:pPr>
        <w:pStyle w:val="NormalWeb"/>
        <w:ind w:left="567" w:hanging="567"/>
        <w:jc w:val="both"/>
        <w:rPr>
          <w:rFonts w:eastAsia="Century Gothic"/>
        </w:rPr>
      </w:pPr>
      <w:bookmarkStart w:id="3" w:name="_Hlk226198393"/>
      <w:r w:rsidRPr="0008447F">
        <w:rPr>
          <w:rFonts w:eastAsia="Century Gothic"/>
        </w:rPr>
        <w:t xml:space="preserve">Abd Halim, H., Hamzah, M. I., &amp; Zulkifli, H. (2024). A systematic review of the Formative Assessment Practice in teaching and learning in Secondary School. </w:t>
      </w:r>
      <w:r w:rsidRPr="0008447F">
        <w:rPr>
          <w:rFonts w:eastAsia="Century Gothic"/>
          <w:i/>
          <w:iCs/>
        </w:rPr>
        <w:t>International Journal of Evaluation and Research in Education (IJERE)</w:t>
      </w:r>
      <w:r w:rsidRPr="0008447F">
        <w:rPr>
          <w:rFonts w:eastAsia="Century Gothic"/>
        </w:rPr>
        <w:t xml:space="preserve">, 13(2), 1173. https://doi.org/10.11591/ijere.v13i2.26187 </w:t>
      </w:r>
    </w:p>
    <w:p w14:paraId="6C7A3F05" w14:textId="77777777" w:rsidR="00D0227A" w:rsidRPr="0008447F" w:rsidRDefault="00D0227A" w:rsidP="00D0227A">
      <w:pPr>
        <w:pStyle w:val="NormalWeb"/>
        <w:ind w:left="567" w:hanging="567"/>
        <w:jc w:val="both"/>
        <w:rPr>
          <w:color w:val="000000" w:themeColor="text1"/>
        </w:rPr>
      </w:pPr>
      <w:r w:rsidRPr="0008447F">
        <w:t xml:space="preserve">Abdelaziz, H. A., &amp; Al Zehmi, O. (2020). E-cognitive scaffolding: Does it have an impact on the English grammar competencies of middle school underachieving students? </w:t>
      </w:r>
      <w:r w:rsidRPr="0008447F">
        <w:rPr>
          <w:i/>
          <w:iCs/>
        </w:rPr>
        <w:t>Open Learning: The Journal of Open, Distance and e-Learning</w:t>
      </w:r>
      <w:r w:rsidRPr="0008447F">
        <w:t xml:space="preserve">, 36(2), 1–24. </w:t>
      </w:r>
      <w:hyperlink r:id="rId6" w:history="1">
        <w:r w:rsidRPr="0008447F">
          <w:rPr>
            <w:rStyle w:val="Hyperlink"/>
            <w:color w:val="000000" w:themeColor="text1"/>
            <w:u w:val="none"/>
          </w:rPr>
          <w:t>https://doi.org/10.1080/02680513.2020.1774356</w:t>
        </w:r>
      </w:hyperlink>
    </w:p>
    <w:p w14:paraId="28D0A1D2" w14:textId="77777777" w:rsidR="00D0227A" w:rsidRPr="0008447F" w:rsidRDefault="00D0227A" w:rsidP="00D0227A">
      <w:pPr>
        <w:pStyle w:val="NormalWeb"/>
        <w:ind w:left="567" w:hanging="567"/>
        <w:jc w:val="both"/>
        <w:rPr>
          <w:color w:val="000000" w:themeColor="text1"/>
        </w:rPr>
      </w:pPr>
      <w:proofErr w:type="spellStart"/>
      <w:r w:rsidRPr="0008447F">
        <w:rPr>
          <w:color w:val="000000" w:themeColor="text1"/>
          <w:lang w:val="en-GB"/>
        </w:rPr>
        <w:t>Ardenlid</w:t>
      </w:r>
      <w:proofErr w:type="spellEnd"/>
      <w:r w:rsidRPr="0008447F">
        <w:rPr>
          <w:color w:val="000000" w:themeColor="text1"/>
          <w:lang w:val="en-GB"/>
        </w:rPr>
        <w:t xml:space="preserve">, F., Lundqvist, J., &amp; Sund, L. (2025). A scoping review and thematic analysis of differentiated instruction practices: How teachers foster inclusive classrooms for all students, including gifted students. </w:t>
      </w:r>
      <w:r w:rsidRPr="0008447F">
        <w:rPr>
          <w:i/>
          <w:iCs/>
          <w:color w:val="000000" w:themeColor="text1"/>
          <w:lang w:val="en-GB"/>
        </w:rPr>
        <w:t>International Journal of Educational Research Open, 6</w:t>
      </w:r>
      <w:r w:rsidRPr="0008447F">
        <w:rPr>
          <w:color w:val="000000" w:themeColor="text1"/>
          <w:lang w:val="en-GB"/>
        </w:rPr>
        <w:t xml:space="preserve">, Article 100439. </w:t>
      </w:r>
      <w:hyperlink r:id="rId7" w:tgtFrame="_blank" w:history="1">
        <w:r w:rsidRPr="0008447F">
          <w:rPr>
            <w:rStyle w:val="Hyperlink"/>
            <w:color w:val="000000" w:themeColor="text1"/>
            <w:u w:val="none"/>
            <w:lang w:val="en-GB"/>
          </w:rPr>
          <w:t>https://doi.org/10.1016/j.ijedro.2025.100439</w:t>
        </w:r>
      </w:hyperlink>
    </w:p>
    <w:p w14:paraId="3F567E6C" w14:textId="77777777" w:rsidR="00D0227A" w:rsidRPr="0008447F" w:rsidRDefault="00D0227A" w:rsidP="00D0227A">
      <w:pPr>
        <w:pStyle w:val="NormalWeb"/>
        <w:ind w:left="567" w:hanging="567"/>
        <w:jc w:val="both"/>
      </w:pPr>
      <w:r w:rsidRPr="0008447F">
        <w:rPr>
          <w:lang w:val="en-GB"/>
        </w:rPr>
        <w:t xml:space="preserve">Amani, J., &amp; Fussy, D. S. (2023). Balancing child-centred and teacher-centred didactic approaches in early years learning. </w:t>
      </w:r>
      <w:r w:rsidRPr="0008447F">
        <w:rPr>
          <w:i/>
          <w:iCs/>
          <w:lang w:val="en-GB"/>
        </w:rPr>
        <w:t>Education 3-13</w:t>
      </w:r>
      <w:r w:rsidRPr="0008447F">
        <w:rPr>
          <w:lang w:val="en-GB"/>
        </w:rPr>
        <w:t xml:space="preserve">, </w:t>
      </w:r>
      <w:r w:rsidRPr="0008447F">
        <w:rPr>
          <w:i/>
          <w:iCs/>
          <w:lang w:val="en-GB"/>
        </w:rPr>
        <w:t>51</w:t>
      </w:r>
      <w:r w:rsidRPr="0008447F">
        <w:rPr>
          <w:lang w:val="en-GB"/>
        </w:rPr>
        <w:t xml:space="preserve">(7), 1162–1174. </w:t>
      </w:r>
      <w:hyperlink r:id="rId8" w:tgtFrame="_blank" w:history="1">
        <w:r w:rsidRPr="0008447F">
          <w:rPr>
            <w:rStyle w:val="Hyperlink"/>
            <w:color w:val="auto"/>
            <w:u w:val="none"/>
            <w:lang w:val="en-GB"/>
          </w:rPr>
          <w:t>https://doi.org/10.1080/03004279.2023.2189905</w:t>
        </w:r>
      </w:hyperlink>
    </w:p>
    <w:p w14:paraId="715A442B" w14:textId="77777777" w:rsidR="00D0227A" w:rsidRPr="0008447F" w:rsidRDefault="00D0227A" w:rsidP="00D0227A">
      <w:pPr>
        <w:pStyle w:val="NormalWeb"/>
        <w:ind w:left="567" w:hanging="567"/>
        <w:jc w:val="both"/>
      </w:pPr>
      <w:r w:rsidRPr="0008447F">
        <w:rPr>
          <w:lang w:val="en-GB"/>
        </w:rPr>
        <w:t xml:space="preserve">Apaydın </w:t>
      </w:r>
      <w:proofErr w:type="spellStart"/>
      <w:r w:rsidRPr="0008447F">
        <w:rPr>
          <w:lang w:val="en-GB"/>
        </w:rPr>
        <w:t>Cırık</w:t>
      </w:r>
      <w:proofErr w:type="spellEnd"/>
      <w:r w:rsidRPr="0008447F">
        <w:rPr>
          <w:lang w:val="en-GB"/>
        </w:rPr>
        <w:t xml:space="preserve">, V., &amp; Aksoy, B. (2023). Parents’ views of the impact of the COVID-19 pandemic on Generation Alpha: A descriptive study. </w:t>
      </w:r>
      <w:r w:rsidRPr="0008447F">
        <w:rPr>
          <w:i/>
          <w:iCs/>
          <w:lang w:val="en-GB"/>
        </w:rPr>
        <w:t xml:space="preserve">İzmir </w:t>
      </w:r>
      <w:proofErr w:type="spellStart"/>
      <w:r w:rsidRPr="0008447F">
        <w:rPr>
          <w:i/>
          <w:iCs/>
          <w:lang w:val="en-GB"/>
        </w:rPr>
        <w:t>Kâtip</w:t>
      </w:r>
      <w:proofErr w:type="spellEnd"/>
      <w:r w:rsidRPr="0008447F">
        <w:rPr>
          <w:i/>
          <w:iCs/>
          <w:lang w:val="en-GB"/>
        </w:rPr>
        <w:t xml:space="preserve"> Çelebi University Journal of Faculty of Health Sciences</w:t>
      </w:r>
      <w:r w:rsidRPr="0008447F">
        <w:rPr>
          <w:lang w:val="en-GB"/>
        </w:rPr>
        <w:t xml:space="preserve">, </w:t>
      </w:r>
      <w:r w:rsidRPr="0008447F">
        <w:rPr>
          <w:i/>
          <w:iCs/>
          <w:lang w:val="en-GB"/>
        </w:rPr>
        <w:t>8</w:t>
      </w:r>
      <w:r w:rsidRPr="0008447F">
        <w:rPr>
          <w:lang w:val="en-GB"/>
        </w:rPr>
        <w:t>(2), 439–448.</w:t>
      </w:r>
    </w:p>
    <w:p w14:paraId="20D03211" w14:textId="77777777" w:rsidR="00D0227A" w:rsidRPr="0008447F" w:rsidRDefault="00D0227A" w:rsidP="00D0227A">
      <w:pPr>
        <w:pStyle w:val="NormalWeb"/>
        <w:ind w:left="567" w:hanging="567"/>
        <w:jc w:val="both"/>
        <w:rPr>
          <w:rFonts w:eastAsia="Century Gothic"/>
        </w:rPr>
      </w:pPr>
      <w:r w:rsidRPr="0008447F">
        <w:rPr>
          <w:rFonts w:eastAsia="Century Gothic"/>
          <w:lang w:val="en-GB"/>
        </w:rPr>
        <w:t>Bandura, A. (1971). Social learning theory. New York, NY: General Learning Press.</w:t>
      </w:r>
    </w:p>
    <w:p w14:paraId="7B4DE79C"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 xml:space="preserve">Bird, J., Paterson-O’Kane, T., &amp; Elliott, S. (2025). Play for learning project: Shifting from teacher-directed to student-focused pedagogies in the Early Years of school. Education 3–13. </w:t>
      </w:r>
      <w:hyperlink r:id="rId9" w:history="1">
        <w:r w:rsidRPr="0008447F">
          <w:rPr>
            <w:rStyle w:val="Hyperlink"/>
            <w:rFonts w:eastAsiaTheme="minorEastAsia"/>
            <w:color w:val="auto"/>
            <w:u w:val="none"/>
            <w:lang w:val="en-GB"/>
          </w:rPr>
          <w:t>https://doi.org/10.1080/03004279.2025.2578833</w:t>
        </w:r>
      </w:hyperlink>
    </w:p>
    <w:p w14:paraId="16AD3B10" w14:textId="77777777" w:rsidR="00D0227A" w:rsidRPr="0008447F" w:rsidRDefault="00D0227A" w:rsidP="00D0227A">
      <w:pPr>
        <w:pStyle w:val="NormalWeb"/>
        <w:ind w:left="567" w:hanging="567"/>
        <w:jc w:val="both"/>
        <w:rPr>
          <w:rFonts w:eastAsiaTheme="minorEastAsia"/>
        </w:rPr>
      </w:pPr>
      <w:r w:rsidRPr="0008447F">
        <w:rPr>
          <w:rFonts w:eastAsiaTheme="minorEastAsia"/>
        </w:rPr>
        <w:t xml:space="preserve">Cadungog, J. L., &amp; Rollo, C. R. (2024). Utilization of explicit instruction in Kindergarten. European Journal of Education Studies, 11(3), 308–326. https://doi.org/10.46827/ejes.v11i3.5241 </w:t>
      </w:r>
    </w:p>
    <w:p w14:paraId="7815FFCF" w14:textId="77777777" w:rsidR="00D0227A" w:rsidRPr="0008447F" w:rsidRDefault="00D0227A" w:rsidP="00D0227A">
      <w:pPr>
        <w:pStyle w:val="NormalWeb"/>
        <w:ind w:left="567" w:hanging="567"/>
        <w:jc w:val="both"/>
      </w:pPr>
      <w:bookmarkStart w:id="4" w:name="_Hlk212980592"/>
      <w:bookmarkStart w:id="5" w:name="_Hlk212889140"/>
      <w:r w:rsidRPr="0008447F">
        <w:rPr>
          <w:rFonts w:eastAsiaTheme="minorEastAsia"/>
          <w:lang w:val="en-GB"/>
        </w:rPr>
        <w:t xml:space="preserve">Corbett, F., &amp; Spinello, E. (2020). </w:t>
      </w:r>
      <w:bookmarkEnd w:id="4"/>
      <w:r w:rsidRPr="0008447F">
        <w:rPr>
          <w:rFonts w:eastAsiaTheme="minorEastAsia"/>
          <w:lang w:val="en-GB"/>
        </w:rPr>
        <w:t xml:space="preserve">Connectivism and leadership: Harnessing a learning theory for the digital age to redefine leadership in the twenty-first century. </w:t>
      </w:r>
      <w:proofErr w:type="spellStart"/>
      <w:r w:rsidRPr="0008447F">
        <w:rPr>
          <w:rFonts w:eastAsiaTheme="minorEastAsia"/>
          <w:i/>
          <w:iCs/>
          <w:lang w:val="en-GB"/>
        </w:rPr>
        <w:t>Heliyon</w:t>
      </w:r>
      <w:proofErr w:type="spellEnd"/>
      <w:r w:rsidRPr="0008447F">
        <w:rPr>
          <w:rFonts w:eastAsiaTheme="minorEastAsia"/>
          <w:lang w:val="en-GB"/>
        </w:rPr>
        <w:t xml:space="preserve">, 6(1), e03250. </w:t>
      </w:r>
      <w:hyperlink r:id="rId10" w:history="1">
        <w:r w:rsidRPr="0008447F">
          <w:rPr>
            <w:rStyle w:val="Hyperlink"/>
            <w:rFonts w:eastAsiaTheme="minorEastAsia"/>
            <w:color w:val="auto"/>
            <w:u w:val="none"/>
            <w:lang w:val="en-GB"/>
          </w:rPr>
          <w:t>https://doi.org/10.1016/j.heliyon.2020.e03250</w:t>
        </w:r>
      </w:hyperlink>
    </w:p>
    <w:bookmarkEnd w:id="5"/>
    <w:p w14:paraId="2635A182" w14:textId="77777777" w:rsidR="00D0227A" w:rsidRPr="0008447F" w:rsidRDefault="00D0227A" w:rsidP="00D0227A">
      <w:pPr>
        <w:pStyle w:val="NormalWeb"/>
        <w:ind w:left="567" w:hanging="567"/>
        <w:jc w:val="both"/>
        <w:rPr>
          <w:lang w:val="en-GB"/>
        </w:rPr>
      </w:pPr>
      <w:r w:rsidRPr="0008447F">
        <w:rPr>
          <w:lang w:val="en-GB"/>
        </w:rPr>
        <w:t xml:space="preserve">Downes, S. (2008). </w:t>
      </w:r>
      <w:r w:rsidRPr="0008447F">
        <w:rPr>
          <w:i/>
          <w:iCs/>
          <w:lang w:val="en-GB"/>
        </w:rPr>
        <w:t>An introduction to connective knowledge</w:t>
      </w:r>
      <w:r w:rsidRPr="0008447F">
        <w:rPr>
          <w:lang w:val="en-GB"/>
        </w:rPr>
        <w:t xml:space="preserve">. In T. Hug (Ed.), </w:t>
      </w:r>
      <w:r w:rsidRPr="0008447F">
        <w:rPr>
          <w:i/>
          <w:iCs/>
          <w:lang w:val="en-GB"/>
        </w:rPr>
        <w:t>Media, knowledge &amp; education: Exploring new spaces, relations and dynamics in digital media ecologies</w:t>
      </w:r>
      <w:r w:rsidRPr="0008447F">
        <w:rPr>
          <w:lang w:val="en-GB"/>
        </w:rPr>
        <w:t xml:space="preserve"> (pp. 77–102). Innsbruck University Press. </w:t>
      </w:r>
      <w:hyperlink r:id="rId11" w:tgtFrame="_new" w:history="1">
        <w:r w:rsidRPr="0008447F">
          <w:rPr>
            <w:rStyle w:val="Hyperlink"/>
            <w:rFonts w:eastAsiaTheme="minorEastAsia"/>
            <w:color w:val="auto"/>
            <w:u w:val="none"/>
            <w:lang w:val="en-GB"/>
          </w:rPr>
          <w:t>https://doi.org/10.25969/mediarep/19789</w:t>
        </w:r>
      </w:hyperlink>
    </w:p>
    <w:p w14:paraId="25637ACD" w14:textId="77777777" w:rsidR="00D0227A" w:rsidRPr="0008447F" w:rsidRDefault="00D0227A" w:rsidP="00D0227A">
      <w:pPr>
        <w:pStyle w:val="NormalWeb"/>
        <w:ind w:left="567" w:hanging="567"/>
        <w:jc w:val="both"/>
      </w:pPr>
      <w:r w:rsidRPr="0008447F">
        <w:t xml:space="preserve">Erbil, D. G. (2020). A review of flipped classroom and cooperative learning method within the context of Vygotsky theory. </w:t>
      </w:r>
      <w:r w:rsidRPr="0008447F">
        <w:rPr>
          <w:i/>
          <w:iCs/>
        </w:rPr>
        <w:t>Frontiers in Psychology</w:t>
      </w:r>
      <w:r w:rsidRPr="0008447F">
        <w:t xml:space="preserve">, </w:t>
      </w:r>
      <w:r w:rsidRPr="0008447F">
        <w:rPr>
          <w:i/>
          <w:iCs/>
        </w:rPr>
        <w:t>11</w:t>
      </w:r>
      <w:r w:rsidRPr="0008447F">
        <w:t xml:space="preserve">. https://doi.org/10.3389/fpsyg.2020.01157 </w:t>
      </w:r>
    </w:p>
    <w:p w14:paraId="40504A91" w14:textId="77777777" w:rsidR="00D0227A" w:rsidRPr="0008447F" w:rsidRDefault="00D0227A" w:rsidP="00D0227A">
      <w:pPr>
        <w:pStyle w:val="NormalWeb"/>
        <w:ind w:left="567" w:hanging="567"/>
        <w:jc w:val="both"/>
      </w:pPr>
      <w:r w:rsidRPr="0008447F">
        <w:rPr>
          <w:rFonts w:eastAsiaTheme="minorEastAsia"/>
          <w:lang w:val="en-GB"/>
        </w:rPr>
        <w:lastRenderedPageBreak/>
        <w:t xml:space="preserve">Feng, X., Zhang, N., Yang, D., Lin, W., &amp; Maulana, R. (2025). From awareness to action: multicultural attitudes and differentiated instruction of teachers in Chinese teacher education programmes. </w:t>
      </w:r>
      <w:r w:rsidRPr="0008447F">
        <w:rPr>
          <w:rFonts w:eastAsiaTheme="minorEastAsia"/>
          <w:i/>
          <w:iCs/>
          <w:lang w:val="en-GB"/>
        </w:rPr>
        <w:t>Learning Environments Research, 28</w:t>
      </w:r>
      <w:r w:rsidRPr="0008447F">
        <w:rPr>
          <w:rFonts w:eastAsiaTheme="minorEastAsia"/>
          <w:lang w:val="en-GB"/>
        </w:rPr>
        <w:t xml:space="preserve">, 345–386. </w:t>
      </w:r>
      <w:hyperlink r:id="rId12" w:tgtFrame="_new" w:history="1">
        <w:r w:rsidRPr="0008447F">
          <w:rPr>
            <w:rStyle w:val="Hyperlink"/>
            <w:rFonts w:eastAsiaTheme="minorEastAsia"/>
            <w:color w:val="auto"/>
            <w:u w:val="none"/>
            <w:lang w:val="en-GB"/>
          </w:rPr>
          <w:t>https://doi.org/10.1007/s10984-024-09518-9</w:t>
        </w:r>
      </w:hyperlink>
    </w:p>
    <w:p w14:paraId="63497983" w14:textId="77777777" w:rsidR="00D0227A" w:rsidRPr="0008447F" w:rsidRDefault="00D0227A" w:rsidP="00D0227A">
      <w:pPr>
        <w:pStyle w:val="NormalWeb"/>
        <w:ind w:left="567" w:hanging="567"/>
        <w:jc w:val="both"/>
      </w:pPr>
      <w:r w:rsidRPr="0008447F">
        <w:t xml:space="preserve">Fernando, P. A., &amp; Premadasa, H. K. S. (2024). Use of gamification and game-based learning in educating Generation Alpha: A systematic literature review. Educational Technology &amp; Society, 27(2), 114–132. </w:t>
      </w:r>
      <w:hyperlink r:id="rId13" w:history="1">
        <w:r w:rsidRPr="0008447F">
          <w:rPr>
            <w:rStyle w:val="Hyperlink"/>
            <w:rFonts w:eastAsiaTheme="minorEastAsia"/>
            <w:color w:val="auto"/>
            <w:u w:val="none"/>
          </w:rPr>
          <w:t>https://doi.org/10.30191/ETS.202404_27(2).RP03</w:t>
        </w:r>
      </w:hyperlink>
    </w:p>
    <w:p w14:paraId="427E9A24" w14:textId="77777777" w:rsidR="00D0227A" w:rsidRPr="0008447F" w:rsidRDefault="00D0227A" w:rsidP="00D0227A">
      <w:pPr>
        <w:pStyle w:val="NormalWeb"/>
        <w:ind w:left="567" w:hanging="567"/>
        <w:jc w:val="both"/>
      </w:pPr>
      <w:r w:rsidRPr="0008447F">
        <w:rPr>
          <w:rFonts w:eastAsiaTheme="minorEastAsia"/>
          <w:lang w:val="en-GB"/>
        </w:rPr>
        <w:t xml:space="preserve">Foucault, M. (1972). </w:t>
      </w:r>
      <w:r w:rsidRPr="0008447F">
        <w:rPr>
          <w:rFonts w:eastAsiaTheme="minorEastAsia"/>
          <w:i/>
          <w:iCs/>
          <w:lang w:val="en-GB"/>
        </w:rPr>
        <w:t>The discourse on language</w:t>
      </w:r>
      <w:r w:rsidRPr="0008447F">
        <w:rPr>
          <w:rFonts w:eastAsiaTheme="minorEastAsia"/>
          <w:lang w:val="en-GB"/>
        </w:rPr>
        <w:t xml:space="preserve"> (A. M. Sheridan Smith, Trans.). In </w:t>
      </w:r>
      <w:r w:rsidRPr="0008447F">
        <w:rPr>
          <w:rFonts w:eastAsiaTheme="minorEastAsia"/>
          <w:i/>
          <w:iCs/>
          <w:lang w:val="en-GB"/>
        </w:rPr>
        <w:t>The archaeology of knowledge and the discourse on language</w:t>
      </w:r>
      <w:r w:rsidRPr="0008447F">
        <w:rPr>
          <w:rFonts w:eastAsiaTheme="minorEastAsia"/>
          <w:lang w:val="en-GB"/>
        </w:rPr>
        <w:t xml:space="preserve"> (p. 227). Pantheon Books.</w:t>
      </w:r>
    </w:p>
    <w:p w14:paraId="0C1CE151" w14:textId="77777777" w:rsidR="00D0227A" w:rsidRPr="0008447F" w:rsidRDefault="00D0227A" w:rsidP="00D0227A">
      <w:pPr>
        <w:pStyle w:val="NormalWeb"/>
        <w:ind w:left="567" w:hanging="567"/>
        <w:jc w:val="both"/>
      </w:pPr>
      <w:proofErr w:type="spellStart"/>
      <w:r w:rsidRPr="0008447F">
        <w:t>Gaurina</w:t>
      </w:r>
      <w:proofErr w:type="spellEnd"/>
      <w:r w:rsidRPr="0008447F">
        <w:t xml:space="preserve">, M., </w:t>
      </w:r>
      <w:proofErr w:type="spellStart"/>
      <w:r w:rsidRPr="0008447F">
        <w:t>Alajbeg</w:t>
      </w:r>
      <w:proofErr w:type="spellEnd"/>
      <w:r w:rsidRPr="0008447F">
        <w:t>, A., &amp; Weber, I. (2025). The power of play: Investigating the effects of gamification on motivation and engagement in physics classroom. Education Sciences, 15(1), 104. https://doi.org/10.3390/educsci15010104</w:t>
      </w:r>
    </w:p>
    <w:p w14:paraId="4AFCA728" w14:textId="77777777" w:rsidR="00D0227A" w:rsidRPr="0008447F" w:rsidRDefault="00D0227A" w:rsidP="00D0227A">
      <w:pPr>
        <w:pStyle w:val="NormalWeb"/>
        <w:ind w:left="567" w:hanging="567"/>
        <w:jc w:val="both"/>
        <w:rPr>
          <w:rFonts w:eastAsiaTheme="minorEastAsia"/>
          <w:lang w:val="en-GB"/>
        </w:rPr>
      </w:pPr>
      <w:bookmarkStart w:id="6" w:name="_Hlk225256969"/>
      <w:r w:rsidRPr="0008447F">
        <w:rPr>
          <w:rFonts w:eastAsiaTheme="minorEastAsia"/>
          <w:lang w:val="en-GB"/>
        </w:rPr>
        <w:t>Gibbons</w:t>
      </w:r>
      <w:bookmarkEnd w:id="6"/>
      <w:r w:rsidRPr="0008447F">
        <w:rPr>
          <w:rFonts w:eastAsiaTheme="minorEastAsia"/>
          <w:lang w:val="en-GB"/>
        </w:rPr>
        <w:t xml:space="preserve">, S., </w:t>
      </w:r>
      <w:proofErr w:type="spellStart"/>
      <w:r w:rsidRPr="0008447F">
        <w:rPr>
          <w:rFonts w:eastAsiaTheme="minorEastAsia"/>
          <w:lang w:val="en-GB"/>
        </w:rPr>
        <w:t>Scrutinio</w:t>
      </w:r>
      <w:proofErr w:type="spellEnd"/>
      <w:r w:rsidRPr="0008447F">
        <w:rPr>
          <w:rFonts w:eastAsiaTheme="minorEastAsia"/>
          <w:lang w:val="en-GB"/>
        </w:rPr>
        <w:t xml:space="preserve">, V., &amp; </w:t>
      </w:r>
      <w:proofErr w:type="spellStart"/>
      <w:r w:rsidRPr="0008447F">
        <w:rPr>
          <w:rFonts w:eastAsiaTheme="minorEastAsia"/>
          <w:lang w:val="en-GB"/>
        </w:rPr>
        <w:t>Telhaj</w:t>
      </w:r>
      <w:proofErr w:type="spellEnd"/>
      <w:r w:rsidRPr="0008447F">
        <w:rPr>
          <w:rFonts w:eastAsiaTheme="minorEastAsia"/>
          <w:lang w:val="en-GB"/>
        </w:rPr>
        <w:t xml:space="preserve">, S. (2021). Teacher turnover: Effects, mechanisms and organisational responses. </w:t>
      </w:r>
      <w:r w:rsidRPr="0008447F">
        <w:rPr>
          <w:rFonts w:eastAsiaTheme="minorEastAsia"/>
          <w:i/>
          <w:iCs/>
          <w:lang w:val="en-GB"/>
        </w:rPr>
        <w:t>Labour Economics, 73</w:t>
      </w:r>
      <w:r w:rsidRPr="0008447F">
        <w:rPr>
          <w:rFonts w:eastAsiaTheme="minorEastAsia"/>
          <w:lang w:val="en-GB"/>
        </w:rPr>
        <w:t xml:space="preserve">, 102079. </w:t>
      </w:r>
      <w:hyperlink r:id="rId14" w:tgtFrame="_blank" w:history="1">
        <w:r w:rsidRPr="0008447F">
          <w:rPr>
            <w:rStyle w:val="Hyperlink"/>
            <w:rFonts w:eastAsiaTheme="minorEastAsia"/>
            <w:color w:val="auto"/>
            <w:u w:val="none"/>
            <w:lang w:val="en-GB"/>
          </w:rPr>
          <w:t>https://doi.org/10.1016/j.labeco.2021.102079</w:t>
        </w:r>
      </w:hyperlink>
    </w:p>
    <w:p w14:paraId="405F8625" w14:textId="77777777" w:rsidR="00D0227A" w:rsidRPr="0008447F" w:rsidRDefault="00D0227A" w:rsidP="00D0227A">
      <w:pPr>
        <w:pStyle w:val="NormalWeb"/>
        <w:ind w:left="567" w:hanging="567"/>
        <w:jc w:val="both"/>
      </w:pPr>
      <w:r w:rsidRPr="0008447F">
        <w:rPr>
          <w:rFonts w:eastAsia="Century Gothic"/>
        </w:rPr>
        <w:t xml:space="preserve">Giri, D. R., Neupane, B. P., Dahal, N., &amp; Subedi, D. (2025). Enhancing school performance through Whole School Intervention: A Case Study. </w:t>
      </w:r>
      <w:r w:rsidRPr="0008447F">
        <w:rPr>
          <w:rFonts w:eastAsia="Century Gothic"/>
          <w:i/>
          <w:iCs/>
        </w:rPr>
        <w:t>Frontiers in Education</w:t>
      </w:r>
      <w:r w:rsidRPr="0008447F">
        <w:rPr>
          <w:rFonts w:eastAsia="Century Gothic"/>
        </w:rPr>
        <w:t xml:space="preserve">, </w:t>
      </w:r>
      <w:r w:rsidRPr="0008447F">
        <w:rPr>
          <w:rFonts w:eastAsia="Century Gothic"/>
          <w:i/>
          <w:iCs/>
        </w:rPr>
        <w:t>10</w:t>
      </w:r>
      <w:r w:rsidRPr="0008447F">
        <w:rPr>
          <w:rFonts w:eastAsia="Century Gothic"/>
        </w:rPr>
        <w:t xml:space="preserve">, 1–11. https://doi.org/10.3389/feduc.2025.1533586 </w:t>
      </w:r>
    </w:p>
    <w:p w14:paraId="31811180" w14:textId="77777777" w:rsidR="00D0227A" w:rsidRPr="0008447F" w:rsidRDefault="00D0227A" w:rsidP="00D0227A">
      <w:pPr>
        <w:pStyle w:val="NormalWeb"/>
        <w:ind w:left="567" w:hanging="567"/>
        <w:jc w:val="both"/>
        <w:rPr>
          <w:rFonts w:eastAsia="Century Gothic"/>
          <w:lang w:val="en-GB"/>
        </w:rPr>
      </w:pPr>
      <w:proofErr w:type="spellStart"/>
      <w:r w:rsidRPr="0008447F">
        <w:rPr>
          <w:rFonts w:eastAsia="Century Gothic"/>
          <w:lang w:val="en-GB"/>
        </w:rPr>
        <w:t>Gramata</w:t>
      </w:r>
      <w:proofErr w:type="spellEnd"/>
      <w:r w:rsidRPr="0008447F">
        <w:rPr>
          <w:rFonts w:eastAsia="Century Gothic"/>
          <w:lang w:val="en-GB"/>
        </w:rPr>
        <w:t xml:space="preserve">, C. M., Jr. (2025). </w:t>
      </w:r>
      <w:r w:rsidRPr="0008447F">
        <w:rPr>
          <w:rFonts w:eastAsia="Century Gothic"/>
          <w:i/>
          <w:iCs/>
          <w:lang w:val="en-GB"/>
        </w:rPr>
        <w:t>Examining teacher perceptions regarding the effectiveness of and barriers to service learning in an elementary school</w:t>
      </w:r>
      <w:r w:rsidRPr="0008447F">
        <w:rPr>
          <w:rFonts w:eastAsia="Century Gothic"/>
          <w:lang w:val="en-GB"/>
        </w:rPr>
        <w:t xml:space="preserve"> (Publication No. 32046023) [Doctoral dissertation, College of Saint Elizabeth]. </w:t>
      </w:r>
      <w:r w:rsidRPr="0008447F">
        <w:rPr>
          <w:rFonts w:eastAsia="Century Gothic"/>
          <w:i/>
          <w:iCs/>
          <w:lang w:val="en-GB"/>
        </w:rPr>
        <w:t>ProQuest Dissertations &amp; Theses Global</w:t>
      </w:r>
      <w:r w:rsidRPr="0008447F">
        <w:rPr>
          <w:rFonts w:eastAsia="Century Gothic"/>
          <w:lang w:val="en-GB"/>
        </w:rPr>
        <w:t>.</w:t>
      </w:r>
    </w:p>
    <w:p w14:paraId="2B54942A"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 xml:space="preserve">Hajovsky, D. B., </w:t>
      </w:r>
      <w:proofErr w:type="spellStart"/>
      <w:r w:rsidRPr="0008447F">
        <w:rPr>
          <w:rFonts w:eastAsiaTheme="minorEastAsia"/>
          <w:lang w:val="en-GB"/>
        </w:rPr>
        <w:t>Chesnut</w:t>
      </w:r>
      <w:proofErr w:type="spellEnd"/>
      <w:r w:rsidRPr="0008447F">
        <w:rPr>
          <w:rFonts w:eastAsiaTheme="minorEastAsia"/>
          <w:lang w:val="en-GB"/>
        </w:rPr>
        <w:t xml:space="preserve">, S. R., Sekula, M. K., Schenkel, D., &amp; Kwok, O. M. (2023). A parallel process growth curve analysis of teacher-student relationships and academic achievement. </w:t>
      </w:r>
      <w:r w:rsidRPr="0008447F">
        <w:rPr>
          <w:rFonts w:eastAsiaTheme="minorEastAsia"/>
          <w:i/>
          <w:iCs/>
          <w:lang w:val="en-GB"/>
        </w:rPr>
        <w:t>The Journal of Genetic Psychology, 185</w:t>
      </w:r>
      <w:r w:rsidRPr="0008447F">
        <w:rPr>
          <w:rFonts w:eastAsiaTheme="minorEastAsia"/>
          <w:lang w:val="en-GB"/>
        </w:rPr>
        <w:t xml:space="preserve">(2), 124–145. </w:t>
      </w:r>
      <w:hyperlink r:id="rId15" w:tgtFrame="_blank" w:history="1">
        <w:r w:rsidRPr="0008447F">
          <w:rPr>
            <w:rStyle w:val="Hyperlink"/>
            <w:rFonts w:eastAsiaTheme="minorEastAsia"/>
            <w:color w:val="auto"/>
            <w:u w:val="none"/>
            <w:lang w:val="en-GB"/>
          </w:rPr>
          <w:t>https://doi.org/10.1080/00221325.2023.2279728</w:t>
        </w:r>
      </w:hyperlink>
    </w:p>
    <w:p w14:paraId="26BCE8F8" w14:textId="77777777" w:rsidR="00D0227A" w:rsidRPr="0008447F" w:rsidRDefault="00D0227A" w:rsidP="00D0227A">
      <w:pPr>
        <w:pStyle w:val="NormalWeb"/>
        <w:ind w:left="567" w:hanging="567"/>
        <w:jc w:val="both"/>
        <w:rPr>
          <w:rFonts w:eastAsiaTheme="minorEastAsia"/>
        </w:rPr>
      </w:pPr>
      <w:r w:rsidRPr="0008447F">
        <w:t>Hargreaves, A., &amp; Shirley, D. (Eds.). (2009). </w:t>
      </w:r>
      <w:r w:rsidRPr="0008447F">
        <w:rPr>
          <w:i/>
          <w:iCs/>
        </w:rPr>
        <w:t>The fourth way: The inspiring future for educational change</w:t>
      </w:r>
      <w:r w:rsidRPr="0008447F">
        <w:t>. Corwin Press.</w:t>
      </w:r>
    </w:p>
    <w:p w14:paraId="66A49E32"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 xml:space="preserve">Hu, X., Fang, Y., &amp; Liang, Y. (2024). Roles and effect of digital technology on young children’s STEM education: A scoping review of empirical studies. </w:t>
      </w:r>
      <w:r w:rsidRPr="0008447F">
        <w:rPr>
          <w:rFonts w:eastAsiaTheme="minorEastAsia"/>
          <w:i/>
          <w:iCs/>
          <w:lang w:val="en-GB"/>
        </w:rPr>
        <w:t>Education Sciences, 14</w:t>
      </w:r>
      <w:r w:rsidRPr="0008447F">
        <w:rPr>
          <w:rFonts w:eastAsiaTheme="minorEastAsia"/>
          <w:lang w:val="en-GB"/>
        </w:rPr>
        <w:t xml:space="preserve">(4), 357. </w:t>
      </w:r>
      <w:hyperlink r:id="rId16" w:tgtFrame="_new" w:history="1">
        <w:r w:rsidRPr="0008447F">
          <w:rPr>
            <w:rStyle w:val="Hyperlink"/>
            <w:rFonts w:eastAsiaTheme="minorEastAsia"/>
            <w:color w:val="auto"/>
            <w:u w:val="none"/>
            <w:lang w:val="en-GB"/>
          </w:rPr>
          <w:t>https://doi.org/10.3390/educsci14040357</w:t>
        </w:r>
      </w:hyperlink>
    </w:p>
    <w:p w14:paraId="5455DE85" w14:textId="77777777" w:rsidR="00D0227A" w:rsidRPr="0008447F" w:rsidRDefault="00D0227A" w:rsidP="00D0227A">
      <w:pPr>
        <w:pStyle w:val="NormalWeb"/>
        <w:ind w:left="567" w:hanging="567"/>
        <w:jc w:val="both"/>
      </w:pPr>
      <w:r w:rsidRPr="0008447F">
        <w:rPr>
          <w:rFonts w:eastAsia="Century Gothic"/>
        </w:rPr>
        <w:t xml:space="preserve">Huss, J. A., &amp; Eastep, S. (2024). A Tri-State Study of Middle School Teachers’ Perceptions of Generation Alpha Students: Are Middle Schools Ready for “Generation Glass?” </w:t>
      </w:r>
      <w:r w:rsidRPr="0008447F">
        <w:rPr>
          <w:rFonts w:eastAsia="Century Gothic"/>
          <w:i/>
          <w:iCs/>
        </w:rPr>
        <w:t>Inquiry in Education</w:t>
      </w:r>
      <w:r w:rsidRPr="0008447F">
        <w:rPr>
          <w:rFonts w:eastAsia="Century Gothic"/>
        </w:rPr>
        <w:t xml:space="preserve">, </w:t>
      </w:r>
      <w:r w:rsidRPr="0008447F">
        <w:rPr>
          <w:rFonts w:eastAsia="Century Gothic"/>
          <w:i/>
          <w:iCs/>
        </w:rPr>
        <w:t>16</w:t>
      </w:r>
      <w:r w:rsidRPr="0008447F">
        <w:rPr>
          <w:rFonts w:eastAsia="Century Gothic"/>
        </w:rPr>
        <w:t>(1), 1–33. c</w:t>
      </w:r>
    </w:p>
    <w:p w14:paraId="367DB1B2" w14:textId="77777777" w:rsidR="00D0227A" w:rsidRPr="0008447F" w:rsidRDefault="00D0227A" w:rsidP="00D0227A">
      <w:pPr>
        <w:pStyle w:val="NormalWeb"/>
        <w:ind w:left="567" w:hanging="567"/>
        <w:jc w:val="both"/>
        <w:rPr>
          <w:rFonts w:eastAsia="Century Gothic"/>
        </w:rPr>
      </w:pPr>
      <w:bookmarkStart w:id="7" w:name="_Hlk204423991"/>
      <w:proofErr w:type="spellStart"/>
      <w:r w:rsidRPr="0008447F">
        <w:rPr>
          <w:rFonts w:eastAsia="Century Gothic"/>
        </w:rPr>
        <w:t>Kallapiran</w:t>
      </w:r>
      <w:proofErr w:type="spellEnd"/>
      <w:r w:rsidRPr="0008447F">
        <w:rPr>
          <w:rFonts w:eastAsia="Century Gothic"/>
        </w:rPr>
        <w:t xml:space="preserve">, K., </w:t>
      </w:r>
      <w:proofErr w:type="spellStart"/>
      <w:r w:rsidRPr="0008447F">
        <w:rPr>
          <w:rFonts w:eastAsia="Century Gothic"/>
        </w:rPr>
        <w:t>Suetani</w:t>
      </w:r>
      <w:proofErr w:type="spellEnd"/>
      <w:r w:rsidRPr="0008447F">
        <w:rPr>
          <w:rFonts w:eastAsia="Century Gothic"/>
        </w:rPr>
        <w:t>, S., Cobham, V., Eapen, V., &amp; Scott, J. (2025). Impact of positive childhood experiences (</w:t>
      </w:r>
      <w:proofErr w:type="spellStart"/>
      <w:r w:rsidRPr="0008447F">
        <w:rPr>
          <w:rFonts w:eastAsia="Century Gothic"/>
        </w:rPr>
        <w:t>pces</w:t>
      </w:r>
      <w:proofErr w:type="spellEnd"/>
      <w:r w:rsidRPr="0008447F">
        <w:rPr>
          <w:rFonts w:eastAsia="Century Gothic"/>
        </w:rPr>
        <w:t xml:space="preserve">): A systematic review of longitudinal studies. </w:t>
      </w:r>
      <w:r w:rsidRPr="0008447F">
        <w:rPr>
          <w:rFonts w:eastAsia="Century Gothic"/>
          <w:i/>
          <w:iCs/>
        </w:rPr>
        <w:t>Child Psychiatry &amp;amp; Human Development</w:t>
      </w:r>
      <w:r w:rsidRPr="0008447F">
        <w:rPr>
          <w:rFonts w:eastAsia="Century Gothic"/>
        </w:rPr>
        <w:t xml:space="preserve">. https://doi.org/10.1007/s10578-024-01807-x </w:t>
      </w:r>
    </w:p>
    <w:p w14:paraId="0F16D288" w14:textId="77777777" w:rsidR="00D0227A" w:rsidRPr="0008447F" w:rsidRDefault="00D0227A" w:rsidP="00D0227A">
      <w:pPr>
        <w:pStyle w:val="NormalWeb"/>
        <w:ind w:left="567" w:hanging="567"/>
        <w:jc w:val="both"/>
        <w:rPr>
          <w:rFonts w:eastAsiaTheme="minorEastAsia"/>
        </w:rPr>
      </w:pPr>
      <w:r w:rsidRPr="0008447F">
        <w:rPr>
          <w:rFonts w:eastAsia="Century Gothic"/>
        </w:rPr>
        <w:lastRenderedPageBreak/>
        <w:t xml:space="preserve">Kamali, J., &amp; Javahery, P. (2024). Collaborative reflection as a means to improve teachers’ reflective skills: A community of Practice Perspective. </w:t>
      </w:r>
      <w:r w:rsidRPr="0008447F">
        <w:rPr>
          <w:rFonts w:eastAsia="Century Gothic"/>
          <w:i/>
          <w:iCs/>
        </w:rPr>
        <w:t>Reflective Practice</w:t>
      </w:r>
      <w:r w:rsidRPr="0008447F">
        <w:rPr>
          <w:rFonts w:eastAsia="Century Gothic"/>
        </w:rPr>
        <w:t xml:space="preserve">, </w:t>
      </w:r>
      <w:r w:rsidRPr="0008447F">
        <w:rPr>
          <w:rFonts w:eastAsia="Century Gothic"/>
          <w:i/>
          <w:iCs/>
        </w:rPr>
        <w:t>26</w:t>
      </w:r>
      <w:r w:rsidRPr="0008447F">
        <w:rPr>
          <w:rFonts w:eastAsia="Century Gothic"/>
        </w:rPr>
        <w:t xml:space="preserve">(2), 246–261. https://doi.org/10.1080/14623943.2024.2426279 </w:t>
      </w:r>
    </w:p>
    <w:bookmarkEnd w:id="7"/>
    <w:p w14:paraId="41927995" w14:textId="77777777" w:rsidR="00D0227A" w:rsidRPr="0008447F" w:rsidRDefault="00D0227A" w:rsidP="00D0227A">
      <w:pPr>
        <w:pStyle w:val="NormalWeb"/>
        <w:ind w:left="567" w:hanging="567"/>
        <w:jc w:val="both"/>
        <w:rPr>
          <w:rFonts w:eastAsia="Century Gothic"/>
        </w:rPr>
      </w:pPr>
      <w:r w:rsidRPr="0008447F">
        <w:rPr>
          <w:rFonts w:eastAsia="Century Gothic"/>
        </w:rPr>
        <w:t xml:space="preserve">Kementerian Pendidikan Malaysia </w:t>
      </w:r>
      <w:r w:rsidRPr="0008447F">
        <w:t>[MOE]</w:t>
      </w:r>
      <w:r w:rsidRPr="0008447F">
        <w:rPr>
          <w:rFonts w:eastAsia="Century Gothic"/>
        </w:rPr>
        <w:t xml:space="preserve">. (2025, September 5). </w:t>
      </w:r>
      <w:proofErr w:type="spellStart"/>
      <w:r w:rsidRPr="0008447F">
        <w:rPr>
          <w:rFonts w:eastAsia="Century Gothic"/>
          <w:i/>
          <w:iCs/>
        </w:rPr>
        <w:t>Kurikulum</w:t>
      </w:r>
      <w:proofErr w:type="spellEnd"/>
      <w:r w:rsidRPr="0008447F">
        <w:rPr>
          <w:rFonts w:eastAsia="Century Gothic"/>
          <w:i/>
          <w:iCs/>
        </w:rPr>
        <w:t xml:space="preserve"> </w:t>
      </w:r>
      <w:proofErr w:type="spellStart"/>
      <w:r w:rsidRPr="0008447F">
        <w:rPr>
          <w:rFonts w:eastAsia="Century Gothic"/>
          <w:i/>
          <w:iCs/>
        </w:rPr>
        <w:t>persekolahan</w:t>
      </w:r>
      <w:proofErr w:type="spellEnd"/>
      <w:r w:rsidRPr="0008447F">
        <w:rPr>
          <w:rFonts w:eastAsia="Century Gothic"/>
          <w:i/>
          <w:iCs/>
        </w:rPr>
        <w:t xml:space="preserve"> 2027</w:t>
      </w:r>
      <w:r w:rsidRPr="0008447F">
        <w:rPr>
          <w:rFonts w:eastAsia="Century Gothic"/>
        </w:rPr>
        <w:t xml:space="preserve"> [PDF]. </w:t>
      </w:r>
      <w:hyperlink r:id="rId17" w:history="1">
        <w:r w:rsidRPr="0008447F">
          <w:rPr>
            <w:rStyle w:val="Hyperlink"/>
            <w:rFonts w:eastAsia="Century Gothic"/>
            <w:color w:val="auto"/>
            <w:u w:val="none"/>
          </w:rPr>
          <w:t>https://www.moe.gov.my/kurikulum-persekolahan-2027</w:t>
        </w:r>
      </w:hyperlink>
    </w:p>
    <w:p w14:paraId="2B4F127C" w14:textId="77777777" w:rsidR="00D0227A" w:rsidRPr="0008447F" w:rsidRDefault="00D0227A" w:rsidP="00D0227A">
      <w:pPr>
        <w:pStyle w:val="NormalWeb"/>
        <w:ind w:left="567" w:hanging="567"/>
        <w:jc w:val="both"/>
        <w:rPr>
          <w:rFonts w:eastAsia="Century Gothic"/>
        </w:rPr>
      </w:pPr>
      <w:proofErr w:type="spellStart"/>
      <w:r w:rsidRPr="0008447F">
        <w:rPr>
          <w:rFonts w:eastAsia="Century Gothic"/>
          <w:lang w:val="en-GB"/>
        </w:rPr>
        <w:t>Kérivel</w:t>
      </w:r>
      <w:proofErr w:type="spellEnd"/>
      <w:r w:rsidRPr="0008447F">
        <w:rPr>
          <w:rFonts w:eastAsia="Century Gothic"/>
          <w:lang w:val="en-GB"/>
        </w:rPr>
        <w:t xml:space="preserve">, T., Bossard, C., &amp; </w:t>
      </w:r>
      <w:proofErr w:type="spellStart"/>
      <w:r w:rsidRPr="0008447F">
        <w:rPr>
          <w:rFonts w:eastAsia="Century Gothic"/>
          <w:lang w:val="en-GB"/>
        </w:rPr>
        <w:t>Kermarrec</w:t>
      </w:r>
      <w:proofErr w:type="spellEnd"/>
      <w:r w:rsidRPr="0008447F">
        <w:rPr>
          <w:rFonts w:eastAsia="Century Gothic"/>
          <w:lang w:val="en-GB"/>
        </w:rPr>
        <w:t xml:space="preserve">, G. (2021). Applying the Input-Process-Outcome model to team learning in sport sciences: An exploratory qualitative study on twenty soccer players. </w:t>
      </w:r>
      <w:r w:rsidRPr="0008447F">
        <w:rPr>
          <w:rFonts w:eastAsia="Century Gothic"/>
          <w:i/>
          <w:iCs/>
          <w:lang w:val="en-GB"/>
        </w:rPr>
        <w:t>Journal of Human Kinetics</w:t>
      </w:r>
      <w:r w:rsidRPr="0008447F">
        <w:rPr>
          <w:rFonts w:eastAsia="Century Gothic"/>
          <w:lang w:val="en-GB"/>
        </w:rPr>
        <w:t xml:space="preserve">, </w:t>
      </w:r>
      <w:r w:rsidRPr="0008447F">
        <w:rPr>
          <w:rFonts w:eastAsia="Century Gothic"/>
          <w:i/>
          <w:iCs/>
          <w:lang w:val="en-GB"/>
        </w:rPr>
        <w:t>78</w:t>
      </w:r>
      <w:r w:rsidRPr="0008447F">
        <w:rPr>
          <w:rFonts w:eastAsia="Century Gothic"/>
          <w:lang w:val="en-GB"/>
        </w:rPr>
        <w:t xml:space="preserve">(1), 251–262. </w:t>
      </w:r>
      <w:hyperlink r:id="rId18" w:tgtFrame="_blank" w:history="1">
        <w:r w:rsidRPr="0008447F">
          <w:rPr>
            <w:rStyle w:val="Hyperlink"/>
            <w:rFonts w:eastAsia="Century Gothic"/>
            <w:color w:val="auto"/>
            <w:u w:val="none"/>
            <w:lang w:val="en-GB"/>
          </w:rPr>
          <w:t>https://doi.org/10.2478/hukin-2021-0040</w:t>
        </w:r>
      </w:hyperlink>
    </w:p>
    <w:p w14:paraId="3BC88DFD" w14:textId="77777777" w:rsidR="00D0227A" w:rsidRPr="0008447F" w:rsidRDefault="00D0227A" w:rsidP="00D0227A">
      <w:pPr>
        <w:pStyle w:val="NormalWeb"/>
        <w:ind w:left="567" w:hanging="567"/>
        <w:jc w:val="both"/>
        <w:rPr>
          <w:rFonts w:eastAsiaTheme="minorEastAsia"/>
          <w:color w:val="000000" w:themeColor="text1"/>
        </w:rPr>
      </w:pPr>
      <w:r w:rsidRPr="0008447F">
        <w:rPr>
          <w:rFonts w:eastAsia="Century Gothic"/>
          <w:color w:val="000000" w:themeColor="text1"/>
        </w:rPr>
        <w:t xml:space="preserve">Kliegl, O., &amp; </w:t>
      </w:r>
      <w:proofErr w:type="spellStart"/>
      <w:r w:rsidRPr="0008447F">
        <w:rPr>
          <w:rFonts w:eastAsia="Century Gothic"/>
          <w:color w:val="000000" w:themeColor="text1"/>
        </w:rPr>
        <w:t>Bäuml</w:t>
      </w:r>
      <w:proofErr w:type="spellEnd"/>
      <w:r w:rsidRPr="0008447F">
        <w:rPr>
          <w:rFonts w:eastAsia="Century Gothic"/>
          <w:color w:val="000000" w:themeColor="text1"/>
        </w:rPr>
        <w:t xml:space="preserve">, K.-H. T. (2021). When retrieval practice promotes new learning – the critical role of study material. </w:t>
      </w:r>
      <w:r w:rsidRPr="0008447F">
        <w:rPr>
          <w:rFonts w:eastAsia="Century Gothic"/>
          <w:i/>
          <w:iCs/>
          <w:color w:val="000000" w:themeColor="text1"/>
        </w:rPr>
        <w:t>Journal of Memory and Language</w:t>
      </w:r>
      <w:r w:rsidRPr="0008447F">
        <w:rPr>
          <w:rFonts w:eastAsia="Century Gothic"/>
          <w:color w:val="000000" w:themeColor="text1"/>
        </w:rPr>
        <w:t xml:space="preserve">, </w:t>
      </w:r>
      <w:r w:rsidRPr="0008447F">
        <w:rPr>
          <w:rFonts w:eastAsia="Century Gothic"/>
          <w:i/>
          <w:iCs/>
          <w:color w:val="000000" w:themeColor="text1"/>
        </w:rPr>
        <w:t>120</w:t>
      </w:r>
      <w:r w:rsidRPr="0008447F">
        <w:rPr>
          <w:rFonts w:eastAsia="Century Gothic"/>
          <w:color w:val="000000" w:themeColor="text1"/>
        </w:rPr>
        <w:t xml:space="preserve">, 104253. </w:t>
      </w:r>
      <w:hyperlink r:id="rId19" w:history="1">
        <w:r w:rsidRPr="0008447F">
          <w:rPr>
            <w:rStyle w:val="Hyperlink"/>
            <w:rFonts w:eastAsia="Century Gothic"/>
            <w:color w:val="000000" w:themeColor="text1"/>
            <w:u w:val="none"/>
          </w:rPr>
          <w:t>https://doi.org/10.1016/j.jml.2021.104253</w:t>
        </w:r>
      </w:hyperlink>
      <w:r w:rsidRPr="0008447F">
        <w:rPr>
          <w:rFonts w:eastAsia="Century Gothic"/>
          <w:color w:val="000000" w:themeColor="text1"/>
        </w:rPr>
        <w:t xml:space="preserve"> </w:t>
      </w:r>
    </w:p>
    <w:p w14:paraId="17FBF52F" w14:textId="77777777" w:rsidR="00D0227A" w:rsidRPr="0008447F" w:rsidRDefault="00D0227A" w:rsidP="00D0227A">
      <w:pPr>
        <w:pStyle w:val="NormalWeb"/>
        <w:ind w:left="567" w:hanging="567"/>
        <w:jc w:val="both"/>
        <w:rPr>
          <w:rFonts w:eastAsiaTheme="minorEastAsia"/>
        </w:rPr>
      </w:pPr>
      <w:proofErr w:type="spellStart"/>
      <w:r w:rsidRPr="0008447F">
        <w:rPr>
          <w:rFonts w:eastAsiaTheme="minorEastAsia"/>
          <w:lang w:val="en-GB"/>
        </w:rPr>
        <w:t>Konal</w:t>
      </w:r>
      <w:proofErr w:type="spellEnd"/>
      <w:r w:rsidRPr="0008447F">
        <w:rPr>
          <w:rFonts w:eastAsiaTheme="minorEastAsia"/>
          <w:lang w:val="en-GB"/>
        </w:rPr>
        <w:t xml:space="preserve"> Memiş, T., &amp; </w:t>
      </w:r>
      <w:proofErr w:type="spellStart"/>
      <w:r w:rsidRPr="0008447F">
        <w:rPr>
          <w:rFonts w:eastAsiaTheme="minorEastAsia"/>
          <w:lang w:val="en-GB"/>
        </w:rPr>
        <w:t>Tabancalı</w:t>
      </w:r>
      <w:proofErr w:type="spellEnd"/>
      <w:r w:rsidRPr="0008447F">
        <w:rPr>
          <w:rFonts w:eastAsiaTheme="minorEastAsia"/>
          <w:lang w:val="en-GB"/>
        </w:rPr>
        <w:t xml:space="preserve">, E. (2024). Teachers’ silent scream: Quiet quitting. </w:t>
      </w:r>
      <w:r w:rsidRPr="0008447F">
        <w:rPr>
          <w:rFonts w:eastAsiaTheme="minorEastAsia"/>
          <w:i/>
          <w:iCs/>
          <w:lang w:val="en-GB"/>
        </w:rPr>
        <w:t>Research in Educational Administration and Leadership</w:t>
      </w:r>
      <w:r w:rsidRPr="0008447F">
        <w:rPr>
          <w:rFonts w:eastAsiaTheme="minorEastAsia"/>
          <w:lang w:val="en-GB"/>
        </w:rPr>
        <w:t xml:space="preserve">, </w:t>
      </w:r>
      <w:r w:rsidRPr="0008447F">
        <w:rPr>
          <w:rFonts w:eastAsiaTheme="minorEastAsia"/>
          <w:i/>
          <w:iCs/>
          <w:lang w:val="en-GB"/>
        </w:rPr>
        <w:t>9</w:t>
      </w:r>
      <w:r w:rsidRPr="0008447F">
        <w:rPr>
          <w:rFonts w:eastAsiaTheme="minorEastAsia"/>
          <w:lang w:val="en-GB"/>
        </w:rPr>
        <w:t xml:space="preserve">(3), 372–412. </w:t>
      </w:r>
      <w:hyperlink r:id="rId20" w:tgtFrame="_blank" w:history="1">
        <w:r w:rsidRPr="0008447F">
          <w:rPr>
            <w:rStyle w:val="Hyperlink"/>
            <w:rFonts w:eastAsiaTheme="minorEastAsia"/>
            <w:color w:val="auto"/>
            <w:u w:val="none"/>
            <w:lang w:val="en-GB"/>
          </w:rPr>
          <w:t>https://doi.org/10.30828/real.1440040</w:t>
        </w:r>
      </w:hyperlink>
    </w:p>
    <w:p w14:paraId="7249EF2D" w14:textId="77777777" w:rsidR="00D0227A" w:rsidRPr="0008447F" w:rsidRDefault="00D0227A" w:rsidP="00D0227A">
      <w:pPr>
        <w:pStyle w:val="NormalWeb"/>
        <w:ind w:left="567" w:hanging="567"/>
        <w:jc w:val="both"/>
        <w:rPr>
          <w:rFonts w:eastAsiaTheme="minorEastAsia"/>
        </w:rPr>
      </w:pPr>
      <w:r w:rsidRPr="0008447F">
        <w:rPr>
          <w:rFonts w:eastAsiaTheme="minorEastAsia"/>
          <w:lang w:val="en-GB"/>
        </w:rPr>
        <w:t xml:space="preserve">Lammert, C., Hand, B., Suh, J. K., &amp; Fulmer, G. (2022). “It’s all in the moment”: A mixed-methods study of elementary science teacher adaptiveness following professional development on knowledge generation approaches. </w:t>
      </w:r>
      <w:r w:rsidRPr="0008447F">
        <w:rPr>
          <w:rFonts w:eastAsiaTheme="minorEastAsia"/>
          <w:i/>
          <w:iCs/>
          <w:lang w:val="en-GB"/>
        </w:rPr>
        <w:t>Disciplinary and Interdisciplinary Science Education Research</w:t>
      </w:r>
      <w:r w:rsidRPr="0008447F">
        <w:rPr>
          <w:rFonts w:eastAsiaTheme="minorEastAsia"/>
          <w:lang w:val="en-GB"/>
        </w:rPr>
        <w:t xml:space="preserve">, 4(12). </w:t>
      </w:r>
      <w:hyperlink r:id="rId21" w:tgtFrame="_new" w:history="1">
        <w:r w:rsidRPr="0008447F">
          <w:rPr>
            <w:rStyle w:val="Hyperlink"/>
            <w:rFonts w:eastAsiaTheme="minorEastAsia"/>
            <w:color w:val="auto"/>
            <w:u w:val="none"/>
            <w:lang w:val="en-GB"/>
          </w:rPr>
          <w:t>https://doi.org/10.1186/s43031-022-00052-3</w:t>
        </w:r>
      </w:hyperlink>
    </w:p>
    <w:p w14:paraId="19698D35" w14:textId="77777777" w:rsidR="00D0227A" w:rsidRPr="0008447F" w:rsidRDefault="00D0227A" w:rsidP="00D0227A">
      <w:pPr>
        <w:pStyle w:val="NormalWeb"/>
        <w:ind w:left="567" w:hanging="567"/>
        <w:jc w:val="both"/>
      </w:pPr>
      <w:r w:rsidRPr="0008447F">
        <w:t xml:space="preserve">Leong, S. Y., &amp; Said, H. (2024). Revisit attraction–selection–attrition model for teacher retention in international schools. </w:t>
      </w:r>
      <w:r w:rsidRPr="0008447F">
        <w:rPr>
          <w:i/>
          <w:iCs/>
        </w:rPr>
        <w:t>European Journal of Educational Research, 13</w:t>
      </w:r>
      <w:r w:rsidRPr="0008447F">
        <w:t xml:space="preserve">(2), 865-876. https://doi.org/10.12973/eu-jer.13.2.865 </w:t>
      </w:r>
    </w:p>
    <w:p w14:paraId="12CD4AAD" w14:textId="77777777" w:rsidR="00D0227A" w:rsidRPr="0008447F" w:rsidRDefault="00D0227A" w:rsidP="00D0227A">
      <w:pPr>
        <w:pStyle w:val="NormalWeb"/>
        <w:ind w:left="567" w:hanging="567"/>
        <w:jc w:val="both"/>
        <w:rPr>
          <w:rFonts w:eastAsia="Century Gothic"/>
        </w:rPr>
      </w:pPr>
      <w:proofErr w:type="spellStart"/>
      <w:r w:rsidRPr="0008447F">
        <w:rPr>
          <w:rFonts w:eastAsia="Century Gothic"/>
        </w:rPr>
        <w:t>Loheswar</w:t>
      </w:r>
      <w:proofErr w:type="spellEnd"/>
      <w:r w:rsidRPr="0008447F">
        <w:rPr>
          <w:rFonts w:eastAsia="Century Gothic"/>
        </w:rPr>
        <w:t xml:space="preserve">, R. (2025, July 31). </w:t>
      </w:r>
      <w:r w:rsidRPr="0008447F">
        <w:rPr>
          <w:rFonts w:eastAsia="Century Gothic"/>
          <w:i/>
          <w:iCs/>
        </w:rPr>
        <w:t>Malaysia to make preschool mandatory for kids aged five as part of 13MP education reforms</w:t>
      </w:r>
      <w:r w:rsidRPr="0008447F">
        <w:rPr>
          <w:rFonts w:eastAsia="Century Gothic"/>
        </w:rPr>
        <w:t xml:space="preserve">. Malay Mail. https://www.malaymail.com/news/malaysia/2025/07/31/malaysia-to-make-preschool-mandatory-for-kids-aged-five-as-part-of-13mp-education-reforms/185916 </w:t>
      </w:r>
    </w:p>
    <w:p w14:paraId="68B6961A" w14:textId="77777777" w:rsidR="00D0227A" w:rsidRPr="0008447F" w:rsidRDefault="00D0227A" w:rsidP="00D0227A">
      <w:pPr>
        <w:pStyle w:val="NormalWeb"/>
        <w:ind w:left="567" w:hanging="567"/>
        <w:jc w:val="both"/>
        <w:rPr>
          <w:lang w:val="en-GB"/>
        </w:rPr>
      </w:pPr>
      <w:r w:rsidRPr="0008447F">
        <w:rPr>
          <w:lang w:val="en-GB"/>
        </w:rPr>
        <w:t xml:space="preserve">Lucido, F., Jimenez, D., &amp; Tang, S. (2024). Affirming culture and cultural identity in the bilingual/ESL classrooms. </w:t>
      </w:r>
      <w:r w:rsidRPr="0008447F">
        <w:rPr>
          <w:i/>
          <w:iCs/>
          <w:lang w:val="en-GB"/>
        </w:rPr>
        <w:t>Frontiers in Education, 9</w:t>
      </w:r>
      <w:r w:rsidRPr="0008447F">
        <w:rPr>
          <w:lang w:val="en-GB"/>
        </w:rPr>
        <w:t xml:space="preserve">, Article 1338671. </w:t>
      </w:r>
      <w:hyperlink r:id="rId22" w:history="1">
        <w:r w:rsidRPr="0008447F">
          <w:rPr>
            <w:rStyle w:val="Hyperlink"/>
            <w:rFonts w:eastAsiaTheme="minorEastAsia"/>
            <w:color w:val="auto"/>
            <w:u w:val="none"/>
            <w:lang w:val="en-GB"/>
          </w:rPr>
          <w:t>https://doi.org/10.3389/feduc.2024.1338671</w:t>
        </w:r>
      </w:hyperlink>
    </w:p>
    <w:p w14:paraId="39967E2E" w14:textId="77777777" w:rsidR="00D0227A" w:rsidRPr="0008447F" w:rsidRDefault="00D0227A" w:rsidP="00D0227A">
      <w:pPr>
        <w:pStyle w:val="NormalWeb"/>
        <w:ind w:left="567" w:hanging="567"/>
        <w:jc w:val="both"/>
      </w:pPr>
      <w:r w:rsidRPr="0008447F">
        <w:t xml:space="preserve">McCrindle, M., &amp; Fell, A. (2020, February). Understanding Generation Alpha. https://generationalpha.com/wp-content/uploads/2020/02/Understanding-Generation-Alpha-McCrindle.pdf </w:t>
      </w:r>
    </w:p>
    <w:p w14:paraId="34F5B848" w14:textId="77777777" w:rsidR="00D0227A" w:rsidRPr="0008447F" w:rsidRDefault="00D0227A" w:rsidP="00D0227A">
      <w:pPr>
        <w:pStyle w:val="NormalWeb"/>
        <w:ind w:left="567" w:hanging="567"/>
        <w:jc w:val="both"/>
      </w:pPr>
      <w:r w:rsidRPr="0008447F">
        <w:t xml:space="preserve">McLeod, S. (2025, March 18). </w:t>
      </w:r>
      <w:r w:rsidRPr="0008447F">
        <w:rPr>
          <w:i/>
          <w:iCs/>
        </w:rPr>
        <w:t>Albert Bandura’s social learning theory in psychology</w:t>
      </w:r>
      <w:r w:rsidRPr="0008447F">
        <w:t xml:space="preserve">. Simply Psychology. </w:t>
      </w:r>
      <w:hyperlink r:id="rId23">
        <w:r w:rsidRPr="0008447F">
          <w:rPr>
            <w:rStyle w:val="Hyperlink"/>
            <w:rFonts w:eastAsiaTheme="minorEastAsia"/>
            <w:color w:val="auto"/>
            <w:u w:val="none"/>
          </w:rPr>
          <w:t>https://www.simplywangpsychology.org/bandura.html</w:t>
        </w:r>
      </w:hyperlink>
      <w:r w:rsidRPr="0008447F">
        <w:t xml:space="preserve"> </w:t>
      </w:r>
    </w:p>
    <w:p w14:paraId="51AB763A" w14:textId="77777777" w:rsidR="00D0227A" w:rsidRPr="0008447F" w:rsidRDefault="00D0227A" w:rsidP="00D0227A">
      <w:pPr>
        <w:pStyle w:val="NormalWeb"/>
        <w:ind w:left="567" w:hanging="567"/>
        <w:jc w:val="both"/>
        <w:rPr>
          <w:rFonts w:eastAsiaTheme="minorEastAsia"/>
          <w:lang w:val="en-GB"/>
        </w:rPr>
      </w:pPr>
      <w:r w:rsidRPr="0008447F">
        <w:rPr>
          <w:lang w:val="en-GB"/>
        </w:rPr>
        <w:t xml:space="preserve">Meng, F. (2025). </w:t>
      </w:r>
      <w:r w:rsidRPr="0008447F">
        <w:rPr>
          <w:i/>
          <w:iCs/>
          <w:lang w:val="en-GB"/>
        </w:rPr>
        <w:t>Professors’ perceptions and experiences of situational teaching models and their impact on teaching effectiveness at an HBCU in the United States: A qualitative study</w:t>
      </w:r>
      <w:r w:rsidRPr="0008447F">
        <w:rPr>
          <w:lang w:val="en-GB"/>
        </w:rPr>
        <w:t xml:space="preserve"> (Publication No. 31936374) [Doctoral dissertation, Delaware State University]. </w:t>
      </w:r>
      <w:r w:rsidRPr="0008447F">
        <w:rPr>
          <w:i/>
          <w:iCs/>
          <w:lang w:val="en-GB"/>
        </w:rPr>
        <w:t>ProQuest Dissertations &amp; Theses Global</w:t>
      </w:r>
      <w:r w:rsidRPr="0008447F">
        <w:rPr>
          <w:lang w:val="en-GB"/>
        </w:rPr>
        <w:t>.</w:t>
      </w:r>
    </w:p>
    <w:p w14:paraId="39E36144" w14:textId="77777777" w:rsidR="00D0227A" w:rsidRPr="0008447F" w:rsidRDefault="00D0227A" w:rsidP="00D0227A">
      <w:pPr>
        <w:pStyle w:val="NormalWeb"/>
        <w:ind w:left="567" w:hanging="567"/>
        <w:jc w:val="both"/>
        <w:rPr>
          <w:rFonts w:eastAsiaTheme="minorEastAsia"/>
        </w:rPr>
      </w:pPr>
      <w:r w:rsidRPr="0008447F">
        <w:rPr>
          <w:rFonts w:eastAsiaTheme="minorEastAsia"/>
          <w:lang w:val="en-GB"/>
        </w:rPr>
        <w:lastRenderedPageBreak/>
        <w:t xml:space="preserve">Menzies, L. (2023). Continuity and churn: Understanding and responding to the impact of teacher turnover. </w:t>
      </w:r>
      <w:r w:rsidRPr="0008447F">
        <w:rPr>
          <w:rFonts w:eastAsiaTheme="minorEastAsia"/>
          <w:i/>
          <w:iCs/>
          <w:lang w:val="en-GB"/>
        </w:rPr>
        <w:t>London Review of Education</w:t>
      </w:r>
      <w:r w:rsidRPr="0008447F">
        <w:rPr>
          <w:rFonts w:eastAsiaTheme="minorEastAsia"/>
          <w:lang w:val="en-GB"/>
        </w:rPr>
        <w:t xml:space="preserve">, </w:t>
      </w:r>
      <w:r w:rsidRPr="0008447F">
        <w:rPr>
          <w:rFonts w:eastAsiaTheme="minorEastAsia"/>
          <w:i/>
          <w:iCs/>
          <w:lang w:val="en-GB"/>
        </w:rPr>
        <w:t>21</w:t>
      </w:r>
      <w:r w:rsidRPr="0008447F">
        <w:rPr>
          <w:rFonts w:eastAsiaTheme="minorEastAsia"/>
          <w:lang w:val="en-GB"/>
        </w:rPr>
        <w:t xml:space="preserve">(1), 1–15. </w:t>
      </w:r>
      <w:hyperlink r:id="rId24" w:tgtFrame="_blank" w:history="1">
        <w:r w:rsidRPr="0008447F">
          <w:rPr>
            <w:rStyle w:val="Hyperlink"/>
            <w:rFonts w:eastAsiaTheme="minorEastAsia"/>
            <w:color w:val="auto"/>
            <w:u w:val="none"/>
            <w:lang w:val="en-GB"/>
          </w:rPr>
          <w:t>https://doi.org/10.14324/LRE.21.1.20</w:t>
        </w:r>
      </w:hyperlink>
    </w:p>
    <w:p w14:paraId="63175181" w14:textId="77777777" w:rsidR="00D0227A" w:rsidRPr="0008447F" w:rsidRDefault="00D0227A" w:rsidP="00D0227A">
      <w:pPr>
        <w:pStyle w:val="NormalWeb"/>
        <w:ind w:left="567" w:hanging="567"/>
        <w:jc w:val="both"/>
      </w:pPr>
      <w:r w:rsidRPr="0008447F">
        <w:rPr>
          <w:rFonts w:eastAsia="Century Gothic"/>
          <w:lang w:val="en-GB"/>
        </w:rPr>
        <w:t xml:space="preserve">Ministry of Education Malaysia </w:t>
      </w:r>
      <w:r w:rsidRPr="0008447F">
        <w:t>[MOE]</w:t>
      </w:r>
      <w:r w:rsidRPr="0008447F">
        <w:rPr>
          <w:rFonts w:eastAsia="Century Gothic"/>
          <w:lang w:val="en-GB"/>
        </w:rPr>
        <w:t xml:space="preserve">. (2013). </w:t>
      </w:r>
      <w:r w:rsidRPr="0008447F">
        <w:rPr>
          <w:rFonts w:eastAsia="Century Gothic"/>
          <w:i/>
          <w:iCs/>
          <w:lang w:val="en-GB"/>
        </w:rPr>
        <w:t>Malaysia Education Blueprint 2013–2025 (Preschool to Post-Secondary Education)</w:t>
      </w:r>
      <w:r w:rsidRPr="0008447F">
        <w:rPr>
          <w:rFonts w:eastAsia="Century Gothic"/>
          <w:lang w:val="en-GB"/>
        </w:rPr>
        <w:t xml:space="preserve">. Ministry of Education Malaysia. Retrieved from </w:t>
      </w:r>
      <w:hyperlink r:id="rId25" w:history="1">
        <w:r w:rsidRPr="0008447F">
          <w:rPr>
            <w:rStyle w:val="Hyperlink"/>
            <w:rFonts w:eastAsia="Century Gothic"/>
            <w:color w:val="auto"/>
            <w:u w:val="none"/>
            <w:lang w:val="en-GB"/>
          </w:rPr>
          <w:t>https://www.moe.gov.my</w:t>
        </w:r>
      </w:hyperlink>
    </w:p>
    <w:p w14:paraId="3B0E073F" w14:textId="77777777" w:rsidR="00D0227A" w:rsidRPr="0008447F" w:rsidRDefault="00D0227A" w:rsidP="00D0227A">
      <w:pPr>
        <w:pStyle w:val="NormalWeb"/>
        <w:ind w:left="567" w:hanging="567"/>
        <w:jc w:val="both"/>
        <w:rPr>
          <w:rFonts w:eastAsia="Century Gothic"/>
        </w:rPr>
      </w:pPr>
      <w:r w:rsidRPr="0008447F">
        <w:rPr>
          <w:rFonts w:eastAsia="Century Gothic"/>
        </w:rPr>
        <w:t xml:space="preserve">Muir, R. A., Howard, S. J., &amp; Kervin, L. (2023). Interventions and approaches targeting early self-regulation or executive functioning in preschools: A systematic review. </w:t>
      </w:r>
      <w:r w:rsidRPr="0008447F">
        <w:rPr>
          <w:rFonts w:eastAsia="Century Gothic"/>
          <w:i/>
          <w:iCs/>
        </w:rPr>
        <w:t>Educational Psychology Review</w:t>
      </w:r>
      <w:r w:rsidRPr="0008447F">
        <w:rPr>
          <w:rFonts w:eastAsia="Century Gothic"/>
        </w:rPr>
        <w:t xml:space="preserve">, </w:t>
      </w:r>
      <w:r w:rsidRPr="0008447F">
        <w:rPr>
          <w:rFonts w:eastAsia="Century Gothic"/>
          <w:i/>
          <w:iCs/>
        </w:rPr>
        <w:t>35</w:t>
      </w:r>
      <w:r w:rsidRPr="0008447F">
        <w:rPr>
          <w:rFonts w:eastAsia="Century Gothic"/>
        </w:rPr>
        <w:t xml:space="preserve">(1). </w:t>
      </w:r>
      <w:hyperlink r:id="rId26" w:history="1">
        <w:r w:rsidRPr="0008447F">
          <w:rPr>
            <w:rStyle w:val="Hyperlink"/>
            <w:rFonts w:eastAsia="Century Gothic"/>
            <w:color w:val="auto"/>
            <w:u w:val="none"/>
          </w:rPr>
          <w:t>https://doi.org/10.1007/s10648-023-09740-6</w:t>
        </w:r>
      </w:hyperlink>
      <w:r w:rsidRPr="0008447F">
        <w:rPr>
          <w:rFonts w:eastAsia="Century Gothic"/>
        </w:rPr>
        <w:t xml:space="preserve"> </w:t>
      </w:r>
    </w:p>
    <w:p w14:paraId="326106C7" w14:textId="77777777" w:rsidR="00D0227A" w:rsidRPr="0008447F" w:rsidRDefault="00D0227A" w:rsidP="00D0227A">
      <w:pPr>
        <w:pStyle w:val="NormalWeb"/>
        <w:ind w:left="567" w:hanging="567"/>
        <w:jc w:val="both"/>
        <w:rPr>
          <w:lang w:val="en-GB"/>
        </w:rPr>
      </w:pPr>
      <w:r w:rsidRPr="0008447F">
        <w:rPr>
          <w:lang w:val="en-GB"/>
        </w:rPr>
        <w:t xml:space="preserve">Nguyen, D., Pietsch, M., &amp; Gümüş, S. (2021). Collective teacher innovativeness in 48 countries: Effects of teacher autonomy, collaborative culture, and professional learning. </w:t>
      </w:r>
      <w:r w:rsidRPr="0008447F">
        <w:rPr>
          <w:i/>
          <w:iCs/>
          <w:lang w:val="en-GB"/>
        </w:rPr>
        <w:t>Teaching and Teacher Education, 106</w:t>
      </w:r>
      <w:r w:rsidRPr="0008447F">
        <w:rPr>
          <w:lang w:val="en-GB"/>
        </w:rPr>
        <w:t xml:space="preserve">, 103463. </w:t>
      </w:r>
      <w:hyperlink r:id="rId27" w:tgtFrame="_new" w:history="1">
        <w:r w:rsidRPr="0008447F">
          <w:rPr>
            <w:rStyle w:val="Hyperlink"/>
            <w:rFonts w:eastAsiaTheme="minorEastAsia"/>
            <w:color w:val="auto"/>
            <w:u w:val="none"/>
            <w:lang w:val="en-GB"/>
          </w:rPr>
          <w:t>https://doi.org/10.1016/j.tate.2021.103463</w:t>
        </w:r>
      </w:hyperlink>
    </w:p>
    <w:p w14:paraId="50492DEC" w14:textId="77777777" w:rsidR="00D0227A" w:rsidRPr="0008447F" w:rsidRDefault="00D0227A" w:rsidP="00D0227A">
      <w:pPr>
        <w:pStyle w:val="NormalWeb"/>
        <w:ind w:left="567" w:hanging="567"/>
        <w:jc w:val="both"/>
        <w:rPr>
          <w:rFonts w:eastAsiaTheme="minorEastAsia"/>
          <w:lang w:val="en-GB"/>
        </w:rPr>
      </w:pPr>
      <w:proofErr w:type="spellStart"/>
      <w:r w:rsidRPr="0008447F">
        <w:rPr>
          <w:rFonts w:eastAsiaTheme="minorEastAsia"/>
          <w:lang w:val="en-GB"/>
        </w:rPr>
        <w:t>Nxasana</w:t>
      </w:r>
      <w:proofErr w:type="spellEnd"/>
      <w:r w:rsidRPr="0008447F">
        <w:rPr>
          <w:rFonts w:eastAsiaTheme="minorEastAsia"/>
          <w:lang w:val="en-GB"/>
        </w:rPr>
        <w:t xml:space="preserve">, S. E., Chen, J., Du, X., &amp; Hasan, M. A. (2023). Teachers’ pedagogical beliefs in a project-based learning school in South Africa. </w:t>
      </w:r>
      <w:r w:rsidRPr="0008447F">
        <w:rPr>
          <w:rFonts w:eastAsiaTheme="minorEastAsia"/>
          <w:i/>
          <w:iCs/>
          <w:lang w:val="en-GB"/>
        </w:rPr>
        <w:t>Education Sciences</w:t>
      </w:r>
      <w:r w:rsidRPr="0008447F">
        <w:rPr>
          <w:rFonts w:eastAsiaTheme="minorEastAsia"/>
          <w:lang w:val="en-GB"/>
        </w:rPr>
        <w:t xml:space="preserve">, </w:t>
      </w:r>
      <w:r w:rsidRPr="0008447F">
        <w:rPr>
          <w:rFonts w:eastAsiaTheme="minorEastAsia"/>
          <w:i/>
          <w:iCs/>
          <w:lang w:val="en-GB"/>
        </w:rPr>
        <w:t>13</w:t>
      </w:r>
      <w:r w:rsidRPr="0008447F">
        <w:rPr>
          <w:rFonts w:eastAsiaTheme="minorEastAsia"/>
          <w:lang w:val="en-GB"/>
        </w:rPr>
        <w:t xml:space="preserve">(2), 140. </w:t>
      </w:r>
      <w:hyperlink r:id="rId28" w:tgtFrame="_blank" w:history="1">
        <w:r w:rsidRPr="0008447F">
          <w:rPr>
            <w:rStyle w:val="Hyperlink"/>
            <w:rFonts w:eastAsiaTheme="minorEastAsia"/>
            <w:color w:val="auto"/>
            <w:u w:val="none"/>
            <w:lang w:val="en-GB"/>
          </w:rPr>
          <w:t>https://doi.org/10.3390/educsci13020140</w:t>
        </w:r>
      </w:hyperlink>
    </w:p>
    <w:p w14:paraId="49E801C2" w14:textId="77777777" w:rsidR="00D0227A" w:rsidRPr="0008447F" w:rsidRDefault="00D0227A" w:rsidP="00D0227A">
      <w:pPr>
        <w:pStyle w:val="NormalWeb"/>
        <w:ind w:left="567" w:hanging="567"/>
        <w:jc w:val="both"/>
      </w:pPr>
      <w:r w:rsidRPr="0008447F">
        <w:rPr>
          <w:rFonts w:eastAsia="Century Gothic"/>
          <w:lang w:val="en-GB"/>
        </w:rPr>
        <w:t xml:space="preserve">Ong, E. T., Singh, C. K. S., Wahid, R., &amp; Mat Saad, M. I. (2023). Uncovering pedagogical gaps in a chemistry classroom: Implications for teaching and learning. </w:t>
      </w:r>
      <w:r w:rsidRPr="0008447F">
        <w:rPr>
          <w:rFonts w:eastAsia="Century Gothic"/>
          <w:i/>
          <w:iCs/>
          <w:lang w:val="en-GB"/>
        </w:rPr>
        <w:t>International Journal of Evaluation and Research in Education (IJERE), 12</w:t>
      </w:r>
      <w:r w:rsidRPr="0008447F">
        <w:rPr>
          <w:rFonts w:eastAsia="Century Gothic"/>
          <w:lang w:val="en-GB"/>
        </w:rPr>
        <w:t xml:space="preserve">(2), 979–990. </w:t>
      </w:r>
      <w:hyperlink r:id="rId29" w:history="1">
        <w:r w:rsidRPr="0008447F">
          <w:rPr>
            <w:rStyle w:val="Hyperlink"/>
            <w:rFonts w:eastAsia="Century Gothic"/>
            <w:color w:val="auto"/>
            <w:u w:val="none"/>
            <w:lang w:val="en-GB"/>
          </w:rPr>
          <w:t>https://doi.org/10.11591/ijere.v12i2.23042</w:t>
        </w:r>
      </w:hyperlink>
    </w:p>
    <w:p w14:paraId="6498560D" w14:textId="77777777" w:rsidR="00D0227A" w:rsidRPr="0008447F" w:rsidRDefault="00D0227A" w:rsidP="00D0227A">
      <w:pPr>
        <w:pStyle w:val="NormalWeb"/>
        <w:ind w:left="567" w:hanging="567"/>
        <w:jc w:val="both"/>
        <w:rPr>
          <w:rFonts w:eastAsia="Century Gothic"/>
          <w:lang w:val="en-GB"/>
        </w:rPr>
      </w:pPr>
      <w:proofErr w:type="spellStart"/>
      <w:r w:rsidRPr="0008447F">
        <w:rPr>
          <w:rFonts w:eastAsia="Century Gothic"/>
          <w:lang w:val="en-GB"/>
        </w:rPr>
        <w:t>Ourda</w:t>
      </w:r>
      <w:proofErr w:type="spellEnd"/>
      <w:r w:rsidRPr="0008447F">
        <w:rPr>
          <w:rFonts w:eastAsia="Century Gothic"/>
          <w:lang w:val="en-GB"/>
        </w:rPr>
        <w:t xml:space="preserve">, D., </w:t>
      </w:r>
      <w:proofErr w:type="spellStart"/>
      <w:r w:rsidRPr="0008447F">
        <w:rPr>
          <w:rFonts w:eastAsia="Century Gothic"/>
          <w:lang w:val="en-GB"/>
        </w:rPr>
        <w:t>Skoufa</w:t>
      </w:r>
      <w:proofErr w:type="spellEnd"/>
      <w:r w:rsidRPr="0008447F">
        <w:rPr>
          <w:rFonts w:eastAsia="Century Gothic"/>
          <w:lang w:val="en-GB"/>
        </w:rPr>
        <w:t xml:space="preserve">, L., Brighi, A., Crone, D., Edwards, L., </w:t>
      </w:r>
      <w:proofErr w:type="spellStart"/>
      <w:r w:rsidRPr="0008447F">
        <w:rPr>
          <w:rFonts w:eastAsia="Century Gothic"/>
          <w:lang w:val="en-GB"/>
        </w:rPr>
        <w:t>Failo</w:t>
      </w:r>
      <w:proofErr w:type="spellEnd"/>
      <w:r w:rsidRPr="0008447F">
        <w:rPr>
          <w:rFonts w:eastAsia="Century Gothic"/>
          <w:lang w:val="en-GB"/>
        </w:rPr>
        <w:t xml:space="preserve">, A., </w:t>
      </w:r>
      <w:proofErr w:type="spellStart"/>
      <w:r w:rsidRPr="0008447F">
        <w:rPr>
          <w:rFonts w:eastAsia="Century Gothic"/>
          <w:lang w:val="en-GB"/>
        </w:rPr>
        <w:t>Fourlari</w:t>
      </w:r>
      <w:proofErr w:type="spellEnd"/>
      <w:r w:rsidRPr="0008447F">
        <w:rPr>
          <w:rFonts w:eastAsia="Century Gothic"/>
          <w:lang w:val="en-GB"/>
        </w:rPr>
        <w:t xml:space="preserve">, S., </w:t>
      </w:r>
      <w:proofErr w:type="spellStart"/>
      <w:r w:rsidRPr="0008447F">
        <w:rPr>
          <w:rFonts w:eastAsia="Century Gothic"/>
          <w:lang w:val="en-GB"/>
        </w:rPr>
        <w:t>Huhtiniemi</w:t>
      </w:r>
      <w:proofErr w:type="spellEnd"/>
      <w:r w:rsidRPr="0008447F">
        <w:rPr>
          <w:rFonts w:eastAsia="Century Gothic"/>
          <w:lang w:val="en-GB"/>
        </w:rPr>
        <w:t xml:space="preserve">, M., Jaakkola, T., Raptis, G., Sellars, P., </w:t>
      </w:r>
      <w:proofErr w:type="spellStart"/>
      <w:r w:rsidRPr="0008447F">
        <w:rPr>
          <w:rFonts w:eastAsia="Century Gothic"/>
          <w:lang w:val="en-GB"/>
        </w:rPr>
        <w:t>Papacosta</w:t>
      </w:r>
      <w:proofErr w:type="spellEnd"/>
      <w:r w:rsidRPr="0008447F">
        <w:rPr>
          <w:rFonts w:eastAsia="Century Gothic"/>
          <w:lang w:val="en-GB"/>
        </w:rPr>
        <w:t xml:space="preserve">, E., &amp; </w:t>
      </w:r>
      <w:proofErr w:type="spellStart"/>
      <w:r w:rsidRPr="0008447F">
        <w:rPr>
          <w:rFonts w:eastAsia="Century Gothic"/>
          <w:lang w:val="en-GB"/>
        </w:rPr>
        <w:t>Barkoukis</w:t>
      </w:r>
      <w:proofErr w:type="spellEnd"/>
      <w:r w:rsidRPr="0008447F">
        <w:rPr>
          <w:rFonts w:eastAsia="Century Gothic"/>
          <w:lang w:val="en-GB"/>
        </w:rPr>
        <w:t xml:space="preserve">, V. (2025). A whole-school approach for the promotion of physical activity: An evaluation of stakeholders’ and educators’ perceptions about education in six European countries. </w:t>
      </w:r>
      <w:r w:rsidRPr="0008447F">
        <w:rPr>
          <w:rFonts w:eastAsia="Century Gothic"/>
          <w:i/>
          <w:iCs/>
          <w:lang w:val="en-GB"/>
        </w:rPr>
        <w:t>Education Sciences</w:t>
      </w:r>
      <w:r w:rsidRPr="0008447F">
        <w:rPr>
          <w:rFonts w:eastAsia="Century Gothic"/>
          <w:lang w:val="en-GB"/>
        </w:rPr>
        <w:t xml:space="preserve">, 15(5), 560. </w:t>
      </w:r>
      <w:hyperlink r:id="rId30" w:history="1">
        <w:r w:rsidRPr="0008447F">
          <w:rPr>
            <w:rStyle w:val="Hyperlink"/>
            <w:rFonts w:eastAsia="Century Gothic"/>
            <w:color w:val="auto"/>
            <w:u w:val="none"/>
            <w:lang w:val="en-GB"/>
          </w:rPr>
          <w:t>https://doi.org/10.3390/educsci15050560</w:t>
        </w:r>
      </w:hyperlink>
      <w:r w:rsidRPr="0008447F">
        <w:rPr>
          <w:rFonts w:eastAsia="Century Gothic"/>
          <w:lang w:val="en-GB"/>
        </w:rPr>
        <w:t xml:space="preserve"> </w:t>
      </w:r>
    </w:p>
    <w:p w14:paraId="4E25BF16" w14:textId="77777777" w:rsidR="00D0227A" w:rsidRPr="0008447F" w:rsidRDefault="00D0227A" w:rsidP="00D0227A">
      <w:pPr>
        <w:pStyle w:val="NormalWeb"/>
        <w:ind w:left="567" w:hanging="567"/>
        <w:jc w:val="both"/>
        <w:rPr>
          <w:rFonts w:eastAsiaTheme="minorEastAsia"/>
        </w:rPr>
      </w:pPr>
      <w:r w:rsidRPr="0008447F">
        <w:t xml:space="preserve">Parveen, K., Phuc, T. Q. B., Alghamdi, A. A., Kumar, T., Aslam, S., Shafiq, M., &amp; Saleem, A. (2024). The contribution of quality management practices to student performance: Mediated by school culture. </w:t>
      </w:r>
      <w:proofErr w:type="spellStart"/>
      <w:r w:rsidRPr="0008447F">
        <w:rPr>
          <w:i/>
          <w:iCs/>
        </w:rPr>
        <w:t>Heliyon</w:t>
      </w:r>
      <w:proofErr w:type="spellEnd"/>
      <w:r w:rsidRPr="0008447F">
        <w:t xml:space="preserve">, 10(15), e34892. </w:t>
      </w:r>
      <w:hyperlink r:id="rId31" w:history="1">
        <w:r w:rsidRPr="0008447F">
          <w:rPr>
            <w:rStyle w:val="Hyperlink"/>
            <w:rFonts w:eastAsiaTheme="minorEastAsia"/>
            <w:color w:val="auto"/>
            <w:u w:val="none"/>
          </w:rPr>
          <w:t>https://doi.org/10.1016/j.heliyon.2024.e34892</w:t>
        </w:r>
      </w:hyperlink>
    </w:p>
    <w:p w14:paraId="3DCDDEFE" w14:textId="77777777" w:rsidR="00D0227A" w:rsidRPr="0008447F" w:rsidRDefault="00D0227A" w:rsidP="00D0227A">
      <w:pPr>
        <w:pStyle w:val="NormalWeb"/>
        <w:ind w:left="567" w:hanging="567"/>
        <w:jc w:val="both"/>
        <w:rPr>
          <w:rFonts w:eastAsia="Century Gothic"/>
        </w:rPr>
      </w:pPr>
      <w:r w:rsidRPr="0008447F">
        <w:rPr>
          <w:rFonts w:eastAsia="Century Gothic"/>
        </w:rPr>
        <w:t xml:space="preserve">Razak, N. A., </w:t>
      </w:r>
      <w:proofErr w:type="spellStart"/>
      <w:r w:rsidRPr="0008447F">
        <w:rPr>
          <w:rFonts w:eastAsia="Century Gothic"/>
        </w:rPr>
        <w:t>Rasli</w:t>
      </w:r>
      <w:proofErr w:type="spellEnd"/>
      <w:r w:rsidRPr="0008447F">
        <w:rPr>
          <w:rFonts w:eastAsia="Century Gothic"/>
        </w:rPr>
        <w:t xml:space="preserve">, R. M., Subhan, S., Ahmad, N. A., &amp; Malik, S. (2023). Systematic review on digital transformation among teachers in public schools. </w:t>
      </w:r>
      <w:r w:rsidRPr="0008447F">
        <w:rPr>
          <w:rFonts w:eastAsia="Century Gothic"/>
          <w:i/>
          <w:iCs/>
        </w:rPr>
        <w:t>International Journal of Evaluation and Research in Education (IJERE)</w:t>
      </w:r>
      <w:r w:rsidRPr="0008447F">
        <w:rPr>
          <w:rFonts w:eastAsia="Century Gothic"/>
        </w:rPr>
        <w:t xml:space="preserve">, </w:t>
      </w:r>
      <w:r w:rsidRPr="0008447F">
        <w:rPr>
          <w:rFonts w:eastAsia="Century Gothic"/>
          <w:i/>
          <w:iCs/>
        </w:rPr>
        <w:t>12</w:t>
      </w:r>
      <w:r w:rsidRPr="0008447F">
        <w:rPr>
          <w:rFonts w:eastAsia="Century Gothic"/>
        </w:rPr>
        <w:t xml:space="preserve">(2), 1059. https://doi.org/10.11591/ijere.v12i2.24498 </w:t>
      </w:r>
    </w:p>
    <w:p w14:paraId="3284A6CF" w14:textId="77777777" w:rsidR="00D0227A" w:rsidRPr="0008447F" w:rsidRDefault="00D0227A" w:rsidP="00D0227A">
      <w:pPr>
        <w:pStyle w:val="NormalWeb"/>
        <w:ind w:left="567" w:hanging="567"/>
        <w:jc w:val="both"/>
      </w:pPr>
      <w:proofErr w:type="spellStart"/>
      <w:r w:rsidRPr="0008447F">
        <w:t>Rosenshine</w:t>
      </w:r>
      <w:proofErr w:type="spellEnd"/>
      <w:r w:rsidRPr="0008447F">
        <w:t xml:space="preserve">, B. (2012). Principles of Instruction: Research-Based Strategies That All Teachers Should Know. </w:t>
      </w:r>
      <w:r w:rsidRPr="0008447F">
        <w:rPr>
          <w:i/>
          <w:iCs/>
        </w:rPr>
        <w:t xml:space="preserve">ERIC - Education Resources Information </w:t>
      </w:r>
      <w:proofErr w:type="spellStart"/>
      <w:proofErr w:type="gramStart"/>
      <w:r w:rsidRPr="0008447F">
        <w:rPr>
          <w:i/>
          <w:iCs/>
        </w:rPr>
        <w:t>Center</w:t>
      </w:r>
      <w:proofErr w:type="spellEnd"/>
      <w:r w:rsidRPr="0008447F">
        <w:rPr>
          <w:i/>
          <w:iCs/>
        </w:rPr>
        <w:t xml:space="preserve"> </w:t>
      </w:r>
      <w:r w:rsidRPr="0008447F">
        <w:t>,</w:t>
      </w:r>
      <w:proofErr w:type="gramEnd"/>
      <w:r w:rsidRPr="0008447F">
        <w:t xml:space="preserve"> </w:t>
      </w:r>
      <w:r w:rsidRPr="0008447F">
        <w:rPr>
          <w:i/>
          <w:iCs/>
        </w:rPr>
        <w:t>30</w:t>
      </w:r>
      <w:r w:rsidRPr="0008447F">
        <w:t xml:space="preserve">(1), 12-19–39. </w:t>
      </w:r>
    </w:p>
    <w:p w14:paraId="2600283F" w14:textId="77777777" w:rsidR="00D0227A" w:rsidRPr="0008447F" w:rsidRDefault="00D0227A" w:rsidP="00D0227A">
      <w:pPr>
        <w:pStyle w:val="NormalWeb"/>
        <w:ind w:left="567" w:hanging="567"/>
        <w:jc w:val="both"/>
        <w:rPr>
          <w:rFonts w:eastAsiaTheme="minorEastAsia"/>
        </w:rPr>
      </w:pPr>
      <w:r w:rsidRPr="0008447F">
        <w:rPr>
          <w:rFonts w:eastAsiaTheme="minorEastAsia"/>
          <w:lang w:val="en-GB"/>
        </w:rPr>
        <w:t xml:space="preserve">Ross, D. L., Lamb, L. L., &amp; Johnson, J. F. (2023). Using affirming learning walks to build capacity. </w:t>
      </w:r>
      <w:r w:rsidRPr="0008447F">
        <w:rPr>
          <w:rFonts w:eastAsiaTheme="minorEastAsia"/>
          <w:i/>
          <w:iCs/>
          <w:lang w:val="en-GB"/>
        </w:rPr>
        <w:t>Journal of School Administration Research and Development</w:t>
      </w:r>
      <w:r w:rsidRPr="0008447F">
        <w:rPr>
          <w:rFonts w:eastAsiaTheme="minorEastAsia"/>
          <w:lang w:val="en-GB"/>
        </w:rPr>
        <w:t xml:space="preserve">, </w:t>
      </w:r>
      <w:r w:rsidRPr="0008447F">
        <w:rPr>
          <w:rFonts w:eastAsiaTheme="minorEastAsia"/>
          <w:i/>
          <w:iCs/>
          <w:lang w:val="en-GB"/>
        </w:rPr>
        <w:t>8</w:t>
      </w:r>
      <w:r w:rsidRPr="0008447F">
        <w:rPr>
          <w:rFonts w:eastAsiaTheme="minorEastAsia"/>
          <w:lang w:val="en-GB"/>
        </w:rPr>
        <w:t xml:space="preserve">(1), 47–54. </w:t>
      </w:r>
      <w:hyperlink r:id="rId32" w:tgtFrame="_new" w:history="1">
        <w:r w:rsidRPr="0008447F">
          <w:rPr>
            <w:rStyle w:val="Hyperlink"/>
            <w:rFonts w:eastAsiaTheme="minorEastAsia"/>
            <w:color w:val="auto"/>
            <w:u w:val="none"/>
            <w:lang w:val="en-GB"/>
          </w:rPr>
          <w:t>https://ojed.org/jsard</w:t>
        </w:r>
      </w:hyperlink>
    </w:p>
    <w:p w14:paraId="26A5221E" w14:textId="77777777" w:rsidR="00D0227A" w:rsidRPr="0008447F" w:rsidRDefault="00D0227A" w:rsidP="00D0227A">
      <w:pPr>
        <w:pStyle w:val="NormalWeb"/>
        <w:ind w:left="567" w:hanging="567"/>
        <w:jc w:val="both"/>
        <w:rPr>
          <w:rFonts w:eastAsia="Century Gothic"/>
        </w:rPr>
      </w:pPr>
      <w:r w:rsidRPr="0008447F">
        <w:rPr>
          <w:rFonts w:eastAsia="Century Gothic"/>
        </w:rPr>
        <w:lastRenderedPageBreak/>
        <w:t xml:space="preserve">Shuey, E. A., Kim, N., Cortazar, A., Poblete, X., Rivera, L., Lagos, M. J., </w:t>
      </w:r>
      <w:proofErr w:type="spellStart"/>
      <w:r w:rsidRPr="0008447F">
        <w:rPr>
          <w:rFonts w:eastAsia="Century Gothic"/>
        </w:rPr>
        <w:t>Faverio</w:t>
      </w:r>
      <w:proofErr w:type="spellEnd"/>
      <w:r w:rsidRPr="0008447F">
        <w:rPr>
          <w:rFonts w:eastAsia="Century Gothic"/>
        </w:rPr>
        <w:t xml:space="preserve">, F., &amp; Engel, A. (2019). Curriculum alignment and progression between early childhood education and care and Primary School. </w:t>
      </w:r>
      <w:r w:rsidRPr="0008447F">
        <w:rPr>
          <w:rFonts w:eastAsia="Century Gothic"/>
          <w:i/>
          <w:iCs/>
        </w:rPr>
        <w:t xml:space="preserve">OECD Education Working Papers, </w:t>
      </w:r>
      <w:r w:rsidRPr="0008447F">
        <w:rPr>
          <w:rFonts w:eastAsia="Century Gothic"/>
        </w:rPr>
        <w:t xml:space="preserve">NO. 193, OECD Publishing, Paris. https://doi.org/10.1787/d2821a65-en </w:t>
      </w:r>
    </w:p>
    <w:p w14:paraId="281AAF25" w14:textId="77777777" w:rsidR="00D0227A" w:rsidRPr="0008447F" w:rsidRDefault="00D0227A" w:rsidP="00D0227A">
      <w:pPr>
        <w:pStyle w:val="NormalWeb"/>
        <w:ind w:left="567" w:hanging="567"/>
        <w:jc w:val="both"/>
      </w:pPr>
      <w:r w:rsidRPr="0008447F">
        <w:rPr>
          <w:lang w:val="en-GB"/>
        </w:rPr>
        <w:t xml:space="preserve">Siemens, G. (2005). Connectivism: A learning theory for the digital age. </w:t>
      </w:r>
      <w:r w:rsidRPr="0008447F">
        <w:rPr>
          <w:i/>
          <w:iCs/>
          <w:lang w:val="en-GB"/>
        </w:rPr>
        <w:t>International Journal of Instructional Technology and Distance Learning</w:t>
      </w:r>
      <w:r w:rsidRPr="0008447F">
        <w:rPr>
          <w:b/>
          <w:bCs/>
          <w:lang w:val="en-GB"/>
        </w:rPr>
        <w:t>, 2</w:t>
      </w:r>
      <w:r w:rsidRPr="0008447F">
        <w:rPr>
          <w:lang w:val="en-GB"/>
        </w:rPr>
        <w:t>(1), 3–10.</w:t>
      </w:r>
      <w:r w:rsidRPr="0008447F">
        <w:rPr>
          <w:lang w:val="en-GB"/>
        </w:rPr>
        <w:br/>
      </w:r>
      <w:hyperlink r:id="rId33" w:tgtFrame="_new" w:history="1">
        <w:r w:rsidRPr="0008447F">
          <w:rPr>
            <w:rStyle w:val="Hyperlink"/>
            <w:rFonts w:eastAsiaTheme="minorEastAsia"/>
            <w:color w:val="auto"/>
            <w:u w:val="none"/>
            <w:lang w:val="en-GB"/>
          </w:rPr>
          <w:t>http://www.itdl.org/Journal/Jan_05/article01.htm</w:t>
        </w:r>
      </w:hyperlink>
    </w:p>
    <w:p w14:paraId="0C23A144" w14:textId="77777777" w:rsidR="00D0227A" w:rsidRPr="0008447F" w:rsidRDefault="00D0227A" w:rsidP="00D0227A">
      <w:pPr>
        <w:pStyle w:val="NormalWeb"/>
        <w:ind w:left="567" w:hanging="567"/>
        <w:jc w:val="both"/>
        <w:rPr>
          <w:rFonts w:eastAsia="Century Gothic"/>
        </w:rPr>
      </w:pPr>
      <w:proofErr w:type="spellStart"/>
      <w:r w:rsidRPr="0008447F">
        <w:rPr>
          <w:rFonts w:eastAsia="Century Gothic"/>
        </w:rPr>
        <w:t>Sweller</w:t>
      </w:r>
      <w:proofErr w:type="spellEnd"/>
      <w:r w:rsidRPr="0008447F">
        <w:rPr>
          <w:rFonts w:eastAsia="Century Gothic"/>
        </w:rPr>
        <w:t xml:space="preserve">, J. (1988). Cognitive load during problem solving: Effects on learning. </w:t>
      </w:r>
      <w:r w:rsidRPr="0008447F">
        <w:rPr>
          <w:rFonts w:eastAsia="Century Gothic"/>
          <w:i/>
          <w:iCs/>
        </w:rPr>
        <w:t>Cognitive Science</w:t>
      </w:r>
      <w:r w:rsidRPr="0008447F">
        <w:rPr>
          <w:rFonts w:eastAsia="Century Gothic"/>
        </w:rPr>
        <w:t xml:space="preserve">, </w:t>
      </w:r>
      <w:r w:rsidRPr="0008447F">
        <w:rPr>
          <w:rFonts w:eastAsia="Century Gothic"/>
          <w:i/>
          <w:iCs/>
        </w:rPr>
        <w:t>12</w:t>
      </w:r>
      <w:r w:rsidRPr="0008447F">
        <w:rPr>
          <w:rFonts w:eastAsia="Century Gothic"/>
        </w:rPr>
        <w:t xml:space="preserve">(2), 257–285. https://doi.org/10.1016/0364-0213(88)90023-7 </w:t>
      </w:r>
    </w:p>
    <w:p w14:paraId="4DEE77CF" w14:textId="77777777" w:rsidR="00D0227A" w:rsidRPr="0008447F" w:rsidRDefault="00D0227A" w:rsidP="00D0227A">
      <w:pPr>
        <w:pStyle w:val="NormalWeb"/>
        <w:ind w:left="567" w:hanging="567"/>
        <w:jc w:val="both"/>
      </w:pPr>
      <w:proofErr w:type="spellStart"/>
      <w:r w:rsidRPr="0008447F">
        <w:rPr>
          <w:rFonts w:eastAsia="Century Gothic"/>
        </w:rPr>
        <w:t>Sweller</w:t>
      </w:r>
      <w:proofErr w:type="spellEnd"/>
      <w:r w:rsidRPr="0008447F">
        <w:rPr>
          <w:rFonts w:eastAsia="Century Gothic"/>
        </w:rPr>
        <w:t xml:space="preserve">, J. (2021, August). Why inquiry‑based approaches harm students’ learning (CIS Analysis Paper No. 24). </w:t>
      </w:r>
      <w:r w:rsidRPr="0008447F">
        <w:rPr>
          <w:rFonts w:eastAsia="Century Gothic"/>
          <w:i/>
          <w:iCs/>
        </w:rPr>
        <w:t>The Centre for Independent Studies</w:t>
      </w:r>
      <w:r w:rsidRPr="0008447F">
        <w:rPr>
          <w:rFonts w:eastAsia="Century Gothic"/>
        </w:rPr>
        <w:t xml:space="preserve">. Retrieved June 21, 2025, from </w:t>
      </w:r>
      <w:hyperlink r:id="rId34" w:history="1">
        <w:r w:rsidRPr="0008447F">
          <w:rPr>
            <w:rStyle w:val="Hyperlink"/>
            <w:rFonts w:eastAsia="Century Gothic"/>
            <w:color w:val="auto"/>
            <w:u w:val="none"/>
          </w:rPr>
          <w:t>https://www.cis.org.au/publication/why-inquiry-based-approaches-harm-students-learning/</w:t>
        </w:r>
      </w:hyperlink>
    </w:p>
    <w:p w14:paraId="3CB1AEBC" w14:textId="77777777" w:rsidR="00D0227A" w:rsidRPr="0008447F" w:rsidRDefault="00D0227A" w:rsidP="00D0227A">
      <w:pPr>
        <w:pStyle w:val="NormalWeb"/>
        <w:ind w:left="567" w:hanging="567"/>
        <w:jc w:val="both"/>
      </w:pPr>
      <w:r w:rsidRPr="0008447F">
        <w:rPr>
          <w:rFonts w:eastAsiaTheme="minorEastAsia"/>
          <w:lang w:val="en-GB"/>
        </w:rPr>
        <w:t xml:space="preserve">Treacy, M., &amp; Leavy, A. (2023). Student voice and its role in creating cognitive dissonance: The neglected narrative in teacher professional development. </w:t>
      </w:r>
      <w:r w:rsidRPr="0008447F">
        <w:rPr>
          <w:rFonts w:eastAsiaTheme="minorEastAsia"/>
          <w:i/>
          <w:iCs/>
          <w:lang w:val="en-GB"/>
        </w:rPr>
        <w:t>Professional Development in Education, 49</w:t>
      </w:r>
      <w:r w:rsidRPr="0008447F">
        <w:rPr>
          <w:rFonts w:eastAsiaTheme="minorEastAsia"/>
          <w:lang w:val="en-GB"/>
        </w:rPr>
        <w:t xml:space="preserve">(3), 458–477. </w:t>
      </w:r>
      <w:hyperlink r:id="rId35" w:tgtFrame="_new" w:history="1">
        <w:r w:rsidRPr="0008447F">
          <w:rPr>
            <w:rStyle w:val="Hyperlink"/>
            <w:rFonts w:eastAsiaTheme="minorEastAsia"/>
            <w:color w:val="auto"/>
            <w:u w:val="none"/>
            <w:lang w:val="en-GB"/>
          </w:rPr>
          <w:t>https://doi.org/10.1080/19415257.2021.1876147</w:t>
        </w:r>
      </w:hyperlink>
    </w:p>
    <w:p w14:paraId="078938B2"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 xml:space="preserve">UNICEF Malaysia. (2023). </w:t>
      </w:r>
      <w:r w:rsidRPr="0008447F">
        <w:rPr>
          <w:rFonts w:eastAsiaTheme="minorEastAsia"/>
          <w:i/>
          <w:iCs/>
          <w:lang w:val="en-GB"/>
        </w:rPr>
        <w:t>Education 2030 in Malaysia: 5-year national progress report on SDG 4</w:t>
      </w:r>
      <w:r w:rsidRPr="0008447F">
        <w:rPr>
          <w:rFonts w:eastAsiaTheme="minorEastAsia"/>
          <w:lang w:val="en-GB"/>
        </w:rPr>
        <w:t xml:space="preserve"> (ISBN 978-967-26586-7-2). United Nations Children’s Fund Malaysia. </w:t>
      </w:r>
      <w:hyperlink r:id="rId36" w:tgtFrame="_new" w:history="1">
        <w:r w:rsidRPr="0008447F">
          <w:rPr>
            <w:rStyle w:val="Hyperlink"/>
            <w:rFonts w:eastAsiaTheme="minorEastAsia"/>
            <w:color w:val="auto"/>
            <w:u w:val="none"/>
            <w:lang w:val="en-GB"/>
          </w:rPr>
          <w:t>https://www.unicef.org/malaysia/media/4621/file/UNICEF%20Education%202030%20in%20Malaysia.pdf.pdf</w:t>
        </w:r>
      </w:hyperlink>
    </w:p>
    <w:p w14:paraId="52DE95FE"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Vygotsky, L. S. (1978). Mind in society: The development of higher psychological processes. Harvard University Press.</w:t>
      </w:r>
    </w:p>
    <w:p w14:paraId="3E5D3321" w14:textId="77777777" w:rsidR="00D0227A" w:rsidRPr="0008447F" w:rsidRDefault="00D0227A" w:rsidP="00D0227A">
      <w:pPr>
        <w:pStyle w:val="NormalWeb"/>
        <w:ind w:left="567" w:hanging="567"/>
        <w:jc w:val="both"/>
      </w:pPr>
      <w:r w:rsidRPr="0008447F">
        <w:rPr>
          <w:lang w:val="en-GB"/>
        </w:rPr>
        <w:t xml:space="preserve">Wang, Y. (2018). An overview on the team interaction process. </w:t>
      </w:r>
      <w:r w:rsidRPr="0008447F">
        <w:rPr>
          <w:i/>
          <w:iCs/>
          <w:lang w:val="en-GB"/>
        </w:rPr>
        <w:t>Open Journal of Social Sciences</w:t>
      </w:r>
      <w:r w:rsidRPr="0008447F">
        <w:rPr>
          <w:lang w:val="en-GB"/>
        </w:rPr>
        <w:t xml:space="preserve">, </w:t>
      </w:r>
      <w:r w:rsidRPr="0008447F">
        <w:rPr>
          <w:i/>
          <w:iCs/>
          <w:lang w:val="en-GB"/>
        </w:rPr>
        <w:t>6</w:t>
      </w:r>
      <w:r w:rsidRPr="0008447F">
        <w:rPr>
          <w:lang w:val="en-GB"/>
        </w:rPr>
        <w:t xml:space="preserve">(12), 1–11. </w:t>
      </w:r>
      <w:hyperlink r:id="rId37" w:tgtFrame="_blank" w:history="1">
        <w:r w:rsidRPr="0008447F">
          <w:rPr>
            <w:rStyle w:val="Hyperlink"/>
            <w:color w:val="auto"/>
            <w:u w:val="none"/>
            <w:lang w:val="en-GB"/>
          </w:rPr>
          <w:t>https://doi.org/10.4236/jss.2018.612001</w:t>
        </w:r>
      </w:hyperlink>
    </w:p>
    <w:p w14:paraId="672665DC" w14:textId="77777777" w:rsidR="00D0227A" w:rsidRPr="0008447F" w:rsidRDefault="00D0227A" w:rsidP="00D0227A">
      <w:pPr>
        <w:pStyle w:val="NormalWeb"/>
        <w:ind w:left="567" w:hanging="567"/>
        <w:jc w:val="both"/>
        <w:rPr>
          <w:lang w:val="en-GB"/>
        </w:rPr>
      </w:pPr>
      <w:r w:rsidRPr="0008447F">
        <w:rPr>
          <w:lang w:val="en-GB"/>
        </w:rPr>
        <w:t xml:space="preserve">Witter, C. (2025). </w:t>
      </w:r>
      <w:r w:rsidRPr="0008447F">
        <w:rPr>
          <w:i/>
          <w:iCs/>
          <w:lang w:val="en-GB"/>
        </w:rPr>
        <w:t>Metacognitive strategies to develop students’ cognitive abilities in the classroom: A qualitative study</w:t>
      </w:r>
      <w:r w:rsidRPr="0008447F">
        <w:rPr>
          <w:lang w:val="en-GB"/>
        </w:rPr>
        <w:t xml:space="preserve"> (Publication No. 32113398) [Doctoral dissertation, Grand Canyon University]. </w:t>
      </w:r>
      <w:r w:rsidRPr="0008447F">
        <w:rPr>
          <w:i/>
          <w:iCs/>
          <w:lang w:val="en-GB"/>
        </w:rPr>
        <w:t>ProQuest Dissertations &amp; Theses Global</w:t>
      </w:r>
      <w:r w:rsidRPr="0008447F">
        <w:rPr>
          <w:lang w:val="en-GB"/>
        </w:rPr>
        <w:t>.</w:t>
      </w:r>
    </w:p>
    <w:p w14:paraId="471E8DB3" w14:textId="77777777" w:rsidR="00D0227A" w:rsidRPr="0008447F" w:rsidRDefault="00D0227A" w:rsidP="00D0227A">
      <w:pPr>
        <w:pStyle w:val="NormalWeb"/>
        <w:ind w:left="567" w:hanging="567"/>
        <w:jc w:val="both"/>
        <w:rPr>
          <w:lang w:val="en-GB"/>
        </w:rPr>
      </w:pPr>
      <w:r w:rsidRPr="0008447F">
        <w:rPr>
          <w:lang w:val="en-GB"/>
        </w:rPr>
        <w:t xml:space="preserve">Womack, A. C. (2025). </w:t>
      </w:r>
      <w:r w:rsidRPr="0008447F">
        <w:rPr>
          <w:i/>
          <w:iCs/>
          <w:lang w:val="en-GB"/>
        </w:rPr>
        <w:t>School leadership’s impact on teacher turnover post COVID-19</w:t>
      </w:r>
      <w:r w:rsidRPr="0008447F">
        <w:rPr>
          <w:lang w:val="en-GB"/>
        </w:rPr>
        <w:t xml:space="preserve"> (Publication No. 5351) [Doctoral dissertation, University of Nevada, Las Vegas]. </w:t>
      </w:r>
      <w:r w:rsidRPr="0008447F">
        <w:rPr>
          <w:i/>
          <w:iCs/>
          <w:lang w:val="en-GB"/>
        </w:rPr>
        <w:t>UNLV Theses, Dissertations, Professional Papers, and Capstones</w:t>
      </w:r>
      <w:r w:rsidRPr="0008447F">
        <w:rPr>
          <w:lang w:val="en-GB"/>
        </w:rPr>
        <w:t xml:space="preserve">. </w:t>
      </w:r>
      <w:hyperlink r:id="rId38" w:tgtFrame="_new" w:history="1">
        <w:r w:rsidRPr="0008447F">
          <w:rPr>
            <w:rStyle w:val="Hyperlink"/>
            <w:rFonts w:eastAsiaTheme="minorEastAsia"/>
            <w:color w:val="auto"/>
            <w:u w:val="none"/>
            <w:lang w:val="en-GB"/>
          </w:rPr>
          <w:t>https://doi.org/10.34917/39206800</w:t>
        </w:r>
      </w:hyperlink>
    </w:p>
    <w:p w14:paraId="7A2EF1A0" w14:textId="77777777" w:rsidR="00D0227A" w:rsidRPr="0008447F" w:rsidRDefault="00D0227A" w:rsidP="00D0227A">
      <w:pPr>
        <w:pStyle w:val="NormalWeb"/>
        <w:ind w:left="567" w:hanging="567"/>
        <w:jc w:val="both"/>
        <w:rPr>
          <w:rFonts w:eastAsiaTheme="minorEastAsia"/>
          <w:lang w:val="en-GB"/>
        </w:rPr>
      </w:pPr>
      <w:r w:rsidRPr="0008447F">
        <w:rPr>
          <w:rFonts w:eastAsiaTheme="minorEastAsia"/>
          <w:lang w:val="en-GB"/>
        </w:rPr>
        <w:t>Xuan, Q., Cheung, A., &amp; Sun, D. (2022). The effectiveness of formative assessment for enhancing reading achievement in K–12 classrooms: A meta-analysis</w:t>
      </w:r>
      <w:r w:rsidRPr="0008447F">
        <w:rPr>
          <w:rFonts w:eastAsiaTheme="minorEastAsia"/>
          <w:i/>
          <w:iCs/>
          <w:lang w:val="en-GB"/>
        </w:rPr>
        <w:t>.</w:t>
      </w:r>
      <w:r w:rsidRPr="0008447F">
        <w:rPr>
          <w:rFonts w:eastAsiaTheme="minorEastAsia"/>
          <w:lang w:val="en-GB"/>
        </w:rPr>
        <w:t xml:space="preserve"> </w:t>
      </w:r>
      <w:r w:rsidRPr="0008447F">
        <w:rPr>
          <w:rFonts w:eastAsiaTheme="minorEastAsia"/>
          <w:i/>
          <w:iCs/>
          <w:lang w:val="en-GB"/>
        </w:rPr>
        <w:t>Frontiers in Psychology, 13</w:t>
      </w:r>
      <w:r w:rsidRPr="0008447F">
        <w:rPr>
          <w:rFonts w:eastAsiaTheme="minorEastAsia"/>
          <w:lang w:val="en-GB"/>
        </w:rPr>
        <w:t xml:space="preserve">, 990196. </w:t>
      </w:r>
      <w:hyperlink r:id="rId39" w:history="1">
        <w:r w:rsidRPr="0008447F">
          <w:rPr>
            <w:rStyle w:val="Hyperlink"/>
            <w:rFonts w:eastAsiaTheme="minorEastAsia"/>
            <w:color w:val="auto"/>
            <w:u w:val="none"/>
            <w:lang w:val="en-GB"/>
          </w:rPr>
          <w:t>https://doi.org/10.3389/fpsyg.2022.990196</w:t>
        </w:r>
      </w:hyperlink>
    </w:p>
    <w:p w14:paraId="5EC38DEE" w14:textId="77777777" w:rsidR="00D0227A" w:rsidRPr="0008447F" w:rsidRDefault="00D0227A" w:rsidP="00D0227A">
      <w:pPr>
        <w:pStyle w:val="NormalWeb"/>
        <w:ind w:left="567" w:hanging="567"/>
        <w:jc w:val="both"/>
        <w:rPr>
          <w:rFonts w:eastAsia="Century Gothic"/>
        </w:rPr>
      </w:pPr>
      <w:proofErr w:type="spellStart"/>
      <w:r w:rsidRPr="0008447F">
        <w:rPr>
          <w:rFonts w:eastAsia="Century Gothic"/>
        </w:rPr>
        <w:t>Zakirman</w:t>
      </w:r>
      <w:proofErr w:type="spellEnd"/>
      <w:r w:rsidRPr="0008447F">
        <w:rPr>
          <w:rFonts w:eastAsia="Century Gothic"/>
        </w:rPr>
        <w:t xml:space="preserve">, Z., </w:t>
      </w:r>
      <w:proofErr w:type="spellStart"/>
      <w:r w:rsidRPr="0008447F">
        <w:rPr>
          <w:rFonts w:eastAsia="Century Gothic"/>
        </w:rPr>
        <w:t>Widiasih</w:t>
      </w:r>
      <w:proofErr w:type="spellEnd"/>
      <w:r w:rsidRPr="0008447F">
        <w:rPr>
          <w:rFonts w:eastAsia="Century Gothic"/>
        </w:rPr>
        <w:t xml:space="preserve">, W., </w:t>
      </w:r>
      <w:proofErr w:type="spellStart"/>
      <w:r w:rsidRPr="0008447F">
        <w:rPr>
          <w:rFonts w:eastAsia="Century Gothic"/>
        </w:rPr>
        <w:t>Sukwilladi</w:t>
      </w:r>
      <w:proofErr w:type="spellEnd"/>
      <w:r w:rsidRPr="0008447F">
        <w:rPr>
          <w:rFonts w:eastAsia="Century Gothic"/>
        </w:rPr>
        <w:t xml:space="preserve">, D., </w:t>
      </w:r>
      <w:proofErr w:type="spellStart"/>
      <w:r w:rsidRPr="0008447F">
        <w:rPr>
          <w:rFonts w:eastAsia="Century Gothic"/>
        </w:rPr>
        <w:t>Aprianti</w:t>
      </w:r>
      <w:proofErr w:type="spellEnd"/>
      <w:r w:rsidRPr="0008447F">
        <w:rPr>
          <w:rFonts w:eastAsia="Century Gothic"/>
        </w:rPr>
        <w:t xml:space="preserve">, R., &amp; </w:t>
      </w:r>
      <w:proofErr w:type="spellStart"/>
      <w:r w:rsidRPr="0008447F">
        <w:rPr>
          <w:rFonts w:eastAsia="Century Gothic"/>
        </w:rPr>
        <w:t>Nadiyyah</w:t>
      </w:r>
      <w:proofErr w:type="spellEnd"/>
      <w:r w:rsidRPr="0008447F">
        <w:rPr>
          <w:rFonts w:eastAsia="Century Gothic"/>
        </w:rPr>
        <w:t xml:space="preserve">, K. (2023). The potential of electronic-games in harmonizing differentiated learning for alpha generation. </w:t>
      </w:r>
      <w:r w:rsidRPr="0008447F">
        <w:rPr>
          <w:rFonts w:eastAsia="Century Gothic"/>
          <w:i/>
          <w:iCs/>
        </w:rPr>
        <w:t>Journal of Educational Sciences</w:t>
      </w:r>
      <w:r w:rsidRPr="0008447F">
        <w:rPr>
          <w:rFonts w:eastAsia="Century Gothic"/>
        </w:rPr>
        <w:t xml:space="preserve">, </w:t>
      </w:r>
      <w:r w:rsidRPr="0008447F">
        <w:rPr>
          <w:rFonts w:eastAsia="Century Gothic"/>
          <w:i/>
          <w:iCs/>
        </w:rPr>
        <w:t>7</w:t>
      </w:r>
      <w:r w:rsidRPr="0008447F">
        <w:rPr>
          <w:rFonts w:eastAsia="Century Gothic"/>
        </w:rPr>
        <w:t xml:space="preserve">(4), 609. https://doi.org/10.31258/jes.7.4.p.609-621 </w:t>
      </w:r>
    </w:p>
    <w:p w14:paraId="287B35CB" w14:textId="77777777" w:rsidR="00D0227A" w:rsidRPr="0008447F" w:rsidRDefault="00D0227A" w:rsidP="00D0227A">
      <w:pPr>
        <w:pStyle w:val="NormalWeb"/>
        <w:ind w:left="567" w:hanging="567"/>
        <w:jc w:val="both"/>
        <w:rPr>
          <w:rFonts w:eastAsia="Century Gothic"/>
        </w:rPr>
      </w:pPr>
      <w:r w:rsidRPr="0008447F">
        <w:rPr>
          <w:rFonts w:eastAsia="Century Gothic"/>
        </w:rPr>
        <w:lastRenderedPageBreak/>
        <w:t>Zhang, T., Kan, L., Jin, C., &amp; Shi, W. (2023). Adverse childhood experiences and their impacts on subsequent depression and cognitive impairment in Chinese adults: A nationwide multi-</w:t>
      </w:r>
      <w:proofErr w:type="spellStart"/>
      <w:r w:rsidRPr="0008447F">
        <w:rPr>
          <w:rFonts w:eastAsia="Century Gothic"/>
        </w:rPr>
        <w:t>center</w:t>
      </w:r>
      <w:proofErr w:type="spellEnd"/>
      <w:r w:rsidRPr="0008447F">
        <w:rPr>
          <w:rFonts w:eastAsia="Century Gothic"/>
        </w:rPr>
        <w:t xml:space="preserve"> study. </w:t>
      </w:r>
      <w:r w:rsidRPr="0008447F">
        <w:rPr>
          <w:rFonts w:eastAsia="Century Gothic"/>
          <w:i/>
          <w:iCs/>
        </w:rPr>
        <w:t>Journal of Affective Disorders</w:t>
      </w:r>
      <w:r w:rsidRPr="0008447F">
        <w:rPr>
          <w:rFonts w:eastAsia="Century Gothic"/>
        </w:rPr>
        <w:t xml:space="preserve">, </w:t>
      </w:r>
      <w:r w:rsidRPr="0008447F">
        <w:rPr>
          <w:rFonts w:eastAsia="Century Gothic"/>
          <w:i/>
          <w:iCs/>
        </w:rPr>
        <w:t>323</w:t>
      </w:r>
      <w:r w:rsidRPr="0008447F">
        <w:rPr>
          <w:rFonts w:eastAsia="Century Gothic"/>
        </w:rPr>
        <w:t xml:space="preserve">, 884–892. https://doi.org/10.1016/j.jad.2022.12.058 </w:t>
      </w:r>
    </w:p>
    <w:p w14:paraId="19CB7594" w14:textId="77777777" w:rsidR="00D0227A" w:rsidRPr="0008447F" w:rsidRDefault="00D0227A" w:rsidP="00D0227A">
      <w:pPr>
        <w:pStyle w:val="NormalWeb"/>
        <w:ind w:left="567" w:hanging="567"/>
        <w:jc w:val="both"/>
      </w:pPr>
      <w:r w:rsidRPr="0008447F">
        <w:rPr>
          <w:rFonts w:eastAsiaTheme="minorEastAsia"/>
          <w:lang w:val="en-GB"/>
        </w:rPr>
        <w:t xml:space="preserve">Zhao, X., Byun, S., &amp; Jeon, L. (2025). Head Start educators’ professional well-being and their turnover intentions: The moderating role of perceived workplace discrimination. </w:t>
      </w:r>
      <w:r w:rsidRPr="0008447F">
        <w:rPr>
          <w:rFonts w:eastAsiaTheme="minorEastAsia"/>
          <w:i/>
          <w:iCs/>
          <w:lang w:val="en-GB"/>
        </w:rPr>
        <w:t>Frontiers in Psychology, 16</w:t>
      </w:r>
      <w:r w:rsidRPr="0008447F">
        <w:rPr>
          <w:rFonts w:eastAsiaTheme="minorEastAsia"/>
          <w:lang w:val="en-GB"/>
        </w:rPr>
        <w:t xml:space="preserve">, 1642654. </w:t>
      </w:r>
      <w:hyperlink r:id="rId40" w:tgtFrame="_blank" w:history="1">
        <w:r w:rsidRPr="0008447F">
          <w:rPr>
            <w:rStyle w:val="Hyperlink"/>
            <w:rFonts w:eastAsiaTheme="minorEastAsia"/>
            <w:color w:val="auto"/>
            <w:u w:val="none"/>
            <w:lang w:val="en-GB"/>
          </w:rPr>
          <w:t>https://doi.org/10.3389/fpsyg.2025.1642654</w:t>
        </w:r>
      </w:hyperlink>
    </w:p>
    <w:p w14:paraId="12E4621D" w14:textId="77777777" w:rsidR="00D0227A" w:rsidRPr="0024242E" w:rsidRDefault="00D0227A" w:rsidP="00D0227A">
      <w:pPr>
        <w:pStyle w:val="NormalWeb"/>
        <w:ind w:left="567" w:hanging="567"/>
        <w:jc w:val="both"/>
        <w:rPr>
          <w:rFonts w:eastAsia="Century Gothic"/>
        </w:rPr>
      </w:pPr>
      <w:r w:rsidRPr="0008447F">
        <w:rPr>
          <w:rFonts w:eastAsia="Century Gothic"/>
        </w:rPr>
        <w:t xml:space="preserve">Zuo, M., Kong, S., Ma, Y., Hu, Y., &amp; Xiao, M. (2023). The effects of using scaffolding in online learning: A meta-analysis. </w:t>
      </w:r>
      <w:r w:rsidRPr="0008447F">
        <w:rPr>
          <w:rFonts w:eastAsia="Century Gothic"/>
          <w:i/>
          <w:iCs/>
        </w:rPr>
        <w:t>Education Sciences</w:t>
      </w:r>
      <w:r w:rsidRPr="0008447F">
        <w:rPr>
          <w:rFonts w:eastAsia="Century Gothic"/>
        </w:rPr>
        <w:t xml:space="preserve">, </w:t>
      </w:r>
      <w:r w:rsidRPr="0008447F">
        <w:rPr>
          <w:rFonts w:eastAsia="Century Gothic"/>
          <w:i/>
          <w:iCs/>
        </w:rPr>
        <w:t>13</w:t>
      </w:r>
      <w:r w:rsidRPr="0008447F">
        <w:rPr>
          <w:rFonts w:eastAsia="Century Gothic"/>
        </w:rPr>
        <w:t>(7), 705. https://doi.org/10.3390/educsci13070705</w:t>
      </w:r>
      <w:r w:rsidRPr="0024242E">
        <w:rPr>
          <w:rFonts w:eastAsia="Century Gothic"/>
        </w:rPr>
        <w:t xml:space="preserve"> </w:t>
      </w:r>
    </w:p>
    <w:bookmarkEnd w:id="2"/>
    <w:bookmarkEnd w:id="3"/>
    <w:p w14:paraId="1CB48599" w14:textId="77777777" w:rsidR="00D0227A" w:rsidRDefault="00D0227A" w:rsidP="00750536">
      <w:pPr>
        <w:rPr>
          <w:rFonts w:ascii="Times New Roman" w:hAnsi="Times New Roman" w:cs="Times New Roman"/>
        </w:rPr>
      </w:pPr>
    </w:p>
    <w:sectPr w:rsidR="00D02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A4C38"/>
    <w:multiLevelType w:val="multilevel"/>
    <w:tmpl w:val="AC0C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4735"/>
        </w:tabs>
        <w:ind w:left="4735"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3" w15:restartNumberingAfterBreak="0">
    <w:nsid w:val="31BB187B"/>
    <w:multiLevelType w:val="hybridMultilevel"/>
    <w:tmpl w:val="B7D269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3C2292A"/>
    <w:multiLevelType w:val="hybridMultilevel"/>
    <w:tmpl w:val="0E36AC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6F84EBB"/>
    <w:multiLevelType w:val="hybridMultilevel"/>
    <w:tmpl w:val="B108279A"/>
    <w:lvl w:ilvl="0" w:tplc="ED02E69C">
      <w:start w:val="1"/>
      <w:numFmt w:val="decimal"/>
      <w:lvlText w:val="%1."/>
      <w:lvlJc w:val="left"/>
      <w:pPr>
        <w:ind w:left="644" w:hanging="36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6" w15:restartNumberingAfterBreak="0">
    <w:nsid w:val="752E39F8"/>
    <w:multiLevelType w:val="hybridMultilevel"/>
    <w:tmpl w:val="0A5CB0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5A62DB7"/>
    <w:multiLevelType w:val="hybridMultilevel"/>
    <w:tmpl w:val="E522D886"/>
    <w:lvl w:ilvl="0" w:tplc="41FA6AD8">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E4395"/>
    <w:multiLevelType w:val="hybridMultilevel"/>
    <w:tmpl w:val="0A5CB0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770417">
    <w:abstractNumId w:val="0"/>
  </w:num>
  <w:num w:numId="2" w16cid:durableId="88934469">
    <w:abstractNumId w:val="2"/>
  </w:num>
  <w:num w:numId="3" w16cid:durableId="1397896579">
    <w:abstractNumId w:val="7"/>
  </w:num>
  <w:num w:numId="4" w16cid:durableId="91171235">
    <w:abstractNumId w:val="6"/>
  </w:num>
  <w:num w:numId="5" w16cid:durableId="1702706910">
    <w:abstractNumId w:val="8"/>
  </w:num>
  <w:num w:numId="6" w16cid:durableId="1005203143">
    <w:abstractNumId w:val="4"/>
  </w:num>
  <w:num w:numId="7" w16cid:durableId="1477717232">
    <w:abstractNumId w:val="3"/>
  </w:num>
  <w:num w:numId="8" w16cid:durableId="834877910">
    <w:abstractNumId w:val="5"/>
  </w:num>
  <w:num w:numId="9" w16cid:durableId="43483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36"/>
    <w:rsid w:val="0008447F"/>
    <w:rsid w:val="000906AE"/>
    <w:rsid w:val="00116DBF"/>
    <w:rsid w:val="00145934"/>
    <w:rsid w:val="001726E5"/>
    <w:rsid w:val="0017321B"/>
    <w:rsid w:val="003807CA"/>
    <w:rsid w:val="003C10FC"/>
    <w:rsid w:val="00423AD8"/>
    <w:rsid w:val="004354DF"/>
    <w:rsid w:val="00442554"/>
    <w:rsid w:val="004835B2"/>
    <w:rsid w:val="00485197"/>
    <w:rsid w:val="004C4F58"/>
    <w:rsid w:val="005305D2"/>
    <w:rsid w:val="0055797F"/>
    <w:rsid w:val="005B5E77"/>
    <w:rsid w:val="005D565B"/>
    <w:rsid w:val="0060321E"/>
    <w:rsid w:val="006A4209"/>
    <w:rsid w:val="006D5236"/>
    <w:rsid w:val="006D6457"/>
    <w:rsid w:val="006F5E01"/>
    <w:rsid w:val="00723C04"/>
    <w:rsid w:val="00750536"/>
    <w:rsid w:val="00752635"/>
    <w:rsid w:val="007C0D94"/>
    <w:rsid w:val="007F08F1"/>
    <w:rsid w:val="00865017"/>
    <w:rsid w:val="008C1FBD"/>
    <w:rsid w:val="008E0688"/>
    <w:rsid w:val="008E6ADA"/>
    <w:rsid w:val="00900990"/>
    <w:rsid w:val="00921DDF"/>
    <w:rsid w:val="00936FB8"/>
    <w:rsid w:val="00993B0D"/>
    <w:rsid w:val="009A310E"/>
    <w:rsid w:val="009B5819"/>
    <w:rsid w:val="00A61590"/>
    <w:rsid w:val="00A901EE"/>
    <w:rsid w:val="00AC61D8"/>
    <w:rsid w:val="00B01488"/>
    <w:rsid w:val="00BC0C49"/>
    <w:rsid w:val="00BF4D83"/>
    <w:rsid w:val="00CB0CE5"/>
    <w:rsid w:val="00CB5ADA"/>
    <w:rsid w:val="00CD40C9"/>
    <w:rsid w:val="00D0227A"/>
    <w:rsid w:val="00D422E9"/>
    <w:rsid w:val="00D73AEB"/>
    <w:rsid w:val="00D9284C"/>
    <w:rsid w:val="00D97ED8"/>
    <w:rsid w:val="00DC07BF"/>
    <w:rsid w:val="00E74C32"/>
    <w:rsid w:val="00E756E6"/>
    <w:rsid w:val="00EC7086"/>
    <w:rsid w:val="00EF23CE"/>
    <w:rsid w:val="00F33402"/>
    <w:rsid w:val="00F47A51"/>
    <w:rsid w:val="00FB5F8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A64"/>
  <w15:chartTrackingRefBased/>
  <w15:docId w15:val="{3BE0381D-085E-432E-A374-ADC522A5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750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nhideWhenUsed/>
    <w:qFormat/>
    <w:rsid w:val="00750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750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75053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750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750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5053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rsid w:val="0075053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750536"/>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750536"/>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750536"/>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750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36"/>
    <w:rPr>
      <w:rFonts w:eastAsiaTheme="majorEastAsia" w:cstheme="majorBidi"/>
      <w:color w:val="272727" w:themeColor="text1" w:themeTint="D8"/>
    </w:rPr>
  </w:style>
  <w:style w:type="paragraph" w:styleId="Title">
    <w:name w:val="Title"/>
    <w:basedOn w:val="Normal"/>
    <w:next w:val="Normal"/>
    <w:link w:val="TitleChar"/>
    <w:uiPriority w:val="19"/>
    <w:qFormat/>
    <w:rsid w:val="00750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750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36"/>
    <w:pPr>
      <w:spacing w:before="160"/>
      <w:jc w:val="center"/>
    </w:pPr>
    <w:rPr>
      <w:i/>
      <w:iCs/>
      <w:color w:val="404040" w:themeColor="text1" w:themeTint="BF"/>
    </w:rPr>
  </w:style>
  <w:style w:type="character" w:customStyle="1" w:styleId="QuoteChar">
    <w:name w:val="Quote Char"/>
    <w:basedOn w:val="DefaultParagraphFont"/>
    <w:link w:val="Quote"/>
    <w:uiPriority w:val="29"/>
    <w:rsid w:val="00750536"/>
    <w:rPr>
      <w:i/>
      <w:iCs/>
      <w:color w:val="404040" w:themeColor="text1" w:themeTint="BF"/>
    </w:rPr>
  </w:style>
  <w:style w:type="paragraph" w:styleId="ListParagraph">
    <w:name w:val="List Paragraph"/>
    <w:aliases w:val="numbered lists"/>
    <w:basedOn w:val="Normal"/>
    <w:uiPriority w:val="34"/>
    <w:qFormat/>
    <w:rsid w:val="00750536"/>
    <w:pPr>
      <w:ind w:left="720"/>
      <w:contextualSpacing/>
    </w:pPr>
  </w:style>
  <w:style w:type="character" w:styleId="IntenseEmphasis">
    <w:name w:val="Intense Emphasis"/>
    <w:basedOn w:val="DefaultParagraphFont"/>
    <w:uiPriority w:val="21"/>
    <w:qFormat/>
    <w:rsid w:val="00750536"/>
    <w:rPr>
      <w:i/>
      <w:iCs/>
      <w:color w:val="0F4761" w:themeColor="accent1" w:themeShade="BF"/>
    </w:rPr>
  </w:style>
  <w:style w:type="paragraph" w:styleId="IntenseQuote">
    <w:name w:val="Intense Quote"/>
    <w:basedOn w:val="Normal"/>
    <w:next w:val="Normal"/>
    <w:link w:val="IntenseQuoteChar"/>
    <w:uiPriority w:val="30"/>
    <w:qFormat/>
    <w:rsid w:val="00750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536"/>
    <w:rPr>
      <w:i/>
      <w:iCs/>
      <w:color w:val="0F4761" w:themeColor="accent1" w:themeShade="BF"/>
    </w:rPr>
  </w:style>
  <w:style w:type="character" w:styleId="IntenseReference">
    <w:name w:val="Intense Reference"/>
    <w:basedOn w:val="DefaultParagraphFont"/>
    <w:uiPriority w:val="32"/>
    <w:qFormat/>
    <w:rsid w:val="00750536"/>
    <w:rPr>
      <w:b/>
      <w:bCs/>
      <w:smallCaps/>
      <w:color w:val="0F4761" w:themeColor="accent1" w:themeShade="BF"/>
      <w:spacing w:val="5"/>
    </w:rPr>
  </w:style>
  <w:style w:type="paragraph" w:styleId="Caption">
    <w:name w:val="caption"/>
    <w:basedOn w:val="Normal"/>
    <w:next w:val="Normal"/>
    <w:uiPriority w:val="35"/>
    <w:unhideWhenUsed/>
    <w:qFormat/>
    <w:rsid w:val="00750536"/>
    <w:pPr>
      <w:spacing w:after="100" w:afterAutospacing="1" w:line="240" w:lineRule="auto"/>
      <w:ind w:firstLine="284"/>
    </w:pPr>
    <w:rPr>
      <w:rFonts w:asciiTheme="majorBidi" w:eastAsiaTheme="minorEastAsia" w:hAnsiTheme="majorBidi"/>
      <w:b/>
      <w:bCs/>
      <w:color w:val="000000" w:themeColor="text1"/>
      <w:kern w:val="0"/>
      <w:szCs w:val="18"/>
      <w:lang w:val="en-GB"/>
      <w14:ligatures w14:val="none"/>
    </w:rPr>
  </w:style>
  <w:style w:type="character" w:styleId="PlaceholderText">
    <w:name w:val="Placeholder Text"/>
    <w:basedOn w:val="DefaultParagraphFont"/>
    <w:uiPriority w:val="99"/>
    <w:semiHidden/>
    <w:rsid w:val="00D0227A"/>
    <w:rPr>
      <w:color w:val="808080"/>
    </w:rPr>
  </w:style>
  <w:style w:type="paragraph" w:styleId="BalloonText">
    <w:name w:val="Balloon Text"/>
    <w:basedOn w:val="Normal"/>
    <w:link w:val="BalloonTextChar"/>
    <w:uiPriority w:val="99"/>
    <w:semiHidden/>
    <w:unhideWhenUsed/>
    <w:rsid w:val="00D0227A"/>
    <w:pPr>
      <w:spacing w:after="0" w:afterAutospacing="1" w:line="240" w:lineRule="auto"/>
      <w:ind w:firstLine="284"/>
      <w:jc w:val="both"/>
    </w:pPr>
    <w:rPr>
      <w:rFonts w:ascii="Tahoma" w:eastAsiaTheme="minorEastAsia" w:hAnsi="Tahoma" w:cs="Tahoma"/>
      <w:kern w:val="0"/>
      <w:sz w:val="16"/>
      <w:szCs w:val="16"/>
      <w:lang w:val="en-GB"/>
      <w14:ligatures w14:val="none"/>
    </w:rPr>
  </w:style>
  <w:style w:type="character" w:customStyle="1" w:styleId="BalloonTextChar">
    <w:name w:val="Balloon Text Char"/>
    <w:basedOn w:val="DefaultParagraphFont"/>
    <w:link w:val="BalloonText"/>
    <w:uiPriority w:val="99"/>
    <w:semiHidden/>
    <w:rsid w:val="00D0227A"/>
    <w:rPr>
      <w:rFonts w:ascii="Tahoma" w:eastAsiaTheme="minorEastAsia" w:hAnsi="Tahoma" w:cs="Tahoma"/>
      <w:kern w:val="0"/>
      <w:sz w:val="16"/>
      <w:szCs w:val="16"/>
      <w:lang w:val="en-GB"/>
      <w14:ligatures w14:val="none"/>
    </w:rPr>
  </w:style>
  <w:style w:type="character" w:styleId="BookTitle">
    <w:name w:val="Book Title"/>
    <w:basedOn w:val="DefaultParagraphFont"/>
    <w:uiPriority w:val="33"/>
    <w:qFormat/>
    <w:rsid w:val="00D0227A"/>
    <w:rPr>
      <w:rFonts w:ascii="Arial Narrow" w:hAnsi="Arial Narrow"/>
      <w:b/>
      <w:bCs/>
      <w:caps/>
      <w:color w:val="auto"/>
      <w:spacing w:val="5"/>
      <w:sz w:val="32"/>
      <w:u w:val="none"/>
    </w:rPr>
  </w:style>
  <w:style w:type="character" w:customStyle="1" w:styleId="Style1">
    <w:name w:val="Style1"/>
    <w:basedOn w:val="DefaultParagraphFont"/>
    <w:uiPriority w:val="19"/>
    <w:rsid w:val="00D0227A"/>
    <w:rPr>
      <w:rFonts w:ascii="Times New Roman" w:hAnsi="Times New Roman"/>
      <w:b/>
      <w:caps/>
      <w:smallCaps w:val="0"/>
      <w:strike w:val="0"/>
      <w:dstrike w:val="0"/>
      <w:vanish w:val="0"/>
      <w:sz w:val="28"/>
      <w:vertAlign w:val="baseline"/>
    </w:rPr>
  </w:style>
  <w:style w:type="paragraph" w:styleId="EndnoteText">
    <w:name w:val="endnote text"/>
    <w:basedOn w:val="Normal"/>
    <w:link w:val="EndnoteTextChar"/>
    <w:uiPriority w:val="99"/>
    <w:semiHidden/>
    <w:unhideWhenUsed/>
    <w:rsid w:val="00D0227A"/>
    <w:pPr>
      <w:spacing w:after="0" w:afterAutospacing="1" w:line="240" w:lineRule="auto"/>
      <w:ind w:firstLine="284"/>
      <w:jc w:val="both"/>
    </w:pPr>
    <w:rPr>
      <w:rFonts w:asciiTheme="majorBidi" w:eastAsiaTheme="minorEastAsia" w:hAnsiTheme="majorBidi"/>
      <w:kern w:val="0"/>
      <w:sz w:val="20"/>
      <w:szCs w:val="20"/>
      <w:lang w:val="en-GB"/>
      <w14:ligatures w14:val="none"/>
    </w:rPr>
  </w:style>
  <w:style w:type="character" w:customStyle="1" w:styleId="EndnoteTextChar">
    <w:name w:val="Endnote Text Char"/>
    <w:basedOn w:val="DefaultParagraphFont"/>
    <w:link w:val="EndnoteText"/>
    <w:uiPriority w:val="99"/>
    <w:semiHidden/>
    <w:rsid w:val="00D0227A"/>
    <w:rPr>
      <w:rFonts w:asciiTheme="majorBidi" w:eastAsiaTheme="minorEastAsia" w:hAnsiTheme="majorBidi"/>
      <w:kern w:val="0"/>
      <w:sz w:val="20"/>
      <w:szCs w:val="20"/>
      <w:lang w:val="en-GB"/>
      <w14:ligatures w14:val="none"/>
    </w:rPr>
  </w:style>
  <w:style w:type="character" w:styleId="CommentReference">
    <w:name w:val="annotation reference"/>
    <w:basedOn w:val="DefaultParagraphFont"/>
    <w:uiPriority w:val="99"/>
    <w:semiHidden/>
    <w:unhideWhenUsed/>
    <w:rsid w:val="00D0227A"/>
    <w:rPr>
      <w:sz w:val="16"/>
      <w:szCs w:val="16"/>
    </w:rPr>
  </w:style>
  <w:style w:type="paragraph" w:styleId="CommentText">
    <w:name w:val="annotation text"/>
    <w:basedOn w:val="Normal"/>
    <w:link w:val="CommentTextChar"/>
    <w:uiPriority w:val="99"/>
    <w:unhideWhenUsed/>
    <w:rsid w:val="00D0227A"/>
    <w:pPr>
      <w:spacing w:after="100" w:afterAutospacing="1" w:line="240" w:lineRule="auto"/>
      <w:ind w:firstLine="284"/>
      <w:jc w:val="both"/>
    </w:pPr>
    <w:rPr>
      <w:rFonts w:asciiTheme="majorBidi" w:eastAsiaTheme="minorEastAsia" w:hAnsiTheme="majorBidi"/>
      <w:kern w:val="0"/>
      <w:sz w:val="20"/>
      <w:szCs w:val="20"/>
      <w:lang w:val="en-GB"/>
      <w14:ligatures w14:val="none"/>
    </w:rPr>
  </w:style>
  <w:style w:type="character" w:customStyle="1" w:styleId="CommentTextChar">
    <w:name w:val="Comment Text Char"/>
    <w:basedOn w:val="DefaultParagraphFont"/>
    <w:link w:val="CommentText"/>
    <w:uiPriority w:val="99"/>
    <w:rsid w:val="00D0227A"/>
    <w:rPr>
      <w:rFonts w:asciiTheme="majorBidi" w:eastAsiaTheme="minorEastAsia" w:hAnsiTheme="majorBid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0227A"/>
    <w:rPr>
      <w:b/>
      <w:bCs/>
    </w:rPr>
  </w:style>
  <w:style w:type="character" w:customStyle="1" w:styleId="CommentSubjectChar">
    <w:name w:val="Comment Subject Char"/>
    <w:basedOn w:val="CommentTextChar"/>
    <w:link w:val="CommentSubject"/>
    <w:uiPriority w:val="99"/>
    <w:semiHidden/>
    <w:rsid w:val="00D0227A"/>
    <w:rPr>
      <w:rFonts w:asciiTheme="majorBidi" w:eastAsiaTheme="minorEastAsia" w:hAnsiTheme="majorBidi"/>
      <w:b/>
      <w:bCs/>
      <w:kern w:val="0"/>
      <w:sz w:val="20"/>
      <w:szCs w:val="20"/>
      <w:lang w:val="en-GB"/>
      <w14:ligatures w14:val="none"/>
    </w:rPr>
  </w:style>
  <w:style w:type="paragraph" w:styleId="NoSpacing">
    <w:name w:val="No Spacing"/>
    <w:uiPriority w:val="19"/>
    <w:qFormat/>
    <w:rsid w:val="00D0227A"/>
    <w:pPr>
      <w:spacing w:after="0" w:line="240" w:lineRule="auto"/>
    </w:pPr>
    <w:rPr>
      <w:rFonts w:ascii="Times New Roman" w:eastAsia="Calibri" w:hAnsi="Times New Roman" w:cs="Arial"/>
      <w:color w:val="000000" w:themeColor="text1"/>
      <w:kern w:val="0"/>
      <w:szCs w:val="22"/>
      <w14:ligatures w14:val="none"/>
    </w:rPr>
  </w:style>
  <w:style w:type="paragraph" w:styleId="TOCHeading">
    <w:name w:val="TOC Heading"/>
    <w:basedOn w:val="Heading1"/>
    <w:next w:val="Normal"/>
    <w:uiPriority w:val="39"/>
    <w:unhideWhenUsed/>
    <w:qFormat/>
    <w:rsid w:val="00D0227A"/>
    <w:pPr>
      <w:pageBreakBefore/>
      <w:spacing w:before="100" w:beforeAutospacing="1" w:after="100" w:afterAutospacing="1" w:line="276" w:lineRule="auto"/>
      <w:jc w:val="center"/>
      <w:outlineLvl w:val="9"/>
    </w:pPr>
    <w:rPr>
      <w:b/>
      <w:bCs/>
      <w:caps/>
      <w:kern w:val="0"/>
      <w:sz w:val="24"/>
      <w:szCs w:val="28"/>
      <w:lang w:val="en-GB"/>
      <w14:ligatures w14:val="none"/>
    </w:rPr>
  </w:style>
  <w:style w:type="paragraph" w:customStyle="1" w:styleId="F7">
    <w:name w:val="F 7"/>
    <w:basedOn w:val="Normal"/>
    <w:link w:val="F7Char"/>
    <w:uiPriority w:val="19"/>
    <w:qFormat/>
    <w:rsid w:val="00D0227A"/>
    <w:pPr>
      <w:spacing w:after="100" w:afterAutospacing="1" w:line="480" w:lineRule="auto"/>
      <w:ind w:firstLine="284"/>
      <w:jc w:val="both"/>
    </w:pPr>
    <w:rPr>
      <w:rFonts w:asciiTheme="majorBidi" w:eastAsiaTheme="minorEastAsia" w:hAnsiTheme="majorBidi"/>
      <w:kern w:val="0"/>
      <w:szCs w:val="22"/>
      <w:lang w:val="en-GB"/>
      <w14:ligatures w14:val="none"/>
    </w:rPr>
  </w:style>
  <w:style w:type="paragraph" w:styleId="TableofFigures">
    <w:name w:val="table of figures"/>
    <w:basedOn w:val="Normal"/>
    <w:next w:val="Normal"/>
    <w:uiPriority w:val="99"/>
    <w:unhideWhenUsed/>
    <w:rsid w:val="00D0227A"/>
    <w:pPr>
      <w:spacing w:after="100" w:afterAutospacing="1" w:line="276" w:lineRule="auto"/>
      <w:jc w:val="both"/>
    </w:pPr>
    <w:rPr>
      <w:rFonts w:asciiTheme="majorBidi" w:eastAsiaTheme="minorEastAsia" w:hAnsiTheme="majorBidi"/>
      <w:kern w:val="0"/>
      <w:szCs w:val="22"/>
      <w:lang w:val="en-GB"/>
      <w14:ligatures w14:val="none"/>
    </w:rPr>
  </w:style>
  <w:style w:type="paragraph" w:styleId="TOC2">
    <w:name w:val="toc 2"/>
    <w:basedOn w:val="Normal"/>
    <w:next w:val="Normal"/>
    <w:autoRedefine/>
    <w:uiPriority w:val="39"/>
    <w:unhideWhenUsed/>
    <w:qFormat/>
    <w:rsid w:val="00D0227A"/>
    <w:pPr>
      <w:tabs>
        <w:tab w:val="left" w:pos="1803"/>
        <w:tab w:val="right" w:leader="dot" w:pos="8495"/>
      </w:tabs>
      <w:spacing w:before="480" w:after="0" w:line="480" w:lineRule="auto"/>
      <w:jc w:val="both"/>
    </w:pPr>
    <w:rPr>
      <w:rFonts w:ascii="Times New Roman" w:eastAsiaTheme="minorEastAsia" w:hAnsi="Times New Roman"/>
      <w:b/>
      <w:caps/>
      <w:kern w:val="0"/>
      <w:szCs w:val="22"/>
      <w:lang w:val="en-GB"/>
      <w14:ligatures w14:val="none"/>
    </w:rPr>
  </w:style>
  <w:style w:type="character" w:customStyle="1" w:styleId="F7Char">
    <w:name w:val="F 7 Char"/>
    <w:basedOn w:val="DefaultParagraphFont"/>
    <w:link w:val="F7"/>
    <w:uiPriority w:val="19"/>
    <w:rsid w:val="00D0227A"/>
    <w:rPr>
      <w:rFonts w:asciiTheme="majorBidi" w:eastAsiaTheme="minorEastAsia" w:hAnsiTheme="majorBidi"/>
      <w:kern w:val="0"/>
      <w:szCs w:val="22"/>
      <w:lang w:val="en-GB"/>
      <w14:ligatures w14:val="none"/>
    </w:rPr>
  </w:style>
  <w:style w:type="paragraph" w:styleId="TOC1">
    <w:name w:val="toc 1"/>
    <w:basedOn w:val="Normal"/>
    <w:next w:val="Normal"/>
    <w:autoRedefine/>
    <w:uiPriority w:val="39"/>
    <w:unhideWhenUsed/>
    <w:qFormat/>
    <w:rsid w:val="00D0227A"/>
    <w:pPr>
      <w:tabs>
        <w:tab w:val="right" w:leader="dot" w:pos="8495"/>
      </w:tabs>
      <w:spacing w:after="0" w:line="480" w:lineRule="auto"/>
      <w:jc w:val="both"/>
    </w:pPr>
    <w:rPr>
      <w:rFonts w:ascii="Times New Roman" w:eastAsiaTheme="minorEastAsia" w:hAnsi="Times New Roman"/>
      <w:noProof/>
      <w:kern w:val="0"/>
      <w:szCs w:val="22"/>
      <w:lang w:val="en-GB"/>
      <w14:ligatures w14:val="none"/>
    </w:rPr>
  </w:style>
  <w:style w:type="paragraph" w:styleId="TOC3">
    <w:name w:val="toc 3"/>
    <w:basedOn w:val="Normal"/>
    <w:next w:val="Normal"/>
    <w:autoRedefine/>
    <w:uiPriority w:val="39"/>
    <w:unhideWhenUsed/>
    <w:qFormat/>
    <w:rsid w:val="00D0227A"/>
    <w:pPr>
      <w:tabs>
        <w:tab w:val="left" w:pos="0"/>
        <w:tab w:val="left" w:pos="1304"/>
        <w:tab w:val="right" w:leader="dot" w:pos="8495"/>
      </w:tabs>
      <w:spacing w:after="0" w:line="480" w:lineRule="auto"/>
      <w:ind w:left="567" w:hanging="567"/>
      <w:jc w:val="both"/>
    </w:pPr>
    <w:rPr>
      <w:rFonts w:ascii="Times New Roman" w:eastAsiaTheme="minorEastAsia" w:hAnsi="Times New Roman"/>
      <w:noProof/>
      <w:kern w:val="0"/>
      <w:szCs w:val="22"/>
      <w:lang w:val="en-GB"/>
      <w14:ligatures w14:val="none"/>
    </w:rPr>
  </w:style>
  <w:style w:type="paragraph" w:styleId="TOC5">
    <w:name w:val="toc 5"/>
    <w:basedOn w:val="Normal"/>
    <w:next w:val="Normal"/>
    <w:autoRedefine/>
    <w:uiPriority w:val="39"/>
    <w:unhideWhenUsed/>
    <w:rsid w:val="00D0227A"/>
    <w:pPr>
      <w:tabs>
        <w:tab w:val="left" w:pos="2921"/>
        <w:tab w:val="right" w:leader="dot" w:pos="8495"/>
      </w:tabs>
      <w:spacing w:after="0" w:line="480" w:lineRule="auto"/>
      <w:ind w:left="2269" w:hanging="851"/>
      <w:jc w:val="both"/>
    </w:pPr>
    <w:rPr>
      <w:rFonts w:asciiTheme="majorBidi" w:eastAsiaTheme="minorEastAsia" w:hAnsiTheme="majorBidi"/>
      <w:kern w:val="0"/>
      <w:szCs w:val="22"/>
      <w:lang w:val="en-GB"/>
      <w14:ligatures w14:val="none"/>
    </w:rPr>
  </w:style>
  <w:style w:type="paragraph" w:styleId="TOC4">
    <w:name w:val="toc 4"/>
    <w:basedOn w:val="Normal"/>
    <w:next w:val="Normal"/>
    <w:autoRedefine/>
    <w:uiPriority w:val="39"/>
    <w:unhideWhenUsed/>
    <w:rsid w:val="00D0227A"/>
    <w:pPr>
      <w:tabs>
        <w:tab w:val="left" w:pos="1760"/>
        <w:tab w:val="right" w:leader="dot" w:pos="8495"/>
      </w:tabs>
      <w:spacing w:after="0" w:line="480" w:lineRule="auto"/>
      <w:ind w:left="1361" w:hanging="794"/>
      <w:jc w:val="both"/>
    </w:pPr>
    <w:rPr>
      <w:rFonts w:asciiTheme="majorBidi" w:eastAsiaTheme="minorEastAsia" w:hAnsiTheme="majorBidi"/>
      <w:noProof/>
      <w:kern w:val="0"/>
      <w:szCs w:val="22"/>
      <w:lang w:val="en-GB"/>
      <w14:ligatures w14:val="none"/>
    </w:rPr>
  </w:style>
  <w:style w:type="paragraph" w:customStyle="1" w:styleId="Bulletlist">
    <w:name w:val="Bullet list"/>
    <w:basedOn w:val="ListBullet"/>
    <w:next w:val="Normal"/>
    <w:uiPriority w:val="19"/>
    <w:qFormat/>
    <w:rsid w:val="00D0227A"/>
    <w:pPr>
      <w:numPr>
        <w:numId w:val="0"/>
      </w:numPr>
    </w:pPr>
  </w:style>
  <w:style w:type="paragraph" w:styleId="ListBullet">
    <w:name w:val="List Bullet"/>
    <w:basedOn w:val="Normal"/>
    <w:uiPriority w:val="99"/>
    <w:semiHidden/>
    <w:unhideWhenUsed/>
    <w:rsid w:val="00D0227A"/>
    <w:pPr>
      <w:numPr>
        <w:numId w:val="1"/>
      </w:numPr>
      <w:tabs>
        <w:tab w:val="clear" w:pos="360"/>
      </w:tabs>
      <w:spacing w:after="100" w:afterAutospacing="1" w:line="480" w:lineRule="auto"/>
      <w:ind w:left="0" w:firstLine="0"/>
      <w:contextualSpacing/>
      <w:jc w:val="both"/>
    </w:pPr>
    <w:rPr>
      <w:rFonts w:asciiTheme="majorBidi" w:eastAsiaTheme="minorEastAsia" w:hAnsiTheme="majorBidi"/>
      <w:kern w:val="0"/>
      <w:szCs w:val="22"/>
      <w:lang w:val="en-GB"/>
      <w14:ligatures w14:val="none"/>
    </w:rPr>
  </w:style>
  <w:style w:type="paragraph" w:styleId="Footer">
    <w:name w:val="footer"/>
    <w:basedOn w:val="Normal"/>
    <w:link w:val="FooterChar"/>
    <w:uiPriority w:val="99"/>
    <w:unhideWhenUsed/>
    <w:qFormat/>
    <w:rsid w:val="00D0227A"/>
    <w:pPr>
      <w:tabs>
        <w:tab w:val="center" w:pos="4680"/>
        <w:tab w:val="right" w:pos="9360"/>
      </w:tabs>
      <w:spacing w:after="100" w:afterAutospacing="1" w:line="240" w:lineRule="auto"/>
      <w:ind w:firstLine="284"/>
      <w:jc w:val="both"/>
    </w:pPr>
    <w:rPr>
      <w:rFonts w:asciiTheme="majorBidi" w:eastAsiaTheme="minorEastAsia" w:hAnsiTheme="majorBidi"/>
      <w:kern w:val="0"/>
      <w:sz w:val="16"/>
      <w:szCs w:val="22"/>
      <w:lang w:val="en-GB"/>
      <w14:ligatures w14:val="none"/>
    </w:rPr>
  </w:style>
  <w:style w:type="character" w:customStyle="1" w:styleId="FooterChar">
    <w:name w:val="Footer Char"/>
    <w:basedOn w:val="DefaultParagraphFont"/>
    <w:link w:val="Footer"/>
    <w:uiPriority w:val="99"/>
    <w:rsid w:val="00D0227A"/>
    <w:rPr>
      <w:rFonts w:asciiTheme="majorBidi" w:eastAsiaTheme="minorEastAsia" w:hAnsiTheme="majorBidi"/>
      <w:kern w:val="0"/>
      <w:sz w:val="16"/>
      <w:szCs w:val="22"/>
      <w:lang w:val="en-GB"/>
      <w14:ligatures w14:val="none"/>
    </w:rPr>
  </w:style>
  <w:style w:type="paragraph" w:customStyle="1" w:styleId="indent">
    <w:name w:val="indent"/>
    <w:basedOn w:val="Normal"/>
    <w:uiPriority w:val="2"/>
    <w:qFormat/>
    <w:rsid w:val="00D0227A"/>
    <w:pPr>
      <w:spacing w:after="100" w:afterAutospacing="1" w:line="480" w:lineRule="auto"/>
      <w:ind w:left="794" w:firstLine="170"/>
      <w:jc w:val="both"/>
    </w:pPr>
    <w:rPr>
      <w:rFonts w:asciiTheme="majorBidi" w:eastAsiaTheme="minorEastAsia" w:hAnsiTheme="majorBidi"/>
      <w:kern w:val="0"/>
      <w:szCs w:val="22"/>
      <w:lang w:val="en-GB"/>
      <w14:ligatures w14:val="none"/>
    </w:rPr>
  </w:style>
  <w:style w:type="paragraph" w:customStyle="1" w:styleId="Noindent">
    <w:name w:val="No indent"/>
    <w:basedOn w:val="Normal"/>
    <w:next w:val="Normal"/>
    <w:uiPriority w:val="2"/>
    <w:qFormat/>
    <w:rsid w:val="00D0227A"/>
    <w:pPr>
      <w:spacing w:after="100" w:afterAutospacing="1" w:line="480" w:lineRule="auto"/>
      <w:ind w:firstLine="284"/>
      <w:jc w:val="both"/>
    </w:pPr>
    <w:rPr>
      <w:rFonts w:asciiTheme="majorBidi" w:eastAsiaTheme="minorEastAsia" w:hAnsiTheme="majorBidi"/>
      <w:kern w:val="0"/>
      <w:szCs w:val="22"/>
      <w:lang w:val="en-GB"/>
      <w14:ligatures w14:val="none"/>
    </w:rPr>
  </w:style>
  <w:style w:type="numbering" w:customStyle="1" w:styleId="StyleUM">
    <w:name w:val="Style UM"/>
    <w:uiPriority w:val="99"/>
    <w:rsid w:val="00D0227A"/>
    <w:pPr>
      <w:numPr>
        <w:numId w:val="2"/>
      </w:numPr>
    </w:pPr>
  </w:style>
  <w:style w:type="paragraph" w:customStyle="1" w:styleId="textquote">
    <w:name w:val="text quote"/>
    <w:aliases w:val="tq"/>
    <w:basedOn w:val="Normal"/>
    <w:next w:val="Normal"/>
    <w:uiPriority w:val="2"/>
    <w:rsid w:val="00D0227A"/>
    <w:pPr>
      <w:overflowPunct w:val="0"/>
      <w:autoSpaceDE w:val="0"/>
      <w:autoSpaceDN w:val="0"/>
      <w:adjustRightInd w:val="0"/>
      <w:spacing w:before="240" w:after="0" w:line="480" w:lineRule="auto"/>
      <w:ind w:left="737"/>
      <w:jc w:val="both"/>
      <w:textAlignment w:val="baseline"/>
    </w:pPr>
    <w:rPr>
      <w:rFonts w:ascii="Times" w:eastAsia="Times New Roman" w:hAnsi="Times" w:cs="Times New Roman"/>
      <w:kern w:val="0"/>
      <w:szCs w:val="20"/>
      <w:lang w:val="en-GB"/>
      <w14:ligatures w14:val="none"/>
    </w:rPr>
  </w:style>
  <w:style w:type="character" w:styleId="Hyperlink">
    <w:name w:val="Hyperlink"/>
    <w:basedOn w:val="DefaultParagraphFont"/>
    <w:uiPriority w:val="99"/>
    <w:unhideWhenUsed/>
    <w:rsid w:val="00D0227A"/>
    <w:rPr>
      <w:color w:val="467886" w:themeColor="hyperlink"/>
      <w:u w:val="single"/>
    </w:rPr>
  </w:style>
  <w:style w:type="paragraph" w:customStyle="1" w:styleId="AbstractText">
    <w:name w:val="Abstract Text"/>
    <w:basedOn w:val="Normal"/>
    <w:uiPriority w:val="2"/>
    <w:qFormat/>
    <w:rsid w:val="00D0227A"/>
    <w:pPr>
      <w:spacing w:after="100" w:afterAutospacing="1" w:line="480" w:lineRule="auto"/>
      <w:ind w:firstLine="284"/>
      <w:jc w:val="both"/>
    </w:pPr>
    <w:rPr>
      <w:rFonts w:ascii="Times New Roman" w:eastAsiaTheme="minorEastAsia" w:hAnsi="Times New Roman"/>
      <w:kern w:val="0"/>
      <w:szCs w:val="22"/>
      <w:lang w:val="en-GB"/>
      <w14:ligatures w14:val="none"/>
    </w:rPr>
  </w:style>
  <w:style w:type="paragraph" w:customStyle="1" w:styleId="CoverTitle">
    <w:name w:val="Cover Title"/>
    <w:basedOn w:val="Normal"/>
    <w:uiPriority w:val="1"/>
    <w:qFormat/>
    <w:rsid w:val="00D0227A"/>
    <w:pPr>
      <w:spacing w:after="0" w:line="240" w:lineRule="auto"/>
      <w:ind w:firstLine="284"/>
      <w:jc w:val="center"/>
    </w:pPr>
    <w:rPr>
      <w:rFonts w:ascii="Times New Roman" w:eastAsiaTheme="minorEastAsia" w:hAnsi="Times New Roman" w:cs="Times New Roman"/>
      <w:b/>
      <w:bCs/>
      <w:kern w:val="0"/>
      <w:sz w:val="28"/>
      <w:szCs w:val="28"/>
      <w:lang w:val="en-GB"/>
      <w14:ligatures w14:val="none"/>
    </w:rPr>
  </w:style>
  <w:style w:type="paragraph" w:customStyle="1" w:styleId="AbstractTitle">
    <w:name w:val="Abstract Title"/>
    <w:basedOn w:val="Heading1"/>
    <w:next w:val="AbstractText"/>
    <w:uiPriority w:val="1"/>
    <w:qFormat/>
    <w:rsid w:val="00D0227A"/>
    <w:pPr>
      <w:pageBreakBefore/>
      <w:spacing w:beforeLines="100" w:before="100" w:beforeAutospacing="1" w:after="100" w:afterAutospacing="1" w:line="480" w:lineRule="auto"/>
      <w:jc w:val="center"/>
    </w:pPr>
    <w:rPr>
      <w:rFonts w:ascii="Times New Roman" w:hAnsi="Times New Roman" w:cs="Times New Roman"/>
      <w:b/>
      <w:bCs/>
      <w:caps/>
      <w:color w:val="000000" w:themeColor="text1"/>
      <w:kern w:val="0"/>
      <w:sz w:val="24"/>
      <w:szCs w:val="28"/>
      <w:lang w:val="en-GB"/>
      <w14:ligatures w14:val="none"/>
    </w:rPr>
  </w:style>
  <w:style w:type="paragraph" w:customStyle="1" w:styleId="AckTitle">
    <w:name w:val="Ack Title"/>
    <w:basedOn w:val="Heading1"/>
    <w:next w:val="Normal"/>
    <w:uiPriority w:val="1"/>
    <w:qFormat/>
    <w:rsid w:val="00D0227A"/>
    <w:pPr>
      <w:pageBreakBefore/>
      <w:spacing w:before="100" w:beforeAutospacing="1" w:after="100" w:afterAutospacing="1" w:line="480" w:lineRule="auto"/>
      <w:jc w:val="center"/>
    </w:pPr>
    <w:rPr>
      <w:rFonts w:ascii="Times New Roman" w:hAnsi="Times New Roman"/>
      <w:b/>
      <w:bCs/>
      <w:caps/>
      <w:color w:val="000000" w:themeColor="text1"/>
      <w:kern w:val="0"/>
      <w:sz w:val="24"/>
      <w:szCs w:val="28"/>
      <w:lang w:val="en-GB"/>
      <w14:ligatures w14:val="none"/>
    </w:rPr>
  </w:style>
  <w:style w:type="paragraph" w:customStyle="1" w:styleId="Othertitle">
    <w:name w:val="Other title"/>
    <w:basedOn w:val="Heading1"/>
    <w:uiPriority w:val="1"/>
    <w:qFormat/>
    <w:rsid w:val="00D0227A"/>
    <w:pPr>
      <w:pageBreakBefore/>
      <w:spacing w:before="100" w:beforeAutospacing="1" w:after="100" w:afterAutospacing="1" w:line="480" w:lineRule="auto"/>
      <w:jc w:val="center"/>
    </w:pPr>
    <w:rPr>
      <w:rFonts w:asciiTheme="majorBidi" w:eastAsiaTheme="minorHAnsi" w:hAnsiTheme="majorBidi"/>
      <w:b/>
      <w:bCs/>
      <w:caps/>
      <w:color w:val="000000" w:themeColor="text1"/>
      <w:kern w:val="0"/>
      <w:sz w:val="24"/>
      <w:szCs w:val="28"/>
      <w:lang w:val="en-GB"/>
      <w14:ligatures w14:val="none"/>
    </w:rPr>
  </w:style>
  <w:style w:type="paragraph" w:customStyle="1" w:styleId="RefTitle">
    <w:name w:val="Ref Title"/>
    <w:basedOn w:val="Heading1"/>
    <w:next w:val="Bibliography"/>
    <w:uiPriority w:val="1"/>
    <w:qFormat/>
    <w:rsid w:val="00D0227A"/>
    <w:pPr>
      <w:pageBreakBefore/>
      <w:spacing w:before="100" w:beforeAutospacing="1" w:after="100" w:afterAutospacing="1" w:line="480" w:lineRule="auto"/>
      <w:jc w:val="center"/>
    </w:pPr>
    <w:rPr>
      <w:rFonts w:asciiTheme="majorBidi" w:hAnsiTheme="majorBidi"/>
      <w:b/>
      <w:caps/>
      <w:color w:val="auto"/>
      <w:kern w:val="0"/>
      <w:sz w:val="24"/>
      <w:szCs w:val="28"/>
      <w:lang w:val="en-GB"/>
      <w14:ligatures w14:val="none"/>
    </w:rPr>
  </w:style>
  <w:style w:type="paragraph" w:styleId="Bibliography">
    <w:name w:val="Bibliography"/>
    <w:basedOn w:val="Normal"/>
    <w:next w:val="Normal"/>
    <w:uiPriority w:val="37"/>
    <w:semiHidden/>
    <w:unhideWhenUsed/>
    <w:rsid w:val="00D0227A"/>
    <w:pPr>
      <w:spacing w:after="100" w:afterAutospacing="1" w:line="480" w:lineRule="auto"/>
      <w:ind w:firstLine="284"/>
      <w:jc w:val="both"/>
    </w:pPr>
    <w:rPr>
      <w:rFonts w:asciiTheme="majorBidi" w:eastAsiaTheme="minorEastAsia" w:hAnsiTheme="majorBidi"/>
      <w:kern w:val="0"/>
      <w:szCs w:val="22"/>
      <w:lang w:val="en-GB"/>
      <w14:ligatures w14:val="none"/>
    </w:rPr>
  </w:style>
  <w:style w:type="table" w:styleId="TableGrid">
    <w:name w:val="Table Grid"/>
    <w:basedOn w:val="TableNormal"/>
    <w:uiPriority w:val="59"/>
    <w:rsid w:val="00D0227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27A"/>
    <w:pPr>
      <w:tabs>
        <w:tab w:val="center" w:pos="4680"/>
        <w:tab w:val="right" w:pos="9360"/>
      </w:tabs>
      <w:spacing w:after="0" w:afterAutospacing="1" w:line="240" w:lineRule="auto"/>
      <w:ind w:firstLine="284"/>
      <w:jc w:val="both"/>
    </w:pPr>
    <w:rPr>
      <w:rFonts w:asciiTheme="majorBidi" w:eastAsiaTheme="minorEastAsia" w:hAnsiTheme="majorBidi"/>
      <w:kern w:val="0"/>
      <w:szCs w:val="22"/>
      <w:lang w:val="en-GB"/>
      <w14:ligatures w14:val="none"/>
    </w:rPr>
  </w:style>
  <w:style w:type="character" w:customStyle="1" w:styleId="HeaderChar">
    <w:name w:val="Header Char"/>
    <w:basedOn w:val="DefaultParagraphFont"/>
    <w:link w:val="Header"/>
    <w:uiPriority w:val="99"/>
    <w:rsid w:val="00D0227A"/>
    <w:rPr>
      <w:rFonts w:asciiTheme="majorBidi" w:eastAsiaTheme="minorEastAsia" w:hAnsiTheme="majorBidi"/>
      <w:kern w:val="0"/>
      <w:szCs w:val="22"/>
      <w:lang w:val="en-GB"/>
      <w14:ligatures w14:val="none"/>
    </w:rPr>
  </w:style>
  <w:style w:type="character" w:styleId="EndnoteReference">
    <w:name w:val="endnote reference"/>
    <w:basedOn w:val="DefaultParagraphFont"/>
    <w:uiPriority w:val="99"/>
    <w:semiHidden/>
    <w:unhideWhenUsed/>
    <w:rsid w:val="00D0227A"/>
    <w:rPr>
      <w:vertAlign w:val="superscript"/>
    </w:rPr>
  </w:style>
  <w:style w:type="paragraph" w:customStyle="1" w:styleId="Body">
    <w:name w:val="Body"/>
    <w:basedOn w:val="Normal"/>
    <w:uiPriority w:val="19"/>
    <w:qFormat/>
    <w:rsid w:val="00D0227A"/>
    <w:pPr>
      <w:spacing w:after="0" w:line="360" w:lineRule="auto"/>
      <w:ind w:firstLine="284"/>
      <w:jc w:val="both"/>
    </w:pPr>
    <w:rPr>
      <w:rFonts w:asciiTheme="majorBidi" w:eastAsiaTheme="minorEastAsia" w:hAnsiTheme="majorBidi"/>
      <w:kern w:val="0"/>
      <w:szCs w:val="22"/>
      <w:lang w:val="en-GB"/>
      <w14:ligatures w14:val="none"/>
    </w:rPr>
  </w:style>
  <w:style w:type="paragraph" w:styleId="TOC6">
    <w:name w:val="toc 6"/>
    <w:basedOn w:val="Normal"/>
    <w:next w:val="Normal"/>
    <w:autoRedefine/>
    <w:uiPriority w:val="39"/>
    <w:unhideWhenUsed/>
    <w:rsid w:val="00D0227A"/>
    <w:pPr>
      <w:tabs>
        <w:tab w:val="left" w:pos="2527"/>
        <w:tab w:val="right" w:leader="dot" w:pos="8495"/>
      </w:tabs>
      <w:spacing w:after="0" w:line="480" w:lineRule="auto"/>
      <w:ind w:left="2269" w:hanging="851"/>
      <w:jc w:val="both"/>
    </w:pPr>
    <w:rPr>
      <w:rFonts w:asciiTheme="majorBidi" w:eastAsiaTheme="minorEastAsia" w:hAnsiTheme="majorBidi"/>
      <w:kern w:val="0"/>
      <w:szCs w:val="22"/>
      <w:lang w:val="en-GB"/>
      <w14:ligatures w14:val="none"/>
    </w:rPr>
  </w:style>
  <w:style w:type="character" w:styleId="FootnoteReference">
    <w:name w:val="footnote reference"/>
    <w:basedOn w:val="DefaultParagraphFont"/>
    <w:uiPriority w:val="99"/>
    <w:semiHidden/>
    <w:unhideWhenUsed/>
    <w:rsid w:val="00D0227A"/>
    <w:rPr>
      <w:vertAlign w:val="superscript"/>
    </w:rPr>
  </w:style>
  <w:style w:type="paragraph" w:styleId="FootnoteText">
    <w:name w:val="footnote text"/>
    <w:basedOn w:val="Normal"/>
    <w:link w:val="FootnoteTextChar"/>
    <w:uiPriority w:val="99"/>
    <w:semiHidden/>
    <w:unhideWhenUsed/>
    <w:rsid w:val="00D0227A"/>
    <w:pPr>
      <w:spacing w:after="0" w:afterAutospacing="1" w:line="240" w:lineRule="auto"/>
      <w:ind w:firstLine="284"/>
      <w:jc w:val="both"/>
    </w:pPr>
    <w:rPr>
      <w:rFonts w:asciiTheme="majorBidi" w:eastAsiaTheme="minorEastAsia" w:hAnsiTheme="majorBidi"/>
      <w:kern w:val="0"/>
      <w:sz w:val="20"/>
      <w:szCs w:val="20"/>
      <w:lang w:val="en-GB"/>
      <w14:ligatures w14:val="none"/>
    </w:rPr>
  </w:style>
  <w:style w:type="character" w:customStyle="1" w:styleId="FootnoteTextChar">
    <w:name w:val="Footnote Text Char"/>
    <w:basedOn w:val="DefaultParagraphFont"/>
    <w:link w:val="FootnoteText"/>
    <w:uiPriority w:val="99"/>
    <w:semiHidden/>
    <w:rsid w:val="00D0227A"/>
    <w:rPr>
      <w:rFonts w:asciiTheme="majorBidi" w:eastAsiaTheme="minorEastAsia" w:hAnsiTheme="majorBidi"/>
      <w:kern w:val="0"/>
      <w:sz w:val="20"/>
      <w:szCs w:val="20"/>
      <w:lang w:val="en-GB"/>
      <w14:ligatures w14:val="none"/>
    </w:rPr>
  </w:style>
  <w:style w:type="paragraph" w:customStyle="1" w:styleId="AppendixsubTitle">
    <w:name w:val="Appendix subTitle"/>
    <w:basedOn w:val="Normal"/>
    <w:next w:val="Normal"/>
    <w:autoRedefine/>
    <w:uiPriority w:val="2"/>
    <w:rsid w:val="00D0227A"/>
    <w:pPr>
      <w:numPr>
        <w:numId w:val="3"/>
      </w:numPr>
      <w:spacing w:after="0" w:line="480" w:lineRule="auto"/>
      <w:ind w:left="0" w:firstLine="0"/>
      <w:jc w:val="both"/>
      <w:outlineLvl w:val="1"/>
    </w:pPr>
    <w:rPr>
      <w:rFonts w:asciiTheme="majorBidi" w:eastAsiaTheme="minorEastAsia" w:hAnsiTheme="majorBidi"/>
      <w:b/>
      <w:kern w:val="0"/>
      <w:szCs w:val="22"/>
      <w:lang w:val="en-GB"/>
      <w14:ligatures w14:val="none"/>
    </w:rPr>
  </w:style>
  <w:style w:type="paragraph" w:styleId="NormalWeb">
    <w:name w:val="Normal (Web)"/>
    <w:basedOn w:val="Normal"/>
    <w:uiPriority w:val="99"/>
    <w:unhideWhenUsed/>
    <w:rsid w:val="00D0227A"/>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table" w:styleId="PlainTable4">
    <w:name w:val="Plain Table 4"/>
    <w:basedOn w:val="TableNormal"/>
    <w:uiPriority w:val="44"/>
    <w:rsid w:val="00D0227A"/>
    <w:pPr>
      <w:spacing w:after="0" w:line="240" w:lineRule="auto"/>
    </w:pPr>
    <w:rPr>
      <w:rFonts w:eastAsiaTheme="minorEastAsia"/>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0227A"/>
    <w:pPr>
      <w:spacing w:after="0" w:line="240" w:lineRule="auto"/>
    </w:pPr>
    <w:rPr>
      <w:rFonts w:eastAsiaTheme="minorEastAsia"/>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D0227A"/>
    <w:pPr>
      <w:autoSpaceDE w:val="0"/>
      <w:autoSpaceDN w:val="0"/>
      <w:adjustRightInd w:val="0"/>
      <w:spacing w:after="0" w:line="240" w:lineRule="auto"/>
    </w:pPr>
    <w:rPr>
      <w:rFonts w:ascii="Times New Roman" w:eastAsiaTheme="minorEastAsia" w:hAnsi="Times New Roman" w:cs="Times New Roman"/>
      <w:color w:val="000000"/>
      <w:kern w:val="0"/>
      <w:lang w:eastAsia="zh-CN"/>
    </w:rPr>
  </w:style>
  <w:style w:type="paragraph" w:styleId="TOC7">
    <w:name w:val="toc 7"/>
    <w:basedOn w:val="Normal"/>
    <w:next w:val="Normal"/>
    <w:autoRedefine/>
    <w:uiPriority w:val="39"/>
    <w:unhideWhenUsed/>
    <w:rsid w:val="00D0227A"/>
    <w:pPr>
      <w:spacing w:after="100"/>
      <w:ind w:left="1440"/>
    </w:pPr>
    <w:rPr>
      <w:rFonts w:eastAsiaTheme="minorEastAsia"/>
      <w:lang w:eastAsia="zh-CN"/>
    </w:rPr>
  </w:style>
  <w:style w:type="paragraph" w:styleId="TOC8">
    <w:name w:val="toc 8"/>
    <w:basedOn w:val="Normal"/>
    <w:next w:val="Normal"/>
    <w:autoRedefine/>
    <w:uiPriority w:val="39"/>
    <w:unhideWhenUsed/>
    <w:rsid w:val="00D0227A"/>
    <w:pPr>
      <w:spacing w:after="100"/>
      <w:ind w:left="1680"/>
    </w:pPr>
    <w:rPr>
      <w:rFonts w:eastAsiaTheme="minorEastAsia"/>
      <w:lang w:eastAsia="zh-CN"/>
    </w:rPr>
  </w:style>
  <w:style w:type="paragraph" w:styleId="TOC9">
    <w:name w:val="toc 9"/>
    <w:basedOn w:val="Normal"/>
    <w:next w:val="Normal"/>
    <w:autoRedefine/>
    <w:uiPriority w:val="39"/>
    <w:unhideWhenUsed/>
    <w:rsid w:val="00D0227A"/>
    <w:pPr>
      <w:spacing w:after="100"/>
      <w:ind w:left="1920"/>
    </w:pPr>
    <w:rPr>
      <w:rFonts w:eastAsiaTheme="minorEastAsia"/>
      <w:lang w:eastAsia="zh-CN"/>
    </w:rPr>
  </w:style>
  <w:style w:type="character" w:styleId="UnresolvedMention">
    <w:name w:val="Unresolved Mention"/>
    <w:basedOn w:val="DefaultParagraphFont"/>
    <w:uiPriority w:val="99"/>
    <w:semiHidden/>
    <w:unhideWhenUsed/>
    <w:rsid w:val="00D0227A"/>
    <w:rPr>
      <w:color w:val="605E5C"/>
      <w:shd w:val="clear" w:color="auto" w:fill="E1DFDD"/>
    </w:rPr>
  </w:style>
  <w:style w:type="paragraph" w:customStyle="1" w:styleId="Style2">
    <w:name w:val="Style2"/>
    <w:basedOn w:val="Normal"/>
    <w:link w:val="Style2Char"/>
    <w:qFormat/>
    <w:rsid w:val="00D0227A"/>
    <w:pPr>
      <w:spacing w:after="0" w:line="480" w:lineRule="auto"/>
    </w:pPr>
    <w:rPr>
      <w:rFonts w:asciiTheme="majorBidi" w:eastAsiaTheme="minorEastAsia" w:hAnsiTheme="majorBidi" w:cs="Times New Roman"/>
      <w:color w:val="000000" w:themeColor="text1"/>
      <w:kern w:val="0"/>
      <w:lang w:val="en-GB"/>
      <w14:ligatures w14:val="none"/>
    </w:rPr>
  </w:style>
  <w:style w:type="character" w:customStyle="1" w:styleId="Style2Char">
    <w:name w:val="Style2 Char"/>
    <w:basedOn w:val="DefaultParagraphFont"/>
    <w:link w:val="Style2"/>
    <w:rsid w:val="00D0227A"/>
    <w:rPr>
      <w:rFonts w:asciiTheme="majorBidi" w:eastAsiaTheme="minorEastAsia" w:hAnsiTheme="majorBidi" w:cs="Times New Roman"/>
      <w:color w:val="000000" w:themeColor="text1"/>
      <w:kern w:val="0"/>
      <w:lang w:val="en-GB"/>
      <w14:ligatures w14:val="none"/>
    </w:rPr>
  </w:style>
  <w:style w:type="paragraph" w:customStyle="1" w:styleId="Style3">
    <w:name w:val="Style3"/>
    <w:basedOn w:val="Style2"/>
    <w:link w:val="Style3Char"/>
    <w:qFormat/>
    <w:rsid w:val="00D0227A"/>
  </w:style>
  <w:style w:type="character" w:customStyle="1" w:styleId="Style3Char">
    <w:name w:val="Style3 Char"/>
    <w:basedOn w:val="Style2Char"/>
    <w:link w:val="Style3"/>
    <w:rsid w:val="00D0227A"/>
    <w:rPr>
      <w:rFonts w:asciiTheme="majorBidi" w:eastAsiaTheme="minorEastAsia" w:hAnsiTheme="majorBidi" w:cs="Times New Roman"/>
      <w:color w:val="000000" w:themeColor="text1"/>
      <w:kern w:val="0"/>
      <w:lang w:val="en-GB"/>
      <w14:ligatures w14:val="none"/>
    </w:rPr>
  </w:style>
  <w:style w:type="character" w:styleId="FollowedHyperlink">
    <w:name w:val="FollowedHyperlink"/>
    <w:basedOn w:val="DefaultParagraphFont"/>
    <w:uiPriority w:val="99"/>
    <w:semiHidden/>
    <w:unhideWhenUsed/>
    <w:rsid w:val="00D0227A"/>
    <w:rPr>
      <w:color w:val="96607D" w:themeColor="followedHyperlink"/>
      <w:u w:val="single"/>
    </w:rPr>
  </w:style>
  <w:style w:type="table" w:styleId="PlainTable5">
    <w:name w:val="Plain Table 5"/>
    <w:basedOn w:val="TableNormal"/>
    <w:uiPriority w:val="45"/>
    <w:rsid w:val="00D0227A"/>
    <w:pPr>
      <w:spacing w:after="0" w:line="240" w:lineRule="auto"/>
    </w:pPr>
    <w:rPr>
      <w:rFonts w:ascii="Arial" w:eastAsiaTheme="minorEastAsia" w:hAnsi="Arial" w:cs="Arial"/>
      <w:kern w:val="0"/>
      <w:sz w:val="18"/>
      <w:szCs w:val="18"/>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tab-span">
    <w:name w:val="apple-tab-span"/>
    <w:basedOn w:val="DefaultParagraphFont"/>
    <w:rsid w:val="00D0227A"/>
  </w:style>
  <w:style w:type="paragraph" w:styleId="Date">
    <w:name w:val="Date"/>
    <w:basedOn w:val="Normal"/>
    <w:next w:val="Normal"/>
    <w:link w:val="DateChar"/>
    <w:uiPriority w:val="99"/>
    <w:semiHidden/>
    <w:unhideWhenUsed/>
    <w:rsid w:val="00D0227A"/>
    <w:pPr>
      <w:spacing w:after="100" w:afterAutospacing="1" w:line="480" w:lineRule="auto"/>
      <w:ind w:firstLine="284"/>
      <w:jc w:val="both"/>
    </w:pPr>
    <w:rPr>
      <w:rFonts w:asciiTheme="majorBidi" w:eastAsiaTheme="minorEastAsia" w:hAnsiTheme="majorBidi"/>
      <w:kern w:val="0"/>
      <w:szCs w:val="22"/>
      <w:lang w:val="en-GB"/>
      <w14:ligatures w14:val="none"/>
    </w:rPr>
  </w:style>
  <w:style w:type="character" w:customStyle="1" w:styleId="DateChar">
    <w:name w:val="Date Char"/>
    <w:basedOn w:val="DefaultParagraphFont"/>
    <w:link w:val="Date"/>
    <w:uiPriority w:val="99"/>
    <w:semiHidden/>
    <w:rsid w:val="00D0227A"/>
    <w:rPr>
      <w:rFonts w:asciiTheme="majorBidi" w:eastAsiaTheme="minorEastAsia" w:hAnsiTheme="majorBidi"/>
      <w:kern w:val="0"/>
      <w:szCs w:val="22"/>
      <w:lang w:val="en-GB"/>
      <w14:ligatures w14:val="none"/>
    </w:rPr>
  </w:style>
  <w:style w:type="table" w:styleId="PlainTable2">
    <w:name w:val="Plain Table 2"/>
    <w:basedOn w:val="TableNormal"/>
    <w:uiPriority w:val="42"/>
    <w:rsid w:val="00D0227A"/>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D0227A"/>
    <w:pPr>
      <w:spacing w:after="0" w:line="240" w:lineRule="auto"/>
    </w:pPr>
    <w:rPr>
      <w:rFonts w:asciiTheme="majorBidi" w:eastAsiaTheme="minorEastAsia" w:hAnsiTheme="majorBidi"/>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191/ETS.202404_27(2).RP03" TargetMode="External"/><Relationship Id="rId18" Type="http://schemas.openxmlformats.org/officeDocument/2006/relationships/hyperlink" Target="https://www.google.com/search?q=https://doi.org/10.2478/hukin-2021-0040" TargetMode="External"/><Relationship Id="rId26" Type="http://schemas.openxmlformats.org/officeDocument/2006/relationships/hyperlink" Target="https://doi.org/10.1007/s10648-023-09740-6" TargetMode="External"/><Relationship Id="rId39" Type="http://schemas.openxmlformats.org/officeDocument/2006/relationships/hyperlink" Target="https://doi.org/10.3389/fpsyg.2022.990196" TargetMode="External"/><Relationship Id="rId21" Type="http://schemas.openxmlformats.org/officeDocument/2006/relationships/hyperlink" Target="https://doi.org/10.1186/s43031-022-00052-3" TargetMode="External"/><Relationship Id="rId34" Type="http://schemas.openxmlformats.org/officeDocument/2006/relationships/hyperlink" Target="https://www.cis.org.au/publication/why-inquiry-based-approaches-harm-students-learning/" TargetMode="External"/><Relationship Id="rId42" Type="http://schemas.openxmlformats.org/officeDocument/2006/relationships/theme" Target="theme/theme1.xml"/><Relationship Id="rId7" Type="http://schemas.openxmlformats.org/officeDocument/2006/relationships/hyperlink" Target="https://doi.org/10.1016/j.ijedro.2025.100439" TargetMode="External"/><Relationship Id="rId2" Type="http://schemas.openxmlformats.org/officeDocument/2006/relationships/styles" Target="styles.xml"/><Relationship Id="rId16" Type="http://schemas.openxmlformats.org/officeDocument/2006/relationships/hyperlink" Target="https://doi.org/10.3390/educsci14040357" TargetMode="External"/><Relationship Id="rId20" Type="http://schemas.openxmlformats.org/officeDocument/2006/relationships/hyperlink" Target="https://doi.org/10.30828/real.1440040" TargetMode="External"/><Relationship Id="rId29" Type="http://schemas.openxmlformats.org/officeDocument/2006/relationships/hyperlink" Target="https://doi.org/10.11591/ijere.v12i2.2304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80/02680513.2020.1774356" TargetMode="External"/><Relationship Id="rId11" Type="http://schemas.openxmlformats.org/officeDocument/2006/relationships/hyperlink" Target="https://doi.org/10.25969/mediarep/19789" TargetMode="External"/><Relationship Id="rId24" Type="http://schemas.openxmlformats.org/officeDocument/2006/relationships/hyperlink" Target="https://doi.org/10.14324/LRE.21.1.20" TargetMode="External"/><Relationship Id="rId32" Type="http://schemas.openxmlformats.org/officeDocument/2006/relationships/hyperlink" Target="https://ojed.org/jsard" TargetMode="External"/><Relationship Id="rId37" Type="http://schemas.openxmlformats.org/officeDocument/2006/relationships/hyperlink" Target="https://doi.org/10.4236/jss.2018.612001" TargetMode="External"/><Relationship Id="rId40" Type="http://schemas.openxmlformats.org/officeDocument/2006/relationships/hyperlink" Target="https://www.google.com/search?q=https://doi.org/10.3389/fpsyg.2025.1642654" TargetMode="External"/><Relationship Id="rId5" Type="http://schemas.openxmlformats.org/officeDocument/2006/relationships/image" Target="media/image1.jpeg"/><Relationship Id="rId15" Type="http://schemas.openxmlformats.org/officeDocument/2006/relationships/hyperlink" Target="https://doi.org/10.1080/00221325.2023.2279728" TargetMode="External"/><Relationship Id="rId23" Type="http://schemas.openxmlformats.org/officeDocument/2006/relationships/hyperlink" Target="https://www.simplypsychology.org/bandura.html" TargetMode="External"/><Relationship Id="rId28" Type="http://schemas.openxmlformats.org/officeDocument/2006/relationships/hyperlink" Target="https://doi.org/10.3390/educsci13020140" TargetMode="External"/><Relationship Id="rId36" Type="http://schemas.openxmlformats.org/officeDocument/2006/relationships/hyperlink" Target="https://www.unicef.org/malaysia/media/4621/file/UNICEF%20Education%202030%20in%20Malaysia.pdf.pdf?utm_source=chatgpt.com" TargetMode="External"/><Relationship Id="rId10" Type="http://schemas.openxmlformats.org/officeDocument/2006/relationships/hyperlink" Target="https://doi.org/10.1016/j.heliyon.2020.e03250" TargetMode="External"/><Relationship Id="rId19" Type="http://schemas.openxmlformats.org/officeDocument/2006/relationships/hyperlink" Target="https://doi.org/10.1016/j.jml.2021.104253" TargetMode="External"/><Relationship Id="rId31" Type="http://schemas.openxmlformats.org/officeDocument/2006/relationships/hyperlink" Target="https://doi.org/10.1016/j.heliyon.2024.e34892" TargetMode="External"/><Relationship Id="rId4" Type="http://schemas.openxmlformats.org/officeDocument/2006/relationships/webSettings" Target="webSettings.xml"/><Relationship Id="rId9" Type="http://schemas.openxmlformats.org/officeDocument/2006/relationships/hyperlink" Target="https://doi.org/10.1080/03004279.2025.2578833" TargetMode="External"/><Relationship Id="rId14" Type="http://schemas.openxmlformats.org/officeDocument/2006/relationships/hyperlink" Target="https://doi.org/10.1016/j.labeco.2021.102079" TargetMode="External"/><Relationship Id="rId22" Type="http://schemas.openxmlformats.org/officeDocument/2006/relationships/hyperlink" Target="https://doi.org/10.3389/feduc.2024.1338671" TargetMode="External"/><Relationship Id="rId27" Type="http://schemas.openxmlformats.org/officeDocument/2006/relationships/hyperlink" Target="https://doi.org/10.1016/j.tate.2021.103463" TargetMode="External"/><Relationship Id="rId30" Type="http://schemas.openxmlformats.org/officeDocument/2006/relationships/hyperlink" Target="https://doi.org/10.3390/educsci15050560" TargetMode="External"/><Relationship Id="rId35" Type="http://schemas.openxmlformats.org/officeDocument/2006/relationships/hyperlink" Target="https://doi.org/10.1080/19415257.2021.1876147" TargetMode="External"/><Relationship Id="rId8" Type="http://schemas.openxmlformats.org/officeDocument/2006/relationships/hyperlink" Target="https://doi.org/10.1080/03004279.2023.2189905" TargetMode="External"/><Relationship Id="rId3" Type="http://schemas.openxmlformats.org/officeDocument/2006/relationships/settings" Target="settings.xml"/><Relationship Id="rId12" Type="http://schemas.openxmlformats.org/officeDocument/2006/relationships/hyperlink" Target="https://doi.org/10.1007/s10984-024-09518-9" TargetMode="External"/><Relationship Id="rId17" Type="http://schemas.openxmlformats.org/officeDocument/2006/relationships/hyperlink" Target="https://www.moe.gov.my/kurikulum-persekolahan-2027" TargetMode="External"/><Relationship Id="rId25" Type="http://schemas.openxmlformats.org/officeDocument/2006/relationships/hyperlink" Target="https://www.moe.gov.my" TargetMode="External"/><Relationship Id="rId33" Type="http://schemas.openxmlformats.org/officeDocument/2006/relationships/hyperlink" Target="http://www.itdl.org/Journal/Jan_05/article01.htm" TargetMode="External"/><Relationship Id="rId38" Type="http://schemas.openxmlformats.org/officeDocument/2006/relationships/hyperlink" Target="https://doi.org/10.34917/39206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10279</Words>
  <Characters>58594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 Prof. Dr. Ng Yu Jin</dc:creator>
  <cp:keywords/>
  <dc:description/>
  <cp:lastModifiedBy>Assoc. Prof. Dr. Ng Yu Jin</cp:lastModifiedBy>
  <cp:revision>13</cp:revision>
  <dcterms:created xsi:type="dcterms:W3CDTF">2026-06-25T05:32:00Z</dcterms:created>
  <dcterms:modified xsi:type="dcterms:W3CDTF">2026-06-25T06:01:00Z</dcterms:modified>
</cp:coreProperties>
</file>