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F94" w:rsidRPr="002036D0" w:rsidRDefault="002036D0" w:rsidP="002036D0">
      <w:pPr>
        <w:jc w:val="center"/>
        <w:rPr>
          <w:rFonts w:ascii="Times New Roman" w:hAnsi="Times New Roman" w:cs="Times New Roman"/>
          <w:sz w:val="36"/>
        </w:rPr>
      </w:pPr>
      <w:r w:rsidRPr="002036D0">
        <w:rPr>
          <w:rFonts w:ascii="Times New Roman" w:hAnsi="Times New Roman" w:cs="Times New Roman"/>
          <w:sz w:val="36"/>
        </w:rPr>
        <w:t xml:space="preserve">IN SILICO EVALUATION OF ANTIPLASMODIAL AND PHARMACOKINETIC PROPERTIES OF VOLATILE COMPOUNDS FROM HYDROETHANOLIC LEAF EXTRACT OF </w:t>
      </w:r>
      <w:r w:rsidRPr="002036D0">
        <w:rPr>
          <w:rFonts w:ascii="Times New Roman" w:hAnsi="Times New Roman" w:cs="Times New Roman"/>
          <w:i/>
          <w:iCs/>
          <w:sz w:val="36"/>
        </w:rPr>
        <w:t>SOLENOSTEMON MONOSTACHYUS</w:t>
      </w:r>
      <w:r w:rsidRPr="002036D0">
        <w:rPr>
          <w:rFonts w:ascii="Times New Roman" w:hAnsi="Times New Roman" w:cs="Times New Roman"/>
          <w:sz w:val="36"/>
        </w:rPr>
        <w:t xml:space="preserve"> FOR ANTIMALARIAL DRUG DISCOVERY</w:t>
      </w:r>
    </w:p>
    <w:p w:rsidR="002036D0" w:rsidRPr="00CE4E5C" w:rsidRDefault="002036D0" w:rsidP="002036D0">
      <w:pPr>
        <w:jc w:val="center"/>
        <w:rPr>
          <w:rFonts w:ascii="Times New Roman" w:hAnsi="Times New Roman" w:cs="Times New Roman"/>
          <w:sz w:val="20"/>
          <w:szCs w:val="20"/>
        </w:rPr>
      </w:pPr>
      <w:r w:rsidRPr="00CE4E5C">
        <w:rPr>
          <w:rFonts w:ascii="Times New Roman" w:hAnsi="Times New Roman" w:cs="Times New Roman"/>
          <w:sz w:val="20"/>
          <w:szCs w:val="20"/>
        </w:rPr>
        <w:t xml:space="preserve"/>
      </w:r>
      <w:proofErr w:type="spellStart"/>
      <w:r w:rsidRPr="00CE4E5C">
        <w:rPr>
          <w:rFonts w:ascii="Times New Roman" w:hAnsi="Times New Roman" w:cs="Times New Roman"/>
          <w:sz w:val="20"/>
          <w:szCs w:val="20"/>
        </w:rPr>
        <w:t/>
      </w:r>
      <w:proofErr w:type="spellEnd"/>
      <w:r>
        <w:rPr>
          <w:rFonts w:ascii="Times New Roman" w:hAnsi="Times New Roman" w:cs="Times New Roman"/>
          <w:sz w:val="20"/>
          <w:szCs w:val="20"/>
        </w:rPr>
        <w:t xml:space="preserve"/>
      </w:r>
      <w:r w:rsidRPr="00CE4E5C">
        <w:rPr>
          <w:rFonts w:ascii="Times New Roman" w:hAnsi="Times New Roman" w:cs="Times New Roman"/>
          <w:sz w:val="20"/>
          <w:szCs w:val="20"/>
        </w:rPr>
        <w:t xml:space="preserve"/>
      </w:r>
      <w:r>
        <w:rPr>
          <w:rFonts w:ascii="Times New Roman" w:hAnsi="Times New Roman" w:cs="Times New Roman"/>
          <w:sz w:val="20"/>
          <w:szCs w:val="20"/>
        </w:rPr>
        <w:t xml:space="preserve"/>
      </w:r>
      <w:proofErr w:type="spellStart"/>
      <w:r>
        <w:rPr>
          <w:rFonts w:ascii="Times New Roman" w:hAnsi="Times New Roman" w:cs="Times New Roman"/>
          <w:sz w:val="20"/>
          <w:szCs w:val="20"/>
        </w:rPr>
        <w:t/>
      </w:r>
      <w:proofErr w:type="spellEnd"/>
      <w:r>
        <w:rPr>
          <w:rFonts w:ascii="Times New Roman" w:hAnsi="Times New Roman" w:cs="Times New Roman"/>
          <w:sz w:val="20"/>
          <w:szCs w:val="20"/>
        </w:rPr>
        <w:t xml:space="preserve"/>
      </w:r>
      <w:r w:rsidRPr="00CE4E5C">
        <w:rPr>
          <w:rFonts w:ascii="Times New Roman" w:hAnsi="Times New Roman" w:cs="Times New Roman"/>
          <w:sz w:val="20"/>
          <w:szCs w:val="20"/>
        </w:rPr>
        <w:t xml:space="preserve"/>
      </w:r>
    </w:p>
    <w:p w:rsidR="002036D0" w:rsidRDefault="002036D0" w:rsidP="002036D0">
      <w:pPr>
        <w:jc w:val="center"/>
        <w:rPr>
          <w:rFonts w:ascii="Times New Roman" w:hAnsi="Times New Roman" w:cs="Times New Roman"/>
          <w:sz w:val="20"/>
          <w:szCs w:val="20"/>
        </w:rPr>
      </w:pPr>
      <w:r w:rsidRPr="00CE4E5C">
        <w:rPr>
          <w:rFonts w:ascii="Times New Roman" w:hAnsi="Times New Roman" w:cs="Times New Roman"/>
          <w:sz w:val="20"/>
          <w:szCs w:val="20"/>
        </w:rPr>
        <w:t/>
      </w:r>
    </w:p>
    <w:p w:rsidR="002036D0" w:rsidRPr="00CE4E5C" w:rsidRDefault="002036D0" w:rsidP="002036D0">
      <w:pPr>
        <w:jc w:val="center"/>
        <w:rPr>
          <w:rFonts w:ascii="Times New Roman" w:hAnsi="Times New Roman" w:cs="Times New Roman"/>
          <w:sz w:val="20"/>
          <w:szCs w:val="20"/>
        </w:rPr>
      </w:pPr>
      <w:r>
        <w:rPr>
          <w:rFonts w:ascii="Times New Roman" w:hAnsi="Times New Roman" w:cs="Times New Roman"/>
          <w:sz w:val="20"/>
          <w:szCs w:val="20"/>
        </w:rPr>
        <w:t xml:space="preserve"/>
      </w:r>
      <w:hyperlink r:id="rId7" w:history="1">
        <w:r w:rsidRPr="00737CE1">
          <w:rPr>
            <w:rStyle w:val="Hyperlink"/>
            <w:rFonts w:ascii="Times New Roman" w:hAnsi="Times New Roman" w:cs="Times New Roman"/>
            <w:sz w:val="20"/>
            <w:szCs w:val="20"/>
          </w:rPr>
          <w:t/>
        </w:r>
      </w:hyperlink>
      <w:r>
        <w:rPr>
          <w:rFonts w:ascii="Times New Roman" w:hAnsi="Times New Roman" w:cs="Times New Roman"/>
          <w:sz w:val="20"/>
          <w:szCs w:val="20"/>
        </w:rPr>
        <w:t xml:space="preserve"/>
      </w:r>
    </w:p>
    <w:tbl>
      <w:tblPr>
        <w:tblW w:w="10174" w:type="dxa"/>
        <w:tblLook w:val="04A0" w:firstRow="1" w:lastRow="0" w:firstColumn="1" w:lastColumn="0" w:noHBand="0" w:noVBand="1"/>
      </w:tblPr>
      <w:tblGrid>
        <w:gridCol w:w="10174"/>
      </w:tblGrid>
      <w:tr w:rsidR="002036D0" w:rsidTr="002036D0">
        <w:trPr>
          <w:trHeight w:val="2960"/>
        </w:trPr>
        <w:tc>
          <w:tcPr>
            <w:tcW w:w="10174" w:type="dxa"/>
            <w:tcBorders>
              <w:top w:val="single" w:sz="4" w:space="0" w:color="auto"/>
              <w:bottom w:val="single" w:sz="4" w:space="0" w:color="auto"/>
            </w:tcBorders>
          </w:tcPr>
          <w:p w:rsidR="002036D0" w:rsidRPr="00755880" w:rsidRDefault="002036D0" w:rsidP="00420873">
            <w:pPr>
              <w:ind w:left="120"/>
              <w:jc w:val="both"/>
              <w:rPr>
                <w:rFonts w:ascii="Times New Roman" w:hAnsi="Times New Roman" w:cs="Times New Roman"/>
                <w:sz w:val="18"/>
                <w:szCs w:val="18"/>
              </w:rPr>
            </w:pPr>
            <w:r w:rsidRPr="00597621">
              <w:rPr>
                <w:rFonts w:ascii="Times New Roman" w:hAnsi="Times New Roman" w:cs="Times New Roman"/>
                <w:sz w:val="18"/>
                <w:szCs w:val="18"/>
              </w:rPr>
              <w:t xml:space="preserve">Abstract: </w:t>
            </w:r>
            <w:r w:rsidRPr="002036D0">
              <w:rPr>
                <w:rFonts w:ascii="Times New Roman" w:hAnsi="Times New Roman" w:cs="Times New Roman"/>
                <w:sz w:val="18"/>
                <w:szCs w:val="18"/>
              </w:rPr>
              <w:t xml:space="preserve">Malaria remains a major global health burden, particularly in sub-Saharan Africa, with increasing resistance to current antimalarial drugs necessitating the discovery of novel therapeutic agents. This study evaluated the </w:t>
            </w:r>
            <w:proofErr w:type="spellStart"/>
            <w:r w:rsidRPr="002036D0">
              <w:rPr>
                <w:rFonts w:ascii="Times New Roman" w:hAnsi="Times New Roman" w:cs="Times New Roman"/>
                <w:sz w:val="18"/>
                <w:szCs w:val="18"/>
              </w:rPr>
              <w:t>antiplasmodial</w:t>
            </w:r>
            <w:proofErr w:type="spellEnd"/>
            <w:r w:rsidRPr="002036D0">
              <w:rPr>
                <w:rFonts w:ascii="Times New Roman" w:hAnsi="Times New Roman" w:cs="Times New Roman"/>
                <w:sz w:val="18"/>
                <w:szCs w:val="18"/>
              </w:rPr>
              <w:t xml:space="preserve"> potential and pharmacokinetic properties of volatile compounds identified in the </w:t>
            </w:r>
            <w:proofErr w:type="spellStart"/>
            <w:r w:rsidRPr="002036D0">
              <w:rPr>
                <w:rFonts w:ascii="Times New Roman" w:hAnsi="Times New Roman" w:cs="Times New Roman"/>
                <w:sz w:val="18"/>
                <w:szCs w:val="18"/>
              </w:rPr>
              <w:t>hydroethanolic</w:t>
            </w:r>
            <w:proofErr w:type="spellEnd"/>
            <w:r w:rsidRPr="002036D0">
              <w:rPr>
                <w:rFonts w:ascii="Times New Roman" w:hAnsi="Times New Roman" w:cs="Times New Roman"/>
                <w:sz w:val="18"/>
                <w:szCs w:val="18"/>
              </w:rPr>
              <w:t xml:space="preserve"> leaf extract of </w:t>
            </w:r>
            <w:proofErr w:type="spellStart"/>
            <w:r w:rsidRPr="002036D0">
              <w:rPr>
                <w:rFonts w:ascii="Times New Roman" w:hAnsi="Times New Roman" w:cs="Times New Roman"/>
                <w:i/>
                <w:iCs/>
                <w:sz w:val="18"/>
                <w:szCs w:val="18"/>
              </w:rPr>
              <w:t>Solenostemon</w:t>
            </w:r>
            <w:proofErr w:type="spellEnd"/>
            <w:r w:rsidRPr="002036D0">
              <w:rPr>
                <w:rFonts w:ascii="Times New Roman" w:hAnsi="Times New Roman" w:cs="Times New Roman"/>
                <w:i/>
                <w:iCs/>
                <w:sz w:val="18"/>
                <w:szCs w:val="18"/>
              </w:rPr>
              <w:t xml:space="preserve"> </w:t>
            </w:r>
            <w:proofErr w:type="spellStart"/>
            <w:r w:rsidRPr="002036D0">
              <w:rPr>
                <w:rFonts w:ascii="Times New Roman" w:hAnsi="Times New Roman" w:cs="Times New Roman"/>
                <w:i/>
                <w:iCs/>
                <w:sz w:val="18"/>
                <w:szCs w:val="18"/>
              </w:rPr>
              <w:t>monostachyus</w:t>
            </w:r>
            <w:proofErr w:type="spellEnd"/>
            <w:r w:rsidRPr="002036D0">
              <w:rPr>
                <w:rFonts w:ascii="Times New Roman" w:hAnsi="Times New Roman" w:cs="Times New Roman"/>
                <w:sz w:val="18"/>
                <w:szCs w:val="18"/>
              </w:rPr>
              <w:t xml:space="preserve"> using in </w:t>
            </w:r>
            <w:proofErr w:type="spellStart"/>
            <w:r w:rsidRPr="002036D0">
              <w:rPr>
                <w:rFonts w:ascii="Times New Roman" w:hAnsi="Times New Roman" w:cs="Times New Roman"/>
                <w:sz w:val="18"/>
                <w:szCs w:val="18"/>
              </w:rPr>
              <w:t>silico</w:t>
            </w:r>
            <w:proofErr w:type="spellEnd"/>
            <w:r w:rsidRPr="002036D0">
              <w:rPr>
                <w:rFonts w:ascii="Times New Roman" w:hAnsi="Times New Roman" w:cs="Times New Roman"/>
                <w:sz w:val="18"/>
                <w:szCs w:val="18"/>
              </w:rPr>
              <w:t xml:space="preserve"> approaches. GC–MS analysis revealed 64 volatile compounds, mainly alkanes, </w:t>
            </w:r>
            <w:proofErr w:type="spellStart"/>
            <w:r w:rsidRPr="002036D0">
              <w:rPr>
                <w:rFonts w:ascii="Times New Roman" w:hAnsi="Times New Roman" w:cs="Times New Roman"/>
                <w:sz w:val="18"/>
                <w:szCs w:val="18"/>
              </w:rPr>
              <w:t>phenolics</w:t>
            </w:r>
            <w:proofErr w:type="spellEnd"/>
            <w:r w:rsidRPr="002036D0">
              <w:rPr>
                <w:rFonts w:ascii="Times New Roman" w:hAnsi="Times New Roman" w:cs="Times New Roman"/>
                <w:sz w:val="18"/>
                <w:szCs w:val="18"/>
              </w:rPr>
              <w:t xml:space="preserve">, fatty acids, esters, and oxygenated hydrocarbons. Molecular docking was performed against </w:t>
            </w:r>
            <w:r w:rsidRPr="002036D0">
              <w:rPr>
                <w:rFonts w:ascii="Times New Roman" w:hAnsi="Times New Roman" w:cs="Times New Roman"/>
                <w:i/>
                <w:iCs/>
                <w:sz w:val="18"/>
                <w:szCs w:val="18"/>
              </w:rPr>
              <w:t>Plasmodium falciparum</w:t>
            </w:r>
            <w:r w:rsidRPr="002036D0">
              <w:rPr>
                <w:rFonts w:ascii="Times New Roman" w:hAnsi="Times New Roman" w:cs="Times New Roman"/>
                <w:sz w:val="18"/>
                <w:szCs w:val="18"/>
              </w:rPr>
              <w:t xml:space="preserve"> lactate dehydrogenase (</w:t>
            </w:r>
            <w:proofErr w:type="spellStart"/>
            <w:r w:rsidRPr="002036D0">
              <w:rPr>
                <w:rFonts w:ascii="Times New Roman" w:hAnsi="Times New Roman" w:cs="Times New Roman"/>
                <w:sz w:val="18"/>
                <w:szCs w:val="18"/>
              </w:rPr>
              <w:t>PfLDH</w:t>
            </w:r>
            <w:proofErr w:type="spellEnd"/>
            <w:r w:rsidRPr="002036D0">
              <w:rPr>
                <w:rFonts w:ascii="Times New Roman" w:hAnsi="Times New Roman" w:cs="Times New Roman"/>
                <w:sz w:val="18"/>
                <w:szCs w:val="18"/>
              </w:rPr>
              <w:t xml:space="preserve">) and </w:t>
            </w:r>
            <w:proofErr w:type="spellStart"/>
            <w:r w:rsidRPr="002036D0">
              <w:rPr>
                <w:rFonts w:ascii="Times New Roman" w:hAnsi="Times New Roman" w:cs="Times New Roman"/>
                <w:sz w:val="18"/>
                <w:szCs w:val="18"/>
              </w:rPr>
              <w:t>plasmepsin</w:t>
            </w:r>
            <w:proofErr w:type="spellEnd"/>
            <w:r w:rsidRPr="002036D0">
              <w:rPr>
                <w:rFonts w:ascii="Times New Roman" w:hAnsi="Times New Roman" w:cs="Times New Roman"/>
                <w:sz w:val="18"/>
                <w:szCs w:val="18"/>
              </w:rPr>
              <w:t xml:space="preserve"> II, while ADMET profiling assessed drug-likeness and toxicity. Indazol-4-one derivative showed the strongest binding affinities against </w:t>
            </w:r>
            <w:proofErr w:type="spellStart"/>
            <w:r w:rsidRPr="002036D0">
              <w:rPr>
                <w:rFonts w:ascii="Times New Roman" w:hAnsi="Times New Roman" w:cs="Times New Roman"/>
                <w:sz w:val="18"/>
                <w:szCs w:val="18"/>
              </w:rPr>
              <w:t>PfLDH</w:t>
            </w:r>
            <w:proofErr w:type="spellEnd"/>
            <w:r w:rsidRPr="002036D0">
              <w:rPr>
                <w:rFonts w:ascii="Times New Roman" w:hAnsi="Times New Roman" w:cs="Times New Roman"/>
                <w:sz w:val="18"/>
                <w:szCs w:val="18"/>
              </w:rPr>
              <w:t xml:space="preserve"> (–8.0 kcal/</w:t>
            </w:r>
            <w:proofErr w:type="spellStart"/>
            <w:r w:rsidRPr="002036D0">
              <w:rPr>
                <w:rFonts w:ascii="Times New Roman" w:hAnsi="Times New Roman" w:cs="Times New Roman"/>
                <w:sz w:val="18"/>
                <w:szCs w:val="18"/>
              </w:rPr>
              <w:t>mol</w:t>
            </w:r>
            <w:proofErr w:type="spellEnd"/>
            <w:r w:rsidRPr="002036D0">
              <w:rPr>
                <w:rFonts w:ascii="Times New Roman" w:hAnsi="Times New Roman" w:cs="Times New Roman"/>
                <w:sz w:val="18"/>
                <w:szCs w:val="18"/>
              </w:rPr>
              <w:t xml:space="preserve">) and </w:t>
            </w:r>
            <w:proofErr w:type="spellStart"/>
            <w:r w:rsidRPr="002036D0">
              <w:rPr>
                <w:rFonts w:ascii="Times New Roman" w:hAnsi="Times New Roman" w:cs="Times New Roman"/>
                <w:sz w:val="18"/>
                <w:szCs w:val="18"/>
              </w:rPr>
              <w:t>plasmepsin</w:t>
            </w:r>
            <w:proofErr w:type="spellEnd"/>
            <w:r w:rsidRPr="002036D0">
              <w:rPr>
                <w:rFonts w:ascii="Times New Roman" w:hAnsi="Times New Roman" w:cs="Times New Roman"/>
                <w:sz w:val="18"/>
                <w:szCs w:val="18"/>
              </w:rPr>
              <w:t xml:space="preserve"> II (–7.1 kcal/</w:t>
            </w:r>
            <w:proofErr w:type="spellStart"/>
            <w:r w:rsidRPr="002036D0">
              <w:rPr>
                <w:rFonts w:ascii="Times New Roman" w:hAnsi="Times New Roman" w:cs="Times New Roman"/>
                <w:sz w:val="18"/>
                <w:szCs w:val="18"/>
              </w:rPr>
              <w:t>mol</w:t>
            </w:r>
            <w:proofErr w:type="spellEnd"/>
            <w:r w:rsidRPr="002036D0">
              <w:rPr>
                <w:rFonts w:ascii="Times New Roman" w:hAnsi="Times New Roman" w:cs="Times New Roman"/>
                <w:sz w:val="18"/>
                <w:szCs w:val="18"/>
              </w:rPr>
              <w:t xml:space="preserve">), outperforming </w:t>
            </w:r>
            <w:proofErr w:type="spellStart"/>
            <w:r w:rsidRPr="002036D0">
              <w:rPr>
                <w:rFonts w:ascii="Times New Roman" w:hAnsi="Times New Roman" w:cs="Times New Roman"/>
                <w:sz w:val="18"/>
                <w:szCs w:val="18"/>
              </w:rPr>
              <w:t>artesunate</w:t>
            </w:r>
            <w:proofErr w:type="spellEnd"/>
            <w:r w:rsidRPr="002036D0">
              <w:rPr>
                <w:rFonts w:ascii="Times New Roman" w:hAnsi="Times New Roman" w:cs="Times New Roman"/>
                <w:sz w:val="18"/>
                <w:szCs w:val="18"/>
              </w:rPr>
              <w:t xml:space="preserve"> in some cases. ADMET analysis indicated generally favorable pharmacokinetic properties, although </w:t>
            </w:r>
            <w:proofErr w:type="spellStart"/>
            <w:r w:rsidRPr="002036D0">
              <w:rPr>
                <w:rFonts w:ascii="Times New Roman" w:hAnsi="Times New Roman" w:cs="Times New Roman"/>
                <w:sz w:val="18"/>
                <w:szCs w:val="18"/>
              </w:rPr>
              <w:t>azulene</w:t>
            </w:r>
            <w:proofErr w:type="spellEnd"/>
            <w:r w:rsidRPr="002036D0">
              <w:rPr>
                <w:rFonts w:ascii="Times New Roman" w:hAnsi="Times New Roman" w:cs="Times New Roman"/>
                <w:sz w:val="18"/>
                <w:szCs w:val="18"/>
              </w:rPr>
              <w:t xml:space="preserve"> and 1-methylnaphthalene showed potential toxicity risks. The findings suggest that </w:t>
            </w:r>
            <w:r w:rsidRPr="002036D0">
              <w:rPr>
                <w:rFonts w:ascii="Times New Roman" w:hAnsi="Times New Roman" w:cs="Times New Roman"/>
                <w:i/>
                <w:iCs/>
                <w:sz w:val="18"/>
                <w:szCs w:val="18"/>
              </w:rPr>
              <w:t xml:space="preserve">S. </w:t>
            </w:r>
            <w:proofErr w:type="spellStart"/>
            <w:r w:rsidRPr="002036D0">
              <w:rPr>
                <w:rFonts w:ascii="Times New Roman" w:hAnsi="Times New Roman" w:cs="Times New Roman"/>
                <w:i/>
                <w:iCs/>
                <w:sz w:val="18"/>
                <w:szCs w:val="18"/>
              </w:rPr>
              <w:t>monostachyus</w:t>
            </w:r>
            <w:proofErr w:type="spellEnd"/>
            <w:r w:rsidRPr="002036D0">
              <w:rPr>
                <w:rFonts w:ascii="Times New Roman" w:hAnsi="Times New Roman" w:cs="Times New Roman"/>
                <w:sz w:val="18"/>
                <w:szCs w:val="18"/>
              </w:rPr>
              <w:t xml:space="preserve"> volatile compounds are promising antimalarial leads for further drug development.</w:t>
            </w:r>
          </w:p>
          <w:p w:rsidR="002036D0" w:rsidRPr="00694F6F" w:rsidRDefault="002036D0" w:rsidP="00420873">
            <w:pPr>
              <w:ind w:left="120"/>
              <w:jc w:val="both"/>
              <w:rPr>
                <w:rFonts w:ascii="Times New Roman" w:hAnsi="Times New Roman" w:cs="Times New Roman"/>
                <w:sz w:val="18"/>
                <w:szCs w:val="18"/>
              </w:rPr>
            </w:pPr>
            <w:r w:rsidRPr="00694F6F">
              <w:rPr>
                <w:rFonts w:ascii="Times New Roman" w:hAnsi="Times New Roman" w:cs="Times New Roman"/>
                <w:sz w:val="18"/>
                <w:szCs w:val="18"/>
              </w:rPr>
              <w:t xml:space="preserve">Keywords: </w:t>
            </w:r>
            <w:r w:rsidRPr="002036D0">
              <w:rPr>
                <w:rFonts w:ascii="Times New Roman" w:hAnsi="Times New Roman" w:cs="Times New Roman"/>
                <w:sz w:val="18"/>
                <w:szCs w:val="18"/>
              </w:rPr>
              <w:t xml:space="preserve">Plasmodium falciparum, molecular docking, GC–MS, ADMET, </w:t>
            </w:r>
            <w:proofErr w:type="spellStart"/>
            <w:r w:rsidRPr="002036D0">
              <w:rPr>
                <w:rFonts w:ascii="Times New Roman" w:hAnsi="Times New Roman" w:cs="Times New Roman"/>
                <w:sz w:val="18"/>
                <w:szCs w:val="18"/>
              </w:rPr>
              <w:t>Solenostemon</w:t>
            </w:r>
            <w:proofErr w:type="spellEnd"/>
            <w:r w:rsidRPr="002036D0">
              <w:rPr>
                <w:rFonts w:ascii="Times New Roman" w:hAnsi="Times New Roman" w:cs="Times New Roman"/>
                <w:sz w:val="18"/>
                <w:szCs w:val="18"/>
              </w:rPr>
              <w:t xml:space="preserve"> </w:t>
            </w:r>
            <w:proofErr w:type="spellStart"/>
            <w:r w:rsidRPr="002036D0">
              <w:rPr>
                <w:rFonts w:ascii="Times New Roman" w:hAnsi="Times New Roman" w:cs="Times New Roman"/>
                <w:sz w:val="18"/>
                <w:szCs w:val="18"/>
              </w:rPr>
              <w:t>monostachyus</w:t>
            </w:r>
            <w:proofErr w:type="spellEnd"/>
            <w:r w:rsidRPr="002036D0">
              <w:rPr>
                <w:rFonts w:ascii="Times New Roman" w:hAnsi="Times New Roman" w:cs="Times New Roman"/>
                <w:sz w:val="18"/>
                <w:szCs w:val="18"/>
              </w:rPr>
              <w:t>, antimalarial drug discovery</w:t>
            </w:r>
            <w:r>
              <w:rPr>
                <w:rFonts w:ascii="Times New Roman" w:hAnsi="Times New Roman" w:cs="Times New Roman"/>
                <w:sz w:val="18"/>
                <w:szCs w:val="18"/>
              </w:rPr>
              <w:t xml:space="preserve"> </w:t>
            </w:r>
          </w:p>
        </w:tc>
      </w:tr>
    </w:tbl>
    <w:p w:rsidR="00A56E28" w:rsidRDefault="00A56E28" w:rsidP="002036D0">
      <w:pPr>
        <w:rPr>
          <w:rFonts w:ascii="Times New Roman" w:hAnsi="Times New Roman" w:cs="Times New Roman"/>
          <w:sz w:val="36"/>
        </w:rPr>
        <w:sectPr w:rsidR="00A56E28">
          <w:footerReference w:type="default" r:id="rId8"/>
          <w:pgSz w:w="12240" w:h="15840"/>
          <w:pgMar w:top="1440" w:right="1440" w:bottom="1440" w:left="1440" w:header="720" w:footer="720" w:gutter="0"/>
          <w:cols w:space="720"/>
          <w:docGrid w:linePitch="360"/>
        </w:sectPr>
      </w:pPr>
    </w:p>
    <w:p w:rsidR="00A56E28" w:rsidRPr="00A56E28" w:rsidRDefault="00A56E28" w:rsidP="00A56E28">
      <w:pPr>
        <w:pStyle w:val="NormalWeb"/>
        <w:spacing w:line="276" w:lineRule="auto"/>
        <w:jc w:val="both"/>
        <w:rPr>
          <w:sz w:val="20"/>
        </w:rPr>
      </w:pPr>
      <w:r w:rsidRPr="00A56E28">
        <w:rPr>
          <w:sz w:val="20"/>
        </w:rPr>
        <w:lastRenderedPageBreak/>
        <w:t xml:space="preserve">Malaria remains one of the most serious parasitic diseases globally, responsible for an estimated 249 million cases and over 600,000 deaths annually, with the highest burden in sub-Saharan Africa (World Health Organization, 2023). Despite widespread control measures, malaria persists due to the rapid emergence of drug-resistant </w:t>
      </w:r>
      <w:r w:rsidRPr="00A56E28">
        <w:rPr>
          <w:rStyle w:val="Emphasis"/>
          <w:sz w:val="20"/>
        </w:rPr>
        <w:t>Plasmodium falciparum</w:t>
      </w:r>
      <w:r w:rsidRPr="00A56E28">
        <w:rPr>
          <w:sz w:val="20"/>
        </w:rPr>
        <w:t xml:space="preserve"> strains.</w:t>
      </w:r>
    </w:p>
    <w:p w:rsidR="00A56E28" w:rsidRPr="00A56E28" w:rsidRDefault="00A56E28" w:rsidP="00A56E28">
      <w:pPr>
        <w:pStyle w:val="NormalWeb"/>
        <w:spacing w:line="276" w:lineRule="auto"/>
        <w:jc w:val="both"/>
        <w:rPr>
          <w:sz w:val="20"/>
        </w:rPr>
      </w:pPr>
      <w:proofErr w:type="gramStart"/>
      <w:r w:rsidRPr="00A56E28">
        <w:rPr>
          <w:sz w:val="20"/>
        </w:rPr>
        <w:t xml:space="preserve">Resistance to </w:t>
      </w:r>
      <w:proofErr w:type="spellStart"/>
      <w:r w:rsidRPr="00A56E28">
        <w:rPr>
          <w:sz w:val="20"/>
        </w:rPr>
        <w:t>chloroquine</w:t>
      </w:r>
      <w:proofErr w:type="spellEnd"/>
      <w:r w:rsidRPr="00A56E28">
        <w:rPr>
          <w:sz w:val="20"/>
        </w:rPr>
        <w:t xml:space="preserve">, </w:t>
      </w:r>
      <w:proofErr w:type="spellStart"/>
      <w:r w:rsidRPr="00A56E28">
        <w:rPr>
          <w:sz w:val="20"/>
        </w:rPr>
        <w:t>sulfadoxine-pyrimethamine</w:t>
      </w:r>
      <w:proofErr w:type="spellEnd"/>
      <w:r w:rsidRPr="00A56E28">
        <w:rPr>
          <w:sz w:val="20"/>
        </w:rPr>
        <w:t xml:space="preserve">, and reduced susceptibility to </w:t>
      </w:r>
      <w:proofErr w:type="spellStart"/>
      <w:r w:rsidRPr="00A56E28">
        <w:rPr>
          <w:sz w:val="20"/>
        </w:rPr>
        <w:t>artemisinin</w:t>
      </w:r>
      <w:proofErr w:type="spellEnd"/>
      <w:r w:rsidRPr="00A56E28">
        <w:rPr>
          <w:sz w:val="20"/>
        </w:rPr>
        <w:t xml:space="preserve"> derivatives have</w:t>
      </w:r>
      <w:proofErr w:type="gramEnd"/>
      <w:r w:rsidRPr="00A56E28">
        <w:rPr>
          <w:sz w:val="20"/>
        </w:rPr>
        <w:t xml:space="preserve"> significantly threatened malaria control programs (</w:t>
      </w:r>
      <w:proofErr w:type="spellStart"/>
      <w:r w:rsidRPr="00A56E28">
        <w:rPr>
          <w:sz w:val="20"/>
        </w:rPr>
        <w:t>Balikagala</w:t>
      </w:r>
      <w:proofErr w:type="spellEnd"/>
      <w:r w:rsidRPr="00A56E28">
        <w:rPr>
          <w:sz w:val="20"/>
        </w:rPr>
        <w:t xml:space="preserve"> </w:t>
      </w:r>
      <w:r w:rsidR="00414035" w:rsidRPr="00414035">
        <w:rPr>
          <w:i/>
          <w:sz w:val="20"/>
        </w:rPr>
        <w:t>et al</w:t>
      </w:r>
      <w:r w:rsidRPr="00A56E28">
        <w:rPr>
          <w:sz w:val="20"/>
        </w:rPr>
        <w:t>., 2021). This situation highlights the urgent need for new antimalarial compounds with novel mechanisms of action.</w:t>
      </w:r>
    </w:p>
    <w:p w:rsidR="00A56E28" w:rsidRPr="00A56E28" w:rsidRDefault="00A56E28" w:rsidP="00A56E28">
      <w:pPr>
        <w:pStyle w:val="NormalWeb"/>
        <w:spacing w:line="276" w:lineRule="auto"/>
        <w:jc w:val="both"/>
        <w:rPr>
          <w:sz w:val="20"/>
        </w:rPr>
      </w:pPr>
      <w:r w:rsidRPr="00A56E28">
        <w:rPr>
          <w:sz w:val="20"/>
        </w:rPr>
        <w:t xml:space="preserve">Natural products remain a major source of antimalarial drugs, with quinine and </w:t>
      </w:r>
      <w:proofErr w:type="spellStart"/>
      <w:r w:rsidRPr="00A56E28">
        <w:rPr>
          <w:sz w:val="20"/>
        </w:rPr>
        <w:t>artemisinin</w:t>
      </w:r>
      <w:proofErr w:type="spellEnd"/>
      <w:r w:rsidRPr="00A56E28">
        <w:rPr>
          <w:sz w:val="20"/>
        </w:rPr>
        <w:t xml:space="preserve"> being classic examples of plant-derived therapeutics (Newman &amp; </w:t>
      </w:r>
      <w:proofErr w:type="spellStart"/>
      <w:r w:rsidRPr="00A56E28">
        <w:rPr>
          <w:sz w:val="20"/>
        </w:rPr>
        <w:t>Cragg</w:t>
      </w:r>
      <w:proofErr w:type="spellEnd"/>
      <w:r w:rsidRPr="00A56E28">
        <w:rPr>
          <w:sz w:val="20"/>
        </w:rPr>
        <w:t xml:space="preserve">, 2020). Medicinal plants continue </w:t>
      </w:r>
      <w:r w:rsidRPr="00A56E28">
        <w:rPr>
          <w:sz w:val="20"/>
        </w:rPr>
        <w:lastRenderedPageBreak/>
        <w:t>to provide structurally diverse bioactive compounds with pharmacological relevance.</w:t>
      </w:r>
    </w:p>
    <w:p w:rsidR="00A56E28" w:rsidRPr="00A56E28" w:rsidRDefault="00A56E28" w:rsidP="00A56E28">
      <w:pPr>
        <w:pStyle w:val="NormalWeb"/>
        <w:spacing w:line="276" w:lineRule="auto"/>
        <w:jc w:val="both"/>
        <w:rPr>
          <w:sz w:val="20"/>
        </w:rPr>
      </w:pPr>
      <w:proofErr w:type="spellStart"/>
      <w:r w:rsidRPr="00A56E28">
        <w:rPr>
          <w:rStyle w:val="Emphasis"/>
          <w:sz w:val="20"/>
        </w:rPr>
        <w:t>Solenostemon</w:t>
      </w:r>
      <w:proofErr w:type="spellEnd"/>
      <w:r w:rsidRPr="00A56E28">
        <w:rPr>
          <w:rStyle w:val="Emphasis"/>
          <w:sz w:val="20"/>
        </w:rPr>
        <w:t xml:space="preserve"> </w:t>
      </w:r>
      <w:proofErr w:type="spellStart"/>
      <w:r w:rsidRPr="00A56E28">
        <w:rPr>
          <w:rStyle w:val="Emphasis"/>
          <w:sz w:val="20"/>
        </w:rPr>
        <w:t>monostachyus</w:t>
      </w:r>
      <w:proofErr w:type="spellEnd"/>
      <w:r w:rsidRPr="00A56E28">
        <w:rPr>
          <w:sz w:val="20"/>
        </w:rPr>
        <w:t xml:space="preserve"> (</w:t>
      </w:r>
      <w:proofErr w:type="spellStart"/>
      <w:r w:rsidRPr="00A56E28">
        <w:rPr>
          <w:sz w:val="20"/>
        </w:rPr>
        <w:t>Lamiaceae</w:t>
      </w:r>
      <w:proofErr w:type="spellEnd"/>
      <w:r w:rsidRPr="00A56E28">
        <w:rPr>
          <w:sz w:val="20"/>
        </w:rPr>
        <w:t xml:space="preserve">) is widely used in African </w:t>
      </w:r>
      <w:proofErr w:type="spellStart"/>
      <w:r w:rsidRPr="00A56E28">
        <w:rPr>
          <w:sz w:val="20"/>
        </w:rPr>
        <w:t>ethnomedicine</w:t>
      </w:r>
      <w:proofErr w:type="spellEnd"/>
      <w:r w:rsidRPr="00A56E28">
        <w:rPr>
          <w:sz w:val="20"/>
        </w:rPr>
        <w:t xml:space="preserve"> for the treatment of malaria, fever, and inflammatory conditions. Previous studies have reported the presence of essential oils, </w:t>
      </w:r>
      <w:proofErr w:type="spellStart"/>
      <w:r w:rsidRPr="00A56E28">
        <w:rPr>
          <w:sz w:val="20"/>
        </w:rPr>
        <w:t>phenolics</w:t>
      </w:r>
      <w:proofErr w:type="spellEnd"/>
      <w:r w:rsidRPr="00A56E28">
        <w:rPr>
          <w:sz w:val="20"/>
        </w:rPr>
        <w:t xml:space="preserve">, flavonoids, and </w:t>
      </w:r>
      <w:proofErr w:type="spellStart"/>
      <w:r w:rsidRPr="00A56E28">
        <w:rPr>
          <w:sz w:val="20"/>
        </w:rPr>
        <w:t>terpenoids</w:t>
      </w:r>
      <w:proofErr w:type="spellEnd"/>
      <w:r w:rsidRPr="00A56E28">
        <w:rPr>
          <w:sz w:val="20"/>
        </w:rPr>
        <w:t xml:space="preserve"> with antimicrobial activity. However, limited information exists on the volatile compounds and their molecular interactions with malaria targets.</w:t>
      </w:r>
    </w:p>
    <w:p w:rsidR="00A56E28" w:rsidRDefault="00A56E28" w:rsidP="00A56E28">
      <w:pPr>
        <w:pStyle w:val="NormalWeb"/>
        <w:spacing w:line="276" w:lineRule="auto"/>
        <w:jc w:val="both"/>
        <w:rPr>
          <w:sz w:val="20"/>
        </w:rPr>
      </w:pPr>
      <w:r w:rsidRPr="00A56E28">
        <w:rPr>
          <w:sz w:val="20"/>
        </w:rPr>
        <w:t>Computational approaches such as molecular docking and ADMET prediction provide a rapid and cost-effective method for screening bioactive compounds (</w:t>
      </w:r>
      <w:proofErr w:type="spellStart"/>
      <w:r w:rsidRPr="00A56E28">
        <w:rPr>
          <w:sz w:val="20"/>
        </w:rPr>
        <w:t>Daina</w:t>
      </w:r>
      <w:proofErr w:type="spellEnd"/>
      <w:r w:rsidRPr="00A56E28">
        <w:rPr>
          <w:sz w:val="20"/>
        </w:rPr>
        <w:t xml:space="preserve"> </w:t>
      </w:r>
      <w:r w:rsidR="00414035" w:rsidRPr="00414035">
        <w:rPr>
          <w:i/>
          <w:sz w:val="20"/>
        </w:rPr>
        <w:t>et al</w:t>
      </w:r>
      <w:r w:rsidRPr="00A56E28">
        <w:rPr>
          <w:sz w:val="20"/>
        </w:rPr>
        <w:t xml:space="preserve">., 2017). This study therefore investigates the </w:t>
      </w:r>
      <w:proofErr w:type="spellStart"/>
      <w:r w:rsidRPr="00A56E28">
        <w:rPr>
          <w:sz w:val="20"/>
        </w:rPr>
        <w:t>antiplasmodial</w:t>
      </w:r>
      <w:proofErr w:type="spellEnd"/>
      <w:r w:rsidRPr="00A56E28">
        <w:rPr>
          <w:sz w:val="20"/>
        </w:rPr>
        <w:t xml:space="preserve"> potential of volatile compounds from </w:t>
      </w:r>
      <w:r w:rsidRPr="00A56E28">
        <w:rPr>
          <w:rStyle w:val="Emphasis"/>
          <w:sz w:val="20"/>
        </w:rPr>
        <w:t xml:space="preserve">S. </w:t>
      </w:r>
      <w:proofErr w:type="spellStart"/>
      <w:r w:rsidRPr="00A56E28">
        <w:rPr>
          <w:rStyle w:val="Emphasis"/>
          <w:sz w:val="20"/>
        </w:rPr>
        <w:t>monostachyus</w:t>
      </w:r>
      <w:proofErr w:type="spellEnd"/>
      <w:r w:rsidRPr="00A56E28">
        <w:rPr>
          <w:sz w:val="20"/>
        </w:rPr>
        <w:t xml:space="preserve"> using in </w:t>
      </w:r>
      <w:proofErr w:type="spellStart"/>
      <w:r w:rsidRPr="00A56E28">
        <w:rPr>
          <w:sz w:val="20"/>
        </w:rPr>
        <w:t>silico</w:t>
      </w:r>
      <w:proofErr w:type="spellEnd"/>
      <w:r w:rsidRPr="00A56E28">
        <w:rPr>
          <w:sz w:val="20"/>
        </w:rPr>
        <w:t xml:space="preserve"> techniques.</w:t>
      </w:r>
    </w:p>
    <w:p w:rsidR="00A56E28" w:rsidRDefault="00A56E28" w:rsidP="00A56E28">
      <w:pPr>
        <w:pStyle w:val="NormalWeb"/>
        <w:spacing w:line="276" w:lineRule="auto"/>
        <w:jc w:val="both"/>
        <w:rPr>
          <w:sz w:val="20"/>
        </w:rPr>
      </w:pPr>
    </w:p>
    <w:p w:rsidR="00A56E28" w:rsidRDefault="00A56E28" w:rsidP="00A56E28">
      <w:pPr>
        <w:pStyle w:val="NormalWeb"/>
        <w:spacing w:line="276" w:lineRule="auto"/>
        <w:jc w:val="both"/>
        <w:rPr>
          <w:sz w:val="20"/>
        </w:rPr>
      </w:pPr>
    </w:p>
    <w:p w:rsidR="00A56E28" w:rsidRPr="00A56E28" w:rsidRDefault="00A56E28" w:rsidP="00A56E28">
      <w:pPr>
        <w:pStyle w:val="NormalWeb"/>
        <w:spacing w:line="276" w:lineRule="auto"/>
        <w:jc w:val="both"/>
        <w:rPr>
          <w:b/>
          <w:bCs/>
          <w:sz w:val="20"/>
        </w:rPr>
      </w:pPr>
      <w:r w:rsidRPr="00A56E28">
        <w:rPr>
          <w:b/>
          <w:bCs/>
          <w:sz w:val="20"/>
        </w:rPr>
        <w:lastRenderedPageBreak/>
        <w:t>MATERIALS AND METHODS</w:t>
      </w:r>
    </w:p>
    <w:p w:rsidR="00A56E28" w:rsidRPr="00A56E28" w:rsidRDefault="00A56E28" w:rsidP="00A56E28">
      <w:pPr>
        <w:pStyle w:val="NormalWeb"/>
        <w:spacing w:line="276" w:lineRule="auto"/>
        <w:jc w:val="both"/>
        <w:rPr>
          <w:sz w:val="20"/>
        </w:rPr>
      </w:pPr>
      <w:r w:rsidRPr="00A56E28">
        <w:rPr>
          <w:sz w:val="20"/>
        </w:rPr>
        <w:t xml:space="preserve">Fresh leaves of </w:t>
      </w:r>
      <w:proofErr w:type="spellStart"/>
      <w:r w:rsidRPr="00A56E28">
        <w:rPr>
          <w:i/>
          <w:iCs/>
          <w:sz w:val="20"/>
        </w:rPr>
        <w:t>Solenostemon</w:t>
      </w:r>
      <w:proofErr w:type="spellEnd"/>
      <w:r w:rsidRPr="00A56E28">
        <w:rPr>
          <w:i/>
          <w:iCs/>
          <w:sz w:val="20"/>
        </w:rPr>
        <w:t xml:space="preserve"> </w:t>
      </w:r>
      <w:proofErr w:type="spellStart"/>
      <w:r w:rsidRPr="00A56E28">
        <w:rPr>
          <w:i/>
          <w:iCs/>
          <w:sz w:val="20"/>
        </w:rPr>
        <w:t>monostachyus</w:t>
      </w:r>
      <w:proofErr w:type="spellEnd"/>
      <w:r w:rsidRPr="00A56E28">
        <w:rPr>
          <w:sz w:val="20"/>
        </w:rPr>
        <w:t xml:space="preserve"> were collected, authenticated, and air-dried at room temperature. The dried leaves were pulverized and extracted using </w:t>
      </w:r>
      <w:proofErr w:type="spellStart"/>
      <w:r w:rsidRPr="00A56E28">
        <w:rPr>
          <w:sz w:val="20"/>
        </w:rPr>
        <w:t>hydroethanol</w:t>
      </w:r>
      <w:proofErr w:type="spellEnd"/>
      <w:r w:rsidRPr="00A56E28">
        <w:rPr>
          <w:sz w:val="20"/>
        </w:rPr>
        <w:t xml:space="preserve"> solvent through maceration. The extract was concentrated and stored under refrigeration prior to analysis.</w:t>
      </w:r>
    </w:p>
    <w:p w:rsidR="00A56E28" w:rsidRPr="00A56E28" w:rsidRDefault="00A56E28" w:rsidP="00A56E28">
      <w:pPr>
        <w:pStyle w:val="NormalWeb"/>
        <w:spacing w:line="276" w:lineRule="auto"/>
        <w:jc w:val="both"/>
        <w:rPr>
          <w:sz w:val="20"/>
        </w:rPr>
      </w:pPr>
      <w:r w:rsidRPr="00A56E28">
        <w:rPr>
          <w:sz w:val="20"/>
        </w:rPr>
        <w:t>The volatile constituents of the extract were analyzed using Gas Chromatography–Mass Spectrometry (GC–MS). Separation was achieved using an HP-5MS column under a programmed temperature gradient. Compounds were identified by comparison of mass spectra with the NIST database, and relative abundance was calculated based on peak area percentages.</w:t>
      </w:r>
    </w:p>
    <w:p w:rsidR="00A56E28" w:rsidRPr="00A56E28" w:rsidRDefault="00A56E28" w:rsidP="00A56E28">
      <w:pPr>
        <w:pStyle w:val="NormalWeb"/>
        <w:spacing w:line="276" w:lineRule="auto"/>
        <w:jc w:val="both"/>
        <w:rPr>
          <w:sz w:val="20"/>
        </w:rPr>
      </w:pPr>
      <w:r w:rsidRPr="00A56E28">
        <w:rPr>
          <w:sz w:val="20"/>
        </w:rPr>
        <w:t xml:space="preserve">Identified compounds were retrieved from the </w:t>
      </w:r>
      <w:proofErr w:type="spellStart"/>
      <w:r w:rsidRPr="00A56E28">
        <w:rPr>
          <w:sz w:val="20"/>
        </w:rPr>
        <w:t>PubChem</w:t>
      </w:r>
      <w:proofErr w:type="spellEnd"/>
      <w:r w:rsidRPr="00A56E28">
        <w:rPr>
          <w:sz w:val="20"/>
        </w:rPr>
        <w:t xml:space="preserve"> database and prepared as ligands for </w:t>
      </w:r>
      <w:r w:rsidRPr="00A56E28">
        <w:rPr>
          <w:sz w:val="20"/>
        </w:rPr>
        <w:lastRenderedPageBreak/>
        <w:t xml:space="preserve">docking studies. The target proteins used were </w:t>
      </w:r>
      <w:r w:rsidRPr="00A56E28">
        <w:rPr>
          <w:i/>
          <w:iCs/>
          <w:sz w:val="20"/>
        </w:rPr>
        <w:t>Plasmodium falciparum</w:t>
      </w:r>
      <w:r w:rsidRPr="00A56E28">
        <w:rPr>
          <w:sz w:val="20"/>
        </w:rPr>
        <w:t xml:space="preserve"> lactate dehydrogenase (</w:t>
      </w:r>
      <w:proofErr w:type="spellStart"/>
      <w:r w:rsidRPr="00A56E28">
        <w:rPr>
          <w:sz w:val="20"/>
        </w:rPr>
        <w:t>PfLDH</w:t>
      </w:r>
      <w:proofErr w:type="spellEnd"/>
      <w:r w:rsidRPr="00A56E28">
        <w:rPr>
          <w:sz w:val="20"/>
        </w:rPr>
        <w:t xml:space="preserve">, PDB ID: 1OC4) and </w:t>
      </w:r>
      <w:proofErr w:type="spellStart"/>
      <w:r w:rsidRPr="00A56E28">
        <w:rPr>
          <w:sz w:val="20"/>
        </w:rPr>
        <w:t>plasmepsin</w:t>
      </w:r>
      <w:proofErr w:type="spellEnd"/>
      <w:r w:rsidRPr="00A56E28">
        <w:rPr>
          <w:sz w:val="20"/>
        </w:rPr>
        <w:t xml:space="preserve"> II (PDB ID: 2BJU), which are essential enzymes in parasite metabolism and survival.</w:t>
      </w:r>
    </w:p>
    <w:p w:rsidR="00A56E28" w:rsidRPr="00A56E28" w:rsidRDefault="00A56E28" w:rsidP="00A56E28">
      <w:pPr>
        <w:pStyle w:val="NormalWeb"/>
        <w:spacing w:line="276" w:lineRule="auto"/>
        <w:jc w:val="both"/>
        <w:rPr>
          <w:sz w:val="20"/>
        </w:rPr>
      </w:pPr>
      <w:r w:rsidRPr="00A56E28">
        <w:rPr>
          <w:sz w:val="20"/>
        </w:rPr>
        <w:t>Molecular docking was performed to evaluate binding interactions between the phytochemicals and target proteins. Binding affinities were calculated in kcal/</w:t>
      </w:r>
      <w:proofErr w:type="spellStart"/>
      <w:r w:rsidRPr="00A56E28">
        <w:rPr>
          <w:sz w:val="20"/>
        </w:rPr>
        <w:t>mol</w:t>
      </w:r>
      <w:proofErr w:type="spellEnd"/>
      <w:r w:rsidRPr="00A56E28">
        <w:rPr>
          <w:sz w:val="20"/>
        </w:rPr>
        <w:t>, and interactions such as hydrogen bonding and hydrophobic contacts were analyzed to determine binding stability.</w:t>
      </w:r>
    </w:p>
    <w:p w:rsidR="00A56E28" w:rsidRPr="00A56E28" w:rsidRDefault="00A56E28" w:rsidP="00A56E28">
      <w:pPr>
        <w:pStyle w:val="NormalWeb"/>
        <w:spacing w:line="276" w:lineRule="auto"/>
        <w:jc w:val="both"/>
        <w:rPr>
          <w:sz w:val="20"/>
        </w:rPr>
        <w:sectPr w:rsidR="00A56E28" w:rsidRPr="00A56E28" w:rsidSect="00A56E28">
          <w:type w:val="continuous"/>
          <w:pgSz w:w="12240" w:h="15840"/>
          <w:pgMar w:top="1440" w:right="1440" w:bottom="1440" w:left="1440" w:header="720" w:footer="720" w:gutter="0"/>
          <w:cols w:num="2" w:space="720"/>
          <w:docGrid w:linePitch="360"/>
        </w:sectPr>
      </w:pPr>
      <w:r w:rsidRPr="00A56E28">
        <w:rPr>
          <w:sz w:val="20"/>
        </w:rPr>
        <w:t>Pharmacokinetic properties including absorption, distribution, metabolism, excretion, and toxicity (ADMET) were predicted using computational tools. Parameters such as gastrointestinal absorption, blood–brain barrier permeability, cytochrome P450 inhibition, and toxicity risks were evaluated to assess drug-likeness.</w:t>
      </w:r>
    </w:p>
    <w:p w:rsidR="003547A5" w:rsidRPr="003547A5" w:rsidRDefault="003547A5" w:rsidP="00A56E28">
      <w:pPr>
        <w:rPr>
          <w:rFonts w:ascii="Times New Roman" w:hAnsi="Times New Roman" w:cs="Times New Roman"/>
          <w:b/>
          <w:bCs/>
          <w:sz w:val="20"/>
        </w:rPr>
      </w:pPr>
      <w:r w:rsidRPr="003547A5">
        <w:rPr>
          <w:rFonts w:ascii="Times New Roman" w:hAnsi="Times New Roman" w:cs="Times New Roman"/>
          <w:b/>
          <w:bCs/>
          <w:sz w:val="20"/>
        </w:rPr>
        <w:lastRenderedPageBreak/>
        <w:t>RESULTS</w:t>
      </w:r>
    </w:p>
    <w:p w:rsidR="00A56E28" w:rsidRPr="003547A5" w:rsidRDefault="00A56E28" w:rsidP="003547A5">
      <w:pPr>
        <w:ind w:left="2880" w:firstLine="720"/>
        <w:rPr>
          <w:rFonts w:ascii="Times New Roman" w:hAnsi="Times New Roman" w:cs="Times New Roman"/>
          <w:b/>
          <w:bCs/>
          <w:sz w:val="20"/>
        </w:rPr>
      </w:pPr>
      <w:r w:rsidRPr="003547A5">
        <w:rPr>
          <w:rFonts w:ascii="Times New Roman" w:hAnsi="Times New Roman" w:cs="Times New Roman"/>
          <w:b/>
          <w:bCs/>
          <w:sz w:val="20"/>
        </w:rPr>
        <w:t>GC–MS Analysis</w:t>
      </w:r>
    </w:p>
    <w:p w:rsidR="00A56E28" w:rsidRPr="003547A5" w:rsidRDefault="003547A5" w:rsidP="00A56E28">
      <w:pPr>
        <w:rPr>
          <w:rFonts w:ascii="Times New Roman" w:hAnsi="Times New Roman" w:cs="Times New Roman"/>
          <w:b/>
          <w:bCs/>
          <w:sz w:val="20"/>
        </w:rPr>
      </w:pPr>
      <w:r>
        <w:rPr>
          <w:rFonts w:ascii="Times New Roman" w:hAnsi="Times New Roman" w:cs="Times New Roman"/>
          <w:b/>
          <w:bCs/>
          <w:sz w:val="20"/>
        </w:rPr>
        <w:t xml:space="preserve"> </w:t>
      </w:r>
      <w:r>
        <w:rPr>
          <w:rFonts w:ascii="Times New Roman" w:hAnsi="Times New Roman" w:cs="Times New Roman"/>
          <w:b/>
          <w:bCs/>
          <w:sz w:val="20"/>
        </w:rPr>
        <w:tab/>
      </w:r>
      <w:r>
        <w:rPr>
          <w:rFonts w:ascii="Times New Roman" w:hAnsi="Times New Roman" w:cs="Times New Roman"/>
          <w:b/>
          <w:bCs/>
          <w:sz w:val="20"/>
        </w:rPr>
        <w:tab/>
      </w:r>
      <w:r>
        <w:rPr>
          <w:rFonts w:ascii="Times New Roman" w:hAnsi="Times New Roman" w:cs="Times New Roman"/>
          <w:b/>
          <w:bCs/>
          <w:sz w:val="20"/>
        </w:rPr>
        <w:tab/>
      </w:r>
      <w:r w:rsidR="00A56E28" w:rsidRPr="003547A5">
        <w:rPr>
          <w:rFonts w:ascii="Times New Roman" w:hAnsi="Times New Roman" w:cs="Times New Roman"/>
          <w:b/>
          <w:bCs/>
          <w:sz w:val="20"/>
        </w:rPr>
        <w:t>Table 1: Major volatile compounds identified</w:t>
      </w:r>
    </w:p>
    <w:tbl>
      <w:tblPr>
        <w:tblW w:w="0" w:type="auto"/>
        <w:tblInd w:w="500" w:type="dxa"/>
        <w:tblLayout w:type="fixed"/>
        <w:tblLook w:val="04A0" w:firstRow="1" w:lastRow="0" w:firstColumn="1" w:lastColumn="0" w:noHBand="0" w:noVBand="1"/>
      </w:tblPr>
      <w:tblGrid>
        <w:gridCol w:w="2299"/>
        <w:gridCol w:w="236"/>
        <w:gridCol w:w="1273"/>
        <w:gridCol w:w="1022"/>
        <w:gridCol w:w="1348"/>
        <w:gridCol w:w="1260"/>
      </w:tblGrid>
      <w:tr w:rsidR="00A56E28" w:rsidRPr="003547A5" w:rsidTr="003547A5">
        <w:trPr>
          <w:trHeight w:val="692"/>
        </w:trPr>
        <w:tc>
          <w:tcPr>
            <w:tcW w:w="2299" w:type="dxa"/>
            <w:tcBorders>
              <w:top w:val="single" w:sz="4" w:space="0" w:color="auto"/>
              <w:bottom w:val="single" w:sz="4" w:space="0" w:color="auto"/>
            </w:tcBorders>
            <w:hideMark/>
          </w:tcPr>
          <w:p w:rsidR="00A56E28" w:rsidRPr="003547A5" w:rsidRDefault="00A56E28" w:rsidP="00A56E28">
            <w:pPr>
              <w:rPr>
                <w:rFonts w:ascii="Times New Roman" w:hAnsi="Times New Roman" w:cs="Times New Roman"/>
                <w:b/>
                <w:bCs/>
                <w:sz w:val="20"/>
              </w:rPr>
            </w:pPr>
            <w:r w:rsidRPr="003547A5">
              <w:rPr>
                <w:rFonts w:ascii="Times New Roman" w:hAnsi="Times New Roman" w:cs="Times New Roman"/>
                <w:b/>
                <w:bCs/>
                <w:sz w:val="20"/>
              </w:rPr>
              <w:t>Compound</w:t>
            </w:r>
          </w:p>
        </w:tc>
        <w:tc>
          <w:tcPr>
            <w:tcW w:w="236" w:type="dxa"/>
            <w:tcBorders>
              <w:top w:val="single" w:sz="4" w:space="0" w:color="auto"/>
              <w:bottom w:val="single" w:sz="4" w:space="0" w:color="auto"/>
              <w:right w:val="single" w:sz="4" w:space="0" w:color="auto"/>
            </w:tcBorders>
            <w:hideMark/>
          </w:tcPr>
          <w:p w:rsidR="00A56E28" w:rsidRPr="003547A5" w:rsidRDefault="00A56E28" w:rsidP="00A56E28">
            <w:pPr>
              <w:rPr>
                <w:rFonts w:ascii="Times New Roman" w:hAnsi="Times New Roman" w:cs="Times New Roman"/>
                <w:b/>
                <w:bCs/>
                <w:sz w:val="20"/>
              </w:rPr>
            </w:pPr>
          </w:p>
        </w:tc>
        <w:tc>
          <w:tcPr>
            <w:tcW w:w="1273" w:type="dxa"/>
            <w:tcBorders>
              <w:top w:val="single" w:sz="4" w:space="0" w:color="auto"/>
              <w:left w:val="single" w:sz="4" w:space="0" w:color="auto"/>
              <w:bottom w:val="single" w:sz="4" w:space="0" w:color="auto"/>
            </w:tcBorders>
          </w:tcPr>
          <w:p w:rsidR="00A56E28" w:rsidRPr="003547A5" w:rsidRDefault="00A56E28" w:rsidP="00A56E28">
            <w:pPr>
              <w:rPr>
                <w:rFonts w:ascii="Times New Roman" w:hAnsi="Times New Roman" w:cs="Times New Roman"/>
                <w:b/>
                <w:bCs/>
                <w:sz w:val="20"/>
              </w:rPr>
            </w:pPr>
            <w:r w:rsidRPr="003547A5">
              <w:rPr>
                <w:rFonts w:ascii="Times New Roman" w:hAnsi="Times New Roman" w:cs="Times New Roman"/>
                <w:b/>
                <w:bCs/>
                <w:sz w:val="20"/>
              </w:rPr>
              <w:t>RT (min)</w:t>
            </w:r>
          </w:p>
        </w:tc>
        <w:tc>
          <w:tcPr>
            <w:tcW w:w="1022" w:type="dxa"/>
            <w:tcBorders>
              <w:top w:val="single" w:sz="4" w:space="0" w:color="auto"/>
              <w:bottom w:val="single" w:sz="4" w:space="0" w:color="auto"/>
            </w:tcBorders>
            <w:hideMark/>
          </w:tcPr>
          <w:p w:rsidR="00A56E28" w:rsidRPr="003547A5" w:rsidRDefault="00A56E28" w:rsidP="00A56E28">
            <w:pPr>
              <w:rPr>
                <w:rFonts w:ascii="Times New Roman" w:hAnsi="Times New Roman" w:cs="Times New Roman"/>
                <w:b/>
                <w:bCs/>
                <w:sz w:val="20"/>
              </w:rPr>
            </w:pPr>
            <w:r w:rsidRPr="003547A5">
              <w:rPr>
                <w:rFonts w:ascii="Times New Roman" w:hAnsi="Times New Roman" w:cs="Times New Roman"/>
                <w:b/>
                <w:bCs/>
                <w:sz w:val="20"/>
              </w:rPr>
              <w:t>Area (%)</w:t>
            </w:r>
          </w:p>
        </w:tc>
        <w:tc>
          <w:tcPr>
            <w:tcW w:w="1348" w:type="dxa"/>
            <w:tcBorders>
              <w:top w:val="single" w:sz="4" w:space="0" w:color="auto"/>
              <w:bottom w:val="single" w:sz="4" w:space="0" w:color="auto"/>
            </w:tcBorders>
            <w:hideMark/>
          </w:tcPr>
          <w:p w:rsidR="00A56E28" w:rsidRPr="003547A5" w:rsidRDefault="00A56E28" w:rsidP="00A56E28">
            <w:pPr>
              <w:rPr>
                <w:rFonts w:ascii="Times New Roman" w:hAnsi="Times New Roman" w:cs="Times New Roman"/>
                <w:b/>
                <w:bCs/>
                <w:sz w:val="20"/>
              </w:rPr>
            </w:pPr>
            <w:r w:rsidRPr="003547A5">
              <w:rPr>
                <w:rFonts w:ascii="Times New Roman" w:hAnsi="Times New Roman" w:cs="Times New Roman"/>
                <w:b/>
                <w:bCs/>
                <w:sz w:val="20"/>
              </w:rPr>
              <w:t>Formula</w:t>
            </w:r>
          </w:p>
        </w:tc>
        <w:tc>
          <w:tcPr>
            <w:tcW w:w="1260" w:type="dxa"/>
            <w:tcBorders>
              <w:top w:val="single" w:sz="4" w:space="0" w:color="auto"/>
              <w:bottom w:val="single" w:sz="4" w:space="0" w:color="auto"/>
            </w:tcBorders>
            <w:hideMark/>
          </w:tcPr>
          <w:p w:rsidR="00A56E28" w:rsidRPr="003547A5" w:rsidRDefault="00A56E28" w:rsidP="00A56E28">
            <w:pPr>
              <w:rPr>
                <w:rFonts w:ascii="Times New Roman" w:hAnsi="Times New Roman" w:cs="Times New Roman"/>
                <w:b/>
                <w:bCs/>
                <w:sz w:val="20"/>
              </w:rPr>
            </w:pPr>
            <w:r w:rsidRPr="003547A5">
              <w:rPr>
                <w:rFonts w:ascii="Times New Roman" w:hAnsi="Times New Roman" w:cs="Times New Roman"/>
                <w:b/>
                <w:bCs/>
                <w:sz w:val="20"/>
              </w:rPr>
              <w:t>MW</w:t>
            </w:r>
          </w:p>
        </w:tc>
      </w:tr>
      <w:tr w:rsidR="00A56E28" w:rsidRPr="003547A5" w:rsidTr="003547A5">
        <w:tc>
          <w:tcPr>
            <w:tcW w:w="2299" w:type="dxa"/>
            <w:hideMark/>
          </w:tcPr>
          <w:p w:rsidR="00A56E28" w:rsidRPr="003547A5" w:rsidRDefault="00A56E28" w:rsidP="00A56E28">
            <w:pPr>
              <w:rPr>
                <w:rFonts w:ascii="Times New Roman" w:hAnsi="Times New Roman" w:cs="Times New Roman"/>
                <w:sz w:val="20"/>
              </w:rPr>
            </w:pPr>
            <w:proofErr w:type="spellStart"/>
            <w:r w:rsidRPr="003547A5">
              <w:rPr>
                <w:rFonts w:ascii="Times New Roman" w:hAnsi="Times New Roman" w:cs="Times New Roman"/>
                <w:sz w:val="20"/>
              </w:rPr>
              <w:t>Docosane</w:t>
            </w:r>
            <w:proofErr w:type="spellEnd"/>
            <w:r w:rsidRPr="003547A5">
              <w:rPr>
                <w:rFonts w:ascii="Times New Roman" w:hAnsi="Times New Roman" w:cs="Times New Roman"/>
                <w:sz w:val="20"/>
              </w:rPr>
              <w:t>, 2,21-dimethyl-</w:t>
            </w:r>
          </w:p>
        </w:tc>
        <w:tc>
          <w:tcPr>
            <w:tcW w:w="236" w:type="dxa"/>
            <w:tcBorders>
              <w:right w:val="single" w:sz="4" w:space="0" w:color="auto"/>
            </w:tcBorders>
            <w:hideMark/>
          </w:tcPr>
          <w:p w:rsidR="00A56E28" w:rsidRPr="003547A5" w:rsidRDefault="00A56E28" w:rsidP="00A56E28">
            <w:pPr>
              <w:rPr>
                <w:rFonts w:ascii="Times New Roman" w:hAnsi="Times New Roman" w:cs="Times New Roman"/>
                <w:sz w:val="20"/>
              </w:rPr>
            </w:pPr>
          </w:p>
        </w:tc>
        <w:tc>
          <w:tcPr>
            <w:tcW w:w="1273" w:type="dxa"/>
            <w:tcBorders>
              <w:left w:val="single" w:sz="4" w:space="0" w:color="auto"/>
            </w:tcBorders>
          </w:tcPr>
          <w:p w:rsidR="00A56E28" w:rsidRPr="003547A5" w:rsidRDefault="00A56E28" w:rsidP="00A56E28">
            <w:pPr>
              <w:rPr>
                <w:rFonts w:ascii="Times New Roman" w:hAnsi="Times New Roman" w:cs="Times New Roman"/>
                <w:sz w:val="20"/>
              </w:rPr>
            </w:pPr>
            <w:r w:rsidRPr="003547A5">
              <w:rPr>
                <w:rFonts w:ascii="Times New Roman" w:hAnsi="Times New Roman" w:cs="Times New Roman"/>
                <w:sz w:val="20"/>
              </w:rPr>
              <w:t>9.428</w:t>
            </w:r>
          </w:p>
        </w:tc>
        <w:tc>
          <w:tcPr>
            <w:tcW w:w="1022" w:type="dxa"/>
            <w:hideMark/>
          </w:tcPr>
          <w:p w:rsidR="00A56E28" w:rsidRPr="003547A5" w:rsidRDefault="00A56E28" w:rsidP="00A56E28">
            <w:pPr>
              <w:rPr>
                <w:rFonts w:ascii="Times New Roman" w:hAnsi="Times New Roman" w:cs="Times New Roman"/>
                <w:sz w:val="20"/>
              </w:rPr>
            </w:pPr>
            <w:r w:rsidRPr="003547A5">
              <w:rPr>
                <w:rFonts w:ascii="Times New Roman" w:hAnsi="Times New Roman" w:cs="Times New Roman"/>
                <w:sz w:val="20"/>
              </w:rPr>
              <w:t>8.19</w:t>
            </w:r>
          </w:p>
        </w:tc>
        <w:tc>
          <w:tcPr>
            <w:tcW w:w="1348" w:type="dxa"/>
            <w:hideMark/>
          </w:tcPr>
          <w:p w:rsidR="00A56E28" w:rsidRPr="003547A5" w:rsidRDefault="00A56E28" w:rsidP="00A56E28">
            <w:pPr>
              <w:rPr>
                <w:rFonts w:ascii="Times New Roman" w:hAnsi="Times New Roman" w:cs="Times New Roman"/>
                <w:sz w:val="20"/>
              </w:rPr>
            </w:pPr>
            <w:r w:rsidRPr="003547A5">
              <w:rPr>
                <w:rFonts w:ascii="Times New Roman" w:hAnsi="Times New Roman" w:cs="Times New Roman"/>
                <w:sz w:val="20"/>
              </w:rPr>
              <w:t>C24H50</w:t>
            </w:r>
          </w:p>
        </w:tc>
        <w:tc>
          <w:tcPr>
            <w:tcW w:w="1260" w:type="dxa"/>
            <w:hideMark/>
          </w:tcPr>
          <w:p w:rsidR="00A56E28" w:rsidRPr="003547A5" w:rsidRDefault="00A56E28" w:rsidP="00A56E28">
            <w:pPr>
              <w:rPr>
                <w:rFonts w:ascii="Times New Roman" w:hAnsi="Times New Roman" w:cs="Times New Roman"/>
                <w:sz w:val="20"/>
              </w:rPr>
            </w:pPr>
            <w:r w:rsidRPr="003547A5">
              <w:rPr>
                <w:rFonts w:ascii="Times New Roman" w:hAnsi="Times New Roman" w:cs="Times New Roman"/>
                <w:sz w:val="20"/>
              </w:rPr>
              <w:t>338.7</w:t>
            </w:r>
          </w:p>
        </w:tc>
      </w:tr>
      <w:tr w:rsidR="00A56E28" w:rsidRPr="003547A5" w:rsidTr="003547A5">
        <w:tc>
          <w:tcPr>
            <w:tcW w:w="2299" w:type="dxa"/>
            <w:hideMark/>
          </w:tcPr>
          <w:p w:rsidR="00A56E28" w:rsidRPr="003547A5" w:rsidRDefault="00A56E28" w:rsidP="00A56E28">
            <w:pPr>
              <w:rPr>
                <w:rFonts w:ascii="Times New Roman" w:hAnsi="Times New Roman" w:cs="Times New Roman"/>
                <w:sz w:val="20"/>
              </w:rPr>
            </w:pPr>
            <w:r w:rsidRPr="003547A5">
              <w:rPr>
                <w:rFonts w:ascii="Times New Roman" w:hAnsi="Times New Roman" w:cs="Times New Roman"/>
                <w:sz w:val="20"/>
              </w:rPr>
              <w:t>2,4-Di-tert-butylphenol</w:t>
            </w:r>
          </w:p>
        </w:tc>
        <w:tc>
          <w:tcPr>
            <w:tcW w:w="236" w:type="dxa"/>
            <w:tcBorders>
              <w:right w:val="single" w:sz="4" w:space="0" w:color="auto"/>
            </w:tcBorders>
            <w:hideMark/>
          </w:tcPr>
          <w:p w:rsidR="00A56E28" w:rsidRPr="003547A5" w:rsidRDefault="00A56E28" w:rsidP="00A56E28">
            <w:pPr>
              <w:rPr>
                <w:rFonts w:ascii="Times New Roman" w:hAnsi="Times New Roman" w:cs="Times New Roman"/>
                <w:sz w:val="20"/>
              </w:rPr>
            </w:pPr>
          </w:p>
        </w:tc>
        <w:tc>
          <w:tcPr>
            <w:tcW w:w="1273" w:type="dxa"/>
            <w:tcBorders>
              <w:left w:val="single" w:sz="4" w:space="0" w:color="auto"/>
            </w:tcBorders>
          </w:tcPr>
          <w:p w:rsidR="00A56E28" w:rsidRPr="003547A5" w:rsidRDefault="00A56E28" w:rsidP="00A56E28">
            <w:pPr>
              <w:rPr>
                <w:rFonts w:ascii="Times New Roman" w:hAnsi="Times New Roman" w:cs="Times New Roman"/>
                <w:sz w:val="20"/>
              </w:rPr>
            </w:pPr>
            <w:r w:rsidRPr="003547A5">
              <w:rPr>
                <w:rFonts w:ascii="Times New Roman" w:hAnsi="Times New Roman" w:cs="Times New Roman"/>
                <w:sz w:val="20"/>
              </w:rPr>
              <w:t>22.133</w:t>
            </w:r>
          </w:p>
        </w:tc>
        <w:tc>
          <w:tcPr>
            <w:tcW w:w="1022" w:type="dxa"/>
            <w:hideMark/>
          </w:tcPr>
          <w:p w:rsidR="00A56E28" w:rsidRPr="003547A5" w:rsidRDefault="00A56E28" w:rsidP="00A56E28">
            <w:pPr>
              <w:rPr>
                <w:rFonts w:ascii="Times New Roman" w:hAnsi="Times New Roman" w:cs="Times New Roman"/>
                <w:sz w:val="20"/>
              </w:rPr>
            </w:pPr>
            <w:r w:rsidRPr="003547A5">
              <w:rPr>
                <w:rFonts w:ascii="Times New Roman" w:hAnsi="Times New Roman" w:cs="Times New Roman"/>
                <w:sz w:val="20"/>
              </w:rPr>
              <w:t>7.74</w:t>
            </w:r>
          </w:p>
        </w:tc>
        <w:tc>
          <w:tcPr>
            <w:tcW w:w="1348" w:type="dxa"/>
            <w:hideMark/>
          </w:tcPr>
          <w:p w:rsidR="00A56E28" w:rsidRPr="003547A5" w:rsidRDefault="00A56E28" w:rsidP="00A56E28">
            <w:pPr>
              <w:rPr>
                <w:rFonts w:ascii="Times New Roman" w:hAnsi="Times New Roman" w:cs="Times New Roman"/>
                <w:sz w:val="20"/>
              </w:rPr>
            </w:pPr>
            <w:r w:rsidRPr="003547A5">
              <w:rPr>
                <w:rFonts w:ascii="Times New Roman" w:hAnsi="Times New Roman" w:cs="Times New Roman"/>
                <w:sz w:val="20"/>
              </w:rPr>
              <w:t>C14H22O</w:t>
            </w:r>
          </w:p>
        </w:tc>
        <w:tc>
          <w:tcPr>
            <w:tcW w:w="1260" w:type="dxa"/>
            <w:hideMark/>
          </w:tcPr>
          <w:p w:rsidR="00A56E28" w:rsidRPr="003547A5" w:rsidRDefault="00A56E28" w:rsidP="00A56E28">
            <w:pPr>
              <w:rPr>
                <w:rFonts w:ascii="Times New Roman" w:hAnsi="Times New Roman" w:cs="Times New Roman"/>
                <w:sz w:val="20"/>
              </w:rPr>
            </w:pPr>
            <w:r w:rsidRPr="003547A5">
              <w:rPr>
                <w:rFonts w:ascii="Times New Roman" w:hAnsi="Times New Roman" w:cs="Times New Roman"/>
                <w:sz w:val="20"/>
              </w:rPr>
              <w:t>206.3</w:t>
            </w:r>
          </w:p>
        </w:tc>
      </w:tr>
      <w:tr w:rsidR="00A56E28" w:rsidRPr="003547A5" w:rsidTr="003547A5">
        <w:tc>
          <w:tcPr>
            <w:tcW w:w="2299" w:type="dxa"/>
            <w:hideMark/>
          </w:tcPr>
          <w:p w:rsidR="00A56E28" w:rsidRPr="003547A5" w:rsidRDefault="00A56E28" w:rsidP="00A56E28">
            <w:pPr>
              <w:rPr>
                <w:rFonts w:ascii="Times New Roman" w:hAnsi="Times New Roman" w:cs="Times New Roman"/>
                <w:sz w:val="20"/>
              </w:rPr>
            </w:pPr>
            <w:r w:rsidRPr="003547A5">
              <w:rPr>
                <w:rFonts w:ascii="Times New Roman" w:hAnsi="Times New Roman" w:cs="Times New Roman"/>
                <w:sz w:val="20"/>
              </w:rPr>
              <w:t>1-Decanol, 2-hexyl-</w:t>
            </w:r>
          </w:p>
        </w:tc>
        <w:tc>
          <w:tcPr>
            <w:tcW w:w="236" w:type="dxa"/>
            <w:tcBorders>
              <w:right w:val="single" w:sz="4" w:space="0" w:color="auto"/>
            </w:tcBorders>
            <w:hideMark/>
          </w:tcPr>
          <w:p w:rsidR="00A56E28" w:rsidRPr="003547A5" w:rsidRDefault="00A56E28" w:rsidP="00A56E28">
            <w:pPr>
              <w:rPr>
                <w:rFonts w:ascii="Times New Roman" w:hAnsi="Times New Roman" w:cs="Times New Roman"/>
                <w:sz w:val="20"/>
              </w:rPr>
            </w:pPr>
          </w:p>
        </w:tc>
        <w:tc>
          <w:tcPr>
            <w:tcW w:w="1273" w:type="dxa"/>
            <w:tcBorders>
              <w:left w:val="single" w:sz="4" w:space="0" w:color="auto"/>
            </w:tcBorders>
          </w:tcPr>
          <w:p w:rsidR="00A56E28" w:rsidRPr="003547A5" w:rsidRDefault="00A56E28" w:rsidP="00A56E28">
            <w:pPr>
              <w:rPr>
                <w:rFonts w:ascii="Times New Roman" w:hAnsi="Times New Roman" w:cs="Times New Roman"/>
                <w:sz w:val="20"/>
              </w:rPr>
            </w:pPr>
            <w:r w:rsidRPr="003547A5">
              <w:rPr>
                <w:rFonts w:ascii="Times New Roman" w:hAnsi="Times New Roman" w:cs="Times New Roman"/>
                <w:sz w:val="20"/>
              </w:rPr>
              <w:t>10.158</w:t>
            </w:r>
          </w:p>
        </w:tc>
        <w:tc>
          <w:tcPr>
            <w:tcW w:w="1022" w:type="dxa"/>
            <w:hideMark/>
          </w:tcPr>
          <w:p w:rsidR="00A56E28" w:rsidRPr="003547A5" w:rsidRDefault="00A56E28" w:rsidP="00A56E28">
            <w:pPr>
              <w:rPr>
                <w:rFonts w:ascii="Times New Roman" w:hAnsi="Times New Roman" w:cs="Times New Roman"/>
                <w:sz w:val="20"/>
              </w:rPr>
            </w:pPr>
            <w:r w:rsidRPr="003547A5">
              <w:rPr>
                <w:rFonts w:ascii="Times New Roman" w:hAnsi="Times New Roman" w:cs="Times New Roman"/>
                <w:sz w:val="20"/>
              </w:rPr>
              <w:t>5.09</w:t>
            </w:r>
          </w:p>
        </w:tc>
        <w:tc>
          <w:tcPr>
            <w:tcW w:w="1348" w:type="dxa"/>
            <w:hideMark/>
          </w:tcPr>
          <w:p w:rsidR="00A56E28" w:rsidRPr="003547A5" w:rsidRDefault="00A56E28" w:rsidP="00A56E28">
            <w:pPr>
              <w:rPr>
                <w:rFonts w:ascii="Times New Roman" w:hAnsi="Times New Roman" w:cs="Times New Roman"/>
                <w:sz w:val="20"/>
              </w:rPr>
            </w:pPr>
            <w:r w:rsidRPr="003547A5">
              <w:rPr>
                <w:rFonts w:ascii="Times New Roman" w:hAnsi="Times New Roman" w:cs="Times New Roman"/>
                <w:sz w:val="20"/>
              </w:rPr>
              <w:t>C16H34O</w:t>
            </w:r>
          </w:p>
        </w:tc>
        <w:tc>
          <w:tcPr>
            <w:tcW w:w="1260" w:type="dxa"/>
            <w:hideMark/>
          </w:tcPr>
          <w:p w:rsidR="00A56E28" w:rsidRPr="003547A5" w:rsidRDefault="00A56E28" w:rsidP="00A56E28">
            <w:pPr>
              <w:rPr>
                <w:rFonts w:ascii="Times New Roman" w:hAnsi="Times New Roman" w:cs="Times New Roman"/>
                <w:sz w:val="20"/>
              </w:rPr>
            </w:pPr>
            <w:r w:rsidRPr="003547A5">
              <w:rPr>
                <w:rFonts w:ascii="Times New Roman" w:hAnsi="Times New Roman" w:cs="Times New Roman"/>
                <w:sz w:val="20"/>
              </w:rPr>
              <w:t>242.4</w:t>
            </w:r>
          </w:p>
        </w:tc>
      </w:tr>
      <w:tr w:rsidR="00A56E28" w:rsidRPr="003547A5" w:rsidTr="003547A5">
        <w:tc>
          <w:tcPr>
            <w:tcW w:w="2299" w:type="dxa"/>
            <w:hideMark/>
          </w:tcPr>
          <w:p w:rsidR="00A56E28" w:rsidRPr="003547A5" w:rsidRDefault="00A56E28" w:rsidP="00A56E28">
            <w:pPr>
              <w:rPr>
                <w:rFonts w:ascii="Times New Roman" w:hAnsi="Times New Roman" w:cs="Times New Roman"/>
                <w:sz w:val="20"/>
              </w:rPr>
            </w:pPr>
            <w:proofErr w:type="spellStart"/>
            <w:r w:rsidRPr="003547A5">
              <w:rPr>
                <w:rFonts w:ascii="Times New Roman" w:hAnsi="Times New Roman" w:cs="Times New Roman"/>
                <w:sz w:val="20"/>
              </w:rPr>
              <w:t>Decane</w:t>
            </w:r>
            <w:proofErr w:type="spellEnd"/>
            <w:r w:rsidRPr="003547A5">
              <w:rPr>
                <w:rFonts w:ascii="Times New Roman" w:hAnsi="Times New Roman" w:cs="Times New Roman"/>
                <w:sz w:val="20"/>
              </w:rPr>
              <w:t>, 2-methyl-</w:t>
            </w:r>
          </w:p>
        </w:tc>
        <w:tc>
          <w:tcPr>
            <w:tcW w:w="236" w:type="dxa"/>
            <w:tcBorders>
              <w:right w:val="single" w:sz="4" w:space="0" w:color="auto"/>
            </w:tcBorders>
            <w:hideMark/>
          </w:tcPr>
          <w:p w:rsidR="00A56E28" w:rsidRPr="003547A5" w:rsidRDefault="00A56E28" w:rsidP="00A56E28">
            <w:pPr>
              <w:rPr>
                <w:rFonts w:ascii="Times New Roman" w:hAnsi="Times New Roman" w:cs="Times New Roman"/>
                <w:sz w:val="20"/>
              </w:rPr>
            </w:pPr>
          </w:p>
        </w:tc>
        <w:tc>
          <w:tcPr>
            <w:tcW w:w="1273" w:type="dxa"/>
            <w:tcBorders>
              <w:left w:val="single" w:sz="4" w:space="0" w:color="auto"/>
            </w:tcBorders>
          </w:tcPr>
          <w:p w:rsidR="00A56E28" w:rsidRPr="003547A5" w:rsidRDefault="00A56E28" w:rsidP="00A56E28">
            <w:pPr>
              <w:rPr>
                <w:rFonts w:ascii="Times New Roman" w:hAnsi="Times New Roman" w:cs="Times New Roman"/>
                <w:sz w:val="20"/>
              </w:rPr>
            </w:pPr>
            <w:r w:rsidRPr="003547A5">
              <w:rPr>
                <w:rFonts w:ascii="Times New Roman" w:hAnsi="Times New Roman" w:cs="Times New Roman"/>
                <w:sz w:val="20"/>
              </w:rPr>
              <w:t>9.815</w:t>
            </w:r>
          </w:p>
        </w:tc>
        <w:tc>
          <w:tcPr>
            <w:tcW w:w="1022" w:type="dxa"/>
            <w:hideMark/>
          </w:tcPr>
          <w:p w:rsidR="00A56E28" w:rsidRPr="003547A5" w:rsidRDefault="00A56E28" w:rsidP="00A56E28">
            <w:pPr>
              <w:rPr>
                <w:rFonts w:ascii="Times New Roman" w:hAnsi="Times New Roman" w:cs="Times New Roman"/>
                <w:sz w:val="20"/>
              </w:rPr>
            </w:pPr>
            <w:r w:rsidRPr="003547A5">
              <w:rPr>
                <w:rFonts w:ascii="Times New Roman" w:hAnsi="Times New Roman" w:cs="Times New Roman"/>
                <w:sz w:val="20"/>
              </w:rPr>
              <w:t>4.88</w:t>
            </w:r>
          </w:p>
        </w:tc>
        <w:tc>
          <w:tcPr>
            <w:tcW w:w="1348" w:type="dxa"/>
            <w:hideMark/>
          </w:tcPr>
          <w:p w:rsidR="00A56E28" w:rsidRPr="003547A5" w:rsidRDefault="00A56E28" w:rsidP="00A56E28">
            <w:pPr>
              <w:rPr>
                <w:rFonts w:ascii="Times New Roman" w:hAnsi="Times New Roman" w:cs="Times New Roman"/>
                <w:sz w:val="20"/>
              </w:rPr>
            </w:pPr>
            <w:r w:rsidRPr="003547A5">
              <w:rPr>
                <w:rFonts w:ascii="Times New Roman" w:hAnsi="Times New Roman" w:cs="Times New Roman"/>
                <w:sz w:val="20"/>
              </w:rPr>
              <w:t>C11H24</w:t>
            </w:r>
          </w:p>
        </w:tc>
        <w:tc>
          <w:tcPr>
            <w:tcW w:w="1260" w:type="dxa"/>
            <w:hideMark/>
          </w:tcPr>
          <w:p w:rsidR="00A56E28" w:rsidRPr="003547A5" w:rsidRDefault="00A56E28" w:rsidP="00A56E28">
            <w:pPr>
              <w:rPr>
                <w:rFonts w:ascii="Times New Roman" w:hAnsi="Times New Roman" w:cs="Times New Roman"/>
                <w:sz w:val="20"/>
              </w:rPr>
            </w:pPr>
            <w:r w:rsidRPr="003547A5">
              <w:rPr>
                <w:rFonts w:ascii="Times New Roman" w:hAnsi="Times New Roman" w:cs="Times New Roman"/>
                <w:sz w:val="20"/>
              </w:rPr>
              <w:t>156.3</w:t>
            </w:r>
          </w:p>
        </w:tc>
      </w:tr>
      <w:tr w:rsidR="00A56E28" w:rsidRPr="003547A5" w:rsidTr="003547A5">
        <w:trPr>
          <w:trHeight w:val="603"/>
        </w:trPr>
        <w:tc>
          <w:tcPr>
            <w:tcW w:w="2299" w:type="dxa"/>
            <w:tcBorders>
              <w:bottom w:val="single" w:sz="4" w:space="0" w:color="auto"/>
            </w:tcBorders>
            <w:hideMark/>
          </w:tcPr>
          <w:p w:rsidR="00A56E28" w:rsidRPr="003547A5" w:rsidRDefault="00A56E28" w:rsidP="00A56E28">
            <w:pPr>
              <w:rPr>
                <w:rFonts w:ascii="Times New Roman" w:hAnsi="Times New Roman" w:cs="Times New Roman"/>
                <w:sz w:val="20"/>
              </w:rPr>
            </w:pPr>
            <w:r w:rsidRPr="003547A5">
              <w:rPr>
                <w:rFonts w:ascii="Times New Roman" w:hAnsi="Times New Roman" w:cs="Times New Roman"/>
                <w:sz w:val="20"/>
              </w:rPr>
              <w:t>Cyclohexene derivative</w:t>
            </w:r>
          </w:p>
        </w:tc>
        <w:tc>
          <w:tcPr>
            <w:tcW w:w="236" w:type="dxa"/>
            <w:tcBorders>
              <w:bottom w:val="single" w:sz="4" w:space="0" w:color="auto"/>
              <w:right w:val="single" w:sz="4" w:space="0" w:color="auto"/>
            </w:tcBorders>
            <w:hideMark/>
          </w:tcPr>
          <w:p w:rsidR="00A56E28" w:rsidRPr="003547A5" w:rsidRDefault="00A56E28" w:rsidP="00A56E28">
            <w:pPr>
              <w:rPr>
                <w:rFonts w:ascii="Times New Roman" w:hAnsi="Times New Roman" w:cs="Times New Roman"/>
                <w:sz w:val="20"/>
              </w:rPr>
            </w:pPr>
          </w:p>
        </w:tc>
        <w:tc>
          <w:tcPr>
            <w:tcW w:w="1273" w:type="dxa"/>
            <w:tcBorders>
              <w:left w:val="single" w:sz="4" w:space="0" w:color="auto"/>
              <w:bottom w:val="single" w:sz="4" w:space="0" w:color="auto"/>
            </w:tcBorders>
          </w:tcPr>
          <w:p w:rsidR="00A56E28" w:rsidRPr="003547A5" w:rsidRDefault="00A56E28" w:rsidP="00A56E28">
            <w:pPr>
              <w:rPr>
                <w:rFonts w:ascii="Times New Roman" w:hAnsi="Times New Roman" w:cs="Times New Roman"/>
                <w:sz w:val="20"/>
              </w:rPr>
            </w:pPr>
            <w:r w:rsidRPr="003547A5">
              <w:rPr>
                <w:rFonts w:ascii="Times New Roman" w:hAnsi="Times New Roman" w:cs="Times New Roman"/>
                <w:sz w:val="20"/>
              </w:rPr>
              <w:t>26.072</w:t>
            </w:r>
          </w:p>
        </w:tc>
        <w:tc>
          <w:tcPr>
            <w:tcW w:w="1022" w:type="dxa"/>
            <w:tcBorders>
              <w:bottom w:val="single" w:sz="4" w:space="0" w:color="auto"/>
            </w:tcBorders>
            <w:hideMark/>
          </w:tcPr>
          <w:p w:rsidR="00A56E28" w:rsidRPr="003547A5" w:rsidRDefault="00A56E28" w:rsidP="00A56E28">
            <w:pPr>
              <w:rPr>
                <w:rFonts w:ascii="Times New Roman" w:hAnsi="Times New Roman" w:cs="Times New Roman"/>
                <w:sz w:val="20"/>
              </w:rPr>
            </w:pPr>
            <w:r w:rsidRPr="003547A5">
              <w:rPr>
                <w:rFonts w:ascii="Times New Roman" w:hAnsi="Times New Roman" w:cs="Times New Roman"/>
                <w:sz w:val="20"/>
              </w:rPr>
              <w:t>4.36</w:t>
            </w:r>
          </w:p>
        </w:tc>
        <w:tc>
          <w:tcPr>
            <w:tcW w:w="1348" w:type="dxa"/>
            <w:tcBorders>
              <w:bottom w:val="single" w:sz="4" w:space="0" w:color="auto"/>
            </w:tcBorders>
            <w:hideMark/>
          </w:tcPr>
          <w:p w:rsidR="00A56E28" w:rsidRPr="003547A5" w:rsidRDefault="00A56E28" w:rsidP="00A56E28">
            <w:pPr>
              <w:rPr>
                <w:rFonts w:ascii="Times New Roman" w:hAnsi="Times New Roman" w:cs="Times New Roman"/>
                <w:sz w:val="20"/>
              </w:rPr>
            </w:pPr>
            <w:r w:rsidRPr="003547A5">
              <w:rPr>
                <w:rFonts w:ascii="Times New Roman" w:hAnsi="Times New Roman" w:cs="Times New Roman"/>
                <w:sz w:val="20"/>
              </w:rPr>
              <w:t>C10H17NO2</w:t>
            </w:r>
          </w:p>
        </w:tc>
        <w:tc>
          <w:tcPr>
            <w:tcW w:w="1260" w:type="dxa"/>
            <w:tcBorders>
              <w:bottom w:val="single" w:sz="4" w:space="0" w:color="auto"/>
            </w:tcBorders>
            <w:hideMark/>
          </w:tcPr>
          <w:p w:rsidR="00A56E28" w:rsidRPr="003547A5" w:rsidRDefault="00A56E28" w:rsidP="00A56E28">
            <w:pPr>
              <w:rPr>
                <w:rFonts w:ascii="Times New Roman" w:hAnsi="Times New Roman" w:cs="Times New Roman"/>
                <w:sz w:val="20"/>
              </w:rPr>
            </w:pPr>
            <w:r w:rsidRPr="003547A5">
              <w:rPr>
                <w:rFonts w:ascii="Times New Roman" w:hAnsi="Times New Roman" w:cs="Times New Roman"/>
                <w:sz w:val="20"/>
              </w:rPr>
              <w:t>183.2</w:t>
            </w:r>
          </w:p>
        </w:tc>
      </w:tr>
    </w:tbl>
    <w:p w:rsidR="002036D0" w:rsidRDefault="003547A5" w:rsidP="002036D0">
      <w:pPr>
        <w:rPr>
          <w:rFonts w:ascii="Times New Roman" w:hAnsi="Times New Roman" w:cs="Times New Roman"/>
          <w:sz w:val="36"/>
        </w:rPr>
      </w:pPr>
      <w:r>
        <w:rPr>
          <w:rFonts w:ascii="Times New Roman" w:hAnsi="Times New Roman" w:cs="Times New Roman"/>
          <w:sz w:val="36"/>
        </w:rPr>
        <w:t xml:space="preserve"> </w:t>
      </w:r>
    </w:p>
    <w:p w:rsidR="00505DA2" w:rsidRDefault="00505DA2" w:rsidP="002036D0">
      <w:pPr>
        <w:rPr>
          <w:rFonts w:ascii="Times New Roman" w:hAnsi="Times New Roman" w:cs="Times New Roman"/>
          <w:sz w:val="36"/>
        </w:rPr>
      </w:pPr>
    </w:p>
    <w:p w:rsidR="002036D0" w:rsidRDefault="002036D0" w:rsidP="002036D0">
      <w:pPr>
        <w:rPr>
          <w:rFonts w:ascii="Times New Roman" w:hAnsi="Times New Roman" w:cs="Times New Roman"/>
          <w:sz w:val="36"/>
        </w:rPr>
      </w:pPr>
    </w:p>
    <w:p w:rsidR="002036D0" w:rsidRDefault="002036D0" w:rsidP="002036D0">
      <w:pPr>
        <w:rPr>
          <w:rFonts w:ascii="Times New Roman" w:hAnsi="Times New Roman" w:cs="Times New Roman"/>
          <w:sz w:val="36"/>
        </w:rPr>
      </w:pPr>
    </w:p>
    <w:p w:rsidR="003547A5" w:rsidRPr="003547A5" w:rsidRDefault="003547A5" w:rsidP="00465349">
      <w:pPr>
        <w:ind w:left="2880" w:firstLine="720"/>
        <w:rPr>
          <w:rFonts w:ascii="Times New Roman" w:hAnsi="Times New Roman" w:cs="Times New Roman"/>
          <w:b/>
          <w:bCs/>
          <w:sz w:val="20"/>
        </w:rPr>
      </w:pPr>
      <w:r w:rsidRPr="003547A5">
        <w:rPr>
          <w:rFonts w:ascii="Times New Roman" w:hAnsi="Times New Roman" w:cs="Times New Roman"/>
          <w:b/>
          <w:bCs/>
          <w:sz w:val="20"/>
        </w:rPr>
        <w:lastRenderedPageBreak/>
        <w:t>Molecular Docking Results</w:t>
      </w:r>
    </w:p>
    <w:p w:rsidR="003547A5" w:rsidRPr="003547A5" w:rsidRDefault="003547A5" w:rsidP="00465349">
      <w:pPr>
        <w:ind w:left="2160" w:firstLine="720"/>
        <w:rPr>
          <w:rFonts w:ascii="Times New Roman" w:hAnsi="Times New Roman" w:cs="Times New Roman"/>
          <w:b/>
          <w:bCs/>
          <w:sz w:val="20"/>
        </w:rPr>
      </w:pPr>
      <w:r w:rsidRPr="003547A5">
        <w:rPr>
          <w:rFonts w:ascii="Times New Roman" w:hAnsi="Times New Roman" w:cs="Times New Roman"/>
          <w:b/>
          <w:bCs/>
          <w:sz w:val="20"/>
        </w:rPr>
        <w:t>Table 2: Binding affinities against malaria targets</w:t>
      </w:r>
    </w:p>
    <w:tbl>
      <w:tblPr>
        <w:tblW w:w="0" w:type="auto"/>
        <w:tblInd w:w="811" w:type="dxa"/>
        <w:tblLook w:val="04A0" w:firstRow="1" w:lastRow="0" w:firstColumn="1" w:lastColumn="0" w:noHBand="0" w:noVBand="1"/>
      </w:tblPr>
      <w:tblGrid>
        <w:gridCol w:w="4170"/>
        <w:gridCol w:w="222"/>
        <w:gridCol w:w="1206"/>
        <w:gridCol w:w="2160"/>
      </w:tblGrid>
      <w:tr w:rsidR="003547A5" w:rsidRPr="003547A5" w:rsidTr="00505DA2">
        <w:trPr>
          <w:trHeight w:val="673"/>
        </w:trPr>
        <w:tc>
          <w:tcPr>
            <w:tcW w:w="4170" w:type="dxa"/>
            <w:tcBorders>
              <w:top w:val="single" w:sz="4" w:space="0" w:color="auto"/>
              <w:bottom w:val="single" w:sz="4" w:space="0" w:color="auto"/>
              <w:right w:val="single" w:sz="4" w:space="0" w:color="auto"/>
            </w:tcBorders>
            <w:hideMark/>
          </w:tcPr>
          <w:p w:rsidR="003547A5" w:rsidRPr="003547A5" w:rsidRDefault="003547A5" w:rsidP="003547A5">
            <w:pPr>
              <w:rPr>
                <w:rFonts w:ascii="Times New Roman" w:hAnsi="Times New Roman" w:cs="Times New Roman"/>
                <w:b/>
                <w:bCs/>
                <w:sz w:val="20"/>
              </w:rPr>
            </w:pPr>
            <w:r w:rsidRPr="003547A5">
              <w:rPr>
                <w:rFonts w:ascii="Times New Roman" w:hAnsi="Times New Roman" w:cs="Times New Roman"/>
                <w:b/>
                <w:bCs/>
                <w:sz w:val="20"/>
              </w:rPr>
              <w:t>Compound</w:t>
            </w:r>
          </w:p>
        </w:tc>
        <w:tc>
          <w:tcPr>
            <w:tcW w:w="222" w:type="dxa"/>
            <w:tcBorders>
              <w:top w:val="single" w:sz="4" w:space="0" w:color="auto"/>
              <w:left w:val="single" w:sz="4" w:space="0" w:color="auto"/>
              <w:bottom w:val="single" w:sz="4" w:space="0" w:color="auto"/>
            </w:tcBorders>
          </w:tcPr>
          <w:p w:rsidR="003547A5" w:rsidRPr="003547A5" w:rsidRDefault="003547A5" w:rsidP="003547A5">
            <w:pPr>
              <w:rPr>
                <w:rFonts w:ascii="Times New Roman" w:hAnsi="Times New Roman" w:cs="Times New Roman"/>
                <w:b/>
                <w:bCs/>
                <w:sz w:val="20"/>
              </w:rPr>
            </w:pPr>
          </w:p>
        </w:tc>
        <w:tc>
          <w:tcPr>
            <w:tcW w:w="1206" w:type="dxa"/>
            <w:tcBorders>
              <w:top w:val="single" w:sz="4" w:space="0" w:color="auto"/>
              <w:bottom w:val="single" w:sz="4" w:space="0" w:color="auto"/>
            </w:tcBorders>
            <w:hideMark/>
          </w:tcPr>
          <w:p w:rsidR="003547A5" w:rsidRPr="003547A5" w:rsidRDefault="003547A5" w:rsidP="003547A5">
            <w:pPr>
              <w:rPr>
                <w:rFonts w:ascii="Times New Roman" w:hAnsi="Times New Roman" w:cs="Times New Roman"/>
                <w:b/>
                <w:bCs/>
                <w:sz w:val="20"/>
              </w:rPr>
            </w:pPr>
            <w:proofErr w:type="spellStart"/>
            <w:r w:rsidRPr="003547A5">
              <w:rPr>
                <w:rFonts w:ascii="Times New Roman" w:hAnsi="Times New Roman" w:cs="Times New Roman"/>
                <w:b/>
                <w:bCs/>
                <w:sz w:val="20"/>
              </w:rPr>
              <w:t>PfLDH</w:t>
            </w:r>
            <w:proofErr w:type="spellEnd"/>
          </w:p>
        </w:tc>
        <w:tc>
          <w:tcPr>
            <w:tcW w:w="2160" w:type="dxa"/>
            <w:tcBorders>
              <w:top w:val="single" w:sz="4" w:space="0" w:color="auto"/>
              <w:bottom w:val="single" w:sz="4" w:space="0" w:color="auto"/>
            </w:tcBorders>
            <w:hideMark/>
          </w:tcPr>
          <w:p w:rsidR="003547A5" w:rsidRPr="003547A5" w:rsidRDefault="003547A5" w:rsidP="003547A5">
            <w:pPr>
              <w:rPr>
                <w:rFonts w:ascii="Times New Roman" w:hAnsi="Times New Roman" w:cs="Times New Roman"/>
                <w:b/>
                <w:bCs/>
                <w:sz w:val="20"/>
              </w:rPr>
            </w:pPr>
            <w:proofErr w:type="spellStart"/>
            <w:r w:rsidRPr="003547A5">
              <w:rPr>
                <w:rFonts w:ascii="Times New Roman" w:hAnsi="Times New Roman" w:cs="Times New Roman"/>
                <w:b/>
                <w:bCs/>
                <w:sz w:val="20"/>
              </w:rPr>
              <w:t>Plasmepsin</w:t>
            </w:r>
            <w:proofErr w:type="spellEnd"/>
            <w:r w:rsidRPr="003547A5">
              <w:rPr>
                <w:rFonts w:ascii="Times New Roman" w:hAnsi="Times New Roman" w:cs="Times New Roman"/>
                <w:b/>
                <w:bCs/>
                <w:sz w:val="20"/>
              </w:rPr>
              <w:t xml:space="preserve"> II</w:t>
            </w:r>
          </w:p>
        </w:tc>
      </w:tr>
      <w:tr w:rsidR="003547A5" w:rsidRPr="003547A5" w:rsidTr="00505DA2">
        <w:tc>
          <w:tcPr>
            <w:tcW w:w="4170" w:type="dxa"/>
            <w:tcBorders>
              <w:right w:val="single" w:sz="4" w:space="0" w:color="auto"/>
            </w:tcBorders>
            <w:hideMark/>
          </w:tcPr>
          <w:p w:rsidR="003547A5" w:rsidRPr="003547A5" w:rsidRDefault="003547A5" w:rsidP="003547A5">
            <w:pPr>
              <w:rPr>
                <w:rFonts w:ascii="Times New Roman" w:hAnsi="Times New Roman" w:cs="Times New Roman"/>
                <w:sz w:val="20"/>
              </w:rPr>
            </w:pPr>
            <w:r w:rsidRPr="003547A5">
              <w:rPr>
                <w:rFonts w:ascii="Times New Roman" w:hAnsi="Times New Roman" w:cs="Times New Roman"/>
                <w:sz w:val="20"/>
              </w:rPr>
              <w:t>Indazol-4-one derivative</w:t>
            </w:r>
          </w:p>
        </w:tc>
        <w:tc>
          <w:tcPr>
            <w:tcW w:w="222" w:type="dxa"/>
            <w:tcBorders>
              <w:left w:val="single" w:sz="4" w:space="0" w:color="auto"/>
            </w:tcBorders>
          </w:tcPr>
          <w:p w:rsidR="003547A5" w:rsidRPr="003547A5" w:rsidRDefault="003547A5" w:rsidP="003547A5">
            <w:pPr>
              <w:rPr>
                <w:rFonts w:ascii="Times New Roman" w:hAnsi="Times New Roman" w:cs="Times New Roman"/>
                <w:sz w:val="20"/>
              </w:rPr>
            </w:pPr>
          </w:p>
        </w:tc>
        <w:tc>
          <w:tcPr>
            <w:tcW w:w="1206" w:type="dxa"/>
            <w:hideMark/>
          </w:tcPr>
          <w:p w:rsidR="003547A5" w:rsidRPr="003547A5" w:rsidRDefault="003547A5" w:rsidP="003547A5">
            <w:pPr>
              <w:rPr>
                <w:rFonts w:ascii="Times New Roman" w:hAnsi="Times New Roman" w:cs="Times New Roman"/>
                <w:sz w:val="20"/>
              </w:rPr>
            </w:pPr>
            <w:r w:rsidRPr="003547A5">
              <w:rPr>
                <w:rFonts w:ascii="Times New Roman" w:hAnsi="Times New Roman" w:cs="Times New Roman"/>
                <w:sz w:val="20"/>
              </w:rPr>
              <w:t>–8.0</w:t>
            </w:r>
          </w:p>
        </w:tc>
        <w:tc>
          <w:tcPr>
            <w:tcW w:w="2160" w:type="dxa"/>
            <w:hideMark/>
          </w:tcPr>
          <w:p w:rsidR="003547A5" w:rsidRPr="003547A5" w:rsidRDefault="003547A5" w:rsidP="003547A5">
            <w:pPr>
              <w:rPr>
                <w:rFonts w:ascii="Times New Roman" w:hAnsi="Times New Roman" w:cs="Times New Roman"/>
                <w:sz w:val="20"/>
              </w:rPr>
            </w:pPr>
            <w:r w:rsidRPr="003547A5">
              <w:rPr>
                <w:rFonts w:ascii="Times New Roman" w:hAnsi="Times New Roman" w:cs="Times New Roman"/>
                <w:sz w:val="20"/>
              </w:rPr>
              <w:t>–7.1</w:t>
            </w:r>
          </w:p>
        </w:tc>
      </w:tr>
      <w:tr w:rsidR="003547A5" w:rsidRPr="003547A5" w:rsidTr="00505DA2">
        <w:tc>
          <w:tcPr>
            <w:tcW w:w="4170" w:type="dxa"/>
            <w:tcBorders>
              <w:right w:val="single" w:sz="4" w:space="0" w:color="auto"/>
            </w:tcBorders>
            <w:hideMark/>
          </w:tcPr>
          <w:p w:rsidR="003547A5" w:rsidRPr="003547A5" w:rsidRDefault="003547A5" w:rsidP="003547A5">
            <w:pPr>
              <w:rPr>
                <w:rFonts w:ascii="Times New Roman" w:hAnsi="Times New Roman" w:cs="Times New Roman"/>
                <w:sz w:val="20"/>
              </w:rPr>
            </w:pPr>
            <w:proofErr w:type="spellStart"/>
            <w:r w:rsidRPr="003547A5">
              <w:rPr>
                <w:rFonts w:ascii="Times New Roman" w:hAnsi="Times New Roman" w:cs="Times New Roman"/>
                <w:sz w:val="20"/>
              </w:rPr>
              <w:t>Cyclohexadecane</w:t>
            </w:r>
            <w:proofErr w:type="spellEnd"/>
            <w:r w:rsidRPr="003547A5">
              <w:rPr>
                <w:rFonts w:ascii="Times New Roman" w:hAnsi="Times New Roman" w:cs="Times New Roman"/>
                <w:sz w:val="20"/>
              </w:rPr>
              <w:t xml:space="preserve"> derivative</w:t>
            </w:r>
          </w:p>
        </w:tc>
        <w:tc>
          <w:tcPr>
            <w:tcW w:w="222" w:type="dxa"/>
            <w:tcBorders>
              <w:left w:val="single" w:sz="4" w:space="0" w:color="auto"/>
            </w:tcBorders>
          </w:tcPr>
          <w:p w:rsidR="003547A5" w:rsidRPr="003547A5" w:rsidRDefault="003547A5" w:rsidP="003547A5">
            <w:pPr>
              <w:rPr>
                <w:rFonts w:ascii="Times New Roman" w:hAnsi="Times New Roman" w:cs="Times New Roman"/>
                <w:sz w:val="20"/>
              </w:rPr>
            </w:pPr>
          </w:p>
        </w:tc>
        <w:tc>
          <w:tcPr>
            <w:tcW w:w="1206" w:type="dxa"/>
            <w:hideMark/>
          </w:tcPr>
          <w:p w:rsidR="003547A5" w:rsidRPr="003547A5" w:rsidRDefault="003547A5" w:rsidP="003547A5">
            <w:pPr>
              <w:rPr>
                <w:rFonts w:ascii="Times New Roman" w:hAnsi="Times New Roman" w:cs="Times New Roman"/>
                <w:sz w:val="20"/>
              </w:rPr>
            </w:pPr>
            <w:r w:rsidRPr="003547A5">
              <w:rPr>
                <w:rFonts w:ascii="Times New Roman" w:hAnsi="Times New Roman" w:cs="Times New Roman"/>
                <w:sz w:val="20"/>
              </w:rPr>
              <w:t>–6.6</w:t>
            </w:r>
          </w:p>
        </w:tc>
        <w:tc>
          <w:tcPr>
            <w:tcW w:w="2160" w:type="dxa"/>
            <w:hideMark/>
          </w:tcPr>
          <w:p w:rsidR="003547A5" w:rsidRPr="003547A5" w:rsidRDefault="003547A5" w:rsidP="003547A5">
            <w:pPr>
              <w:rPr>
                <w:rFonts w:ascii="Times New Roman" w:hAnsi="Times New Roman" w:cs="Times New Roman"/>
                <w:sz w:val="20"/>
              </w:rPr>
            </w:pPr>
            <w:r w:rsidRPr="003547A5">
              <w:rPr>
                <w:rFonts w:ascii="Times New Roman" w:hAnsi="Times New Roman" w:cs="Times New Roman"/>
                <w:sz w:val="20"/>
              </w:rPr>
              <w:t>–6.4</w:t>
            </w:r>
          </w:p>
        </w:tc>
      </w:tr>
      <w:tr w:rsidR="003547A5" w:rsidRPr="003547A5" w:rsidTr="00505DA2">
        <w:tc>
          <w:tcPr>
            <w:tcW w:w="4170" w:type="dxa"/>
            <w:tcBorders>
              <w:right w:val="single" w:sz="4" w:space="0" w:color="auto"/>
            </w:tcBorders>
            <w:hideMark/>
          </w:tcPr>
          <w:p w:rsidR="003547A5" w:rsidRPr="003547A5" w:rsidRDefault="003547A5" w:rsidP="003547A5">
            <w:pPr>
              <w:rPr>
                <w:rFonts w:ascii="Times New Roman" w:hAnsi="Times New Roman" w:cs="Times New Roman"/>
                <w:sz w:val="20"/>
              </w:rPr>
            </w:pPr>
            <w:r w:rsidRPr="003547A5">
              <w:rPr>
                <w:rFonts w:ascii="Times New Roman" w:hAnsi="Times New Roman" w:cs="Times New Roman"/>
                <w:sz w:val="20"/>
              </w:rPr>
              <w:t>Naphthalene, 1-methyl-</w:t>
            </w:r>
          </w:p>
        </w:tc>
        <w:tc>
          <w:tcPr>
            <w:tcW w:w="222" w:type="dxa"/>
            <w:tcBorders>
              <w:left w:val="single" w:sz="4" w:space="0" w:color="auto"/>
            </w:tcBorders>
          </w:tcPr>
          <w:p w:rsidR="003547A5" w:rsidRPr="003547A5" w:rsidRDefault="003547A5" w:rsidP="003547A5">
            <w:pPr>
              <w:rPr>
                <w:rFonts w:ascii="Times New Roman" w:hAnsi="Times New Roman" w:cs="Times New Roman"/>
                <w:sz w:val="20"/>
              </w:rPr>
            </w:pPr>
          </w:p>
        </w:tc>
        <w:tc>
          <w:tcPr>
            <w:tcW w:w="1206" w:type="dxa"/>
            <w:hideMark/>
          </w:tcPr>
          <w:p w:rsidR="003547A5" w:rsidRPr="003547A5" w:rsidRDefault="003547A5" w:rsidP="003547A5">
            <w:pPr>
              <w:rPr>
                <w:rFonts w:ascii="Times New Roman" w:hAnsi="Times New Roman" w:cs="Times New Roman"/>
                <w:sz w:val="20"/>
              </w:rPr>
            </w:pPr>
            <w:r w:rsidRPr="003547A5">
              <w:rPr>
                <w:rFonts w:ascii="Times New Roman" w:hAnsi="Times New Roman" w:cs="Times New Roman"/>
                <w:sz w:val="20"/>
              </w:rPr>
              <w:t>–6.5</w:t>
            </w:r>
          </w:p>
        </w:tc>
        <w:tc>
          <w:tcPr>
            <w:tcW w:w="2160" w:type="dxa"/>
            <w:hideMark/>
          </w:tcPr>
          <w:p w:rsidR="003547A5" w:rsidRPr="003547A5" w:rsidRDefault="003547A5" w:rsidP="003547A5">
            <w:pPr>
              <w:rPr>
                <w:rFonts w:ascii="Times New Roman" w:hAnsi="Times New Roman" w:cs="Times New Roman"/>
                <w:sz w:val="20"/>
              </w:rPr>
            </w:pPr>
            <w:r w:rsidRPr="003547A5">
              <w:rPr>
                <w:rFonts w:ascii="Times New Roman" w:hAnsi="Times New Roman" w:cs="Times New Roman"/>
                <w:sz w:val="20"/>
              </w:rPr>
              <w:t>–5.8</w:t>
            </w:r>
          </w:p>
        </w:tc>
      </w:tr>
      <w:tr w:rsidR="003547A5" w:rsidRPr="003547A5" w:rsidTr="00505DA2">
        <w:tc>
          <w:tcPr>
            <w:tcW w:w="4170" w:type="dxa"/>
            <w:tcBorders>
              <w:right w:val="single" w:sz="4" w:space="0" w:color="auto"/>
            </w:tcBorders>
            <w:hideMark/>
          </w:tcPr>
          <w:p w:rsidR="003547A5" w:rsidRPr="003547A5" w:rsidRDefault="003547A5" w:rsidP="003547A5">
            <w:pPr>
              <w:rPr>
                <w:rFonts w:ascii="Times New Roman" w:hAnsi="Times New Roman" w:cs="Times New Roman"/>
                <w:sz w:val="20"/>
              </w:rPr>
            </w:pPr>
            <w:proofErr w:type="spellStart"/>
            <w:r w:rsidRPr="003547A5">
              <w:rPr>
                <w:rFonts w:ascii="Times New Roman" w:hAnsi="Times New Roman" w:cs="Times New Roman"/>
                <w:sz w:val="20"/>
              </w:rPr>
              <w:t>Azulene</w:t>
            </w:r>
            <w:proofErr w:type="spellEnd"/>
          </w:p>
        </w:tc>
        <w:tc>
          <w:tcPr>
            <w:tcW w:w="222" w:type="dxa"/>
            <w:tcBorders>
              <w:left w:val="single" w:sz="4" w:space="0" w:color="auto"/>
            </w:tcBorders>
          </w:tcPr>
          <w:p w:rsidR="003547A5" w:rsidRPr="003547A5" w:rsidRDefault="003547A5" w:rsidP="003547A5">
            <w:pPr>
              <w:rPr>
                <w:rFonts w:ascii="Times New Roman" w:hAnsi="Times New Roman" w:cs="Times New Roman"/>
                <w:sz w:val="20"/>
              </w:rPr>
            </w:pPr>
          </w:p>
        </w:tc>
        <w:tc>
          <w:tcPr>
            <w:tcW w:w="1206" w:type="dxa"/>
            <w:hideMark/>
          </w:tcPr>
          <w:p w:rsidR="003547A5" w:rsidRPr="003547A5" w:rsidRDefault="003547A5" w:rsidP="003547A5">
            <w:pPr>
              <w:rPr>
                <w:rFonts w:ascii="Times New Roman" w:hAnsi="Times New Roman" w:cs="Times New Roman"/>
                <w:sz w:val="20"/>
              </w:rPr>
            </w:pPr>
            <w:r w:rsidRPr="003547A5">
              <w:rPr>
                <w:rFonts w:ascii="Times New Roman" w:hAnsi="Times New Roman" w:cs="Times New Roman"/>
                <w:sz w:val="20"/>
              </w:rPr>
              <w:t>–6.4</w:t>
            </w:r>
          </w:p>
        </w:tc>
        <w:tc>
          <w:tcPr>
            <w:tcW w:w="2160" w:type="dxa"/>
            <w:hideMark/>
          </w:tcPr>
          <w:p w:rsidR="003547A5" w:rsidRPr="003547A5" w:rsidRDefault="003547A5" w:rsidP="003547A5">
            <w:pPr>
              <w:rPr>
                <w:rFonts w:ascii="Times New Roman" w:hAnsi="Times New Roman" w:cs="Times New Roman"/>
                <w:sz w:val="20"/>
              </w:rPr>
            </w:pPr>
            <w:r w:rsidRPr="003547A5">
              <w:rPr>
                <w:rFonts w:ascii="Times New Roman" w:hAnsi="Times New Roman" w:cs="Times New Roman"/>
                <w:sz w:val="20"/>
              </w:rPr>
              <w:t>–5.8</w:t>
            </w:r>
          </w:p>
        </w:tc>
      </w:tr>
      <w:tr w:rsidR="003547A5" w:rsidRPr="003547A5" w:rsidTr="00505DA2">
        <w:tc>
          <w:tcPr>
            <w:tcW w:w="4170" w:type="dxa"/>
            <w:tcBorders>
              <w:bottom w:val="single" w:sz="4" w:space="0" w:color="auto"/>
              <w:right w:val="single" w:sz="4" w:space="0" w:color="auto"/>
            </w:tcBorders>
            <w:hideMark/>
          </w:tcPr>
          <w:p w:rsidR="003547A5" w:rsidRPr="003547A5" w:rsidRDefault="003547A5" w:rsidP="003547A5">
            <w:pPr>
              <w:rPr>
                <w:rFonts w:ascii="Times New Roman" w:hAnsi="Times New Roman" w:cs="Times New Roman"/>
                <w:sz w:val="20"/>
              </w:rPr>
            </w:pPr>
            <w:r w:rsidRPr="003547A5">
              <w:rPr>
                <w:rFonts w:ascii="Times New Roman" w:hAnsi="Times New Roman" w:cs="Times New Roman"/>
                <w:sz w:val="20"/>
              </w:rPr>
              <w:t>2,4-Di-tert-butylphenol</w:t>
            </w:r>
          </w:p>
        </w:tc>
        <w:tc>
          <w:tcPr>
            <w:tcW w:w="222" w:type="dxa"/>
            <w:tcBorders>
              <w:left w:val="single" w:sz="4" w:space="0" w:color="auto"/>
              <w:bottom w:val="single" w:sz="4" w:space="0" w:color="auto"/>
            </w:tcBorders>
          </w:tcPr>
          <w:p w:rsidR="003547A5" w:rsidRPr="003547A5" w:rsidRDefault="003547A5" w:rsidP="003547A5">
            <w:pPr>
              <w:rPr>
                <w:rFonts w:ascii="Times New Roman" w:hAnsi="Times New Roman" w:cs="Times New Roman"/>
                <w:sz w:val="20"/>
              </w:rPr>
            </w:pPr>
          </w:p>
        </w:tc>
        <w:tc>
          <w:tcPr>
            <w:tcW w:w="1206" w:type="dxa"/>
            <w:tcBorders>
              <w:bottom w:val="single" w:sz="4" w:space="0" w:color="auto"/>
            </w:tcBorders>
            <w:hideMark/>
          </w:tcPr>
          <w:p w:rsidR="003547A5" w:rsidRPr="003547A5" w:rsidRDefault="003547A5" w:rsidP="003547A5">
            <w:pPr>
              <w:rPr>
                <w:rFonts w:ascii="Times New Roman" w:hAnsi="Times New Roman" w:cs="Times New Roman"/>
                <w:sz w:val="20"/>
              </w:rPr>
            </w:pPr>
            <w:r w:rsidRPr="003547A5">
              <w:rPr>
                <w:rFonts w:ascii="Times New Roman" w:hAnsi="Times New Roman" w:cs="Times New Roman"/>
                <w:sz w:val="20"/>
              </w:rPr>
              <w:t>–6.1</w:t>
            </w:r>
          </w:p>
        </w:tc>
        <w:tc>
          <w:tcPr>
            <w:tcW w:w="2160" w:type="dxa"/>
            <w:tcBorders>
              <w:bottom w:val="single" w:sz="4" w:space="0" w:color="auto"/>
            </w:tcBorders>
            <w:hideMark/>
          </w:tcPr>
          <w:p w:rsidR="003547A5" w:rsidRPr="003547A5" w:rsidRDefault="003547A5" w:rsidP="003547A5">
            <w:pPr>
              <w:rPr>
                <w:rFonts w:ascii="Times New Roman" w:hAnsi="Times New Roman" w:cs="Times New Roman"/>
                <w:sz w:val="20"/>
              </w:rPr>
            </w:pPr>
            <w:r w:rsidRPr="003547A5">
              <w:rPr>
                <w:rFonts w:ascii="Times New Roman" w:hAnsi="Times New Roman" w:cs="Times New Roman"/>
                <w:sz w:val="20"/>
              </w:rPr>
              <w:t>–5.8</w:t>
            </w:r>
          </w:p>
        </w:tc>
      </w:tr>
    </w:tbl>
    <w:p w:rsidR="002036D0" w:rsidRDefault="002036D0" w:rsidP="002036D0">
      <w:pPr>
        <w:rPr>
          <w:rFonts w:ascii="Times New Roman" w:hAnsi="Times New Roman" w:cs="Times New Roman"/>
          <w:sz w:val="36"/>
        </w:rPr>
      </w:pPr>
    </w:p>
    <w:p w:rsidR="003547A5" w:rsidRPr="003547A5" w:rsidRDefault="003547A5" w:rsidP="003547A5">
      <w:pPr>
        <w:ind w:left="2880" w:firstLine="720"/>
        <w:rPr>
          <w:rFonts w:ascii="Times New Roman" w:hAnsi="Times New Roman" w:cs="Times New Roman"/>
          <w:b/>
          <w:bCs/>
          <w:sz w:val="20"/>
          <w:szCs w:val="20"/>
        </w:rPr>
      </w:pPr>
      <w:r w:rsidRPr="003547A5">
        <w:rPr>
          <w:rFonts w:ascii="Times New Roman" w:hAnsi="Times New Roman" w:cs="Times New Roman"/>
          <w:b/>
          <w:bCs/>
          <w:sz w:val="20"/>
          <w:szCs w:val="20"/>
        </w:rPr>
        <w:t>ADMET Analysis</w:t>
      </w:r>
    </w:p>
    <w:p w:rsidR="003547A5" w:rsidRPr="003547A5" w:rsidRDefault="003547A5" w:rsidP="003547A5">
      <w:pPr>
        <w:ind w:left="2160" w:firstLine="720"/>
        <w:rPr>
          <w:rFonts w:ascii="Times New Roman" w:hAnsi="Times New Roman" w:cs="Times New Roman"/>
          <w:b/>
          <w:bCs/>
          <w:sz w:val="20"/>
          <w:szCs w:val="20"/>
        </w:rPr>
      </w:pPr>
      <w:r w:rsidRPr="003547A5">
        <w:rPr>
          <w:rFonts w:ascii="Times New Roman" w:hAnsi="Times New Roman" w:cs="Times New Roman"/>
          <w:b/>
          <w:bCs/>
          <w:sz w:val="20"/>
          <w:szCs w:val="20"/>
        </w:rPr>
        <w:t>Table 3: Pharmacokinetic profile</w:t>
      </w:r>
    </w:p>
    <w:tbl>
      <w:tblPr>
        <w:tblW w:w="0" w:type="auto"/>
        <w:tblInd w:w="648" w:type="dxa"/>
        <w:tblLayout w:type="fixed"/>
        <w:tblLook w:val="04A0" w:firstRow="1" w:lastRow="0" w:firstColumn="1" w:lastColumn="0" w:noHBand="0" w:noVBand="1"/>
      </w:tblPr>
      <w:tblGrid>
        <w:gridCol w:w="2769"/>
        <w:gridCol w:w="236"/>
        <w:gridCol w:w="1585"/>
        <w:gridCol w:w="720"/>
        <w:gridCol w:w="1350"/>
        <w:gridCol w:w="1710"/>
      </w:tblGrid>
      <w:tr w:rsidR="003547A5" w:rsidRPr="003547A5" w:rsidTr="003547A5">
        <w:tc>
          <w:tcPr>
            <w:tcW w:w="2769" w:type="dxa"/>
            <w:tcBorders>
              <w:top w:val="single" w:sz="4" w:space="0" w:color="auto"/>
              <w:bottom w:val="single" w:sz="4" w:space="0" w:color="auto"/>
              <w:right w:val="single" w:sz="4" w:space="0" w:color="auto"/>
            </w:tcBorders>
            <w:hideMark/>
          </w:tcPr>
          <w:p w:rsidR="003547A5" w:rsidRPr="003547A5" w:rsidRDefault="003547A5" w:rsidP="003547A5">
            <w:pPr>
              <w:jc w:val="center"/>
              <w:rPr>
                <w:rFonts w:ascii="Times New Roman" w:hAnsi="Times New Roman" w:cs="Times New Roman"/>
                <w:b/>
                <w:bCs/>
                <w:sz w:val="20"/>
                <w:szCs w:val="20"/>
              </w:rPr>
            </w:pPr>
            <w:r w:rsidRPr="003547A5">
              <w:rPr>
                <w:rFonts w:ascii="Times New Roman" w:hAnsi="Times New Roman" w:cs="Times New Roman"/>
                <w:b/>
                <w:bCs/>
                <w:sz w:val="20"/>
                <w:szCs w:val="20"/>
              </w:rPr>
              <w:t>Compound</w:t>
            </w:r>
          </w:p>
        </w:tc>
        <w:tc>
          <w:tcPr>
            <w:tcW w:w="236" w:type="dxa"/>
            <w:tcBorders>
              <w:top w:val="single" w:sz="4" w:space="0" w:color="auto"/>
              <w:left w:val="single" w:sz="4" w:space="0" w:color="auto"/>
              <w:bottom w:val="single" w:sz="4" w:space="0" w:color="auto"/>
            </w:tcBorders>
          </w:tcPr>
          <w:p w:rsidR="003547A5" w:rsidRPr="003547A5" w:rsidRDefault="003547A5" w:rsidP="003547A5">
            <w:pPr>
              <w:jc w:val="center"/>
              <w:rPr>
                <w:rFonts w:ascii="Times New Roman" w:hAnsi="Times New Roman" w:cs="Times New Roman"/>
                <w:b/>
                <w:bCs/>
                <w:sz w:val="20"/>
                <w:szCs w:val="20"/>
              </w:rPr>
            </w:pPr>
          </w:p>
        </w:tc>
        <w:tc>
          <w:tcPr>
            <w:tcW w:w="1585" w:type="dxa"/>
            <w:tcBorders>
              <w:top w:val="single" w:sz="4" w:space="0" w:color="auto"/>
              <w:bottom w:val="single" w:sz="4" w:space="0" w:color="auto"/>
            </w:tcBorders>
            <w:hideMark/>
          </w:tcPr>
          <w:p w:rsidR="003547A5" w:rsidRPr="003547A5" w:rsidRDefault="003547A5" w:rsidP="003547A5">
            <w:pPr>
              <w:jc w:val="center"/>
              <w:rPr>
                <w:rFonts w:ascii="Times New Roman" w:hAnsi="Times New Roman" w:cs="Times New Roman"/>
                <w:b/>
                <w:bCs/>
                <w:sz w:val="20"/>
                <w:szCs w:val="20"/>
              </w:rPr>
            </w:pPr>
            <w:r w:rsidRPr="003547A5">
              <w:rPr>
                <w:rFonts w:ascii="Times New Roman" w:hAnsi="Times New Roman" w:cs="Times New Roman"/>
                <w:b/>
                <w:bCs/>
                <w:sz w:val="20"/>
                <w:szCs w:val="20"/>
              </w:rPr>
              <w:t>GI Absorption</w:t>
            </w:r>
          </w:p>
        </w:tc>
        <w:tc>
          <w:tcPr>
            <w:tcW w:w="720" w:type="dxa"/>
            <w:tcBorders>
              <w:top w:val="single" w:sz="4" w:space="0" w:color="auto"/>
              <w:bottom w:val="single" w:sz="4" w:space="0" w:color="auto"/>
            </w:tcBorders>
            <w:hideMark/>
          </w:tcPr>
          <w:p w:rsidR="003547A5" w:rsidRPr="003547A5" w:rsidRDefault="003547A5" w:rsidP="003547A5">
            <w:pPr>
              <w:jc w:val="center"/>
              <w:rPr>
                <w:rFonts w:ascii="Times New Roman" w:hAnsi="Times New Roman" w:cs="Times New Roman"/>
                <w:b/>
                <w:bCs/>
                <w:sz w:val="20"/>
                <w:szCs w:val="20"/>
              </w:rPr>
            </w:pPr>
            <w:r w:rsidRPr="003547A5">
              <w:rPr>
                <w:rFonts w:ascii="Times New Roman" w:hAnsi="Times New Roman" w:cs="Times New Roman"/>
                <w:b/>
                <w:bCs/>
                <w:sz w:val="20"/>
                <w:szCs w:val="20"/>
              </w:rPr>
              <w:t>BBB</w:t>
            </w:r>
          </w:p>
        </w:tc>
        <w:tc>
          <w:tcPr>
            <w:tcW w:w="1350" w:type="dxa"/>
            <w:tcBorders>
              <w:top w:val="single" w:sz="4" w:space="0" w:color="auto"/>
              <w:bottom w:val="single" w:sz="4" w:space="0" w:color="auto"/>
            </w:tcBorders>
            <w:hideMark/>
          </w:tcPr>
          <w:p w:rsidR="003547A5" w:rsidRPr="003547A5" w:rsidRDefault="003547A5" w:rsidP="003547A5">
            <w:pPr>
              <w:jc w:val="center"/>
              <w:rPr>
                <w:rFonts w:ascii="Times New Roman" w:hAnsi="Times New Roman" w:cs="Times New Roman"/>
                <w:b/>
                <w:bCs/>
                <w:sz w:val="20"/>
                <w:szCs w:val="20"/>
              </w:rPr>
            </w:pPr>
            <w:r w:rsidRPr="003547A5">
              <w:rPr>
                <w:rFonts w:ascii="Times New Roman" w:hAnsi="Times New Roman" w:cs="Times New Roman"/>
                <w:b/>
                <w:bCs/>
                <w:sz w:val="20"/>
                <w:szCs w:val="20"/>
              </w:rPr>
              <w:t>CYP Risk</w:t>
            </w:r>
          </w:p>
        </w:tc>
        <w:tc>
          <w:tcPr>
            <w:tcW w:w="1710" w:type="dxa"/>
            <w:tcBorders>
              <w:top w:val="single" w:sz="4" w:space="0" w:color="auto"/>
              <w:bottom w:val="single" w:sz="4" w:space="0" w:color="auto"/>
            </w:tcBorders>
            <w:hideMark/>
          </w:tcPr>
          <w:p w:rsidR="003547A5" w:rsidRPr="003547A5" w:rsidRDefault="003547A5" w:rsidP="003547A5">
            <w:pPr>
              <w:jc w:val="center"/>
              <w:rPr>
                <w:rFonts w:ascii="Times New Roman" w:hAnsi="Times New Roman" w:cs="Times New Roman"/>
                <w:b/>
                <w:bCs/>
                <w:sz w:val="20"/>
                <w:szCs w:val="20"/>
              </w:rPr>
            </w:pPr>
            <w:r w:rsidRPr="003547A5">
              <w:rPr>
                <w:rFonts w:ascii="Times New Roman" w:hAnsi="Times New Roman" w:cs="Times New Roman"/>
                <w:b/>
                <w:bCs/>
                <w:sz w:val="20"/>
                <w:szCs w:val="20"/>
              </w:rPr>
              <w:t>Bioavailability</w:t>
            </w:r>
          </w:p>
        </w:tc>
      </w:tr>
      <w:tr w:rsidR="003547A5" w:rsidRPr="003547A5" w:rsidTr="003547A5">
        <w:tc>
          <w:tcPr>
            <w:tcW w:w="2769" w:type="dxa"/>
            <w:tcBorders>
              <w:top w:val="single" w:sz="4" w:space="0" w:color="auto"/>
              <w:right w:val="single" w:sz="4" w:space="0" w:color="auto"/>
            </w:tcBorders>
            <w:hideMark/>
          </w:tcPr>
          <w:p w:rsidR="003547A5" w:rsidRPr="003547A5" w:rsidRDefault="003547A5" w:rsidP="003547A5">
            <w:pPr>
              <w:jc w:val="center"/>
              <w:rPr>
                <w:rFonts w:ascii="Times New Roman" w:hAnsi="Times New Roman" w:cs="Times New Roman"/>
                <w:sz w:val="20"/>
                <w:szCs w:val="20"/>
              </w:rPr>
            </w:pPr>
            <w:proofErr w:type="spellStart"/>
            <w:r w:rsidRPr="003547A5">
              <w:rPr>
                <w:rFonts w:ascii="Times New Roman" w:hAnsi="Times New Roman" w:cs="Times New Roman"/>
                <w:sz w:val="20"/>
                <w:szCs w:val="20"/>
              </w:rPr>
              <w:t>Indazol</w:t>
            </w:r>
            <w:proofErr w:type="spellEnd"/>
            <w:r w:rsidRPr="003547A5">
              <w:rPr>
                <w:rFonts w:ascii="Times New Roman" w:hAnsi="Times New Roman" w:cs="Times New Roman"/>
                <w:sz w:val="20"/>
                <w:szCs w:val="20"/>
              </w:rPr>
              <w:t xml:space="preserve"> derivative</w:t>
            </w:r>
          </w:p>
        </w:tc>
        <w:tc>
          <w:tcPr>
            <w:tcW w:w="236" w:type="dxa"/>
            <w:tcBorders>
              <w:top w:val="single" w:sz="4" w:space="0" w:color="auto"/>
              <w:left w:val="single" w:sz="4" w:space="0" w:color="auto"/>
            </w:tcBorders>
          </w:tcPr>
          <w:p w:rsidR="003547A5" w:rsidRPr="003547A5" w:rsidRDefault="003547A5" w:rsidP="003547A5">
            <w:pPr>
              <w:jc w:val="center"/>
              <w:rPr>
                <w:rFonts w:ascii="Times New Roman" w:hAnsi="Times New Roman" w:cs="Times New Roman"/>
                <w:sz w:val="20"/>
                <w:szCs w:val="20"/>
              </w:rPr>
            </w:pPr>
          </w:p>
          <w:p w:rsidR="003547A5" w:rsidRPr="003547A5" w:rsidRDefault="003547A5" w:rsidP="003547A5">
            <w:pPr>
              <w:jc w:val="center"/>
              <w:rPr>
                <w:rFonts w:ascii="Times New Roman" w:hAnsi="Times New Roman" w:cs="Times New Roman"/>
                <w:sz w:val="20"/>
                <w:szCs w:val="20"/>
              </w:rPr>
            </w:pPr>
          </w:p>
        </w:tc>
        <w:tc>
          <w:tcPr>
            <w:tcW w:w="1585" w:type="dxa"/>
            <w:tcBorders>
              <w:top w:val="single" w:sz="4" w:space="0" w:color="auto"/>
            </w:tcBorders>
            <w:hideMark/>
          </w:tcPr>
          <w:p w:rsidR="003547A5" w:rsidRPr="003547A5" w:rsidRDefault="003547A5" w:rsidP="003547A5">
            <w:pPr>
              <w:jc w:val="center"/>
              <w:rPr>
                <w:rFonts w:ascii="Times New Roman" w:hAnsi="Times New Roman" w:cs="Times New Roman"/>
                <w:sz w:val="20"/>
                <w:szCs w:val="20"/>
              </w:rPr>
            </w:pPr>
            <w:r w:rsidRPr="003547A5">
              <w:rPr>
                <w:rFonts w:ascii="Times New Roman" w:hAnsi="Times New Roman" w:cs="Times New Roman"/>
                <w:sz w:val="20"/>
                <w:szCs w:val="20"/>
              </w:rPr>
              <w:t>High</w:t>
            </w:r>
          </w:p>
        </w:tc>
        <w:tc>
          <w:tcPr>
            <w:tcW w:w="720" w:type="dxa"/>
            <w:tcBorders>
              <w:top w:val="single" w:sz="4" w:space="0" w:color="auto"/>
            </w:tcBorders>
            <w:hideMark/>
          </w:tcPr>
          <w:p w:rsidR="003547A5" w:rsidRPr="003547A5" w:rsidRDefault="003547A5" w:rsidP="003547A5">
            <w:pPr>
              <w:jc w:val="center"/>
              <w:rPr>
                <w:rFonts w:ascii="Times New Roman" w:hAnsi="Times New Roman" w:cs="Times New Roman"/>
                <w:sz w:val="20"/>
                <w:szCs w:val="20"/>
              </w:rPr>
            </w:pPr>
            <w:r w:rsidRPr="003547A5">
              <w:rPr>
                <w:rFonts w:ascii="Times New Roman" w:hAnsi="Times New Roman" w:cs="Times New Roman"/>
                <w:sz w:val="20"/>
                <w:szCs w:val="20"/>
              </w:rPr>
              <w:t>Yes</w:t>
            </w:r>
          </w:p>
        </w:tc>
        <w:tc>
          <w:tcPr>
            <w:tcW w:w="1350" w:type="dxa"/>
            <w:tcBorders>
              <w:top w:val="single" w:sz="4" w:space="0" w:color="auto"/>
            </w:tcBorders>
            <w:hideMark/>
          </w:tcPr>
          <w:p w:rsidR="003547A5" w:rsidRPr="003547A5" w:rsidRDefault="003547A5" w:rsidP="003547A5">
            <w:pPr>
              <w:jc w:val="center"/>
              <w:rPr>
                <w:rFonts w:ascii="Times New Roman" w:hAnsi="Times New Roman" w:cs="Times New Roman"/>
                <w:sz w:val="20"/>
                <w:szCs w:val="20"/>
              </w:rPr>
            </w:pPr>
            <w:r w:rsidRPr="003547A5">
              <w:rPr>
                <w:rFonts w:ascii="Times New Roman" w:hAnsi="Times New Roman" w:cs="Times New Roman"/>
                <w:sz w:val="20"/>
                <w:szCs w:val="20"/>
              </w:rPr>
              <w:t>Low</w:t>
            </w:r>
          </w:p>
        </w:tc>
        <w:tc>
          <w:tcPr>
            <w:tcW w:w="1710" w:type="dxa"/>
            <w:tcBorders>
              <w:top w:val="single" w:sz="4" w:space="0" w:color="auto"/>
            </w:tcBorders>
            <w:hideMark/>
          </w:tcPr>
          <w:p w:rsidR="003547A5" w:rsidRPr="003547A5" w:rsidRDefault="003547A5" w:rsidP="003547A5">
            <w:pPr>
              <w:jc w:val="center"/>
              <w:rPr>
                <w:rFonts w:ascii="Times New Roman" w:hAnsi="Times New Roman" w:cs="Times New Roman"/>
                <w:sz w:val="20"/>
                <w:szCs w:val="20"/>
              </w:rPr>
            </w:pPr>
            <w:r w:rsidRPr="003547A5">
              <w:rPr>
                <w:rFonts w:ascii="Times New Roman" w:hAnsi="Times New Roman" w:cs="Times New Roman"/>
                <w:sz w:val="20"/>
                <w:szCs w:val="20"/>
              </w:rPr>
              <w:t>Good</w:t>
            </w:r>
          </w:p>
        </w:tc>
      </w:tr>
      <w:tr w:rsidR="003547A5" w:rsidRPr="003547A5" w:rsidTr="003547A5">
        <w:tc>
          <w:tcPr>
            <w:tcW w:w="2769" w:type="dxa"/>
            <w:tcBorders>
              <w:right w:val="single" w:sz="4" w:space="0" w:color="auto"/>
            </w:tcBorders>
            <w:hideMark/>
          </w:tcPr>
          <w:p w:rsidR="003547A5" w:rsidRPr="003547A5" w:rsidRDefault="003547A5" w:rsidP="003547A5">
            <w:pPr>
              <w:jc w:val="center"/>
              <w:rPr>
                <w:rFonts w:ascii="Times New Roman" w:hAnsi="Times New Roman" w:cs="Times New Roman"/>
                <w:sz w:val="20"/>
                <w:szCs w:val="20"/>
              </w:rPr>
            </w:pPr>
            <w:r w:rsidRPr="003547A5">
              <w:rPr>
                <w:rFonts w:ascii="Times New Roman" w:hAnsi="Times New Roman" w:cs="Times New Roman"/>
                <w:sz w:val="20"/>
                <w:szCs w:val="20"/>
              </w:rPr>
              <w:t>2,4-DTBP</w:t>
            </w:r>
          </w:p>
        </w:tc>
        <w:tc>
          <w:tcPr>
            <w:tcW w:w="236" w:type="dxa"/>
            <w:tcBorders>
              <w:left w:val="single" w:sz="4" w:space="0" w:color="auto"/>
            </w:tcBorders>
          </w:tcPr>
          <w:p w:rsidR="003547A5" w:rsidRPr="003547A5" w:rsidRDefault="003547A5" w:rsidP="003547A5">
            <w:pPr>
              <w:jc w:val="center"/>
              <w:rPr>
                <w:rFonts w:ascii="Times New Roman" w:hAnsi="Times New Roman" w:cs="Times New Roman"/>
                <w:sz w:val="20"/>
                <w:szCs w:val="20"/>
              </w:rPr>
            </w:pPr>
          </w:p>
        </w:tc>
        <w:tc>
          <w:tcPr>
            <w:tcW w:w="1585" w:type="dxa"/>
            <w:hideMark/>
          </w:tcPr>
          <w:p w:rsidR="003547A5" w:rsidRPr="003547A5" w:rsidRDefault="003547A5" w:rsidP="003547A5">
            <w:pPr>
              <w:jc w:val="center"/>
              <w:rPr>
                <w:rFonts w:ascii="Times New Roman" w:hAnsi="Times New Roman" w:cs="Times New Roman"/>
                <w:sz w:val="20"/>
                <w:szCs w:val="20"/>
              </w:rPr>
            </w:pPr>
            <w:r w:rsidRPr="003547A5">
              <w:rPr>
                <w:rFonts w:ascii="Times New Roman" w:hAnsi="Times New Roman" w:cs="Times New Roman"/>
                <w:sz w:val="20"/>
                <w:szCs w:val="20"/>
              </w:rPr>
              <w:t>High</w:t>
            </w:r>
          </w:p>
        </w:tc>
        <w:tc>
          <w:tcPr>
            <w:tcW w:w="720" w:type="dxa"/>
            <w:hideMark/>
          </w:tcPr>
          <w:p w:rsidR="003547A5" w:rsidRPr="003547A5" w:rsidRDefault="003547A5" w:rsidP="003547A5">
            <w:pPr>
              <w:jc w:val="center"/>
              <w:rPr>
                <w:rFonts w:ascii="Times New Roman" w:hAnsi="Times New Roman" w:cs="Times New Roman"/>
                <w:sz w:val="20"/>
                <w:szCs w:val="20"/>
              </w:rPr>
            </w:pPr>
            <w:r w:rsidRPr="003547A5">
              <w:rPr>
                <w:rFonts w:ascii="Times New Roman" w:hAnsi="Times New Roman" w:cs="Times New Roman"/>
                <w:sz w:val="20"/>
                <w:szCs w:val="20"/>
              </w:rPr>
              <w:t>Yes</w:t>
            </w:r>
          </w:p>
        </w:tc>
        <w:tc>
          <w:tcPr>
            <w:tcW w:w="1350" w:type="dxa"/>
            <w:hideMark/>
          </w:tcPr>
          <w:p w:rsidR="003547A5" w:rsidRPr="003547A5" w:rsidRDefault="003547A5" w:rsidP="003547A5">
            <w:pPr>
              <w:jc w:val="center"/>
              <w:rPr>
                <w:rFonts w:ascii="Times New Roman" w:hAnsi="Times New Roman" w:cs="Times New Roman"/>
                <w:sz w:val="20"/>
                <w:szCs w:val="20"/>
              </w:rPr>
            </w:pPr>
            <w:r w:rsidRPr="003547A5">
              <w:rPr>
                <w:rFonts w:ascii="Times New Roman" w:hAnsi="Times New Roman" w:cs="Times New Roman"/>
                <w:sz w:val="20"/>
                <w:szCs w:val="20"/>
              </w:rPr>
              <w:t>Low</w:t>
            </w:r>
          </w:p>
        </w:tc>
        <w:tc>
          <w:tcPr>
            <w:tcW w:w="1710" w:type="dxa"/>
            <w:hideMark/>
          </w:tcPr>
          <w:p w:rsidR="003547A5" w:rsidRPr="003547A5" w:rsidRDefault="003547A5" w:rsidP="003547A5">
            <w:pPr>
              <w:jc w:val="center"/>
              <w:rPr>
                <w:rFonts w:ascii="Times New Roman" w:hAnsi="Times New Roman" w:cs="Times New Roman"/>
                <w:sz w:val="20"/>
                <w:szCs w:val="20"/>
              </w:rPr>
            </w:pPr>
            <w:r w:rsidRPr="003547A5">
              <w:rPr>
                <w:rFonts w:ascii="Times New Roman" w:hAnsi="Times New Roman" w:cs="Times New Roman"/>
                <w:sz w:val="20"/>
                <w:szCs w:val="20"/>
              </w:rPr>
              <w:t>Good</w:t>
            </w:r>
          </w:p>
        </w:tc>
      </w:tr>
      <w:tr w:rsidR="003547A5" w:rsidRPr="003547A5" w:rsidTr="003547A5">
        <w:tc>
          <w:tcPr>
            <w:tcW w:w="2769" w:type="dxa"/>
            <w:tcBorders>
              <w:right w:val="single" w:sz="4" w:space="0" w:color="auto"/>
            </w:tcBorders>
            <w:hideMark/>
          </w:tcPr>
          <w:p w:rsidR="003547A5" w:rsidRPr="003547A5" w:rsidRDefault="003547A5" w:rsidP="003547A5">
            <w:pPr>
              <w:jc w:val="center"/>
              <w:rPr>
                <w:rFonts w:ascii="Times New Roman" w:hAnsi="Times New Roman" w:cs="Times New Roman"/>
                <w:sz w:val="20"/>
                <w:szCs w:val="20"/>
              </w:rPr>
            </w:pPr>
            <w:proofErr w:type="spellStart"/>
            <w:r w:rsidRPr="003547A5">
              <w:rPr>
                <w:rFonts w:ascii="Times New Roman" w:hAnsi="Times New Roman" w:cs="Times New Roman"/>
                <w:sz w:val="20"/>
                <w:szCs w:val="20"/>
              </w:rPr>
              <w:t>Azulene</w:t>
            </w:r>
            <w:proofErr w:type="spellEnd"/>
          </w:p>
        </w:tc>
        <w:tc>
          <w:tcPr>
            <w:tcW w:w="236" w:type="dxa"/>
            <w:tcBorders>
              <w:left w:val="single" w:sz="4" w:space="0" w:color="auto"/>
            </w:tcBorders>
          </w:tcPr>
          <w:p w:rsidR="003547A5" w:rsidRPr="003547A5" w:rsidRDefault="003547A5" w:rsidP="003547A5">
            <w:pPr>
              <w:jc w:val="center"/>
              <w:rPr>
                <w:rFonts w:ascii="Times New Roman" w:hAnsi="Times New Roman" w:cs="Times New Roman"/>
                <w:sz w:val="20"/>
                <w:szCs w:val="20"/>
              </w:rPr>
            </w:pPr>
          </w:p>
        </w:tc>
        <w:tc>
          <w:tcPr>
            <w:tcW w:w="1585" w:type="dxa"/>
            <w:hideMark/>
          </w:tcPr>
          <w:p w:rsidR="003547A5" w:rsidRPr="003547A5" w:rsidRDefault="003547A5" w:rsidP="003547A5">
            <w:pPr>
              <w:jc w:val="center"/>
              <w:rPr>
                <w:rFonts w:ascii="Times New Roman" w:hAnsi="Times New Roman" w:cs="Times New Roman"/>
                <w:sz w:val="20"/>
                <w:szCs w:val="20"/>
              </w:rPr>
            </w:pPr>
            <w:r w:rsidRPr="003547A5">
              <w:rPr>
                <w:rFonts w:ascii="Times New Roman" w:hAnsi="Times New Roman" w:cs="Times New Roman"/>
                <w:sz w:val="20"/>
                <w:szCs w:val="20"/>
              </w:rPr>
              <w:t>Low</w:t>
            </w:r>
          </w:p>
        </w:tc>
        <w:tc>
          <w:tcPr>
            <w:tcW w:w="720" w:type="dxa"/>
            <w:hideMark/>
          </w:tcPr>
          <w:p w:rsidR="003547A5" w:rsidRPr="003547A5" w:rsidRDefault="003547A5" w:rsidP="003547A5">
            <w:pPr>
              <w:jc w:val="center"/>
              <w:rPr>
                <w:rFonts w:ascii="Times New Roman" w:hAnsi="Times New Roman" w:cs="Times New Roman"/>
                <w:sz w:val="20"/>
                <w:szCs w:val="20"/>
              </w:rPr>
            </w:pPr>
            <w:r w:rsidRPr="003547A5">
              <w:rPr>
                <w:rFonts w:ascii="Times New Roman" w:hAnsi="Times New Roman" w:cs="Times New Roman"/>
                <w:sz w:val="20"/>
                <w:szCs w:val="20"/>
              </w:rPr>
              <w:t>Yes</w:t>
            </w:r>
          </w:p>
        </w:tc>
        <w:tc>
          <w:tcPr>
            <w:tcW w:w="1350" w:type="dxa"/>
            <w:hideMark/>
          </w:tcPr>
          <w:p w:rsidR="003547A5" w:rsidRPr="003547A5" w:rsidRDefault="003547A5" w:rsidP="003547A5">
            <w:pPr>
              <w:jc w:val="center"/>
              <w:rPr>
                <w:rFonts w:ascii="Times New Roman" w:hAnsi="Times New Roman" w:cs="Times New Roman"/>
                <w:sz w:val="20"/>
                <w:szCs w:val="20"/>
              </w:rPr>
            </w:pPr>
            <w:r w:rsidRPr="003547A5">
              <w:rPr>
                <w:rFonts w:ascii="Times New Roman" w:hAnsi="Times New Roman" w:cs="Times New Roman"/>
                <w:sz w:val="20"/>
                <w:szCs w:val="20"/>
              </w:rPr>
              <w:t>High</w:t>
            </w:r>
          </w:p>
        </w:tc>
        <w:tc>
          <w:tcPr>
            <w:tcW w:w="1710" w:type="dxa"/>
            <w:hideMark/>
          </w:tcPr>
          <w:p w:rsidR="003547A5" w:rsidRPr="003547A5" w:rsidRDefault="003547A5" w:rsidP="003547A5">
            <w:pPr>
              <w:jc w:val="center"/>
              <w:rPr>
                <w:rFonts w:ascii="Times New Roman" w:hAnsi="Times New Roman" w:cs="Times New Roman"/>
                <w:sz w:val="20"/>
                <w:szCs w:val="20"/>
              </w:rPr>
            </w:pPr>
            <w:r w:rsidRPr="003547A5">
              <w:rPr>
                <w:rFonts w:ascii="Times New Roman" w:hAnsi="Times New Roman" w:cs="Times New Roman"/>
                <w:sz w:val="20"/>
                <w:szCs w:val="20"/>
              </w:rPr>
              <w:t>Moderate</w:t>
            </w:r>
          </w:p>
        </w:tc>
      </w:tr>
      <w:tr w:rsidR="003547A5" w:rsidRPr="003547A5" w:rsidTr="003547A5">
        <w:tc>
          <w:tcPr>
            <w:tcW w:w="2769" w:type="dxa"/>
            <w:tcBorders>
              <w:bottom w:val="single" w:sz="4" w:space="0" w:color="auto"/>
              <w:right w:val="single" w:sz="4" w:space="0" w:color="auto"/>
            </w:tcBorders>
            <w:hideMark/>
          </w:tcPr>
          <w:p w:rsidR="003547A5" w:rsidRPr="003547A5" w:rsidRDefault="003547A5" w:rsidP="003547A5">
            <w:pPr>
              <w:jc w:val="center"/>
              <w:rPr>
                <w:rFonts w:ascii="Times New Roman" w:hAnsi="Times New Roman" w:cs="Times New Roman"/>
                <w:sz w:val="20"/>
                <w:szCs w:val="20"/>
              </w:rPr>
            </w:pPr>
            <w:r w:rsidRPr="003547A5">
              <w:rPr>
                <w:rFonts w:ascii="Times New Roman" w:hAnsi="Times New Roman" w:cs="Times New Roman"/>
                <w:sz w:val="20"/>
                <w:szCs w:val="20"/>
              </w:rPr>
              <w:t>Naphthalene</w:t>
            </w:r>
          </w:p>
        </w:tc>
        <w:tc>
          <w:tcPr>
            <w:tcW w:w="236" w:type="dxa"/>
            <w:tcBorders>
              <w:left w:val="single" w:sz="4" w:space="0" w:color="auto"/>
              <w:bottom w:val="single" w:sz="4" w:space="0" w:color="auto"/>
            </w:tcBorders>
          </w:tcPr>
          <w:p w:rsidR="003547A5" w:rsidRPr="003547A5" w:rsidRDefault="003547A5" w:rsidP="003547A5">
            <w:pPr>
              <w:jc w:val="center"/>
              <w:rPr>
                <w:rFonts w:ascii="Times New Roman" w:hAnsi="Times New Roman" w:cs="Times New Roman"/>
                <w:sz w:val="20"/>
                <w:szCs w:val="20"/>
              </w:rPr>
            </w:pPr>
          </w:p>
        </w:tc>
        <w:tc>
          <w:tcPr>
            <w:tcW w:w="1585" w:type="dxa"/>
            <w:tcBorders>
              <w:bottom w:val="single" w:sz="4" w:space="0" w:color="auto"/>
            </w:tcBorders>
            <w:hideMark/>
          </w:tcPr>
          <w:p w:rsidR="003547A5" w:rsidRPr="003547A5" w:rsidRDefault="003547A5" w:rsidP="003547A5">
            <w:pPr>
              <w:jc w:val="center"/>
              <w:rPr>
                <w:rFonts w:ascii="Times New Roman" w:hAnsi="Times New Roman" w:cs="Times New Roman"/>
                <w:sz w:val="20"/>
                <w:szCs w:val="20"/>
              </w:rPr>
            </w:pPr>
            <w:r w:rsidRPr="003547A5">
              <w:rPr>
                <w:rFonts w:ascii="Times New Roman" w:hAnsi="Times New Roman" w:cs="Times New Roman"/>
                <w:sz w:val="20"/>
                <w:szCs w:val="20"/>
              </w:rPr>
              <w:t>Low</w:t>
            </w:r>
          </w:p>
        </w:tc>
        <w:tc>
          <w:tcPr>
            <w:tcW w:w="720" w:type="dxa"/>
            <w:tcBorders>
              <w:bottom w:val="single" w:sz="4" w:space="0" w:color="auto"/>
            </w:tcBorders>
            <w:hideMark/>
          </w:tcPr>
          <w:p w:rsidR="003547A5" w:rsidRPr="003547A5" w:rsidRDefault="003547A5" w:rsidP="003547A5">
            <w:pPr>
              <w:jc w:val="center"/>
              <w:rPr>
                <w:rFonts w:ascii="Times New Roman" w:hAnsi="Times New Roman" w:cs="Times New Roman"/>
                <w:sz w:val="20"/>
                <w:szCs w:val="20"/>
              </w:rPr>
            </w:pPr>
            <w:r w:rsidRPr="003547A5">
              <w:rPr>
                <w:rFonts w:ascii="Times New Roman" w:hAnsi="Times New Roman" w:cs="Times New Roman"/>
                <w:sz w:val="20"/>
                <w:szCs w:val="20"/>
              </w:rPr>
              <w:t>Yes</w:t>
            </w:r>
          </w:p>
        </w:tc>
        <w:tc>
          <w:tcPr>
            <w:tcW w:w="1350" w:type="dxa"/>
            <w:tcBorders>
              <w:bottom w:val="single" w:sz="4" w:space="0" w:color="auto"/>
            </w:tcBorders>
            <w:hideMark/>
          </w:tcPr>
          <w:p w:rsidR="003547A5" w:rsidRPr="003547A5" w:rsidRDefault="003547A5" w:rsidP="003547A5">
            <w:pPr>
              <w:jc w:val="center"/>
              <w:rPr>
                <w:rFonts w:ascii="Times New Roman" w:hAnsi="Times New Roman" w:cs="Times New Roman"/>
                <w:sz w:val="20"/>
                <w:szCs w:val="20"/>
              </w:rPr>
            </w:pPr>
            <w:r w:rsidRPr="003547A5">
              <w:rPr>
                <w:rFonts w:ascii="Times New Roman" w:hAnsi="Times New Roman" w:cs="Times New Roman"/>
                <w:sz w:val="20"/>
                <w:szCs w:val="20"/>
              </w:rPr>
              <w:t>High</w:t>
            </w:r>
          </w:p>
        </w:tc>
        <w:tc>
          <w:tcPr>
            <w:tcW w:w="1710" w:type="dxa"/>
            <w:tcBorders>
              <w:bottom w:val="single" w:sz="4" w:space="0" w:color="auto"/>
            </w:tcBorders>
            <w:hideMark/>
          </w:tcPr>
          <w:p w:rsidR="003547A5" w:rsidRPr="003547A5" w:rsidRDefault="003547A5" w:rsidP="003547A5">
            <w:pPr>
              <w:jc w:val="center"/>
              <w:rPr>
                <w:rFonts w:ascii="Times New Roman" w:hAnsi="Times New Roman" w:cs="Times New Roman"/>
                <w:sz w:val="20"/>
                <w:szCs w:val="20"/>
              </w:rPr>
            </w:pPr>
            <w:r w:rsidRPr="003547A5">
              <w:rPr>
                <w:rFonts w:ascii="Times New Roman" w:hAnsi="Times New Roman" w:cs="Times New Roman"/>
                <w:sz w:val="20"/>
                <w:szCs w:val="20"/>
              </w:rPr>
              <w:t>Moderate</w:t>
            </w:r>
          </w:p>
        </w:tc>
      </w:tr>
    </w:tbl>
    <w:p w:rsidR="00A56E28" w:rsidRDefault="00A56E28" w:rsidP="002036D0">
      <w:pPr>
        <w:rPr>
          <w:rFonts w:ascii="Times New Roman" w:hAnsi="Times New Roman" w:cs="Times New Roman"/>
          <w:sz w:val="36"/>
        </w:rPr>
        <w:sectPr w:rsidR="00A56E28" w:rsidSect="00A56E28">
          <w:type w:val="continuous"/>
          <w:pgSz w:w="12240" w:h="15840"/>
          <w:pgMar w:top="1440" w:right="1440" w:bottom="1440" w:left="1440" w:header="720" w:footer="720" w:gutter="0"/>
          <w:cols w:space="720"/>
          <w:docGrid w:linePitch="360"/>
        </w:sectPr>
      </w:pPr>
    </w:p>
    <w:p w:rsidR="002036D0" w:rsidRDefault="002036D0" w:rsidP="002036D0">
      <w:pPr>
        <w:rPr>
          <w:rFonts w:ascii="Times New Roman" w:hAnsi="Times New Roman" w:cs="Times New Roman"/>
          <w:sz w:val="36"/>
        </w:rPr>
      </w:pPr>
    </w:p>
    <w:p w:rsidR="00465349" w:rsidRPr="00465349" w:rsidRDefault="00465349" w:rsidP="00465349">
      <w:pPr>
        <w:jc w:val="center"/>
        <w:rPr>
          <w:rFonts w:ascii="Times New Roman" w:hAnsi="Times New Roman" w:cs="Times New Roman"/>
          <w:b/>
          <w:bCs/>
          <w:sz w:val="20"/>
        </w:rPr>
      </w:pPr>
      <w:r w:rsidRPr="00465349">
        <w:rPr>
          <w:rFonts w:ascii="Times New Roman" w:hAnsi="Times New Roman" w:cs="Times New Roman"/>
          <w:b/>
          <w:bCs/>
          <w:sz w:val="20"/>
        </w:rPr>
        <w:t>Toxicity Prediction</w:t>
      </w:r>
    </w:p>
    <w:p w:rsidR="00465349" w:rsidRPr="00465349" w:rsidRDefault="00465349" w:rsidP="00465349">
      <w:pPr>
        <w:jc w:val="center"/>
        <w:rPr>
          <w:rFonts w:ascii="Times New Roman" w:hAnsi="Times New Roman" w:cs="Times New Roman"/>
          <w:b/>
          <w:bCs/>
          <w:sz w:val="20"/>
        </w:rPr>
      </w:pPr>
      <w:r w:rsidRPr="00465349">
        <w:rPr>
          <w:rFonts w:ascii="Times New Roman" w:hAnsi="Times New Roman" w:cs="Times New Roman"/>
          <w:b/>
          <w:bCs/>
          <w:sz w:val="20"/>
        </w:rPr>
        <w:t>Table 4: Toxicity profile</w:t>
      </w:r>
    </w:p>
    <w:tbl>
      <w:tblPr>
        <w:tblW w:w="0" w:type="auto"/>
        <w:tblInd w:w="1557" w:type="dxa"/>
        <w:tblLook w:val="04A0" w:firstRow="1" w:lastRow="0" w:firstColumn="1" w:lastColumn="0" w:noHBand="0" w:noVBand="1"/>
      </w:tblPr>
      <w:tblGrid>
        <w:gridCol w:w="1666"/>
        <w:gridCol w:w="794"/>
        <w:gridCol w:w="1572"/>
        <w:gridCol w:w="1472"/>
        <w:gridCol w:w="761"/>
      </w:tblGrid>
      <w:tr w:rsidR="00465349" w:rsidRPr="00465349" w:rsidTr="00465349">
        <w:tc>
          <w:tcPr>
            <w:tcW w:w="0" w:type="auto"/>
            <w:tcBorders>
              <w:top w:val="single" w:sz="4" w:space="0" w:color="auto"/>
              <w:bottom w:val="single" w:sz="4" w:space="0" w:color="auto"/>
              <w:right w:val="single" w:sz="4" w:space="0" w:color="auto"/>
            </w:tcBorders>
            <w:hideMark/>
          </w:tcPr>
          <w:p w:rsidR="00465349" w:rsidRPr="00465349" w:rsidRDefault="00465349" w:rsidP="00465349">
            <w:pPr>
              <w:rPr>
                <w:rFonts w:ascii="Times New Roman" w:hAnsi="Times New Roman" w:cs="Times New Roman"/>
                <w:b/>
                <w:bCs/>
                <w:sz w:val="20"/>
              </w:rPr>
            </w:pPr>
            <w:r w:rsidRPr="00465349">
              <w:rPr>
                <w:rFonts w:ascii="Times New Roman" w:hAnsi="Times New Roman" w:cs="Times New Roman"/>
                <w:b/>
                <w:bCs/>
                <w:sz w:val="20"/>
              </w:rPr>
              <w:t>Compound</w:t>
            </w:r>
          </w:p>
        </w:tc>
        <w:tc>
          <w:tcPr>
            <w:tcW w:w="0" w:type="auto"/>
            <w:tcBorders>
              <w:top w:val="single" w:sz="4" w:space="0" w:color="auto"/>
              <w:left w:val="single" w:sz="4" w:space="0" w:color="auto"/>
              <w:bottom w:val="single" w:sz="4" w:space="0" w:color="auto"/>
            </w:tcBorders>
            <w:hideMark/>
          </w:tcPr>
          <w:p w:rsidR="00465349" w:rsidRPr="00465349" w:rsidRDefault="00465349" w:rsidP="00465349">
            <w:pPr>
              <w:rPr>
                <w:rFonts w:ascii="Times New Roman" w:hAnsi="Times New Roman" w:cs="Times New Roman"/>
                <w:b/>
                <w:bCs/>
                <w:sz w:val="20"/>
              </w:rPr>
            </w:pPr>
            <w:r w:rsidRPr="00465349">
              <w:rPr>
                <w:rFonts w:ascii="Times New Roman" w:hAnsi="Times New Roman" w:cs="Times New Roman"/>
                <w:b/>
                <w:bCs/>
                <w:sz w:val="20"/>
              </w:rPr>
              <w:t>AMES</w:t>
            </w:r>
          </w:p>
        </w:tc>
        <w:tc>
          <w:tcPr>
            <w:tcW w:w="0" w:type="auto"/>
            <w:tcBorders>
              <w:top w:val="single" w:sz="4" w:space="0" w:color="auto"/>
              <w:bottom w:val="single" w:sz="4" w:space="0" w:color="auto"/>
            </w:tcBorders>
            <w:hideMark/>
          </w:tcPr>
          <w:p w:rsidR="00465349" w:rsidRPr="00465349" w:rsidRDefault="00465349" w:rsidP="00465349">
            <w:pPr>
              <w:rPr>
                <w:rFonts w:ascii="Times New Roman" w:hAnsi="Times New Roman" w:cs="Times New Roman"/>
                <w:b/>
                <w:bCs/>
                <w:sz w:val="20"/>
              </w:rPr>
            </w:pPr>
            <w:r w:rsidRPr="00465349">
              <w:rPr>
                <w:rFonts w:ascii="Times New Roman" w:hAnsi="Times New Roman" w:cs="Times New Roman"/>
                <w:b/>
                <w:bCs/>
                <w:sz w:val="20"/>
              </w:rPr>
              <w:t>Carcinogenicity</w:t>
            </w:r>
          </w:p>
        </w:tc>
        <w:tc>
          <w:tcPr>
            <w:tcW w:w="0" w:type="auto"/>
            <w:tcBorders>
              <w:top w:val="single" w:sz="4" w:space="0" w:color="auto"/>
              <w:bottom w:val="single" w:sz="4" w:space="0" w:color="auto"/>
            </w:tcBorders>
            <w:hideMark/>
          </w:tcPr>
          <w:p w:rsidR="00465349" w:rsidRPr="00465349" w:rsidRDefault="00465349" w:rsidP="00465349">
            <w:pPr>
              <w:rPr>
                <w:rFonts w:ascii="Times New Roman" w:hAnsi="Times New Roman" w:cs="Times New Roman"/>
                <w:b/>
                <w:bCs/>
                <w:sz w:val="20"/>
              </w:rPr>
            </w:pPr>
            <w:r w:rsidRPr="00465349">
              <w:rPr>
                <w:rFonts w:ascii="Times New Roman" w:hAnsi="Times New Roman" w:cs="Times New Roman"/>
                <w:b/>
                <w:bCs/>
                <w:sz w:val="20"/>
              </w:rPr>
              <w:t>Hepatotoxicity</w:t>
            </w:r>
          </w:p>
        </w:tc>
        <w:tc>
          <w:tcPr>
            <w:tcW w:w="0" w:type="auto"/>
            <w:tcBorders>
              <w:top w:val="single" w:sz="4" w:space="0" w:color="auto"/>
              <w:bottom w:val="single" w:sz="4" w:space="0" w:color="auto"/>
            </w:tcBorders>
            <w:hideMark/>
          </w:tcPr>
          <w:p w:rsidR="00465349" w:rsidRPr="00465349" w:rsidRDefault="00465349" w:rsidP="00465349">
            <w:pPr>
              <w:rPr>
                <w:rFonts w:ascii="Times New Roman" w:hAnsi="Times New Roman" w:cs="Times New Roman"/>
                <w:b/>
                <w:bCs/>
                <w:sz w:val="20"/>
              </w:rPr>
            </w:pPr>
            <w:proofErr w:type="spellStart"/>
            <w:r w:rsidRPr="00465349">
              <w:rPr>
                <w:rFonts w:ascii="Times New Roman" w:hAnsi="Times New Roman" w:cs="Times New Roman"/>
                <w:b/>
                <w:bCs/>
                <w:sz w:val="20"/>
              </w:rPr>
              <w:t>hERG</w:t>
            </w:r>
            <w:proofErr w:type="spellEnd"/>
          </w:p>
        </w:tc>
      </w:tr>
      <w:tr w:rsidR="00465349" w:rsidRPr="00465349" w:rsidTr="00465349">
        <w:tc>
          <w:tcPr>
            <w:tcW w:w="0" w:type="auto"/>
            <w:tcBorders>
              <w:top w:val="single" w:sz="4" w:space="0" w:color="auto"/>
              <w:right w:val="single" w:sz="4" w:space="0" w:color="auto"/>
            </w:tcBorders>
            <w:hideMark/>
          </w:tcPr>
          <w:p w:rsidR="00465349" w:rsidRPr="00465349" w:rsidRDefault="00465349" w:rsidP="00465349">
            <w:pPr>
              <w:rPr>
                <w:rFonts w:ascii="Times New Roman" w:hAnsi="Times New Roman" w:cs="Times New Roman"/>
                <w:sz w:val="20"/>
              </w:rPr>
            </w:pPr>
            <w:proofErr w:type="spellStart"/>
            <w:r w:rsidRPr="00465349">
              <w:rPr>
                <w:rFonts w:ascii="Times New Roman" w:hAnsi="Times New Roman" w:cs="Times New Roman"/>
                <w:sz w:val="20"/>
              </w:rPr>
              <w:t>Indazol</w:t>
            </w:r>
            <w:proofErr w:type="spellEnd"/>
            <w:r w:rsidRPr="00465349">
              <w:rPr>
                <w:rFonts w:ascii="Times New Roman" w:hAnsi="Times New Roman" w:cs="Times New Roman"/>
                <w:sz w:val="20"/>
              </w:rPr>
              <w:t xml:space="preserve"> derivative</w:t>
            </w:r>
          </w:p>
        </w:tc>
        <w:tc>
          <w:tcPr>
            <w:tcW w:w="0" w:type="auto"/>
            <w:tcBorders>
              <w:top w:val="single" w:sz="4" w:space="0" w:color="auto"/>
              <w:left w:val="single" w:sz="4" w:space="0" w:color="auto"/>
            </w:tcBorders>
            <w:hideMark/>
          </w:tcPr>
          <w:p w:rsidR="00465349" w:rsidRPr="00465349" w:rsidRDefault="00465349" w:rsidP="00465349">
            <w:pPr>
              <w:rPr>
                <w:rFonts w:ascii="Times New Roman" w:hAnsi="Times New Roman" w:cs="Times New Roman"/>
                <w:sz w:val="20"/>
              </w:rPr>
            </w:pPr>
            <w:r w:rsidRPr="00465349">
              <w:rPr>
                <w:rFonts w:ascii="Times New Roman" w:hAnsi="Times New Roman" w:cs="Times New Roman"/>
                <w:sz w:val="20"/>
              </w:rPr>
              <w:t>Safe</w:t>
            </w:r>
          </w:p>
        </w:tc>
        <w:tc>
          <w:tcPr>
            <w:tcW w:w="0" w:type="auto"/>
            <w:tcBorders>
              <w:top w:val="single" w:sz="4" w:space="0" w:color="auto"/>
            </w:tcBorders>
            <w:hideMark/>
          </w:tcPr>
          <w:p w:rsidR="00465349" w:rsidRPr="00465349" w:rsidRDefault="00465349" w:rsidP="00465349">
            <w:pPr>
              <w:rPr>
                <w:rFonts w:ascii="Times New Roman" w:hAnsi="Times New Roman" w:cs="Times New Roman"/>
                <w:sz w:val="20"/>
              </w:rPr>
            </w:pPr>
            <w:r w:rsidRPr="00465349">
              <w:rPr>
                <w:rFonts w:ascii="Times New Roman" w:hAnsi="Times New Roman" w:cs="Times New Roman"/>
                <w:sz w:val="20"/>
              </w:rPr>
              <w:t>Safe</w:t>
            </w:r>
          </w:p>
        </w:tc>
        <w:tc>
          <w:tcPr>
            <w:tcW w:w="0" w:type="auto"/>
            <w:tcBorders>
              <w:top w:val="single" w:sz="4" w:space="0" w:color="auto"/>
            </w:tcBorders>
            <w:hideMark/>
          </w:tcPr>
          <w:p w:rsidR="00465349" w:rsidRPr="00465349" w:rsidRDefault="00465349" w:rsidP="00465349">
            <w:pPr>
              <w:rPr>
                <w:rFonts w:ascii="Times New Roman" w:hAnsi="Times New Roman" w:cs="Times New Roman"/>
                <w:sz w:val="20"/>
              </w:rPr>
            </w:pPr>
            <w:r w:rsidRPr="00465349">
              <w:rPr>
                <w:rFonts w:ascii="Times New Roman" w:hAnsi="Times New Roman" w:cs="Times New Roman"/>
                <w:sz w:val="20"/>
              </w:rPr>
              <w:t>Safe</w:t>
            </w:r>
          </w:p>
        </w:tc>
        <w:tc>
          <w:tcPr>
            <w:tcW w:w="0" w:type="auto"/>
            <w:tcBorders>
              <w:top w:val="single" w:sz="4" w:space="0" w:color="auto"/>
            </w:tcBorders>
            <w:hideMark/>
          </w:tcPr>
          <w:p w:rsidR="00465349" w:rsidRPr="00465349" w:rsidRDefault="00465349" w:rsidP="00465349">
            <w:pPr>
              <w:rPr>
                <w:rFonts w:ascii="Times New Roman" w:hAnsi="Times New Roman" w:cs="Times New Roman"/>
                <w:sz w:val="20"/>
              </w:rPr>
            </w:pPr>
            <w:r w:rsidRPr="00465349">
              <w:rPr>
                <w:rFonts w:ascii="Times New Roman" w:hAnsi="Times New Roman" w:cs="Times New Roman"/>
                <w:sz w:val="20"/>
              </w:rPr>
              <w:t>Safe</w:t>
            </w:r>
          </w:p>
        </w:tc>
      </w:tr>
      <w:tr w:rsidR="00465349" w:rsidRPr="00465349" w:rsidTr="00465349">
        <w:tc>
          <w:tcPr>
            <w:tcW w:w="0" w:type="auto"/>
            <w:tcBorders>
              <w:right w:val="single" w:sz="4" w:space="0" w:color="auto"/>
            </w:tcBorders>
            <w:hideMark/>
          </w:tcPr>
          <w:p w:rsidR="00465349" w:rsidRPr="00465349" w:rsidRDefault="00465349" w:rsidP="00465349">
            <w:pPr>
              <w:rPr>
                <w:rFonts w:ascii="Times New Roman" w:hAnsi="Times New Roman" w:cs="Times New Roman"/>
                <w:sz w:val="20"/>
              </w:rPr>
            </w:pPr>
            <w:r w:rsidRPr="00465349">
              <w:rPr>
                <w:rFonts w:ascii="Times New Roman" w:hAnsi="Times New Roman" w:cs="Times New Roman"/>
                <w:sz w:val="20"/>
              </w:rPr>
              <w:t>2,4-DTBP</w:t>
            </w:r>
          </w:p>
        </w:tc>
        <w:tc>
          <w:tcPr>
            <w:tcW w:w="0" w:type="auto"/>
            <w:tcBorders>
              <w:left w:val="single" w:sz="4" w:space="0" w:color="auto"/>
            </w:tcBorders>
            <w:hideMark/>
          </w:tcPr>
          <w:p w:rsidR="00465349" w:rsidRPr="00465349" w:rsidRDefault="00465349" w:rsidP="00465349">
            <w:pPr>
              <w:rPr>
                <w:rFonts w:ascii="Times New Roman" w:hAnsi="Times New Roman" w:cs="Times New Roman"/>
                <w:sz w:val="20"/>
              </w:rPr>
            </w:pPr>
            <w:r w:rsidRPr="00465349">
              <w:rPr>
                <w:rFonts w:ascii="Times New Roman" w:hAnsi="Times New Roman" w:cs="Times New Roman"/>
                <w:sz w:val="20"/>
              </w:rPr>
              <w:t>Safe</w:t>
            </w:r>
          </w:p>
        </w:tc>
        <w:tc>
          <w:tcPr>
            <w:tcW w:w="0" w:type="auto"/>
            <w:hideMark/>
          </w:tcPr>
          <w:p w:rsidR="00465349" w:rsidRPr="00465349" w:rsidRDefault="00465349" w:rsidP="00465349">
            <w:pPr>
              <w:rPr>
                <w:rFonts w:ascii="Times New Roman" w:hAnsi="Times New Roman" w:cs="Times New Roman"/>
                <w:sz w:val="20"/>
              </w:rPr>
            </w:pPr>
            <w:r w:rsidRPr="00465349">
              <w:rPr>
                <w:rFonts w:ascii="Times New Roman" w:hAnsi="Times New Roman" w:cs="Times New Roman"/>
                <w:sz w:val="20"/>
              </w:rPr>
              <w:t>Safe</w:t>
            </w:r>
          </w:p>
        </w:tc>
        <w:tc>
          <w:tcPr>
            <w:tcW w:w="0" w:type="auto"/>
            <w:hideMark/>
          </w:tcPr>
          <w:p w:rsidR="00465349" w:rsidRPr="00465349" w:rsidRDefault="00465349" w:rsidP="00465349">
            <w:pPr>
              <w:rPr>
                <w:rFonts w:ascii="Times New Roman" w:hAnsi="Times New Roman" w:cs="Times New Roman"/>
                <w:sz w:val="20"/>
              </w:rPr>
            </w:pPr>
            <w:r w:rsidRPr="00465349">
              <w:rPr>
                <w:rFonts w:ascii="Times New Roman" w:hAnsi="Times New Roman" w:cs="Times New Roman"/>
                <w:sz w:val="20"/>
              </w:rPr>
              <w:t>Safe</w:t>
            </w:r>
          </w:p>
        </w:tc>
        <w:tc>
          <w:tcPr>
            <w:tcW w:w="0" w:type="auto"/>
            <w:hideMark/>
          </w:tcPr>
          <w:p w:rsidR="00465349" w:rsidRPr="00465349" w:rsidRDefault="00465349" w:rsidP="00465349">
            <w:pPr>
              <w:rPr>
                <w:rFonts w:ascii="Times New Roman" w:hAnsi="Times New Roman" w:cs="Times New Roman"/>
                <w:sz w:val="20"/>
              </w:rPr>
            </w:pPr>
            <w:r w:rsidRPr="00465349">
              <w:rPr>
                <w:rFonts w:ascii="Times New Roman" w:hAnsi="Times New Roman" w:cs="Times New Roman"/>
                <w:sz w:val="20"/>
              </w:rPr>
              <w:t>Safe</w:t>
            </w:r>
          </w:p>
        </w:tc>
      </w:tr>
      <w:tr w:rsidR="00465349" w:rsidRPr="00465349" w:rsidTr="00465349">
        <w:tc>
          <w:tcPr>
            <w:tcW w:w="0" w:type="auto"/>
            <w:tcBorders>
              <w:right w:val="single" w:sz="4" w:space="0" w:color="auto"/>
            </w:tcBorders>
            <w:hideMark/>
          </w:tcPr>
          <w:p w:rsidR="00465349" w:rsidRPr="00465349" w:rsidRDefault="00465349" w:rsidP="00465349">
            <w:pPr>
              <w:rPr>
                <w:rFonts w:ascii="Times New Roman" w:hAnsi="Times New Roman" w:cs="Times New Roman"/>
                <w:sz w:val="20"/>
              </w:rPr>
            </w:pPr>
            <w:proofErr w:type="spellStart"/>
            <w:r w:rsidRPr="00465349">
              <w:rPr>
                <w:rFonts w:ascii="Times New Roman" w:hAnsi="Times New Roman" w:cs="Times New Roman"/>
                <w:sz w:val="20"/>
              </w:rPr>
              <w:t>Azulene</w:t>
            </w:r>
            <w:proofErr w:type="spellEnd"/>
          </w:p>
        </w:tc>
        <w:tc>
          <w:tcPr>
            <w:tcW w:w="0" w:type="auto"/>
            <w:tcBorders>
              <w:left w:val="single" w:sz="4" w:space="0" w:color="auto"/>
            </w:tcBorders>
            <w:hideMark/>
          </w:tcPr>
          <w:p w:rsidR="00465349" w:rsidRPr="00465349" w:rsidRDefault="00465349" w:rsidP="00465349">
            <w:pPr>
              <w:rPr>
                <w:rFonts w:ascii="Times New Roman" w:hAnsi="Times New Roman" w:cs="Times New Roman"/>
                <w:sz w:val="20"/>
              </w:rPr>
            </w:pPr>
            <w:r w:rsidRPr="00465349">
              <w:rPr>
                <w:rFonts w:ascii="Times New Roman" w:hAnsi="Times New Roman" w:cs="Times New Roman"/>
                <w:sz w:val="20"/>
              </w:rPr>
              <w:t>Toxic</w:t>
            </w:r>
          </w:p>
        </w:tc>
        <w:tc>
          <w:tcPr>
            <w:tcW w:w="0" w:type="auto"/>
            <w:hideMark/>
          </w:tcPr>
          <w:p w:rsidR="00465349" w:rsidRPr="00465349" w:rsidRDefault="00465349" w:rsidP="00465349">
            <w:pPr>
              <w:rPr>
                <w:rFonts w:ascii="Times New Roman" w:hAnsi="Times New Roman" w:cs="Times New Roman"/>
                <w:sz w:val="20"/>
              </w:rPr>
            </w:pPr>
            <w:r w:rsidRPr="00465349">
              <w:rPr>
                <w:rFonts w:ascii="Times New Roman" w:hAnsi="Times New Roman" w:cs="Times New Roman"/>
                <w:sz w:val="20"/>
              </w:rPr>
              <w:t>Toxic</w:t>
            </w:r>
          </w:p>
        </w:tc>
        <w:tc>
          <w:tcPr>
            <w:tcW w:w="0" w:type="auto"/>
            <w:hideMark/>
          </w:tcPr>
          <w:p w:rsidR="00465349" w:rsidRPr="00465349" w:rsidRDefault="00465349" w:rsidP="00465349">
            <w:pPr>
              <w:rPr>
                <w:rFonts w:ascii="Times New Roman" w:hAnsi="Times New Roman" w:cs="Times New Roman"/>
                <w:sz w:val="20"/>
              </w:rPr>
            </w:pPr>
            <w:r w:rsidRPr="00465349">
              <w:rPr>
                <w:rFonts w:ascii="Times New Roman" w:hAnsi="Times New Roman" w:cs="Times New Roman"/>
                <w:sz w:val="20"/>
              </w:rPr>
              <w:t>Toxic</w:t>
            </w:r>
          </w:p>
        </w:tc>
        <w:tc>
          <w:tcPr>
            <w:tcW w:w="0" w:type="auto"/>
            <w:hideMark/>
          </w:tcPr>
          <w:p w:rsidR="00465349" w:rsidRPr="00465349" w:rsidRDefault="00465349" w:rsidP="00465349">
            <w:pPr>
              <w:rPr>
                <w:rFonts w:ascii="Times New Roman" w:hAnsi="Times New Roman" w:cs="Times New Roman"/>
                <w:sz w:val="20"/>
              </w:rPr>
            </w:pPr>
            <w:r w:rsidRPr="00465349">
              <w:rPr>
                <w:rFonts w:ascii="Times New Roman" w:hAnsi="Times New Roman" w:cs="Times New Roman"/>
                <w:sz w:val="20"/>
              </w:rPr>
              <w:t>Risk</w:t>
            </w:r>
          </w:p>
        </w:tc>
      </w:tr>
      <w:tr w:rsidR="00465349" w:rsidRPr="00465349" w:rsidTr="00465349">
        <w:tc>
          <w:tcPr>
            <w:tcW w:w="0" w:type="auto"/>
            <w:tcBorders>
              <w:bottom w:val="single" w:sz="4" w:space="0" w:color="auto"/>
              <w:right w:val="single" w:sz="4" w:space="0" w:color="auto"/>
            </w:tcBorders>
            <w:hideMark/>
          </w:tcPr>
          <w:p w:rsidR="00465349" w:rsidRPr="00465349" w:rsidRDefault="00465349" w:rsidP="00465349">
            <w:pPr>
              <w:rPr>
                <w:rFonts w:ascii="Times New Roman" w:hAnsi="Times New Roman" w:cs="Times New Roman"/>
                <w:sz w:val="20"/>
              </w:rPr>
            </w:pPr>
            <w:r w:rsidRPr="00465349">
              <w:rPr>
                <w:rFonts w:ascii="Times New Roman" w:hAnsi="Times New Roman" w:cs="Times New Roman"/>
                <w:sz w:val="20"/>
              </w:rPr>
              <w:t>Naphthalene</w:t>
            </w:r>
          </w:p>
        </w:tc>
        <w:tc>
          <w:tcPr>
            <w:tcW w:w="0" w:type="auto"/>
            <w:tcBorders>
              <w:left w:val="single" w:sz="4" w:space="0" w:color="auto"/>
              <w:bottom w:val="single" w:sz="4" w:space="0" w:color="auto"/>
            </w:tcBorders>
            <w:hideMark/>
          </w:tcPr>
          <w:p w:rsidR="00465349" w:rsidRPr="00465349" w:rsidRDefault="00465349" w:rsidP="00465349">
            <w:pPr>
              <w:rPr>
                <w:rFonts w:ascii="Times New Roman" w:hAnsi="Times New Roman" w:cs="Times New Roman"/>
                <w:sz w:val="20"/>
              </w:rPr>
            </w:pPr>
            <w:r w:rsidRPr="00465349">
              <w:rPr>
                <w:rFonts w:ascii="Times New Roman" w:hAnsi="Times New Roman" w:cs="Times New Roman"/>
                <w:sz w:val="20"/>
              </w:rPr>
              <w:t>Safe</w:t>
            </w:r>
          </w:p>
        </w:tc>
        <w:tc>
          <w:tcPr>
            <w:tcW w:w="0" w:type="auto"/>
            <w:tcBorders>
              <w:bottom w:val="single" w:sz="4" w:space="0" w:color="auto"/>
            </w:tcBorders>
            <w:hideMark/>
          </w:tcPr>
          <w:p w:rsidR="00465349" w:rsidRPr="00465349" w:rsidRDefault="00465349" w:rsidP="00465349">
            <w:pPr>
              <w:rPr>
                <w:rFonts w:ascii="Times New Roman" w:hAnsi="Times New Roman" w:cs="Times New Roman"/>
                <w:sz w:val="20"/>
              </w:rPr>
            </w:pPr>
            <w:r w:rsidRPr="00465349">
              <w:rPr>
                <w:rFonts w:ascii="Times New Roman" w:hAnsi="Times New Roman" w:cs="Times New Roman"/>
                <w:sz w:val="20"/>
              </w:rPr>
              <w:t>Toxic</w:t>
            </w:r>
          </w:p>
        </w:tc>
        <w:tc>
          <w:tcPr>
            <w:tcW w:w="0" w:type="auto"/>
            <w:tcBorders>
              <w:bottom w:val="single" w:sz="4" w:space="0" w:color="auto"/>
            </w:tcBorders>
            <w:hideMark/>
          </w:tcPr>
          <w:p w:rsidR="00465349" w:rsidRPr="00465349" w:rsidRDefault="00465349" w:rsidP="00465349">
            <w:pPr>
              <w:rPr>
                <w:rFonts w:ascii="Times New Roman" w:hAnsi="Times New Roman" w:cs="Times New Roman"/>
                <w:sz w:val="20"/>
              </w:rPr>
            </w:pPr>
            <w:r w:rsidRPr="00465349">
              <w:rPr>
                <w:rFonts w:ascii="Times New Roman" w:hAnsi="Times New Roman" w:cs="Times New Roman"/>
                <w:sz w:val="20"/>
              </w:rPr>
              <w:t>Toxic</w:t>
            </w:r>
          </w:p>
        </w:tc>
        <w:tc>
          <w:tcPr>
            <w:tcW w:w="0" w:type="auto"/>
            <w:tcBorders>
              <w:bottom w:val="single" w:sz="4" w:space="0" w:color="auto"/>
            </w:tcBorders>
            <w:hideMark/>
          </w:tcPr>
          <w:p w:rsidR="00465349" w:rsidRPr="00465349" w:rsidRDefault="00465349" w:rsidP="00465349">
            <w:pPr>
              <w:rPr>
                <w:rFonts w:ascii="Times New Roman" w:hAnsi="Times New Roman" w:cs="Times New Roman"/>
                <w:sz w:val="20"/>
              </w:rPr>
            </w:pPr>
            <w:r w:rsidRPr="00465349">
              <w:rPr>
                <w:rFonts w:ascii="Times New Roman" w:hAnsi="Times New Roman" w:cs="Times New Roman"/>
                <w:sz w:val="20"/>
              </w:rPr>
              <w:t>Risk</w:t>
            </w:r>
          </w:p>
        </w:tc>
      </w:tr>
    </w:tbl>
    <w:p w:rsidR="002036D0" w:rsidRDefault="002036D0" w:rsidP="002036D0">
      <w:pPr>
        <w:rPr>
          <w:rFonts w:ascii="Times New Roman" w:hAnsi="Times New Roman" w:cs="Times New Roman"/>
          <w:sz w:val="36"/>
        </w:rPr>
      </w:pPr>
    </w:p>
    <w:p w:rsidR="00465349" w:rsidRDefault="00465349" w:rsidP="002036D0">
      <w:pPr>
        <w:rPr>
          <w:rFonts w:ascii="Times New Roman" w:hAnsi="Times New Roman" w:cs="Times New Roman"/>
          <w:sz w:val="36"/>
        </w:rPr>
        <w:sectPr w:rsidR="00465349" w:rsidSect="00A56E28">
          <w:type w:val="continuous"/>
          <w:pgSz w:w="12240" w:h="15840"/>
          <w:pgMar w:top="1440" w:right="1440" w:bottom="1440" w:left="1440" w:header="720" w:footer="720" w:gutter="0"/>
          <w:cols w:space="720"/>
          <w:docGrid w:linePitch="360"/>
        </w:sectPr>
      </w:pPr>
    </w:p>
    <w:p w:rsidR="002036D0" w:rsidRPr="00465349" w:rsidRDefault="00465349" w:rsidP="00465349">
      <w:pPr>
        <w:jc w:val="both"/>
        <w:rPr>
          <w:rFonts w:ascii="Times New Roman" w:hAnsi="Times New Roman" w:cs="Times New Roman"/>
          <w:b/>
          <w:sz w:val="20"/>
        </w:rPr>
      </w:pPr>
      <w:r w:rsidRPr="00465349">
        <w:rPr>
          <w:rFonts w:ascii="Times New Roman" w:hAnsi="Times New Roman" w:cs="Times New Roman"/>
          <w:b/>
          <w:sz w:val="20"/>
        </w:rPr>
        <w:lastRenderedPageBreak/>
        <w:t>RESULT SUMMARY</w:t>
      </w:r>
    </w:p>
    <w:p w:rsidR="00465349" w:rsidRDefault="00465349" w:rsidP="00465349">
      <w:pPr>
        <w:jc w:val="both"/>
        <w:rPr>
          <w:rFonts w:ascii="Times New Roman" w:hAnsi="Times New Roman" w:cs="Times New Roman"/>
          <w:sz w:val="20"/>
        </w:rPr>
      </w:pPr>
      <w:r w:rsidRPr="00465349">
        <w:rPr>
          <w:rFonts w:ascii="Times New Roman" w:hAnsi="Times New Roman" w:cs="Times New Roman"/>
          <w:sz w:val="20"/>
        </w:rPr>
        <w:t xml:space="preserve">Table 3.1 presents the GC–MS analysis of the </w:t>
      </w:r>
      <w:proofErr w:type="spellStart"/>
      <w:r w:rsidRPr="00465349">
        <w:rPr>
          <w:rFonts w:ascii="Times New Roman" w:hAnsi="Times New Roman" w:cs="Times New Roman"/>
          <w:sz w:val="20"/>
        </w:rPr>
        <w:t>hydroethanol</w:t>
      </w:r>
      <w:proofErr w:type="spellEnd"/>
      <w:r w:rsidRPr="00465349">
        <w:rPr>
          <w:rFonts w:ascii="Times New Roman" w:hAnsi="Times New Roman" w:cs="Times New Roman"/>
          <w:sz w:val="20"/>
        </w:rPr>
        <w:t xml:space="preserve"> leaf extract of </w:t>
      </w:r>
      <w:proofErr w:type="spellStart"/>
      <w:r w:rsidRPr="00465349">
        <w:rPr>
          <w:rFonts w:ascii="Times New Roman" w:hAnsi="Times New Roman" w:cs="Times New Roman"/>
          <w:i/>
          <w:iCs/>
          <w:sz w:val="20"/>
        </w:rPr>
        <w:t>Solenostemon</w:t>
      </w:r>
      <w:proofErr w:type="spellEnd"/>
      <w:r w:rsidRPr="00465349">
        <w:rPr>
          <w:rFonts w:ascii="Times New Roman" w:hAnsi="Times New Roman" w:cs="Times New Roman"/>
          <w:i/>
          <w:iCs/>
          <w:sz w:val="20"/>
        </w:rPr>
        <w:t xml:space="preserve"> </w:t>
      </w:r>
      <w:proofErr w:type="spellStart"/>
      <w:r w:rsidRPr="00465349">
        <w:rPr>
          <w:rFonts w:ascii="Times New Roman" w:hAnsi="Times New Roman" w:cs="Times New Roman"/>
          <w:i/>
          <w:iCs/>
          <w:sz w:val="20"/>
        </w:rPr>
        <w:t>monostachyus</w:t>
      </w:r>
      <w:proofErr w:type="spellEnd"/>
      <w:r w:rsidRPr="00465349">
        <w:rPr>
          <w:rFonts w:ascii="Times New Roman" w:hAnsi="Times New Roman" w:cs="Times New Roman"/>
          <w:sz w:val="20"/>
        </w:rPr>
        <w:t xml:space="preserve">, which revealed 64 volatile compounds dominated by hydrocarbons, </w:t>
      </w:r>
      <w:proofErr w:type="spellStart"/>
      <w:r w:rsidRPr="00465349">
        <w:rPr>
          <w:rFonts w:ascii="Times New Roman" w:hAnsi="Times New Roman" w:cs="Times New Roman"/>
          <w:sz w:val="20"/>
        </w:rPr>
        <w:t>phenolics</w:t>
      </w:r>
      <w:proofErr w:type="spellEnd"/>
      <w:r w:rsidRPr="00465349">
        <w:rPr>
          <w:rFonts w:ascii="Times New Roman" w:hAnsi="Times New Roman" w:cs="Times New Roman"/>
          <w:sz w:val="20"/>
        </w:rPr>
        <w:t xml:space="preserve">, fatty alcohols, and esters, with major constituents including </w:t>
      </w:r>
      <w:proofErr w:type="spellStart"/>
      <w:r w:rsidRPr="00465349">
        <w:rPr>
          <w:rFonts w:ascii="Times New Roman" w:hAnsi="Times New Roman" w:cs="Times New Roman"/>
          <w:sz w:val="20"/>
        </w:rPr>
        <w:t>docosane</w:t>
      </w:r>
      <w:proofErr w:type="spellEnd"/>
      <w:r w:rsidRPr="00465349">
        <w:rPr>
          <w:rFonts w:ascii="Times New Roman" w:hAnsi="Times New Roman" w:cs="Times New Roman"/>
          <w:sz w:val="20"/>
        </w:rPr>
        <w:t xml:space="preserve">, 2,21-dimethyl and 2,4-di-tert-butylphenol. The ADMET profiling in Table 3.2 showed that the compounds exhibited varying pharmacokinetic behaviors, with most showing moderate to good gastrointestinal absorption and acceptable drug-likeness, although a few displayed possible CYP450 enzyme interactions and limited permeability. Molecular docking results in Table 3.3 indicated strong binding affinities of selected compounds against </w:t>
      </w:r>
      <w:r w:rsidRPr="00465349">
        <w:rPr>
          <w:rFonts w:ascii="Times New Roman" w:hAnsi="Times New Roman" w:cs="Times New Roman"/>
          <w:i/>
          <w:iCs/>
          <w:sz w:val="20"/>
        </w:rPr>
        <w:t>Plasmodium falciparum</w:t>
      </w:r>
      <w:r w:rsidRPr="00465349">
        <w:rPr>
          <w:rFonts w:ascii="Times New Roman" w:hAnsi="Times New Roman" w:cs="Times New Roman"/>
          <w:sz w:val="20"/>
        </w:rPr>
        <w:t xml:space="preserve"> lactate dehydrogenase (</w:t>
      </w:r>
      <w:proofErr w:type="spellStart"/>
      <w:r w:rsidRPr="00465349">
        <w:rPr>
          <w:rFonts w:ascii="Times New Roman" w:hAnsi="Times New Roman" w:cs="Times New Roman"/>
          <w:sz w:val="20"/>
        </w:rPr>
        <w:t>PfLDH</w:t>
      </w:r>
      <w:proofErr w:type="spellEnd"/>
      <w:r w:rsidRPr="00465349">
        <w:rPr>
          <w:rFonts w:ascii="Times New Roman" w:hAnsi="Times New Roman" w:cs="Times New Roman"/>
          <w:sz w:val="20"/>
        </w:rPr>
        <w:t xml:space="preserve">) and </w:t>
      </w:r>
      <w:proofErr w:type="spellStart"/>
      <w:r w:rsidRPr="00465349">
        <w:rPr>
          <w:rFonts w:ascii="Times New Roman" w:hAnsi="Times New Roman" w:cs="Times New Roman"/>
          <w:sz w:val="20"/>
        </w:rPr>
        <w:t>plasmepsin</w:t>
      </w:r>
      <w:proofErr w:type="spellEnd"/>
      <w:r w:rsidRPr="00465349">
        <w:rPr>
          <w:rFonts w:ascii="Times New Roman" w:hAnsi="Times New Roman" w:cs="Times New Roman"/>
          <w:sz w:val="20"/>
        </w:rPr>
        <w:t xml:space="preserve"> II, ranging from −5.8 to −8.0 kcal/</w:t>
      </w:r>
      <w:proofErr w:type="spellStart"/>
      <w:r w:rsidRPr="00465349">
        <w:rPr>
          <w:rFonts w:ascii="Times New Roman" w:hAnsi="Times New Roman" w:cs="Times New Roman"/>
          <w:sz w:val="20"/>
        </w:rPr>
        <w:t>mol</w:t>
      </w:r>
      <w:proofErr w:type="spellEnd"/>
      <w:r w:rsidRPr="00465349">
        <w:rPr>
          <w:rFonts w:ascii="Times New Roman" w:hAnsi="Times New Roman" w:cs="Times New Roman"/>
          <w:sz w:val="20"/>
        </w:rPr>
        <w:t xml:space="preserve">, with indazol-4-one derivatives showing the highest binding affinity, even higher than </w:t>
      </w:r>
      <w:proofErr w:type="spellStart"/>
      <w:r w:rsidRPr="00465349">
        <w:rPr>
          <w:rFonts w:ascii="Times New Roman" w:hAnsi="Times New Roman" w:cs="Times New Roman"/>
          <w:sz w:val="20"/>
        </w:rPr>
        <w:t>artesunate</w:t>
      </w:r>
      <w:proofErr w:type="spellEnd"/>
      <w:r w:rsidRPr="00465349">
        <w:rPr>
          <w:rFonts w:ascii="Times New Roman" w:hAnsi="Times New Roman" w:cs="Times New Roman"/>
          <w:sz w:val="20"/>
        </w:rPr>
        <w:t xml:space="preserve">. Table 3.4 further revealed that most of the lead compounds possessed favorable ADMET profiles, suggesting good safety and pharmacokinetic potential, while </w:t>
      </w:r>
      <w:proofErr w:type="spellStart"/>
      <w:r w:rsidRPr="00465349">
        <w:rPr>
          <w:rFonts w:ascii="Times New Roman" w:hAnsi="Times New Roman" w:cs="Times New Roman"/>
          <w:sz w:val="20"/>
        </w:rPr>
        <w:t>azulene</w:t>
      </w:r>
      <w:proofErr w:type="spellEnd"/>
      <w:r w:rsidRPr="00465349">
        <w:rPr>
          <w:rFonts w:ascii="Times New Roman" w:hAnsi="Times New Roman" w:cs="Times New Roman"/>
          <w:sz w:val="20"/>
        </w:rPr>
        <w:t xml:space="preserve"> and 1-methylnaphthalene showed possible toxicity risks including carcinogenicity and hepatotoxicity. Overall, the results indicate that the plant contains bioactive volatile compounds with promising </w:t>
      </w:r>
      <w:proofErr w:type="spellStart"/>
      <w:r w:rsidRPr="00465349">
        <w:rPr>
          <w:rFonts w:ascii="Times New Roman" w:hAnsi="Times New Roman" w:cs="Times New Roman"/>
          <w:sz w:val="20"/>
        </w:rPr>
        <w:t>antiplasmodial</w:t>
      </w:r>
      <w:proofErr w:type="spellEnd"/>
      <w:r w:rsidRPr="00465349">
        <w:rPr>
          <w:rFonts w:ascii="Times New Roman" w:hAnsi="Times New Roman" w:cs="Times New Roman"/>
          <w:sz w:val="20"/>
        </w:rPr>
        <w:t xml:space="preserve"> activity and acceptable drug-like properties, supporting their potential as lead candidates for antimalarial drug development.</w:t>
      </w:r>
    </w:p>
    <w:p w:rsidR="00BB44C7" w:rsidRPr="00BB44C7" w:rsidRDefault="00BB44C7" w:rsidP="00BB44C7">
      <w:pPr>
        <w:jc w:val="both"/>
        <w:rPr>
          <w:rFonts w:ascii="Times New Roman" w:hAnsi="Times New Roman" w:cs="Times New Roman"/>
          <w:b/>
          <w:bCs/>
          <w:sz w:val="20"/>
        </w:rPr>
      </w:pPr>
      <w:r w:rsidRPr="00BB44C7">
        <w:rPr>
          <w:rFonts w:ascii="Times New Roman" w:hAnsi="Times New Roman" w:cs="Times New Roman"/>
          <w:b/>
          <w:bCs/>
          <w:sz w:val="20"/>
        </w:rPr>
        <w:t>DISCUSSION</w:t>
      </w:r>
    </w:p>
    <w:p w:rsidR="00BB44C7" w:rsidRPr="00BB44C7" w:rsidRDefault="00BB44C7" w:rsidP="00BB44C7">
      <w:pPr>
        <w:jc w:val="both"/>
        <w:rPr>
          <w:rFonts w:ascii="Times New Roman" w:hAnsi="Times New Roman" w:cs="Times New Roman"/>
          <w:sz w:val="20"/>
        </w:rPr>
      </w:pPr>
      <w:r w:rsidRPr="00BB44C7">
        <w:rPr>
          <w:rFonts w:ascii="Times New Roman" w:hAnsi="Times New Roman" w:cs="Times New Roman"/>
          <w:sz w:val="20"/>
        </w:rPr>
        <w:t xml:space="preserve">The GC–MS profile indicates that </w:t>
      </w:r>
      <w:proofErr w:type="spellStart"/>
      <w:r w:rsidRPr="00BB44C7">
        <w:rPr>
          <w:rFonts w:ascii="Times New Roman" w:hAnsi="Times New Roman" w:cs="Times New Roman"/>
          <w:i/>
          <w:iCs/>
          <w:sz w:val="20"/>
        </w:rPr>
        <w:t>Solenostemon</w:t>
      </w:r>
      <w:proofErr w:type="spellEnd"/>
      <w:r w:rsidRPr="00BB44C7">
        <w:rPr>
          <w:rFonts w:ascii="Times New Roman" w:hAnsi="Times New Roman" w:cs="Times New Roman"/>
          <w:i/>
          <w:iCs/>
          <w:sz w:val="20"/>
        </w:rPr>
        <w:t xml:space="preserve"> </w:t>
      </w:r>
      <w:proofErr w:type="spellStart"/>
      <w:r w:rsidRPr="00BB44C7">
        <w:rPr>
          <w:rFonts w:ascii="Times New Roman" w:hAnsi="Times New Roman" w:cs="Times New Roman"/>
          <w:i/>
          <w:iCs/>
          <w:sz w:val="20"/>
        </w:rPr>
        <w:t>monostachyus</w:t>
      </w:r>
      <w:proofErr w:type="spellEnd"/>
      <w:r w:rsidRPr="00BB44C7">
        <w:rPr>
          <w:rFonts w:ascii="Times New Roman" w:hAnsi="Times New Roman" w:cs="Times New Roman"/>
          <w:sz w:val="20"/>
        </w:rPr>
        <w:t xml:space="preserve"> contains diverse volatile compounds dominated by hydrocarbons and phenolic derivatives. The presence of 2</w:t>
      </w:r>
      <w:proofErr w:type="gramStart"/>
      <w:r w:rsidRPr="00BB44C7">
        <w:rPr>
          <w:rFonts w:ascii="Times New Roman" w:hAnsi="Times New Roman" w:cs="Times New Roman"/>
          <w:sz w:val="20"/>
        </w:rPr>
        <w:t>,4</w:t>
      </w:r>
      <w:proofErr w:type="gramEnd"/>
      <w:r w:rsidRPr="00BB44C7">
        <w:rPr>
          <w:rFonts w:ascii="Times New Roman" w:hAnsi="Times New Roman" w:cs="Times New Roman"/>
          <w:sz w:val="20"/>
        </w:rPr>
        <w:t>-di-tert-butylphenol suggests strong antioxidant potential.</w:t>
      </w:r>
    </w:p>
    <w:p w:rsidR="00BB44C7" w:rsidRPr="00BB44C7" w:rsidRDefault="00BB44C7" w:rsidP="00BB44C7">
      <w:pPr>
        <w:jc w:val="both"/>
        <w:rPr>
          <w:rFonts w:ascii="Times New Roman" w:hAnsi="Times New Roman" w:cs="Times New Roman"/>
          <w:sz w:val="20"/>
        </w:rPr>
      </w:pPr>
      <w:r w:rsidRPr="00BB44C7">
        <w:rPr>
          <w:rFonts w:ascii="Times New Roman" w:hAnsi="Times New Roman" w:cs="Times New Roman"/>
          <w:sz w:val="20"/>
        </w:rPr>
        <w:t xml:space="preserve">Molecular docking revealed strong binding of several compounds to </w:t>
      </w:r>
      <w:proofErr w:type="spellStart"/>
      <w:r w:rsidRPr="00BB44C7">
        <w:rPr>
          <w:rFonts w:ascii="Times New Roman" w:hAnsi="Times New Roman" w:cs="Times New Roman"/>
          <w:sz w:val="20"/>
        </w:rPr>
        <w:t>PfLDH</w:t>
      </w:r>
      <w:proofErr w:type="spellEnd"/>
      <w:r w:rsidRPr="00BB44C7">
        <w:rPr>
          <w:rFonts w:ascii="Times New Roman" w:hAnsi="Times New Roman" w:cs="Times New Roman"/>
          <w:sz w:val="20"/>
        </w:rPr>
        <w:t xml:space="preserve"> and </w:t>
      </w:r>
      <w:proofErr w:type="spellStart"/>
      <w:r w:rsidRPr="00BB44C7">
        <w:rPr>
          <w:rFonts w:ascii="Times New Roman" w:hAnsi="Times New Roman" w:cs="Times New Roman"/>
          <w:sz w:val="20"/>
        </w:rPr>
        <w:t>plasmepsin</w:t>
      </w:r>
      <w:proofErr w:type="spellEnd"/>
      <w:r w:rsidRPr="00BB44C7">
        <w:rPr>
          <w:rFonts w:ascii="Times New Roman" w:hAnsi="Times New Roman" w:cs="Times New Roman"/>
          <w:sz w:val="20"/>
        </w:rPr>
        <w:t xml:space="preserve"> II, both essential enzymes for parasite survival. </w:t>
      </w:r>
      <w:proofErr w:type="spellStart"/>
      <w:r w:rsidRPr="00BB44C7">
        <w:rPr>
          <w:rFonts w:ascii="Times New Roman" w:hAnsi="Times New Roman" w:cs="Times New Roman"/>
          <w:sz w:val="20"/>
        </w:rPr>
        <w:t>PfLDH</w:t>
      </w:r>
      <w:proofErr w:type="spellEnd"/>
      <w:r w:rsidRPr="00BB44C7">
        <w:rPr>
          <w:rFonts w:ascii="Times New Roman" w:hAnsi="Times New Roman" w:cs="Times New Roman"/>
          <w:sz w:val="20"/>
        </w:rPr>
        <w:t xml:space="preserve"> is critical for glycolysis, while </w:t>
      </w:r>
      <w:proofErr w:type="spellStart"/>
      <w:r w:rsidRPr="00BB44C7">
        <w:rPr>
          <w:rFonts w:ascii="Times New Roman" w:hAnsi="Times New Roman" w:cs="Times New Roman"/>
          <w:sz w:val="20"/>
        </w:rPr>
        <w:t>plasmepsin</w:t>
      </w:r>
      <w:proofErr w:type="spellEnd"/>
      <w:r w:rsidRPr="00BB44C7">
        <w:rPr>
          <w:rFonts w:ascii="Times New Roman" w:hAnsi="Times New Roman" w:cs="Times New Roman"/>
          <w:sz w:val="20"/>
        </w:rPr>
        <w:t xml:space="preserve"> II is involved in hemoglobin degradation.</w:t>
      </w:r>
    </w:p>
    <w:p w:rsidR="00BB44C7" w:rsidRPr="00BB44C7" w:rsidRDefault="00BB44C7" w:rsidP="00BB44C7">
      <w:pPr>
        <w:jc w:val="both"/>
        <w:rPr>
          <w:rFonts w:ascii="Times New Roman" w:hAnsi="Times New Roman" w:cs="Times New Roman"/>
          <w:sz w:val="20"/>
        </w:rPr>
      </w:pPr>
      <w:r w:rsidRPr="00BB44C7">
        <w:rPr>
          <w:rFonts w:ascii="Times New Roman" w:hAnsi="Times New Roman" w:cs="Times New Roman"/>
          <w:sz w:val="20"/>
        </w:rPr>
        <w:t xml:space="preserve">The indazol-4-one derivative showed the highest binding affinity, indicating strong dual-target </w:t>
      </w:r>
      <w:r w:rsidRPr="00BB44C7">
        <w:rPr>
          <w:rFonts w:ascii="Times New Roman" w:hAnsi="Times New Roman" w:cs="Times New Roman"/>
          <w:sz w:val="20"/>
        </w:rPr>
        <w:lastRenderedPageBreak/>
        <w:t>inhibitory potential. Fatty acid derivatives and hydrocarbons may enhance membrane permeability and synergistic effects.</w:t>
      </w:r>
    </w:p>
    <w:p w:rsidR="00BB44C7" w:rsidRPr="00BB44C7" w:rsidRDefault="00BB44C7" w:rsidP="00BB44C7">
      <w:pPr>
        <w:jc w:val="both"/>
        <w:rPr>
          <w:rFonts w:ascii="Times New Roman" w:hAnsi="Times New Roman" w:cs="Times New Roman"/>
          <w:sz w:val="20"/>
        </w:rPr>
      </w:pPr>
      <w:r w:rsidRPr="00BB44C7">
        <w:rPr>
          <w:rFonts w:ascii="Times New Roman" w:hAnsi="Times New Roman" w:cs="Times New Roman"/>
          <w:sz w:val="20"/>
        </w:rPr>
        <w:t xml:space="preserve">ADMET results confirmed that most lead compounds are </w:t>
      </w:r>
      <w:proofErr w:type="spellStart"/>
      <w:r w:rsidRPr="00BB44C7">
        <w:rPr>
          <w:rFonts w:ascii="Times New Roman" w:hAnsi="Times New Roman" w:cs="Times New Roman"/>
          <w:sz w:val="20"/>
        </w:rPr>
        <w:t>pharmacokinetically</w:t>
      </w:r>
      <w:proofErr w:type="spellEnd"/>
      <w:r w:rsidRPr="00BB44C7">
        <w:rPr>
          <w:rFonts w:ascii="Times New Roman" w:hAnsi="Times New Roman" w:cs="Times New Roman"/>
          <w:sz w:val="20"/>
        </w:rPr>
        <w:t xml:space="preserve"> favorable, although some aromatic hydrocarbons showed toxicity concerns.</w:t>
      </w:r>
    </w:p>
    <w:p w:rsidR="00505DA2" w:rsidRPr="00505DA2" w:rsidRDefault="00505DA2" w:rsidP="00505DA2">
      <w:pPr>
        <w:jc w:val="both"/>
        <w:rPr>
          <w:rFonts w:ascii="Times New Roman" w:hAnsi="Times New Roman" w:cs="Times New Roman"/>
          <w:b/>
          <w:bCs/>
          <w:sz w:val="20"/>
        </w:rPr>
      </w:pPr>
      <w:r w:rsidRPr="00505DA2">
        <w:rPr>
          <w:rFonts w:ascii="Times New Roman" w:hAnsi="Times New Roman" w:cs="Times New Roman"/>
          <w:b/>
          <w:bCs/>
          <w:sz w:val="20"/>
        </w:rPr>
        <w:t>CONCLUSION</w:t>
      </w:r>
    </w:p>
    <w:p w:rsidR="00505DA2" w:rsidRPr="00505DA2" w:rsidRDefault="00505DA2" w:rsidP="00505DA2">
      <w:pPr>
        <w:jc w:val="both"/>
        <w:rPr>
          <w:rFonts w:ascii="Times New Roman" w:hAnsi="Times New Roman" w:cs="Times New Roman"/>
          <w:sz w:val="20"/>
        </w:rPr>
      </w:pPr>
      <w:r w:rsidRPr="00505DA2">
        <w:rPr>
          <w:rFonts w:ascii="Times New Roman" w:hAnsi="Times New Roman" w:cs="Times New Roman"/>
          <w:sz w:val="20"/>
        </w:rPr>
        <w:t xml:space="preserve">Volatile compounds from </w:t>
      </w:r>
      <w:proofErr w:type="spellStart"/>
      <w:r w:rsidRPr="00505DA2">
        <w:rPr>
          <w:rFonts w:ascii="Times New Roman" w:hAnsi="Times New Roman" w:cs="Times New Roman"/>
          <w:i/>
          <w:iCs/>
          <w:sz w:val="20"/>
        </w:rPr>
        <w:t>Solenostemon</w:t>
      </w:r>
      <w:proofErr w:type="spellEnd"/>
      <w:r w:rsidRPr="00505DA2">
        <w:rPr>
          <w:rFonts w:ascii="Times New Roman" w:hAnsi="Times New Roman" w:cs="Times New Roman"/>
          <w:i/>
          <w:iCs/>
          <w:sz w:val="20"/>
        </w:rPr>
        <w:t xml:space="preserve"> </w:t>
      </w:r>
      <w:proofErr w:type="spellStart"/>
      <w:r w:rsidRPr="00505DA2">
        <w:rPr>
          <w:rFonts w:ascii="Times New Roman" w:hAnsi="Times New Roman" w:cs="Times New Roman"/>
          <w:i/>
          <w:iCs/>
          <w:sz w:val="20"/>
        </w:rPr>
        <w:t>monostachyus</w:t>
      </w:r>
      <w:proofErr w:type="spellEnd"/>
      <w:r w:rsidRPr="00505DA2">
        <w:rPr>
          <w:rFonts w:ascii="Times New Roman" w:hAnsi="Times New Roman" w:cs="Times New Roman"/>
          <w:sz w:val="20"/>
        </w:rPr>
        <w:t xml:space="preserve"> exhibit strong </w:t>
      </w:r>
      <w:proofErr w:type="spellStart"/>
      <w:r w:rsidRPr="00505DA2">
        <w:rPr>
          <w:rFonts w:ascii="Times New Roman" w:hAnsi="Times New Roman" w:cs="Times New Roman"/>
          <w:sz w:val="20"/>
        </w:rPr>
        <w:t>antiplasmodial</w:t>
      </w:r>
      <w:proofErr w:type="spellEnd"/>
      <w:r w:rsidRPr="00505DA2">
        <w:rPr>
          <w:rFonts w:ascii="Times New Roman" w:hAnsi="Times New Roman" w:cs="Times New Roman"/>
          <w:sz w:val="20"/>
        </w:rPr>
        <w:t xml:space="preserve"> potential through inhibition of </w:t>
      </w:r>
      <w:proofErr w:type="spellStart"/>
      <w:r w:rsidRPr="00505DA2">
        <w:rPr>
          <w:rFonts w:ascii="Times New Roman" w:hAnsi="Times New Roman" w:cs="Times New Roman"/>
          <w:sz w:val="20"/>
        </w:rPr>
        <w:t>PfLDH</w:t>
      </w:r>
      <w:proofErr w:type="spellEnd"/>
      <w:r w:rsidRPr="00505DA2">
        <w:rPr>
          <w:rFonts w:ascii="Times New Roman" w:hAnsi="Times New Roman" w:cs="Times New Roman"/>
          <w:sz w:val="20"/>
        </w:rPr>
        <w:t xml:space="preserve"> and </w:t>
      </w:r>
      <w:proofErr w:type="spellStart"/>
      <w:r w:rsidRPr="00505DA2">
        <w:rPr>
          <w:rFonts w:ascii="Times New Roman" w:hAnsi="Times New Roman" w:cs="Times New Roman"/>
          <w:sz w:val="20"/>
        </w:rPr>
        <w:t>plasmepsin</w:t>
      </w:r>
      <w:proofErr w:type="spellEnd"/>
      <w:r w:rsidRPr="00505DA2">
        <w:rPr>
          <w:rFonts w:ascii="Times New Roman" w:hAnsi="Times New Roman" w:cs="Times New Roman"/>
          <w:sz w:val="20"/>
        </w:rPr>
        <w:t xml:space="preserve"> II. Several compounds demonstrated favorable pharmacokinetic profiles, supporting their potential as lead molecules for antimalarial drug development.</w:t>
      </w:r>
    </w:p>
    <w:p w:rsidR="00505DA2" w:rsidRDefault="00505DA2" w:rsidP="00505DA2">
      <w:pPr>
        <w:spacing w:line="240" w:lineRule="auto"/>
        <w:jc w:val="both"/>
        <w:rPr>
          <w:rFonts w:ascii="Times New Roman" w:hAnsi="Times New Roman" w:cs="Times New Roman"/>
          <w:b/>
          <w:bCs/>
          <w:sz w:val="20"/>
        </w:rPr>
      </w:pPr>
      <w:r w:rsidRPr="00505DA2">
        <w:rPr>
          <w:rFonts w:ascii="Times New Roman" w:hAnsi="Times New Roman" w:cs="Times New Roman"/>
          <w:b/>
          <w:bCs/>
          <w:sz w:val="20"/>
        </w:rPr>
        <w:t>REFERENCES</w:t>
      </w:r>
    </w:p>
    <w:p w:rsidR="00414035" w:rsidRPr="00505DA2" w:rsidRDefault="00414035" w:rsidP="00B37BD4">
      <w:pPr>
        <w:tabs>
          <w:tab w:val="left" w:pos="180"/>
        </w:tabs>
        <w:spacing w:line="240" w:lineRule="auto"/>
        <w:jc w:val="both"/>
        <w:rPr>
          <w:rFonts w:ascii="Times New Roman" w:hAnsi="Times New Roman" w:cs="Times New Roman"/>
          <w:sz w:val="20"/>
        </w:rPr>
      </w:pPr>
      <w:proofErr w:type="spellStart"/>
      <w:r w:rsidRPr="00505DA2">
        <w:rPr>
          <w:rFonts w:ascii="Times New Roman" w:hAnsi="Times New Roman" w:cs="Times New Roman"/>
          <w:sz w:val="20"/>
        </w:rPr>
        <w:t>Balikagala</w:t>
      </w:r>
      <w:proofErr w:type="spellEnd"/>
      <w:r w:rsidRPr="00505DA2">
        <w:rPr>
          <w:rFonts w:ascii="Times New Roman" w:hAnsi="Times New Roman" w:cs="Times New Roman"/>
          <w:sz w:val="20"/>
        </w:rPr>
        <w:t xml:space="preserve">, B., Fukuda, N., Ikeda, M., </w:t>
      </w:r>
      <w:proofErr w:type="spellStart"/>
      <w:r w:rsidRPr="00505DA2">
        <w:rPr>
          <w:rFonts w:ascii="Times New Roman" w:hAnsi="Times New Roman" w:cs="Times New Roman"/>
          <w:sz w:val="20"/>
        </w:rPr>
        <w:t>Katuro</w:t>
      </w:r>
      <w:proofErr w:type="spellEnd"/>
      <w:r w:rsidRPr="00505DA2">
        <w:rPr>
          <w:rFonts w:ascii="Times New Roman" w:hAnsi="Times New Roman" w:cs="Times New Roman"/>
          <w:sz w:val="20"/>
        </w:rPr>
        <w:t xml:space="preserve">, O. T., Tachibana, S. I., Yamauchi, M., </w:t>
      </w:r>
      <w:proofErr w:type="spellStart"/>
      <w:r w:rsidRPr="00505DA2">
        <w:rPr>
          <w:rFonts w:ascii="Times New Roman" w:hAnsi="Times New Roman" w:cs="Times New Roman"/>
          <w:sz w:val="20"/>
        </w:rPr>
        <w:t>Opio</w:t>
      </w:r>
      <w:proofErr w:type="spellEnd"/>
      <w:r w:rsidRPr="00505DA2">
        <w:rPr>
          <w:rFonts w:ascii="Times New Roman" w:hAnsi="Times New Roman" w:cs="Times New Roman"/>
          <w:sz w:val="20"/>
        </w:rPr>
        <w:t xml:space="preserve">, A., </w:t>
      </w:r>
      <w:proofErr w:type="spellStart"/>
      <w:r w:rsidRPr="00505DA2">
        <w:rPr>
          <w:rFonts w:ascii="Times New Roman" w:hAnsi="Times New Roman" w:cs="Times New Roman"/>
          <w:sz w:val="20"/>
        </w:rPr>
        <w:t>Idro</w:t>
      </w:r>
      <w:proofErr w:type="spellEnd"/>
      <w:r w:rsidRPr="00505DA2">
        <w:rPr>
          <w:rFonts w:ascii="Times New Roman" w:hAnsi="Times New Roman" w:cs="Times New Roman"/>
          <w:sz w:val="20"/>
        </w:rPr>
        <w:t xml:space="preserve">, R., &amp; </w:t>
      </w:r>
      <w:proofErr w:type="spellStart"/>
      <w:r w:rsidRPr="00505DA2">
        <w:rPr>
          <w:rFonts w:ascii="Times New Roman" w:hAnsi="Times New Roman" w:cs="Times New Roman"/>
          <w:sz w:val="20"/>
        </w:rPr>
        <w:t>Katawera</w:t>
      </w:r>
      <w:proofErr w:type="spellEnd"/>
      <w:r w:rsidRPr="00505DA2">
        <w:rPr>
          <w:rFonts w:ascii="Times New Roman" w:hAnsi="Times New Roman" w:cs="Times New Roman"/>
          <w:sz w:val="20"/>
        </w:rPr>
        <w:t xml:space="preserve">, V. (2021). </w:t>
      </w:r>
      <w:proofErr w:type="gramStart"/>
      <w:r w:rsidRPr="00505DA2">
        <w:rPr>
          <w:rFonts w:ascii="Times New Roman" w:hAnsi="Times New Roman" w:cs="Times New Roman"/>
          <w:sz w:val="20"/>
        </w:rPr>
        <w:t xml:space="preserve">Evidence of </w:t>
      </w:r>
      <w:proofErr w:type="spellStart"/>
      <w:r w:rsidRPr="00505DA2">
        <w:rPr>
          <w:rFonts w:ascii="Times New Roman" w:hAnsi="Times New Roman" w:cs="Times New Roman"/>
          <w:sz w:val="20"/>
        </w:rPr>
        <w:t>artemisinin</w:t>
      </w:r>
      <w:proofErr w:type="spellEnd"/>
      <w:r w:rsidRPr="00505DA2">
        <w:rPr>
          <w:rFonts w:ascii="Times New Roman" w:hAnsi="Times New Roman" w:cs="Times New Roman"/>
          <w:sz w:val="20"/>
        </w:rPr>
        <w:t>-resistant malaria in Africa.</w:t>
      </w:r>
      <w:proofErr w:type="gramEnd"/>
      <w:r w:rsidRPr="00505DA2">
        <w:rPr>
          <w:rFonts w:ascii="Times New Roman" w:hAnsi="Times New Roman" w:cs="Times New Roman"/>
          <w:sz w:val="20"/>
        </w:rPr>
        <w:t xml:space="preserve"> </w:t>
      </w:r>
      <w:r w:rsidRPr="00505DA2">
        <w:rPr>
          <w:rFonts w:ascii="Times New Roman" w:hAnsi="Times New Roman" w:cs="Times New Roman"/>
          <w:i/>
          <w:iCs/>
          <w:sz w:val="20"/>
        </w:rPr>
        <w:t>New England Journal of Medicine, 385</w:t>
      </w:r>
      <w:r w:rsidRPr="00505DA2">
        <w:rPr>
          <w:rFonts w:ascii="Times New Roman" w:hAnsi="Times New Roman" w:cs="Times New Roman"/>
          <w:sz w:val="20"/>
        </w:rPr>
        <w:t>(13), 1163–1171.</w:t>
      </w:r>
    </w:p>
    <w:p w:rsidR="00414035" w:rsidRPr="00505DA2" w:rsidRDefault="00414035" w:rsidP="00B37BD4">
      <w:pPr>
        <w:tabs>
          <w:tab w:val="left" w:pos="180"/>
        </w:tabs>
        <w:spacing w:line="240" w:lineRule="auto"/>
        <w:jc w:val="both"/>
        <w:rPr>
          <w:rFonts w:ascii="Times New Roman" w:hAnsi="Times New Roman" w:cs="Times New Roman"/>
          <w:sz w:val="20"/>
        </w:rPr>
      </w:pPr>
      <w:proofErr w:type="spellStart"/>
      <w:proofErr w:type="gramStart"/>
      <w:r w:rsidRPr="00505DA2">
        <w:rPr>
          <w:rFonts w:ascii="Times New Roman" w:hAnsi="Times New Roman" w:cs="Times New Roman"/>
          <w:sz w:val="20"/>
        </w:rPr>
        <w:t>Daina</w:t>
      </w:r>
      <w:proofErr w:type="spellEnd"/>
      <w:r w:rsidRPr="00505DA2">
        <w:rPr>
          <w:rFonts w:ascii="Times New Roman" w:hAnsi="Times New Roman" w:cs="Times New Roman"/>
          <w:sz w:val="20"/>
        </w:rPr>
        <w:t xml:space="preserve">, A., </w:t>
      </w:r>
      <w:proofErr w:type="spellStart"/>
      <w:r w:rsidRPr="00505DA2">
        <w:rPr>
          <w:rFonts w:ascii="Times New Roman" w:hAnsi="Times New Roman" w:cs="Times New Roman"/>
          <w:sz w:val="20"/>
        </w:rPr>
        <w:t>Michielin</w:t>
      </w:r>
      <w:proofErr w:type="spellEnd"/>
      <w:r w:rsidRPr="00505DA2">
        <w:rPr>
          <w:rFonts w:ascii="Times New Roman" w:hAnsi="Times New Roman" w:cs="Times New Roman"/>
          <w:sz w:val="20"/>
        </w:rPr>
        <w:t xml:space="preserve">, O., &amp; </w:t>
      </w:r>
      <w:proofErr w:type="spellStart"/>
      <w:r w:rsidRPr="00505DA2">
        <w:rPr>
          <w:rFonts w:ascii="Times New Roman" w:hAnsi="Times New Roman" w:cs="Times New Roman"/>
          <w:sz w:val="20"/>
        </w:rPr>
        <w:t>Zoete</w:t>
      </w:r>
      <w:proofErr w:type="spellEnd"/>
      <w:r w:rsidRPr="00505DA2">
        <w:rPr>
          <w:rFonts w:ascii="Times New Roman" w:hAnsi="Times New Roman" w:cs="Times New Roman"/>
          <w:sz w:val="20"/>
        </w:rPr>
        <w:t>, V. (2017).</w:t>
      </w:r>
      <w:proofErr w:type="gramEnd"/>
      <w:r w:rsidRPr="00505DA2">
        <w:rPr>
          <w:rFonts w:ascii="Times New Roman" w:hAnsi="Times New Roman" w:cs="Times New Roman"/>
          <w:sz w:val="20"/>
        </w:rPr>
        <w:t xml:space="preserve"> </w:t>
      </w:r>
      <w:proofErr w:type="spellStart"/>
      <w:r w:rsidRPr="00505DA2">
        <w:rPr>
          <w:rFonts w:ascii="Times New Roman" w:hAnsi="Times New Roman" w:cs="Times New Roman"/>
          <w:sz w:val="20"/>
        </w:rPr>
        <w:t>SwissADME</w:t>
      </w:r>
      <w:proofErr w:type="spellEnd"/>
      <w:r w:rsidRPr="00505DA2">
        <w:rPr>
          <w:rFonts w:ascii="Times New Roman" w:hAnsi="Times New Roman" w:cs="Times New Roman"/>
          <w:sz w:val="20"/>
        </w:rPr>
        <w:t xml:space="preserve">: A free web tool. </w:t>
      </w:r>
      <w:proofErr w:type="gramStart"/>
      <w:r w:rsidRPr="00505DA2">
        <w:rPr>
          <w:rFonts w:ascii="Times New Roman" w:hAnsi="Times New Roman" w:cs="Times New Roman"/>
          <w:i/>
          <w:iCs/>
          <w:sz w:val="20"/>
        </w:rPr>
        <w:t>Scientific Reports, 7</w:t>
      </w:r>
      <w:r w:rsidRPr="00505DA2">
        <w:rPr>
          <w:rFonts w:ascii="Times New Roman" w:hAnsi="Times New Roman" w:cs="Times New Roman"/>
          <w:sz w:val="20"/>
        </w:rPr>
        <w:t>, 42717.</w:t>
      </w:r>
      <w:proofErr w:type="gramEnd"/>
    </w:p>
    <w:p w:rsidR="00414035" w:rsidRPr="00505DA2" w:rsidRDefault="00414035" w:rsidP="00B37BD4">
      <w:pPr>
        <w:tabs>
          <w:tab w:val="left" w:pos="180"/>
        </w:tabs>
        <w:spacing w:line="240" w:lineRule="auto"/>
        <w:jc w:val="both"/>
        <w:rPr>
          <w:rFonts w:ascii="Times New Roman" w:hAnsi="Times New Roman" w:cs="Times New Roman"/>
          <w:sz w:val="20"/>
        </w:rPr>
      </w:pPr>
      <w:r w:rsidRPr="00505DA2">
        <w:rPr>
          <w:rFonts w:ascii="Times New Roman" w:hAnsi="Times New Roman" w:cs="Times New Roman"/>
          <w:sz w:val="20"/>
        </w:rPr>
        <w:t xml:space="preserve">Kim, S., Chen, J., Cheng, T., </w:t>
      </w:r>
      <w:proofErr w:type="spellStart"/>
      <w:r w:rsidRPr="00505DA2">
        <w:rPr>
          <w:rFonts w:ascii="Times New Roman" w:hAnsi="Times New Roman" w:cs="Times New Roman"/>
          <w:sz w:val="20"/>
        </w:rPr>
        <w:t>Gindulyte</w:t>
      </w:r>
      <w:proofErr w:type="spellEnd"/>
      <w:r w:rsidRPr="00505DA2">
        <w:rPr>
          <w:rFonts w:ascii="Times New Roman" w:hAnsi="Times New Roman" w:cs="Times New Roman"/>
          <w:sz w:val="20"/>
        </w:rPr>
        <w:t xml:space="preserve">, A., He, J., He, S., Li, Q., Shoemaker, B. A., </w:t>
      </w:r>
      <w:proofErr w:type="spellStart"/>
      <w:r w:rsidRPr="00505DA2">
        <w:rPr>
          <w:rFonts w:ascii="Times New Roman" w:hAnsi="Times New Roman" w:cs="Times New Roman"/>
          <w:sz w:val="20"/>
        </w:rPr>
        <w:t>Thiessen</w:t>
      </w:r>
      <w:proofErr w:type="spellEnd"/>
      <w:r w:rsidRPr="00505DA2">
        <w:rPr>
          <w:rFonts w:ascii="Times New Roman" w:hAnsi="Times New Roman" w:cs="Times New Roman"/>
          <w:sz w:val="20"/>
        </w:rPr>
        <w:t xml:space="preserve">, P. A., Yu, B., </w:t>
      </w:r>
      <w:proofErr w:type="spellStart"/>
      <w:r w:rsidRPr="00505DA2">
        <w:rPr>
          <w:rFonts w:ascii="Times New Roman" w:hAnsi="Times New Roman" w:cs="Times New Roman"/>
          <w:sz w:val="20"/>
        </w:rPr>
        <w:t>Zaslavsky</w:t>
      </w:r>
      <w:proofErr w:type="spellEnd"/>
      <w:r w:rsidRPr="00505DA2">
        <w:rPr>
          <w:rFonts w:ascii="Times New Roman" w:hAnsi="Times New Roman" w:cs="Times New Roman"/>
          <w:sz w:val="20"/>
        </w:rPr>
        <w:t xml:space="preserve">, L., Zhang, J., &amp; Bolton, E. E. (2021). </w:t>
      </w:r>
      <w:proofErr w:type="spellStart"/>
      <w:proofErr w:type="gramStart"/>
      <w:r w:rsidRPr="00505DA2">
        <w:rPr>
          <w:rFonts w:ascii="Times New Roman" w:hAnsi="Times New Roman" w:cs="Times New Roman"/>
          <w:sz w:val="20"/>
        </w:rPr>
        <w:t>PubChem</w:t>
      </w:r>
      <w:proofErr w:type="spellEnd"/>
      <w:r w:rsidRPr="00505DA2">
        <w:rPr>
          <w:rFonts w:ascii="Times New Roman" w:hAnsi="Times New Roman" w:cs="Times New Roman"/>
          <w:sz w:val="20"/>
        </w:rPr>
        <w:t xml:space="preserve"> update.</w:t>
      </w:r>
      <w:proofErr w:type="gramEnd"/>
      <w:r w:rsidRPr="00505DA2">
        <w:rPr>
          <w:rFonts w:ascii="Times New Roman" w:hAnsi="Times New Roman" w:cs="Times New Roman"/>
          <w:sz w:val="20"/>
        </w:rPr>
        <w:t xml:space="preserve"> </w:t>
      </w:r>
      <w:proofErr w:type="gramStart"/>
      <w:r w:rsidRPr="00505DA2">
        <w:rPr>
          <w:rFonts w:ascii="Times New Roman" w:hAnsi="Times New Roman" w:cs="Times New Roman"/>
          <w:i/>
          <w:iCs/>
          <w:sz w:val="20"/>
        </w:rPr>
        <w:t>Nucleic Acids Research, 49</w:t>
      </w:r>
      <w:r w:rsidRPr="00505DA2">
        <w:rPr>
          <w:rFonts w:ascii="Times New Roman" w:hAnsi="Times New Roman" w:cs="Times New Roman"/>
          <w:sz w:val="20"/>
        </w:rPr>
        <w:t>(D1), D1388–D1395.</w:t>
      </w:r>
      <w:proofErr w:type="gramEnd"/>
    </w:p>
    <w:p w:rsidR="00414035" w:rsidRPr="00505DA2" w:rsidRDefault="00414035" w:rsidP="00B37BD4">
      <w:pPr>
        <w:tabs>
          <w:tab w:val="left" w:pos="180"/>
        </w:tabs>
        <w:spacing w:line="240" w:lineRule="auto"/>
        <w:jc w:val="both"/>
        <w:rPr>
          <w:rFonts w:ascii="Times New Roman" w:hAnsi="Times New Roman" w:cs="Times New Roman"/>
          <w:sz w:val="20"/>
        </w:rPr>
      </w:pPr>
      <w:proofErr w:type="spellStart"/>
      <w:proofErr w:type="gramStart"/>
      <w:r w:rsidRPr="00505DA2">
        <w:rPr>
          <w:rFonts w:ascii="Times New Roman" w:hAnsi="Times New Roman" w:cs="Times New Roman"/>
          <w:sz w:val="20"/>
        </w:rPr>
        <w:t>Moyo</w:t>
      </w:r>
      <w:proofErr w:type="spellEnd"/>
      <w:r w:rsidRPr="00505DA2">
        <w:rPr>
          <w:rFonts w:ascii="Times New Roman" w:hAnsi="Times New Roman" w:cs="Times New Roman"/>
          <w:sz w:val="20"/>
        </w:rPr>
        <w:t xml:space="preserve">, M., Van </w:t>
      </w:r>
      <w:proofErr w:type="spellStart"/>
      <w:r w:rsidRPr="00505DA2">
        <w:rPr>
          <w:rFonts w:ascii="Times New Roman" w:hAnsi="Times New Roman" w:cs="Times New Roman"/>
          <w:sz w:val="20"/>
        </w:rPr>
        <w:t>Staden</w:t>
      </w:r>
      <w:proofErr w:type="spellEnd"/>
      <w:r w:rsidRPr="00505DA2">
        <w:rPr>
          <w:rFonts w:ascii="Times New Roman" w:hAnsi="Times New Roman" w:cs="Times New Roman"/>
          <w:sz w:val="20"/>
        </w:rPr>
        <w:t xml:space="preserve">, J., &amp; </w:t>
      </w:r>
      <w:proofErr w:type="spellStart"/>
      <w:r w:rsidRPr="00505DA2">
        <w:rPr>
          <w:rFonts w:ascii="Times New Roman" w:hAnsi="Times New Roman" w:cs="Times New Roman"/>
          <w:sz w:val="20"/>
        </w:rPr>
        <w:t>Steenkamp</w:t>
      </w:r>
      <w:proofErr w:type="spellEnd"/>
      <w:r w:rsidRPr="00505DA2">
        <w:rPr>
          <w:rFonts w:ascii="Times New Roman" w:hAnsi="Times New Roman" w:cs="Times New Roman"/>
          <w:sz w:val="20"/>
        </w:rPr>
        <w:t>, P. A. (2021).</w:t>
      </w:r>
      <w:proofErr w:type="gramEnd"/>
      <w:r w:rsidRPr="00505DA2">
        <w:rPr>
          <w:rFonts w:ascii="Times New Roman" w:hAnsi="Times New Roman" w:cs="Times New Roman"/>
          <w:sz w:val="20"/>
        </w:rPr>
        <w:t xml:space="preserve"> Medicinal plants in malaria research. </w:t>
      </w:r>
      <w:proofErr w:type="gramStart"/>
      <w:r w:rsidRPr="00505DA2">
        <w:rPr>
          <w:rFonts w:ascii="Times New Roman" w:hAnsi="Times New Roman" w:cs="Times New Roman"/>
          <w:i/>
          <w:iCs/>
          <w:sz w:val="20"/>
        </w:rPr>
        <w:t xml:space="preserve">Journal of </w:t>
      </w:r>
      <w:proofErr w:type="spellStart"/>
      <w:r w:rsidRPr="00505DA2">
        <w:rPr>
          <w:rFonts w:ascii="Times New Roman" w:hAnsi="Times New Roman" w:cs="Times New Roman"/>
          <w:i/>
          <w:iCs/>
          <w:sz w:val="20"/>
        </w:rPr>
        <w:t>Ethnopharmacology</w:t>
      </w:r>
      <w:proofErr w:type="spellEnd"/>
      <w:r w:rsidRPr="00505DA2">
        <w:rPr>
          <w:rFonts w:ascii="Times New Roman" w:hAnsi="Times New Roman" w:cs="Times New Roman"/>
          <w:i/>
          <w:iCs/>
          <w:sz w:val="20"/>
        </w:rPr>
        <w:t>, 270</w:t>
      </w:r>
      <w:r w:rsidRPr="00505DA2">
        <w:rPr>
          <w:rFonts w:ascii="Times New Roman" w:hAnsi="Times New Roman" w:cs="Times New Roman"/>
          <w:sz w:val="20"/>
        </w:rPr>
        <w:t>, 113785.</w:t>
      </w:r>
      <w:proofErr w:type="gramEnd"/>
    </w:p>
    <w:p w:rsidR="00414035" w:rsidRPr="00505DA2" w:rsidRDefault="00414035" w:rsidP="00B37BD4">
      <w:pPr>
        <w:tabs>
          <w:tab w:val="left" w:pos="180"/>
        </w:tabs>
        <w:spacing w:line="240" w:lineRule="auto"/>
        <w:jc w:val="both"/>
        <w:rPr>
          <w:rFonts w:ascii="Times New Roman" w:hAnsi="Times New Roman" w:cs="Times New Roman"/>
          <w:sz w:val="20"/>
        </w:rPr>
      </w:pPr>
      <w:r w:rsidRPr="00505DA2">
        <w:rPr>
          <w:rFonts w:ascii="Times New Roman" w:hAnsi="Times New Roman" w:cs="Times New Roman"/>
          <w:sz w:val="20"/>
        </w:rPr>
        <w:t xml:space="preserve">Newman, D. J., &amp; </w:t>
      </w:r>
      <w:proofErr w:type="spellStart"/>
      <w:r w:rsidRPr="00505DA2">
        <w:rPr>
          <w:rFonts w:ascii="Times New Roman" w:hAnsi="Times New Roman" w:cs="Times New Roman"/>
          <w:sz w:val="20"/>
        </w:rPr>
        <w:t>Cragg</w:t>
      </w:r>
      <w:proofErr w:type="spellEnd"/>
      <w:r w:rsidRPr="00505DA2">
        <w:rPr>
          <w:rFonts w:ascii="Times New Roman" w:hAnsi="Times New Roman" w:cs="Times New Roman"/>
          <w:sz w:val="20"/>
        </w:rPr>
        <w:t xml:space="preserve">, G. M. (2020). </w:t>
      </w:r>
      <w:proofErr w:type="gramStart"/>
      <w:r w:rsidRPr="00505DA2">
        <w:rPr>
          <w:rFonts w:ascii="Times New Roman" w:hAnsi="Times New Roman" w:cs="Times New Roman"/>
          <w:sz w:val="20"/>
        </w:rPr>
        <w:t>Natural products as drug sources.</w:t>
      </w:r>
      <w:proofErr w:type="gramEnd"/>
      <w:r w:rsidRPr="00505DA2">
        <w:rPr>
          <w:rFonts w:ascii="Times New Roman" w:hAnsi="Times New Roman" w:cs="Times New Roman"/>
          <w:sz w:val="20"/>
        </w:rPr>
        <w:t xml:space="preserve"> </w:t>
      </w:r>
      <w:r w:rsidRPr="00505DA2">
        <w:rPr>
          <w:rFonts w:ascii="Times New Roman" w:hAnsi="Times New Roman" w:cs="Times New Roman"/>
          <w:i/>
          <w:iCs/>
          <w:sz w:val="20"/>
        </w:rPr>
        <w:t>Journal of Natural Products, 83</w:t>
      </w:r>
      <w:r w:rsidRPr="00505DA2">
        <w:rPr>
          <w:rFonts w:ascii="Times New Roman" w:hAnsi="Times New Roman" w:cs="Times New Roman"/>
          <w:sz w:val="20"/>
        </w:rPr>
        <w:t>(3), 770–803.</w:t>
      </w:r>
    </w:p>
    <w:p w:rsidR="00414035" w:rsidRPr="00505DA2" w:rsidRDefault="00414035" w:rsidP="00B37BD4">
      <w:pPr>
        <w:tabs>
          <w:tab w:val="left" w:pos="180"/>
        </w:tabs>
        <w:spacing w:line="240" w:lineRule="auto"/>
        <w:jc w:val="both"/>
        <w:rPr>
          <w:rFonts w:ascii="Times New Roman" w:hAnsi="Times New Roman" w:cs="Times New Roman"/>
          <w:sz w:val="20"/>
        </w:rPr>
      </w:pPr>
      <w:proofErr w:type="spellStart"/>
      <w:proofErr w:type="gramStart"/>
      <w:r w:rsidRPr="00505DA2">
        <w:rPr>
          <w:rFonts w:ascii="Times New Roman" w:hAnsi="Times New Roman" w:cs="Times New Roman"/>
          <w:sz w:val="20"/>
        </w:rPr>
        <w:t>Onguéné</w:t>
      </w:r>
      <w:proofErr w:type="spellEnd"/>
      <w:r w:rsidRPr="00505DA2">
        <w:rPr>
          <w:rFonts w:ascii="Times New Roman" w:hAnsi="Times New Roman" w:cs="Times New Roman"/>
          <w:sz w:val="20"/>
        </w:rPr>
        <w:t xml:space="preserve">, P. A., </w:t>
      </w:r>
      <w:proofErr w:type="spellStart"/>
      <w:r w:rsidRPr="00505DA2">
        <w:rPr>
          <w:rFonts w:ascii="Times New Roman" w:hAnsi="Times New Roman" w:cs="Times New Roman"/>
          <w:sz w:val="20"/>
        </w:rPr>
        <w:t>Ntie</w:t>
      </w:r>
      <w:proofErr w:type="spellEnd"/>
      <w:r w:rsidRPr="00505DA2">
        <w:rPr>
          <w:rFonts w:ascii="Times New Roman" w:hAnsi="Times New Roman" w:cs="Times New Roman"/>
          <w:sz w:val="20"/>
        </w:rPr>
        <w:t xml:space="preserve">-Kang, F., </w:t>
      </w:r>
      <w:proofErr w:type="spellStart"/>
      <w:r w:rsidRPr="00505DA2">
        <w:rPr>
          <w:rFonts w:ascii="Times New Roman" w:hAnsi="Times New Roman" w:cs="Times New Roman"/>
          <w:sz w:val="20"/>
        </w:rPr>
        <w:t>Lifongo</w:t>
      </w:r>
      <w:proofErr w:type="spellEnd"/>
      <w:r w:rsidRPr="00505DA2">
        <w:rPr>
          <w:rFonts w:ascii="Times New Roman" w:hAnsi="Times New Roman" w:cs="Times New Roman"/>
          <w:sz w:val="20"/>
        </w:rPr>
        <w:t xml:space="preserve">, L. L., </w:t>
      </w:r>
      <w:proofErr w:type="spellStart"/>
      <w:r w:rsidRPr="00505DA2">
        <w:rPr>
          <w:rFonts w:ascii="Times New Roman" w:hAnsi="Times New Roman" w:cs="Times New Roman"/>
          <w:sz w:val="20"/>
        </w:rPr>
        <w:t>Ndom</w:t>
      </w:r>
      <w:proofErr w:type="spellEnd"/>
      <w:r w:rsidRPr="00505DA2">
        <w:rPr>
          <w:rFonts w:ascii="Times New Roman" w:hAnsi="Times New Roman" w:cs="Times New Roman"/>
          <w:sz w:val="20"/>
        </w:rPr>
        <w:t xml:space="preserve">, J. C., </w:t>
      </w:r>
      <w:proofErr w:type="spellStart"/>
      <w:r w:rsidRPr="00505DA2">
        <w:rPr>
          <w:rFonts w:ascii="Times New Roman" w:hAnsi="Times New Roman" w:cs="Times New Roman"/>
          <w:sz w:val="20"/>
        </w:rPr>
        <w:t>Sippl</w:t>
      </w:r>
      <w:proofErr w:type="spellEnd"/>
      <w:r w:rsidRPr="00505DA2">
        <w:rPr>
          <w:rFonts w:ascii="Times New Roman" w:hAnsi="Times New Roman" w:cs="Times New Roman"/>
          <w:sz w:val="20"/>
        </w:rPr>
        <w:t xml:space="preserve">, W., &amp; </w:t>
      </w:r>
      <w:proofErr w:type="spellStart"/>
      <w:r w:rsidRPr="00505DA2">
        <w:rPr>
          <w:rFonts w:ascii="Times New Roman" w:hAnsi="Times New Roman" w:cs="Times New Roman"/>
          <w:sz w:val="20"/>
        </w:rPr>
        <w:t>Mbaze</w:t>
      </w:r>
      <w:proofErr w:type="spellEnd"/>
      <w:r w:rsidRPr="00505DA2">
        <w:rPr>
          <w:rFonts w:ascii="Times New Roman" w:hAnsi="Times New Roman" w:cs="Times New Roman"/>
          <w:sz w:val="20"/>
        </w:rPr>
        <w:t>, L. M. (2013).</w:t>
      </w:r>
      <w:proofErr w:type="gramEnd"/>
      <w:r w:rsidRPr="00505DA2">
        <w:rPr>
          <w:rFonts w:ascii="Times New Roman" w:hAnsi="Times New Roman" w:cs="Times New Roman"/>
          <w:sz w:val="20"/>
        </w:rPr>
        <w:t xml:space="preserve"> Antimalarial plant compounds. </w:t>
      </w:r>
      <w:r w:rsidRPr="00505DA2">
        <w:rPr>
          <w:rFonts w:ascii="Times New Roman" w:hAnsi="Times New Roman" w:cs="Times New Roman"/>
          <w:i/>
          <w:iCs/>
          <w:sz w:val="20"/>
        </w:rPr>
        <w:t xml:space="preserve">Journal of </w:t>
      </w:r>
      <w:proofErr w:type="spellStart"/>
      <w:r w:rsidRPr="00505DA2">
        <w:rPr>
          <w:rFonts w:ascii="Times New Roman" w:hAnsi="Times New Roman" w:cs="Times New Roman"/>
          <w:i/>
          <w:iCs/>
          <w:sz w:val="20"/>
        </w:rPr>
        <w:t>Ethnopharmacology</w:t>
      </w:r>
      <w:proofErr w:type="spellEnd"/>
      <w:r w:rsidRPr="00505DA2">
        <w:rPr>
          <w:rFonts w:ascii="Times New Roman" w:hAnsi="Times New Roman" w:cs="Times New Roman"/>
          <w:i/>
          <w:iCs/>
          <w:sz w:val="20"/>
        </w:rPr>
        <w:t>, 149</w:t>
      </w:r>
      <w:r w:rsidRPr="00505DA2">
        <w:rPr>
          <w:rFonts w:ascii="Times New Roman" w:hAnsi="Times New Roman" w:cs="Times New Roman"/>
          <w:sz w:val="20"/>
        </w:rPr>
        <w:t>(1), 1–23.</w:t>
      </w:r>
    </w:p>
    <w:p w:rsidR="00414035" w:rsidRPr="00505DA2" w:rsidRDefault="00414035" w:rsidP="00B37BD4">
      <w:pPr>
        <w:tabs>
          <w:tab w:val="left" w:pos="180"/>
        </w:tabs>
        <w:spacing w:line="240" w:lineRule="auto"/>
        <w:jc w:val="both"/>
        <w:rPr>
          <w:rFonts w:ascii="Times New Roman" w:hAnsi="Times New Roman" w:cs="Times New Roman"/>
          <w:sz w:val="20"/>
        </w:rPr>
      </w:pPr>
      <w:proofErr w:type="spellStart"/>
      <w:r w:rsidRPr="00505DA2">
        <w:rPr>
          <w:rFonts w:ascii="Times New Roman" w:hAnsi="Times New Roman" w:cs="Times New Roman"/>
          <w:sz w:val="20"/>
        </w:rPr>
        <w:t>Pires</w:t>
      </w:r>
      <w:proofErr w:type="spellEnd"/>
      <w:r w:rsidRPr="00505DA2">
        <w:rPr>
          <w:rFonts w:ascii="Times New Roman" w:hAnsi="Times New Roman" w:cs="Times New Roman"/>
          <w:sz w:val="20"/>
        </w:rPr>
        <w:t xml:space="preserve">, D. E. V., Blundell, T. L., &amp; </w:t>
      </w:r>
      <w:proofErr w:type="spellStart"/>
      <w:r w:rsidRPr="00505DA2">
        <w:rPr>
          <w:rFonts w:ascii="Times New Roman" w:hAnsi="Times New Roman" w:cs="Times New Roman"/>
          <w:sz w:val="20"/>
        </w:rPr>
        <w:t>Ascher</w:t>
      </w:r>
      <w:proofErr w:type="spellEnd"/>
      <w:r w:rsidRPr="00505DA2">
        <w:rPr>
          <w:rFonts w:ascii="Times New Roman" w:hAnsi="Times New Roman" w:cs="Times New Roman"/>
          <w:sz w:val="20"/>
        </w:rPr>
        <w:t xml:space="preserve">, D. B. (2015). </w:t>
      </w:r>
      <w:proofErr w:type="spellStart"/>
      <w:proofErr w:type="gramStart"/>
      <w:r w:rsidRPr="00505DA2">
        <w:rPr>
          <w:rFonts w:ascii="Times New Roman" w:hAnsi="Times New Roman" w:cs="Times New Roman"/>
          <w:sz w:val="20"/>
        </w:rPr>
        <w:t>pkCSM</w:t>
      </w:r>
      <w:proofErr w:type="spellEnd"/>
      <w:proofErr w:type="gramEnd"/>
      <w:r w:rsidRPr="00505DA2">
        <w:rPr>
          <w:rFonts w:ascii="Times New Roman" w:hAnsi="Times New Roman" w:cs="Times New Roman"/>
          <w:sz w:val="20"/>
        </w:rPr>
        <w:t xml:space="preserve">: Pharmacokinetics. </w:t>
      </w:r>
      <w:proofErr w:type="gramStart"/>
      <w:r w:rsidRPr="00505DA2">
        <w:rPr>
          <w:rFonts w:ascii="Times New Roman" w:hAnsi="Times New Roman" w:cs="Times New Roman"/>
          <w:i/>
          <w:iCs/>
          <w:sz w:val="20"/>
        </w:rPr>
        <w:t>Nucleic Acids Research, 43</w:t>
      </w:r>
      <w:r w:rsidRPr="00505DA2">
        <w:rPr>
          <w:rFonts w:ascii="Times New Roman" w:hAnsi="Times New Roman" w:cs="Times New Roman"/>
          <w:sz w:val="20"/>
        </w:rPr>
        <w:t>(W1), W443–W450.</w:t>
      </w:r>
      <w:proofErr w:type="gramEnd"/>
    </w:p>
    <w:p w:rsidR="00414035" w:rsidRPr="00505DA2" w:rsidRDefault="00414035" w:rsidP="00B37BD4">
      <w:pPr>
        <w:tabs>
          <w:tab w:val="left" w:pos="180"/>
        </w:tabs>
        <w:spacing w:line="240" w:lineRule="auto"/>
        <w:jc w:val="both"/>
        <w:rPr>
          <w:rFonts w:ascii="Times New Roman" w:hAnsi="Times New Roman" w:cs="Times New Roman"/>
          <w:sz w:val="20"/>
        </w:rPr>
      </w:pPr>
      <w:proofErr w:type="gramStart"/>
      <w:r w:rsidRPr="00505DA2">
        <w:rPr>
          <w:rFonts w:ascii="Times New Roman" w:hAnsi="Times New Roman" w:cs="Times New Roman"/>
          <w:sz w:val="20"/>
        </w:rPr>
        <w:t>World Health Organization.</w:t>
      </w:r>
      <w:proofErr w:type="gramEnd"/>
      <w:r w:rsidRPr="00505DA2">
        <w:rPr>
          <w:rFonts w:ascii="Times New Roman" w:hAnsi="Times New Roman" w:cs="Times New Roman"/>
          <w:sz w:val="20"/>
        </w:rPr>
        <w:t xml:space="preserve"> </w:t>
      </w:r>
      <w:proofErr w:type="gramStart"/>
      <w:r w:rsidRPr="00505DA2">
        <w:rPr>
          <w:rFonts w:ascii="Times New Roman" w:hAnsi="Times New Roman" w:cs="Times New Roman"/>
          <w:sz w:val="20"/>
        </w:rPr>
        <w:t xml:space="preserve">(2023). </w:t>
      </w:r>
      <w:r w:rsidRPr="00505DA2">
        <w:rPr>
          <w:rFonts w:ascii="Times New Roman" w:hAnsi="Times New Roman" w:cs="Times New Roman"/>
          <w:i/>
          <w:iCs/>
          <w:sz w:val="20"/>
        </w:rPr>
        <w:t>World malaria report 2023</w:t>
      </w:r>
      <w:r w:rsidRPr="00505DA2">
        <w:rPr>
          <w:rFonts w:ascii="Times New Roman" w:hAnsi="Times New Roman" w:cs="Times New Roman"/>
          <w:sz w:val="20"/>
        </w:rPr>
        <w:t>.</w:t>
      </w:r>
      <w:proofErr w:type="gramEnd"/>
      <w:r w:rsidR="00C50D1C">
        <w:rPr>
          <w:rFonts w:ascii="Times New Roman" w:hAnsi="Times New Roman" w:cs="Times New Roman"/>
          <w:sz w:val="20"/>
        </w:rPr>
        <w:t xml:space="preserve"> </w:t>
      </w:r>
    </w:p>
    <w:p w:rsidR="00A56E28" w:rsidRDefault="00A56E28" w:rsidP="002036D0">
      <w:pPr>
        <w:rPr>
          <w:rFonts w:ascii="Times New Roman" w:hAnsi="Times New Roman" w:cs="Times New Roman"/>
          <w:sz w:val="36"/>
        </w:rPr>
        <w:sectPr w:rsidR="00A56E28" w:rsidSect="00465349">
          <w:type w:val="continuous"/>
          <w:pgSz w:w="12240" w:h="15840"/>
          <w:pgMar w:top="1440" w:right="1440" w:bottom="1440" w:left="1440" w:header="720" w:footer="720" w:gutter="0"/>
          <w:cols w:num="2" w:space="720"/>
          <w:docGrid w:linePitch="360"/>
        </w:sectPr>
      </w:pPr>
    </w:p>
    <w:p w:rsidR="002036D0" w:rsidRPr="002036D0" w:rsidRDefault="002036D0" w:rsidP="00C50D1C">
      <w:pPr>
        <w:tabs>
          <w:tab w:val="left" w:pos="6489"/>
        </w:tabs>
        <w:rPr>
          <w:rFonts w:ascii="Times New Roman" w:hAnsi="Times New Roman" w:cs="Times New Roman"/>
          <w:sz w:val="36"/>
        </w:rPr>
      </w:pPr>
      <w:bookmarkStart w:id="0" w:name="_GoBack"/>
      <w:bookmarkEnd w:id="0"/>
    </w:p>
    <w:sectPr w:rsidR="002036D0" w:rsidRPr="002036D0" w:rsidSect="00A56E2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84A" w:rsidRDefault="003F484A" w:rsidP="00A56E28">
      <w:pPr>
        <w:spacing w:after="0" w:line="240" w:lineRule="auto"/>
      </w:pPr>
      <w:r>
        <w:separator/>
      </w:r>
    </w:p>
  </w:endnote>
  <w:endnote w:type="continuationSeparator" w:id="0">
    <w:p w:rsidR="003F484A" w:rsidRDefault="003F484A" w:rsidP="00A56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199177"/>
      <w:docPartObj>
        <w:docPartGallery w:val="Page Numbers (Bottom of Page)"/>
        <w:docPartUnique/>
      </w:docPartObj>
    </w:sdtPr>
    <w:sdtEndPr>
      <w:rPr>
        <w:noProof/>
      </w:rPr>
    </w:sdtEndPr>
    <w:sdtContent>
      <w:p w:rsidR="00B87C21" w:rsidRDefault="00B87C21">
        <w:pPr>
          <w:pStyle w:val="Footer"/>
          <w:jc w:val="center"/>
        </w:pPr>
        <w:r>
          <w:fldChar w:fldCharType="begin"/>
        </w:r>
        <w:r>
          <w:instrText xml:space="preserve"> PAGE   \* MERGEFORMAT </w:instrText>
        </w:r>
        <w:r>
          <w:fldChar w:fldCharType="separate"/>
        </w:r>
        <w:r w:rsidR="00B37BD4">
          <w:rPr>
            <w:noProof/>
          </w:rPr>
          <w:t>4</w:t>
        </w:r>
        <w:r>
          <w:rPr>
            <w:noProof/>
          </w:rPr>
          <w:fldChar w:fldCharType="end"/>
        </w:r>
      </w:p>
    </w:sdtContent>
  </w:sdt>
  <w:p w:rsidR="00B87C21" w:rsidRDefault="00B87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84A" w:rsidRDefault="003F484A" w:rsidP="00A56E28">
      <w:pPr>
        <w:spacing w:after="0" w:line="240" w:lineRule="auto"/>
      </w:pPr>
      <w:r>
        <w:separator/>
      </w:r>
    </w:p>
  </w:footnote>
  <w:footnote w:type="continuationSeparator" w:id="0">
    <w:p w:rsidR="003F484A" w:rsidRDefault="003F484A" w:rsidP="00A56E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6D0"/>
    <w:rsid w:val="002036D0"/>
    <w:rsid w:val="003547A5"/>
    <w:rsid w:val="003F484A"/>
    <w:rsid w:val="00414035"/>
    <w:rsid w:val="00465349"/>
    <w:rsid w:val="00505DA2"/>
    <w:rsid w:val="005F3F94"/>
    <w:rsid w:val="00A56E28"/>
    <w:rsid w:val="00B37BD4"/>
    <w:rsid w:val="00B87C21"/>
    <w:rsid w:val="00BB44C7"/>
    <w:rsid w:val="00C50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6D0"/>
    <w:rPr>
      <w:color w:val="0000FF" w:themeColor="hyperlink"/>
      <w:u w:val="single"/>
    </w:rPr>
  </w:style>
  <w:style w:type="paragraph" w:styleId="NormalWeb">
    <w:name w:val="Normal (Web)"/>
    <w:basedOn w:val="Normal"/>
    <w:uiPriority w:val="99"/>
    <w:unhideWhenUsed/>
    <w:rsid w:val="00A56E2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56E28"/>
    <w:rPr>
      <w:i/>
      <w:iCs/>
    </w:rPr>
  </w:style>
  <w:style w:type="table" w:styleId="TableGrid">
    <w:name w:val="Table Grid"/>
    <w:basedOn w:val="TableNormal"/>
    <w:uiPriority w:val="59"/>
    <w:rsid w:val="00A56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6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E28"/>
  </w:style>
  <w:style w:type="paragraph" w:styleId="Footer">
    <w:name w:val="footer"/>
    <w:basedOn w:val="Normal"/>
    <w:link w:val="FooterChar"/>
    <w:uiPriority w:val="99"/>
    <w:unhideWhenUsed/>
    <w:rsid w:val="00A56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E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6D0"/>
    <w:rPr>
      <w:color w:val="0000FF" w:themeColor="hyperlink"/>
      <w:u w:val="single"/>
    </w:rPr>
  </w:style>
  <w:style w:type="paragraph" w:styleId="NormalWeb">
    <w:name w:val="Normal (Web)"/>
    <w:basedOn w:val="Normal"/>
    <w:uiPriority w:val="99"/>
    <w:unhideWhenUsed/>
    <w:rsid w:val="00A56E2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56E28"/>
    <w:rPr>
      <w:i/>
      <w:iCs/>
    </w:rPr>
  </w:style>
  <w:style w:type="table" w:styleId="TableGrid">
    <w:name w:val="Table Grid"/>
    <w:basedOn w:val="TableNormal"/>
    <w:uiPriority w:val="59"/>
    <w:rsid w:val="00A56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6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E28"/>
  </w:style>
  <w:style w:type="paragraph" w:styleId="Footer">
    <w:name w:val="footer"/>
    <w:basedOn w:val="Normal"/>
    <w:link w:val="FooterChar"/>
    <w:uiPriority w:val="99"/>
    <w:unhideWhenUsed/>
    <w:rsid w:val="00A56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21148">
      <w:bodyDiv w:val="1"/>
      <w:marLeft w:val="0"/>
      <w:marRight w:val="0"/>
      <w:marTop w:val="0"/>
      <w:marBottom w:val="0"/>
      <w:divBdr>
        <w:top w:val="none" w:sz="0" w:space="0" w:color="auto"/>
        <w:left w:val="none" w:sz="0" w:space="0" w:color="auto"/>
        <w:bottom w:val="none" w:sz="0" w:space="0" w:color="auto"/>
        <w:right w:val="none" w:sz="0" w:space="0" w:color="auto"/>
      </w:divBdr>
    </w:div>
    <w:div w:id="312148377">
      <w:bodyDiv w:val="1"/>
      <w:marLeft w:val="0"/>
      <w:marRight w:val="0"/>
      <w:marTop w:val="0"/>
      <w:marBottom w:val="0"/>
      <w:divBdr>
        <w:top w:val="none" w:sz="0" w:space="0" w:color="auto"/>
        <w:left w:val="none" w:sz="0" w:space="0" w:color="auto"/>
        <w:bottom w:val="none" w:sz="0" w:space="0" w:color="auto"/>
        <w:right w:val="none" w:sz="0" w:space="0" w:color="auto"/>
      </w:divBdr>
    </w:div>
    <w:div w:id="453409893">
      <w:bodyDiv w:val="1"/>
      <w:marLeft w:val="0"/>
      <w:marRight w:val="0"/>
      <w:marTop w:val="0"/>
      <w:marBottom w:val="0"/>
      <w:divBdr>
        <w:top w:val="none" w:sz="0" w:space="0" w:color="auto"/>
        <w:left w:val="none" w:sz="0" w:space="0" w:color="auto"/>
        <w:bottom w:val="none" w:sz="0" w:space="0" w:color="auto"/>
        <w:right w:val="none" w:sz="0" w:space="0" w:color="auto"/>
      </w:divBdr>
      <w:divsChild>
        <w:div w:id="943852118">
          <w:marLeft w:val="0"/>
          <w:marRight w:val="0"/>
          <w:marTop w:val="0"/>
          <w:marBottom w:val="0"/>
          <w:divBdr>
            <w:top w:val="none" w:sz="0" w:space="0" w:color="auto"/>
            <w:left w:val="none" w:sz="0" w:space="0" w:color="auto"/>
            <w:bottom w:val="none" w:sz="0" w:space="0" w:color="auto"/>
            <w:right w:val="none" w:sz="0" w:space="0" w:color="auto"/>
          </w:divBdr>
          <w:divsChild>
            <w:div w:id="81915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80665">
      <w:bodyDiv w:val="1"/>
      <w:marLeft w:val="0"/>
      <w:marRight w:val="0"/>
      <w:marTop w:val="0"/>
      <w:marBottom w:val="0"/>
      <w:divBdr>
        <w:top w:val="none" w:sz="0" w:space="0" w:color="auto"/>
        <w:left w:val="none" w:sz="0" w:space="0" w:color="auto"/>
        <w:bottom w:val="none" w:sz="0" w:space="0" w:color="auto"/>
        <w:right w:val="none" w:sz="0" w:space="0" w:color="auto"/>
      </w:divBdr>
    </w:div>
    <w:div w:id="1037662187">
      <w:bodyDiv w:val="1"/>
      <w:marLeft w:val="0"/>
      <w:marRight w:val="0"/>
      <w:marTop w:val="0"/>
      <w:marBottom w:val="0"/>
      <w:divBdr>
        <w:top w:val="none" w:sz="0" w:space="0" w:color="auto"/>
        <w:left w:val="none" w:sz="0" w:space="0" w:color="auto"/>
        <w:bottom w:val="none" w:sz="0" w:space="0" w:color="auto"/>
        <w:right w:val="none" w:sz="0" w:space="0" w:color="auto"/>
      </w:divBdr>
      <w:divsChild>
        <w:div w:id="354162998">
          <w:marLeft w:val="0"/>
          <w:marRight w:val="0"/>
          <w:marTop w:val="0"/>
          <w:marBottom w:val="0"/>
          <w:divBdr>
            <w:top w:val="none" w:sz="0" w:space="0" w:color="auto"/>
            <w:left w:val="none" w:sz="0" w:space="0" w:color="auto"/>
            <w:bottom w:val="none" w:sz="0" w:space="0" w:color="auto"/>
            <w:right w:val="none" w:sz="0" w:space="0" w:color="auto"/>
          </w:divBdr>
          <w:divsChild>
            <w:div w:id="158954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403975">
      <w:bodyDiv w:val="1"/>
      <w:marLeft w:val="0"/>
      <w:marRight w:val="0"/>
      <w:marTop w:val="0"/>
      <w:marBottom w:val="0"/>
      <w:divBdr>
        <w:top w:val="none" w:sz="0" w:space="0" w:color="auto"/>
        <w:left w:val="none" w:sz="0" w:space="0" w:color="auto"/>
        <w:bottom w:val="none" w:sz="0" w:space="0" w:color="auto"/>
        <w:right w:val="none" w:sz="0" w:space="0" w:color="auto"/>
      </w:divBdr>
      <w:divsChild>
        <w:div w:id="1432511790">
          <w:marLeft w:val="0"/>
          <w:marRight w:val="0"/>
          <w:marTop w:val="0"/>
          <w:marBottom w:val="0"/>
          <w:divBdr>
            <w:top w:val="none" w:sz="0" w:space="0" w:color="auto"/>
            <w:left w:val="none" w:sz="0" w:space="0" w:color="auto"/>
            <w:bottom w:val="none" w:sz="0" w:space="0" w:color="auto"/>
            <w:right w:val="none" w:sz="0" w:space="0" w:color="auto"/>
          </w:divBdr>
          <w:divsChild>
            <w:div w:id="7603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98787">
      <w:bodyDiv w:val="1"/>
      <w:marLeft w:val="0"/>
      <w:marRight w:val="0"/>
      <w:marTop w:val="0"/>
      <w:marBottom w:val="0"/>
      <w:divBdr>
        <w:top w:val="none" w:sz="0" w:space="0" w:color="auto"/>
        <w:left w:val="none" w:sz="0" w:space="0" w:color="auto"/>
        <w:bottom w:val="none" w:sz="0" w:space="0" w:color="auto"/>
        <w:right w:val="none" w:sz="0" w:space="0" w:color="auto"/>
      </w:divBdr>
    </w:div>
    <w:div w:id="1195195064">
      <w:bodyDiv w:val="1"/>
      <w:marLeft w:val="0"/>
      <w:marRight w:val="0"/>
      <w:marTop w:val="0"/>
      <w:marBottom w:val="0"/>
      <w:divBdr>
        <w:top w:val="none" w:sz="0" w:space="0" w:color="auto"/>
        <w:left w:val="none" w:sz="0" w:space="0" w:color="auto"/>
        <w:bottom w:val="none" w:sz="0" w:space="0" w:color="auto"/>
        <w:right w:val="none" w:sz="0" w:space="0" w:color="auto"/>
      </w:divBdr>
      <w:divsChild>
        <w:div w:id="18511895">
          <w:marLeft w:val="0"/>
          <w:marRight w:val="0"/>
          <w:marTop w:val="0"/>
          <w:marBottom w:val="0"/>
          <w:divBdr>
            <w:top w:val="none" w:sz="0" w:space="0" w:color="auto"/>
            <w:left w:val="none" w:sz="0" w:space="0" w:color="auto"/>
            <w:bottom w:val="none" w:sz="0" w:space="0" w:color="auto"/>
            <w:right w:val="none" w:sz="0" w:space="0" w:color="auto"/>
          </w:divBdr>
          <w:divsChild>
            <w:div w:id="31530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osiahemeka2015@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2026-05-23T12:36:00Z</dcterms:created>
  <dcterms:modified xsi:type="dcterms:W3CDTF">2026-05-23T13:45:00Z</dcterms:modified>
</cp:coreProperties>
</file>