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797E0" w14:textId="77777777" w:rsidR="00C23D13" w:rsidRPr="00F855C6" w:rsidRDefault="00321248">
      <w:pPr>
        <w:spacing w:after="0" w:line="259" w:lineRule="auto"/>
        <w:ind w:left="70" w:right="0" w:firstLine="0"/>
        <w:jc w:val="center"/>
        <w:rPr>
          <w:sz w:val="24"/>
          <w:szCs w:val="24"/>
        </w:rPr>
      </w:pPr>
      <w:r w:rsidRPr="00F855C6">
        <w:rPr>
          <w:rFonts w:eastAsia="Arial"/>
          <w:b/>
          <w:sz w:val="24"/>
          <w:szCs w:val="24"/>
        </w:rPr>
        <w:t xml:space="preserve"> </w:t>
      </w:r>
    </w:p>
    <w:p w14:paraId="40B01FDD" w14:textId="3FC33641" w:rsidR="00F855C6" w:rsidRDefault="00F855C6">
      <w:pPr>
        <w:spacing w:after="0" w:line="259" w:lineRule="auto"/>
        <w:ind w:left="10" w:hanging="10"/>
        <w:jc w:val="center"/>
        <w:rPr>
          <w:rFonts w:eastAsia="Arial"/>
          <w:b/>
          <w:sz w:val="36"/>
          <w:szCs w:val="36"/>
        </w:rPr>
      </w:pPr>
      <w:r w:rsidRPr="00F855C6">
        <w:rPr>
          <w:rFonts w:eastAsia="Arial"/>
          <w:b/>
          <w:sz w:val="36"/>
          <w:szCs w:val="36"/>
        </w:rPr>
        <w:t>Beyond the Classroom: Institutional Stressors Fuelling Burnout in Higher Education</w:t>
      </w:r>
    </w:p>
    <w:p w14:paraId="3F05402B" w14:textId="77777777" w:rsidR="00F855C6" w:rsidRDefault="00F855C6">
      <w:pPr>
        <w:spacing w:after="0" w:line="259" w:lineRule="auto"/>
        <w:ind w:left="10" w:hanging="10"/>
        <w:jc w:val="center"/>
        <w:rPr>
          <w:rFonts w:eastAsia="Arial"/>
          <w:b/>
          <w:sz w:val="36"/>
          <w:szCs w:val="36"/>
        </w:rPr>
      </w:pPr>
    </w:p>
    <w:p w14:paraId="3D0ACA4F" w14:textId="01309AD2" w:rsidR="00F47B69" w:rsidRPr="00F855C6" w:rsidRDefault="00F47B69">
      <w:pPr>
        <w:spacing w:after="0" w:line="259" w:lineRule="auto"/>
        <w:ind w:left="10" w:hanging="10"/>
        <w:jc w:val="center"/>
        <w:rPr>
          <w:b/>
          <w:sz w:val="24"/>
          <w:szCs w:val="24"/>
        </w:rPr>
      </w:pPr>
      <w:r w:rsidRPr="00F855C6">
        <w:rPr>
          <w:b/>
          <w:sz w:val="24"/>
          <w:szCs w:val="24"/>
          <w:vertAlign w:val="superscript"/>
        </w:rPr>
        <w:t/>
      </w:r>
      <w:r w:rsidRPr="00F855C6">
        <w:rPr>
          <w:b/>
          <w:sz w:val="24"/>
          <w:szCs w:val="24"/>
        </w:rPr>
        <w:t xml:space="preserve"/>
      </w:r>
      <w:r w:rsidRPr="00F855C6">
        <w:rPr>
          <w:b/>
          <w:sz w:val="24"/>
          <w:szCs w:val="24"/>
          <w:vertAlign w:val="superscript"/>
        </w:rPr>
        <w:t/>
      </w:r>
      <w:r w:rsidRPr="00F855C6">
        <w:rPr>
          <w:b/>
          <w:sz w:val="24"/>
          <w:szCs w:val="24"/>
        </w:rPr>
        <w:t/>
      </w:r>
      <w:r w:rsidR="007F46C6" w:rsidRPr="00F855C6">
        <w:rPr>
          <w:b/>
          <w:sz w:val="24"/>
          <w:szCs w:val="24"/>
        </w:rPr>
        <w:t xml:space="preserve"/>
      </w:r>
      <w:r w:rsidR="007F46C6" w:rsidRPr="00F855C6">
        <w:rPr>
          <w:b/>
          <w:sz w:val="24"/>
          <w:szCs w:val="24"/>
          <w:vertAlign w:val="superscript"/>
        </w:rPr>
        <w:t/>
      </w:r>
      <w:r w:rsidR="007F46C6" w:rsidRPr="00F855C6">
        <w:rPr>
          <w:b/>
          <w:sz w:val="24"/>
          <w:szCs w:val="24"/>
        </w:rPr>
        <w:t/>
      </w:r>
      <w:r w:rsidRPr="00F855C6">
        <w:rPr>
          <w:b/>
          <w:sz w:val="24"/>
          <w:szCs w:val="24"/>
        </w:rPr>
        <w:t xml:space="preserve"/>
      </w:r>
      <w:r w:rsidRPr="00F855C6">
        <w:rPr>
          <w:b/>
          <w:sz w:val="24"/>
          <w:szCs w:val="24"/>
          <w:vertAlign w:val="superscript"/>
        </w:rPr>
        <w:t/>
      </w:r>
      <w:r w:rsidRPr="00F855C6">
        <w:rPr>
          <w:b/>
          <w:sz w:val="24"/>
          <w:szCs w:val="24"/>
        </w:rPr>
        <w:t xml:space="preserve"/>
      </w:r>
      <w:r w:rsidRPr="00F855C6">
        <w:rPr>
          <w:b/>
          <w:sz w:val="24"/>
          <w:szCs w:val="24"/>
          <w:vertAlign w:val="superscript"/>
        </w:rPr>
        <w:t/>
      </w:r>
      <w:r w:rsidRPr="00F855C6">
        <w:rPr>
          <w:b/>
          <w:sz w:val="24"/>
          <w:szCs w:val="24"/>
        </w:rPr>
        <w:t xml:space="preserve"/>
      </w:r>
      <w:r w:rsidRPr="00F855C6">
        <w:rPr>
          <w:b/>
          <w:sz w:val="24"/>
          <w:szCs w:val="24"/>
          <w:vertAlign w:val="superscript"/>
        </w:rPr>
        <w:t/>
      </w:r>
      <w:r w:rsidRPr="00F855C6">
        <w:rPr>
          <w:b/>
          <w:sz w:val="24"/>
          <w:szCs w:val="24"/>
        </w:rPr>
        <w:t/>
      </w:r>
    </w:p>
    <w:p w14:paraId="2B96898A" w14:textId="5A0AEEDE" w:rsidR="00F47B69" w:rsidRPr="00F855C6" w:rsidRDefault="00F47B69" w:rsidP="00F47B69">
      <w:pPr>
        <w:spacing w:after="0" w:line="259" w:lineRule="auto"/>
        <w:ind w:left="10" w:right="7" w:hanging="10"/>
        <w:jc w:val="center"/>
        <w:rPr>
          <w:sz w:val="24"/>
          <w:szCs w:val="24"/>
        </w:rPr>
      </w:pPr>
      <w:r w:rsidRPr="00F855C6">
        <w:rPr>
          <w:sz w:val="24"/>
          <w:szCs w:val="24"/>
          <w:vertAlign w:val="superscript"/>
        </w:rPr>
        <w:t/>
      </w:r>
      <w:r w:rsidRPr="00F855C6">
        <w:rPr>
          <w:sz w:val="24"/>
          <w:szCs w:val="24"/>
        </w:rPr>
        <w:t/>
      </w:r>
    </w:p>
    <w:p w14:paraId="5CB28598" w14:textId="631B0D0C" w:rsidR="00F47B69" w:rsidRPr="00F855C6" w:rsidRDefault="00F47B69" w:rsidP="00F47B69">
      <w:pPr>
        <w:spacing w:after="0" w:line="259" w:lineRule="auto"/>
        <w:ind w:left="10" w:right="7" w:hanging="10"/>
        <w:jc w:val="center"/>
        <w:rPr>
          <w:sz w:val="24"/>
          <w:szCs w:val="24"/>
        </w:rPr>
      </w:pPr>
      <w:r w:rsidRPr="00F855C6">
        <w:rPr>
          <w:sz w:val="24"/>
          <w:szCs w:val="24"/>
          <w:vertAlign w:val="superscript"/>
        </w:rPr>
        <w:t/>
      </w:r>
      <w:r w:rsidRPr="00F855C6">
        <w:rPr>
          <w:sz w:val="24"/>
          <w:szCs w:val="24"/>
        </w:rPr>
        <w:t xml:space="preserve"/>
      </w:r>
      <w:r w:rsidR="001E6688" w:rsidRPr="00F855C6">
        <w:rPr>
          <w:sz w:val="24"/>
          <w:szCs w:val="24"/>
        </w:rPr>
        <w:t/>
      </w:r>
      <w:r w:rsidRPr="00F855C6">
        <w:rPr>
          <w:sz w:val="24"/>
          <w:szCs w:val="24"/>
        </w:rPr>
        <w:t/>
      </w:r>
    </w:p>
    <w:p w14:paraId="61165647" w14:textId="77777777" w:rsidR="00F47B69" w:rsidRPr="00F855C6" w:rsidRDefault="00F47B69" w:rsidP="00F47B69">
      <w:pPr>
        <w:spacing w:after="0" w:line="259" w:lineRule="auto"/>
        <w:ind w:left="10" w:right="7" w:hanging="10"/>
        <w:jc w:val="center"/>
        <w:rPr>
          <w:sz w:val="24"/>
          <w:szCs w:val="24"/>
        </w:rPr>
      </w:pPr>
    </w:p>
    <w:p w14:paraId="462B1F8F" w14:textId="4F11DCC7" w:rsidR="00C23D13" w:rsidRPr="00F855C6" w:rsidRDefault="00C00BC4">
      <w:pPr>
        <w:spacing w:after="218" w:line="259" w:lineRule="auto"/>
        <w:ind w:left="10" w:right="7" w:hanging="10"/>
        <w:jc w:val="center"/>
        <w:rPr>
          <w:sz w:val="24"/>
          <w:szCs w:val="24"/>
        </w:rPr>
      </w:pPr>
      <w:hyperlink r:id="rId7" w:history="1">
        <w:r w:rsidR="00F47B69" w:rsidRPr="00F855C6">
          <w:rPr>
            <w:rStyle w:val="Hyperlink"/>
            <w:sz w:val="24"/>
            <w:szCs w:val="24"/>
          </w:rPr>
          <w:t/>
        </w:r>
      </w:hyperlink>
      <w:r w:rsidR="00F47B69" w:rsidRPr="00F855C6">
        <w:rPr>
          <w:sz w:val="24"/>
          <w:szCs w:val="24"/>
        </w:rPr>
        <w:t xml:space="preserve"/>
      </w:r>
      <w:hyperlink r:id="rId8" w:history="1">
        <w:r w:rsidR="00F47B69" w:rsidRPr="00F855C6">
          <w:rPr>
            <w:rStyle w:val="Hyperlink"/>
            <w:sz w:val="24"/>
            <w:szCs w:val="24"/>
          </w:rPr>
          <w:t/>
        </w:r>
      </w:hyperlink>
      <w:r w:rsidR="00F47B69" w:rsidRPr="00F855C6">
        <w:rPr>
          <w:sz w:val="24"/>
          <w:szCs w:val="24"/>
        </w:rPr>
        <w:t xml:space="preserve"/>
      </w:r>
      <w:hyperlink r:id="rId9" w:history="1">
        <w:r w:rsidR="007F46C6" w:rsidRPr="00F855C6">
          <w:rPr>
            <w:rStyle w:val="Hyperlink"/>
            <w:sz w:val="24"/>
            <w:szCs w:val="24"/>
          </w:rPr>
          <w:t/>
        </w:r>
      </w:hyperlink>
      <w:r w:rsidR="007F46C6" w:rsidRPr="00F855C6">
        <w:rPr>
          <w:sz w:val="24"/>
          <w:szCs w:val="24"/>
        </w:rPr>
        <w:t xml:space="preserve"/>
      </w:r>
      <w:hyperlink r:id="rId10" w:history="1">
        <w:r w:rsidR="00F47B69" w:rsidRPr="00F855C6">
          <w:rPr>
            <w:rStyle w:val="Hyperlink"/>
            <w:sz w:val="24"/>
            <w:szCs w:val="24"/>
          </w:rPr>
          <w:t/>
        </w:r>
      </w:hyperlink>
      <w:r w:rsidR="00F47B69" w:rsidRPr="00F855C6">
        <w:rPr>
          <w:sz w:val="24"/>
          <w:szCs w:val="24"/>
        </w:rPr>
        <w:t xml:space="preserve"/>
      </w:r>
      <w:hyperlink r:id="rId11" w:history="1">
        <w:r w:rsidR="00F47B69" w:rsidRPr="00F855C6">
          <w:rPr>
            <w:rStyle w:val="Hyperlink"/>
            <w:sz w:val="24"/>
            <w:szCs w:val="24"/>
          </w:rPr>
          <w:t/>
        </w:r>
      </w:hyperlink>
      <w:r w:rsidR="00F47B69" w:rsidRPr="00F855C6">
        <w:rPr>
          <w:sz w:val="24"/>
          <w:szCs w:val="24"/>
        </w:rPr>
        <w:t xml:space="preserve"/>
      </w:r>
      <w:hyperlink r:id="rId12" w:history="1">
        <w:r w:rsidR="00F47B69" w:rsidRPr="00F855C6">
          <w:rPr>
            <w:rStyle w:val="Hyperlink"/>
            <w:sz w:val="24"/>
            <w:szCs w:val="24"/>
          </w:rPr>
          <w:t/>
        </w:r>
      </w:hyperlink>
    </w:p>
    <w:p w14:paraId="413BF0D0" w14:textId="77777777" w:rsidR="00C23D13" w:rsidRPr="00F855C6" w:rsidRDefault="00321248" w:rsidP="009E3D83">
      <w:pPr>
        <w:pStyle w:val="Heading2"/>
        <w:tabs>
          <w:tab w:val="center" w:pos="1450"/>
        </w:tabs>
        <w:ind w:left="-15" w:right="0" w:firstLine="0"/>
        <w:rPr>
          <w:sz w:val="24"/>
          <w:szCs w:val="24"/>
        </w:rPr>
      </w:pPr>
      <w:r w:rsidRPr="00F855C6">
        <w:rPr>
          <w:sz w:val="24"/>
          <w:szCs w:val="24"/>
        </w:rPr>
        <w:t xml:space="preserve"> </w:t>
      </w:r>
      <w:r w:rsidRPr="00F855C6">
        <w:rPr>
          <w:sz w:val="24"/>
          <w:szCs w:val="24"/>
        </w:rPr>
        <w:tab/>
      </w:r>
      <w:r w:rsidRPr="009E3D83">
        <w:rPr>
          <w:sz w:val="28"/>
          <w:szCs w:val="28"/>
        </w:rPr>
        <w:t xml:space="preserve">ABSTRACT </w:t>
      </w:r>
    </w:p>
    <w:p w14:paraId="33B14105" w14:textId="09D762DD" w:rsidR="00F47B69" w:rsidRPr="00F855C6" w:rsidRDefault="00F855C6" w:rsidP="00F47B69">
      <w:pPr>
        <w:spacing w:after="0" w:line="259" w:lineRule="auto"/>
        <w:ind w:left="566" w:right="0" w:firstLine="0"/>
        <w:rPr>
          <w:sz w:val="24"/>
          <w:szCs w:val="24"/>
        </w:rPr>
      </w:pPr>
      <w:r w:rsidRPr="00F855C6">
        <w:rPr>
          <w:sz w:val="24"/>
          <w:szCs w:val="24"/>
        </w:rPr>
        <w:t>Burnout is increasingly acknowledged as a pressing concern in higher education institutions. This study examines the prevalence and underlying factors contributing to burnout among employees in higher education settings. Employing a cross-sectional survey design, data were collected from 729 respondents via an online questionnaire measuring emotional exhaustion, administrative workload, and work-life balance. Findings reveal that approximately four in ten respondents frequently experience symptoms of burnout, with major stressors including excessive documentation requirements, work-family conflict, and the burden of non-core responsibilities. Notably, gender and work-family conflict emerged as significant predictors of burnout, with female respondents reporting higher levels of emotional exhaustion. Despite variations across campuses, burnout was found to be a widespread issue, suggesting systemic rather than localized causes. The results underscore the need for holistic institutional reforms aimed at enhancing employee well-being, such as reducing bureaucratic workload, implementing flexible policies, and providing mental health support. Addressing these concerns is essential not only for employee retention and productivity but also for maintaining a healthy and sustainable educational environment. The findings contribute to a growing body of evidence highlighting the importance of organizational support and effective workload management in mitigating burnout within higher education institutions. Future studies should explore long-term solutions and evaluate the effectiveness of interventions designed to promote employee well-being and organizational resilience.</w:t>
      </w:r>
    </w:p>
    <w:p w14:paraId="56FA2C23" w14:textId="1D7885C9" w:rsidR="00C23D13" w:rsidRPr="00F855C6" w:rsidRDefault="00321248" w:rsidP="00F47B69">
      <w:pPr>
        <w:spacing w:after="0" w:line="259" w:lineRule="auto"/>
        <w:ind w:left="566" w:right="0" w:firstLine="0"/>
        <w:rPr>
          <w:sz w:val="24"/>
          <w:szCs w:val="24"/>
        </w:rPr>
      </w:pPr>
      <w:r w:rsidRPr="00F855C6">
        <w:rPr>
          <w:sz w:val="24"/>
          <w:szCs w:val="24"/>
        </w:rPr>
        <w:t xml:space="preserve"> </w:t>
      </w:r>
    </w:p>
    <w:p w14:paraId="567C154D" w14:textId="7E090444" w:rsidR="00C23D13" w:rsidRPr="00F855C6" w:rsidRDefault="00321248" w:rsidP="00115A3D">
      <w:pPr>
        <w:spacing w:after="244"/>
        <w:ind w:left="1985" w:right="11" w:hanging="1419"/>
        <w:rPr>
          <w:sz w:val="24"/>
          <w:szCs w:val="24"/>
        </w:rPr>
      </w:pPr>
      <w:r w:rsidRPr="00F855C6">
        <w:rPr>
          <w:b/>
          <w:sz w:val="24"/>
          <w:szCs w:val="24"/>
        </w:rPr>
        <w:t xml:space="preserve">KEYWORDS: </w:t>
      </w:r>
      <w:r w:rsidR="00115A3D" w:rsidRPr="00F855C6">
        <w:rPr>
          <w:sz w:val="24"/>
          <w:szCs w:val="24"/>
        </w:rPr>
        <w:t xml:space="preserve">Burnout, </w:t>
      </w:r>
      <w:r w:rsidR="00F855C6">
        <w:rPr>
          <w:sz w:val="24"/>
          <w:szCs w:val="24"/>
        </w:rPr>
        <w:t>HEI</w:t>
      </w:r>
      <w:r w:rsidR="00115A3D" w:rsidRPr="00F855C6">
        <w:rPr>
          <w:sz w:val="24"/>
          <w:szCs w:val="24"/>
        </w:rPr>
        <w:t xml:space="preserve"> Staff, Higher Education, Work-Life Balance, Administrative Workload</w:t>
      </w:r>
    </w:p>
    <w:p w14:paraId="714A1BF6" w14:textId="77777777" w:rsidR="00C23D13" w:rsidRPr="009E3D83" w:rsidRDefault="00321248">
      <w:pPr>
        <w:pStyle w:val="Heading2"/>
        <w:tabs>
          <w:tab w:val="center" w:pos="1450"/>
        </w:tabs>
        <w:ind w:left="-15" w:right="0" w:firstLine="0"/>
        <w:rPr>
          <w:sz w:val="28"/>
          <w:szCs w:val="28"/>
        </w:rPr>
      </w:pPr>
      <w:r w:rsidRPr="009E3D83">
        <w:rPr>
          <w:sz w:val="28"/>
          <w:szCs w:val="28"/>
        </w:rPr>
        <w:t>1</w:t>
      </w:r>
      <w:r w:rsidRPr="009E3D83">
        <w:rPr>
          <w:rFonts w:eastAsia="Arial"/>
          <w:sz w:val="28"/>
          <w:szCs w:val="28"/>
        </w:rPr>
        <w:t xml:space="preserve"> </w:t>
      </w:r>
      <w:r w:rsidRPr="009E3D83">
        <w:rPr>
          <w:rFonts w:eastAsia="Arial"/>
          <w:sz w:val="28"/>
          <w:szCs w:val="28"/>
        </w:rPr>
        <w:tab/>
      </w:r>
      <w:r w:rsidRPr="009E3D83">
        <w:rPr>
          <w:sz w:val="28"/>
          <w:szCs w:val="28"/>
        </w:rPr>
        <w:t xml:space="preserve">INTRODUCTION </w:t>
      </w:r>
    </w:p>
    <w:p w14:paraId="3AAEB98D" w14:textId="54F41079" w:rsidR="00F855C6" w:rsidRPr="00F855C6" w:rsidRDefault="00F855C6" w:rsidP="00F855C6">
      <w:pPr>
        <w:spacing w:after="221" w:line="259" w:lineRule="auto"/>
        <w:ind w:right="0" w:firstLine="720"/>
        <w:rPr>
          <w:sz w:val="24"/>
          <w:szCs w:val="24"/>
        </w:rPr>
      </w:pPr>
      <w:r w:rsidRPr="00F855C6">
        <w:rPr>
          <w:sz w:val="24"/>
          <w:szCs w:val="24"/>
        </w:rPr>
        <w:t xml:space="preserve">Burnout has emerged as a critical concern in higher education institutions worldwide. It is a psychological syndrome resulting from prolonged exposure to occupational stressors, characterized by emotional exhaustion, depersonalization, and a diminished sense of personal </w:t>
      </w:r>
      <w:r w:rsidRPr="00F855C6">
        <w:rPr>
          <w:sz w:val="24"/>
          <w:szCs w:val="24"/>
        </w:rPr>
        <w:lastRenderedPageBreak/>
        <w:t>accomplishment. Employees in higher education environments often face increasing demands arising from teaching and learning activities, administrative responsibilities, performance expectations, institutional transformation initiatives, and evolving stakeholder needs. These challenges are frequently compounded by heavy workloads, bureaucratic requirements, resource constraints, and limited organizational support.</w:t>
      </w:r>
    </w:p>
    <w:p w14:paraId="1C451247" w14:textId="7DBCF446" w:rsidR="00F855C6" w:rsidRPr="00F855C6" w:rsidRDefault="00F855C6" w:rsidP="00F855C6">
      <w:pPr>
        <w:spacing w:after="221" w:line="259" w:lineRule="auto"/>
        <w:ind w:right="0" w:firstLine="720"/>
        <w:rPr>
          <w:sz w:val="24"/>
          <w:szCs w:val="24"/>
        </w:rPr>
      </w:pPr>
      <w:r w:rsidRPr="00F855C6">
        <w:rPr>
          <w:sz w:val="24"/>
          <w:szCs w:val="24"/>
        </w:rPr>
        <w:t>Burnout not only affects individual well-being but also undermines institutional effectiveness by reducing job satisfaction, lowering productivity, diminishing work engagement, and increasing turnover intentions. Prolonged exposure to workplace stress may contribute to adverse mental health outcomes, including anxiety, depression, and chronic fatigue. Furthermore, the growing integration of digital technologies and the expectation of constant connectivity have blurred the boundaries between professional and personal life, making recovery from work-related stress increasingly difficult.</w:t>
      </w:r>
    </w:p>
    <w:p w14:paraId="12F18231" w14:textId="0A230D2C" w:rsidR="00C23D13" w:rsidRPr="00F855C6" w:rsidRDefault="00F855C6" w:rsidP="00F855C6">
      <w:pPr>
        <w:spacing w:after="221" w:line="259" w:lineRule="auto"/>
        <w:ind w:right="0" w:firstLine="720"/>
        <w:rPr>
          <w:sz w:val="24"/>
          <w:szCs w:val="24"/>
        </w:rPr>
      </w:pPr>
      <w:r w:rsidRPr="00F855C6">
        <w:rPr>
          <w:sz w:val="24"/>
          <w:szCs w:val="24"/>
        </w:rPr>
        <w:t>Given its implications for both employees and institutional sustainability, it is essential to investigate the causes, manifestations, and potential solutions to burnout within higher education settings. This paper examines the multifaceted nature of burnout in higher education institutions, identifies key organizational and individual factors contributing to its occurrence, and proposes strategies for mitigation. The findings aim to support the development of healthier, more sustainable work environments that enhance employee well-being, organizational performance, and the overall quality of higher education.</w:t>
      </w:r>
      <w:r w:rsidR="00321248" w:rsidRPr="00F855C6">
        <w:rPr>
          <w:sz w:val="24"/>
          <w:szCs w:val="24"/>
        </w:rPr>
        <w:t xml:space="preserve"> </w:t>
      </w:r>
    </w:p>
    <w:p w14:paraId="561C4B6B" w14:textId="08E47318" w:rsidR="00C23D13" w:rsidRPr="009E3D83" w:rsidRDefault="00321248">
      <w:pPr>
        <w:pStyle w:val="Heading2"/>
        <w:tabs>
          <w:tab w:val="center" w:pos="1451"/>
        </w:tabs>
        <w:ind w:left="-15" w:right="0" w:firstLine="0"/>
        <w:rPr>
          <w:sz w:val="28"/>
          <w:szCs w:val="28"/>
        </w:rPr>
      </w:pPr>
      <w:r w:rsidRPr="009E3D83">
        <w:rPr>
          <w:sz w:val="28"/>
          <w:szCs w:val="28"/>
        </w:rPr>
        <w:t xml:space="preserve">2 </w:t>
      </w:r>
      <w:r w:rsidRPr="009E3D83">
        <w:rPr>
          <w:sz w:val="28"/>
          <w:szCs w:val="28"/>
        </w:rPr>
        <w:tab/>
      </w:r>
      <w:r w:rsidR="00115A3D" w:rsidRPr="009E3D83">
        <w:rPr>
          <w:sz w:val="28"/>
          <w:szCs w:val="28"/>
        </w:rPr>
        <w:t>LITERATURE REVIEW</w:t>
      </w:r>
      <w:r w:rsidRPr="009E3D83">
        <w:rPr>
          <w:sz w:val="28"/>
          <w:szCs w:val="28"/>
        </w:rPr>
        <w:t xml:space="preserve"> </w:t>
      </w:r>
    </w:p>
    <w:p w14:paraId="1F8D970C" w14:textId="142F048B" w:rsidR="00115A3D" w:rsidRPr="00F855C6" w:rsidRDefault="00115A3D" w:rsidP="00115A3D">
      <w:pPr>
        <w:ind w:left="-15" w:right="0"/>
        <w:rPr>
          <w:sz w:val="24"/>
          <w:szCs w:val="24"/>
        </w:rPr>
      </w:pPr>
      <w:r w:rsidRPr="00F855C6">
        <w:rPr>
          <w:sz w:val="24"/>
          <w:szCs w:val="24"/>
        </w:rPr>
        <w:t>Burnout among academicians has been widely recognized as a pressing issue in higher education, characterized by emotional exhaustion, depersonalization (or cynicism), and a diminished sense of personal accomplishment. The phenomenon is often the result of prolonged exposure to academic stressors, including teaching, research, publication pressures, and administrative responsibilities</w:t>
      </w:r>
      <w:r w:rsidR="006F5FCB" w:rsidRPr="00F855C6">
        <w:rPr>
          <w:sz w:val="24"/>
          <w:szCs w:val="24"/>
        </w:rPr>
        <w:t xml:space="preserve"> </w:t>
      </w:r>
      <w:r w:rsidR="0079109A" w:rsidRPr="0079109A">
        <w:rPr>
          <w:sz w:val="24"/>
          <w:szCs w:val="24"/>
        </w:rPr>
        <w:t>(Ashipala et al., 2023; Lei et al., 2021)</w:t>
      </w:r>
      <w:r w:rsidRPr="00F855C6">
        <w:rPr>
          <w:sz w:val="24"/>
          <w:szCs w:val="24"/>
        </w:rPr>
        <w:t>. Research has highlighted that burnout is not only detrimental to individual well-being but also negatively impacts institutional performance and academic culture</w:t>
      </w:r>
      <w:r w:rsidR="006F5FCB" w:rsidRPr="00F855C6">
        <w:rPr>
          <w:sz w:val="24"/>
          <w:szCs w:val="24"/>
        </w:rPr>
        <w:t xml:space="preserve"> </w:t>
      </w:r>
      <w:r w:rsidR="0079109A" w:rsidRPr="0079109A">
        <w:rPr>
          <w:sz w:val="24"/>
          <w:szCs w:val="24"/>
        </w:rPr>
        <w:t>(Bibi Hamzah et al., 2024)</w:t>
      </w:r>
      <w:r w:rsidRPr="00F855C6">
        <w:rPr>
          <w:sz w:val="24"/>
          <w:szCs w:val="24"/>
        </w:rPr>
        <w:t>. The increasing attention to this issue underscores the need to understand the contributing factors and develop comprehensive strategies to address it.</w:t>
      </w:r>
    </w:p>
    <w:p w14:paraId="504F7EE5" w14:textId="77777777" w:rsidR="006F5FCB" w:rsidRPr="00F855C6" w:rsidRDefault="006F5FCB" w:rsidP="00115A3D">
      <w:pPr>
        <w:ind w:left="-15" w:right="0"/>
        <w:rPr>
          <w:sz w:val="24"/>
          <w:szCs w:val="24"/>
        </w:rPr>
      </w:pPr>
    </w:p>
    <w:p w14:paraId="12BCFE32" w14:textId="6FBC6E04" w:rsidR="00115A3D" w:rsidRPr="00F855C6" w:rsidRDefault="00115A3D" w:rsidP="00115A3D">
      <w:pPr>
        <w:ind w:left="-15" w:right="0"/>
        <w:rPr>
          <w:sz w:val="24"/>
          <w:szCs w:val="24"/>
        </w:rPr>
      </w:pPr>
      <w:r w:rsidRPr="00F855C6">
        <w:rPr>
          <w:sz w:val="24"/>
          <w:szCs w:val="24"/>
        </w:rPr>
        <w:t xml:space="preserve">Emotional intelligence (EQ) has emerged as a protective factor against burnout in academic settings. </w:t>
      </w:r>
      <w:r w:rsidR="0079109A" w:rsidRPr="0079109A">
        <w:rPr>
          <w:sz w:val="24"/>
          <w:szCs w:val="24"/>
        </w:rPr>
        <w:t>Mohamed et al., (2020)</w:t>
      </w:r>
      <w:r w:rsidRPr="00F855C6">
        <w:rPr>
          <w:sz w:val="24"/>
          <w:szCs w:val="24"/>
        </w:rPr>
        <w:t xml:space="preserve"> found that academicians with higher levels of emotional self-awareness and self-regulation were less likely to experience burnout symptoms. These emotional competencies enable individuals to recognize early signs of stress, regulate their responses, and maintain psychological resilience</w:t>
      </w:r>
      <w:r w:rsidR="00F67032" w:rsidRPr="00F855C6">
        <w:rPr>
          <w:sz w:val="24"/>
          <w:szCs w:val="24"/>
        </w:rPr>
        <w:t xml:space="preserve"> </w:t>
      </w:r>
      <w:r w:rsidR="0079109A" w:rsidRPr="0079109A">
        <w:rPr>
          <w:sz w:val="24"/>
          <w:szCs w:val="24"/>
        </w:rPr>
        <w:t>(O’connor et al., 2022)</w:t>
      </w:r>
      <w:r w:rsidRPr="00F855C6">
        <w:rPr>
          <w:sz w:val="24"/>
          <w:szCs w:val="24"/>
        </w:rPr>
        <w:t xml:space="preserve">. </w:t>
      </w:r>
      <w:r w:rsidR="00F67032" w:rsidRPr="00F855C6">
        <w:rPr>
          <w:sz w:val="24"/>
          <w:szCs w:val="24"/>
        </w:rPr>
        <w:t>The same study also highlighted the significance of emotional management training in providing staff with the necessary skills to handle workplace stress more effectively.</w:t>
      </w:r>
      <w:r w:rsidRPr="00F855C6">
        <w:rPr>
          <w:sz w:val="24"/>
          <w:szCs w:val="24"/>
        </w:rPr>
        <w:t xml:space="preserve"> This suggests that enhancing EQ could serve as a proactive approach to reducing burnout levels in academic environments.</w:t>
      </w:r>
    </w:p>
    <w:p w14:paraId="77707C35" w14:textId="77777777" w:rsidR="00115A3D" w:rsidRPr="00F855C6" w:rsidRDefault="00115A3D" w:rsidP="00115A3D">
      <w:pPr>
        <w:ind w:left="-15" w:right="0"/>
        <w:rPr>
          <w:sz w:val="24"/>
          <w:szCs w:val="24"/>
        </w:rPr>
      </w:pPr>
    </w:p>
    <w:p w14:paraId="36B347A8" w14:textId="72A600A3" w:rsidR="00C23D13" w:rsidRPr="00F855C6" w:rsidRDefault="00115A3D" w:rsidP="00115A3D">
      <w:pPr>
        <w:ind w:left="-15" w:right="0"/>
        <w:rPr>
          <w:sz w:val="24"/>
          <w:szCs w:val="24"/>
        </w:rPr>
      </w:pPr>
      <w:r w:rsidRPr="00F855C6">
        <w:rPr>
          <w:sz w:val="24"/>
          <w:szCs w:val="24"/>
        </w:rPr>
        <w:t>Another significant factor contributing to burnout is psychological distress, often exacerbated by low job satisfaction</w:t>
      </w:r>
      <w:r w:rsidR="006F5FCB" w:rsidRPr="00F855C6">
        <w:rPr>
          <w:sz w:val="24"/>
          <w:szCs w:val="24"/>
        </w:rPr>
        <w:t xml:space="preserve"> </w:t>
      </w:r>
      <w:r w:rsidR="0079109A" w:rsidRPr="0079109A">
        <w:rPr>
          <w:sz w:val="24"/>
        </w:rPr>
        <w:t>(Lin et al., 2025; Shin &amp; Jung, 2014)</w:t>
      </w:r>
      <w:r w:rsidRPr="00F855C6">
        <w:rPr>
          <w:sz w:val="24"/>
          <w:szCs w:val="24"/>
        </w:rPr>
        <w:t xml:space="preserve">. According to </w:t>
      </w:r>
      <w:r w:rsidR="0079109A" w:rsidRPr="0079109A">
        <w:rPr>
          <w:sz w:val="24"/>
        </w:rPr>
        <w:t>Mark &amp; Smith, (2012)</w:t>
      </w:r>
      <w:r w:rsidRPr="00F855C6">
        <w:rPr>
          <w:sz w:val="24"/>
          <w:szCs w:val="24"/>
        </w:rPr>
        <w:t>,</w:t>
      </w:r>
      <w:r w:rsidR="006F5FCB" w:rsidRPr="00F855C6">
        <w:rPr>
          <w:sz w:val="24"/>
          <w:szCs w:val="24"/>
        </w:rPr>
        <w:t xml:space="preserve"> </w:t>
      </w:r>
      <w:r w:rsidRPr="00F855C6">
        <w:rPr>
          <w:sz w:val="24"/>
          <w:szCs w:val="24"/>
        </w:rPr>
        <w:t xml:space="preserve">academicians report higher burnout rates compared to professionals in other fields, largely due to personal, work-related, and student-related stressors. Their findings indicate that psychological distress is closely linked to feelings of helplessness and dissatisfaction with one’s </w:t>
      </w:r>
      <w:r w:rsidRPr="00F855C6">
        <w:rPr>
          <w:sz w:val="24"/>
          <w:szCs w:val="24"/>
        </w:rPr>
        <w:lastRenderedPageBreak/>
        <w:t>role and environment, further intensifying burnout. The study highlights the need for universities to cultivate more supportive and psychologically safe work environments that prioritize the mental health of their academic staff.</w:t>
      </w:r>
      <w:r w:rsidR="00D43FEC">
        <w:rPr>
          <w:sz w:val="24"/>
          <w:szCs w:val="24"/>
        </w:rPr>
        <w:t xml:space="preserve"> </w:t>
      </w:r>
      <w:r w:rsidRPr="00F855C6">
        <w:rPr>
          <w:sz w:val="24"/>
          <w:szCs w:val="24"/>
        </w:rPr>
        <w:t xml:space="preserve">Workload and institutional demands also play a central role in shaping burnout experiences. </w:t>
      </w:r>
      <w:r w:rsidR="0079109A" w:rsidRPr="0079109A">
        <w:rPr>
          <w:sz w:val="24"/>
          <w:szCs w:val="24"/>
        </w:rPr>
        <w:t>Lei et al., (2021)</w:t>
      </w:r>
      <w:r w:rsidR="006F5FCB" w:rsidRPr="00F855C6">
        <w:rPr>
          <w:sz w:val="24"/>
          <w:szCs w:val="24"/>
        </w:rPr>
        <w:t xml:space="preserve"> </w:t>
      </w:r>
      <w:r w:rsidRPr="00F855C6">
        <w:rPr>
          <w:sz w:val="24"/>
          <w:szCs w:val="24"/>
        </w:rPr>
        <w:t>noted that the excessive burden of responsibilities</w:t>
      </w:r>
      <w:r w:rsidR="006F5FCB" w:rsidRPr="00F855C6">
        <w:rPr>
          <w:sz w:val="24"/>
          <w:szCs w:val="24"/>
        </w:rPr>
        <w:t xml:space="preserve">, </w:t>
      </w:r>
      <w:r w:rsidRPr="00F855C6">
        <w:rPr>
          <w:sz w:val="24"/>
          <w:szCs w:val="24"/>
        </w:rPr>
        <w:t>ranging from teaching loads to administrative tasks</w:t>
      </w:r>
      <w:r w:rsidR="006F5FCB" w:rsidRPr="00F855C6">
        <w:rPr>
          <w:sz w:val="24"/>
          <w:szCs w:val="24"/>
        </w:rPr>
        <w:t xml:space="preserve">, </w:t>
      </w:r>
      <w:r w:rsidRPr="00F855C6">
        <w:rPr>
          <w:sz w:val="24"/>
          <w:szCs w:val="24"/>
        </w:rPr>
        <w:t>leaves academicians feeling overwhelmed and emotionally drained. This often leads to disengagement from work and a decline in productivity. However, not all academicians respond to these pressures in the same way</w:t>
      </w:r>
      <w:r w:rsidR="00F67032" w:rsidRPr="00F855C6">
        <w:rPr>
          <w:sz w:val="24"/>
          <w:szCs w:val="24"/>
        </w:rPr>
        <w:t xml:space="preserve"> </w:t>
      </w:r>
      <w:r w:rsidR="0079109A" w:rsidRPr="0079109A">
        <w:rPr>
          <w:sz w:val="24"/>
          <w:szCs w:val="24"/>
        </w:rPr>
        <w:t>(Cox et al., 2018; Rusdi et al., 2023)</w:t>
      </w:r>
      <w:r w:rsidRPr="00F855C6">
        <w:rPr>
          <w:sz w:val="24"/>
          <w:szCs w:val="24"/>
        </w:rPr>
        <w:t>. Some demonstrate resilience and effective coping mechanisms that help them thrive under stress, suggesting the importance of personalized interventions. Tailoring burnout prevention strategies to individual needs and institutional contexts can lead to more sustainable outcomes</w:t>
      </w:r>
      <w:r w:rsidR="00F67032" w:rsidRPr="00F855C6">
        <w:rPr>
          <w:sz w:val="24"/>
          <w:szCs w:val="24"/>
        </w:rPr>
        <w:t xml:space="preserve"> </w:t>
      </w:r>
      <w:r w:rsidR="0079109A" w:rsidRPr="0079109A">
        <w:rPr>
          <w:sz w:val="24"/>
          <w:szCs w:val="24"/>
        </w:rPr>
        <w:t>(Koutsimani et al., 2019)</w:t>
      </w:r>
      <w:r w:rsidRPr="00F855C6">
        <w:rPr>
          <w:sz w:val="24"/>
          <w:szCs w:val="24"/>
        </w:rPr>
        <w:t>.</w:t>
      </w:r>
      <w:r w:rsidR="00321248" w:rsidRPr="00F855C6">
        <w:rPr>
          <w:sz w:val="24"/>
          <w:szCs w:val="24"/>
        </w:rPr>
        <w:t xml:space="preserve"> </w:t>
      </w:r>
    </w:p>
    <w:p w14:paraId="41796954" w14:textId="69CA980D" w:rsidR="00115A3D" w:rsidRPr="00F855C6" w:rsidRDefault="00115A3D" w:rsidP="00115A3D">
      <w:pPr>
        <w:ind w:left="-15" w:right="0"/>
        <w:rPr>
          <w:sz w:val="24"/>
          <w:szCs w:val="24"/>
        </w:rPr>
      </w:pPr>
    </w:p>
    <w:p w14:paraId="1C381114" w14:textId="0C94EDD7" w:rsidR="00115A3D" w:rsidRPr="00F855C6" w:rsidRDefault="00115A3D" w:rsidP="00115A3D">
      <w:pPr>
        <w:ind w:left="-15" w:right="0"/>
        <w:rPr>
          <w:sz w:val="24"/>
          <w:szCs w:val="24"/>
        </w:rPr>
      </w:pPr>
      <w:r w:rsidRPr="00F855C6">
        <w:rPr>
          <w:sz w:val="24"/>
          <w:szCs w:val="24"/>
        </w:rPr>
        <w:t>Gender differences in burnout experiences among academicians have also been a subject of academic inquiry. Several studies suggest that female academicians are more vulnerable to emotional exhaustion, one of the core components of burnout, due to the dual burden of professional and domestic responsibilities</w:t>
      </w:r>
      <w:r w:rsidR="00F67032" w:rsidRPr="00F855C6">
        <w:rPr>
          <w:sz w:val="24"/>
          <w:szCs w:val="24"/>
        </w:rPr>
        <w:t xml:space="preserve"> </w:t>
      </w:r>
      <w:r w:rsidR="0079109A" w:rsidRPr="0079109A">
        <w:rPr>
          <w:sz w:val="24"/>
        </w:rPr>
        <w:t>(Bezuidenhout &amp; Cilliers, 2011; Demirel &amp; Erdirençelebi, 2019; Seibt et al., 2013; Zou et al., 2016)</w:t>
      </w:r>
      <w:r w:rsidRPr="00F855C6">
        <w:rPr>
          <w:sz w:val="24"/>
          <w:szCs w:val="24"/>
        </w:rPr>
        <w:t xml:space="preserve">. </w:t>
      </w:r>
      <w:r w:rsidR="0079109A" w:rsidRPr="0079109A">
        <w:rPr>
          <w:sz w:val="24"/>
          <w:szCs w:val="24"/>
        </w:rPr>
        <w:t>Mohamed et al., (2020)</w:t>
      </w:r>
      <w:r w:rsidRPr="00F855C6">
        <w:rPr>
          <w:sz w:val="24"/>
          <w:szCs w:val="24"/>
        </w:rPr>
        <w:t xml:space="preserve"> observed that women in academia often experience higher levels of work-family conflict, which contributes to psychological strain and lower job satisfaction. In contrast, male academicians tend to report higher levels of depersonalization or detachment, possibly as a coping mechanism for managing stress. Furthermore, institutional expectations and cultural norms may shape how burnout manifests across genders. For instance, women are often under greater pressure to demonstrate competence and balance caregiving roles, which can intensify feelings of inadequacy and fatigue</w:t>
      </w:r>
      <w:r w:rsidR="00F67032" w:rsidRPr="00F855C6">
        <w:rPr>
          <w:sz w:val="24"/>
          <w:szCs w:val="24"/>
        </w:rPr>
        <w:t xml:space="preserve"> </w:t>
      </w:r>
      <w:r w:rsidR="0079109A" w:rsidRPr="0079109A">
        <w:rPr>
          <w:sz w:val="24"/>
          <w:szCs w:val="24"/>
        </w:rPr>
        <w:t>(Raduan et al., 2022)</w:t>
      </w:r>
      <w:r w:rsidRPr="00F855C6">
        <w:rPr>
          <w:sz w:val="24"/>
          <w:szCs w:val="24"/>
        </w:rPr>
        <w:t>. These findings underscore the importance of gender-sensitive policies and support systems that address the unique stressors faced by male and female academicians alike.</w:t>
      </w:r>
    </w:p>
    <w:p w14:paraId="26F104D9" w14:textId="77777777" w:rsidR="00A05142" w:rsidRPr="00F855C6" w:rsidRDefault="00A05142" w:rsidP="00115A3D">
      <w:pPr>
        <w:ind w:left="-15" w:right="0"/>
        <w:rPr>
          <w:sz w:val="24"/>
          <w:szCs w:val="24"/>
        </w:rPr>
      </w:pPr>
    </w:p>
    <w:p w14:paraId="110ACEDB" w14:textId="2EAD9F26" w:rsidR="00A05142" w:rsidRPr="00F855C6" w:rsidRDefault="00A05142" w:rsidP="00115A3D">
      <w:pPr>
        <w:ind w:left="-15" w:right="0"/>
        <w:rPr>
          <w:sz w:val="24"/>
          <w:szCs w:val="24"/>
        </w:rPr>
      </w:pPr>
      <w:r w:rsidRPr="00F855C6">
        <w:rPr>
          <w:sz w:val="24"/>
          <w:szCs w:val="24"/>
        </w:rPr>
        <w:t>In summary, the literature underscores that burnout among academicians is a multifaceted issue influenced by emotional intelligence, psychological distress, workload, institutional factors, and gender differences. While some individuals demonstrate resilience and adaptability, many struggle with the persistent demands of academic life, leading to adverse outcomes for both personal well-being and institutional effectiveness. The variation in burnout experiences, especially across gender lines, highlights the need for tailored interventions and supportive workplace policies. A comprehensive understanding of these contributing factors is essential for developing effective strategies to prevent and mitigate burnout, ultimately fostering a healthier and more sustainable academic environment.</w:t>
      </w:r>
    </w:p>
    <w:p w14:paraId="27191536" w14:textId="77777777" w:rsidR="00A05142" w:rsidRPr="00F855C6" w:rsidRDefault="00321248" w:rsidP="00A05142">
      <w:pPr>
        <w:spacing w:after="0" w:line="259" w:lineRule="auto"/>
        <w:ind w:left="566" w:right="0" w:firstLine="0"/>
        <w:jc w:val="left"/>
        <w:rPr>
          <w:sz w:val="24"/>
          <w:szCs w:val="24"/>
        </w:rPr>
      </w:pPr>
      <w:r w:rsidRPr="00F855C6">
        <w:rPr>
          <w:sz w:val="24"/>
          <w:szCs w:val="24"/>
        </w:rPr>
        <w:t xml:space="preserve"> </w:t>
      </w:r>
    </w:p>
    <w:p w14:paraId="75B62DD8" w14:textId="77777777" w:rsidR="00A05142" w:rsidRPr="009E3D83" w:rsidRDefault="00A05142" w:rsidP="009E3D83">
      <w:pPr>
        <w:pStyle w:val="Heading2"/>
        <w:tabs>
          <w:tab w:val="center" w:pos="1451"/>
        </w:tabs>
        <w:ind w:left="-15" w:right="0" w:firstLine="0"/>
        <w:rPr>
          <w:sz w:val="28"/>
          <w:szCs w:val="28"/>
        </w:rPr>
      </w:pPr>
      <w:r w:rsidRPr="009E3D83">
        <w:rPr>
          <w:sz w:val="28"/>
          <w:szCs w:val="28"/>
        </w:rPr>
        <w:t>3   METHODOLOGY</w:t>
      </w:r>
    </w:p>
    <w:p w14:paraId="344B39A5" w14:textId="77777777" w:rsidR="00A05142" w:rsidRPr="00F855C6" w:rsidRDefault="00A05142" w:rsidP="00A05142">
      <w:pPr>
        <w:spacing w:after="0" w:line="259" w:lineRule="auto"/>
        <w:ind w:right="0" w:firstLine="0"/>
        <w:jc w:val="left"/>
        <w:rPr>
          <w:b/>
          <w:sz w:val="24"/>
          <w:szCs w:val="24"/>
        </w:rPr>
      </w:pPr>
    </w:p>
    <w:p w14:paraId="173D3161" w14:textId="087B53E0" w:rsidR="00A05142" w:rsidRPr="00F855C6" w:rsidRDefault="0034313B" w:rsidP="003B69F9">
      <w:pPr>
        <w:spacing w:after="0" w:line="259" w:lineRule="auto"/>
        <w:ind w:right="0" w:firstLine="720"/>
        <w:rPr>
          <w:sz w:val="24"/>
          <w:szCs w:val="24"/>
        </w:rPr>
      </w:pPr>
      <w:r w:rsidRPr="00F855C6">
        <w:rPr>
          <w:sz w:val="24"/>
          <w:szCs w:val="24"/>
        </w:rPr>
        <w:t>This study employed a quantitative research methodology to examine the prevalence and determinants of burnout among academic personnel at KPTM. A systematic, self-administered questionnaire was disseminated to 731 lecturers across seven campuses: UPTM and KPTM Bangi (central), KPTM Ipoh and Alor Setar (north), KPTM Batu Pahat (south), and KPTM Kuantan and Kota Bharu (east coast). Of the 731 distributed questionnaires, 729 valid replies were obtained, for a response rate of 99.7%.</w:t>
      </w:r>
      <w:r w:rsidR="00D43FEC">
        <w:rPr>
          <w:sz w:val="24"/>
          <w:szCs w:val="24"/>
        </w:rPr>
        <w:t xml:space="preserve"> </w:t>
      </w:r>
      <w:r w:rsidRPr="00F855C6">
        <w:rPr>
          <w:sz w:val="24"/>
          <w:szCs w:val="24"/>
        </w:rPr>
        <w:t>A census methodology was employed, focusing on all active instructional personnel at KPTM. Lecturers on extended leave, those on academic or medical leave, and those no longer engaged in teaching (e.g., shifted to administrative positions) were omitted. This guaranteed that only individuals actively involved in teaching were incorporated into the study.</w:t>
      </w:r>
    </w:p>
    <w:p w14:paraId="77334859" w14:textId="77777777" w:rsidR="0034313B" w:rsidRPr="00F855C6" w:rsidRDefault="0034313B" w:rsidP="0034313B">
      <w:pPr>
        <w:spacing w:after="0" w:line="259" w:lineRule="auto"/>
        <w:ind w:right="0" w:firstLine="0"/>
        <w:rPr>
          <w:sz w:val="24"/>
          <w:szCs w:val="24"/>
        </w:rPr>
      </w:pPr>
    </w:p>
    <w:p w14:paraId="64708697" w14:textId="77777777" w:rsidR="0034313B" w:rsidRPr="00F855C6" w:rsidRDefault="0034313B" w:rsidP="003B69F9">
      <w:pPr>
        <w:spacing w:after="0" w:line="259" w:lineRule="auto"/>
        <w:ind w:right="0" w:firstLine="720"/>
        <w:rPr>
          <w:sz w:val="24"/>
          <w:szCs w:val="24"/>
        </w:rPr>
      </w:pPr>
      <w:r w:rsidRPr="00F855C6">
        <w:rPr>
          <w:sz w:val="24"/>
          <w:szCs w:val="24"/>
        </w:rPr>
        <w:t>The questionnaire comprised six sections: demographics, personality, job suitability, self-exhaustion, work exhaustion, and contributing factors.  The Maslach Burnout Inventory (MBI) assessed burnout levels, focusing on emotional exhaustion, depersonalization, and personal accomplishment, utilizing a 5-point Likert scale.  A brief 3-item version of the MBI for Self-Exhaustion (MBI:SE), validated by Leiter and Shaughnessy, was employed to evaluate emotional exhaustion.  A score of 3.2 or above signifies significant emotional exhaustion.</w:t>
      </w:r>
    </w:p>
    <w:p w14:paraId="4BE82A0B" w14:textId="77777777" w:rsidR="0034313B" w:rsidRPr="00F855C6" w:rsidRDefault="0034313B" w:rsidP="0034313B">
      <w:pPr>
        <w:spacing w:after="0" w:line="259" w:lineRule="auto"/>
        <w:ind w:right="0" w:firstLine="0"/>
        <w:rPr>
          <w:sz w:val="24"/>
          <w:szCs w:val="24"/>
        </w:rPr>
      </w:pPr>
    </w:p>
    <w:p w14:paraId="1392DE2F" w14:textId="70CA667A" w:rsidR="00A05142" w:rsidRPr="00F855C6" w:rsidRDefault="0034313B" w:rsidP="0034313B">
      <w:pPr>
        <w:spacing w:after="0" w:line="259" w:lineRule="auto"/>
        <w:ind w:right="0" w:firstLine="0"/>
        <w:rPr>
          <w:sz w:val="24"/>
          <w:szCs w:val="24"/>
        </w:rPr>
      </w:pPr>
      <w:r w:rsidRPr="00F855C6">
        <w:rPr>
          <w:sz w:val="24"/>
          <w:szCs w:val="24"/>
        </w:rPr>
        <w:t xml:space="preserve"> </w:t>
      </w:r>
      <w:r w:rsidR="003B69F9" w:rsidRPr="00F855C6">
        <w:rPr>
          <w:sz w:val="24"/>
          <w:szCs w:val="24"/>
        </w:rPr>
        <w:tab/>
      </w:r>
      <w:r w:rsidRPr="00F855C6">
        <w:rPr>
          <w:sz w:val="24"/>
          <w:szCs w:val="24"/>
        </w:rPr>
        <w:t xml:space="preserve">A pilot study involving 14 academicians and </w:t>
      </w:r>
      <w:r w:rsidR="00E93475" w:rsidRPr="00F855C6">
        <w:rPr>
          <w:sz w:val="24"/>
          <w:szCs w:val="24"/>
        </w:rPr>
        <w:t>counsellors</w:t>
      </w:r>
      <w:r w:rsidRPr="00F855C6">
        <w:rPr>
          <w:sz w:val="24"/>
          <w:szCs w:val="24"/>
        </w:rPr>
        <w:t xml:space="preserve"> was conducted prior to the main data collection to assess the clarity and reliability of the questionnaire.  Feedback resulted in enhancements to both structure and wording.  The final questionnaire demonstrated high reliability, evidenced by a Cronbach’s alpha of 0.89.  The pilot study data were excluded from the primary analysis.</w:t>
      </w:r>
      <w:r w:rsidR="00D43FEC">
        <w:rPr>
          <w:sz w:val="24"/>
          <w:szCs w:val="24"/>
        </w:rPr>
        <w:t xml:space="preserve"> </w:t>
      </w:r>
      <w:r w:rsidRPr="00F855C6">
        <w:rPr>
          <w:sz w:val="24"/>
          <w:szCs w:val="24"/>
        </w:rPr>
        <w:t xml:space="preserve">Data analysis was conducted utilizing SPSS Version 27.  Descriptive statistics were employed to summarize frequencies, percentages, means, and standard deviations.  Inferential statistics, such as chi-square tests and t-tests, were employed to examine the relationships among variables.    </w:t>
      </w:r>
    </w:p>
    <w:p w14:paraId="135ECDDB" w14:textId="1D3E70A6" w:rsidR="0034313B" w:rsidRPr="00F855C6" w:rsidRDefault="0034313B" w:rsidP="0034313B">
      <w:pPr>
        <w:spacing w:after="0" w:line="259" w:lineRule="auto"/>
        <w:ind w:left="566" w:right="0" w:firstLine="0"/>
        <w:jc w:val="left"/>
        <w:rPr>
          <w:sz w:val="24"/>
          <w:szCs w:val="24"/>
        </w:rPr>
      </w:pPr>
    </w:p>
    <w:p w14:paraId="3A4F687D" w14:textId="13684AE5" w:rsidR="003B69F9" w:rsidRPr="00F855C6" w:rsidRDefault="003B69F9" w:rsidP="0034313B">
      <w:pPr>
        <w:spacing w:after="0" w:line="259" w:lineRule="auto"/>
        <w:ind w:left="566" w:right="0" w:firstLine="0"/>
        <w:jc w:val="left"/>
        <w:rPr>
          <w:sz w:val="24"/>
          <w:szCs w:val="24"/>
        </w:rPr>
      </w:pPr>
    </w:p>
    <w:p w14:paraId="68FAACE9" w14:textId="2C0564BF" w:rsidR="003B69F9" w:rsidRPr="009E3D83" w:rsidRDefault="003B69F9" w:rsidP="009E3D83">
      <w:pPr>
        <w:pStyle w:val="Heading2"/>
        <w:tabs>
          <w:tab w:val="center" w:pos="1451"/>
        </w:tabs>
        <w:ind w:left="-15" w:right="0" w:firstLine="0"/>
        <w:rPr>
          <w:sz w:val="28"/>
          <w:szCs w:val="28"/>
        </w:rPr>
      </w:pPr>
      <w:bookmarkStart w:id="0" w:name="_Hlk196910747"/>
      <w:r w:rsidRPr="009E3D83">
        <w:rPr>
          <w:sz w:val="28"/>
          <w:szCs w:val="28"/>
        </w:rPr>
        <w:t>4   RESULTS &amp; ANALYSIS</w:t>
      </w:r>
    </w:p>
    <w:bookmarkEnd w:id="0"/>
    <w:p w14:paraId="65F6B34C" w14:textId="4449687D" w:rsidR="00FF6C6D" w:rsidRPr="00F855C6" w:rsidRDefault="00FF6C6D" w:rsidP="003B69F9">
      <w:pPr>
        <w:spacing w:after="0" w:line="259" w:lineRule="auto"/>
        <w:ind w:right="0" w:firstLine="0"/>
        <w:jc w:val="left"/>
        <w:rPr>
          <w:b/>
          <w:sz w:val="24"/>
          <w:szCs w:val="24"/>
        </w:rPr>
      </w:pPr>
    </w:p>
    <w:p w14:paraId="5ED75DF3" w14:textId="0CF54554" w:rsidR="0087492E" w:rsidRPr="00F855C6" w:rsidRDefault="0000424D" w:rsidP="0087492E">
      <w:pPr>
        <w:spacing w:after="0" w:line="259" w:lineRule="auto"/>
        <w:ind w:right="0" w:firstLine="0"/>
        <w:rPr>
          <w:sz w:val="24"/>
          <w:szCs w:val="24"/>
        </w:rPr>
      </w:pPr>
      <w:r w:rsidRPr="00F855C6">
        <w:rPr>
          <w:bCs/>
          <w:sz w:val="24"/>
          <w:szCs w:val="24"/>
        </w:rPr>
        <w:t>A total of 729 academic staff from various KPTM campuses participated in the study. The average age of respondents was 37.5 years (SD = 8.16). The majority of participants were between the ages of 36 and 45 years (50.1%), followed by those aged 26–35 years (27.3%), and 15.4% were in the 46–55 age group. Only a small proportion were aged 21–25 years (4.7%) or above 55 years (2.6%) (refer to Table 1).</w:t>
      </w:r>
      <w:r w:rsidR="00D43FEC">
        <w:rPr>
          <w:bCs/>
          <w:sz w:val="24"/>
          <w:szCs w:val="24"/>
        </w:rPr>
        <w:t xml:space="preserve"> </w:t>
      </w:r>
      <w:r w:rsidR="0087492E" w:rsidRPr="00F855C6">
        <w:rPr>
          <w:sz w:val="24"/>
          <w:szCs w:val="24"/>
        </w:rPr>
        <w:t>Table 1 shows the sociodemographic characteristics of the respondents, including age, gender, years of teaching experience, employment status, and involvement in administrative or rotational roles.</w:t>
      </w:r>
    </w:p>
    <w:p w14:paraId="7CE10059" w14:textId="77777777" w:rsidR="0087492E" w:rsidRPr="00F855C6" w:rsidRDefault="0087492E" w:rsidP="0000424D">
      <w:pPr>
        <w:spacing w:after="0" w:line="259" w:lineRule="auto"/>
        <w:ind w:right="0" w:firstLine="0"/>
        <w:rPr>
          <w:b/>
          <w:sz w:val="24"/>
          <w:szCs w:val="24"/>
        </w:rPr>
      </w:pPr>
    </w:p>
    <w:p w14:paraId="6EB5CE9C" w14:textId="6247EC5F" w:rsidR="003B69F9" w:rsidRPr="00F855C6" w:rsidRDefault="0087492E" w:rsidP="0087492E">
      <w:pPr>
        <w:spacing w:after="0" w:line="360" w:lineRule="auto"/>
        <w:ind w:right="0" w:firstLine="0"/>
        <w:jc w:val="center"/>
        <w:rPr>
          <w:b/>
          <w:sz w:val="24"/>
          <w:szCs w:val="24"/>
        </w:rPr>
      </w:pPr>
      <w:r w:rsidRPr="00F855C6">
        <w:rPr>
          <w:b/>
          <w:sz w:val="24"/>
          <w:szCs w:val="24"/>
        </w:rPr>
        <w:t xml:space="preserve">Table 1: </w:t>
      </w:r>
      <w:r w:rsidR="00E93475" w:rsidRPr="00F855C6">
        <w:rPr>
          <w:b/>
          <w:sz w:val="24"/>
          <w:szCs w:val="24"/>
        </w:rPr>
        <w:t>Sociodemographic</w:t>
      </w:r>
      <w:r w:rsidRPr="00F855C6">
        <w:rPr>
          <w:b/>
          <w:sz w:val="24"/>
          <w:szCs w:val="24"/>
        </w:rPr>
        <w:t xml:space="preserve"> of the academics who participated in the study (n=729)</w:t>
      </w:r>
    </w:p>
    <w:tbl>
      <w:tblPr>
        <w:tblW w:w="0" w:type="auto"/>
        <w:jc w:val="center"/>
        <w:tblLayout w:type="fixed"/>
        <w:tblLook w:val="04A0" w:firstRow="1" w:lastRow="0" w:firstColumn="1" w:lastColumn="0" w:noHBand="0" w:noVBand="1"/>
      </w:tblPr>
      <w:tblGrid>
        <w:gridCol w:w="1842"/>
        <w:gridCol w:w="1844"/>
        <w:gridCol w:w="1559"/>
        <w:gridCol w:w="1963"/>
      </w:tblGrid>
      <w:tr w:rsidR="0000424D" w:rsidRPr="00CD7A08" w14:paraId="68E7AA99" w14:textId="77777777" w:rsidTr="00CD7A08">
        <w:trPr>
          <w:jc w:val="center"/>
        </w:trPr>
        <w:tc>
          <w:tcPr>
            <w:tcW w:w="3686" w:type="dxa"/>
            <w:gridSpan w:val="2"/>
            <w:tcBorders>
              <w:top w:val="single" w:sz="4" w:space="0" w:color="auto"/>
              <w:bottom w:val="single" w:sz="4" w:space="0" w:color="auto"/>
            </w:tcBorders>
            <w:shd w:val="clear" w:color="auto" w:fill="auto"/>
          </w:tcPr>
          <w:p w14:paraId="15ED73C4" w14:textId="77777777" w:rsidR="0000424D" w:rsidRPr="00CD7A08" w:rsidRDefault="0000424D" w:rsidP="00CD7A08">
            <w:pPr>
              <w:pStyle w:val="Pa7"/>
              <w:jc w:val="center"/>
              <w:rPr>
                <w:rFonts w:ascii="Times New Roman" w:hAnsi="Times New Roman"/>
                <w:b/>
                <w:bCs/>
                <w:color w:val="000000"/>
              </w:rPr>
            </w:pPr>
            <w:r w:rsidRPr="00CD7A08">
              <w:rPr>
                <w:rFonts w:ascii="Times New Roman" w:hAnsi="Times New Roman"/>
                <w:b/>
                <w:bCs/>
              </w:rPr>
              <w:t>Sociodemographic Characteristics</w:t>
            </w:r>
          </w:p>
        </w:tc>
        <w:tc>
          <w:tcPr>
            <w:tcW w:w="1559" w:type="dxa"/>
            <w:tcBorders>
              <w:top w:val="single" w:sz="4" w:space="0" w:color="auto"/>
              <w:bottom w:val="single" w:sz="4" w:space="0" w:color="auto"/>
            </w:tcBorders>
            <w:shd w:val="clear" w:color="auto" w:fill="auto"/>
          </w:tcPr>
          <w:p w14:paraId="517EDB2E" w14:textId="77777777" w:rsidR="0000424D" w:rsidRPr="00CD7A08" w:rsidRDefault="0000424D" w:rsidP="00CD7A08">
            <w:pPr>
              <w:ind w:firstLine="0"/>
              <w:jc w:val="center"/>
              <w:rPr>
                <w:b/>
                <w:bCs/>
                <w:sz w:val="24"/>
                <w:szCs w:val="24"/>
                <w:lang w:eastAsia="en-US"/>
              </w:rPr>
            </w:pPr>
            <w:r w:rsidRPr="00CD7A08">
              <w:rPr>
                <w:b/>
                <w:bCs/>
                <w:sz w:val="24"/>
                <w:szCs w:val="24"/>
                <w:lang w:eastAsia="en-US"/>
              </w:rPr>
              <w:t>Mean (SD)</w:t>
            </w:r>
          </w:p>
        </w:tc>
        <w:tc>
          <w:tcPr>
            <w:tcW w:w="1963" w:type="dxa"/>
            <w:tcBorders>
              <w:top w:val="single" w:sz="4" w:space="0" w:color="auto"/>
              <w:bottom w:val="single" w:sz="4" w:space="0" w:color="auto"/>
            </w:tcBorders>
            <w:shd w:val="clear" w:color="auto" w:fill="auto"/>
          </w:tcPr>
          <w:p w14:paraId="0AAB4E4E" w14:textId="77777777" w:rsidR="0000424D" w:rsidRPr="00CD7A08" w:rsidRDefault="0000424D" w:rsidP="00CD7A08">
            <w:pPr>
              <w:jc w:val="center"/>
              <w:rPr>
                <w:b/>
                <w:bCs/>
                <w:sz w:val="24"/>
                <w:szCs w:val="24"/>
                <w:lang w:eastAsia="en-US"/>
              </w:rPr>
            </w:pPr>
            <w:r w:rsidRPr="00CD7A08">
              <w:rPr>
                <w:b/>
                <w:bCs/>
                <w:sz w:val="24"/>
                <w:szCs w:val="24"/>
                <w:lang w:eastAsia="en-US"/>
              </w:rPr>
              <w:t>n (%)</w:t>
            </w:r>
          </w:p>
        </w:tc>
      </w:tr>
      <w:tr w:rsidR="00D43FEC" w:rsidRPr="00CD7A08" w14:paraId="5AA0AC8F" w14:textId="77777777" w:rsidTr="00CD7A08">
        <w:trPr>
          <w:jc w:val="center"/>
        </w:trPr>
        <w:tc>
          <w:tcPr>
            <w:tcW w:w="1842" w:type="dxa"/>
            <w:tcBorders>
              <w:top w:val="single" w:sz="4" w:space="0" w:color="auto"/>
            </w:tcBorders>
            <w:shd w:val="clear" w:color="auto" w:fill="auto"/>
          </w:tcPr>
          <w:p w14:paraId="1A88AC7D" w14:textId="77777777" w:rsidR="0000424D" w:rsidRPr="00CD7A08" w:rsidRDefault="0000424D" w:rsidP="00CD7A08">
            <w:pPr>
              <w:spacing w:before="240"/>
              <w:ind w:firstLine="30"/>
              <w:rPr>
                <w:sz w:val="24"/>
                <w:szCs w:val="24"/>
                <w:lang w:eastAsia="en-US"/>
              </w:rPr>
            </w:pPr>
            <w:r w:rsidRPr="00CD7A08">
              <w:rPr>
                <w:sz w:val="24"/>
                <w:szCs w:val="24"/>
                <w:lang w:eastAsia="en-US"/>
              </w:rPr>
              <w:t>Age (years)</w:t>
            </w:r>
          </w:p>
        </w:tc>
        <w:tc>
          <w:tcPr>
            <w:tcW w:w="1844" w:type="dxa"/>
            <w:tcBorders>
              <w:top w:val="single" w:sz="4" w:space="0" w:color="auto"/>
            </w:tcBorders>
            <w:shd w:val="clear" w:color="auto" w:fill="auto"/>
          </w:tcPr>
          <w:p w14:paraId="084E0963" w14:textId="77777777" w:rsidR="0000424D" w:rsidRPr="00CD7A08" w:rsidRDefault="0000424D" w:rsidP="00B338C5">
            <w:pPr>
              <w:rPr>
                <w:sz w:val="24"/>
                <w:szCs w:val="24"/>
                <w:lang w:eastAsia="en-US"/>
              </w:rPr>
            </w:pPr>
          </w:p>
        </w:tc>
        <w:tc>
          <w:tcPr>
            <w:tcW w:w="1559" w:type="dxa"/>
            <w:tcBorders>
              <w:top w:val="single" w:sz="4" w:space="0" w:color="auto"/>
            </w:tcBorders>
            <w:shd w:val="clear" w:color="auto" w:fill="auto"/>
          </w:tcPr>
          <w:p w14:paraId="34CAC381" w14:textId="77777777" w:rsidR="0000424D" w:rsidRPr="00CD7A08" w:rsidRDefault="0000424D" w:rsidP="00CD7A08">
            <w:pPr>
              <w:spacing w:before="240"/>
              <w:ind w:firstLine="0"/>
              <w:jc w:val="center"/>
              <w:rPr>
                <w:sz w:val="24"/>
                <w:szCs w:val="24"/>
                <w:lang w:eastAsia="en-US"/>
              </w:rPr>
            </w:pPr>
            <w:r w:rsidRPr="00CD7A08">
              <w:rPr>
                <w:sz w:val="24"/>
                <w:szCs w:val="24"/>
                <w:lang w:eastAsia="en-US"/>
              </w:rPr>
              <w:t>37.5 (8.16)</w:t>
            </w:r>
          </w:p>
        </w:tc>
        <w:tc>
          <w:tcPr>
            <w:tcW w:w="1963" w:type="dxa"/>
            <w:tcBorders>
              <w:top w:val="single" w:sz="4" w:space="0" w:color="auto"/>
            </w:tcBorders>
            <w:shd w:val="clear" w:color="auto" w:fill="auto"/>
          </w:tcPr>
          <w:p w14:paraId="61BAE99A" w14:textId="77777777" w:rsidR="0000424D" w:rsidRPr="00CD7A08" w:rsidRDefault="0000424D" w:rsidP="00CD7A08">
            <w:pPr>
              <w:jc w:val="center"/>
              <w:rPr>
                <w:sz w:val="24"/>
                <w:szCs w:val="24"/>
                <w:lang w:eastAsia="en-US"/>
              </w:rPr>
            </w:pPr>
          </w:p>
        </w:tc>
      </w:tr>
      <w:tr w:rsidR="00D43FEC" w:rsidRPr="00CD7A08" w14:paraId="46D75CE7" w14:textId="77777777" w:rsidTr="00CD7A08">
        <w:trPr>
          <w:jc w:val="center"/>
        </w:trPr>
        <w:tc>
          <w:tcPr>
            <w:tcW w:w="1842" w:type="dxa"/>
            <w:shd w:val="clear" w:color="auto" w:fill="auto"/>
          </w:tcPr>
          <w:p w14:paraId="6108CE34" w14:textId="77777777" w:rsidR="0000424D" w:rsidRPr="00CD7A08" w:rsidRDefault="0000424D" w:rsidP="00CD7A08">
            <w:pPr>
              <w:ind w:firstLine="30"/>
              <w:rPr>
                <w:sz w:val="24"/>
                <w:szCs w:val="24"/>
                <w:lang w:eastAsia="en-US"/>
              </w:rPr>
            </w:pPr>
          </w:p>
        </w:tc>
        <w:tc>
          <w:tcPr>
            <w:tcW w:w="1844" w:type="dxa"/>
            <w:shd w:val="clear" w:color="auto" w:fill="auto"/>
          </w:tcPr>
          <w:p w14:paraId="29DB7C14" w14:textId="77777777" w:rsidR="0000424D" w:rsidRPr="00CD7A08" w:rsidRDefault="0000424D" w:rsidP="00CD7A08">
            <w:pPr>
              <w:ind w:firstLine="0"/>
              <w:rPr>
                <w:sz w:val="24"/>
                <w:szCs w:val="24"/>
                <w:lang w:eastAsia="en-US"/>
              </w:rPr>
            </w:pPr>
            <w:r w:rsidRPr="00CD7A08">
              <w:rPr>
                <w:sz w:val="24"/>
                <w:szCs w:val="24"/>
                <w:lang w:eastAsia="en-US"/>
              </w:rPr>
              <w:t>21-25</w:t>
            </w:r>
          </w:p>
        </w:tc>
        <w:tc>
          <w:tcPr>
            <w:tcW w:w="1559" w:type="dxa"/>
            <w:shd w:val="clear" w:color="auto" w:fill="auto"/>
          </w:tcPr>
          <w:p w14:paraId="6433E747" w14:textId="77777777" w:rsidR="0000424D" w:rsidRPr="00CD7A08" w:rsidRDefault="0000424D" w:rsidP="00CD7A08">
            <w:pPr>
              <w:jc w:val="center"/>
              <w:rPr>
                <w:sz w:val="24"/>
                <w:szCs w:val="24"/>
                <w:lang w:eastAsia="en-US"/>
              </w:rPr>
            </w:pPr>
          </w:p>
        </w:tc>
        <w:tc>
          <w:tcPr>
            <w:tcW w:w="1963" w:type="dxa"/>
            <w:shd w:val="clear" w:color="auto" w:fill="auto"/>
          </w:tcPr>
          <w:p w14:paraId="363C6ABB" w14:textId="77777777" w:rsidR="0000424D" w:rsidRPr="00CD7A08" w:rsidRDefault="0000424D" w:rsidP="00CD7A08">
            <w:pPr>
              <w:ind w:firstLine="0"/>
              <w:jc w:val="center"/>
              <w:rPr>
                <w:sz w:val="24"/>
                <w:szCs w:val="24"/>
                <w:lang w:eastAsia="en-US"/>
              </w:rPr>
            </w:pPr>
            <w:r w:rsidRPr="00CD7A08">
              <w:rPr>
                <w:sz w:val="24"/>
                <w:szCs w:val="24"/>
                <w:lang w:eastAsia="en-US"/>
              </w:rPr>
              <w:t>34 (4.7)</w:t>
            </w:r>
          </w:p>
        </w:tc>
      </w:tr>
      <w:tr w:rsidR="00D43FEC" w:rsidRPr="00CD7A08" w14:paraId="772BE463" w14:textId="77777777" w:rsidTr="00CD7A08">
        <w:trPr>
          <w:jc w:val="center"/>
        </w:trPr>
        <w:tc>
          <w:tcPr>
            <w:tcW w:w="1842" w:type="dxa"/>
            <w:shd w:val="clear" w:color="auto" w:fill="auto"/>
          </w:tcPr>
          <w:p w14:paraId="4F13E302" w14:textId="77777777" w:rsidR="0000424D" w:rsidRPr="00CD7A08" w:rsidRDefault="0000424D" w:rsidP="00CD7A08">
            <w:pPr>
              <w:ind w:firstLine="30"/>
              <w:rPr>
                <w:sz w:val="24"/>
                <w:szCs w:val="24"/>
                <w:lang w:eastAsia="en-US"/>
              </w:rPr>
            </w:pPr>
          </w:p>
        </w:tc>
        <w:tc>
          <w:tcPr>
            <w:tcW w:w="1844" w:type="dxa"/>
            <w:shd w:val="clear" w:color="auto" w:fill="auto"/>
          </w:tcPr>
          <w:p w14:paraId="48F89C71" w14:textId="77777777" w:rsidR="0000424D" w:rsidRPr="00CD7A08" w:rsidRDefault="0000424D" w:rsidP="00CD7A08">
            <w:pPr>
              <w:ind w:firstLine="0"/>
              <w:rPr>
                <w:sz w:val="24"/>
                <w:szCs w:val="24"/>
                <w:lang w:eastAsia="en-US"/>
              </w:rPr>
            </w:pPr>
            <w:r w:rsidRPr="00CD7A08">
              <w:rPr>
                <w:sz w:val="24"/>
                <w:szCs w:val="24"/>
                <w:lang w:eastAsia="en-US"/>
              </w:rPr>
              <w:t>26-35</w:t>
            </w:r>
          </w:p>
        </w:tc>
        <w:tc>
          <w:tcPr>
            <w:tcW w:w="1559" w:type="dxa"/>
            <w:shd w:val="clear" w:color="auto" w:fill="auto"/>
          </w:tcPr>
          <w:p w14:paraId="0496774B" w14:textId="77777777" w:rsidR="0000424D" w:rsidRPr="00CD7A08" w:rsidRDefault="0000424D" w:rsidP="00CD7A08">
            <w:pPr>
              <w:jc w:val="center"/>
              <w:rPr>
                <w:sz w:val="24"/>
                <w:szCs w:val="24"/>
                <w:lang w:eastAsia="en-US"/>
              </w:rPr>
            </w:pPr>
          </w:p>
        </w:tc>
        <w:tc>
          <w:tcPr>
            <w:tcW w:w="1963" w:type="dxa"/>
            <w:shd w:val="clear" w:color="auto" w:fill="auto"/>
          </w:tcPr>
          <w:p w14:paraId="1B6B1C5D" w14:textId="77777777" w:rsidR="0000424D" w:rsidRPr="00CD7A08" w:rsidRDefault="0000424D" w:rsidP="00CD7A08">
            <w:pPr>
              <w:ind w:firstLine="0"/>
              <w:jc w:val="center"/>
              <w:rPr>
                <w:sz w:val="24"/>
                <w:szCs w:val="24"/>
                <w:lang w:eastAsia="en-US"/>
              </w:rPr>
            </w:pPr>
            <w:r w:rsidRPr="00CD7A08">
              <w:rPr>
                <w:sz w:val="24"/>
                <w:szCs w:val="24"/>
                <w:lang w:eastAsia="en-US"/>
              </w:rPr>
              <w:t>199 (27.3)</w:t>
            </w:r>
          </w:p>
        </w:tc>
      </w:tr>
      <w:tr w:rsidR="00D43FEC" w:rsidRPr="00CD7A08" w14:paraId="004FBDBA" w14:textId="77777777" w:rsidTr="00CD7A08">
        <w:trPr>
          <w:jc w:val="center"/>
        </w:trPr>
        <w:tc>
          <w:tcPr>
            <w:tcW w:w="1842" w:type="dxa"/>
            <w:shd w:val="clear" w:color="auto" w:fill="auto"/>
          </w:tcPr>
          <w:p w14:paraId="69E5AA8A" w14:textId="77777777" w:rsidR="0000424D" w:rsidRPr="00CD7A08" w:rsidRDefault="0000424D" w:rsidP="00CD7A08">
            <w:pPr>
              <w:ind w:firstLine="30"/>
              <w:rPr>
                <w:sz w:val="24"/>
                <w:szCs w:val="24"/>
                <w:lang w:eastAsia="en-US"/>
              </w:rPr>
            </w:pPr>
          </w:p>
        </w:tc>
        <w:tc>
          <w:tcPr>
            <w:tcW w:w="1844" w:type="dxa"/>
            <w:shd w:val="clear" w:color="auto" w:fill="auto"/>
          </w:tcPr>
          <w:p w14:paraId="2ACC64A6" w14:textId="77777777" w:rsidR="0000424D" w:rsidRPr="00CD7A08" w:rsidRDefault="0000424D" w:rsidP="00CD7A08">
            <w:pPr>
              <w:ind w:firstLine="0"/>
              <w:rPr>
                <w:sz w:val="24"/>
                <w:szCs w:val="24"/>
                <w:lang w:eastAsia="en-US"/>
              </w:rPr>
            </w:pPr>
            <w:r w:rsidRPr="00CD7A08">
              <w:rPr>
                <w:sz w:val="24"/>
                <w:szCs w:val="24"/>
                <w:lang w:eastAsia="en-US"/>
              </w:rPr>
              <w:t>36-45</w:t>
            </w:r>
          </w:p>
        </w:tc>
        <w:tc>
          <w:tcPr>
            <w:tcW w:w="1559" w:type="dxa"/>
            <w:shd w:val="clear" w:color="auto" w:fill="auto"/>
          </w:tcPr>
          <w:p w14:paraId="7E3DF916" w14:textId="77777777" w:rsidR="0000424D" w:rsidRPr="00CD7A08" w:rsidRDefault="0000424D" w:rsidP="00CD7A08">
            <w:pPr>
              <w:jc w:val="center"/>
              <w:rPr>
                <w:sz w:val="24"/>
                <w:szCs w:val="24"/>
                <w:lang w:eastAsia="en-US"/>
              </w:rPr>
            </w:pPr>
          </w:p>
        </w:tc>
        <w:tc>
          <w:tcPr>
            <w:tcW w:w="1963" w:type="dxa"/>
            <w:shd w:val="clear" w:color="auto" w:fill="auto"/>
          </w:tcPr>
          <w:p w14:paraId="2A89B775" w14:textId="77777777" w:rsidR="0000424D" w:rsidRPr="00CD7A08" w:rsidRDefault="0000424D" w:rsidP="00CD7A08">
            <w:pPr>
              <w:ind w:firstLine="0"/>
              <w:jc w:val="center"/>
              <w:rPr>
                <w:sz w:val="24"/>
                <w:szCs w:val="24"/>
                <w:lang w:eastAsia="en-US"/>
              </w:rPr>
            </w:pPr>
            <w:r w:rsidRPr="00CD7A08">
              <w:rPr>
                <w:sz w:val="24"/>
                <w:szCs w:val="24"/>
                <w:lang w:eastAsia="en-US"/>
              </w:rPr>
              <w:t>365 (50.1)</w:t>
            </w:r>
          </w:p>
        </w:tc>
      </w:tr>
      <w:tr w:rsidR="00D43FEC" w:rsidRPr="00CD7A08" w14:paraId="5854BD75" w14:textId="77777777" w:rsidTr="00CD7A08">
        <w:trPr>
          <w:jc w:val="center"/>
        </w:trPr>
        <w:tc>
          <w:tcPr>
            <w:tcW w:w="1842" w:type="dxa"/>
            <w:shd w:val="clear" w:color="auto" w:fill="auto"/>
          </w:tcPr>
          <w:p w14:paraId="0E2E4138" w14:textId="77777777" w:rsidR="0000424D" w:rsidRPr="00CD7A08" w:rsidRDefault="0000424D" w:rsidP="00CD7A08">
            <w:pPr>
              <w:ind w:firstLine="30"/>
              <w:rPr>
                <w:sz w:val="24"/>
                <w:szCs w:val="24"/>
                <w:lang w:eastAsia="en-US"/>
              </w:rPr>
            </w:pPr>
          </w:p>
        </w:tc>
        <w:tc>
          <w:tcPr>
            <w:tcW w:w="1844" w:type="dxa"/>
            <w:shd w:val="clear" w:color="auto" w:fill="auto"/>
          </w:tcPr>
          <w:p w14:paraId="1F88C11D" w14:textId="77777777" w:rsidR="0000424D" w:rsidRPr="00CD7A08" w:rsidRDefault="0000424D" w:rsidP="00CD7A08">
            <w:pPr>
              <w:ind w:firstLine="0"/>
              <w:rPr>
                <w:sz w:val="24"/>
                <w:szCs w:val="24"/>
                <w:lang w:eastAsia="en-US"/>
              </w:rPr>
            </w:pPr>
            <w:r w:rsidRPr="00CD7A08">
              <w:rPr>
                <w:sz w:val="24"/>
                <w:szCs w:val="24"/>
                <w:lang w:eastAsia="en-US"/>
              </w:rPr>
              <w:t>46-55</w:t>
            </w:r>
          </w:p>
        </w:tc>
        <w:tc>
          <w:tcPr>
            <w:tcW w:w="1559" w:type="dxa"/>
            <w:shd w:val="clear" w:color="auto" w:fill="auto"/>
          </w:tcPr>
          <w:p w14:paraId="5C65271E" w14:textId="77777777" w:rsidR="0000424D" w:rsidRPr="00CD7A08" w:rsidRDefault="0000424D" w:rsidP="00CD7A08">
            <w:pPr>
              <w:jc w:val="center"/>
              <w:rPr>
                <w:sz w:val="24"/>
                <w:szCs w:val="24"/>
                <w:lang w:eastAsia="en-US"/>
              </w:rPr>
            </w:pPr>
          </w:p>
        </w:tc>
        <w:tc>
          <w:tcPr>
            <w:tcW w:w="1963" w:type="dxa"/>
            <w:shd w:val="clear" w:color="auto" w:fill="auto"/>
          </w:tcPr>
          <w:p w14:paraId="2F9A950C" w14:textId="77777777" w:rsidR="0000424D" w:rsidRPr="00CD7A08" w:rsidRDefault="0000424D" w:rsidP="00CD7A08">
            <w:pPr>
              <w:ind w:firstLine="0"/>
              <w:jc w:val="center"/>
              <w:rPr>
                <w:sz w:val="24"/>
                <w:szCs w:val="24"/>
                <w:lang w:eastAsia="en-US"/>
              </w:rPr>
            </w:pPr>
            <w:r w:rsidRPr="00CD7A08">
              <w:rPr>
                <w:sz w:val="24"/>
                <w:szCs w:val="24"/>
                <w:lang w:eastAsia="en-US"/>
              </w:rPr>
              <w:t>112 (15.4)</w:t>
            </w:r>
          </w:p>
        </w:tc>
      </w:tr>
      <w:tr w:rsidR="00D43FEC" w:rsidRPr="00CD7A08" w14:paraId="79DDD961" w14:textId="77777777" w:rsidTr="00CD7A08">
        <w:trPr>
          <w:jc w:val="center"/>
        </w:trPr>
        <w:tc>
          <w:tcPr>
            <w:tcW w:w="1842" w:type="dxa"/>
            <w:tcBorders>
              <w:bottom w:val="single" w:sz="4" w:space="0" w:color="auto"/>
            </w:tcBorders>
            <w:shd w:val="clear" w:color="auto" w:fill="auto"/>
          </w:tcPr>
          <w:p w14:paraId="45F51203" w14:textId="77777777" w:rsidR="0000424D" w:rsidRPr="00CD7A08" w:rsidRDefault="0000424D" w:rsidP="00CD7A08">
            <w:pPr>
              <w:ind w:firstLine="30"/>
              <w:rPr>
                <w:sz w:val="24"/>
                <w:szCs w:val="24"/>
                <w:lang w:eastAsia="en-US"/>
              </w:rPr>
            </w:pPr>
          </w:p>
        </w:tc>
        <w:tc>
          <w:tcPr>
            <w:tcW w:w="1844" w:type="dxa"/>
            <w:tcBorders>
              <w:bottom w:val="single" w:sz="4" w:space="0" w:color="auto"/>
            </w:tcBorders>
            <w:shd w:val="clear" w:color="auto" w:fill="auto"/>
          </w:tcPr>
          <w:p w14:paraId="65C0D521" w14:textId="77777777" w:rsidR="0000424D" w:rsidRPr="00CD7A08" w:rsidRDefault="0000424D" w:rsidP="00CD7A08">
            <w:pPr>
              <w:ind w:firstLine="0"/>
              <w:rPr>
                <w:sz w:val="24"/>
                <w:szCs w:val="24"/>
                <w:lang w:eastAsia="en-US"/>
              </w:rPr>
            </w:pPr>
            <w:r w:rsidRPr="00CD7A08">
              <w:rPr>
                <w:sz w:val="24"/>
                <w:szCs w:val="24"/>
                <w:lang w:eastAsia="en-US"/>
              </w:rPr>
              <w:t>56 and older</w:t>
            </w:r>
          </w:p>
        </w:tc>
        <w:tc>
          <w:tcPr>
            <w:tcW w:w="1559" w:type="dxa"/>
            <w:tcBorders>
              <w:bottom w:val="single" w:sz="4" w:space="0" w:color="auto"/>
            </w:tcBorders>
            <w:shd w:val="clear" w:color="auto" w:fill="auto"/>
          </w:tcPr>
          <w:p w14:paraId="31BD3D3D" w14:textId="77777777" w:rsidR="0000424D" w:rsidRPr="00CD7A08" w:rsidRDefault="0000424D" w:rsidP="00CD7A08">
            <w:pPr>
              <w:jc w:val="center"/>
              <w:rPr>
                <w:sz w:val="24"/>
                <w:szCs w:val="24"/>
                <w:lang w:eastAsia="en-US"/>
              </w:rPr>
            </w:pPr>
          </w:p>
        </w:tc>
        <w:tc>
          <w:tcPr>
            <w:tcW w:w="1963" w:type="dxa"/>
            <w:tcBorders>
              <w:bottom w:val="single" w:sz="4" w:space="0" w:color="auto"/>
            </w:tcBorders>
            <w:shd w:val="clear" w:color="auto" w:fill="auto"/>
          </w:tcPr>
          <w:p w14:paraId="43E3165D" w14:textId="77777777" w:rsidR="0000424D" w:rsidRPr="00CD7A08" w:rsidRDefault="0000424D" w:rsidP="00CD7A08">
            <w:pPr>
              <w:ind w:firstLine="0"/>
              <w:jc w:val="center"/>
              <w:rPr>
                <w:sz w:val="24"/>
                <w:szCs w:val="24"/>
                <w:lang w:eastAsia="en-US"/>
              </w:rPr>
            </w:pPr>
            <w:r w:rsidRPr="00CD7A08">
              <w:rPr>
                <w:sz w:val="24"/>
                <w:szCs w:val="24"/>
                <w:lang w:eastAsia="en-US"/>
              </w:rPr>
              <w:t>19 (2.6)</w:t>
            </w:r>
          </w:p>
        </w:tc>
      </w:tr>
      <w:tr w:rsidR="00D43FEC" w:rsidRPr="00CD7A08" w14:paraId="66FF8528" w14:textId="77777777" w:rsidTr="00CD7A08">
        <w:trPr>
          <w:jc w:val="center"/>
        </w:trPr>
        <w:tc>
          <w:tcPr>
            <w:tcW w:w="1842" w:type="dxa"/>
            <w:tcBorders>
              <w:top w:val="single" w:sz="4" w:space="0" w:color="auto"/>
            </w:tcBorders>
            <w:shd w:val="clear" w:color="auto" w:fill="auto"/>
          </w:tcPr>
          <w:p w14:paraId="4EE95825" w14:textId="77777777" w:rsidR="0000424D" w:rsidRPr="00CD7A08" w:rsidRDefault="0000424D" w:rsidP="00CD7A08">
            <w:pPr>
              <w:ind w:firstLine="30"/>
              <w:rPr>
                <w:sz w:val="24"/>
                <w:szCs w:val="24"/>
                <w:lang w:eastAsia="en-US"/>
              </w:rPr>
            </w:pPr>
            <w:r w:rsidRPr="00CD7A08">
              <w:rPr>
                <w:sz w:val="24"/>
                <w:szCs w:val="24"/>
                <w:lang w:eastAsia="en-US"/>
              </w:rPr>
              <w:t>Gender</w:t>
            </w:r>
          </w:p>
        </w:tc>
        <w:tc>
          <w:tcPr>
            <w:tcW w:w="1844" w:type="dxa"/>
            <w:tcBorders>
              <w:top w:val="single" w:sz="4" w:space="0" w:color="auto"/>
            </w:tcBorders>
            <w:shd w:val="clear" w:color="auto" w:fill="auto"/>
          </w:tcPr>
          <w:p w14:paraId="68E771A9" w14:textId="77777777" w:rsidR="0000424D" w:rsidRPr="00CD7A08" w:rsidRDefault="0000424D" w:rsidP="00CD7A08">
            <w:pPr>
              <w:ind w:firstLine="0"/>
              <w:rPr>
                <w:sz w:val="24"/>
                <w:szCs w:val="24"/>
                <w:lang w:eastAsia="en-US"/>
              </w:rPr>
            </w:pPr>
          </w:p>
        </w:tc>
        <w:tc>
          <w:tcPr>
            <w:tcW w:w="1559" w:type="dxa"/>
            <w:tcBorders>
              <w:top w:val="single" w:sz="4" w:space="0" w:color="auto"/>
            </w:tcBorders>
            <w:shd w:val="clear" w:color="auto" w:fill="auto"/>
          </w:tcPr>
          <w:p w14:paraId="120041A8" w14:textId="77777777" w:rsidR="0000424D" w:rsidRPr="00CD7A08" w:rsidRDefault="0000424D" w:rsidP="00CD7A08">
            <w:pPr>
              <w:jc w:val="center"/>
              <w:rPr>
                <w:sz w:val="24"/>
                <w:szCs w:val="24"/>
                <w:lang w:eastAsia="en-US"/>
              </w:rPr>
            </w:pPr>
          </w:p>
        </w:tc>
        <w:tc>
          <w:tcPr>
            <w:tcW w:w="1963" w:type="dxa"/>
            <w:tcBorders>
              <w:top w:val="single" w:sz="4" w:space="0" w:color="auto"/>
            </w:tcBorders>
            <w:shd w:val="clear" w:color="auto" w:fill="auto"/>
          </w:tcPr>
          <w:p w14:paraId="2EE374AB" w14:textId="77777777" w:rsidR="0000424D" w:rsidRPr="00CD7A08" w:rsidRDefault="0000424D" w:rsidP="00CD7A08">
            <w:pPr>
              <w:ind w:firstLine="0"/>
              <w:jc w:val="center"/>
              <w:rPr>
                <w:sz w:val="24"/>
                <w:szCs w:val="24"/>
                <w:lang w:eastAsia="en-US"/>
              </w:rPr>
            </w:pPr>
          </w:p>
        </w:tc>
      </w:tr>
      <w:tr w:rsidR="00D43FEC" w:rsidRPr="00CD7A08" w14:paraId="038D0B60" w14:textId="77777777" w:rsidTr="00CD7A08">
        <w:trPr>
          <w:jc w:val="center"/>
        </w:trPr>
        <w:tc>
          <w:tcPr>
            <w:tcW w:w="1842" w:type="dxa"/>
            <w:shd w:val="clear" w:color="auto" w:fill="auto"/>
          </w:tcPr>
          <w:p w14:paraId="73A442D8" w14:textId="77777777" w:rsidR="0000424D" w:rsidRPr="00CD7A08" w:rsidRDefault="0000424D" w:rsidP="00CD7A08">
            <w:pPr>
              <w:ind w:firstLine="30"/>
              <w:rPr>
                <w:sz w:val="24"/>
                <w:szCs w:val="24"/>
                <w:lang w:eastAsia="en-US"/>
              </w:rPr>
            </w:pPr>
          </w:p>
        </w:tc>
        <w:tc>
          <w:tcPr>
            <w:tcW w:w="1844" w:type="dxa"/>
            <w:shd w:val="clear" w:color="auto" w:fill="auto"/>
          </w:tcPr>
          <w:p w14:paraId="7FA54736" w14:textId="77777777" w:rsidR="0000424D" w:rsidRPr="00CD7A08" w:rsidRDefault="0000424D" w:rsidP="00CD7A08">
            <w:pPr>
              <w:ind w:firstLine="0"/>
              <w:rPr>
                <w:sz w:val="24"/>
                <w:szCs w:val="24"/>
                <w:lang w:eastAsia="en-US"/>
              </w:rPr>
            </w:pPr>
            <w:r w:rsidRPr="00CD7A08">
              <w:rPr>
                <w:sz w:val="24"/>
                <w:szCs w:val="24"/>
                <w:lang w:eastAsia="en-US"/>
              </w:rPr>
              <w:t>Female</w:t>
            </w:r>
          </w:p>
        </w:tc>
        <w:tc>
          <w:tcPr>
            <w:tcW w:w="1559" w:type="dxa"/>
            <w:shd w:val="clear" w:color="auto" w:fill="auto"/>
          </w:tcPr>
          <w:p w14:paraId="02A9CE71" w14:textId="77777777" w:rsidR="0000424D" w:rsidRPr="00CD7A08" w:rsidRDefault="0000424D" w:rsidP="00CD7A08">
            <w:pPr>
              <w:jc w:val="center"/>
              <w:rPr>
                <w:sz w:val="24"/>
                <w:szCs w:val="24"/>
                <w:lang w:eastAsia="en-US"/>
              </w:rPr>
            </w:pPr>
          </w:p>
        </w:tc>
        <w:tc>
          <w:tcPr>
            <w:tcW w:w="1963" w:type="dxa"/>
            <w:shd w:val="clear" w:color="auto" w:fill="auto"/>
          </w:tcPr>
          <w:p w14:paraId="47618736" w14:textId="77777777" w:rsidR="0000424D" w:rsidRPr="00CD7A08" w:rsidRDefault="0000424D" w:rsidP="00CD7A08">
            <w:pPr>
              <w:ind w:firstLine="0"/>
              <w:jc w:val="center"/>
              <w:rPr>
                <w:sz w:val="24"/>
                <w:szCs w:val="24"/>
                <w:lang w:eastAsia="en-US"/>
              </w:rPr>
            </w:pPr>
            <w:r w:rsidRPr="00CD7A08">
              <w:rPr>
                <w:sz w:val="24"/>
                <w:szCs w:val="24"/>
                <w:lang w:eastAsia="en-US"/>
              </w:rPr>
              <w:t>559 (76.7)</w:t>
            </w:r>
          </w:p>
        </w:tc>
      </w:tr>
      <w:tr w:rsidR="00D43FEC" w:rsidRPr="00CD7A08" w14:paraId="372DE20F" w14:textId="77777777" w:rsidTr="00CD7A08">
        <w:trPr>
          <w:jc w:val="center"/>
        </w:trPr>
        <w:tc>
          <w:tcPr>
            <w:tcW w:w="1842" w:type="dxa"/>
            <w:tcBorders>
              <w:bottom w:val="single" w:sz="4" w:space="0" w:color="auto"/>
            </w:tcBorders>
            <w:shd w:val="clear" w:color="auto" w:fill="auto"/>
          </w:tcPr>
          <w:p w14:paraId="54FA0371" w14:textId="77777777" w:rsidR="0000424D" w:rsidRPr="00CD7A08" w:rsidRDefault="0000424D" w:rsidP="00B338C5">
            <w:pPr>
              <w:rPr>
                <w:sz w:val="24"/>
                <w:szCs w:val="24"/>
                <w:lang w:eastAsia="en-US"/>
              </w:rPr>
            </w:pPr>
          </w:p>
        </w:tc>
        <w:tc>
          <w:tcPr>
            <w:tcW w:w="1844" w:type="dxa"/>
            <w:tcBorders>
              <w:bottom w:val="single" w:sz="4" w:space="0" w:color="auto"/>
            </w:tcBorders>
            <w:shd w:val="clear" w:color="auto" w:fill="auto"/>
          </w:tcPr>
          <w:p w14:paraId="1662EE47" w14:textId="77777777" w:rsidR="0000424D" w:rsidRPr="00CD7A08" w:rsidRDefault="0000424D" w:rsidP="00CD7A08">
            <w:pPr>
              <w:ind w:firstLine="0"/>
              <w:rPr>
                <w:sz w:val="24"/>
                <w:szCs w:val="24"/>
                <w:lang w:eastAsia="en-US"/>
              </w:rPr>
            </w:pPr>
            <w:r w:rsidRPr="00CD7A08">
              <w:rPr>
                <w:sz w:val="24"/>
                <w:szCs w:val="24"/>
                <w:lang w:eastAsia="en-US"/>
              </w:rPr>
              <w:t>Male</w:t>
            </w:r>
          </w:p>
        </w:tc>
        <w:tc>
          <w:tcPr>
            <w:tcW w:w="1559" w:type="dxa"/>
            <w:tcBorders>
              <w:bottom w:val="single" w:sz="4" w:space="0" w:color="auto"/>
            </w:tcBorders>
            <w:shd w:val="clear" w:color="auto" w:fill="auto"/>
          </w:tcPr>
          <w:p w14:paraId="6C5BE6AB" w14:textId="77777777" w:rsidR="0000424D" w:rsidRPr="00CD7A08" w:rsidRDefault="0000424D" w:rsidP="00CD7A08">
            <w:pPr>
              <w:jc w:val="center"/>
              <w:rPr>
                <w:sz w:val="24"/>
                <w:szCs w:val="24"/>
                <w:lang w:eastAsia="en-US"/>
              </w:rPr>
            </w:pPr>
          </w:p>
        </w:tc>
        <w:tc>
          <w:tcPr>
            <w:tcW w:w="1963" w:type="dxa"/>
            <w:tcBorders>
              <w:bottom w:val="single" w:sz="4" w:space="0" w:color="auto"/>
            </w:tcBorders>
            <w:shd w:val="clear" w:color="auto" w:fill="auto"/>
          </w:tcPr>
          <w:p w14:paraId="1CAD15E6" w14:textId="77777777" w:rsidR="0000424D" w:rsidRPr="00CD7A08" w:rsidRDefault="0000424D" w:rsidP="00CD7A08">
            <w:pPr>
              <w:ind w:firstLine="0"/>
              <w:jc w:val="center"/>
              <w:rPr>
                <w:sz w:val="24"/>
                <w:szCs w:val="24"/>
                <w:lang w:eastAsia="en-US"/>
              </w:rPr>
            </w:pPr>
            <w:r w:rsidRPr="00CD7A08">
              <w:rPr>
                <w:sz w:val="24"/>
                <w:szCs w:val="24"/>
                <w:lang w:eastAsia="en-US"/>
              </w:rPr>
              <w:t>170 (23.3)</w:t>
            </w:r>
          </w:p>
        </w:tc>
      </w:tr>
      <w:tr w:rsidR="0000424D" w:rsidRPr="00CD7A08" w14:paraId="7B894FA8" w14:textId="77777777" w:rsidTr="00CD7A08">
        <w:trPr>
          <w:jc w:val="center"/>
        </w:trPr>
        <w:tc>
          <w:tcPr>
            <w:tcW w:w="3686" w:type="dxa"/>
            <w:gridSpan w:val="2"/>
            <w:tcBorders>
              <w:top w:val="single" w:sz="4" w:space="0" w:color="auto"/>
            </w:tcBorders>
            <w:shd w:val="clear" w:color="auto" w:fill="auto"/>
          </w:tcPr>
          <w:p w14:paraId="76463A8E" w14:textId="77777777" w:rsidR="0000424D" w:rsidRPr="00CD7A08" w:rsidRDefault="0000424D" w:rsidP="00CD7A08">
            <w:pPr>
              <w:ind w:firstLine="30"/>
              <w:rPr>
                <w:sz w:val="24"/>
                <w:szCs w:val="24"/>
                <w:lang w:eastAsia="en-US"/>
              </w:rPr>
            </w:pPr>
            <w:r w:rsidRPr="00CD7A08">
              <w:rPr>
                <w:sz w:val="24"/>
                <w:szCs w:val="24"/>
                <w:lang w:eastAsia="en-US"/>
              </w:rPr>
              <w:t>Experience (years)</w:t>
            </w:r>
          </w:p>
        </w:tc>
        <w:tc>
          <w:tcPr>
            <w:tcW w:w="1559" w:type="dxa"/>
            <w:tcBorders>
              <w:top w:val="single" w:sz="4" w:space="0" w:color="auto"/>
            </w:tcBorders>
            <w:shd w:val="clear" w:color="auto" w:fill="auto"/>
          </w:tcPr>
          <w:p w14:paraId="7F414302" w14:textId="77777777" w:rsidR="0000424D" w:rsidRPr="00CD7A08" w:rsidRDefault="0000424D" w:rsidP="00CD7A08">
            <w:pPr>
              <w:jc w:val="center"/>
              <w:rPr>
                <w:sz w:val="24"/>
                <w:szCs w:val="24"/>
                <w:lang w:eastAsia="en-US"/>
              </w:rPr>
            </w:pPr>
          </w:p>
        </w:tc>
        <w:tc>
          <w:tcPr>
            <w:tcW w:w="1963" w:type="dxa"/>
            <w:tcBorders>
              <w:top w:val="single" w:sz="4" w:space="0" w:color="auto"/>
            </w:tcBorders>
            <w:shd w:val="clear" w:color="auto" w:fill="auto"/>
          </w:tcPr>
          <w:p w14:paraId="05B49373" w14:textId="77777777" w:rsidR="0000424D" w:rsidRPr="00CD7A08" w:rsidRDefault="0000424D" w:rsidP="00CD7A08">
            <w:pPr>
              <w:ind w:firstLine="0"/>
              <w:jc w:val="center"/>
              <w:rPr>
                <w:sz w:val="24"/>
                <w:szCs w:val="24"/>
                <w:lang w:eastAsia="en-US"/>
              </w:rPr>
            </w:pPr>
          </w:p>
        </w:tc>
      </w:tr>
      <w:tr w:rsidR="00D43FEC" w:rsidRPr="00CD7A08" w14:paraId="5B7DEB8F" w14:textId="77777777" w:rsidTr="00CD7A08">
        <w:trPr>
          <w:jc w:val="center"/>
        </w:trPr>
        <w:tc>
          <w:tcPr>
            <w:tcW w:w="1842" w:type="dxa"/>
            <w:shd w:val="clear" w:color="auto" w:fill="auto"/>
          </w:tcPr>
          <w:p w14:paraId="5DC1D8AA" w14:textId="77777777" w:rsidR="0000424D" w:rsidRPr="00CD7A08" w:rsidRDefault="0000424D" w:rsidP="00CD7A08">
            <w:pPr>
              <w:ind w:firstLine="30"/>
              <w:rPr>
                <w:sz w:val="24"/>
                <w:szCs w:val="24"/>
                <w:lang w:eastAsia="en-US"/>
              </w:rPr>
            </w:pPr>
          </w:p>
        </w:tc>
        <w:tc>
          <w:tcPr>
            <w:tcW w:w="1844" w:type="dxa"/>
            <w:shd w:val="clear" w:color="auto" w:fill="auto"/>
          </w:tcPr>
          <w:p w14:paraId="70A1DCAE" w14:textId="77777777" w:rsidR="0000424D" w:rsidRPr="00CD7A08" w:rsidRDefault="0000424D" w:rsidP="00CD7A08">
            <w:pPr>
              <w:ind w:firstLine="30"/>
              <w:rPr>
                <w:sz w:val="24"/>
                <w:szCs w:val="24"/>
                <w:lang w:eastAsia="en-US"/>
              </w:rPr>
            </w:pPr>
            <w:r w:rsidRPr="00CD7A08">
              <w:rPr>
                <w:sz w:val="24"/>
                <w:szCs w:val="24"/>
                <w:lang w:eastAsia="en-US"/>
              </w:rPr>
              <w:t xml:space="preserve">&lt; 5 </w:t>
            </w:r>
          </w:p>
        </w:tc>
        <w:tc>
          <w:tcPr>
            <w:tcW w:w="1559" w:type="dxa"/>
            <w:shd w:val="clear" w:color="auto" w:fill="auto"/>
          </w:tcPr>
          <w:p w14:paraId="0C9BE0C5" w14:textId="77777777" w:rsidR="0000424D" w:rsidRPr="00CD7A08" w:rsidRDefault="0000424D" w:rsidP="00CD7A08">
            <w:pPr>
              <w:jc w:val="center"/>
              <w:rPr>
                <w:sz w:val="24"/>
                <w:szCs w:val="24"/>
                <w:lang w:eastAsia="en-US"/>
              </w:rPr>
            </w:pPr>
          </w:p>
        </w:tc>
        <w:tc>
          <w:tcPr>
            <w:tcW w:w="1963" w:type="dxa"/>
            <w:shd w:val="clear" w:color="auto" w:fill="auto"/>
          </w:tcPr>
          <w:p w14:paraId="530AAC39" w14:textId="77777777" w:rsidR="0000424D" w:rsidRPr="00CD7A08" w:rsidRDefault="0000424D" w:rsidP="00CD7A08">
            <w:pPr>
              <w:ind w:firstLine="0"/>
              <w:jc w:val="center"/>
              <w:rPr>
                <w:sz w:val="24"/>
                <w:szCs w:val="24"/>
                <w:lang w:eastAsia="en-US"/>
              </w:rPr>
            </w:pPr>
            <w:r w:rsidRPr="00CD7A08">
              <w:rPr>
                <w:sz w:val="24"/>
                <w:szCs w:val="24"/>
                <w:lang w:eastAsia="en-US"/>
              </w:rPr>
              <w:t>232 (31.8)</w:t>
            </w:r>
          </w:p>
        </w:tc>
      </w:tr>
      <w:tr w:rsidR="00D43FEC" w:rsidRPr="00CD7A08" w14:paraId="3FAC1203" w14:textId="77777777" w:rsidTr="00CD7A08">
        <w:trPr>
          <w:jc w:val="center"/>
        </w:trPr>
        <w:tc>
          <w:tcPr>
            <w:tcW w:w="1842" w:type="dxa"/>
            <w:shd w:val="clear" w:color="auto" w:fill="auto"/>
          </w:tcPr>
          <w:p w14:paraId="08C2B986" w14:textId="77777777" w:rsidR="0000424D" w:rsidRPr="00CD7A08" w:rsidRDefault="0000424D" w:rsidP="00CD7A08">
            <w:pPr>
              <w:ind w:firstLine="30"/>
              <w:rPr>
                <w:sz w:val="24"/>
                <w:szCs w:val="24"/>
                <w:lang w:eastAsia="en-US"/>
              </w:rPr>
            </w:pPr>
          </w:p>
        </w:tc>
        <w:tc>
          <w:tcPr>
            <w:tcW w:w="1844" w:type="dxa"/>
            <w:shd w:val="clear" w:color="auto" w:fill="auto"/>
          </w:tcPr>
          <w:p w14:paraId="315404B9" w14:textId="77777777" w:rsidR="0000424D" w:rsidRPr="00CD7A08" w:rsidRDefault="0000424D" w:rsidP="00CD7A08">
            <w:pPr>
              <w:ind w:firstLine="30"/>
              <w:rPr>
                <w:sz w:val="24"/>
                <w:szCs w:val="24"/>
                <w:lang w:eastAsia="en-US"/>
              </w:rPr>
            </w:pPr>
            <w:r w:rsidRPr="00CD7A08">
              <w:rPr>
                <w:sz w:val="24"/>
                <w:szCs w:val="24"/>
                <w:lang w:eastAsia="en-US"/>
              </w:rPr>
              <w:t>5-10</w:t>
            </w:r>
          </w:p>
        </w:tc>
        <w:tc>
          <w:tcPr>
            <w:tcW w:w="1559" w:type="dxa"/>
            <w:shd w:val="clear" w:color="auto" w:fill="auto"/>
          </w:tcPr>
          <w:p w14:paraId="7F460C23" w14:textId="77777777" w:rsidR="0000424D" w:rsidRPr="00CD7A08" w:rsidRDefault="0000424D" w:rsidP="00CD7A08">
            <w:pPr>
              <w:ind w:firstLine="39"/>
              <w:jc w:val="center"/>
              <w:rPr>
                <w:sz w:val="24"/>
                <w:szCs w:val="24"/>
                <w:lang w:eastAsia="en-US"/>
              </w:rPr>
            </w:pPr>
          </w:p>
        </w:tc>
        <w:tc>
          <w:tcPr>
            <w:tcW w:w="1963" w:type="dxa"/>
            <w:shd w:val="clear" w:color="auto" w:fill="auto"/>
          </w:tcPr>
          <w:p w14:paraId="3D4CA03D" w14:textId="77777777" w:rsidR="0000424D" w:rsidRPr="00CD7A08" w:rsidRDefault="0000424D" w:rsidP="00CD7A08">
            <w:pPr>
              <w:ind w:firstLine="0"/>
              <w:jc w:val="center"/>
              <w:rPr>
                <w:sz w:val="24"/>
                <w:szCs w:val="24"/>
                <w:lang w:eastAsia="en-US"/>
              </w:rPr>
            </w:pPr>
            <w:r w:rsidRPr="00CD7A08">
              <w:rPr>
                <w:sz w:val="24"/>
                <w:szCs w:val="24"/>
                <w:lang w:eastAsia="en-US"/>
              </w:rPr>
              <w:t>107 (14.7)</w:t>
            </w:r>
          </w:p>
        </w:tc>
      </w:tr>
      <w:tr w:rsidR="00D43FEC" w:rsidRPr="00CD7A08" w14:paraId="59D1E9F9" w14:textId="77777777" w:rsidTr="00CD7A08">
        <w:trPr>
          <w:jc w:val="center"/>
        </w:trPr>
        <w:tc>
          <w:tcPr>
            <w:tcW w:w="1842" w:type="dxa"/>
            <w:shd w:val="clear" w:color="auto" w:fill="auto"/>
          </w:tcPr>
          <w:p w14:paraId="473BCC5D" w14:textId="77777777" w:rsidR="0000424D" w:rsidRPr="00CD7A08" w:rsidRDefault="0000424D" w:rsidP="00CD7A08">
            <w:pPr>
              <w:ind w:firstLine="30"/>
              <w:rPr>
                <w:sz w:val="24"/>
                <w:szCs w:val="24"/>
                <w:lang w:eastAsia="en-US"/>
              </w:rPr>
            </w:pPr>
          </w:p>
        </w:tc>
        <w:tc>
          <w:tcPr>
            <w:tcW w:w="1844" w:type="dxa"/>
            <w:shd w:val="clear" w:color="auto" w:fill="auto"/>
          </w:tcPr>
          <w:p w14:paraId="5C1BEC5E" w14:textId="77777777" w:rsidR="0000424D" w:rsidRPr="00CD7A08" w:rsidRDefault="0000424D" w:rsidP="00CD7A08">
            <w:pPr>
              <w:ind w:firstLine="30"/>
              <w:rPr>
                <w:sz w:val="24"/>
                <w:szCs w:val="24"/>
                <w:lang w:eastAsia="en-US"/>
              </w:rPr>
            </w:pPr>
            <w:r w:rsidRPr="00CD7A08">
              <w:rPr>
                <w:sz w:val="24"/>
                <w:szCs w:val="24"/>
                <w:lang w:eastAsia="en-US"/>
              </w:rPr>
              <w:t>11-15</w:t>
            </w:r>
          </w:p>
        </w:tc>
        <w:tc>
          <w:tcPr>
            <w:tcW w:w="1559" w:type="dxa"/>
            <w:shd w:val="clear" w:color="auto" w:fill="auto"/>
          </w:tcPr>
          <w:p w14:paraId="3647B129" w14:textId="77777777" w:rsidR="0000424D" w:rsidRPr="00CD7A08" w:rsidRDefault="0000424D" w:rsidP="00CD7A08">
            <w:pPr>
              <w:jc w:val="center"/>
              <w:rPr>
                <w:sz w:val="24"/>
                <w:szCs w:val="24"/>
                <w:lang w:eastAsia="en-US"/>
              </w:rPr>
            </w:pPr>
          </w:p>
        </w:tc>
        <w:tc>
          <w:tcPr>
            <w:tcW w:w="1963" w:type="dxa"/>
            <w:shd w:val="clear" w:color="auto" w:fill="auto"/>
          </w:tcPr>
          <w:p w14:paraId="776431A8" w14:textId="77777777" w:rsidR="0000424D" w:rsidRPr="00CD7A08" w:rsidRDefault="0000424D" w:rsidP="00CD7A08">
            <w:pPr>
              <w:ind w:firstLine="0"/>
              <w:jc w:val="center"/>
              <w:rPr>
                <w:sz w:val="24"/>
                <w:szCs w:val="24"/>
                <w:lang w:eastAsia="en-US"/>
              </w:rPr>
            </w:pPr>
            <w:r w:rsidRPr="00CD7A08">
              <w:rPr>
                <w:sz w:val="24"/>
                <w:szCs w:val="24"/>
                <w:lang w:eastAsia="en-US"/>
              </w:rPr>
              <w:t>239 (32.8)</w:t>
            </w:r>
          </w:p>
        </w:tc>
      </w:tr>
      <w:tr w:rsidR="00D43FEC" w:rsidRPr="00CD7A08" w14:paraId="37DFA698" w14:textId="77777777" w:rsidTr="00CD7A08">
        <w:trPr>
          <w:jc w:val="center"/>
        </w:trPr>
        <w:tc>
          <w:tcPr>
            <w:tcW w:w="1842" w:type="dxa"/>
            <w:shd w:val="clear" w:color="auto" w:fill="auto"/>
          </w:tcPr>
          <w:p w14:paraId="6509DDAE" w14:textId="77777777" w:rsidR="0000424D" w:rsidRPr="00CD7A08" w:rsidRDefault="0000424D" w:rsidP="00CD7A08">
            <w:pPr>
              <w:ind w:firstLine="30"/>
              <w:rPr>
                <w:sz w:val="24"/>
                <w:szCs w:val="24"/>
                <w:lang w:eastAsia="en-US"/>
              </w:rPr>
            </w:pPr>
          </w:p>
        </w:tc>
        <w:tc>
          <w:tcPr>
            <w:tcW w:w="1844" w:type="dxa"/>
            <w:shd w:val="clear" w:color="auto" w:fill="auto"/>
          </w:tcPr>
          <w:p w14:paraId="468A4F73" w14:textId="77777777" w:rsidR="0000424D" w:rsidRPr="00CD7A08" w:rsidRDefault="0000424D" w:rsidP="00CD7A08">
            <w:pPr>
              <w:ind w:firstLine="30"/>
              <w:rPr>
                <w:sz w:val="24"/>
                <w:szCs w:val="24"/>
                <w:lang w:eastAsia="en-US"/>
              </w:rPr>
            </w:pPr>
            <w:r w:rsidRPr="00CD7A08">
              <w:rPr>
                <w:sz w:val="24"/>
                <w:szCs w:val="24"/>
                <w:lang w:eastAsia="en-US"/>
              </w:rPr>
              <w:t>16-20</w:t>
            </w:r>
          </w:p>
        </w:tc>
        <w:tc>
          <w:tcPr>
            <w:tcW w:w="1559" w:type="dxa"/>
            <w:shd w:val="clear" w:color="auto" w:fill="auto"/>
          </w:tcPr>
          <w:p w14:paraId="4316D68E" w14:textId="77777777" w:rsidR="0000424D" w:rsidRPr="00CD7A08" w:rsidRDefault="0000424D" w:rsidP="00CD7A08">
            <w:pPr>
              <w:jc w:val="center"/>
              <w:rPr>
                <w:sz w:val="24"/>
                <w:szCs w:val="24"/>
                <w:lang w:eastAsia="en-US"/>
              </w:rPr>
            </w:pPr>
          </w:p>
        </w:tc>
        <w:tc>
          <w:tcPr>
            <w:tcW w:w="1963" w:type="dxa"/>
            <w:shd w:val="clear" w:color="auto" w:fill="auto"/>
          </w:tcPr>
          <w:p w14:paraId="5E31CF04" w14:textId="77777777" w:rsidR="0000424D" w:rsidRPr="00CD7A08" w:rsidRDefault="0000424D" w:rsidP="00CD7A08">
            <w:pPr>
              <w:ind w:firstLine="0"/>
              <w:jc w:val="center"/>
              <w:rPr>
                <w:sz w:val="24"/>
                <w:szCs w:val="24"/>
                <w:lang w:eastAsia="en-US"/>
              </w:rPr>
            </w:pPr>
            <w:r w:rsidRPr="00CD7A08">
              <w:rPr>
                <w:sz w:val="24"/>
                <w:szCs w:val="24"/>
                <w:lang w:eastAsia="en-US"/>
              </w:rPr>
              <w:t>67 (9.2)</w:t>
            </w:r>
          </w:p>
        </w:tc>
      </w:tr>
      <w:tr w:rsidR="00D43FEC" w:rsidRPr="00CD7A08" w14:paraId="091B0811" w14:textId="77777777" w:rsidTr="00CD7A08">
        <w:trPr>
          <w:jc w:val="center"/>
        </w:trPr>
        <w:tc>
          <w:tcPr>
            <w:tcW w:w="1842" w:type="dxa"/>
            <w:shd w:val="clear" w:color="auto" w:fill="auto"/>
          </w:tcPr>
          <w:p w14:paraId="1A06DC67" w14:textId="77777777" w:rsidR="0000424D" w:rsidRPr="00CD7A08" w:rsidRDefault="0000424D" w:rsidP="00CD7A08">
            <w:pPr>
              <w:ind w:firstLine="30"/>
              <w:rPr>
                <w:sz w:val="24"/>
                <w:szCs w:val="24"/>
                <w:lang w:eastAsia="en-US"/>
              </w:rPr>
            </w:pPr>
          </w:p>
        </w:tc>
        <w:tc>
          <w:tcPr>
            <w:tcW w:w="1844" w:type="dxa"/>
            <w:shd w:val="clear" w:color="auto" w:fill="auto"/>
          </w:tcPr>
          <w:p w14:paraId="14422454" w14:textId="77777777" w:rsidR="0000424D" w:rsidRPr="00CD7A08" w:rsidRDefault="0000424D" w:rsidP="00CD7A08">
            <w:pPr>
              <w:ind w:firstLine="30"/>
              <w:rPr>
                <w:sz w:val="24"/>
                <w:szCs w:val="24"/>
                <w:lang w:eastAsia="en-US"/>
              </w:rPr>
            </w:pPr>
            <w:r w:rsidRPr="00CD7A08">
              <w:rPr>
                <w:sz w:val="24"/>
                <w:szCs w:val="24"/>
                <w:lang w:eastAsia="en-US"/>
              </w:rPr>
              <w:t>21-25</w:t>
            </w:r>
          </w:p>
        </w:tc>
        <w:tc>
          <w:tcPr>
            <w:tcW w:w="1559" w:type="dxa"/>
            <w:shd w:val="clear" w:color="auto" w:fill="auto"/>
          </w:tcPr>
          <w:p w14:paraId="487853E0" w14:textId="77777777" w:rsidR="0000424D" w:rsidRPr="00CD7A08" w:rsidRDefault="0000424D" w:rsidP="00CD7A08">
            <w:pPr>
              <w:jc w:val="center"/>
              <w:rPr>
                <w:sz w:val="24"/>
                <w:szCs w:val="24"/>
                <w:lang w:eastAsia="en-US"/>
              </w:rPr>
            </w:pPr>
          </w:p>
        </w:tc>
        <w:tc>
          <w:tcPr>
            <w:tcW w:w="1963" w:type="dxa"/>
            <w:shd w:val="clear" w:color="auto" w:fill="auto"/>
          </w:tcPr>
          <w:p w14:paraId="4B369C67" w14:textId="77777777" w:rsidR="0000424D" w:rsidRPr="00CD7A08" w:rsidRDefault="0000424D" w:rsidP="00CD7A08">
            <w:pPr>
              <w:ind w:firstLine="0"/>
              <w:jc w:val="center"/>
              <w:rPr>
                <w:sz w:val="24"/>
                <w:szCs w:val="24"/>
                <w:lang w:eastAsia="en-US"/>
              </w:rPr>
            </w:pPr>
            <w:r w:rsidRPr="00CD7A08">
              <w:rPr>
                <w:sz w:val="24"/>
                <w:szCs w:val="24"/>
                <w:lang w:eastAsia="en-US"/>
              </w:rPr>
              <w:t>55 (7.5)</w:t>
            </w:r>
          </w:p>
        </w:tc>
      </w:tr>
      <w:tr w:rsidR="00D43FEC" w:rsidRPr="00CD7A08" w14:paraId="088D14A0" w14:textId="77777777" w:rsidTr="00CD7A08">
        <w:trPr>
          <w:jc w:val="center"/>
        </w:trPr>
        <w:tc>
          <w:tcPr>
            <w:tcW w:w="1842" w:type="dxa"/>
            <w:shd w:val="clear" w:color="auto" w:fill="auto"/>
          </w:tcPr>
          <w:p w14:paraId="6D11362F" w14:textId="77777777" w:rsidR="0000424D" w:rsidRPr="00CD7A08" w:rsidRDefault="0000424D" w:rsidP="00CD7A08">
            <w:pPr>
              <w:ind w:firstLine="30"/>
              <w:rPr>
                <w:sz w:val="24"/>
                <w:szCs w:val="24"/>
                <w:lang w:eastAsia="en-US"/>
              </w:rPr>
            </w:pPr>
          </w:p>
        </w:tc>
        <w:tc>
          <w:tcPr>
            <w:tcW w:w="1844" w:type="dxa"/>
            <w:shd w:val="clear" w:color="auto" w:fill="auto"/>
          </w:tcPr>
          <w:p w14:paraId="4858AA40" w14:textId="77777777" w:rsidR="0000424D" w:rsidRPr="00CD7A08" w:rsidRDefault="0000424D" w:rsidP="00CD7A08">
            <w:pPr>
              <w:ind w:firstLine="30"/>
              <w:rPr>
                <w:sz w:val="24"/>
                <w:szCs w:val="24"/>
                <w:lang w:eastAsia="en-US"/>
              </w:rPr>
            </w:pPr>
            <w:r w:rsidRPr="00CD7A08">
              <w:rPr>
                <w:sz w:val="24"/>
                <w:szCs w:val="24"/>
                <w:lang w:eastAsia="en-US"/>
              </w:rPr>
              <w:t>26-30</w:t>
            </w:r>
          </w:p>
        </w:tc>
        <w:tc>
          <w:tcPr>
            <w:tcW w:w="1559" w:type="dxa"/>
            <w:shd w:val="clear" w:color="auto" w:fill="auto"/>
          </w:tcPr>
          <w:p w14:paraId="0C8838C9" w14:textId="77777777" w:rsidR="0000424D" w:rsidRPr="00CD7A08" w:rsidRDefault="0000424D" w:rsidP="00CD7A08">
            <w:pPr>
              <w:jc w:val="center"/>
              <w:rPr>
                <w:sz w:val="24"/>
                <w:szCs w:val="24"/>
                <w:lang w:eastAsia="en-US"/>
              </w:rPr>
            </w:pPr>
          </w:p>
        </w:tc>
        <w:tc>
          <w:tcPr>
            <w:tcW w:w="1963" w:type="dxa"/>
            <w:shd w:val="clear" w:color="auto" w:fill="auto"/>
          </w:tcPr>
          <w:p w14:paraId="60F74132" w14:textId="77777777" w:rsidR="0000424D" w:rsidRPr="00CD7A08" w:rsidRDefault="0000424D" w:rsidP="00CD7A08">
            <w:pPr>
              <w:ind w:firstLine="0"/>
              <w:jc w:val="center"/>
              <w:rPr>
                <w:sz w:val="24"/>
                <w:szCs w:val="24"/>
                <w:lang w:eastAsia="en-US"/>
              </w:rPr>
            </w:pPr>
            <w:r w:rsidRPr="00CD7A08">
              <w:rPr>
                <w:sz w:val="24"/>
                <w:szCs w:val="24"/>
                <w:lang w:eastAsia="en-US"/>
              </w:rPr>
              <w:t>18 (2.5)</w:t>
            </w:r>
          </w:p>
        </w:tc>
      </w:tr>
      <w:tr w:rsidR="00D43FEC" w:rsidRPr="00CD7A08" w14:paraId="6C07CD72" w14:textId="77777777" w:rsidTr="00CD7A08">
        <w:trPr>
          <w:jc w:val="center"/>
        </w:trPr>
        <w:tc>
          <w:tcPr>
            <w:tcW w:w="1842" w:type="dxa"/>
            <w:tcBorders>
              <w:bottom w:val="single" w:sz="4" w:space="0" w:color="auto"/>
            </w:tcBorders>
            <w:shd w:val="clear" w:color="auto" w:fill="auto"/>
          </w:tcPr>
          <w:p w14:paraId="275D0276" w14:textId="77777777" w:rsidR="0000424D" w:rsidRPr="00CD7A08" w:rsidRDefault="0000424D" w:rsidP="00CD7A08">
            <w:pPr>
              <w:ind w:firstLine="30"/>
              <w:rPr>
                <w:sz w:val="24"/>
                <w:szCs w:val="24"/>
                <w:lang w:eastAsia="en-US"/>
              </w:rPr>
            </w:pPr>
          </w:p>
        </w:tc>
        <w:tc>
          <w:tcPr>
            <w:tcW w:w="1844" w:type="dxa"/>
            <w:tcBorders>
              <w:bottom w:val="single" w:sz="4" w:space="0" w:color="auto"/>
            </w:tcBorders>
            <w:shd w:val="clear" w:color="auto" w:fill="auto"/>
          </w:tcPr>
          <w:p w14:paraId="36343585" w14:textId="77777777" w:rsidR="0000424D" w:rsidRPr="00CD7A08" w:rsidRDefault="0000424D" w:rsidP="00CD7A08">
            <w:pPr>
              <w:ind w:firstLine="30"/>
              <w:rPr>
                <w:sz w:val="24"/>
                <w:szCs w:val="24"/>
                <w:lang w:eastAsia="en-US"/>
              </w:rPr>
            </w:pPr>
            <w:r w:rsidRPr="00CD7A08">
              <w:rPr>
                <w:sz w:val="24"/>
                <w:szCs w:val="24"/>
                <w:lang w:eastAsia="en-US"/>
              </w:rPr>
              <w:t xml:space="preserve">&gt; 30 </w:t>
            </w:r>
          </w:p>
        </w:tc>
        <w:tc>
          <w:tcPr>
            <w:tcW w:w="1559" w:type="dxa"/>
            <w:tcBorders>
              <w:bottom w:val="single" w:sz="4" w:space="0" w:color="auto"/>
            </w:tcBorders>
            <w:shd w:val="clear" w:color="auto" w:fill="auto"/>
          </w:tcPr>
          <w:p w14:paraId="0BF60231" w14:textId="77777777" w:rsidR="0000424D" w:rsidRPr="00CD7A08" w:rsidRDefault="0000424D" w:rsidP="00CD7A08">
            <w:pPr>
              <w:jc w:val="center"/>
              <w:rPr>
                <w:sz w:val="24"/>
                <w:szCs w:val="24"/>
                <w:lang w:eastAsia="en-US"/>
              </w:rPr>
            </w:pPr>
          </w:p>
        </w:tc>
        <w:tc>
          <w:tcPr>
            <w:tcW w:w="1963" w:type="dxa"/>
            <w:tcBorders>
              <w:bottom w:val="single" w:sz="4" w:space="0" w:color="auto"/>
            </w:tcBorders>
            <w:shd w:val="clear" w:color="auto" w:fill="auto"/>
          </w:tcPr>
          <w:p w14:paraId="77BEC13A" w14:textId="77777777" w:rsidR="0000424D" w:rsidRPr="00CD7A08" w:rsidRDefault="0000424D" w:rsidP="00CD7A08">
            <w:pPr>
              <w:ind w:firstLine="0"/>
              <w:jc w:val="center"/>
              <w:rPr>
                <w:sz w:val="24"/>
                <w:szCs w:val="24"/>
                <w:lang w:eastAsia="en-US"/>
              </w:rPr>
            </w:pPr>
            <w:r w:rsidRPr="00CD7A08">
              <w:rPr>
                <w:sz w:val="24"/>
                <w:szCs w:val="24"/>
                <w:lang w:eastAsia="en-US"/>
              </w:rPr>
              <w:t>11 (1.5)</w:t>
            </w:r>
          </w:p>
        </w:tc>
      </w:tr>
      <w:tr w:rsidR="0000424D" w:rsidRPr="00CD7A08" w14:paraId="17CF1FC2" w14:textId="77777777" w:rsidTr="00CD7A08">
        <w:trPr>
          <w:jc w:val="center"/>
        </w:trPr>
        <w:tc>
          <w:tcPr>
            <w:tcW w:w="3686" w:type="dxa"/>
            <w:gridSpan w:val="2"/>
            <w:tcBorders>
              <w:top w:val="single" w:sz="4" w:space="0" w:color="auto"/>
            </w:tcBorders>
            <w:shd w:val="clear" w:color="auto" w:fill="auto"/>
          </w:tcPr>
          <w:p w14:paraId="02618687" w14:textId="77777777" w:rsidR="0000424D" w:rsidRPr="00CD7A08" w:rsidRDefault="0000424D" w:rsidP="00CD7A08">
            <w:pPr>
              <w:ind w:firstLine="30"/>
              <w:rPr>
                <w:sz w:val="24"/>
                <w:szCs w:val="24"/>
                <w:lang w:eastAsia="en-US"/>
              </w:rPr>
            </w:pPr>
            <w:r w:rsidRPr="00CD7A08">
              <w:rPr>
                <w:sz w:val="24"/>
                <w:szCs w:val="24"/>
                <w:lang w:eastAsia="en-US"/>
              </w:rPr>
              <w:t xml:space="preserve">Employment status </w:t>
            </w:r>
          </w:p>
        </w:tc>
        <w:tc>
          <w:tcPr>
            <w:tcW w:w="1559" w:type="dxa"/>
            <w:tcBorders>
              <w:top w:val="single" w:sz="4" w:space="0" w:color="auto"/>
            </w:tcBorders>
            <w:shd w:val="clear" w:color="auto" w:fill="auto"/>
          </w:tcPr>
          <w:p w14:paraId="7272A31C" w14:textId="77777777" w:rsidR="0000424D" w:rsidRPr="00CD7A08" w:rsidRDefault="0000424D" w:rsidP="00CD7A08">
            <w:pPr>
              <w:jc w:val="center"/>
              <w:rPr>
                <w:sz w:val="24"/>
                <w:szCs w:val="24"/>
                <w:lang w:eastAsia="en-US"/>
              </w:rPr>
            </w:pPr>
          </w:p>
        </w:tc>
        <w:tc>
          <w:tcPr>
            <w:tcW w:w="1963" w:type="dxa"/>
            <w:tcBorders>
              <w:top w:val="single" w:sz="4" w:space="0" w:color="auto"/>
            </w:tcBorders>
            <w:shd w:val="clear" w:color="auto" w:fill="auto"/>
          </w:tcPr>
          <w:p w14:paraId="32E8609C" w14:textId="77777777" w:rsidR="0000424D" w:rsidRPr="00CD7A08" w:rsidRDefault="0000424D" w:rsidP="00CD7A08">
            <w:pPr>
              <w:ind w:firstLine="0"/>
              <w:jc w:val="center"/>
              <w:rPr>
                <w:sz w:val="24"/>
                <w:szCs w:val="24"/>
                <w:lang w:eastAsia="en-US"/>
              </w:rPr>
            </w:pPr>
          </w:p>
        </w:tc>
      </w:tr>
      <w:tr w:rsidR="00D43FEC" w:rsidRPr="00CD7A08" w14:paraId="15A6A7C2" w14:textId="77777777" w:rsidTr="00CD7A08">
        <w:trPr>
          <w:jc w:val="center"/>
        </w:trPr>
        <w:tc>
          <w:tcPr>
            <w:tcW w:w="1842" w:type="dxa"/>
            <w:shd w:val="clear" w:color="auto" w:fill="auto"/>
          </w:tcPr>
          <w:p w14:paraId="00021C37" w14:textId="77777777" w:rsidR="0000424D" w:rsidRPr="00CD7A08" w:rsidRDefault="0000424D" w:rsidP="00CD7A08">
            <w:pPr>
              <w:ind w:firstLine="30"/>
              <w:rPr>
                <w:sz w:val="24"/>
                <w:szCs w:val="24"/>
                <w:lang w:eastAsia="en-US"/>
              </w:rPr>
            </w:pPr>
          </w:p>
        </w:tc>
        <w:tc>
          <w:tcPr>
            <w:tcW w:w="1844" w:type="dxa"/>
            <w:shd w:val="clear" w:color="auto" w:fill="auto"/>
          </w:tcPr>
          <w:p w14:paraId="6C010913" w14:textId="77777777" w:rsidR="0000424D" w:rsidRPr="00CD7A08" w:rsidRDefault="0000424D" w:rsidP="00CD7A08">
            <w:pPr>
              <w:ind w:firstLine="30"/>
              <w:rPr>
                <w:sz w:val="24"/>
                <w:szCs w:val="24"/>
                <w:lang w:eastAsia="en-US"/>
              </w:rPr>
            </w:pPr>
            <w:r w:rsidRPr="00CD7A08">
              <w:rPr>
                <w:sz w:val="24"/>
                <w:szCs w:val="24"/>
                <w:lang w:eastAsia="en-US"/>
              </w:rPr>
              <w:t>Temporary</w:t>
            </w:r>
          </w:p>
        </w:tc>
        <w:tc>
          <w:tcPr>
            <w:tcW w:w="1559" w:type="dxa"/>
            <w:shd w:val="clear" w:color="auto" w:fill="auto"/>
          </w:tcPr>
          <w:p w14:paraId="7EC6065A" w14:textId="77777777" w:rsidR="0000424D" w:rsidRPr="00CD7A08" w:rsidRDefault="0000424D" w:rsidP="00CD7A08">
            <w:pPr>
              <w:jc w:val="center"/>
              <w:rPr>
                <w:sz w:val="24"/>
                <w:szCs w:val="24"/>
                <w:lang w:eastAsia="en-US"/>
              </w:rPr>
            </w:pPr>
          </w:p>
        </w:tc>
        <w:tc>
          <w:tcPr>
            <w:tcW w:w="1963" w:type="dxa"/>
            <w:shd w:val="clear" w:color="auto" w:fill="auto"/>
          </w:tcPr>
          <w:p w14:paraId="0DEE9A6B" w14:textId="77777777" w:rsidR="0000424D" w:rsidRPr="00CD7A08" w:rsidRDefault="0000424D" w:rsidP="00CD7A08">
            <w:pPr>
              <w:ind w:firstLine="0"/>
              <w:jc w:val="center"/>
              <w:rPr>
                <w:sz w:val="24"/>
                <w:szCs w:val="24"/>
                <w:lang w:eastAsia="en-US"/>
              </w:rPr>
            </w:pPr>
            <w:r w:rsidRPr="00CD7A08">
              <w:rPr>
                <w:sz w:val="24"/>
                <w:szCs w:val="24"/>
                <w:lang w:eastAsia="en-US"/>
              </w:rPr>
              <w:t>95 (13.0)</w:t>
            </w:r>
          </w:p>
        </w:tc>
      </w:tr>
      <w:tr w:rsidR="00D43FEC" w:rsidRPr="00CD7A08" w14:paraId="070BB9A3" w14:textId="77777777" w:rsidTr="00CD7A08">
        <w:trPr>
          <w:jc w:val="center"/>
        </w:trPr>
        <w:tc>
          <w:tcPr>
            <w:tcW w:w="1842" w:type="dxa"/>
            <w:shd w:val="clear" w:color="auto" w:fill="auto"/>
          </w:tcPr>
          <w:p w14:paraId="357E6963" w14:textId="77777777" w:rsidR="0000424D" w:rsidRPr="00CD7A08" w:rsidRDefault="0000424D" w:rsidP="00CD7A08">
            <w:pPr>
              <w:ind w:firstLine="30"/>
              <w:rPr>
                <w:sz w:val="24"/>
                <w:szCs w:val="24"/>
                <w:lang w:eastAsia="en-US"/>
              </w:rPr>
            </w:pPr>
          </w:p>
        </w:tc>
        <w:tc>
          <w:tcPr>
            <w:tcW w:w="1844" w:type="dxa"/>
            <w:shd w:val="clear" w:color="auto" w:fill="auto"/>
          </w:tcPr>
          <w:p w14:paraId="4D9DBF60" w14:textId="77777777" w:rsidR="0000424D" w:rsidRPr="00CD7A08" w:rsidRDefault="0000424D" w:rsidP="00CD7A08">
            <w:pPr>
              <w:ind w:firstLine="30"/>
              <w:rPr>
                <w:sz w:val="24"/>
                <w:szCs w:val="24"/>
                <w:lang w:eastAsia="en-US"/>
              </w:rPr>
            </w:pPr>
            <w:r w:rsidRPr="00CD7A08">
              <w:rPr>
                <w:sz w:val="24"/>
                <w:szCs w:val="24"/>
                <w:lang w:eastAsia="en-US"/>
              </w:rPr>
              <w:t>Contract</w:t>
            </w:r>
          </w:p>
        </w:tc>
        <w:tc>
          <w:tcPr>
            <w:tcW w:w="1559" w:type="dxa"/>
            <w:shd w:val="clear" w:color="auto" w:fill="auto"/>
          </w:tcPr>
          <w:p w14:paraId="37C3997F" w14:textId="77777777" w:rsidR="0000424D" w:rsidRPr="00CD7A08" w:rsidRDefault="0000424D" w:rsidP="00CD7A08">
            <w:pPr>
              <w:jc w:val="center"/>
              <w:rPr>
                <w:sz w:val="24"/>
                <w:szCs w:val="24"/>
                <w:lang w:eastAsia="en-US"/>
              </w:rPr>
            </w:pPr>
          </w:p>
        </w:tc>
        <w:tc>
          <w:tcPr>
            <w:tcW w:w="1963" w:type="dxa"/>
            <w:shd w:val="clear" w:color="auto" w:fill="auto"/>
          </w:tcPr>
          <w:p w14:paraId="65E46BE2" w14:textId="77777777" w:rsidR="0000424D" w:rsidRPr="00CD7A08" w:rsidRDefault="0000424D" w:rsidP="00CD7A08">
            <w:pPr>
              <w:ind w:firstLine="0"/>
              <w:jc w:val="center"/>
              <w:rPr>
                <w:sz w:val="24"/>
                <w:szCs w:val="24"/>
                <w:lang w:eastAsia="en-US"/>
              </w:rPr>
            </w:pPr>
            <w:r w:rsidRPr="00CD7A08">
              <w:rPr>
                <w:sz w:val="24"/>
                <w:szCs w:val="24"/>
                <w:lang w:eastAsia="en-US"/>
              </w:rPr>
              <w:t>129 (17.7)</w:t>
            </w:r>
          </w:p>
        </w:tc>
      </w:tr>
      <w:tr w:rsidR="00D43FEC" w:rsidRPr="00CD7A08" w14:paraId="1FB0AFCD" w14:textId="77777777" w:rsidTr="00CD7A08">
        <w:trPr>
          <w:jc w:val="center"/>
        </w:trPr>
        <w:tc>
          <w:tcPr>
            <w:tcW w:w="1842" w:type="dxa"/>
            <w:tcBorders>
              <w:bottom w:val="single" w:sz="4" w:space="0" w:color="auto"/>
            </w:tcBorders>
            <w:shd w:val="clear" w:color="auto" w:fill="auto"/>
          </w:tcPr>
          <w:p w14:paraId="67DD5158" w14:textId="77777777" w:rsidR="0000424D" w:rsidRPr="00CD7A08" w:rsidRDefault="0000424D" w:rsidP="00CD7A08">
            <w:pPr>
              <w:ind w:firstLine="30"/>
              <w:rPr>
                <w:sz w:val="24"/>
                <w:szCs w:val="24"/>
                <w:lang w:eastAsia="en-US"/>
              </w:rPr>
            </w:pPr>
          </w:p>
        </w:tc>
        <w:tc>
          <w:tcPr>
            <w:tcW w:w="1844" w:type="dxa"/>
            <w:tcBorders>
              <w:bottom w:val="single" w:sz="4" w:space="0" w:color="auto"/>
            </w:tcBorders>
            <w:shd w:val="clear" w:color="auto" w:fill="auto"/>
          </w:tcPr>
          <w:p w14:paraId="3086807A" w14:textId="77777777" w:rsidR="0000424D" w:rsidRPr="00CD7A08" w:rsidRDefault="0000424D" w:rsidP="00CD7A08">
            <w:pPr>
              <w:ind w:firstLine="30"/>
              <w:rPr>
                <w:sz w:val="24"/>
                <w:szCs w:val="24"/>
                <w:lang w:eastAsia="en-US"/>
              </w:rPr>
            </w:pPr>
            <w:r w:rsidRPr="00CD7A08">
              <w:rPr>
                <w:sz w:val="24"/>
                <w:szCs w:val="24"/>
                <w:lang w:eastAsia="en-US"/>
              </w:rPr>
              <w:t>Permanent</w:t>
            </w:r>
          </w:p>
        </w:tc>
        <w:tc>
          <w:tcPr>
            <w:tcW w:w="1559" w:type="dxa"/>
            <w:tcBorders>
              <w:bottom w:val="single" w:sz="4" w:space="0" w:color="auto"/>
            </w:tcBorders>
            <w:shd w:val="clear" w:color="auto" w:fill="auto"/>
          </w:tcPr>
          <w:p w14:paraId="32FB8430" w14:textId="77777777" w:rsidR="0000424D" w:rsidRPr="00CD7A08" w:rsidRDefault="0000424D" w:rsidP="00CD7A08">
            <w:pPr>
              <w:jc w:val="center"/>
              <w:rPr>
                <w:sz w:val="24"/>
                <w:szCs w:val="24"/>
                <w:lang w:eastAsia="en-US"/>
              </w:rPr>
            </w:pPr>
          </w:p>
        </w:tc>
        <w:tc>
          <w:tcPr>
            <w:tcW w:w="1963" w:type="dxa"/>
            <w:tcBorders>
              <w:bottom w:val="single" w:sz="4" w:space="0" w:color="auto"/>
            </w:tcBorders>
            <w:shd w:val="clear" w:color="auto" w:fill="auto"/>
          </w:tcPr>
          <w:p w14:paraId="760B044B" w14:textId="77777777" w:rsidR="0000424D" w:rsidRPr="00CD7A08" w:rsidRDefault="0000424D" w:rsidP="00CD7A08">
            <w:pPr>
              <w:ind w:firstLine="0"/>
              <w:jc w:val="center"/>
              <w:rPr>
                <w:sz w:val="24"/>
                <w:szCs w:val="24"/>
                <w:lang w:eastAsia="en-US"/>
              </w:rPr>
            </w:pPr>
            <w:r w:rsidRPr="00CD7A08">
              <w:rPr>
                <w:sz w:val="24"/>
                <w:szCs w:val="24"/>
                <w:lang w:eastAsia="en-US"/>
              </w:rPr>
              <w:t>505 (69.3)</w:t>
            </w:r>
          </w:p>
        </w:tc>
      </w:tr>
      <w:tr w:rsidR="0000424D" w:rsidRPr="00CD7A08" w14:paraId="385440AC" w14:textId="77777777" w:rsidTr="00CD7A08">
        <w:trPr>
          <w:jc w:val="center"/>
        </w:trPr>
        <w:tc>
          <w:tcPr>
            <w:tcW w:w="3686" w:type="dxa"/>
            <w:gridSpan w:val="2"/>
            <w:tcBorders>
              <w:top w:val="single" w:sz="4" w:space="0" w:color="auto"/>
            </w:tcBorders>
            <w:shd w:val="clear" w:color="auto" w:fill="auto"/>
          </w:tcPr>
          <w:p w14:paraId="58551D5E" w14:textId="77777777" w:rsidR="0000424D" w:rsidRPr="00CD7A08" w:rsidRDefault="0000424D" w:rsidP="00CD7A08">
            <w:pPr>
              <w:ind w:firstLine="30"/>
              <w:rPr>
                <w:sz w:val="24"/>
                <w:szCs w:val="24"/>
                <w:lang w:eastAsia="en-US"/>
              </w:rPr>
            </w:pPr>
            <w:r w:rsidRPr="00CD7A08">
              <w:rPr>
                <w:sz w:val="24"/>
                <w:szCs w:val="24"/>
                <w:lang w:eastAsia="en-US"/>
              </w:rPr>
              <w:t>Current Administrative/Rotational Role</w:t>
            </w:r>
          </w:p>
        </w:tc>
        <w:tc>
          <w:tcPr>
            <w:tcW w:w="1559" w:type="dxa"/>
            <w:tcBorders>
              <w:top w:val="single" w:sz="4" w:space="0" w:color="auto"/>
            </w:tcBorders>
            <w:shd w:val="clear" w:color="auto" w:fill="auto"/>
          </w:tcPr>
          <w:p w14:paraId="54548D71" w14:textId="77777777" w:rsidR="0000424D" w:rsidRPr="00CD7A08" w:rsidRDefault="0000424D" w:rsidP="00CD7A08">
            <w:pPr>
              <w:jc w:val="center"/>
              <w:rPr>
                <w:sz w:val="24"/>
                <w:szCs w:val="24"/>
                <w:lang w:eastAsia="en-US"/>
              </w:rPr>
            </w:pPr>
          </w:p>
        </w:tc>
        <w:tc>
          <w:tcPr>
            <w:tcW w:w="1963" w:type="dxa"/>
            <w:tcBorders>
              <w:top w:val="single" w:sz="4" w:space="0" w:color="auto"/>
            </w:tcBorders>
            <w:shd w:val="clear" w:color="auto" w:fill="auto"/>
          </w:tcPr>
          <w:p w14:paraId="4AC31047" w14:textId="77777777" w:rsidR="0000424D" w:rsidRPr="00CD7A08" w:rsidRDefault="0000424D" w:rsidP="00CD7A08">
            <w:pPr>
              <w:ind w:firstLine="0"/>
              <w:jc w:val="center"/>
              <w:rPr>
                <w:sz w:val="24"/>
                <w:szCs w:val="24"/>
                <w:lang w:eastAsia="en-US"/>
              </w:rPr>
            </w:pPr>
          </w:p>
        </w:tc>
      </w:tr>
      <w:tr w:rsidR="00D43FEC" w:rsidRPr="00CD7A08" w14:paraId="656B952A" w14:textId="77777777" w:rsidTr="00CD7A08">
        <w:trPr>
          <w:jc w:val="center"/>
        </w:trPr>
        <w:tc>
          <w:tcPr>
            <w:tcW w:w="1842" w:type="dxa"/>
            <w:shd w:val="clear" w:color="auto" w:fill="auto"/>
          </w:tcPr>
          <w:p w14:paraId="1341C7E6" w14:textId="77777777" w:rsidR="0000424D" w:rsidRPr="00CD7A08" w:rsidRDefault="0000424D" w:rsidP="00B338C5">
            <w:pPr>
              <w:rPr>
                <w:sz w:val="24"/>
                <w:szCs w:val="24"/>
                <w:lang w:eastAsia="en-US"/>
              </w:rPr>
            </w:pPr>
          </w:p>
        </w:tc>
        <w:tc>
          <w:tcPr>
            <w:tcW w:w="1844" w:type="dxa"/>
            <w:shd w:val="clear" w:color="auto" w:fill="auto"/>
          </w:tcPr>
          <w:p w14:paraId="5D9E8BFC" w14:textId="77777777" w:rsidR="0000424D" w:rsidRPr="00CD7A08" w:rsidRDefault="0000424D" w:rsidP="00CD7A08">
            <w:pPr>
              <w:ind w:firstLine="37"/>
              <w:rPr>
                <w:sz w:val="24"/>
                <w:szCs w:val="24"/>
                <w:lang w:eastAsia="en-US"/>
              </w:rPr>
            </w:pPr>
            <w:r w:rsidRPr="00CD7A08">
              <w:rPr>
                <w:sz w:val="24"/>
                <w:szCs w:val="24"/>
                <w:lang w:eastAsia="en-US"/>
              </w:rPr>
              <w:t>Yes</w:t>
            </w:r>
          </w:p>
        </w:tc>
        <w:tc>
          <w:tcPr>
            <w:tcW w:w="1559" w:type="dxa"/>
            <w:shd w:val="clear" w:color="auto" w:fill="auto"/>
          </w:tcPr>
          <w:p w14:paraId="266D1CB0" w14:textId="77777777" w:rsidR="0000424D" w:rsidRPr="00CD7A08" w:rsidRDefault="0000424D" w:rsidP="00CD7A08">
            <w:pPr>
              <w:jc w:val="center"/>
              <w:rPr>
                <w:sz w:val="24"/>
                <w:szCs w:val="24"/>
                <w:lang w:eastAsia="en-US"/>
              </w:rPr>
            </w:pPr>
          </w:p>
        </w:tc>
        <w:tc>
          <w:tcPr>
            <w:tcW w:w="1963" w:type="dxa"/>
            <w:shd w:val="clear" w:color="auto" w:fill="auto"/>
          </w:tcPr>
          <w:p w14:paraId="42F2531F" w14:textId="77777777" w:rsidR="0000424D" w:rsidRPr="00CD7A08" w:rsidRDefault="0000424D" w:rsidP="00CD7A08">
            <w:pPr>
              <w:ind w:firstLine="0"/>
              <w:jc w:val="center"/>
              <w:rPr>
                <w:sz w:val="24"/>
                <w:szCs w:val="24"/>
                <w:lang w:eastAsia="en-US"/>
              </w:rPr>
            </w:pPr>
            <w:r w:rsidRPr="00CD7A08">
              <w:rPr>
                <w:sz w:val="24"/>
                <w:szCs w:val="24"/>
                <w:lang w:eastAsia="en-US"/>
              </w:rPr>
              <w:t>295 (40.5)</w:t>
            </w:r>
          </w:p>
        </w:tc>
      </w:tr>
      <w:tr w:rsidR="00D43FEC" w:rsidRPr="00CD7A08" w14:paraId="53AB2C1C" w14:textId="77777777" w:rsidTr="00CD7A08">
        <w:trPr>
          <w:jc w:val="center"/>
        </w:trPr>
        <w:tc>
          <w:tcPr>
            <w:tcW w:w="1842" w:type="dxa"/>
            <w:tcBorders>
              <w:bottom w:val="single" w:sz="4" w:space="0" w:color="auto"/>
            </w:tcBorders>
            <w:shd w:val="clear" w:color="auto" w:fill="auto"/>
          </w:tcPr>
          <w:p w14:paraId="6B466258" w14:textId="77777777" w:rsidR="0000424D" w:rsidRPr="00CD7A08" w:rsidRDefault="0000424D" w:rsidP="00B338C5">
            <w:pPr>
              <w:rPr>
                <w:sz w:val="24"/>
                <w:szCs w:val="24"/>
                <w:lang w:eastAsia="en-US"/>
              </w:rPr>
            </w:pPr>
          </w:p>
        </w:tc>
        <w:tc>
          <w:tcPr>
            <w:tcW w:w="1844" w:type="dxa"/>
            <w:tcBorders>
              <w:bottom w:val="single" w:sz="4" w:space="0" w:color="auto"/>
            </w:tcBorders>
            <w:shd w:val="clear" w:color="auto" w:fill="auto"/>
          </w:tcPr>
          <w:p w14:paraId="0637AE00" w14:textId="77777777" w:rsidR="0000424D" w:rsidRPr="00CD7A08" w:rsidRDefault="0000424D" w:rsidP="00CD7A08">
            <w:pPr>
              <w:ind w:firstLine="37"/>
              <w:rPr>
                <w:sz w:val="24"/>
                <w:szCs w:val="24"/>
                <w:lang w:eastAsia="en-US"/>
              </w:rPr>
            </w:pPr>
            <w:r w:rsidRPr="00CD7A08">
              <w:rPr>
                <w:sz w:val="24"/>
                <w:szCs w:val="24"/>
                <w:lang w:eastAsia="en-US"/>
              </w:rPr>
              <w:t>No</w:t>
            </w:r>
          </w:p>
        </w:tc>
        <w:tc>
          <w:tcPr>
            <w:tcW w:w="1559" w:type="dxa"/>
            <w:tcBorders>
              <w:bottom w:val="single" w:sz="4" w:space="0" w:color="auto"/>
            </w:tcBorders>
            <w:shd w:val="clear" w:color="auto" w:fill="auto"/>
          </w:tcPr>
          <w:p w14:paraId="211AFC5C" w14:textId="77777777" w:rsidR="0000424D" w:rsidRPr="00CD7A08" w:rsidRDefault="0000424D" w:rsidP="00CD7A08">
            <w:pPr>
              <w:jc w:val="center"/>
              <w:rPr>
                <w:sz w:val="24"/>
                <w:szCs w:val="24"/>
                <w:lang w:eastAsia="en-US"/>
              </w:rPr>
            </w:pPr>
          </w:p>
        </w:tc>
        <w:tc>
          <w:tcPr>
            <w:tcW w:w="1963" w:type="dxa"/>
            <w:tcBorders>
              <w:bottom w:val="single" w:sz="4" w:space="0" w:color="auto"/>
            </w:tcBorders>
            <w:shd w:val="clear" w:color="auto" w:fill="auto"/>
          </w:tcPr>
          <w:p w14:paraId="23501E67" w14:textId="77777777" w:rsidR="0000424D" w:rsidRPr="00CD7A08" w:rsidRDefault="0000424D" w:rsidP="00CD7A08">
            <w:pPr>
              <w:ind w:firstLine="0"/>
              <w:jc w:val="center"/>
              <w:rPr>
                <w:sz w:val="24"/>
                <w:szCs w:val="24"/>
                <w:lang w:eastAsia="en-US"/>
              </w:rPr>
            </w:pPr>
            <w:r w:rsidRPr="00CD7A08">
              <w:rPr>
                <w:sz w:val="24"/>
                <w:szCs w:val="24"/>
                <w:lang w:eastAsia="en-US"/>
              </w:rPr>
              <w:t>434 (59.5)</w:t>
            </w:r>
          </w:p>
        </w:tc>
      </w:tr>
    </w:tbl>
    <w:p w14:paraId="02627349" w14:textId="77777777" w:rsidR="0000424D" w:rsidRPr="00F855C6" w:rsidRDefault="0000424D" w:rsidP="003B69F9">
      <w:pPr>
        <w:spacing w:after="0" w:line="259" w:lineRule="auto"/>
        <w:ind w:right="0" w:firstLine="0"/>
        <w:jc w:val="left"/>
        <w:rPr>
          <w:b/>
          <w:sz w:val="24"/>
          <w:szCs w:val="24"/>
        </w:rPr>
      </w:pPr>
    </w:p>
    <w:p w14:paraId="32F7844C" w14:textId="77777777" w:rsidR="00E93475" w:rsidRPr="00F855C6" w:rsidRDefault="00E93475" w:rsidP="00E93475">
      <w:pPr>
        <w:spacing w:after="0" w:line="259" w:lineRule="auto"/>
        <w:ind w:right="0" w:firstLine="0"/>
        <w:rPr>
          <w:bCs/>
          <w:sz w:val="24"/>
          <w:szCs w:val="24"/>
        </w:rPr>
      </w:pPr>
      <w:r w:rsidRPr="00F855C6">
        <w:rPr>
          <w:bCs/>
          <w:sz w:val="24"/>
          <w:szCs w:val="24"/>
        </w:rPr>
        <w:t>In terms of gender distribution, the majority of respondents were female (n = 559, 76.7%), while male respondents made up 23.3% (n = 170). This indicates a predominantly female academic workforce across KPTM campuses. For teaching experience, most respondents had either less than five years (31.8%) or between 11 and 15 years (32.8%) of experience. A smaller proportion reported 5–10 years (14.7%), while others had over 15 years of teaching experience, with decreasing percentages in each successive category.</w:t>
      </w:r>
    </w:p>
    <w:p w14:paraId="5C9B3917" w14:textId="77777777" w:rsidR="00E93475" w:rsidRPr="00F855C6" w:rsidRDefault="00E93475" w:rsidP="00E93475">
      <w:pPr>
        <w:spacing w:after="0" w:line="259" w:lineRule="auto"/>
        <w:ind w:right="0" w:firstLine="0"/>
        <w:rPr>
          <w:bCs/>
          <w:sz w:val="24"/>
          <w:szCs w:val="24"/>
        </w:rPr>
      </w:pPr>
    </w:p>
    <w:p w14:paraId="29F9A3FE" w14:textId="55622028" w:rsidR="0087492E" w:rsidRPr="00F855C6" w:rsidRDefault="00E93475" w:rsidP="0087492E">
      <w:pPr>
        <w:spacing w:after="0" w:line="259" w:lineRule="auto"/>
        <w:ind w:right="0" w:firstLine="0"/>
        <w:rPr>
          <w:sz w:val="24"/>
          <w:szCs w:val="24"/>
        </w:rPr>
      </w:pPr>
      <w:r w:rsidRPr="00F855C6">
        <w:rPr>
          <w:bCs/>
          <w:sz w:val="24"/>
          <w:szCs w:val="24"/>
        </w:rPr>
        <w:t>Regarding employment status, a large majority of the academic staff were employed permanently (69.3%), followed by contract staff (17.7%) and temporary staff (13.0%). This suggests a relatively stable teaching workforce within the institution. Lastly, 40.5% of respondents reported holding current administrative or rotational roles, while 59.5% did not occupy such positions. This reflects a considerable number of academic staff managing additional non-teaching responsibilities alongside their academic duties.</w:t>
      </w:r>
      <w:r w:rsidR="00D43FEC">
        <w:rPr>
          <w:bCs/>
          <w:sz w:val="24"/>
          <w:szCs w:val="24"/>
        </w:rPr>
        <w:t xml:space="preserve"> </w:t>
      </w:r>
      <w:r w:rsidR="0087492E" w:rsidRPr="00F855C6">
        <w:rPr>
          <w:sz w:val="24"/>
          <w:szCs w:val="24"/>
        </w:rPr>
        <w:t>The survey findings reveal that burnout among lecturers at KPTMSB is predominantly marked by two core dimensions: fatigue and apathy. Fatigue was assessed using a 42-item scale, while apathy was measured through 9 targeted items.</w:t>
      </w:r>
      <w:r w:rsidRPr="00F855C6">
        <w:rPr>
          <w:sz w:val="24"/>
          <w:szCs w:val="24"/>
        </w:rPr>
        <w:t xml:space="preserve"> Figure 1 illustrates a comparative overview of fatigue and apathy levels across the seven institutions.</w:t>
      </w:r>
    </w:p>
    <w:p w14:paraId="6915126D" w14:textId="77777777" w:rsidR="0087492E" w:rsidRPr="00F855C6" w:rsidRDefault="0087492E" w:rsidP="0087492E">
      <w:pPr>
        <w:spacing w:after="0" w:line="259" w:lineRule="auto"/>
        <w:ind w:right="0" w:firstLine="0"/>
        <w:rPr>
          <w:sz w:val="24"/>
          <w:szCs w:val="24"/>
        </w:rPr>
      </w:pPr>
    </w:p>
    <w:p w14:paraId="6870C08D" w14:textId="77777777" w:rsidR="0087492E" w:rsidRPr="00F855C6" w:rsidRDefault="0087492E" w:rsidP="0087492E">
      <w:pPr>
        <w:spacing w:after="0" w:line="259" w:lineRule="auto"/>
        <w:ind w:right="0" w:firstLine="0"/>
        <w:rPr>
          <w:sz w:val="24"/>
          <w:szCs w:val="24"/>
        </w:rPr>
      </w:pPr>
      <w:r w:rsidRPr="00F855C6">
        <w:rPr>
          <w:sz w:val="24"/>
          <w:szCs w:val="24"/>
        </w:rPr>
        <w:t>Among the campuses, Universiti Poly-Tech Malaysia (UPTM) recorded the highest average fatigue score (M = 3.63), indicating elevated levels of exhaustion. This was followed by KPTM Alor Setar (M = 3.19), KPTM Ipoh (M = 3.10), KPTM Bangi (M = 3.06), KPTM Batu Pahat (M = 2.98), KPTM Kuantan (M = 2.89), and KPTM Kota Bharu (M = 2.75). Apathy levels across campuses were generally moderate, yet UPTM again reported the highest mean score (M = 1.92). This was followed by KPTM Bangi and KPTM Batu Pahat (both M = 1.85), KPTM Kuantan (M = 1.70), KPTM Alor Setar and KPTM Ipoh (both M = 1.68), and KPTM Kota Bharu (M = 1.53).</w:t>
      </w:r>
    </w:p>
    <w:p w14:paraId="4897E313" w14:textId="77777777" w:rsidR="0087492E" w:rsidRPr="00F855C6" w:rsidRDefault="0087492E" w:rsidP="0087492E">
      <w:pPr>
        <w:spacing w:after="0" w:line="259" w:lineRule="auto"/>
        <w:ind w:left="566" w:right="0" w:firstLine="0"/>
        <w:jc w:val="left"/>
        <w:rPr>
          <w:sz w:val="24"/>
          <w:szCs w:val="24"/>
        </w:rPr>
      </w:pPr>
    </w:p>
    <w:p w14:paraId="4245D088" w14:textId="0B5DC76D" w:rsidR="0087492E" w:rsidRPr="00F855C6" w:rsidRDefault="0087492E" w:rsidP="0087492E">
      <w:pPr>
        <w:spacing w:after="0" w:line="259" w:lineRule="auto"/>
        <w:ind w:left="566" w:right="0" w:firstLine="0"/>
        <w:jc w:val="left"/>
        <w:rPr>
          <w:sz w:val="24"/>
          <w:szCs w:val="24"/>
        </w:rPr>
      </w:pPr>
    </w:p>
    <w:p w14:paraId="27B86828" w14:textId="3FBE8DB5" w:rsidR="0087492E" w:rsidRPr="00F855C6" w:rsidRDefault="00F808C9" w:rsidP="0087492E">
      <w:pPr>
        <w:spacing w:after="0" w:line="259" w:lineRule="auto"/>
        <w:ind w:left="566" w:right="0" w:firstLine="0"/>
        <w:jc w:val="left"/>
        <w:rPr>
          <w:sz w:val="24"/>
          <w:szCs w:val="24"/>
        </w:rPr>
      </w:pPr>
      <w:r w:rsidRPr="00CD7A08">
        <w:rPr>
          <w:noProof/>
          <w:sz w:val="24"/>
          <w:szCs w:val="24"/>
        </w:rPr>
        <w:lastRenderedPageBreak/>
        <w:drawing>
          <wp:inline distT="0" distB="0" distL="0" distR="0" wp14:anchorId="6531CC33" wp14:editId="7B9C8C48">
            <wp:extent cx="4599305" cy="2223135"/>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A9254E" w14:textId="57F832A1" w:rsidR="00651A32" w:rsidRPr="00F855C6" w:rsidRDefault="00651A32" w:rsidP="00651A32">
      <w:pPr>
        <w:spacing w:after="0" w:line="259" w:lineRule="auto"/>
        <w:ind w:right="0" w:firstLine="0"/>
        <w:rPr>
          <w:b/>
          <w:bCs/>
          <w:sz w:val="24"/>
          <w:szCs w:val="24"/>
        </w:rPr>
      </w:pPr>
      <w:r w:rsidRPr="00F855C6">
        <w:rPr>
          <w:b/>
          <w:bCs/>
          <w:sz w:val="24"/>
          <w:szCs w:val="24"/>
        </w:rPr>
        <w:t>Figure 1</w:t>
      </w:r>
      <w:r w:rsidR="00E93475" w:rsidRPr="00F855C6">
        <w:rPr>
          <w:b/>
          <w:bCs/>
          <w:sz w:val="24"/>
          <w:szCs w:val="24"/>
        </w:rPr>
        <w:t>: A</w:t>
      </w:r>
      <w:r w:rsidRPr="00F855C6">
        <w:rPr>
          <w:b/>
          <w:bCs/>
          <w:sz w:val="24"/>
          <w:szCs w:val="24"/>
        </w:rPr>
        <w:t xml:space="preserve"> comparative overview of fatigue and apathy levels across the seven institutions.</w:t>
      </w:r>
    </w:p>
    <w:p w14:paraId="2684717E" w14:textId="4202AE50" w:rsidR="0087492E" w:rsidRPr="00F855C6" w:rsidRDefault="0087492E" w:rsidP="0087492E">
      <w:pPr>
        <w:spacing w:after="0" w:line="259" w:lineRule="auto"/>
        <w:ind w:left="566" w:right="0" w:firstLine="0"/>
        <w:jc w:val="left"/>
        <w:rPr>
          <w:sz w:val="24"/>
          <w:szCs w:val="24"/>
        </w:rPr>
      </w:pPr>
    </w:p>
    <w:p w14:paraId="0BD69B23" w14:textId="77777777" w:rsidR="0087492E" w:rsidRPr="00F855C6" w:rsidRDefault="0087492E" w:rsidP="0087492E">
      <w:pPr>
        <w:spacing w:after="0" w:line="259" w:lineRule="auto"/>
        <w:ind w:right="0" w:firstLine="0"/>
        <w:rPr>
          <w:sz w:val="24"/>
          <w:szCs w:val="24"/>
        </w:rPr>
      </w:pPr>
      <w:r w:rsidRPr="00F855C6">
        <w:rPr>
          <w:sz w:val="24"/>
          <w:szCs w:val="24"/>
        </w:rPr>
        <w:t>The analysis of burnout levels among KPTMSB lecturers, as depicted in Figure 1, reveals that fatigue consistently surpasses apathy across all campuses. UPTM records the highest mean fatigue level at 3.63, exceeding the burnout threshold line marked at 3.00, indicating a notable concern. KPTM Alor Setar and KPTM Ipoh follow closely with mean fatigue levels of 3.19 and 3.10, respectively, also above the threshold. Conversely, KPTM Kota Bharu reports the lowest fatigue (2.75) and apathy (1.53), suggesting comparatively better lecturer well-being at that campus. The relatively uniform apathy levels, ranging from 1.53 to 1.92, suggest that emotional disengagement is less severe than physical or mental exhaustion across all institutions. This pattern may imply that lecturers remain committed to their responsibilities despite high fatigue. However, persistent high fatigue levels, especially at UPTM, may lead to long-term implications such as reduced job performance, increased absenteeism, and declining morale if not addressed promptly. The data underscores the importance of institutional efforts to manage workload, provide mental health support, and promote work-life balance to mitigate burnout risks among academic staff.</w:t>
      </w:r>
    </w:p>
    <w:p w14:paraId="7B120ADE" w14:textId="77777777" w:rsidR="0087492E" w:rsidRPr="00F855C6" w:rsidRDefault="0087492E" w:rsidP="0087492E">
      <w:pPr>
        <w:spacing w:after="0" w:line="259" w:lineRule="auto"/>
        <w:ind w:right="0" w:firstLine="0"/>
        <w:rPr>
          <w:sz w:val="24"/>
          <w:szCs w:val="24"/>
        </w:rPr>
      </w:pPr>
    </w:p>
    <w:p w14:paraId="7BE60E19" w14:textId="4BC74E9A" w:rsidR="0087492E" w:rsidRPr="00F855C6" w:rsidRDefault="0087492E" w:rsidP="0087492E">
      <w:pPr>
        <w:spacing w:after="0" w:line="259" w:lineRule="auto"/>
        <w:ind w:right="0" w:firstLine="0"/>
        <w:rPr>
          <w:sz w:val="24"/>
          <w:szCs w:val="24"/>
        </w:rPr>
      </w:pPr>
      <w:r w:rsidRPr="00F855C6">
        <w:rPr>
          <w:sz w:val="24"/>
          <w:szCs w:val="24"/>
        </w:rPr>
        <w:t>Table 2 illustrates the distribution of burnout among academic staff across the seven KPTM campuses, focusing on three key dimensions: burnout associated with Role Clarity and Job Demands, Self-Exhaustion, and Work-Related Exhaustion.</w:t>
      </w:r>
    </w:p>
    <w:p w14:paraId="381F4E80" w14:textId="7D08F627" w:rsidR="0087492E" w:rsidRPr="00F855C6" w:rsidRDefault="0087492E" w:rsidP="0087492E">
      <w:pPr>
        <w:spacing w:after="0" w:line="259" w:lineRule="auto"/>
        <w:ind w:right="0" w:firstLine="0"/>
        <w:rPr>
          <w:sz w:val="24"/>
          <w:szCs w:val="24"/>
        </w:rPr>
      </w:pPr>
    </w:p>
    <w:p w14:paraId="54F88C05" w14:textId="0EEA40DE" w:rsidR="0087492E" w:rsidRPr="00F855C6" w:rsidRDefault="0087492E" w:rsidP="0087492E">
      <w:pPr>
        <w:spacing w:after="0" w:line="259" w:lineRule="auto"/>
        <w:ind w:right="0" w:firstLine="0"/>
        <w:rPr>
          <w:b/>
          <w:bCs/>
          <w:sz w:val="24"/>
          <w:szCs w:val="24"/>
        </w:rPr>
      </w:pPr>
      <w:r w:rsidRPr="00F855C6">
        <w:rPr>
          <w:b/>
          <w:bCs/>
          <w:sz w:val="24"/>
          <w:szCs w:val="24"/>
        </w:rPr>
        <w:t>Table 2: Comparison of Burnout Dimensions Among Academic Staff at Different KPTM Campuses</w:t>
      </w:r>
    </w:p>
    <w:p w14:paraId="3F87CC19" w14:textId="77777777" w:rsidR="0087492E" w:rsidRPr="00F855C6" w:rsidRDefault="0087492E" w:rsidP="0087492E">
      <w:pPr>
        <w:spacing w:after="0" w:line="259" w:lineRule="auto"/>
        <w:ind w:right="0" w:firstLine="0"/>
        <w:rPr>
          <w:sz w:val="24"/>
          <w:szCs w:val="24"/>
        </w:rPr>
      </w:pPr>
    </w:p>
    <w:tbl>
      <w:tblPr>
        <w:tblW w:w="0" w:type="auto"/>
        <w:jc w:val="center"/>
        <w:tblLook w:val="04A0" w:firstRow="1" w:lastRow="0" w:firstColumn="1" w:lastColumn="0" w:noHBand="0" w:noVBand="1"/>
      </w:tblPr>
      <w:tblGrid>
        <w:gridCol w:w="2694"/>
        <w:gridCol w:w="2080"/>
        <w:gridCol w:w="2171"/>
        <w:gridCol w:w="8"/>
      </w:tblGrid>
      <w:tr w:rsidR="00651A32" w:rsidRPr="00CD7A08" w14:paraId="462DC808" w14:textId="77777777" w:rsidTr="00CD7A08">
        <w:trPr>
          <w:gridAfter w:val="1"/>
          <w:wAfter w:w="8" w:type="dxa"/>
          <w:jc w:val="center"/>
        </w:trPr>
        <w:tc>
          <w:tcPr>
            <w:tcW w:w="2694" w:type="dxa"/>
            <w:vMerge w:val="restart"/>
            <w:tcBorders>
              <w:top w:val="single" w:sz="4" w:space="0" w:color="auto"/>
              <w:bottom w:val="single" w:sz="4" w:space="0" w:color="auto"/>
            </w:tcBorders>
            <w:shd w:val="clear" w:color="auto" w:fill="auto"/>
          </w:tcPr>
          <w:p w14:paraId="07B031E3" w14:textId="77777777" w:rsidR="00651A32" w:rsidRPr="00CD7A08" w:rsidRDefault="00651A32" w:rsidP="00B338C5">
            <w:pPr>
              <w:rPr>
                <w:b/>
                <w:bCs/>
                <w:sz w:val="24"/>
                <w:szCs w:val="24"/>
                <w:lang w:eastAsia="en-US"/>
              </w:rPr>
            </w:pPr>
            <w:r w:rsidRPr="00CD7A08">
              <w:rPr>
                <w:b/>
                <w:bCs/>
                <w:sz w:val="24"/>
                <w:szCs w:val="24"/>
                <w:lang w:eastAsia="en-US"/>
              </w:rPr>
              <w:t>Burnout Domain</w:t>
            </w:r>
          </w:p>
        </w:tc>
        <w:tc>
          <w:tcPr>
            <w:tcW w:w="4251" w:type="dxa"/>
            <w:gridSpan w:val="2"/>
            <w:tcBorders>
              <w:top w:val="single" w:sz="4" w:space="0" w:color="auto"/>
              <w:bottom w:val="single" w:sz="4" w:space="0" w:color="auto"/>
            </w:tcBorders>
            <w:shd w:val="clear" w:color="auto" w:fill="auto"/>
          </w:tcPr>
          <w:p w14:paraId="0D767D73" w14:textId="77777777" w:rsidR="00651A32" w:rsidRPr="00CD7A08" w:rsidRDefault="00651A32" w:rsidP="00CD7A08">
            <w:pPr>
              <w:ind w:firstLine="0"/>
              <w:jc w:val="center"/>
              <w:rPr>
                <w:b/>
                <w:bCs/>
                <w:sz w:val="24"/>
                <w:szCs w:val="24"/>
                <w:lang w:eastAsia="en-US"/>
              </w:rPr>
            </w:pPr>
            <w:r w:rsidRPr="00CD7A08">
              <w:rPr>
                <w:b/>
                <w:bCs/>
                <w:sz w:val="24"/>
                <w:szCs w:val="24"/>
                <w:lang w:eastAsia="en-US"/>
              </w:rPr>
              <w:t>Burnout, n (%)</w:t>
            </w:r>
          </w:p>
        </w:tc>
      </w:tr>
      <w:tr w:rsidR="00651A32" w:rsidRPr="00CD7A08" w14:paraId="322B76D0" w14:textId="77777777" w:rsidTr="00CD7A08">
        <w:trPr>
          <w:jc w:val="center"/>
        </w:trPr>
        <w:tc>
          <w:tcPr>
            <w:tcW w:w="2694" w:type="dxa"/>
            <w:vMerge/>
            <w:tcBorders>
              <w:top w:val="single" w:sz="4" w:space="0" w:color="auto"/>
              <w:bottom w:val="single" w:sz="4" w:space="0" w:color="auto"/>
            </w:tcBorders>
            <w:shd w:val="clear" w:color="auto" w:fill="auto"/>
          </w:tcPr>
          <w:p w14:paraId="655FAD8D" w14:textId="77777777" w:rsidR="00651A32" w:rsidRPr="00CD7A08" w:rsidRDefault="00651A32" w:rsidP="00B338C5">
            <w:pPr>
              <w:rPr>
                <w:b/>
                <w:bCs/>
                <w:sz w:val="24"/>
                <w:szCs w:val="24"/>
                <w:lang w:eastAsia="en-US"/>
              </w:rPr>
            </w:pPr>
          </w:p>
        </w:tc>
        <w:tc>
          <w:tcPr>
            <w:tcW w:w="2080" w:type="dxa"/>
            <w:tcBorders>
              <w:top w:val="single" w:sz="4" w:space="0" w:color="auto"/>
              <w:bottom w:val="single" w:sz="4" w:space="0" w:color="auto"/>
            </w:tcBorders>
            <w:shd w:val="clear" w:color="auto" w:fill="auto"/>
          </w:tcPr>
          <w:p w14:paraId="2291E17A" w14:textId="77777777" w:rsidR="00651A32" w:rsidRPr="00CD7A08" w:rsidRDefault="00651A32" w:rsidP="00CD7A08">
            <w:pPr>
              <w:jc w:val="center"/>
              <w:rPr>
                <w:b/>
                <w:bCs/>
                <w:sz w:val="24"/>
                <w:szCs w:val="24"/>
                <w:lang w:eastAsia="en-US"/>
              </w:rPr>
            </w:pPr>
            <w:r w:rsidRPr="00CD7A08">
              <w:rPr>
                <w:b/>
                <w:bCs/>
                <w:sz w:val="24"/>
                <w:szCs w:val="24"/>
                <w:lang w:eastAsia="en-US"/>
              </w:rPr>
              <w:t>No Burnout</w:t>
            </w:r>
          </w:p>
        </w:tc>
        <w:tc>
          <w:tcPr>
            <w:tcW w:w="2177" w:type="dxa"/>
            <w:gridSpan w:val="2"/>
            <w:tcBorders>
              <w:top w:val="single" w:sz="4" w:space="0" w:color="auto"/>
              <w:bottom w:val="single" w:sz="4" w:space="0" w:color="auto"/>
            </w:tcBorders>
            <w:shd w:val="clear" w:color="auto" w:fill="auto"/>
          </w:tcPr>
          <w:p w14:paraId="5183C456" w14:textId="77777777" w:rsidR="00651A32" w:rsidRPr="00CD7A08" w:rsidRDefault="00651A32" w:rsidP="00CD7A08">
            <w:pPr>
              <w:jc w:val="center"/>
              <w:rPr>
                <w:b/>
                <w:bCs/>
                <w:sz w:val="24"/>
                <w:szCs w:val="24"/>
                <w:lang w:eastAsia="en-US"/>
              </w:rPr>
            </w:pPr>
            <w:r w:rsidRPr="00CD7A08">
              <w:rPr>
                <w:b/>
                <w:bCs/>
                <w:sz w:val="24"/>
                <w:szCs w:val="24"/>
                <w:lang w:eastAsia="en-US"/>
              </w:rPr>
              <w:t>Burnout</w:t>
            </w:r>
          </w:p>
        </w:tc>
      </w:tr>
      <w:tr w:rsidR="00651A32" w:rsidRPr="00CD7A08" w14:paraId="6933504C" w14:textId="77777777" w:rsidTr="00CD7A08">
        <w:trPr>
          <w:gridAfter w:val="1"/>
          <w:wAfter w:w="8" w:type="dxa"/>
          <w:jc w:val="center"/>
        </w:trPr>
        <w:tc>
          <w:tcPr>
            <w:tcW w:w="6943" w:type="dxa"/>
            <w:gridSpan w:val="3"/>
            <w:tcBorders>
              <w:top w:val="single" w:sz="4" w:space="0" w:color="auto"/>
            </w:tcBorders>
            <w:shd w:val="clear" w:color="auto" w:fill="auto"/>
          </w:tcPr>
          <w:p w14:paraId="4879D012" w14:textId="77777777" w:rsidR="00651A32" w:rsidRPr="00CD7A08" w:rsidRDefault="00651A32" w:rsidP="00B338C5">
            <w:pPr>
              <w:rPr>
                <w:b/>
                <w:bCs/>
                <w:sz w:val="24"/>
                <w:szCs w:val="24"/>
                <w:lang w:eastAsia="en-US"/>
              </w:rPr>
            </w:pPr>
            <w:r w:rsidRPr="00CD7A08">
              <w:rPr>
                <w:b/>
                <w:bCs/>
                <w:sz w:val="24"/>
                <w:szCs w:val="24"/>
                <w:lang w:eastAsia="en-US"/>
              </w:rPr>
              <w:t xml:space="preserve">Role Clarity &amp; Job Demands </w:t>
            </w:r>
          </w:p>
        </w:tc>
      </w:tr>
      <w:tr w:rsidR="00651A32" w:rsidRPr="00CD7A08" w14:paraId="0ED63322" w14:textId="77777777" w:rsidTr="00CD7A08">
        <w:trPr>
          <w:jc w:val="center"/>
        </w:trPr>
        <w:tc>
          <w:tcPr>
            <w:tcW w:w="2694" w:type="dxa"/>
            <w:shd w:val="clear" w:color="auto" w:fill="auto"/>
          </w:tcPr>
          <w:p w14:paraId="709C5996" w14:textId="77777777" w:rsidR="00651A32" w:rsidRPr="00CD7A08" w:rsidRDefault="00651A32" w:rsidP="00CD7A08">
            <w:pPr>
              <w:jc w:val="right"/>
              <w:rPr>
                <w:sz w:val="24"/>
                <w:szCs w:val="24"/>
                <w:lang w:eastAsia="en-US"/>
              </w:rPr>
            </w:pPr>
            <w:r w:rsidRPr="00CD7A08">
              <w:rPr>
                <w:sz w:val="24"/>
                <w:szCs w:val="24"/>
                <w:lang w:eastAsia="en-US"/>
              </w:rPr>
              <w:t>KPTM Alor Setar</w:t>
            </w:r>
          </w:p>
        </w:tc>
        <w:tc>
          <w:tcPr>
            <w:tcW w:w="2080" w:type="dxa"/>
            <w:shd w:val="clear" w:color="auto" w:fill="auto"/>
          </w:tcPr>
          <w:p w14:paraId="3925B180" w14:textId="77777777" w:rsidR="00651A32" w:rsidRPr="00CD7A08" w:rsidRDefault="00651A32" w:rsidP="00CD7A08">
            <w:pPr>
              <w:jc w:val="center"/>
              <w:rPr>
                <w:sz w:val="24"/>
                <w:szCs w:val="24"/>
                <w:lang w:eastAsia="en-US"/>
              </w:rPr>
            </w:pPr>
            <w:r w:rsidRPr="00CD7A08">
              <w:rPr>
                <w:sz w:val="24"/>
                <w:szCs w:val="24"/>
                <w:lang w:eastAsia="en-US"/>
              </w:rPr>
              <w:t>38 (76.3)</w:t>
            </w:r>
          </w:p>
        </w:tc>
        <w:tc>
          <w:tcPr>
            <w:tcW w:w="2177" w:type="dxa"/>
            <w:gridSpan w:val="2"/>
            <w:shd w:val="clear" w:color="auto" w:fill="auto"/>
          </w:tcPr>
          <w:p w14:paraId="76174574" w14:textId="77777777" w:rsidR="00651A32" w:rsidRPr="00CD7A08" w:rsidRDefault="00651A32" w:rsidP="00CD7A08">
            <w:pPr>
              <w:jc w:val="center"/>
              <w:rPr>
                <w:sz w:val="24"/>
                <w:szCs w:val="24"/>
                <w:lang w:eastAsia="en-US"/>
              </w:rPr>
            </w:pPr>
            <w:r w:rsidRPr="00CD7A08">
              <w:rPr>
                <w:sz w:val="24"/>
                <w:szCs w:val="24"/>
                <w:lang w:eastAsia="en-US"/>
              </w:rPr>
              <w:t>12 (23.7)</w:t>
            </w:r>
          </w:p>
        </w:tc>
      </w:tr>
      <w:tr w:rsidR="00651A32" w:rsidRPr="00CD7A08" w14:paraId="1C5D4D3E" w14:textId="77777777" w:rsidTr="00CD7A08">
        <w:trPr>
          <w:jc w:val="center"/>
        </w:trPr>
        <w:tc>
          <w:tcPr>
            <w:tcW w:w="2694" w:type="dxa"/>
            <w:shd w:val="clear" w:color="auto" w:fill="auto"/>
          </w:tcPr>
          <w:p w14:paraId="4A745526" w14:textId="77777777" w:rsidR="00651A32" w:rsidRPr="00CD7A08" w:rsidRDefault="00651A32" w:rsidP="00CD7A08">
            <w:pPr>
              <w:jc w:val="right"/>
              <w:rPr>
                <w:sz w:val="24"/>
                <w:szCs w:val="24"/>
                <w:lang w:eastAsia="en-US"/>
              </w:rPr>
            </w:pPr>
            <w:r w:rsidRPr="00CD7A08">
              <w:rPr>
                <w:sz w:val="24"/>
                <w:szCs w:val="24"/>
                <w:lang w:eastAsia="en-US"/>
              </w:rPr>
              <w:t>KPTM Bangi</w:t>
            </w:r>
          </w:p>
        </w:tc>
        <w:tc>
          <w:tcPr>
            <w:tcW w:w="2080" w:type="dxa"/>
            <w:shd w:val="clear" w:color="auto" w:fill="auto"/>
          </w:tcPr>
          <w:p w14:paraId="6BF37CAD" w14:textId="77777777" w:rsidR="00651A32" w:rsidRPr="00CD7A08" w:rsidRDefault="00651A32" w:rsidP="00CD7A08">
            <w:pPr>
              <w:jc w:val="center"/>
              <w:rPr>
                <w:sz w:val="24"/>
                <w:szCs w:val="24"/>
                <w:lang w:eastAsia="en-US"/>
              </w:rPr>
            </w:pPr>
            <w:r w:rsidRPr="00CD7A08">
              <w:rPr>
                <w:sz w:val="24"/>
                <w:szCs w:val="24"/>
                <w:lang w:eastAsia="en-US"/>
              </w:rPr>
              <w:t>122 (72.0)</w:t>
            </w:r>
          </w:p>
        </w:tc>
        <w:tc>
          <w:tcPr>
            <w:tcW w:w="2177" w:type="dxa"/>
            <w:gridSpan w:val="2"/>
            <w:shd w:val="clear" w:color="auto" w:fill="auto"/>
          </w:tcPr>
          <w:p w14:paraId="7702EBEF" w14:textId="77777777" w:rsidR="00651A32" w:rsidRPr="00CD7A08" w:rsidRDefault="00651A32" w:rsidP="00CD7A08">
            <w:pPr>
              <w:jc w:val="center"/>
              <w:rPr>
                <w:sz w:val="24"/>
                <w:szCs w:val="24"/>
                <w:lang w:eastAsia="en-US"/>
              </w:rPr>
            </w:pPr>
            <w:r w:rsidRPr="00CD7A08">
              <w:rPr>
                <w:sz w:val="24"/>
                <w:szCs w:val="24"/>
                <w:lang w:eastAsia="en-US"/>
              </w:rPr>
              <w:t>47 (28.0)</w:t>
            </w:r>
          </w:p>
        </w:tc>
      </w:tr>
      <w:tr w:rsidR="00651A32" w:rsidRPr="00CD7A08" w14:paraId="388F8DC0" w14:textId="77777777" w:rsidTr="00CD7A08">
        <w:trPr>
          <w:jc w:val="center"/>
        </w:trPr>
        <w:tc>
          <w:tcPr>
            <w:tcW w:w="2694" w:type="dxa"/>
            <w:shd w:val="clear" w:color="auto" w:fill="auto"/>
          </w:tcPr>
          <w:p w14:paraId="42690DA1" w14:textId="77777777" w:rsidR="00651A32" w:rsidRPr="00CD7A08" w:rsidRDefault="00651A32" w:rsidP="00CD7A08">
            <w:pPr>
              <w:jc w:val="right"/>
              <w:rPr>
                <w:sz w:val="24"/>
                <w:szCs w:val="24"/>
                <w:lang w:eastAsia="en-US"/>
              </w:rPr>
            </w:pPr>
            <w:r w:rsidRPr="00CD7A08">
              <w:rPr>
                <w:sz w:val="24"/>
                <w:szCs w:val="24"/>
                <w:lang w:eastAsia="en-US"/>
              </w:rPr>
              <w:t>KPTM Batu Pahat</w:t>
            </w:r>
          </w:p>
        </w:tc>
        <w:tc>
          <w:tcPr>
            <w:tcW w:w="2080" w:type="dxa"/>
            <w:shd w:val="clear" w:color="auto" w:fill="auto"/>
          </w:tcPr>
          <w:p w14:paraId="533CA59D" w14:textId="77777777" w:rsidR="00651A32" w:rsidRPr="00CD7A08" w:rsidRDefault="00651A32" w:rsidP="00CD7A08">
            <w:pPr>
              <w:jc w:val="center"/>
              <w:rPr>
                <w:sz w:val="24"/>
                <w:szCs w:val="24"/>
                <w:lang w:eastAsia="en-US"/>
              </w:rPr>
            </w:pPr>
            <w:r w:rsidRPr="00CD7A08">
              <w:rPr>
                <w:sz w:val="24"/>
                <w:szCs w:val="24"/>
                <w:lang w:eastAsia="en-US"/>
              </w:rPr>
              <w:t>44 (74.3)</w:t>
            </w:r>
          </w:p>
        </w:tc>
        <w:tc>
          <w:tcPr>
            <w:tcW w:w="2177" w:type="dxa"/>
            <w:gridSpan w:val="2"/>
            <w:shd w:val="clear" w:color="auto" w:fill="auto"/>
          </w:tcPr>
          <w:p w14:paraId="58AA66DA" w14:textId="77777777" w:rsidR="00651A32" w:rsidRPr="00CD7A08" w:rsidRDefault="00651A32" w:rsidP="00CD7A08">
            <w:pPr>
              <w:jc w:val="center"/>
              <w:rPr>
                <w:sz w:val="24"/>
                <w:szCs w:val="24"/>
                <w:lang w:eastAsia="en-US"/>
              </w:rPr>
            </w:pPr>
            <w:r w:rsidRPr="00CD7A08">
              <w:rPr>
                <w:sz w:val="24"/>
                <w:szCs w:val="24"/>
                <w:lang w:eastAsia="en-US"/>
              </w:rPr>
              <w:t>15 (25.7)</w:t>
            </w:r>
          </w:p>
        </w:tc>
      </w:tr>
      <w:tr w:rsidR="00651A32" w:rsidRPr="00CD7A08" w14:paraId="25859493" w14:textId="77777777" w:rsidTr="00CD7A08">
        <w:trPr>
          <w:jc w:val="center"/>
        </w:trPr>
        <w:tc>
          <w:tcPr>
            <w:tcW w:w="2694" w:type="dxa"/>
            <w:shd w:val="clear" w:color="auto" w:fill="auto"/>
          </w:tcPr>
          <w:p w14:paraId="763DD5E3" w14:textId="77777777" w:rsidR="00651A32" w:rsidRPr="00CD7A08" w:rsidRDefault="00651A32" w:rsidP="00CD7A08">
            <w:pPr>
              <w:jc w:val="right"/>
              <w:rPr>
                <w:sz w:val="24"/>
                <w:szCs w:val="24"/>
                <w:lang w:eastAsia="en-US"/>
              </w:rPr>
            </w:pPr>
            <w:r w:rsidRPr="00CD7A08">
              <w:rPr>
                <w:sz w:val="24"/>
                <w:szCs w:val="24"/>
                <w:lang w:eastAsia="en-US"/>
              </w:rPr>
              <w:t>KPTM Ipoh</w:t>
            </w:r>
          </w:p>
        </w:tc>
        <w:tc>
          <w:tcPr>
            <w:tcW w:w="2080" w:type="dxa"/>
            <w:shd w:val="clear" w:color="auto" w:fill="auto"/>
          </w:tcPr>
          <w:p w14:paraId="3D436F2F" w14:textId="77777777" w:rsidR="00651A32" w:rsidRPr="00CD7A08" w:rsidRDefault="00651A32" w:rsidP="00CD7A08">
            <w:pPr>
              <w:jc w:val="center"/>
              <w:rPr>
                <w:sz w:val="24"/>
                <w:szCs w:val="24"/>
                <w:lang w:eastAsia="en-US"/>
              </w:rPr>
            </w:pPr>
            <w:r w:rsidRPr="00CD7A08">
              <w:rPr>
                <w:sz w:val="24"/>
                <w:szCs w:val="24"/>
                <w:lang w:eastAsia="en-US"/>
              </w:rPr>
              <w:t>53 (72.8)</w:t>
            </w:r>
          </w:p>
        </w:tc>
        <w:tc>
          <w:tcPr>
            <w:tcW w:w="2177" w:type="dxa"/>
            <w:gridSpan w:val="2"/>
            <w:shd w:val="clear" w:color="auto" w:fill="auto"/>
          </w:tcPr>
          <w:p w14:paraId="5F0D3284" w14:textId="77777777" w:rsidR="00651A32" w:rsidRPr="00CD7A08" w:rsidRDefault="00651A32" w:rsidP="00CD7A08">
            <w:pPr>
              <w:jc w:val="center"/>
              <w:rPr>
                <w:sz w:val="24"/>
                <w:szCs w:val="24"/>
                <w:lang w:eastAsia="en-US"/>
              </w:rPr>
            </w:pPr>
            <w:r w:rsidRPr="00CD7A08">
              <w:rPr>
                <w:sz w:val="24"/>
                <w:szCs w:val="24"/>
                <w:lang w:eastAsia="en-US"/>
              </w:rPr>
              <w:t>20 (27.2)</w:t>
            </w:r>
          </w:p>
        </w:tc>
      </w:tr>
      <w:tr w:rsidR="00651A32" w:rsidRPr="00CD7A08" w14:paraId="4B820FB4" w14:textId="77777777" w:rsidTr="00CD7A08">
        <w:trPr>
          <w:jc w:val="center"/>
        </w:trPr>
        <w:tc>
          <w:tcPr>
            <w:tcW w:w="2694" w:type="dxa"/>
            <w:shd w:val="clear" w:color="auto" w:fill="auto"/>
          </w:tcPr>
          <w:p w14:paraId="10A1882C" w14:textId="77777777" w:rsidR="00651A32" w:rsidRPr="00CD7A08" w:rsidRDefault="00651A32" w:rsidP="00CD7A08">
            <w:pPr>
              <w:jc w:val="right"/>
              <w:rPr>
                <w:sz w:val="24"/>
                <w:szCs w:val="24"/>
                <w:lang w:eastAsia="en-US"/>
              </w:rPr>
            </w:pPr>
            <w:r w:rsidRPr="00CD7A08">
              <w:rPr>
                <w:sz w:val="24"/>
                <w:szCs w:val="24"/>
                <w:lang w:eastAsia="en-US"/>
              </w:rPr>
              <w:t>KPTM Kota Bahru</w:t>
            </w:r>
          </w:p>
        </w:tc>
        <w:tc>
          <w:tcPr>
            <w:tcW w:w="2080" w:type="dxa"/>
            <w:shd w:val="clear" w:color="auto" w:fill="auto"/>
          </w:tcPr>
          <w:p w14:paraId="1FF1BF60" w14:textId="77777777" w:rsidR="00651A32" w:rsidRPr="00CD7A08" w:rsidRDefault="00651A32" w:rsidP="00CD7A08">
            <w:pPr>
              <w:jc w:val="center"/>
              <w:rPr>
                <w:sz w:val="24"/>
                <w:szCs w:val="24"/>
                <w:lang w:eastAsia="en-US"/>
              </w:rPr>
            </w:pPr>
            <w:r w:rsidRPr="00CD7A08">
              <w:rPr>
                <w:sz w:val="24"/>
                <w:szCs w:val="24"/>
                <w:lang w:eastAsia="en-US"/>
              </w:rPr>
              <w:t>95 (73.1)</w:t>
            </w:r>
          </w:p>
        </w:tc>
        <w:tc>
          <w:tcPr>
            <w:tcW w:w="2177" w:type="dxa"/>
            <w:gridSpan w:val="2"/>
            <w:shd w:val="clear" w:color="auto" w:fill="auto"/>
          </w:tcPr>
          <w:p w14:paraId="184792FB" w14:textId="77777777" w:rsidR="00651A32" w:rsidRPr="00CD7A08" w:rsidRDefault="00651A32" w:rsidP="00CD7A08">
            <w:pPr>
              <w:jc w:val="center"/>
              <w:rPr>
                <w:sz w:val="24"/>
                <w:szCs w:val="24"/>
                <w:lang w:eastAsia="en-US"/>
              </w:rPr>
            </w:pPr>
            <w:r w:rsidRPr="00CD7A08">
              <w:rPr>
                <w:sz w:val="24"/>
                <w:szCs w:val="24"/>
                <w:lang w:eastAsia="en-US"/>
              </w:rPr>
              <w:t>35 (26.9)</w:t>
            </w:r>
          </w:p>
        </w:tc>
      </w:tr>
      <w:tr w:rsidR="00651A32" w:rsidRPr="00CD7A08" w14:paraId="25133037" w14:textId="77777777" w:rsidTr="00CD7A08">
        <w:trPr>
          <w:jc w:val="center"/>
        </w:trPr>
        <w:tc>
          <w:tcPr>
            <w:tcW w:w="2694" w:type="dxa"/>
            <w:shd w:val="clear" w:color="auto" w:fill="auto"/>
          </w:tcPr>
          <w:p w14:paraId="57A14F5F" w14:textId="77777777" w:rsidR="00651A32" w:rsidRPr="00CD7A08" w:rsidRDefault="00651A32" w:rsidP="00CD7A08">
            <w:pPr>
              <w:jc w:val="right"/>
              <w:rPr>
                <w:sz w:val="24"/>
                <w:szCs w:val="24"/>
                <w:lang w:eastAsia="en-US"/>
              </w:rPr>
            </w:pPr>
            <w:r w:rsidRPr="00CD7A08">
              <w:rPr>
                <w:sz w:val="24"/>
                <w:szCs w:val="24"/>
                <w:lang w:eastAsia="en-US"/>
              </w:rPr>
              <w:t>KPTM Kuantan</w:t>
            </w:r>
          </w:p>
        </w:tc>
        <w:tc>
          <w:tcPr>
            <w:tcW w:w="2080" w:type="dxa"/>
            <w:shd w:val="clear" w:color="auto" w:fill="auto"/>
          </w:tcPr>
          <w:p w14:paraId="626EC753" w14:textId="77777777" w:rsidR="00651A32" w:rsidRPr="00CD7A08" w:rsidRDefault="00651A32" w:rsidP="00CD7A08">
            <w:pPr>
              <w:jc w:val="center"/>
              <w:rPr>
                <w:sz w:val="24"/>
                <w:szCs w:val="24"/>
                <w:lang w:eastAsia="en-US"/>
              </w:rPr>
            </w:pPr>
            <w:r w:rsidRPr="00CD7A08">
              <w:rPr>
                <w:sz w:val="24"/>
                <w:szCs w:val="24"/>
                <w:lang w:eastAsia="en-US"/>
              </w:rPr>
              <w:t>46 (78.8)</w:t>
            </w:r>
          </w:p>
        </w:tc>
        <w:tc>
          <w:tcPr>
            <w:tcW w:w="2177" w:type="dxa"/>
            <w:gridSpan w:val="2"/>
            <w:shd w:val="clear" w:color="auto" w:fill="auto"/>
          </w:tcPr>
          <w:p w14:paraId="4EE1B6DC" w14:textId="77777777" w:rsidR="00651A32" w:rsidRPr="00CD7A08" w:rsidRDefault="00651A32" w:rsidP="00CD7A08">
            <w:pPr>
              <w:jc w:val="center"/>
              <w:rPr>
                <w:sz w:val="24"/>
                <w:szCs w:val="24"/>
                <w:lang w:eastAsia="en-US"/>
              </w:rPr>
            </w:pPr>
            <w:r w:rsidRPr="00CD7A08">
              <w:rPr>
                <w:sz w:val="24"/>
                <w:szCs w:val="24"/>
                <w:lang w:eastAsia="en-US"/>
              </w:rPr>
              <w:t>12 (21.2)</w:t>
            </w:r>
          </w:p>
        </w:tc>
      </w:tr>
      <w:tr w:rsidR="00651A32" w:rsidRPr="00CD7A08" w14:paraId="2CD28BFE" w14:textId="77777777" w:rsidTr="00CD7A08">
        <w:trPr>
          <w:jc w:val="center"/>
        </w:trPr>
        <w:tc>
          <w:tcPr>
            <w:tcW w:w="2694" w:type="dxa"/>
            <w:shd w:val="clear" w:color="auto" w:fill="auto"/>
          </w:tcPr>
          <w:p w14:paraId="6C2D66D9" w14:textId="77777777" w:rsidR="00651A32" w:rsidRPr="00CD7A08" w:rsidRDefault="00651A32" w:rsidP="00CD7A08">
            <w:pPr>
              <w:jc w:val="right"/>
              <w:rPr>
                <w:sz w:val="24"/>
                <w:szCs w:val="24"/>
                <w:lang w:eastAsia="en-US"/>
              </w:rPr>
            </w:pPr>
            <w:r w:rsidRPr="00CD7A08">
              <w:rPr>
                <w:sz w:val="24"/>
                <w:szCs w:val="24"/>
                <w:lang w:eastAsia="en-US"/>
              </w:rPr>
              <w:t>UPTM</w:t>
            </w:r>
          </w:p>
        </w:tc>
        <w:tc>
          <w:tcPr>
            <w:tcW w:w="2080" w:type="dxa"/>
            <w:shd w:val="clear" w:color="auto" w:fill="auto"/>
          </w:tcPr>
          <w:p w14:paraId="24CF8DDE" w14:textId="77777777" w:rsidR="00651A32" w:rsidRPr="00CD7A08" w:rsidRDefault="00651A32" w:rsidP="00CD7A08">
            <w:pPr>
              <w:jc w:val="center"/>
              <w:rPr>
                <w:sz w:val="24"/>
                <w:szCs w:val="24"/>
                <w:lang w:eastAsia="en-US"/>
              </w:rPr>
            </w:pPr>
            <w:r w:rsidRPr="00CD7A08">
              <w:rPr>
                <w:sz w:val="24"/>
                <w:szCs w:val="24"/>
                <w:lang w:eastAsia="en-US"/>
              </w:rPr>
              <w:t>124 (65.2)</w:t>
            </w:r>
          </w:p>
        </w:tc>
        <w:tc>
          <w:tcPr>
            <w:tcW w:w="2177" w:type="dxa"/>
            <w:gridSpan w:val="2"/>
            <w:shd w:val="clear" w:color="auto" w:fill="auto"/>
          </w:tcPr>
          <w:p w14:paraId="49823B04" w14:textId="77777777" w:rsidR="00651A32" w:rsidRPr="00CD7A08" w:rsidRDefault="00651A32" w:rsidP="00CD7A08">
            <w:pPr>
              <w:jc w:val="center"/>
              <w:rPr>
                <w:sz w:val="24"/>
                <w:szCs w:val="24"/>
                <w:lang w:eastAsia="en-US"/>
              </w:rPr>
            </w:pPr>
            <w:r w:rsidRPr="00CD7A08">
              <w:rPr>
                <w:sz w:val="24"/>
                <w:szCs w:val="24"/>
                <w:lang w:eastAsia="en-US"/>
              </w:rPr>
              <w:t>66 (34.8)</w:t>
            </w:r>
          </w:p>
        </w:tc>
      </w:tr>
      <w:tr w:rsidR="00651A32" w:rsidRPr="00CD7A08" w14:paraId="7190C021" w14:textId="77777777" w:rsidTr="00CD7A08">
        <w:trPr>
          <w:jc w:val="center"/>
        </w:trPr>
        <w:tc>
          <w:tcPr>
            <w:tcW w:w="2694" w:type="dxa"/>
            <w:shd w:val="clear" w:color="auto" w:fill="auto"/>
          </w:tcPr>
          <w:p w14:paraId="24515688" w14:textId="77777777" w:rsidR="00651A32" w:rsidRPr="00CD7A08" w:rsidRDefault="00651A32" w:rsidP="00CD7A08">
            <w:pPr>
              <w:jc w:val="right"/>
              <w:rPr>
                <w:sz w:val="24"/>
                <w:szCs w:val="24"/>
                <w:lang w:eastAsia="en-US"/>
              </w:rPr>
            </w:pPr>
            <w:r w:rsidRPr="00CD7A08">
              <w:rPr>
                <w:sz w:val="24"/>
                <w:szCs w:val="24"/>
                <w:lang w:eastAsia="en-US"/>
              </w:rPr>
              <w:t>Overall</w:t>
            </w:r>
          </w:p>
        </w:tc>
        <w:tc>
          <w:tcPr>
            <w:tcW w:w="2080" w:type="dxa"/>
            <w:shd w:val="clear" w:color="auto" w:fill="auto"/>
          </w:tcPr>
          <w:p w14:paraId="5F716F47" w14:textId="77777777" w:rsidR="00651A32" w:rsidRPr="00CD7A08" w:rsidRDefault="00651A32" w:rsidP="00CD7A08">
            <w:pPr>
              <w:jc w:val="center"/>
              <w:rPr>
                <w:sz w:val="24"/>
                <w:szCs w:val="24"/>
                <w:lang w:eastAsia="en-US"/>
              </w:rPr>
            </w:pPr>
            <w:r w:rsidRPr="00CD7A08">
              <w:rPr>
                <w:sz w:val="24"/>
                <w:szCs w:val="24"/>
                <w:lang w:eastAsia="en-US"/>
              </w:rPr>
              <w:t>522 (71.6)</w:t>
            </w:r>
          </w:p>
        </w:tc>
        <w:tc>
          <w:tcPr>
            <w:tcW w:w="2177" w:type="dxa"/>
            <w:gridSpan w:val="2"/>
            <w:shd w:val="clear" w:color="auto" w:fill="auto"/>
          </w:tcPr>
          <w:p w14:paraId="1DC6E8C3" w14:textId="77777777" w:rsidR="00651A32" w:rsidRPr="00CD7A08" w:rsidRDefault="00651A32" w:rsidP="00CD7A08">
            <w:pPr>
              <w:jc w:val="center"/>
              <w:rPr>
                <w:sz w:val="24"/>
                <w:szCs w:val="24"/>
                <w:lang w:eastAsia="en-US"/>
              </w:rPr>
            </w:pPr>
            <w:r w:rsidRPr="00CD7A08">
              <w:rPr>
                <w:sz w:val="24"/>
                <w:szCs w:val="24"/>
                <w:lang w:eastAsia="en-US"/>
              </w:rPr>
              <w:t>207 (28.4)</w:t>
            </w:r>
          </w:p>
        </w:tc>
      </w:tr>
      <w:tr w:rsidR="00651A32" w:rsidRPr="00CD7A08" w14:paraId="6958E39F" w14:textId="77777777" w:rsidTr="00CD7A08">
        <w:trPr>
          <w:jc w:val="center"/>
        </w:trPr>
        <w:tc>
          <w:tcPr>
            <w:tcW w:w="2694" w:type="dxa"/>
            <w:shd w:val="clear" w:color="auto" w:fill="auto"/>
          </w:tcPr>
          <w:p w14:paraId="592795A4" w14:textId="77777777" w:rsidR="00651A32" w:rsidRPr="00CD7A08" w:rsidRDefault="00651A32" w:rsidP="00B338C5">
            <w:pPr>
              <w:rPr>
                <w:sz w:val="24"/>
                <w:szCs w:val="24"/>
                <w:lang w:eastAsia="en-US"/>
              </w:rPr>
            </w:pPr>
          </w:p>
        </w:tc>
        <w:tc>
          <w:tcPr>
            <w:tcW w:w="2080" w:type="dxa"/>
            <w:shd w:val="clear" w:color="auto" w:fill="auto"/>
          </w:tcPr>
          <w:p w14:paraId="5EA4A4E5" w14:textId="77777777" w:rsidR="00651A32" w:rsidRPr="00CD7A08" w:rsidRDefault="00651A32" w:rsidP="00B338C5">
            <w:pPr>
              <w:rPr>
                <w:sz w:val="24"/>
                <w:szCs w:val="24"/>
                <w:lang w:eastAsia="en-US"/>
              </w:rPr>
            </w:pPr>
          </w:p>
        </w:tc>
        <w:tc>
          <w:tcPr>
            <w:tcW w:w="2177" w:type="dxa"/>
            <w:gridSpan w:val="2"/>
            <w:shd w:val="clear" w:color="auto" w:fill="auto"/>
          </w:tcPr>
          <w:p w14:paraId="6D56C9BE" w14:textId="77777777" w:rsidR="00651A32" w:rsidRPr="00CD7A08" w:rsidRDefault="00651A32" w:rsidP="00B338C5">
            <w:pPr>
              <w:rPr>
                <w:sz w:val="24"/>
                <w:szCs w:val="24"/>
                <w:lang w:eastAsia="en-US"/>
              </w:rPr>
            </w:pPr>
          </w:p>
        </w:tc>
      </w:tr>
      <w:tr w:rsidR="00651A32" w:rsidRPr="00CD7A08" w14:paraId="579A2868" w14:textId="77777777" w:rsidTr="00CD7A08">
        <w:trPr>
          <w:gridAfter w:val="1"/>
          <w:wAfter w:w="8" w:type="dxa"/>
          <w:jc w:val="center"/>
        </w:trPr>
        <w:tc>
          <w:tcPr>
            <w:tcW w:w="6943" w:type="dxa"/>
            <w:gridSpan w:val="3"/>
            <w:shd w:val="clear" w:color="auto" w:fill="auto"/>
          </w:tcPr>
          <w:p w14:paraId="122133E4" w14:textId="7B5EBA32" w:rsidR="00651A32" w:rsidRPr="00CD7A08" w:rsidRDefault="00506A87" w:rsidP="00B338C5">
            <w:pPr>
              <w:rPr>
                <w:sz w:val="24"/>
                <w:szCs w:val="24"/>
                <w:lang w:eastAsia="en-US"/>
              </w:rPr>
            </w:pPr>
            <w:r w:rsidRPr="00CD7A08">
              <w:rPr>
                <w:b/>
                <w:bCs/>
                <w:sz w:val="24"/>
                <w:szCs w:val="24"/>
                <w:lang w:eastAsia="en-US"/>
              </w:rPr>
              <w:t>Self-Exhaustion</w:t>
            </w:r>
          </w:p>
        </w:tc>
      </w:tr>
      <w:tr w:rsidR="00651A32" w:rsidRPr="00CD7A08" w14:paraId="50B53FDE" w14:textId="77777777" w:rsidTr="00CD7A08">
        <w:trPr>
          <w:jc w:val="center"/>
        </w:trPr>
        <w:tc>
          <w:tcPr>
            <w:tcW w:w="2694" w:type="dxa"/>
            <w:shd w:val="clear" w:color="auto" w:fill="auto"/>
          </w:tcPr>
          <w:p w14:paraId="500CF3F3" w14:textId="77777777" w:rsidR="00651A32" w:rsidRPr="00CD7A08" w:rsidRDefault="00651A32" w:rsidP="00CD7A08">
            <w:pPr>
              <w:jc w:val="right"/>
              <w:rPr>
                <w:sz w:val="24"/>
                <w:szCs w:val="24"/>
                <w:lang w:eastAsia="en-US"/>
              </w:rPr>
            </w:pPr>
            <w:r w:rsidRPr="00CD7A08">
              <w:rPr>
                <w:sz w:val="24"/>
                <w:szCs w:val="24"/>
                <w:lang w:eastAsia="en-US"/>
              </w:rPr>
              <w:t>KPTM Alor Setar</w:t>
            </w:r>
          </w:p>
        </w:tc>
        <w:tc>
          <w:tcPr>
            <w:tcW w:w="2080" w:type="dxa"/>
            <w:shd w:val="clear" w:color="auto" w:fill="auto"/>
          </w:tcPr>
          <w:p w14:paraId="1BF786C6" w14:textId="77777777" w:rsidR="00651A32" w:rsidRPr="00CD7A08" w:rsidRDefault="00651A32" w:rsidP="00CD7A08">
            <w:pPr>
              <w:jc w:val="center"/>
              <w:rPr>
                <w:sz w:val="24"/>
                <w:szCs w:val="24"/>
                <w:lang w:eastAsia="en-US"/>
              </w:rPr>
            </w:pPr>
            <w:r w:rsidRPr="00CD7A08">
              <w:rPr>
                <w:sz w:val="24"/>
                <w:szCs w:val="24"/>
                <w:lang w:eastAsia="en-US"/>
              </w:rPr>
              <w:t>35 (70.9)</w:t>
            </w:r>
          </w:p>
        </w:tc>
        <w:tc>
          <w:tcPr>
            <w:tcW w:w="2177" w:type="dxa"/>
            <w:gridSpan w:val="2"/>
            <w:shd w:val="clear" w:color="auto" w:fill="auto"/>
          </w:tcPr>
          <w:p w14:paraId="01FA1713" w14:textId="77777777" w:rsidR="00651A32" w:rsidRPr="00CD7A08" w:rsidRDefault="00651A32" w:rsidP="00CD7A08">
            <w:pPr>
              <w:jc w:val="center"/>
              <w:rPr>
                <w:sz w:val="24"/>
                <w:szCs w:val="24"/>
                <w:lang w:eastAsia="en-US"/>
              </w:rPr>
            </w:pPr>
            <w:r w:rsidRPr="00CD7A08">
              <w:rPr>
                <w:sz w:val="24"/>
                <w:szCs w:val="24"/>
                <w:lang w:eastAsia="en-US"/>
              </w:rPr>
              <w:t>15 (29.1)</w:t>
            </w:r>
          </w:p>
        </w:tc>
      </w:tr>
      <w:tr w:rsidR="00651A32" w:rsidRPr="00CD7A08" w14:paraId="0F15A593" w14:textId="77777777" w:rsidTr="00CD7A08">
        <w:trPr>
          <w:jc w:val="center"/>
        </w:trPr>
        <w:tc>
          <w:tcPr>
            <w:tcW w:w="2694" w:type="dxa"/>
            <w:shd w:val="clear" w:color="auto" w:fill="auto"/>
          </w:tcPr>
          <w:p w14:paraId="545FF75F" w14:textId="77777777" w:rsidR="00651A32" w:rsidRPr="00CD7A08" w:rsidRDefault="00651A32" w:rsidP="00CD7A08">
            <w:pPr>
              <w:jc w:val="right"/>
              <w:rPr>
                <w:sz w:val="24"/>
                <w:szCs w:val="24"/>
                <w:lang w:eastAsia="en-US"/>
              </w:rPr>
            </w:pPr>
            <w:r w:rsidRPr="00CD7A08">
              <w:rPr>
                <w:sz w:val="24"/>
                <w:szCs w:val="24"/>
                <w:lang w:eastAsia="en-US"/>
              </w:rPr>
              <w:t>KPTM Bangi</w:t>
            </w:r>
          </w:p>
        </w:tc>
        <w:tc>
          <w:tcPr>
            <w:tcW w:w="2080" w:type="dxa"/>
            <w:shd w:val="clear" w:color="auto" w:fill="auto"/>
          </w:tcPr>
          <w:p w14:paraId="00A1DB8C" w14:textId="77777777" w:rsidR="00651A32" w:rsidRPr="00CD7A08" w:rsidRDefault="00651A32" w:rsidP="00CD7A08">
            <w:pPr>
              <w:jc w:val="center"/>
              <w:rPr>
                <w:sz w:val="24"/>
                <w:szCs w:val="24"/>
                <w:lang w:eastAsia="en-US"/>
              </w:rPr>
            </w:pPr>
            <w:r w:rsidRPr="00CD7A08">
              <w:rPr>
                <w:sz w:val="24"/>
                <w:szCs w:val="24"/>
                <w:lang w:eastAsia="en-US"/>
              </w:rPr>
              <w:t>126 (74.7)</w:t>
            </w:r>
          </w:p>
        </w:tc>
        <w:tc>
          <w:tcPr>
            <w:tcW w:w="2177" w:type="dxa"/>
            <w:gridSpan w:val="2"/>
            <w:shd w:val="clear" w:color="auto" w:fill="auto"/>
          </w:tcPr>
          <w:p w14:paraId="5C7029C7" w14:textId="77777777" w:rsidR="00651A32" w:rsidRPr="00CD7A08" w:rsidRDefault="00651A32" w:rsidP="00CD7A08">
            <w:pPr>
              <w:jc w:val="center"/>
              <w:rPr>
                <w:sz w:val="24"/>
                <w:szCs w:val="24"/>
                <w:lang w:eastAsia="en-US"/>
              </w:rPr>
            </w:pPr>
            <w:r w:rsidRPr="00CD7A08">
              <w:rPr>
                <w:sz w:val="24"/>
                <w:szCs w:val="24"/>
                <w:lang w:eastAsia="en-US"/>
              </w:rPr>
              <w:t>43 (25.3)</w:t>
            </w:r>
          </w:p>
        </w:tc>
      </w:tr>
      <w:tr w:rsidR="00651A32" w:rsidRPr="00CD7A08" w14:paraId="0BD038D3" w14:textId="77777777" w:rsidTr="00CD7A08">
        <w:trPr>
          <w:jc w:val="center"/>
        </w:trPr>
        <w:tc>
          <w:tcPr>
            <w:tcW w:w="2694" w:type="dxa"/>
            <w:shd w:val="clear" w:color="auto" w:fill="auto"/>
          </w:tcPr>
          <w:p w14:paraId="4C7DB1DF" w14:textId="77777777" w:rsidR="00651A32" w:rsidRPr="00CD7A08" w:rsidRDefault="00651A32" w:rsidP="00CD7A08">
            <w:pPr>
              <w:jc w:val="right"/>
              <w:rPr>
                <w:sz w:val="24"/>
                <w:szCs w:val="24"/>
                <w:lang w:eastAsia="en-US"/>
              </w:rPr>
            </w:pPr>
            <w:r w:rsidRPr="00CD7A08">
              <w:rPr>
                <w:sz w:val="24"/>
                <w:szCs w:val="24"/>
                <w:lang w:eastAsia="en-US"/>
              </w:rPr>
              <w:t>KPTM Batu Pahat</w:t>
            </w:r>
          </w:p>
        </w:tc>
        <w:tc>
          <w:tcPr>
            <w:tcW w:w="2080" w:type="dxa"/>
            <w:shd w:val="clear" w:color="auto" w:fill="auto"/>
          </w:tcPr>
          <w:p w14:paraId="0D1D9E11" w14:textId="77777777" w:rsidR="00651A32" w:rsidRPr="00CD7A08" w:rsidRDefault="00651A32" w:rsidP="00CD7A08">
            <w:pPr>
              <w:jc w:val="center"/>
              <w:rPr>
                <w:sz w:val="24"/>
                <w:szCs w:val="24"/>
                <w:lang w:eastAsia="en-US"/>
              </w:rPr>
            </w:pPr>
            <w:r w:rsidRPr="00CD7A08">
              <w:rPr>
                <w:sz w:val="24"/>
                <w:szCs w:val="24"/>
                <w:lang w:eastAsia="en-US"/>
              </w:rPr>
              <w:t>41 (69.5)</w:t>
            </w:r>
          </w:p>
        </w:tc>
        <w:tc>
          <w:tcPr>
            <w:tcW w:w="2177" w:type="dxa"/>
            <w:gridSpan w:val="2"/>
            <w:shd w:val="clear" w:color="auto" w:fill="auto"/>
          </w:tcPr>
          <w:p w14:paraId="4445B4C9" w14:textId="77777777" w:rsidR="00651A32" w:rsidRPr="00CD7A08" w:rsidRDefault="00651A32" w:rsidP="00CD7A08">
            <w:pPr>
              <w:jc w:val="center"/>
              <w:rPr>
                <w:sz w:val="24"/>
                <w:szCs w:val="24"/>
                <w:lang w:eastAsia="en-US"/>
              </w:rPr>
            </w:pPr>
            <w:r w:rsidRPr="00CD7A08">
              <w:rPr>
                <w:sz w:val="24"/>
                <w:szCs w:val="24"/>
                <w:lang w:eastAsia="en-US"/>
              </w:rPr>
              <w:t>18 (30.5)</w:t>
            </w:r>
          </w:p>
        </w:tc>
      </w:tr>
      <w:tr w:rsidR="00651A32" w:rsidRPr="00CD7A08" w14:paraId="3457B741" w14:textId="77777777" w:rsidTr="00CD7A08">
        <w:trPr>
          <w:jc w:val="center"/>
        </w:trPr>
        <w:tc>
          <w:tcPr>
            <w:tcW w:w="2694" w:type="dxa"/>
            <w:shd w:val="clear" w:color="auto" w:fill="auto"/>
          </w:tcPr>
          <w:p w14:paraId="4E20AD93" w14:textId="77777777" w:rsidR="00651A32" w:rsidRPr="00CD7A08" w:rsidRDefault="00651A32" w:rsidP="00CD7A08">
            <w:pPr>
              <w:jc w:val="right"/>
              <w:rPr>
                <w:sz w:val="24"/>
                <w:szCs w:val="24"/>
                <w:lang w:eastAsia="en-US"/>
              </w:rPr>
            </w:pPr>
            <w:r w:rsidRPr="00CD7A08">
              <w:rPr>
                <w:sz w:val="24"/>
                <w:szCs w:val="24"/>
                <w:lang w:eastAsia="en-US"/>
              </w:rPr>
              <w:t>KPTM Ipoh</w:t>
            </w:r>
          </w:p>
        </w:tc>
        <w:tc>
          <w:tcPr>
            <w:tcW w:w="2080" w:type="dxa"/>
            <w:shd w:val="clear" w:color="auto" w:fill="auto"/>
          </w:tcPr>
          <w:p w14:paraId="56AFBFB6" w14:textId="77777777" w:rsidR="00651A32" w:rsidRPr="00CD7A08" w:rsidRDefault="00651A32" w:rsidP="00CD7A08">
            <w:pPr>
              <w:tabs>
                <w:tab w:val="left" w:pos="273"/>
              </w:tabs>
              <w:jc w:val="center"/>
              <w:rPr>
                <w:sz w:val="24"/>
                <w:szCs w:val="24"/>
                <w:lang w:eastAsia="en-US"/>
              </w:rPr>
            </w:pPr>
            <w:r w:rsidRPr="00CD7A08">
              <w:rPr>
                <w:sz w:val="24"/>
                <w:szCs w:val="24"/>
                <w:lang w:eastAsia="en-US"/>
              </w:rPr>
              <w:t>55 (75.3)</w:t>
            </w:r>
          </w:p>
        </w:tc>
        <w:tc>
          <w:tcPr>
            <w:tcW w:w="2177" w:type="dxa"/>
            <w:gridSpan w:val="2"/>
            <w:shd w:val="clear" w:color="auto" w:fill="auto"/>
          </w:tcPr>
          <w:p w14:paraId="2F5A84C1" w14:textId="77777777" w:rsidR="00651A32" w:rsidRPr="00CD7A08" w:rsidRDefault="00651A32" w:rsidP="00CD7A08">
            <w:pPr>
              <w:jc w:val="center"/>
              <w:rPr>
                <w:sz w:val="24"/>
                <w:szCs w:val="24"/>
                <w:lang w:eastAsia="en-US"/>
              </w:rPr>
            </w:pPr>
            <w:r w:rsidRPr="00CD7A08">
              <w:rPr>
                <w:sz w:val="24"/>
                <w:szCs w:val="24"/>
                <w:lang w:eastAsia="en-US"/>
              </w:rPr>
              <w:t>18 (24.7)</w:t>
            </w:r>
          </w:p>
        </w:tc>
      </w:tr>
      <w:tr w:rsidR="00651A32" w:rsidRPr="00CD7A08" w14:paraId="4CF3E9CA" w14:textId="77777777" w:rsidTr="00CD7A08">
        <w:trPr>
          <w:jc w:val="center"/>
        </w:trPr>
        <w:tc>
          <w:tcPr>
            <w:tcW w:w="2694" w:type="dxa"/>
            <w:shd w:val="clear" w:color="auto" w:fill="auto"/>
          </w:tcPr>
          <w:p w14:paraId="241DFC93" w14:textId="77777777" w:rsidR="00651A32" w:rsidRPr="00CD7A08" w:rsidRDefault="00651A32" w:rsidP="00CD7A08">
            <w:pPr>
              <w:jc w:val="right"/>
              <w:rPr>
                <w:sz w:val="24"/>
                <w:szCs w:val="24"/>
                <w:lang w:eastAsia="en-US"/>
              </w:rPr>
            </w:pPr>
            <w:r w:rsidRPr="00CD7A08">
              <w:rPr>
                <w:sz w:val="24"/>
                <w:szCs w:val="24"/>
                <w:lang w:eastAsia="en-US"/>
              </w:rPr>
              <w:t>KPTM Kota Bahru</w:t>
            </w:r>
          </w:p>
        </w:tc>
        <w:tc>
          <w:tcPr>
            <w:tcW w:w="2080" w:type="dxa"/>
            <w:shd w:val="clear" w:color="auto" w:fill="auto"/>
          </w:tcPr>
          <w:p w14:paraId="2D6F6394" w14:textId="77777777" w:rsidR="00651A32" w:rsidRPr="00CD7A08" w:rsidRDefault="00651A32" w:rsidP="00CD7A08">
            <w:pPr>
              <w:jc w:val="center"/>
              <w:rPr>
                <w:sz w:val="24"/>
                <w:szCs w:val="24"/>
                <w:lang w:eastAsia="en-US"/>
              </w:rPr>
            </w:pPr>
            <w:r w:rsidRPr="00CD7A08">
              <w:rPr>
                <w:sz w:val="24"/>
                <w:szCs w:val="24"/>
                <w:lang w:eastAsia="en-US"/>
              </w:rPr>
              <w:t>98 (75.3)</w:t>
            </w:r>
          </w:p>
        </w:tc>
        <w:tc>
          <w:tcPr>
            <w:tcW w:w="2177" w:type="dxa"/>
            <w:gridSpan w:val="2"/>
            <w:shd w:val="clear" w:color="auto" w:fill="auto"/>
          </w:tcPr>
          <w:p w14:paraId="254BE5E1" w14:textId="77777777" w:rsidR="00651A32" w:rsidRPr="00CD7A08" w:rsidRDefault="00651A32" w:rsidP="00CD7A08">
            <w:pPr>
              <w:jc w:val="center"/>
              <w:rPr>
                <w:sz w:val="24"/>
                <w:szCs w:val="24"/>
                <w:lang w:eastAsia="en-US"/>
              </w:rPr>
            </w:pPr>
            <w:r w:rsidRPr="00CD7A08">
              <w:rPr>
                <w:sz w:val="24"/>
                <w:szCs w:val="24"/>
                <w:lang w:eastAsia="en-US"/>
              </w:rPr>
              <w:t>32 (24.7)</w:t>
            </w:r>
          </w:p>
        </w:tc>
      </w:tr>
      <w:tr w:rsidR="00651A32" w:rsidRPr="00CD7A08" w14:paraId="2D0DD9A1" w14:textId="77777777" w:rsidTr="00CD7A08">
        <w:trPr>
          <w:jc w:val="center"/>
        </w:trPr>
        <w:tc>
          <w:tcPr>
            <w:tcW w:w="2694" w:type="dxa"/>
            <w:shd w:val="clear" w:color="auto" w:fill="auto"/>
          </w:tcPr>
          <w:p w14:paraId="445CC858" w14:textId="77777777" w:rsidR="00651A32" w:rsidRPr="00CD7A08" w:rsidRDefault="00651A32" w:rsidP="00CD7A08">
            <w:pPr>
              <w:jc w:val="right"/>
              <w:rPr>
                <w:sz w:val="24"/>
                <w:szCs w:val="24"/>
                <w:lang w:eastAsia="en-US"/>
              </w:rPr>
            </w:pPr>
            <w:r w:rsidRPr="00CD7A08">
              <w:rPr>
                <w:sz w:val="24"/>
                <w:szCs w:val="24"/>
                <w:lang w:eastAsia="en-US"/>
              </w:rPr>
              <w:t>KPTM Kuantan</w:t>
            </w:r>
          </w:p>
        </w:tc>
        <w:tc>
          <w:tcPr>
            <w:tcW w:w="2080" w:type="dxa"/>
            <w:shd w:val="clear" w:color="auto" w:fill="auto"/>
          </w:tcPr>
          <w:p w14:paraId="367EA944" w14:textId="77777777" w:rsidR="00651A32" w:rsidRPr="00CD7A08" w:rsidRDefault="00651A32" w:rsidP="00CD7A08">
            <w:pPr>
              <w:jc w:val="center"/>
              <w:rPr>
                <w:sz w:val="24"/>
                <w:szCs w:val="24"/>
                <w:lang w:eastAsia="en-US"/>
              </w:rPr>
            </w:pPr>
            <w:r w:rsidRPr="00CD7A08">
              <w:rPr>
                <w:sz w:val="24"/>
                <w:szCs w:val="24"/>
                <w:lang w:eastAsia="en-US"/>
              </w:rPr>
              <w:t>44 (76.3)</w:t>
            </w:r>
          </w:p>
        </w:tc>
        <w:tc>
          <w:tcPr>
            <w:tcW w:w="2177" w:type="dxa"/>
            <w:gridSpan w:val="2"/>
            <w:shd w:val="clear" w:color="auto" w:fill="auto"/>
          </w:tcPr>
          <w:p w14:paraId="3430729E" w14:textId="77777777" w:rsidR="00651A32" w:rsidRPr="00CD7A08" w:rsidRDefault="00651A32" w:rsidP="00CD7A08">
            <w:pPr>
              <w:jc w:val="center"/>
              <w:rPr>
                <w:sz w:val="24"/>
                <w:szCs w:val="24"/>
                <w:lang w:eastAsia="en-US"/>
              </w:rPr>
            </w:pPr>
            <w:r w:rsidRPr="00CD7A08">
              <w:rPr>
                <w:sz w:val="24"/>
                <w:szCs w:val="24"/>
                <w:lang w:eastAsia="en-US"/>
              </w:rPr>
              <w:t>14 (23.7)</w:t>
            </w:r>
          </w:p>
        </w:tc>
      </w:tr>
      <w:tr w:rsidR="00651A32" w:rsidRPr="00CD7A08" w14:paraId="6CF8E6D1" w14:textId="77777777" w:rsidTr="00CD7A08">
        <w:trPr>
          <w:jc w:val="center"/>
        </w:trPr>
        <w:tc>
          <w:tcPr>
            <w:tcW w:w="2694" w:type="dxa"/>
            <w:shd w:val="clear" w:color="auto" w:fill="auto"/>
          </w:tcPr>
          <w:p w14:paraId="0762CA50" w14:textId="77777777" w:rsidR="00651A32" w:rsidRPr="00CD7A08" w:rsidRDefault="00651A32" w:rsidP="00CD7A08">
            <w:pPr>
              <w:jc w:val="right"/>
              <w:rPr>
                <w:sz w:val="24"/>
                <w:szCs w:val="24"/>
                <w:lang w:eastAsia="en-US"/>
              </w:rPr>
            </w:pPr>
            <w:r w:rsidRPr="00CD7A08">
              <w:rPr>
                <w:sz w:val="24"/>
                <w:szCs w:val="24"/>
                <w:lang w:eastAsia="en-US"/>
              </w:rPr>
              <w:t>UPTM</w:t>
            </w:r>
          </w:p>
        </w:tc>
        <w:tc>
          <w:tcPr>
            <w:tcW w:w="2080" w:type="dxa"/>
            <w:shd w:val="clear" w:color="auto" w:fill="auto"/>
          </w:tcPr>
          <w:p w14:paraId="73F803D9" w14:textId="77777777" w:rsidR="00651A32" w:rsidRPr="00CD7A08" w:rsidRDefault="00651A32" w:rsidP="00CD7A08">
            <w:pPr>
              <w:jc w:val="center"/>
              <w:rPr>
                <w:sz w:val="24"/>
                <w:szCs w:val="24"/>
                <w:lang w:eastAsia="en-US"/>
              </w:rPr>
            </w:pPr>
            <w:r w:rsidRPr="00CD7A08">
              <w:rPr>
                <w:sz w:val="24"/>
                <w:szCs w:val="24"/>
                <w:lang w:eastAsia="en-US"/>
              </w:rPr>
              <w:t>131 (69.1)</w:t>
            </w:r>
          </w:p>
        </w:tc>
        <w:tc>
          <w:tcPr>
            <w:tcW w:w="2177" w:type="dxa"/>
            <w:gridSpan w:val="2"/>
            <w:shd w:val="clear" w:color="auto" w:fill="auto"/>
          </w:tcPr>
          <w:p w14:paraId="0CB8A328" w14:textId="77777777" w:rsidR="00651A32" w:rsidRPr="00CD7A08" w:rsidRDefault="00651A32" w:rsidP="00CD7A08">
            <w:pPr>
              <w:jc w:val="center"/>
              <w:rPr>
                <w:sz w:val="24"/>
                <w:szCs w:val="24"/>
                <w:lang w:eastAsia="en-US"/>
              </w:rPr>
            </w:pPr>
            <w:r w:rsidRPr="00CD7A08">
              <w:rPr>
                <w:sz w:val="24"/>
                <w:szCs w:val="24"/>
                <w:lang w:eastAsia="en-US"/>
              </w:rPr>
              <w:t>59 (30.9)</w:t>
            </w:r>
          </w:p>
        </w:tc>
      </w:tr>
      <w:tr w:rsidR="00651A32" w:rsidRPr="00CD7A08" w14:paraId="18E25D9D" w14:textId="77777777" w:rsidTr="00CD7A08">
        <w:trPr>
          <w:jc w:val="center"/>
        </w:trPr>
        <w:tc>
          <w:tcPr>
            <w:tcW w:w="2694" w:type="dxa"/>
            <w:shd w:val="clear" w:color="auto" w:fill="auto"/>
          </w:tcPr>
          <w:p w14:paraId="23BBDD82" w14:textId="77777777" w:rsidR="00651A32" w:rsidRPr="00CD7A08" w:rsidRDefault="00651A32" w:rsidP="00CD7A08">
            <w:pPr>
              <w:jc w:val="right"/>
              <w:rPr>
                <w:sz w:val="24"/>
                <w:szCs w:val="24"/>
                <w:lang w:eastAsia="en-US"/>
              </w:rPr>
            </w:pPr>
            <w:r w:rsidRPr="00CD7A08">
              <w:rPr>
                <w:sz w:val="24"/>
                <w:szCs w:val="24"/>
                <w:lang w:eastAsia="en-US"/>
              </w:rPr>
              <w:t>Overall</w:t>
            </w:r>
          </w:p>
        </w:tc>
        <w:tc>
          <w:tcPr>
            <w:tcW w:w="2080" w:type="dxa"/>
            <w:shd w:val="clear" w:color="auto" w:fill="auto"/>
          </w:tcPr>
          <w:p w14:paraId="792D882F" w14:textId="77777777" w:rsidR="00651A32" w:rsidRPr="00CD7A08" w:rsidRDefault="00651A32" w:rsidP="00CD7A08">
            <w:pPr>
              <w:jc w:val="center"/>
              <w:rPr>
                <w:sz w:val="24"/>
                <w:szCs w:val="24"/>
                <w:lang w:eastAsia="en-US"/>
              </w:rPr>
            </w:pPr>
            <w:r w:rsidRPr="00CD7A08">
              <w:rPr>
                <w:sz w:val="24"/>
                <w:szCs w:val="24"/>
                <w:lang w:eastAsia="en-US"/>
              </w:rPr>
              <w:t>532 (72.9)</w:t>
            </w:r>
          </w:p>
        </w:tc>
        <w:tc>
          <w:tcPr>
            <w:tcW w:w="2177" w:type="dxa"/>
            <w:gridSpan w:val="2"/>
            <w:shd w:val="clear" w:color="auto" w:fill="auto"/>
          </w:tcPr>
          <w:p w14:paraId="62CE699C" w14:textId="77777777" w:rsidR="00651A32" w:rsidRPr="00CD7A08" w:rsidRDefault="00651A32" w:rsidP="00CD7A08">
            <w:pPr>
              <w:jc w:val="center"/>
              <w:rPr>
                <w:sz w:val="24"/>
                <w:szCs w:val="24"/>
                <w:lang w:eastAsia="en-US"/>
              </w:rPr>
            </w:pPr>
            <w:r w:rsidRPr="00CD7A08">
              <w:rPr>
                <w:sz w:val="24"/>
                <w:szCs w:val="24"/>
                <w:lang w:eastAsia="en-US"/>
              </w:rPr>
              <w:t>197 (27.1)</w:t>
            </w:r>
          </w:p>
        </w:tc>
      </w:tr>
      <w:tr w:rsidR="00651A32" w:rsidRPr="00CD7A08" w14:paraId="58A3889C" w14:textId="77777777" w:rsidTr="00CD7A08">
        <w:trPr>
          <w:jc w:val="center"/>
        </w:trPr>
        <w:tc>
          <w:tcPr>
            <w:tcW w:w="2694" w:type="dxa"/>
            <w:shd w:val="clear" w:color="auto" w:fill="auto"/>
          </w:tcPr>
          <w:p w14:paraId="3F2E1678" w14:textId="77777777" w:rsidR="00651A32" w:rsidRPr="00CD7A08" w:rsidRDefault="00651A32" w:rsidP="00B338C5">
            <w:pPr>
              <w:rPr>
                <w:sz w:val="24"/>
                <w:szCs w:val="24"/>
                <w:lang w:eastAsia="en-US"/>
              </w:rPr>
            </w:pPr>
          </w:p>
        </w:tc>
        <w:tc>
          <w:tcPr>
            <w:tcW w:w="2080" w:type="dxa"/>
            <w:shd w:val="clear" w:color="auto" w:fill="auto"/>
          </w:tcPr>
          <w:p w14:paraId="6620C98A" w14:textId="77777777" w:rsidR="00651A32" w:rsidRPr="00CD7A08" w:rsidRDefault="00651A32" w:rsidP="00B338C5">
            <w:pPr>
              <w:rPr>
                <w:sz w:val="24"/>
                <w:szCs w:val="24"/>
                <w:lang w:eastAsia="en-US"/>
              </w:rPr>
            </w:pPr>
          </w:p>
        </w:tc>
        <w:tc>
          <w:tcPr>
            <w:tcW w:w="2177" w:type="dxa"/>
            <w:gridSpan w:val="2"/>
            <w:shd w:val="clear" w:color="auto" w:fill="auto"/>
          </w:tcPr>
          <w:p w14:paraId="12E0AC12" w14:textId="77777777" w:rsidR="00651A32" w:rsidRPr="00CD7A08" w:rsidRDefault="00651A32" w:rsidP="00B338C5">
            <w:pPr>
              <w:rPr>
                <w:sz w:val="24"/>
                <w:szCs w:val="24"/>
                <w:lang w:eastAsia="en-US"/>
              </w:rPr>
            </w:pPr>
          </w:p>
        </w:tc>
      </w:tr>
      <w:tr w:rsidR="00651A32" w:rsidRPr="00CD7A08" w14:paraId="3DC5E7EC" w14:textId="77777777" w:rsidTr="00CD7A08">
        <w:trPr>
          <w:gridAfter w:val="1"/>
          <w:wAfter w:w="8" w:type="dxa"/>
          <w:jc w:val="center"/>
        </w:trPr>
        <w:tc>
          <w:tcPr>
            <w:tcW w:w="6943" w:type="dxa"/>
            <w:gridSpan w:val="3"/>
            <w:shd w:val="clear" w:color="auto" w:fill="auto"/>
          </w:tcPr>
          <w:p w14:paraId="14BCB71F" w14:textId="77777777" w:rsidR="00651A32" w:rsidRPr="00CD7A08" w:rsidRDefault="00651A32" w:rsidP="00B338C5">
            <w:pPr>
              <w:rPr>
                <w:b/>
                <w:bCs/>
                <w:sz w:val="24"/>
                <w:szCs w:val="24"/>
                <w:lang w:eastAsia="en-US"/>
              </w:rPr>
            </w:pPr>
            <w:r w:rsidRPr="00CD7A08">
              <w:rPr>
                <w:b/>
                <w:bCs/>
                <w:sz w:val="24"/>
                <w:szCs w:val="24"/>
                <w:lang w:eastAsia="en-US"/>
              </w:rPr>
              <w:t>Work-Related Exhaustion</w:t>
            </w:r>
          </w:p>
        </w:tc>
      </w:tr>
      <w:tr w:rsidR="00651A32" w:rsidRPr="00CD7A08" w14:paraId="60016D94" w14:textId="77777777" w:rsidTr="00CD7A08">
        <w:trPr>
          <w:jc w:val="center"/>
        </w:trPr>
        <w:tc>
          <w:tcPr>
            <w:tcW w:w="2694" w:type="dxa"/>
            <w:shd w:val="clear" w:color="auto" w:fill="auto"/>
          </w:tcPr>
          <w:p w14:paraId="6C5F0B1E" w14:textId="77777777" w:rsidR="00651A32" w:rsidRPr="00CD7A08" w:rsidRDefault="00651A32" w:rsidP="00CD7A08">
            <w:pPr>
              <w:jc w:val="right"/>
              <w:rPr>
                <w:sz w:val="24"/>
                <w:szCs w:val="24"/>
                <w:lang w:eastAsia="en-US"/>
              </w:rPr>
            </w:pPr>
            <w:r w:rsidRPr="00CD7A08">
              <w:rPr>
                <w:sz w:val="24"/>
                <w:szCs w:val="24"/>
                <w:lang w:eastAsia="en-US"/>
              </w:rPr>
              <w:t>KPTM Alor Setar</w:t>
            </w:r>
          </w:p>
        </w:tc>
        <w:tc>
          <w:tcPr>
            <w:tcW w:w="2080" w:type="dxa"/>
            <w:shd w:val="clear" w:color="auto" w:fill="auto"/>
          </w:tcPr>
          <w:p w14:paraId="153A7B8E" w14:textId="77777777" w:rsidR="00651A32" w:rsidRPr="00CD7A08" w:rsidRDefault="00651A32" w:rsidP="00CD7A08">
            <w:pPr>
              <w:jc w:val="center"/>
              <w:rPr>
                <w:sz w:val="24"/>
                <w:szCs w:val="24"/>
                <w:lang w:eastAsia="en-US"/>
              </w:rPr>
            </w:pPr>
            <w:r w:rsidRPr="00CD7A08">
              <w:rPr>
                <w:sz w:val="24"/>
                <w:szCs w:val="24"/>
                <w:lang w:eastAsia="en-US"/>
              </w:rPr>
              <w:t>31 (62.8)</w:t>
            </w:r>
          </w:p>
        </w:tc>
        <w:tc>
          <w:tcPr>
            <w:tcW w:w="2177" w:type="dxa"/>
            <w:gridSpan w:val="2"/>
            <w:shd w:val="clear" w:color="auto" w:fill="auto"/>
          </w:tcPr>
          <w:p w14:paraId="7FA2C196" w14:textId="77777777" w:rsidR="00651A32" w:rsidRPr="00CD7A08" w:rsidRDefault="00651A32" w:rsidP="00CD7A08">
            <w:pPr>
              <w:jc w:val="center"/>
              <w:rPr>
                <w:sz w:val="24"/>
                <w:szCs w:val="24"/>
                <w:lang w:eastAsia="en-US"/>
              </w:rPr>
            </w:pPr>
            <w:r w:rsidRPr="00CD7A08">
              <w:rPr>
                <w:sz w:val="24"/>
                <w:szCs w:val="24"/>
                <w:lang w:eastAsia="en-US"/>
              </w:rPr>
              <w:t>19 (37.2)</w:t>
            </w:r>
          </w:p>
        </w:tc>
      </w:tr>
      <w:tr w:rsidR="00651A32" w:rsidRPr="00CD7A08" w14:paraId="6A1415A8" w14:textId="77777777" w:rsidTr="00CD7A08">
        <w:trPr>
          <w:jc w:val="center"/>
        </w:trPr>
        <w:tc>
          <w:tcPr>
            <w:tcW w:w="2694" w:type="dxa"/>
            <w:shd w:val="clear" w:color="auto" w:fill="auto"/>
          </w:tcPr>
          <w:p w14:paraId="31D5BFA0" w14:textId="77777777" w:rsidR="00651A32" w:rsidRPr="00CD7A08" w:rsidRDefault="00651A32" w:rsidP="00CD7A08">
            <w:pPr>
              <w:jc w:val="right"/>
              <w:rPr>
                <w:sz w:val="24"/>
                <w:szCs w:val="24"/>
                <w:lang w:eastAsia="en-US"/>
              </w:rPr>
            </w:pPr>
            <w:r w:rsidRPr="00CD7A08">
              <w:rPr>
                <w:sz w:val="24"/>
                <w:szCs w:val="24"/>
                <w:lang w:eastAsia="en-US"/>
              </w:rPr>
              <w:t>KPTM Bangi</w:t>
            </w:r>
          </w:p>
        </w:tc>
        <w:tc>
          <w:tcPr>
            <w:tcW w:w="2080" w:type="dxa"/>
            <w:shd w:val="clear" w:color="auto" w:fill="auto"/>
          </w:tcPr>
          <w:p w14:paraId="70253670" w14:textId="77777777" w:rsidR="00651A32" w:rsidRPr="00CD7A08" w:rsidRDefault="00651A32" w:rsidP="00CD7A08">
            <w:pPr>
              <w:jc w:val="center"/>
              <w:rPr>
                <w:sz w:val="24"/>
                <w:szCs w:val="24"/>
                <w:lang w:eastAsia="en-US"/>
              </w:rPr>
            </w:pPr>
            <w:r w:rsidRPr="00CD7A08">
              <w:rPr>
                <w:sz w:val="24"/>
                <w:szCs w:val="24"/>
                <w:lang w:eastAsia="en-US"/>
              </w:rPr>
              <w:t>104 (61.4)</w:t>
            </w:r>
          </w:p>
        </w:tc>
        <w:tc>
          <w:tcPr>
            <w:tcW w:w="2177" w:type="dxa"/>
            <w:gridSpan w:val="2"/>
            <w:shd w:val="clear" w:color="auto" w:fill="auto"/>
          </w:tcPr>
          <w:p w14:paraId="5EA6544E" w14:textId="77777777" w:rsidR="00651A32" w:rsidRPr="00CD7A08" w:rsidRDefault="00651A32" w:rsidP="00CD7A08">
            <w:pPr>
              <w:jc w:val="center"/>
              <w:rPr>
                <w:sz w:val="24"/>
                <w:szCs w:val="24"/>
                <w:lang w:eastAsia="en-US"/>
              </w:rPr>
            </w:pPr>
            <w:r w:rsidRPr="00CD7A08">
              <w:rPr>
                <w:sz w:val="24"/>
                <w:szCs w:val="24"/>
                <w:lang w:eastAsia="en-US"/>
              </w:rPr>
              <w:t>65 (38.6)</w:t>
            </w:r>
          </w:p>
        </w:tc>
      </w:tr>
      <w:tr w:rsidR="00651A32" w:rsidRPr="00CD7A08" w14:paraId="68B0C1E6" w14:textId="77777777" w:rsidTr="00CD7A08">
        <w:trPr>
          <w:jc w:val="center"/>
        </w:trPr>
        <w:tc>
          <w:tcPr>
            <w:tcW w:w="2694" w:type="dxa"/>
            <w:shd w:val="clear" w:color="auto" w:fill="auto"/>
          </w:tcPr>
          <w:p w14:paraId="1F8FB788" w14:textId="77777777" w:rsidR="00651A32" w:rsidRPr="00CD7A08" w:rsidRDefault="00651A32" w:rsidP="00CD7A08">
            <w:pPr>
              <w:jc w:val="right"/>
              <w:rPr>
                <w:sz w:val="24"/>
                <w:szCs w:val="24"/>
                <w:lang w:eastAsia="en-US"/>
              </w:rPr>
            </w:pPr>
            <w:r w:rsidRPr="00CD7A08">
              <w:rPr>
                <w:sz w:val="24"/>
                <w:szCs w:val="24"/>
                <w:lang w:eastAsia="en-US"/>
              </w:rPr>
              <w:t>KPTM Batu Pahat</w:t>
            </w:r>
          </w:p>
        </w:tc>
        <w:tc>
          <w:tcPr>
            <w:tcW w:w="2080" w:type="dxa"/>
            <w:shd w:val="clear" w:color="auto" w:fill="auto"/>
          </w:tcPr>
          <w:p w14:paraId="6780ACA7" w14:textId="77777777" w:rsidR="00651A32" w:rsidRPr="00CD7A08" w:rsidRDefault="00651A32" w:rsidP="00CD7A08">
            <w:pPr>
              <w:jc w:val="center"/>
              <w:rPr>
                <w:sz w:val="24"/>
                <w:szCs w:val="24"/>
                <w:lang w:eastAsia="en-US"/>
              </w:rPr>
            </w:pPr>
            <w:r w:rsidRPr="00CD7A08">
              <w:rPr>
                <w:sz w:val="24"/>
                <w:szCs w:val="24"/>
                <w:lang w:eastAsia="en-US"/>
              </w:rPr>
              <w:t>37 (62.4)</w:t>
            </w:r>
          </w:p>
        </w:tc>
        <w:tc>
          <w:tcPr>
            <w:tcW w:w="2177" w:type="dxa"/>
            <w:gridSpan w:val="2"/>
            <w:shd w:val="clear" w:color="auto" w:fill="auto"/>
          </w:tcPr>
          <w:p w14:paraId="4E6C711D" w14:textId="77777777" w:rsidR="00651A32" w:rsidRPr="00CD7A08" w:rsidRDefault="00651A32" w:rsidP="00CD7A08">
            <w:pPr>
              <w:jc w:val="center"/>
              <w:rPr>
                <w:sz w:val="24"/>
                <w:szCs w:val="24"/>
                <w:lang w:eastAsia="en-US"/>
              </w:rPr>
            </w:pPr>
            <w:r w:rsidRPr="00CD7A08">
              <w:rPr>
                <w:sz w:val="24"/>
                <w:szCs w:val="24"/>
                <w:lang w:eastAsia="en-US"/>
              </w:rPr>
              <w:t>22 (37.6)</w:t>
            </w:r>
          </w:p>
        </w:tc>
      </w:tr>
      <w:tr w:rsidR="00651A32" w:rsidRPr="00CD7A08" w14:paraId="6A8D99DF" w14:textId="77777777" w:rsidTr="00CD7A08">
        <w:trPr>
          <w:jc w:val="center"/>
        </w:trPr>
        <w:tc>
          <w:tcPr>
            <w:tcW w:w="2694" w:type="dxa"/>
            <w:shd w:val="clear" w:color="auto" w:fill="auto"/>
          </w:tcPr>
          <w:p w14:paraId="600B7D61" w14:textId="77777777" w:rsidR="00651A32" w:rsidRPr="00CD7A08" w:rsidRDefault="00651A32" w:rsidP="00CD7A08">
            <w:pPr>
              <w:jc w:val="right"/>
              <w:rPr>
                <w:sz w:val="24"/>
                <w:szCs w:val="24"/>
                <w:lang w:eastAsia="en-US"/>
              </w:rPr>
            </w:pPr>
            <w:r w:rsidRPr="00CD7A08">
              <w:rPr>
                <w:sz w:val="24"/>
                <w:szCs w:val="24"/>
                <w:lang w:eastAsia="en-US"/>
              </w:rPr>
              <w:t>KPTM Ipoh</w:t>
            </w:r>
          </w:p>
        </w:tc>
        <w:tc>
          <w:tcPr>
            <w:tcW w:w="2080" w:type="dxa"/>
            <w:shd w:val="clear" w:color="auto" w:fill="auto"/>
          </w:tcPr>
          <w:p w14:paraId="33D5D080" w14:textId="77777777" w:rsidR="00651A32" w:rsidRPr="00CD7A08" w:rsidRDefault="00651A32" w:rsidP="00CD7A08">
            <w:pPr>
              <w:jc w:val="center"/>
              <w:rPr>
                <w:sz w:val="24"/>
                <w:szCs w:val="24"/>
                <w:lang w:eastAsia="en-US"/>
              </w:rPr>
            </w:pPr>
            <w:r w:rsidRPr="00CD7A08">
              <w:rPr>
                <w:sz w:val="24"/>
                <w:szCs w:val="24"/>
                <w:lang w:eastAsia="en-US"/>
              </w:rPr>
              <w:t>45 (62.1)</w:t>
            </w:r>
          </w:p>
        </w:tc>
        <w:tc>
          <w:tcPr>
            <w:tcW w:w="2177" w:type="dxa"/>
            <w:gridSpan w:val="2"/>
            <w:shd w:val="clear" w:color="auto" w:fill="auto"/>
          </w:tcPr>
          <w:p w14:paraId="2CAC854F" w14:textId="77777777" w:rsidR="00651A32" w:rsidRPr="00CD7A08" w:rsidRDefault="00651A32" w:rsidP="00CD7A08">
            <w:pPr>
              <w:jc w:val="center"/>
              <w:rPr>
                <w:sz w:val="24"/>
                <w:szCs w:val="24"/>
                <w:lang w:eastAsia="en-US"/>
              </w:rPr>
            </w:pPr>
            <w:r w:rsidRPr="00CD7A08">
              <w:rPr>
                <w:sz w:val="24"/>
                <w:szCs w:val="24"/>
                <w:lang w:eastAsia="en-US"/>
              </w:rPr>
              <w:t>28 (37.9)</w:t>
            </w:r>
          </w:p>
        </w:tc>
      </w:tr>
      <w:tr w:rsidR="00651A32" w:rsidRPr="00CD7A08" w14:paraId="0BD53EB6" w14:textId="77777777" w:rsidTr="00CD7A08">
        <w:trPr>
          <w:jc w:val="center"/>
        </w:trPr>
        <w:tc>
          <w:tcPr>
            <w:tcW w:w="2694" w:type="dxa"/>
            <w:shd w:val="clear" w:color="auto" w:fill="auto"/>
          </w:tcPr>
          <w:p w14:paraId="5554DEDF" w14:textId="77777777" w:rsidR="00651A32" w:rsidRPr="00CD7A08" w:rsidRDefault="00651A32" w:rsidP="00CD7A08">
            <w:pPr>
              <w:jc w:val="right"/>
              <w:rPr>
                <w:sz w:val="24"/>
                <w:szCs w:val="24"/>
                <w:lang w:eastAsia="en-US"/>
              </w:rPr>
            </w:pPr>
            <w:r w:rsidRPr="00CD7A08">
              <w:rPr>
                <w:sz w:val="24"/>
                <w:szCs w:val="24"/>
                <w:lang w:eastAsia="en-US"/>
              </w:rPr>
              <w:t>KPTM Kota Bahru</w:t>
            </w:r>
          </w:p>
        </w:tc>
        <w:tc>
          <w:tcPr>
            <w:tcW w:w="2080" w:type="dxa"/>
            <w:shd w:val="clear" w:color="auto" w:fill="auto"/>
          </w:tcPr>
          <w:p w14:paraId="33F6E934" w14:textId="77777777" w:rsidR="00651A32" w:rsidRPr="00CD7A08" w:rsidRDefault="00651A32" w:rsidP="00CD7A08">
            <w:pPr>
              <w:jc w:val="center"/>
              <w:rPr>
                <w:sz w:val="24"/>
                <w:szCs w:val="24"/>
                <w:lang w:eastAsia="en-US"/>
              </w:rPr>
            </w:pPr>
            <w:r w:rsidRPr="00CD7A08">
              <w:rPr>
                <w:sz w:val="24"/>
                <w:szCs w:val="24"/>
                <w:lang w:eastAsia="en-US"/>
              </w:rPr>
              <w:t>90 (69.0)</w:t>
            </w:r>
          </w:p>
        </w:tc>
        <w:tc>
          <w:tcPr>
            <w:tcW w:w="2177" w:type="dxa"/>
            <w:gridSpan w:val="2"/>
            <w:shd w:val="clear" w:color="auto" w:fill="auto"/>
          </w:tcPr>
          <w:p w14:paraId="225D41B7" w14:textId="77777777" w:rsidR="00651A32" w:rsidRPr="00CD7A08" w:rsidRDefault="00651A32" w:rsidP="00CD7A08">
            <w:pPr>
              <w:jc w:val="center"/>
              <w:rPr>
                <w:sz w:val="24"/>
                <w:szCs w:val="24"/>
                <w:lang w:eastAsia="en-US"/>
              </w:rPr>
            </w:pPr>
            <w:r w:rsidRPr="00CD7A08">
              <w:rPr>
                <w:sz w:val="24"/>
                <w:szCs w:val="24"/>
                <w:lang w:eastAsia="en-US"/>
              </w:rPr>
              <w:t>40 (31.0)</w:t>
            </w:r>
          </w:p>
        </w:tc>
      </w:tr>
      <w:tr w:rsidR="00651A32" w:rsidRPr="00CD7A08" w14:paraId="6D066692" w14:textId="77777777" w:rsidTr="00CD7A08">
        <w:trPr>
          <w:jc w:val="center"/>
        </w:trPr>
        <w:tc>
          <w:tcPr>
            <w:tcW w:w="2694" w:type="dxa"/>
            <w:shd w:val="clear" w:color="auto" w:fill="auto"/>
          </w:tcPr>
          <w:p w14:paraId="0ED378A1" w14:textId="77777777" w:rsidR="00651A32" w:rsidRPr="00CD7A08" w:rsidRDefault="00651A32" w:rsidP="00CD7A08">
            <w:pPr>
              <w:jc w:val="right"/>
              <w:rPr>
                <w:sz w:val="24"/>
                <w:szCs w:val="24"/>
                <w:lang w:eastAsia="en-US"/>
              </w:rPr>
            </w:pPr>
            <w:r w:rsidRPr="00CD7A08">
              <w:rPr>
                <w:sz w:val="24"/>
                <w:szCs w:val="24"/>
                <w:lang w:eastAsia="en-US"/>
              </w:rPr>
              <w:t>KPTM Kuantan</w:t>
            </w:r>
          </w:p>
        </w:tc>
        <w:tc>
          <w:tcPr>
            <w:tcW w:w="2080" w:type="dxa"/>
            <w:shd w:val="clear" w:color="auto" w:fill="auto"/>
          </w:tcPr>
          <w:p w14:paraId="61C767EB" w14:textId="77777777" w:rsidR="00651A32" w:rsidRPr="00CD7A08" w:rsidRDefault="00651A32" w:rsidP="00CD7A08">
            <w:pPr>
              <w:jc w:val="center"/>
              <w:rPr>
                <w:sz w:val="24"/>
                <w:szCs w:val="24"/>
                <w:lang w:eastAsia="en-US"/>
              </w:rPr>
            </w:pPr>
            <w:r w:rsidRPr="00CD7A08">
              <w:rPr>
                <w:sz w:val="24"/>
                <w:szCs w:val="24"/>
                <w:lang w:eastAsia="en-US"/>
              </w:rPr>
              <w:t>38 (66.3)</w:t>
            </w:r>
          </w:p>
        </w:tc>
        <w:tc>
          <w:tcPr>
            <w:tcW w:w="2177" w:type="dxa"/>
            <w:gridSpan w:val="2"/>
            <w:shd w:val="clear" w:color="auto" w:fill="auto"/>
          </w:tcPr>
          <w:p w14:paraId="39EA7B63" w14:textId="77777777" w:rsidR="00651A32" w:rsidRPr="00CD7A08" w:rsidRDefault="00651A32" w:rsidP="00CD7A08">
            <w:pPr>
              <w:jc w:val="center"/>
              <w:rPr>
                <w:sz w:val="24"/>
                <w:szCs w:val="24"/>
                <w:lang w:eastAsia="en-US"/>
              </w:rPr>
            </w:pPr>
            <w:r w:rsidRPr="00CD7A08">
              <w:rPr>
                <w:sz w:val="24"/>
                <w:szCs w:val="24"/>
                <w:lang w:eastAsia="en-US"/>
              </w:rPr>
              <w:t>20 (33.7)</w:t>
            </w:r>
          </w:p>
        </w:tc>
      </w:tr>
      <w:tr w:rsidR="00651A32" w:rsidRPr="00CD7A08" w14:paraId="2D2870DD" w14:textId="77777777" w:rsidTr="00CD7A08">
        <w:trPr>
          <w:jc w:val="center"/>
        </w:trPr>
        <w:tc>
          <w:tcPr>
            <w:tcW w:w="2694" w:type="dxa"/>
            <w:shd w:val="clear" w:color="auto" w:fill="auto"/>
          </w:tcPr>
          <w:p w14:paraId="2999EF78" w14:textId="77777777" w:rsidR="00651A32" w:rsidRPr="00CD7A08" w:rsidRDefault="00651A32" w:rsidP="00CD7A08">
            <w:pPr>
              <w:jc w:val="right"/>
              <w:rPr>
                <w:sz w:val="24"/>
                <w:szCs w:val="24"/>
                <w:lang w:eastAsia="en-US"/>
              </w:rPr>
            </w:pPr>
            <w:r w:rsidRPr="00CD7A08">
              <w:rPr>
                <w:sz w:val="24"/>
                <w:szCs w:val="24"/>
                <w:lang w:eastAsia="en-US"/>
              </w:rPr>
              <w:t>UPTM</w:t>
            </w:r>
          </w:p>
        </w:tc>
        <w:tc>
          <w:tcPr>
            <w:tcW w:w="2080" w:type="dxa"/>
            <w:shd w:val="clear" w:color="auto" w:fill="auto"/>
          </w:tcPr>
          <w:p w14:paraId="11848EF6" w14:textId="77777777" w:rsidR="00651A32" w:rsidRPr="00CD7A08" w:rsidRDefault="00651A32" w:rsidP="00CD7A08">
            <w:pPr>
              <w:jc w:val="center"/>
              <w:rPr>
                <w:sz w:val="24"/>
                <w:szCs w:val="24"/>
                <w:lang w:eastAsia="en-US"/>
              </w:rPr>
            </w:pPr>
            <w:r w:rsidRPr="00CD7A08">
              <w:rPr>
                <w:sz w:val="24"/>
                <w:szCs w:val="24"/>
                <w:lang w:eastAsia="en-US"/>
              </w:rPr>
              <w:t>99 (51.9)</w:t>
            </w:r>
          </w:p>
        </w:tc>
        <w:tc>
          <w:tcPr>
            <w:tcW w:w="2177" w:type="dxa"/>
            <w:gridSpan w:val="2"/>
            <w:shd w:val="clear" w:color="auto" w:fill="auto"/>
          </w:tcPr>
          <w:p w14:paraId="256D27F8" w14:textId="77777777" w:rsidR="00651A32" w:rsidRPr="00CD7A08" w:rsidRDefault="00651A32" w:rsidP="00CD7A08">
            <w:pPr>
              <w:jc w:val="center"/>
              <w:rPr>
                <w:sz w:val="24"/>
                <w:szCs w:val="24"/>
                <w:lang w:eastAsia="en-US"/>
              </w:rPr>
            </w:pPr>
            <w:r w:rsidRPr="00CD7A08">
              <w:rPr>
                <w:sz w:val="24"/>
                <w:szCs w:val="24"/>
                <w:lang w:eastAsia="en-US"/>
              </w:rPr>
              <w:t>91 (48.1)</w:t>
            </w:r>
          </w:p>
        </w:tc>
      </w:tr>
      <w:tr w:rsidR="00651A32" w:rsidRPr="00CD7A08" w14:paraId="0B09CA30" w14:textId="77777777" w:rsidTr="00CD7A08">
        <w:trPr>
          <w:jc w:val="center"/>
        </w:trPr>
        <w:tc>
          <w:tcPr>
            <w:tcW w:w="2694" w:type="dxa"/>
            <w:tcBorders>
              <w:bottom w:val="single" w:sz="4" w:space="0" w:color="auto"/>
            </w:tcBorders>
            <w:shd w:val="clear" w:color="auto" w:fill="auto"/>
          </w:tcPr>
          <w:p w14:paraId="037E8BA8" w14:textId="77777777" w:rsidR="00651A32" w:rsidRPr="00CD7A08" w:rsidRDefault="00651A32" w:rsidP="00CD7A08">
            <w:pPr>
              <w:jc w:val="right"/>
              <w:rPr>
                <w:sz w:val="24"/>
                <w:szCs w:val="24"/>
                <w:lang w:eastAsia="en-US"/>
              </w:rPr>
            </w:pPr>
            <w:r w:rsidRPr="00CD7A08">
              <w:rPr>
                <w:sz w:val="24"/>
                <w:szCs w:val="24"/>
                <w:lang w:eastAsia="en-US"/>
              </w:rPr>
              <w:t>Overall</w:t>
            </w:r>
          </w:p>
        </w:tc>
        <w:tc>
          <w:tcPr>
            <w:tcW w:w="2080" w:type="dxa"/>
            <w:tcBorders>
              <w:bottom w:val="single" w:sz="4" w:space="0" w:color="auto"/>
            </w:tcBorders>
            <w:shd w:val="clear" w:color="auto" w:fill="auto"/>
          </w:tcPr>
          <w:p w14:paraId="28C05671" w14:textId="77777777" w:rsidR="00651A32" w:rsidRPr="00CD7A08" w:rsidRDefault="00651A32" w:rsidP="00CD7A08">
            <w:pPr>
              <w:jc w:val="center"/>
              <w:rPr>
                <w:sz w:val="24"/>
                <w:szCs w:val="24"/>
                <w:lang w:eastAsia="en-US"/>
              </w:rPr>
            </w:pPr>
            <w:r w:rsidRPr="00CD7A08">
              <w:rPr>
                <w:sz w:val="24"/>
                <w:szCs w:val="24"/>
                <w:lang w:eastAsia="en-US"/>
              </w:rPr>
              <w:t>444 (60.9)</w:t>
            </w:r>
          </w:p>
        </w:tc>
        <w:tc>
          <w:tcPr>
            <w:tcW w:w="2177" w:type="dxa"/>
            <w:gridSpan w:val="2"/>
            <w:tcBorders>
              <w:bottom w:val="single" w:sz="4" w:space="0" w:color="auto"/>
            </w:tcBorders>
            <w:shd w:val="clear" w:color="auto" w:fill="auto"/>
          </w:tcPr>
          <w:p w14:paraId="75C0FF8B" w14:textId="77777777" w:rsidR="00651A32" w:rsidRPr="00CD7A08" w:rsidRDefault="00651A32" w:rsidP="00CD7A08">
            <w:pPr>
              <w:jc w:val="center"/>
              <w:rPr>
                <w:sz w:val="24"/>
                <w:szCs w:val="24"/>
                <w:lang w:eastAsia="en-US"/>
              </w:rPr>
            </w:pPr>
            <w:r w:rsidRPr="00CD7A08">
              <w:rPr>
                <w:sz w:val="24"/>
                <w:szCs w:val="24"/>
                <w:lang w:eastAsia="en-US"/>
              </w:rPr>
              <w:t>285 (39.1)</w:t>
            </w:r>
          </w:p>
        </w:tc>
      </w:tr>
    </w:tbl>
    <w:p w14:paraId="2A7939EE" w14:textId="77777777" w:rsidR="0087492E" w:rsidRPr="00F855C6" w:rsidRDefault="0087492E" w:rsidP="0087492E">
      <w:pPr>
        <w:spacing w:after="0" w:line="259" w:lineRule="auto"/>
        <w:ind w:right="0" w:firstLine="0"/>
        <w:rPr>
          <w:sz w:val="24"/>
          <w:szCs w:val="24"/>
        </w:rPr>
      </w:pPr>
    </w:p>
    <w:p w14:paraId="74A4273A" w14:textId="397F79A3" w:rsidR="00506A87" w:rsidRPr="00F855C6" w:rsidRDefault="00C55A5F" w:rsidP="00C55A5F">
      <w:pPr>
        <w:spacing w:before="100" w:beforeAutospacing="1" w:after="100" w:afterAutospacing="1" w:line="240" w:lineRule="auto"/>
        <w:ind w:right="0" w:firstLine="0"/>
        <w:rPr>
          <w:sz w:val="24"/>
          <w:szCs w:val="24"/>
        </w:rPr>
      </w:pPr>
      <w:r w:rsidRPr="00F855C6">
        <w:rPr>
          <w:sz w:val="24"/>
          <w:szCs w:val="24"/>
        </w:rPr>
        <w:t>The findings presented in Table 2 illustrate the distribution of burnout across three critical domains</w:t>
      </w:r>
      <w:r w:rsidR="00506A87" w:rsidRPr="00F855C6">
        <w:rPr>
          <w:sz w:val="24"/>
          <w:szCs w:val="24"/>
        </w:rPr>
        <w:t xml:space="preserve">: </w:t>
      </w:r>
      <w:r w:rsidRPr="00F855C6">
        <w:rPr>
          <w:sz w:val="24"/>
          <w:szCs w:val="24"/>
        </w:rPr>
        <w:t>Role Clarity &amp; Job Demands, Self-Exhaustion, and Work-Related Exhaustion</w:t>
      </w:r>
      <w:r w:rsidR="00506A87" w:rsidRPr="00F855C6">
        <w:rPr>
          <w:sz w:val="24"/>
          <w:szCs w:val="24"/>
        </w:rPr>
        <w:t xml:space="preserve">, </w:t>
      </w:r>
      <w:r w:rsidRPr="00F855C6">
        <w:rPr>
          <w:sz w:val="24"/>
          <w:szCs w:val="24"/>
        </w:rPr>
        <w:t xml:space="preserve">among lecturers at various KPTM campuses. In the Role Clarity &amp; Job Demands domain, the overall burnout prevalence is 28.4%. UPTM reports the highest percentage of burnout (34.8%), followed by KPTM Kota Bharu (26.9%) and KPTM Ipoh (27.2%). The fact that over a quarter of the academic workforce experiences burnout due to job demands and unclear role expectations signals a need for institutions to </w:t>
      </w:r>
      <w:r w:rsidR="00506A87" w:rsidRPr="00F855C6">
        <w:rPr>
          <w:sz w:val="24"/>
          <w:szCs w:val="24"/>
        </w:rPr>
        <w:t>re-evaluate</w:t>
      </w:r>
      <w:r w:rsidRPr="00F855C6">
        <w:rPr>
          <w:sz w:val="24"/>
          <w:szCs w:val="24"/>
        </w:rPr>
        <w:t xml:space="preserve"> job clarity and workload distribution.</w:t>
      </w:r>
      <w:r w:rsidR="00D43FEC">
        <w:rPr>
          <w:sz w:val="24"/>
          <w:szCs w:val="24"/>
        </w:rPr>
        <w:t xml:space="preserve"> I</w:t>
      </w:r>
      <w:r w:rsidRPr="00F855C6">
        <w:rPr>
          <w:sz w:val="24"/>
          <w:szCs w:val="24"/>
        </w:rPr>
        <w:t xml:space="preserve">n the Self-Exhaustion domain, the burnout rate is slightly lower, with 27.1% of lecturers overall reporting this form of fatigue. UPTM again leads with the highest proportion (30.9%), suggesting a persistent trend of elevated burnout levels across multiple domains at this campus. Conversely, KPTM Kuantan and KPTM Batu Pahat report the lowest burnout percentages (23.7% and 30.5%, respectively). Despite these variations, the fact that nearly one in four academic staff report emotional or physical fatigue signals a widespread issue of ongoing stress, which warrants closer institutional scrutiny. </w:t>
      </w:r>
    </w:p>
    <w:p w14:paraId="452EB1EB" w14:textId="05589BC0" w:rsidR="00651A32" w:rsidRPr="00F855C6" w:rsidRDefault="00C55A5F" w:rsidP="00C55A5F">
      <w:pPr>
        <w:spacing w:before="100" w:beforeAutospacing="1" w:after="100" w:afterAutospacing="1" w:line="240" w:lineRule="auto"/>
        <w:ind w:right="0" w:firstLine="0"/>
        <w:rPr>
          <w:sz w:val="24"/>
          <w:szCs w:val="24"/>
        </w:rPr>
      </w:pPr>
      <w:r w:rsidRPr="00F855C6">
        <w:rPr>
          <w:sz w:val="24"/>
          <w:szCs w:val="24"/>
        </w:rPr>
        <w:t>Lastly, in the Work-Related Exhaustion domain, burnout is most prevalent, affecting 39.1% of lecturers overall. UPTM again stands out, with almost half (48.1%) of its lecturers experiencing work-related exhaustion, followed by KPTM Bangi (38.6%) and KPTM Ipoh (37.9%). KPTM Kuantan reports the lowest rate (33.7%). While these variations across campuses are notable, the chi-square test result (X² = 10.6, df = 6, p = 0.100) does not show statistical significance, suggesting that the differences may be influenced by factors not captured in the dataset. Nonetheless, the fact that nearly four out of ten academic staff are affected by work-related exhaustion highlights the urgent need for institutional interventions focused on workload management and enhanced support systems.</w:t>
      </w:r>
      <w:r w:rsidR="00D43FEC">
        <w:rPr>
          <w:sz w:val="24"/>
          <w:szCs w:val="24"/>
        </w:rPr>
        <w:t xml:space="preserve"> </w:t>
      </w:r>
      <w:r w:rsidR="00651A32" w:rsidRPr="00F855C6">
        <w:rPr>
          <w:sz w:val="24"/>
          <w:szCs w:val="24"/>
        </w:rPr>
        <w:t xml:space="preserve">The study also highlighted 16 primary factors contributing to academic staff fatigue. The leading cause was the preparation of documents for audit purposes, with a mean score of 3.91. This was followed by the adoption of the trimester study system (mean score: 3.75) and the delegation of tasks outside official job scopes (mean score: </w:t>
      </w:r>
      <w:r w:rsidR="00651A32" w:rsidRPr="00F855C6">
        <w:rPr>
          <w:sz w:val="24"/>
          <w:szCs w:val="24"/>
        </w:rPr>
        <w:lastRenderedPageBreak/>
        <w:t>3.63). Figure 2 presents a detailed ranking of these factors, offering a visual overview of the main contributors to burnout.</w:t>
      </w:r>
    </w:p>
    <w:p w14:paraId="4CBF215F" w14:textId="779F5FF0" w:rsidR="00651A32" w:rsidRPr="00F855C6" w:rsidRDefault="00F808C9" w:rsidP="00651A32">
      <w:pPr>
        <w:spacing w:before="100" w:beforeAutospacing="1" w:after="100" w:afterAutospacing="1" w:line="240" w:lineRule="auto"/>
        <w:ind w:right="0" w:firstLine="0"/>
        <w:jc w:val="center"/>
        <w:rPr>
          <w:sz w:val="24"/>
          <w:szCs w:val="24"/>
        </w:rPr>
      </w:pPr>
      <w:r w:rsidRPr="00CD7A08">
        <w:rPr>
          <w:noProof/>
          <w:sz w:val="24"/>
          <w:szCs w:val="24"/>
        </w:rPr>
        <w:drawing>
          <wp:inline distT="0" distB="0" distL="0" distR="0" wp14:anchorId="79ECC5BC" wp14:editId="45FF8BB4">
            <wp:extent cx="5011420" cy="342011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F0950A" w14:textId="6C1C077E" w:rsidR="0087492E" w:rsidRPr="00F855C6" w:rsidRDefault="00651A32" w:rsidP="00651A32">
      <w:pPr>
        <w:spacing w:after="0" w:line="259" w:lineRule="auto"/>
        <w:ind w:right="0" w:firstLine="0"/>
        <w:jc w:val="center"/>
        <w:rPr>
          <w:b/>
          <w:bCs/>
          <w:sz w:val="24"/>
          <w:szCs w:val="24"/>
        </w:rPr>
      </w:pPr>
      <w:r w:rsidRPr="00F855C6">
        <w:rPr>
          <w:b/>
          <w:bCs/>
          <w:sz w:val="24"/>
          <w:szCs w:val="24"/>
        </w:rPr>
        <w:t>Figure 2: Key Factors Contributing to Academic Burnout According to Mean Scores</w:t>
      </w:r>
    </w:p>
    <w:p w14:paraId="0A584AE3" w14:textId="783D9F55" w:rsidR="00651A32" w:rsidRPr="00F855C6" w:rsidRDefault="00651A32" w:rsidP="00651A32">
      <w:pPr>
        <w:spacing w:after="0" w:line="259" w:lineRule="auto"/>
        <w:ind w:right="0" w:firstLine="0"/>
        <w:jc w:val="center"/>
        <w:rPr>
          <w:b/>
          <w:bCs/>
          <w:sz w:val="24"/>
          <w:szCs w:val="24"/>
        </w:rPr>
      </w:pPr>
    </w:p>
    <w:p w14:paraId="6F167AE9" w14:textId="30485C99" w:rsidR="00651A32" w:rsidRPr="00F855C6" w:rsidRDefault="00651A32" w:rsidP="00651A32">
      <w:pPr>
        <w:spacing w:after="0" w:line="259" w:lineRule="auto"/>
        <w:ind w:right="0" w:firstLine="0"/>
        <w:rPr>
          <w:sz w:val="24"/>
          <w:szCs w:val="24"/>
        </w:rPr>
      </w:pPr>
      <w:r w:rsidRPr="00F855C6">
        <w:rPr>
          <w:sz w:val="24"/>
          <w:szCs w:val="24"/>
        </w:rPr>
        <w:t xml:space="preserve">Figure 2 reveals that around 35% of the factors contributing to fatigue and burnout among academic staff stem from administrative responsibilities. These include tasks such as preparing audit documentation, managing the trimester study system, handling non-essential duties, participating in committees, navigating bureaucratic procedures, and completing complex forms. Such tasks are often viewed as time-consuming and overwhelming, substantially increasing </w:t>
      </w:r>
      <w:r w:rsidR="00506A87" w:rsidRPr="00F855C6">
        <w:rPr>
          <w:sz w:val="24"/>
          <w:szCs w:val="24"/>
        </w:rPr>
        <w:t xml:space="preserve">the </w:t>
      </w:r>
      <w:r w:rsidRPr="00F855C6">
        <w:rPr>
          <w:sz w:val="24"/>
          <w:szCs w:val="24"/>
        </w:rPr>
        <w:t>workload and stress. The cumulative effect of these responsibilities, alongside the pressure to fulfill institutional demands, exacerbates feelings of exhaustion and disengagement. These insights underscore the urgent need for institutional reforms to streamline administrative processes and alleviate unnecessary burdens, thereby helping to reduce burnout among academic staff.</w:t>
      </w:r>
      <w:r w:rsidR="00D43FEC">
        <w:rPr>
          <w:sz w:val="24"/>
          <w:szCs w:val="24"/>
        </w:rPr>
        <w:t xml:space="preserve"> </w:t>
      </w:r>
      <w:r w:rsidRPr="00F855C6">
        <w:rPr>
          <w:sz w:val="24"/>
          <w:szCs w:val="24"/>
        </w:rPr>
        <w:t>Figure 3 depicts the percentage of academic staff who acknowledged these factors as significant contributors to burnout.</w:t>
      </w:r>
    </w:p>
    <w:p w14:paraId="7CBAD7A4" w14:textId="300CDFC3" w:rsidR="0087492E" w:rsidRPr="00F855C6" w:rsidRDefault="0087492E" w:rsidP="0087492E">
      <w:pPr>
        <w:spacing w:after="0" w:line="259" w:lineRule="auto"/>
        <w:ind w:left="566" w:right="0" w:firstLine="0"/>
        <w:jc w:val="left"/>
        <w:rPr>
          <w:noProof/>
          <w:sz w:val="24"/>
          <w:szCs w:val="24"/>
        </w:rPr>
      </w:pPr>
    </w:p>
    <w:p w14:paraId="3FCA2644" w14:textId="0151D4E3" w:rsidR="00FC7258" w:rsidRPr="00F855C6" w:rsidRDefault="00F808C9" w:rsidP="0087492E">
      <w:pPr>
        <w:spacing w:after="0" w:line="259" w:lineRule="auto"/>
        <w:ind w:left="566" w:right="0" w:firstLine="0"/>
        <w:jc w:val="left"/>
        <w:rPr>
          <w:b/>
          <w:bCs/>
          <w:sz w:val="24"/>
          <w:szCs w:val="24"/>
        </w:rPr>
      </w:pPr>
      <w:r w:rsidRPr="00CD7A08">
        <w:rPr>
          <w:noProof/>
          <w:sz w:val="24"/>
          <w:szCs w:val="24"/>
        </w:rPr>
        <w:lastRenderedPageBreak/>
        <w:drawing>
          <wp:inline distT="0" distB="0" distL="0" distR="0" wp14:anchorId="67B454C7" wp14:editId="647BED77">
            <wp:extent cx="5441315" cy="32321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E60BE1" w14:textId="3C0A9525" w:rsidR="00FC7258" w:rsidRPr="00F855C6" w:rsidRDefault="00DE076A" w:rsidP="00DE076A">
      <w:pPr>
        <w:spacing w:after="0" w:line="259" w:lineRule="auto"/>
        <w:ind w:left="566" w:right="0" w:firstLine="0"/>
        <w:jc w:val="center"/>
        <w:rPr>
          <w:b/>
          <w:bCs/>
          <w:sz w:val="24"/>
          <w:szCs w:val="24"/>
        </w:rPr>
      </w:pPr>
      <w:r w:rsidRPr="00F855C6">
        <w:rPr>
          <w:b/>
          <w:bCs/>
          <w:sz w:val="24"/>
          <w:szCs w:val="24"/>
        </w:rPr>
        <w:t>Figure 3: Staff Perceptions of Key Burnout Drivers</w:t>
      </w:r>
    </w:p>
    <w:p w14:paraId="19FFCE13" w14:textId="51DB7183" w:rsidR="00FC7258" w:rsidRPr="00F855C6" w:rsidRDefault="00FC7258" w:rsidP="0087492E">
      <w:pPr>
        <w:spacing w:after="0" w:line="259" w:lineRule="auto"/>
        <w:ind w:left="566" w:right="0" w:firstLine="0"/>
        <w:jc w:val="left"/>
        <w:rPr>
          <w:b/>
          <w:bCs/>
          <w:sz w:val="24"/>
          <w:szCs w:val="24"/>
        </w:rPr>
      </w:pPr>
    </w:p>
    <w:p w14:paraId="1DDC6A3D" w14:textId="6D27E258" w:rsidR="00FC7258" w:rsidRPr="00F855C6" w:rsidRDefault="00FC7258" w:rsidP="00FC7258">
      <w:pPr>
        <w:spacing w:after="0" w:line="259" w:lineRule="auto"/>
        <w:ind w:right="0" w:firstLine="0"/>
        <w:rPr>
          <w:sz w:val="24"/>
          <w:szCs w:val="24"/>
        </w:rPr>
      </w:pPr>
      <w:r w:rsidRPr="00F855C6">
        <w:rPr>
          <w:sz w:val="24"/>
          <w:szCs w:val="24"/>
        </w:rPr>
        <w:t>On average, more than 60% of respondents agreed that all 16 factors identified in this study contribute to academic staff fatigue, eventually leading to burnout. The most frequently cited issue was preparing documents for audits, with 78.2% of respondents highlighting it as a major source of stress. Similarly, 75% identified the trimester study system as a significant contributor. Other key concerns included being assigned duties outside of job scopes and dealing with complex bureaucratic processes, both of which add to an already heavy workload. These findings highlight the urgent need for institutions to evaluate and manage workload pressures to protect staff well-being and maintain educational quality. Without timely intervention, continued exposure to these stressors may harm staff health and degrade institutional performance.</w:t>
      </w:r>
    </w:p>
    <w:p w14:paraId="2BE47151" w14:textId="77777777" w:rsidR="00FC7258" w:rsidRPr="00F855C6" w:rsidRDefault="00FC7258" w:rsidP="00FC7258">
      <w:pPr>
        <w:spacing w:after="0" w:line="259" w:lineRule="auto"/>
        <w:ind w:right="0" w:firstLine="0"/>
        <w:rPr>
          <w:sz w:val="24"/>
          <w:szCs w:val="24"/>
        </w:rPr>
      </w:pPr>
    </w:p>
    <w:p w14:paraId="2F3653EF" w14:textId="6531878B" w:rsidR="00FC7258" w:rsidRPr="00F855C6" w:rsidRDefault="00FC7258" w:rsidP="00FC7258">
      <w:pPr>
        <w:spacing w:after="0" w:line="259" w:lineRule="auto"/>
        <w:ind w:right="0" w:firstLine="0"/>
        <w:rPr>
          <w:sz w:val="24"/>
          <w:szCs w:val="24"/>
        </w:rPr>
      </w:pPr>
      <w:r w:rsidRPr="00F855C6">
        <w:rPr>
          <w:sz w:val="24"/>
          <w:szCs w:val="24"/>
        </w:rPr>
        <w:t>A majority of respondents reported moderate to high levels of emotional exhaustion, revealing that many academic staff are struggling to meet the demands of their roles. This has serious implications for both well-being and job performance. Moreover, 42% of respondents experienced feelings of depersonalization, becoming emotionally detached from students, peers, and the institution. Such detachment can weaken the quality of teaching and student engagement, and reduce motivation for professional growth or innovation.</w:t>
      </w:r>
      <w:r w:rsidR="00D43FEC">
        <w:rPr>
          <w:sz w:val="24"/>
          <w:szCs w:val="24"/>
        </w:rPr>
        <w:t xml:space="preserve"> </w:t>
      </w:r>
      <w:r w:rsidRPr="00F855C6">
        <w:rPr>
          <w:sz w:val="24"/>
          <w:szCs w:val="24"/>
        </w:rPr>
        <w:t xml:space="preserve">Furthermore, 35% of respondents reported a reduced sense of personal accomplishment, feeling that their efforts were not valued by their institution or students. This lack of recognition can lead to frustration, disengagement, and ultimately, higher turnover rates. When staff feel undervalued, workplace morale declines and dissatisfaction </w:t>
      </w:r>
      <w:r w:rsidR="00D43FEC" w:rsidRPr="00F855C6">
        <w:rPr>
          <w:sz w:val="24"/>
          <w:szCs w:val="24"/>
        </w:rPr>
        <w:t>increase</w:t>
      </w:r>
      <w:r w:rsidRPr="00F855C6">
        <w:rPr>
          <w:sz w:val="24"/>
          <w:szCs w:val="24"/>
        </w:rPr>
        <w:t>, contributing to a toxic work culture.</w:t>
      </w:r>
    </w:p>
    <w:p w14:paraId="523ECA3F" w14:textId="77777777" w:rsidR="00FC7258" w:rsidRPr="00F855C6" w:rsidRDefault="00FC7258" w:rsidP="00FC7258">
      <w:pPr>
        <w:spacing w:after="0" w:line="259" w:lineRule="auto"/>
        <w:ind w:right="0" w:firstLine="0"/>
        <w:rPr>
          <w:sz w:val="24"/>
          <w:szCs w:val="24"/>
        </w:rPr>
      </w:pPr>
    </w:p>
    <w:p w14:paraId="2496ABD9" w14:textId="6EE0771E" w:rsidR="00C55A5F" w:rsidRPr="00F855C6" w:rsidRDefault="00FC7258" w:rsidP="00FC7258">
      <w:pPr>
        <w:spacing w:after="0" w:line="259" w:lineRule="auto"/>
        <w:ind w:right="0" w:firstLine="0"/>
        <w:rPr>
          <w:sz w:val="24"/>
          <w:szCs w:val="24"/>
        </w:rPr>
      </w:pPr>
      <w:r w:rsidRPr="00F855C6">
        <w:rPr>
          <w:sz w:val="24"/>
          <w:szCs w:val="24"/>
        </w:rPr>
        <w:t>Excessive workload was named by 65% of respondents as a primary cause of burnout. Many reported working beyond their official hours to juggle teaching, research, and administrative responsibilities. This leaves little room for personal well-being or professional development, further fuelling fatigue and stress. Some staff even admitted neglecting self-care to keep pace with their duties.</w:t>
      </w:r>
      <w:r w:rsidR="00D43FEC">
        <w:rPr>
          <w:sz w:val="24"/>
          <w:szCs w:val="24"/>
        </w:rPr>
        <w:t xml:space="preserve"> </w:t>
      </w:r>
      <w:r w:rsidRPr="00F855C6">
        <w:rPr>
          <w:sz w:val="24"/>
          <w:szCs w:val="24"/>
        </w:rPr>
        <w:t>Administrative overload was another major concern, with 58% stating that non-</w:t>
      </w:r>
      <w:r w:rsidRPr="00F855C6">
        <w:rPr>
          <w:sz w:val="24"/>
          <w:szCs w:val="24"/>
        </w:rPr>
        <w:lastRenderedPageBreak/>
        <w:t>teaching tasks, such as committee work and report writing, took up a significant amount of their time. This was worsened by a perceived lack of institutional support; 47% of respondents felt they lacked adequate resources or assistance. This lack of support increases stress levels and contributes to feelings of isolation, as staff often feel left to cope alone.</w:t>
      </w:r>
      <w:r w:rsidR="00D43FEC">
        <w:rPr>
          <w:sz w:val="24"/>
          <w:szCs w:val="24"/>
        </w:rPr>
        <w:t xml:space="preserve"> </w:t>
      </w:r>
      <w:r w:rsidRPr="00F855C6">
        <w:rPr>
          <w:sz w:val="24"/>
          <w:szCs w:val="24"/>
        </w:rPr>
        <w:t>Additionally, pressure to meet research KPIs added to the burden, especially for early-career academics who must produce research output while managing heavy teaching loads. Balancing these competing demands heightens the risk of burnout, which can undermine productivity and the quality of academic work.</w:t>
      </w:r>
      <w:r w:rsidR="00D43FEC">
        <w:rPr>
          <w:sz w:val="24"/>
          <w:szCs w:val="24"/>
        </w:rPr>
        <w:t xml:space="preserve"> </w:t>
      </w:r>
      <w:r w:rsidRPr="00F855C6">
        <w:rPr>
          <w:sz w:val="24"/>
          <w:szCs w:val="24"/>
        </w:rPr>
        <w:t>In light of these findings, institutions must take meaningful steps to reduce these pressures and foster a healthier, more supportive work environment for academic staff.</w:t>
      </w:r>
    </w:p>
    <w:p w14:paraId="41B194D6" w14:textId="77777777" w:rsidR="00C55A5F" w:rsidRPr="00F855C6" w:rsidRDefault="00C55A5F" w:rsidP="00FC7258">
      <w:pPr>
        <w:spacing w:after="0" w:line="259" w:lineRule="auto"/>
        <w:ind w:right="0" w:firstLine="0"/>
        <w:rPr>
          <w:sz w:val="24"/>
          <w:szCs w:val="24"/>
        </w:rPr>
      </w:pPr>
    </w:p>
    <w:p w14:paraId="3D6117DD" w14:textId="3A67109B" w:rsidR="00C55A5F" w:rsidRPr="009E3D83" w:rsidRDefault="00C55A5F" w:rsidP="009E3D83">
      <w:pPr>
        <w:pStyle w:val="Heading2"/>
        <w:tabs>
          <w:tab w:val="center" w:pos="1451"/>
        </w:tabs>
        <w:ind w:left="-15" w:right="0" w:firstLine="0"/>
        <w:rPr>
          <w:sz w:val="28"/>
          <w:szCs w:val="28"/>
        </w:rPr>
      </w:pPr>
      <w:r w:rsidRPr="009E3D83">
        <w:rPr>
          <w:sz w:val="28"/>
          <w:szCs w:val="28"/>
        </w:rPr>
        <w:t>5   CONCLUSIONS</w:t>
      </w:r>
    </w:p>
    <w:p w14:paraId="28423F09" w14:textId="77777777" w:rsidR="00C55A5F" w:rsidRPr="00F855C6" w:rsidRDefault="00C55A5F" w:rsidP="00FC7258">
      <w:pPr>
        <w:spacing w:after="0" w:line="259" w:lineRule="auto"/>
        <w:ind w:right="0" w:firstLine="0"/>
        <w:rPr>
          <w:sz w:val="24"/>
          <w:szCs w:val="24"/>
        </w:rPr>
      </w:pPr>
    </w:p>
    <w:p w14:paraId="00BF1B9B" w14:textId="084A8BA2" w:rsidR="00C55A5F" w:rsidRPr="00F855C6" w:rsidRDefault="00FC7258" w:rsidP="00C55A5F">
      <w:pPr>
        <w:spacing w:after="0" w:line="259" w:lineRule="auto"/>
        <w:ind w:right="0" w:firstLine="0"/>
        <w:rPr>
          <w:sz w:val="24"/>
          <w:szCs w:val="24"/>
        </w:rPr>
      </w:pPr>
      <w:r w:rsidRPr="00F855C6">
        <w:rPr>
          <w:sz w:val="24"/>
          <w:szCs w:val="24"/>
        </w:rPr>
        <w:t>The findings of this study underscore a critical concern within academic institutions: the growing burden of administrative and non-academic responsibilities significantly contributes to fatigue and burnout among academic staff. The data clearly show that over half of the respondents attribute their exhaustion to excessive workloads, particularly tasks unrelated to core teaching and research functions. Emotional exhaustion, depersonalization, and a diminished sense of personal accomplishment</w:t>
      </w:r>
      <w:r w:rsidR="00731CBC" w:rsidRPr="00F855C6">
        <w:rPr>
          <w:sz w:val="24"/>
          <w:szCs w:val="24"/>
        </w:rPr>
        <w:t xml:space="preserve">, </w:t>
      </w:r>
      <w:r w:rsidRPr="00F855C6">
        <w:rPr>
          <w:sz w:val="24"/>
          <w:szCs w:val="24"/>
        </w:rPr>
        <w:t>hallmarks of burnout</w:t>
      </w:r>
      <w:r w:rsidR="00731CBC" w:rsidRPr="00F855C6">
        <w:rPr>
          <w:sz w:val="24"/>
          <w:szCs w:val="24"/>
        </w:rPr>
        <w:t xml:space="preserve">, </w:t>
      </w:r>
      <w:r w:rsidRPr="00F855C6">
        <w:rPr>
          <w:sz w:val="24"/>
          <w:szCs w:val="24"/>
        </w:rPr>
        <w:t>were widely reported, suggesting that many educators are operating under unsustainable conditions. The pressure to meet institutional expectations, especially in terms of research output and committee involvement, further compounds the mental and emotional strain faced by staff.</w:t>
      </w:r>
      <w:r w:rsidR="00D43FEC">
        <w:rPr>
          <w:sz w:val="24"/>
          <w:szCs w:val="24"/>
        </w:rPr>
        <w:t xml:space="preserve"> </w:t>
      </w:r>
      <w:r w:rsidRPr="00F855C6">
        <w:rPr>
          <w:sz w:val="24"/>
          <w:szCs w:val="24"/>
        </w:rPr>
        <w:t>In conclusion, the results highlight an urgent need for systemic change in how academic workloads are structured and supported. Institutions must take deliberate action to streamline administrative processes, redistribute tasks more equitably, and offer tangible support mechanisms to reduce stress. Without such reforms, academic staff will continue to face high risks of burnout, which may ultimately impact teaching quality, staff retention, and overall institutional effectiveness. A sustainable academic environment requires not only high performance but also a strong commitment to staff well-being.</w:t>
      </w:r>
    </w:p>
    <w:p w14:paraId="1C7E526C" w14:textId="0FD61DAD" w:rsidR="00C55A5F" w:rsidRPr="00F855C6" w:rsidRDefault="00C55A5F" w:rsidP="00C55A5F">
      <w:pPr>
        <w:spacing w:after="0" w:line="259" w:lineRule="auto"/>
        <w:ind w:right="0" w:firstLine="0"/>
        <w:rPr>
          <w:sz w:val="24"/>
          <w:szCs w:val="24"/>
        </w:rPr>
      </w:pPr>
    </w:p>
    <w:p w14:paraId="5CF65DD4" w14:textId="324C09B6" w:rsidR="00C55A5F" w:rsidRPr="009E3D83" w:rsidRDefault="00C55A5F" w:rsidP="009E3D83">
      <w:pPr>
        <w:pStyle w:val="Heading2"/>
        <w:tabs>
          <w:tab w:val="center" w:pos="1451"/>
        </w:tabs>
        <w:ind w:left="-15" w:right="0" w:firstLine="0"/>
        <w:rPr>
          <w:sz w:val="28"/>
          <w:szCs w:val="28"/>
        </w:rPr>
      </w:pPr>
      <w:r w:rsidRPr="009E3D83">
        <w:rPr>
          <w:sz w:val="28"/>
          <w:szCs w:val="28"/>
        </w:rPr>
        <w:t>6   RECOMMENDATIONS</w:t>
      </w:r>
    </w:p>
    <w:p w14:paraId="243D4114" w14:textId="77777777" w:rsidR="00C55A5F" w:rsidRPr="00F855C6" w:rsidRDefault="00C55A5F" w:rsidP="00C55A5F">
      <w:pPr>
        <w:spacing w:after="0" w:line="259" w:lineRule="auto"/>
        <w:ind w:right="0" w:firstLine="0"/>
        <w:rPr>
          <w:sz w:val="24"/>
          <w:szCs w:val="24"/>
        </w:rPr>
      </w:pPr>
    </w:p>
    <w:p w14:paraId="0221469F" w14:textId="60C59402" w:rsidR="00C55A5F" w:rsidRPr="00F855C6" w:rsidRDefault="00C55A5F" w:rsidP="00C55A5F">
      <w:pPr>
        <w:spacing w:after="0" w:line="259" w:lineRule="auto"/>
        <w:ind w:right="0" w:firstLine="0"/>
        <w:rPr>
          <w:sz w:val="24"/>
          <w:szCs w:val="24"/>
        </w:rPr>
      </w:pPr>
      <w:r w:rsidRPr="00F855C6">
        <w:rPr>
          <w:sz w:val="24"/>
          <w:szCs w:val="24"/>
        </w:rPr>
        <w:t>Based on the findings, several targeted recommendations can help academic institutions address and mitigate burnout among staff. Firstly, institutions should streamline administrative processes by digitizing and automating routine tasks, reducing the time spent on paperwork, audits, and bureaucratic procedures. Assigning dedicated administrative support or creating centralized units for non-academic tasks can also alleviate pressure on academic staff. Secondly, it is essential to clearly define job scopes and ensure that additional responsibilities</w:t>
      </w:r>
      <w:r w:rsidR="00731CBC" w:rsidRPr="00F855C6">
        <w:rPr>
          <w:sz w:val="24"/>
          <w:szCs w:val="24"/>
        </w:rPr>
        <w:t xml:space="preserve">, </w:t>
      </w:r>
      <w:r w:rsidRPr="00F855C6">
        <w:rPr>
          <w:sz w:val="24"/>
          <w:szCs w:val="24"/>
        </w:rPr>
        <w:t>such as committee work</w:t>
      </w:r>
      <w:r w:rsidR="00731CBC" w:rsidRPr="00F855C6">
        <w:rPr>
          <w:sz w:val="24"/>
          <w:szCs w:val="24"/>
        </w:rPr>
        <w:t xml:space="preserve">, </w:t>
      </w:r>
      <w:r w:rsidRPr="00F855C6">
        <w:rPr>
          <w:sz w:val="24"/>
          <w:szCs w:val="24"/>
        </w:rPr>
        <w:t>are fairly distributed and acknowledged in performance evaluations.</w:t>
      </w:r>
    </w:p>
    <w:p w14:paraId="519F0319" w14:textId="77777777" w:rsidR="00C55A5F" w:rsidRPr="00F855C6" w:rsidRDefault="00C55A5F" w:rsidP="00C55A5F">
      <w:pPr>
        <w:spacing w:after="0" w:line="259" w:lineRule="auto"/>
        <w:ind w:right="0" w:firstLine="0"/>
        <w:rPr>
          <w:sz w:val="24"/>
          <w:szCs w:val="24"/>
        </w:rPr>
      </w:pPr>
    </w:p>
    <w:p w14:paraId="6A9E9131" w14:textId="5C46BEE8" w:rsidR="00FC7258" w:rsidRPr="00F855C6" w:rsidRDefault="00C55A5F" w:rsidP="00C55A5F">
      <w:pPr>
        <w:spacing w:after="0" w:line="259" w:lineRule="auto"/>
        <w:ind w:right="0" w:firstLine="0"/>
        <w:rPr>
          <w:sz w:val="24"/>
          <w:szCs w:val="24"/>
        </w:rPr>
      </w:pPr>
      <w:r w:rsidRPr="00F855C6">
        <w:rPr>
          <w:sz w:val="24"/>
          <w:szCs w:val="24"/>
        </w:rPr>
        <w:t xml:space="preserve">Furthermore, institutions should implement policies that promote work-life balance and mental well-being. This includes enforcing reasonable working hours, encouraging self-care, and offering professional development opportunities without adding to the workload. Regular feedback sessions, stress management workshops, and mental health support services can also foster a more supportive work culture. Lastly, creating transparent and inclusive decision-making processes will </w:t>
      </w:r>
      <w:r w:rsidRPr="00F855C6">
        <w:rPr>
          <w:sz w:val="24"/>
          <w:szCs w:val="24"/>
        </w:rPr>
        <w:lastRenderedPageBreak/>
        <w:t>help staff feel valued and heard, contributing to a more motivated and resilient academic workforce.</w:t>
      </w:r>
    </w:p>
    <w:p w14:paraId="6D474672" w14:textId="62667D78" w:rsidR="00FC7258" w:rsidRPr="00F855C6" w:rsidRDefault="00FC7258" w:rsidP="0087492E">
      <w:pPr>
        <w:spacing w:after="0" w:line="259" w:lineRule="auto"/>
        <w:ind w:left="566" w:right="0" w:firstLine="0"/>
        <w:jc w:val="left"/>
        <w:rPr>
          <w:b/>
          <w:bCs/>
          <w:sz w:val="24"/>
          <w:szCs w:val="24"/>
        </w:rPr>
      </w:pPr>
    </w:p>
    <w:p w14:paraId="7E9AF63B" w14:textId="5265D016" w:rsidR="00C23D13" w:rsidRPr="009E3D83" w:rsidRDefault="00731CBC" w:rsidP="009E3D83">
      <w:pPr>
        <w:pStyle w:val="Heading2"/>
        <w:tabs>
          <w:tab w:val="center" w:pos="1451"/>
        </w:tabs>
        <w:ind w:left="-15" w:right="0" w:firstLine="0"/>
        <w:rPr>
          <w:sz w:val="28"/>
          <w:szCs w:val="28"/>
        </w:rPr>
      </w:pPr>
      <w:r w:rsidRPr="009E3D83">
        <w:rPr>
          <w:sz w:val="28"/>
          <w:szCs w:val="28"/>
        </w:rPr>
        <w:t>7</w:t>
      </w:r>
      <w:r w:rsidR="00321248" w:rsidRPr="009E3D83">
        <w:rPr>
          <w:sz w:val="28"/>
          <w:szCs w:val="28"/>
        </w:rPr>
        <w:t xml:space="preserve"> </w:t>
      </w:r>
      <w:r w:rsidR="00321248" w:rsidRPr="009E3D83">
        <w:rPr>
          <w:sz w:val="28"/>
          <w:szCs w:val="28"/>
        </w:rPr>
        <w:tab/>
        <w:t xml:space="preserve">ACKNOWLEDGEMENTS </w:t>
      </w:r>
    </w:p>
    <w:p w14:paraId="4F8644EB" w14:textId="122CBE19" w:rsidR="007C0D4B" w:rsidRPr="00F855C6" w:rsidRDefault="007C0D4B" w:rsidP="00E23AC7">
      <w:pPr>
        <w:pStyle w:val="Heading2"/>
        <w:ind w:left="-5" w:right="0"/>
        <w:jc w:val="both"/>
        <w:rPr>
          <w:b w:val="0"/>
          <w:sz w:val="24"/>
          <w:szCs w:val="24"/>
        </w:rPr>
      </w:pPr>
      <w:r w:rsidRPr="00F855C6">
        <w:rPr>
          <w:b w:val="0"/>
          <w:sz w:val="24"/>
          <w:szCs w:val="24"/>
        </w:rPr>
        <w:t>The authors would like to express their sincere gratitude to Kolej Poly-Tech MARA Sdn. Bhd. for initiating this research and implementing the necessary mitigation actions. Our heartfelt thanks also go to Universiti Poly-Tech Malaysia for their generous support through the URG 0</w:t>
      </w:r>
      <w:r w:rsidR="009E3D83">
        <w:rPr>
          <w:b w:val="0"/>
          <w:sz w:val="24"/>
          <w:szCs w:val="24"/>
        </w:rPr>
        <w:t>3</w:t>
      </w:r>
      <w:r w:rsidRPr="00F855C6">
        <w:rPr>
          <w:b w:val="0"/>
          <w:sz w:val="24"/>
          <w:szCs w:val="24"/>
        </w:rPr>
        <w:t>/202</w:t>
      </w:r>
      <w:r w:rsidR="009E3D83">
        <w:rPr>
          <w:b w:val="0"/>
          <w:sz w:val="24"/>
          <w:szCs w:val="24"/>
        </w:rPr>
        <w:t>5</w:t>
      </w:r>
      <w:r w:rsidRPr="00F855C6">
        <w:rPr>
          <w:b w:val="0"/>
          <w:sz w:val="24"/>
          <w:szCs w:val="24"/>
        </w:rPr>
        <w:t xml:space="preserve"> research grant, which made this study possible.</w:t>
      </w:r>
    </w:p>
    <w:p w14:paraId="34B435FF" w14:textId="77777777" w:rsidR="007C0D4B" w:rsidRPr="009E3D83" w:rsidRDefault="007C0D4B" w:rsidP="007C0D4B">
      <w:pPr>
        <w:rPr>
          <w:b/>
          <w:sz w:val="28"/>
          <w:szCs w:val="28"/>
        </w:rPr>
      </w:pPr>
    </w:p>
    <w:p w14:paraId="3485268A" w14:textId="7E1AAF61" w:rsidR="00C23D13" w:rsidRPr="009E3D83" w:rsidRDefault="007C0D4B" w:rsidP="009E3D83">
      <w:pPr>
        <w:spacing w:after="0" w:line="259" w:lineRule="auto"/>
        <w:ind w:right="0" w:firstLine="0"/>
        <w:rPr>
          <w:b/>
          <w:sz w:val="28"/>
          <w:szCs w:val="28"/>
        </w:rPr>
      </w:pPr>
      <w:r w:rsidRPr="009E3D83">
        <w:rPr>
          <w:b/>
          <w:sz w:val="28"/>
          <w:szCs w:val="28"/>
        </w:rPr>
        <w:t>8</w:t>
      </w:r>
      <w:r w:rsidR="009E3D83">
        <w:rPr>
          <w:b/>
          <w:sz w:val="28"/>
          <w:szCs w:val="28"/>
        </w:rPr>
        <w:t xml:space="preserve"> </w:t>
      </w:r>
      <w:r w:rsidR="00321248" w:rsidRPr="009E3D83">
        <w:rPr>
          <w:b/>
          <w:sz w:val="28"/>
          <w:szCs w:val="28"/>
        </w:rPr>
        <w:t xml:space="preserve">REFERENCES </w:t>
      </w:r>
    </w:p>
    <w:p w14:paraId="3330AC8F" w14:textId="77777777" w:rsidR="006F5FCB" w:rsidRPr="00F855C6" w:rsidRDefault="006F5FCB" w:rsidP="006F5FCB">
      <w:pPr>
        <w:rPr>
          <w:sz w:val="24"/>
          <w:szCs w:val="24"/>
        </w:rPr>
      </w:pPr>
    </w:p>
    <w:p w14:paraId="17618216" w14:textId="7194E336" w:rsidR="0079109A" w:rsidRPr="0079109A" w:rsidRDefault="0079109A">
      <w:pPr>
        <w:autoSpaceDE w:val="0"/>
        <w:autoSpaceDN w:val="0"/>
        <w:ind w:hanging="480"/>
        <w:divId w:val="432752794"/>
        <w:rPr>
          <w:sz w:val="24"/>
          <w:szCs w:val="24"/>
        </w:rPr>
      </w:pPr>
      <w:r w:rsidRPr="0079109A">
        <w:rPr>
          <w:sz w:val="24"/>
        </w:rPr>
        <w:t xml:space="preserve">Ashipala, D. O., Albanus, F. S., &amp; Nghole, T. M. (2023). Overview and Management of Burnout Among Academics. </w:t>
      </w:r>
      <w:r w:rsidRPr="0079109A">
        <w:rPr>
          <w:i/>
          <w:iCs/>
          <w:sz w:val="24"/>
        </w:rPr>
        <w:t>Advances in Human Resources Management and Organizational Development Book Series</w:t>
      </w:r>
      <w:r w:rsidRPr="0079109A">
        <w:rPr>
          <w:sz w:val="24"/>
        </w:rPr>
        <w:t>, 200–215. https://doi.org/10.4018/978-1-6684-6543-1.CH015</w:t>
      </w:r>
    </w:p>
    <w:p w14:paraId="12C84216" w14:textId="77777777" w:rsidR="0079109A" w:rsidRPr="0079109A" w:rsidRDefault="0079109A">
      <w:pPr>
        <w:autoSpaceDE w:val="0"/>
        <w:autoSpaceDN w:val="0"/>
        <w:ind w:hanging="480"/>
        <w:divId w:val="1593516011"/>
        <w:rPr>
          <w:sz w:val="24"/>
        </w:rPr>
      </w:pPr>
      <w:r w:rsidRPr="0079109A">
        <w:rPr>
          <w:sz w:val="24"/>
        </w:rPr>
        <w:t xml:space="preserve">Bezuidenhout, A., &amp; Cilliers, F. (2011). Age, burnout, work engagement and sense of coherence in female academics at two South African universities. </w:t>
      </w:r>
      <w:r w:rsidRPr="0079109A">
        <w:rPr>
          <w:i/>
          <w:iCs/>
          <w:sz w:val="24"/>
        </w:rPr>
        <w:t>South African Journal of Labour Relations</w:t>
      </w:r>
      <w:r w:rsidRPr="0079109A">
        <w:rPr>
          <w:sz w:val="24"/>
        </w:rPr>
        <w:t>.</w:t>
      </w:r>
    </w:p>
    <w:p w14:paraId="279C1365" w14:textId="77777777" w:rsidR="0079109A" w:rsidRPr="0079109A" w:rsidRDefault="0079109A">
      <w:pPr>
        <w:autoSpaceDE w:val="0"/>
        <w:autoSpaceDN w:val="0"/>
        <w:ind w:hanging="480"/>
        <w:divId w:val="20473689"/>
        <w:rPr>
          <w:sz w:val="24"/>
        </w:rPr>
      </w:pPr>
      <w:r w:rsidRPr="0079109A">
        <w:rPr>
          <w:sz w:val="24"/>
        </w:rPr>
        <w:t xml:space="preserve">Bibi Hamzah, F., Mahmod, R., Hafiza Abd Samad, N., Juanita Zainuddin, A., Hafiza Haron, N., Asiah Wan Muhamad Tahir, W., &amp; Azahari Mohd Yusof, M. (2024). Predatory Publishing: The Dark Side of Academic Dissemination. </w:t>
      </w:r>
      <w:r w:rsidRPr="0079109A">
        <w:rPr>
          <w:i/>
          <w:iCs/>
          <w:sz w:val="24"/>
        </w:rPr>
        <w:t>Library Progress International</w:t>
      </w:r>
      <w:r w:rsidRPr="0079109A">
        <w:rPr>
          <w:sz w:val="24"/>
        </w:rPr>
        <w:t xml:space="preserve">, </w:t>
      </w:r>
      <w:r w:rsidRPr="0079109A">
        <w:rPr>
          <w:i/>
          <w:iCs/>
          <w:sz w:val="24"/>
        </w:rPr>
        <w:t>44</w:t>
      </w:r>
      <w:r w:rsidRPr="0079109A">
        <w:rPr>
          <w:sz w:val="24"/>
        </w:rPr>
        <w:t>(4), 1383–1391. https://doi.org/10.48165/BAPAS.2024.44.2.1</w:t>
      </w:r>
    </w:p>
    <w:p w14:paraId="29A0D585" w14:textId="77777777" w:rsidR="0079109A" w:rsidRPr="0079109A" w:rsidRDefault="0079109A">
      <w:pPr>
        <w:autoSpaceDE w:val="0"/>
        <w:autoSpaceDN w:val="0"/>
        <w:ind w:hanging="480"/>
        <w:divId w:val="1850945730"/>
        <w:rPr>
          <w:sz w:val="24"/>
        </w:rPr>
      </w:pPr>
      <w:r w:rsidRPr="0079109A">
        <w:rPr>
          <w:sz w:val="24"/>
        </w:rPr>
        <w:t xml:space="preserve">Cox, T., Kuk, G., &amp; Leiter, M. P. (2018). Burnout, Health, Work Stress, and Organizational Healthiness. </w:t>
      </w:r>
      <w:r w:rsidRPr="0079109A">
        <w:rPr>
          <w:i/>
          <w:iCs/>
          <w:sz w:val="24"/>
        </w:rPr>
        <w:t>Professional Burnout</w:t>
      </w:r>
      <w:r w:rsidRPr="0079109A">
        <w:rPr>
          <w:sz w:val="24"/>
        </w:rPr>
        <w:t>, 177–193. https://doi.org/10.4324/9781315227979-14/BURNOUT-HEALTH-WORK-STRESS-ORGANIZATIONAL-HEALTHINESS-TOM-COX-GEORGE-KUK-MICHAEL-LEITER</w:t>
      </w:r>
    </w:p>
    <w:p w14:paraId="1A2C2244" w14:textId="77777777" w:rsidR="0079109A" w:rsidRPr="0079109A" w:rsidRDefault="0079109A">
      <w:pPr>
        <w:autoSpaceDE w:val="0"/>
        <w:autoSpaceDN w:val="0"/>
        <w:ind w:hanging="480"/>
        <w:divId w:val="670179849"/>
        <w:rPr>
          <w:sz w:val="24"/>
        </w:rPr>
      </w:pPr>
      <w:r w:rsidRPr="0079109A">
        <w:rPr>
          <w:sz w:val="24"/>
        </w:rPr>
        <w:t xml:space="preserve">Demirel, E. E., &amp; Erdirençelebi, M. (2019). The relationship of burnout with workaholism mediated by work-family life conflict: A study on female academicians. </w:t>
      </w:r>
      <w:r w:rsidRPr="0079109A">
        <w:rPr>
          <w:i/>
          <w:iCs/>
          <w:sz w:val="24"/>
        </w:rPr>
        <w:t>Journal of Language and Linguistic Studies</w:t>
      </w:r>
      <w:r w:rsidRPr="0079109A">
        <w:rPr>
          <w:sz w:val="24"/>
        </w:rPr>
        <w:t xml:space="preserve">, </w:t>
      </w:r>
      <w:r w:rsidRPr="0079109A">
        <w:rPr>
          <w:i/>
          <w:iCs/>
          <w:sz w:val="24"/>
        </w:rPr>
        <w:t>15</w:t>
      </w:r>
      <w:r w:rsidRPr="0079109A">
        <w:rPr>
          <w:sz w:val="24"/>
        </w:rPr>
        <w:t>(4), 1300–1316. https://doi.org/10.17263/JLLS.668436</w:t>
      </w:r>
    </w:p>
    <w:p w14:paraId="2A2B411A" w14:textId="77777777" w:rsidR="0079109A" w:rsidRPr="0079109A" w:rsidRDefault="0079109A">
      <w:pPr>
        <w:autoSpaceDE w:val="0"/>
        <w:autoSpaceDN w:val="0"/>
        <w:ind w:hanging="480"/>
        <w:divId w:val="1024669456"/>
        <w:rPr>
          <w:sz w:val="24"/>
        </w:rPr>
      </w:pPr>
      <w:r w:rsidRPr="0079109A">
        <w:rPr>
          <w:sz w:val="24"/>
        </w:rPr>
        <w:t xml:space="preserve">Koutsimani, P., Montgomery, A., &amp; Georganta, K. (2019). The relationship between burnout, depression, and anxiety: A systematic review and meta-analysis. </w:t>
      </w:r>
      <w:r w:rsidRPr="0079109A">
        <w:rPr>
          <w:i/>
          <w:iCs/>
          <w:sz w:val="24"/>
        </w:rPr>
        <w:t>Frontiers in Psychology</w:t>
      </w:r>
      <w:r w:rsidRPr="0079109A">
        <w:rPr>
          <w:sz w:val="24"/>
        </w:rPr>
        <w:t xml:space="preserve">, </w:t>
      </w:r>
      <w:r w:rsidRPr="0079109A">
        <w:rPr>
          <w:i/>
          <w:iCs/>
          <w:sz w:val="24"/>
        </w:rPr>
        <w:t>10</w:t>
      </w:r>
      <w:r w:rsidRPr="0079109A">
        <w:rPr>
          <w:sz w:val="24"/>
        </w:rPr>
        <w:t>(MAR). https://doi.org/10.3389/FPSYG.2019.00284</w:t>
      </w:r>
    </w:p>
    <w:p w14:paraId="586D5757" w14:textId="77777777" w:rsidR="0079109A" w:rsidRPr="0079109A" w:rsidRDefault="0079109A">
      <w:pPr>
        <w:autoSpaceDE w:val="0"/>
        <w:autoSpaceDN w:val="0"/>
        <w:ind w:hanging="480"/>
        <w:divId w:val="1889799239"/>
        <w:rPr>
          <w:sz w:val="24"/>
        </w:rPr>
      </w:pPr>
      <w:r w:rsidRPr="0079109A">
        <w:rPr>
          <w:sz w:val="24"/>
        </w:rPr>
        <w:t xml:space="preserve">Lei, W., Li, J., Li, Y., Castaño, G., Yang, M., &amp; Zou, B. (2021). The boundary conditions under which teaching–research conflict leads to university teachers’ job burnout. </w:t>
      </w:r>
      <w:r w:rsidRPr="0079109A">
        <w:rPr>
          <w:i/>
          <w:iCs/>
          <w:sz w:val="24"/>
        </w:rPr>
        <w:t>Studies in Higher Education</w:t>
      </w:r>
      <w:r w:rsidRPr="0079109A">
        <w:rPr>
          <w:sz w:val="24"/>
        </w:rPr>
        <w:t xml:space="preserve">, </w:t>
      </w:r>
      <w:r w:rsidRPr="0079109A">
        <w:rPr>
          <w:i/>
          <w:iCs/>
          <w:sz w:val="24"/>
        </w:rPr>
        <w:t>46</w:t>
      </w:r>
      <w:r w:rsidRPr="0079109A">
        <w:rPr>
          <w:sz w:val="24"/>
        </w:rPr>
        <w:t>(2), 406–422. https://doi.org/10.1080/03075079.2020.1811218</w:t>
      </w:r>
    </w:p>
    <w:p w14:paraId="75BC76B9" w14:textId="77777777" w:rsidR="0079109A" w:rsidRPr="0079109A" w:rsidRDefault="0079109A">
      <w:pPr>
        <w:autoSpaceDE w:val="0"/>
        <w:autoSpaceDN w:val="0"/>
        <w:ind w:hanging="480"/>
        <w:divId w:val="510608330"/>
        <w:rPr>
          <w:sz w:val="24"/>
        </w:rPr>
      </w:pPr>
      <w:r w:rsidRPr="0079109A">
        <w:rPr>
          <w:sz w:val="24"/>
        </w:rPr>
        <w:t xml:space="preserve">Lin, W., Hong, X., Wang, Q., Chen, X., &amp; Liu, Y. (2025). Mapping Two Decades of Academic Burnout Research: Key Insights and Future Directions. </w:t>
      </w:r>
      <w:r w:rsidRPr="0079109A">
        <w:rPr>
          <w:i/>
          <w:iCs/>
          <w:sz w:val="24"/>
        </w:rPr>
        <w:t>SAGE Open</w:t>
      </w:r>
      <w:r w:rsidRPr="0079109A">
        <w:rPr>
          <w:sz w:val="24"/>
        </w:rPr>
        <w:t xml:space="preserve">, </w:t>
      </w:r>
      <w:r w:rsidRPr="0079109A">
        <w:rPr>
          <w:i/>
          <w:iCs/>
          <w:sz w:val="24"/>
        </w:rPr>
        <w:t>15</w:t>
      </w:r>
      <w:r w:rsidRPr="0079109A">
        <w:rPr>
          <w:sz w:val="24"/>
        </w:rPr>
        <w:t>(4). https://doi.org/10.1177/21582440251386590</w:t>
      </w:r>
    </w:p>
    <w:p w14:paraId="5A239A68" w14:textId="77777777" w:rsidR="0079109A" w:rsidRPr="0079109A" w:rsidRDefault="0079109A">
      <w:pPr>
        <w:autoSpaceDE w:val="0"/>
        <w:autoSpaceDN w:val="0"/>
        <w:ind w:hanging="480"/>
        <w:divId w:val="1229144685"/>
        <w:rPr>
          <w:sz w:val="24"/>
        </w:rPr>
      </w:pPr>
      <w:r w:rsidRPr="0079109A">
        <w:rPr>
          <w:sz w:val="24"/>
        </w:rPr>
        <w:t xml:space="preserve">Mark, G., &amp; Smith, A. P. (2012). Effects of occupational stress, job characteristics, coping, and attributional style on the mental health and job satisfaction of university employees. </w:t>
      </w:r>
      <w:r w:rsidRPr="0079109A">
        <w:rPr>
          <w:i/>
          <w:iCs/>
          <w:sz w:val="24"/>
        </w:rPr>
        <w:t>Anxiety, Stress and Coping</w:t>
      </w:r>
      <w:r w:rsidRPr="0079109A">
        <w:rPr>
          <w:sz w:val="24"/>
        </w:rPr>
        <w:t xml:space="preserve">, </w:t>
      </w:r>
      <w:r w:rsidRPr="0079109A">
        <w:rPr>
          <w:i/>
          <w:iCs/>
          <w:sz w:val="24"/>
        </w:rPr>
        <w:t>25</w:t>
      </w:r>
      <w:r w:rsidRPr="0079109A">
        <w:rPr>
          <w:sz w:val="24"/>
        </w:rPr>
        <w:t>(1), 63–78. https://doi.org/10.1080/10615806.2010.548088</w:t>
      </w:r>
    </w:p>
    <w:p w14:paraId="22E763B8" w14:textId="77777777" w:rsidR="0079109A" w:rsidRPr="0079109A" w:rsidRDefault="0079109A">
      <w:pPr>
        <w:autoSpaceDE w:val="0"/>
        <w:autoSpaceDN w:val="0"/>
        <w:ind w:hanging="480"/>
        <w:divId w:val="2007249088"/>
        <w:rPr>
          <w:sz w:val="24"/>
        </w:rPr>
      </w:pPr>
      <w:r w:rsidRPr="0079109A">
        <w:rPr>
          <w:sz w:val="24"/>
        </w:rPr>
        <w:t xml:space="preserve">Mohamed, S., Nikmat, A., Hashim, N. A., Shuib, N., &amp; Raduan, N. J. N. (2020). Burnout and its Relationship to Psychological Distress and Job Satisfaction Among Academician and Non-Academician in Malaysia. </w:t>
      </w:r>
      <w:r w:rsidRPr="0079109A">
        <w:rPr>
          <w:i/>
          <w:iCs/>
          <w:sz w:val="24"/>
        </w:rPr>
        <w:t>International Journal of Higher Education</w:t>
      </w:r>
      <w:r w:rsidRPr="0079109A">
        <w:rPr>
          <w:sz w:val="24"/>
        </w:rPr>
        <w:t xml:space="preserve">, </w:t>
      </w:r>
      <w:r w:rsidRPr="0079109A">
        <w:rPr>
          <w:i/>
          <w:iCs/>
          <w:sz w:val="24"/>
        </w:rPr>
        <w:t>10</w:t>
      </w:r>
      <w:r w:rsidRPr="0079109A">
        <w:rPr>
          <w:sz w:val="24"/>
        </w:rPr>
        <w:t>(1), 85. https://doi.org/10.5430/IJHE.V10N1P85</w:t>
      </w:r>
    </w:p>
    <w:p w14:paraId="21E95ED1" w14:textId="77777777" w:rsidR="0079109A" w:rsidRPr="0079109A" w:rsidRDefault="0079109A">
      <w:pPr>
        <w:autoSpaceDE w:val="0"/>
        <w:autoSpaceDN w:val="0"/>
        <w:ind w:hanging="480"/>
        <w:divId w:val="1196389654"/>
        <w:rPr>
          <w:sz w:val="24"/>
        </w:rPr>
      </w:pPr>
      <w:r w:rsidRPr="0079109A">
        <w:rPr>
          <w:sz w:val="24"/>
        </w:rPr>
        <w:t xml:space="preserve">O’connor, A. B., Catalanotti, J. S., Desai, S. V., Zetkulic, M., Kisielewski, M., Willett, L. L., &amp; Zaas, A. K. (2022). Internal Medicine Residency Program Director Support and Burnout </w:t>
      </w:r>
      <w:r w:rsidRPr="0079109A">
        <w:rPr>
          <w:sz w:val="24"/>
        </w:rPr>
        <w:lastRenderedPageBreak/>
        <w:t xml:space="preserve">During the COVID-19 Pandemic: Results of a National Survey. </w:t>
      </w:r>
      <w:r w:rsidRPr="0079109A">
        <w:rPr>
          <w:i/>
          <w:iCs/>
          <w:sz w:val="24"/>
        </w:rPr>
        <w:t>Journal of Graduate Medical Education</w:t>
      </w:r>
      <w:r w:rsidRPr="0079109A">
        <w:rPr>
          <w:sz w:val="24"/>
        </w:rPr>
        <w:t xml:space="preserve">, </w:t>
      </w:r>
      <w:r w:rsidRPr="0079109A">
        <w:rPr>
          <w:i/>
          <w:iCs/>
          <w:sz w:val="24"/>
        </w:rPr>
        <w:t>14</w:t>
      </w:r>
      <w:r w:rsidRPr="0079109A">
        <w:rPr>
          <w:sz w:val="24"/>
        </w:rPr>
        <w:t>(2), 218–223. https://doi.org/10.4300/JGME-D-21-00804.1</w:t>
      </w:r>
    </w:p>
    <w:p w14:paraId="10E72AA8" w14:textId="77777777" w:rsidR="0079109A" w:rsidRPr="0079109A" w:rsidRDefault="0079109A">
      <w:pPr>
        <w:autoSpaceDE w:val="0"/>
        <w:autoSpaceDN w:val="0"/>
        <w:ind w:hanging="480"/>
        <w:divId w:val="78715621"/>
        <w:rPr>
          <w:sz w:val="24"/>
        </w:rPr>
      </w:pPr>
      <w:r w:rsidRPr="0079109A">
        <w:rPr>
          <w:sz w:val="24"/>
        </w:rPr>
        <w:t xml:space="preserve">Raduan, N. J. N., Mohamed, S., Hashim, N. A., Nikmat, A. W., Shuib, N., &amp; Ali, N. F. (2022). Psychological Distress, Burnout and Job Satisfaction among Academicians in Science and Technology Faculties in a Malaysian University. </w:t>
      </w:r>
      <w:r w:rsidRPr="0079109A">
        <w:rPr>
          <w:i/>
          <w:iCs/>
          <w:sz w:val="24"/>
        </w:rPr>
        <w:t>ASEAN Journal of Psychiatry</w:t>
      </w:r>
      <w:r w:rsidRPr="0079109A">
        <w:rPr>
          <w:sz w:val="24"/>
        </w:rPr>
        <w:t xml:space="preserve">, </w:t>
      </w:r>
      <w:r w:rsidRPr="0079109A">
        <w:rPr>
          <w:i/>
          <w:iCs/>
          <w:sz w:val="24"/>
        </w:rPr>
        <w:t>23</w:t>
      </w:r>
      <w:r w:rsidRPr="0079109A">
        <w:rPr>
          <w:sz w:val="24"/>
        </w:rPr>
        <w:t>(6), 1–8. https://doi.org/10.54615/2231-7805.47262</w:t>
      </w:r>
    </w:p>
    <w:p w14:paraId="0F5C2163" w14:textId="77777777" w:rsidR="0079109A" w:rsidRPr="0079109A" w:rsidRDefault="0079109A">
      <w:pPr>
        <w:autoSpaceDE w:val="0"/>
        <w:autoSpaceDN w:val="0"/>
        <w:ind w:hanging="480"/>
        <w:divId w:val="1686706445"/>
        <w:rPr>
          <w:sz w:val="24"/>
        </w:rPr>
      </w:pPr>
      <w:r w:rsidRPr="0079109A">
        <w:rPr>
          <w:sz w:val="24"/>
        </w:rPr>
        <w:t xml:space="preserve">Rusdi, F. A. dilah, Razak, A. A., &amp; Embong, Z. (2023). “I find it very difficult to go to work; it is emotionally exhausting”: Understanding the Burnout and Underlying Emotions among Malaysian University Academics. </w:t>
      </w:r>
      <w:r w:rsidRPr="0079109A">
        <w:rPr>
          <w:i/>
          <w:iCs/>
          <w:sz w:val="24"/>
        </w:rPr>
        <w:t>International Journal of Learning, Teaching and Educational Research</w:t>
      </w:r>
      <w:r w:rsidRPr="0079109A">
        <w:rPr>
          <w:sz w:val="24"/>
        </w:rPr>
        <w:t xml:space="preserve">, </w:t>
      </w:r>
      <w:r w:rsidRPr="0079109A">
        <w:rPr>
          <w:i/>
          <w:iCs/>
          <w:sz w:val="24"/>
        </w:rPr>
        <w:t>22</w:t>
      </w:r>
      <w:r w:rsidRPr="0079109A">
        <w:rPr>
          <w:sz w:val="24"/>
        </w:rPr>
        <w:t>(10), 37–53. https://doi.org/10.26803/IJLTER.22.10.3</w:t>
      </w:r>
    </w:p>
    <w:p w14:paraId="5C7988D6" w14:textId="77777777" w:rsidR="0079109A" w:rsidRPr="0079109A" w:rsidRDefault="0079109A">
      <w:pPr>
        <w:autoSpaceDE w:val="0"/>
        <w:autoSpaceDN w:val="0"/>
        <w:ind w:hanging="480"/>
        <w:divId w:val="499346898"/>
        <w:rPr>
          <w:sz w:val="24"/>
        </w:rPr>
      </w:pPr>
      <w:r w:rsidRPr="0079109A">
        <w:rPr>
          <w:sz w:val="24"/>
        </w:rPr>
        <w:t xml:space="preserve">Seibt, R., Spitzer, S., Druschke, D., Scheuch, K., &amp; Hinz, A. (2013). Predictors of mental health in female teachers. </w:t>
      </w:r>
      <w:r w:rsidRPr="0079109A">
        <w:rPr>
          <w:i/>
          <w:iCs/>
          <w:sz w:val="24"/>
        </w:rPr>
        <w:t>International Journal of Occupational Medicine and Environmental Health</w:t>
      </w:r>
      <w:r w:rsidRPr="0079109A">
        <w:rPr>
          <w:sz w:val="24"/>
        </w:rPr>
        <w:t xml:space="preserve">, </w:t>
      </w:r>
      <w:r w:rsidRPr="0079109A">
        <w:rPr>
          <w:i/>
          <w:iCs/>
          <w:sz w:val="24"/>
        </w:rPr>
        <w:t>26</w:t>
      </w:r>
      <w:r w:rsidRPr="0079109A">
        <w:rPr>
          <w:sz w:val="24"/>
        </w:rPr>
        <w:t>(6), 856–869. https://doi.org/10.2478/S13382-013-0161-8</w:t>
      </w:r>
    </w:p>
    <w:p w14:paraId="3D836A96" w14:textId="77777777" w:rsidR="0079109A" w:rsidRPr="0079109A" w:rsidRDefault="0079109A">
      <w:pPr>
        <w:autoSpaceDE w:val="0"/>
        <w:autoSpaceDN w:val="0"/>
        <w:ind w:hanging="480"/>
        <w:divId w:val="1019427128"/>
        <w:rPr>
          <w:sz w:val="24"/>
        </w:rPr>
      </w:pPr>
      <w:r w:rsidRPr="0079109A">
        <w:rPr>
          <w:sz w:val="24"/>
        </w:rPr>
        <w:t xml:space="preserve">Shin, J. C., &amp; Jung, J. (2014). Academics job satisfaction and job stress across countries in the changing academic environments. </w:t>
      </w:r>
      <w:r w:rsidRPr="0079109A">
        <w:rPr>
          <w:i/>
          <w:iCs/>
          <w:sz w:val="24"/>
        </w:rPr>
        <w:t>Higher Education</w:t>
      </w:r>
      <w:r w:rsidRPr="0079109A">
        <w:rPr>
          <w:sz w:val="24"/>
        </w:rPr>
        <w:t xml:space="preserve">, </w:t>
      </w:r>
      <w:r w:rsidRPr="0079109A">
        <w:rPr>
          <w:i/>
          <w:iCs/>
          <w:sz w:val="24"/>
        </w:rPr>
        <w:t>67</w:t>
      </w:r>
      <w:r w:rsidRPr="0079109A">
        <w:rPr>
          <w:sz w:val="24"/>
        </w:rPr>
        <w:t>(5), 603–620. https://doi.org/10.1007/S10734-013-9668-Y</w:t>
      </w:r>
    </w:p>
    <w:p w14:paraId="759CC518" w14:textId="77777777" w:rsidR="0079109A" w:rsidRPr="0079109A" w:rsidRDefault="0079109A">
      <w:pPr>
        <w:autoSpaceDE w:val="0"/>
        <w:autoSpaceDN w:val="0"/>
        <w:ind w:hanging="480"/>
        <w:divId w:val="1048915506"/>
        <w:rPr>
          <w:sz w:val="24"/>
        </w:rPr>
      </w:pPr>
      <w:r w:rsidRPr="0079109A">
        <w:rPr>
          <w:sz w:val="24"/>
        </w:rPr>
        <w:t xml:space="preserve">Zou, G., Shen, X., Tian, X., Liu, C., Li, G., Kong, L., &amp; Li, P. (2016). Correlates of psychological distress, burnout, and resilience among Chinese female nurses. </w:t>
      </w:r>
      <w:r w:rsidRPr="0079109A">
        <w:rPr>
          <w:i/>
          <w:iCs/>
          <w:sz w:val="24"/>
        </w:rPr>
        <w:t>Industrial Health</w:t>
      </w:r>
      <w:r w:rsidRPr="0079109A">
        <w:rPr>
          <w:sz w:val="24"/>
        </w:rPr>
        <w:t xml:space="preserve">, </w:t>
      </w:r>
      <w:r w:rsidRPr="0079109A">
        <w:rPr>
          <w:i/>
          <w:iCs/>
          <w:sz w:val="24"/>
        </w:rPr>
        <w:t>54</w:t>
      </w:r>
      <w:r w:rsidRPr="0079109A">
        <w:rPr>
          <w:sz w:val="24"/>
        </w:rPr>
        <w:t>(5), 389–395. https://doi.org/10.2486/INDHEALTH.2015-0103</w:t>
      </w:r>
    </w:p>
    <w:p w14:paraId="1935B646" w14:textId="535B533B" w:rsidR="006F5FCB" w:rsidRPr="00F855C6" w:rsidRDefault="0079109A">
      <w:pPr>
        <w:spacing w:after="0" w:line="259" w:lineRule="auto"/>
        <w:ind w:right="0" w:firstLine="0"/>
        <w:jc w:val="left"/>
        <w:rPr>
          <w:sz w:val="24"/>
          <w:szCs w:val="24"/>
        </w:rPr>
      </w:pPr>
      <w:r w:rsidRPr="0079109A">
        <w:rPr>
          <w:sz w:val="24"/>
        </w:rPr>
        <w:t> </w:t>
      </w:r>
    </w:p>
    <w:p w14:paraId="7A192364" w14:textId="26189C6D" w:rsidR="00C23D13" w:rsidRPr="00F855C6" w:rsidRDefault="00321248">
      <w:pPr>
        <w:spacing w:after="0" w:line="259" w:lineRule="auto"/>
        <w:ind w:right="0" w:firstLine="0"/>
        <w:jc w:val="left"/>
        <w:rPr>
          <w:sz w:val="24"/>
          <w:szCs w:val="24"/>
        </w:rPr>
      </w:pPr>
      <w:r w:rsidRPr="00F855C6">
        <w:rPr>
          <w:sz w:val="24"/>
          <w:szCs w:val="24"/>
        </w:rPr>
        <w:t xml:space="preserve"> </w:t>
      </w:r>
    </w:p>
    <w:sectPr w:rsidR="00C23D13" w:rsidRPr="00F855C6">
      <w:footerReference w:type="even" r:id="rId16"/>
      <w:footerReference w:type="default" r:id="rId17"/>
      <w:footerReference w:type="first" r:id="rId18"/>
      <w:pgSz w:w="12240" w:h="15840"/>
      <w:pgMar w:top="922" w:right="1424" w:bottom="1450" w:left="1449" w:header="720" w:footer="8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7F331" w14:textId="77777777" w:rsidR="00C00BC4" w:rsidRDefault="00C00BC4">
      <w:pPr>
        <w:spacing w:after="0" w:line="240" w:lineRule="auto"/>
      </w:pPr>
      <w:r>
        <w:separator/>
      </w:r>
    </w:p>
  </w:endnote>
  <w:endnote w:type="continuationSeparator" w:id="0">
    <w:p w14:paraId="5BAEF822" w14:textId="77777777" w:rsidR="00C00BC4" w:rsidRDefault="00C00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95D9" w14:textId="77777777" w:rsidR="00C23D13" w:rsidRDefault="00321248">
    <w:pPr>
      <w:spacing w:after="0" w:line="259" w:lineRule="auto"/>
      <w:ind w:left="605" w:right="0" w:firstLine="0"/>
      <w:jc w:val="center"/>
    </w:pPr>
    <w:r>
      <w:rPr>
        <w:sz w:val="18"/>
      </w:rPr>
      <w:t xml:space="preserve"> </w:t>
    </w:r>
  </w:p>
  <w:p w14:paraId="51136D3D" w14:textId="77777777" w:rsidR="00C23D13" w:rsidRDefault="00321248">
    <w:pPr>
      <w:spacing w:after="0" w:line="259" w:lineRule="auto"/>
      <w:ind w:left="564" w:right="0" w:firstLine="0"/>
      <w:jc w:val="center"/>
    </w:pPr>
    <w:r>
      <w:rPr>
        <w:sz w:val="18"/>
      </w:rPr>
      <w:t>XXX-</w:t>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05D2" w14:textId="77777777" w:rsidR="00C23D13" w:rsidRDefault="00321248">
    <w:pPr>
      <w:spacing w:after="0" w:line="259" w:lineRule="auto"/>
      <w:ind w:left="605" w:right="0" w:firstLine="0"/>
      <w:jc w:val="center"/>
    </w:pPr>
    <w:r>
      <w:rPr>
        <w:sz w:val="18"/>
      </w:rPr>
      <w:t xml:space="preserve"> </w:t>
    </w:r>
  </w:p>
  <w:p w14:paraId="46BC0827" w14:textId="6DEFF6CE" w:rsidR="00C23D13" w:rsidRDefault="00321248">
    <w:pPr>
      <w:spacing w:after="0" w:line="259" w:lineRule="auto"/>
      <w:ind w:left="564" w:right="0" w:firstLine="0"/>
      <w:jc w:val="center"/>
    </w:pP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9626" w14:textId="77777777" w:rsidR="00C23D13" w:rsidRDefault="00321248">
    <w:pPr>
      <w:spacing w:after="0" w:line="259" w:lineRule="auto"/>
      <w:ind w:left="564" w:right="0" w:firstLine="0"/>
      <w:jc w:val="center"/>
    </w:pPr>
    <w:r>
      <w:rPr>
        <w:sz w:val="18"/>
      </w:rPr>
      <w:t>XXX-</w:t>
    </w: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768F8" w14:textId="77777777" w:rsidR="00C00BC4" w:rsidRDefault="00C00BC4">
      <w:pPr>
        <w:spacing w:after="0" w:line="240" w:lineRule="auto"/>
      </w:pPr>
      <w:r>
        <w:separator/>
      </w:r>
    </w:p>
  </w:footnote>
  <w:footnote w:type="continuationSeparator" w:id="0">
    <w:p w14:paraId="34CA466E" w14:textId="77777777" w:rsidR="00C00BC4" w:rsidRDefault="00C00B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D13"/>
    <w:rsid w:val="0000424D"/>
    <w:rsid w:val="000253A9"/>
    <w:rsid w:val="000F0749"/>
    <w:rsid w:val="00115A3D"/>
    <w:rsid w:val="001323CC"/>
    <w:rsid w:val="001725DA"/>
    <w:rsid w:val="001E6688"/>
    <w:rsid w:val="00297B65"/>
    <w:rsid w:val="00321248"/>
    <w:rsid w:val="0034313B"/>
    <w:rsid w:val="003B69F9"/>
    <w:rsid w:val="004107AB"/>
    <w:rsid w:val="004F6605"/>
    <w:rsid w:val="00506A87"/>
    <w:rsid w:val="00510B01"/>
    <w:rsid w:val="0058730D"/>
    <w:rsid w:val="005E3795"/>
    <w:rsid w:val="00646D88"/>
    <w:rsid w:val="00651A32"/>
    <w:rsid w:val="006B0DCF"/>
    <w:rsid w:val="006F5FCB"/>
    <w:rsid w:val="0070664C"/>
    <w:rsid w:val="00731CBC"/>
    <w:rsid w:val="00742080"/>
    <w:rsid w:val="0079109A"/>
    <w:rsid w:val="007C0D4B"/>
    <w:rsid w:val="007C2C4A"/>
    <w:rsid w:val="007F46C6"/>
    <w:rsid w:val="0087492E"/>
    <w:rsid w:val="00984916"/>
    <w:rsid w:val="009E3D83"/>
    <w:rsid w:val="00A05142"/>
    <w:rsid w:val="00C00BC4"/>
    <w:rsid w:val="00C23D13"/>
    <w:rsid w:val="00C55A5F"/>
    <w:rsid w:val="00CD7A08"/>
    <w:rsid w:val="00D43FEC"/>
    <w:rsid w:val="00DA458F"/>
    <w:rsid w:val="00DA4F58"/>
    <w:rsid w:val="00DE076A"/>
    <w:rsid w:val="00E2204D"/>
    <w:rsid w:val="00E23AC7"/>
    <w:rsid w:val="00E46ABF"/>
    <w:rsid w:val="00E93475"/>
    <w:rsid w:val="00E96649"/>
    <w:rsid w:val="00F47B69"/>
    <w:rsid w:val="00F67032"/>
    <w:rsid w:val="00F808C9"/>
    <w:rsid w:val="00F855C6"/>
    <w:rsid w:val="00FC7258"/>
    <w:rsid w:val="00FF6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40EDD"/>
  <w15:docId w15:val="{2E3E8B42-BC01-4AC7-8047-10B0E595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38" w:lineRule="auto"/>
      <w:ind w:right="2" w:firstLine="556"/>
      <w:jc w:val="both"/>
    </w:pPr>
    <w:rPr>
      <w:rFonts w:ascii="Times New Roman" w:hAnsi="Times New Roman"/>
      <w:color w:val="000000"/>
      <w:sz w:val="22"/>
      <w:szCs w:val="22"/>
      <w:lang w:val="en-GB" w:eastAsia="en-GB"/>
    </w:rPr>
  </w:style>
  <w:style w:type="paragraph" w:styleId="Heading1">
    <w:name w:val="heading 1"/>
    <w:next w:val="Normal"/>
    <w:link w:val="Heading1Char"/>
    <w:uiPriority w:val="9"/>
    <w:qFormat/>
    <w:pPr>
      <w:keepNext/>
      <w:keepLines/>
      <w:spacing w:line="259" w:lineRule="auto"/>
      <w:ind w:right="9"/>
      <w:jc w:val="center"/>
      <w:outlineLvl w:val="0"/>
    </w:pPr>
    <w:rPr>
      <w:rFonts w:ascii="Arial" w:eastAsia="Arial" w:hAnsi="Arial" w:cs="Arial"/>
      <w:b/>
      <w:color w:val="000000"/>
      <w:sz w:val="28"/>
      <w:szCs w:val="22"/>
      <w:lang w:val="en-GB" w:eastAsia="en-GB"/>
    </w:rPr>
  </w:style>
  <w:style w:type="paragraph" w:styleId="Heading2">
    <w:name w:val="heading 2"/>
    <w:next w:val="Normal"/>
    <w:link w:val="Heading2Char"/>
    <w:uiPriority w:val="9"/>
    <w:unhideWhenUsed/>
    <w:qFormat/>
    <w:pPr>
      <w:keepNext/>
      <w:keepLines/>
      <w:spacing w:after="101" w:line="259" w:lineRule="auto"/>
      <w:ind w:left="10" w:right="5" w:hanging="10"/>
      <w:outlineLvl w:val="1"/>
    </w:pPr>
    <w:rPr>
      <w:rFonts w:ascii="Times New Roman" w:hAnsi="Times New Roman"/>
      <w:b/>
      <w:color w:val="000000"/>
      <w:sz w:val="22"/>
      <w:szCs w:val="22"/>
      <w:lang w:val="en-GB" w:eastAsia="en-GB"/>
    </w:rPr>
  </w:style>
  <w:style w:type="paragraph" w:styleId="Heading3">
    <w:name w:val="heading 3"/>
    <w:next w:val="Normal"/>
    <w:link w:val="Heading3Char"/>
    <w:uiPriority w:val="9"/>
    <w:unhideWhenUsed/>
    <w:qFormat/>
    <w:pPr>
      <w:keepNext/>
      <w:keepLines/>
      <w:spacing w:after="101" w:line="259" w:lineRule="auto"/>
      <w:ind w:left="10" w:right="5" w:hanging="10"/>
      <w:outlineLvl w:val="2"/>
    </w:pPr>
    <w:rPr>
      <w:rFonts w:ascii="Times New Roman" w:hAnsi="Times New Roman"/>
      <w:b/>
      <w:color w:val="000000"/>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rPr>
      <w:sz w:val="22"/>
      <w:szCs w:val="22"/>
      <w:lang w:val="en-GB" w:eastAsia="en-GB"/>
    </w:rPr>
    <w:tblPr>
      <w:tblCellMar>
        <w:top w:w="0" w:type="dxa"/>
        <w:left w:w="0" w:type="dxa"/>
        <w:bottom w:w="0" w:type="dxa"/>
        <w:right w:w="0" w:type="dxa"/>
      </w:tblCellMar>
    </w:tblPr>
  </w:style>
  <w:style w:type="character" w:styleId="Hyperlink">
    <w:name w:val="Hyperlink"/>
    <w:uiPriority w:val="99"/>
    <w:unhideWhenUsed/>
    <w:rsid w:val="00F47B69"/>
    <w:rPr>
      <w:color w:val="0563C1"/>
      <w:u w:val="single"/>
    </w:rPr>
  </w:style>
  <w:style w:type="character" w:styleId="UnresolvedMention">
    <w:name w:val="Unresolved Mention"/>
    <w:uiPriority w:val="99"/>
    <w:semiHidden/>
    <w:unhideWhenUsed/>
    <w:rsid w:val="00F47B69"/>
    <w:rPr>
      <w:color w:val="605E5C"/>
      <w:shd w:val="clear" w:color="auto" w:fill="E1DFDD"/>
    </w:rPr>
  </w:style>
  <w:style w:type="table" w:styleId="TableGrid0">
    <w:name w:val="Table Grid"/>
    <w:basedOn w:val="TableNormal"/>
    <w:uiPriority w:val="59"/>
    <w:rsid w:val="0000424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00424D"/>
    <w:pPr>
      <w:autoSpaceDE w:val="0"/>
      <w:autoSpaceDN w:val="0"/>
      <w:adjustRightInd w:val="0"/>
      <w:spacing w:after="0" w:line="221" w:lineRule="atLeast"/>
      <w:ind w:right="0" w:firstLine="0"/>
      <w:jc w:val="left"/>
    </w:pPr>
    <w:rPr>
      <w:rFonts w:ascii="Optima" w:eastAsia="Calibri" w:hAnsi="Optima"/>
      <w:color w:val="auto"/>
      <w:sz w:val="24"/>
      <w:szCs w:val="24"/>
      <w:lang w:val="en-MY" w:eastAsia="en-US"/>
    </w:rPr>
  </w:style>
  <w:style w:type="character" w:styleId="PlaceholderText">
    <w:name w:val="Placeholder Text"/>
    <w:uiPriority w:val="99"/>
    <w:semiHidden/>
    <w:rsid w:val="006F5FCB"/>
    <w:rPr>
      <w:color w:val="808080"/>
    </w:rPr>
  </w:style>
  <w:style w:type="paragraph" w:styleId="Header">
    <w:name w:val="header"/>
    <w:basedOn w:val="Normal"/>
    <w:link w:val="HeaderChar"/>
    <w:uiPriority w:val="99"/>
    <w:unhideWhenUsed/>
    <w:rsid w:val="004F6605"/>
    <w:pPr>
      <w:tabs>
        <w:tab w:val="center" w:pos="4513"/>
        <w:tab w:val="right" w:pos="9026"/>
      </w:tabs>
      <w:spacing w:after="0" w:line="240" w:lineRule="auto"/>
    </w:pPr>
  </w:style>
  <w:style w:type="character" w:customStyle="1" w:styleId="HeaderChar">
    <w:name w:val="Header Char"/>
    <w:link w:val="Header"/>
    <w:uiPriority w:val="99"/>
    <w:rsid w:val="004F6605"/>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7700">
      <w:bodyDiv w:val="1"/>
      <w:marLeft w:val="0"/>
      <w:marRight w:val="0"/>
      <w:marTop w:val="0"/>
      <w:marBottom w:val="0"/>
      <w:divBdr>
        <w:top w:val="none" w:sz="0" w:space="0" w:color="auto"/>
        <w:left w:val="none" w:sz="0" w:space="0" w:color="auto"/>
        <w:bottom w:val="none" w:sz="0" w:space="0" w:color="auto"/>
        <w:right w:val="none" w:sz="0" w:space="0" w:color="auto"/>
      </w:divBdr>
    </w:div>
    <w:div w:id="136993425">
      <w:bodyDiv w:val="1"/>
      <w:marLeft w:val="0"/>
      <w:marRight w:val="0"/>
      <w:marTop w:val="0"/>
      <w:marBottom w:val="0"/>
      <w:divBdr>
        <w:top w:val="none" w:sz="0" w:space="0" w:color="auto"/>
        <w:left w:val="none" w:sz="0" w:space="0" w:color="auto"/>
        <w:bottom w:val="none" w:sz="0" w:space="0" w:color="auto"/>
        <w:right w:val="none" w:sz="0" w:space="0" w:color="auto"/>
      </w:divBdr>
    </w:div>
    <w:div w:id="185677249">
      <w:bodyDiv w:val="1"/>
      <w:marLeft w:val="0"/>
      <w:marRight w:val="0"/>
      <w:marTop w:val="0"/>
      <w:marBottom w:val="0"/>
      <w:divBdr>
        <w:top w:val="none" w:sz="0" w:space="0" w:color="auto"/>
        <w:left w:val="none" w:sz="0" w:space="0" w:color="auto"/>
        <w:bottom w:val="none" w:sz="0" w:space="0" w:color="auto"/>
        <w:right w:val="none" w:sz="0" w:space="0" w:color="auto"/>
      </w:divBdr>
    </w:div>
    <w:div w:id="234825488">
      <w:bodyDiv w:val="1"/>
      <w:marLeft w:val="0"/>
      <w:marRight w:val="0"/>
      <w:marTop w:val="0"/>
      <w:marBottom w:val="0"/>
      <w:divBdr>
        <w:top w:val="none" w:sz="0" w:space="0" w:color="auto"/>
        <w:left w:val="none" w:sz="0" w:space="0" w:color="auto"/>
        <w:bottom w:val="none" w:sz="0" w:space="0" w:color="auto"/>
        <w:right w:val="none" w:sz="0" w:space="0" w:color="auto"/>
      </w:divBdr>
    </w:div>
    <w:div w:id="235820732">
      <w:bodyDiv w:val="1"/>
      <w:marLeft w:val="0"/>
      <w:marRight w:val="0"/>
      <w:marTop w:val="0"/>
      <w:marBottom w:val="0"/>
      <w:divBdr>
        <w:top w:val="none" w:sz="0" w:space="0" w:color="auto"/>
        <w:left w:val="none" w:sz="0" w:space="0" w:color="auto"/>
        <w:bottom w:val="none" w:sz="0" w:space="0" w:color="auto"/>
        <w:right w:val="none" w:sz="0" w:space="0" w:color="auto"/>
      </w:divBdr>
    </w:div>
    <w:div w:id="275648828">
      <w:bodyDiv w:val="1"/>
      <w:marLeft w:val="0"/>
      <w:marRight w:val="0"/>
      <w:marTop w:val="0"/>
      <w:marBottom w:val="0"/>
      <w:divBdr>
        <w:top w:val="none" w:sz="0" w:space="0" w:color="auto"/>
        <w:left w:val="none" w:sz="0" w:space="0" w:color="auto"/>
        <w:bottom w:val="none" w:sz="0" w:space="0" w:color="auto"/>
        <w:right w:val="none" w:sz="0" w:space="0" w:color="auto"/>
      </w:divBdr>
      <w:divsChild>
        <w:div w:id="1287657278">
          <w:marLeft w:val="480"/>
          <w:marRight w:val="0"/>
          <w:marTop w:val="0"/>
          <w:marBottom w:val="0"/>
          <w:divBdr>
            <w:top w:val="none" w:sz="0" w:space="0" w:color="auto"/>
            <w:left w:val="none" w:sz="0" w:space="0" w:color="auto"/>
            <w:bottom w:val="none" w:sz="0" w:space="0" w:color="auto"/>
            <w:right w:val="none" w:sz="0" w:space="0" w:color="auto"/>
          </w:divBdr>
        </w:div>
        <w:div w:id="787966117">
          <w:marLeft w:val="480"/>
          <w:marRight w:val="0"/>
          <w:marTop w:val="0"/>
          <w:marBottom w:val="0"/>
          <w:divBdr>
            <w:top w:val="none" w:sz="0" w:space="0" w:color="auto"/>
            <w:left w:val="none" w:sz="0" w:space="0" w:color="auto"/>
            <w:bottom w:val="none" w:sz="0" w:space="0" w:color="auto"/>
            <w:right w:val="none" w:sz="0" w:space="0" w:color="auto"/>
          </w:divBdr>
        </w:div>
        <w:div w:id="490297011">
          <w:marLeft w:val="480"/>
          <w:marRight w:val="0"/>
          <w:marTop w:val="0"/>
          <w:marBottom w:val="0"/>
          <w:divBdr>
            <w:top w:val="none" w:sz="0" w:space="0" w:color="auto"/>
            <w:left w:val="none" w:sz="0" w:space="0" w:color="auto"/>
            <w:bottom w:val="none" w:sz="0" w:space="0" w:color="auto"/>
            <w:right w:val="none" w:sz="0" w:space="0" w:color="auto"/>
          </w:divBdr>
        </w:div>
        <w:div w:id="888879707">
          <w:marLeft w:val="480"/>
          <w:marRight w:val="0"/>
          <w:marTop w:val="0"/>
          <w:marBottom w:val="0"/>
          <w:divBdr>
            <w:top w:val="none" w:sz="0" w:space="0" w:color="auto"/>
            <w:left w:val="none" w:sz="0" w:space="0" w:color="auto"/>
            <w:bottom w:val="none" w:sz="0" w:space="0" w:color="auto"/>
            <w:right w:val="none" w:sz="0" w:space="0" w:color="auto"/>
          </w:divBdr>
        </w:div>
        <w:div w:id="1160190593">
          <w:marLeft w:val="480"/>
          <w:marRight w:val="0"/>
          <w:marTop w:val="0"/>
          <w:marBottom w:val="0"/>
          <w:divBdr>
            <w:top w:val="none" w:sz="0" w:space="0" w:color="auto"/>
            <w:left w:val="none" w:sz="0" w:space="0" w:color="auto"/>
            <w:bottom w:val="none" w:sz="0" w:space="0" w:color="auto"/>
            <w:right w:val="none" w:sz="0" w:space="0" w:color="auto"/>
          </w:divBdr>
        </w:div>
        <w:div w:id="1499231660">
          <w:marLeft w:val="480"/>
          <w:marRight w:val="0"/>
          <w:marTop w:val="0"/>
          <w:marBottom w:val="0"/>
          <w:divBdr>
            <w:top w:val="none" w:sz="0" w:space="0" w:color="auto"/>
            <w:left w:val="none" w:sz="0" w:space="0" w:color="auto"/>
            <w:bottom w:val="none" w:sz="0" w:space="0" w:color="auto"/>
            <w:right w:val="none" w:sz="0" w:space="0" w:color="auto"/>
          </w:divBdr>
        </w:div>
        <w:div w:id="1868106561">
          <w:marLeft w:val="480"/>
          <w:marRight w:val="0"/>
          <w:marTop w:val="0"/>
          <w:marBottom w:val="0"/>
          <w:divBdr>
            <w:top w:val="none" w:sz="0" w:space="0" w:color="auto"/>
            <w:left w:val="none" w:sz="0" w:space="0" w:color="auto"/>
            <w:bottom w:val="none" w:sz="0" w:space="0" w:color="auto"/>
            <w:right w:val="none" w:sz="0" w:space="0" w:color="auto"/>
          </w:divBdr>
        </w:div>
        <w:div w:id="1091044309">
          <w:marLeft w:val="480"/>
          <w:marRight w:val="0"/>
          <w:marTop w:val="0"/>
          <w:marBottom w:val="0"/>
          <w:divBdr>
            <w:top w:val="none" w:sz="0" w:space="0" w:color="auto"/>
            <w:left w:val="none" w:sz="0" w:space="0" w:color="auto"/>
            <w:bottom w:val="none" w:sz="0" w:space="0" w:color="auto"/>
            <w:right w:val="none" w:sz="0" w:space="0" w:color="auto"/>
          </w:divBdr>
        </w:div>
        <w:div w:id="2100984347">
          <w:marLeft w:val="480"/>
          <w:marRight w:val="0"/>
          <w:marTop w:val="0"/>
          <w:marBottom w:val="0"/>
          <w:divBdr>
            <w:top w:val="none" w:sz="0" w:space="0" w:color="auto"/>
            <w:left w:val="none" w:sz="0" w:space="0" w:color="auto"/>
            <w:bottom w:val="none" w:sz="0" w:space="0" w:color="auto"/>
            <w:right w:val="none" w:sz="0" w:space="0" w:color="auto"/>
          </w:divBdr>
        </w:div>
      </w:divsChild>
    </w:div>
    <w:div w:id="303049107">
      <w:bodyDiv w:val="1"/>
      <w:marLeft w:val="0"/>
      <w:marRight w:val="0"/>
      <w:marTop w:val="0"/>
      <w:marBottom w:val="0"/>
      <w:divBdr>
        <w:top w:val="none" w:sz="0" w:space="0" w:color="auto"/>
        <w:left w:val="none" w:sz="0" w:space="0" w:color="auto"/>
        <w:bottom w:val="none" w:sz="0" w:space="0" w:color="auto"/>
        <w:right w:val="none" w:sz="0" w:space="0" w:color="auto"/>
      </w:divBdr>
      <w:divsChild>
        <w:div w:id="1885091949">
          <w:marLeft w:val="480"/>
          <w:marRight w:val="0"/>
          <w:marTop w:val="0"/>
          <w:marBottom w:val="0"/>
          <w:divBdr>
            <w:top w:val="none" w:sz="0" w:space="0" w:color="auto"/>
            <w:left w:val="none" w:sz="0" w:space="0" w:color="auto"/>
            <w:bottom w:val="none" w:sz="0" w:space="0" w:color="auto"/>
            <w:right w:val="none" w:sz="0" w:space="0" w:color="auto"/>
          </w:divBdr>
        </w:div>
        <w:div w:id="1102410793">
          <w:marLeft w:val="480"/>
          <w:marRight w:val="0"/>
          <w:marTop w:val="0"/>
          <w:marBottom w:val="0"/>
          <w:divBdr>
            <w:top w:val="none" w:sz="0" w:space="0" w:color="auto"/>
            <w:left w:val="none" w:sz="0" w:space="0" w:color="auto"/>
            <w:bottom w:val="none" w:sz="0" w:space="0" w:color="auto"/>
            <w:right w:val="none" w:sz="0" w:space="0" w:color="auto"/>
          </w:divBdr>
        </w:div>
        <w:div w:id="1953975708">
          <w:marLeft w:val="480"/>
          <w:marRight w:val="0"/>
          <w:marTop w:val="0"/>
          <w:marBottom w:val="0"/>
          <w:divBdr>
            <w:top w:val="none" w:sz="0" w:space="0" w:color="auto"/>
            <w:left w:val="none" w:sz="0" w:space="0" w:color="auto"/>
            <w:bottom w:val="none" w:sz="0" w:space="0" w:color="auto"/>
            <w:right w:val="none" w:sz="0" w:space="0" w:color="auto"/>
          </w:divBdr>
        </w:div>
        <w:div w:id="164588851">
          <w:marLeft w:val="480"/>
          <w:marRight w:val="0"/>
          <w:marTop w:val="0"/>
          <w:marBottom w:val="0"/>
          <w:divBdr>
            <w:top w:val="none" w:sz="0" w:space="0" w:color="auto"/>
            <w:left w:val="none" w:sz="0" w:space="0" w:color="auto"/>
            <w:bottom w:val="none" w:sz="0" w:space="0" w:color="auto"/>
            <w:right w:val="none" w:sz="0" w:space="0" w:color="auto"/>
          </w:divBdr>
        </w:div>
        <w:div w:id="1539126309">
          <w:marLeft w:val="480"/>
          <w:marRight w:val="0"/>
          <w:marTop w:val="0"/>
          <w:marBottom w:val="0"/>
          <w:divBdr>
            <w:top w:val="none" w:sz="0" w:space="0" w:color="auto"/>
            <w:left w:val="none" w:sz="0" w:space="0" w:color="auto"/>
            <w:bottom w:val="none" w:sz="0" w:space="0" w:color="auto"/>
            <w:right w:val="none" w:sz="0" w:space="0" w:color="auto"/>
          </w:divBdr>
        </w:div>
        <w:div w:id="361977651">
          <w:marLeft w:val="480"/>
          <w:marRight w:val="0"/>
          <w:marTop w:val="0"/>
          <w:marBottom w:val="0"/>
          <w:divBdr>
            <w:top w:val="none" w:sz="0" w:space="0" w:color="auto"/>
            <w:left w:val="none" w:sz="0" w:space="0" w:color="auto"/>
            <w:bottom w:val="none" w:sz="0" w:space="0" w:color="auto"/>
            <w:right w:val="none" w:sz="0" w:space="0" w:color="auto"/>
          </w:divBdr>
        </w:div>
        <w:div w:id="1327051381">
          <w:marLeft w:val="480"/>
          <w:marRight w:val="0"/>
          <w:marTop w:val="0"/>
          <w:marBottom w:val="0"/>
          <w:divBdr>
            <w:top w:val="none" w:sz="0" w:space="0" w:color="auto"/>
            <w:left w:val="none" w:sz="0" w:space="0" w:color="auto"/>
            <w:bottom w:val="none" w:sz="0" w:space="0" w:color="auto"/>
            <w:right w:val="none" w:sz="0" w:space="0" w:color="auto"/>
          </w:divBdr>
        </w:div>
        <w:div w:id="1306815843">
          <w:marLeft w:val="480"/>
          <w:marRight w:val="0"/>
          <w:marTop w:val="0"/>
          <w:marBottom w:val="0"/>
          <w:divBdr>
            <w:top w:val="none" w:sz="0" w:space="0" w:color="auto"/>
            <w:left w:val="none" w:sz="0" w:space="0" w:color="auto"/>
            <w:bottom w:val="none" w:sz="0" w:space="0" w:color="auto"/>
            <w:right w:val="none" w:sz="0" w:space="0" w:color="auto"/>
          </w:divBdr>
        </w:div>
      </w:divsChild>
    </w:div>
    <w:div w:id="317925666">
      <w:bodyDiv w:val="1"/>
      <w:marLeft w:val="0"/>
      <w:marRight w:val="0"/>
      <w:marTop w:val="0"/>
      <w:marBottom w:val="0"/>
      <w:divBdr>
        <w:top w:val="none" w:sz="0" w:space="0" w:color="auto"/>
        <w:left w:val="none" w:sz="0" w:space="0" w:color="auto"/>
        <w:bottom w:val="none" w:sz="0" w:space="0" w:color="auto"/>
        <w:right w:val="none" w:sz="0" w:space="0" w:color="auto"/>
      </w:divBdr>
    </w:div>
    <w:div w:id="359168950">
      <w:bodyDiv w:val="1"/>
      <w:marLeft w:val="0"/>
      <w:marRight w:val="0"/>
      <w:marTop w:val="0"/>
      <w:marBottom w:val="0"/>
      <w:divBdr>
        <w:top w:val="none" w:sz="0" w:space="0" w:color="auto"/>
        <w:left w:val="none" w:sz="0" w:space="0" w:color="auto"/>
        <w:bottom w:val="none" w:sz="0" w:space="0" w:color="auto"/>
        <w:right w:val="none" w:sz="0" w:space="0" w:color="auto"/>
      </w:divBdr>
    </w:div>
    <w:div w:id="368141760">
      <w:bodyDiv w:val="1"/>
      <w:marLeft w:val="0"/>
      <w:marRight w:val="0"/>
      <w:marTop w:val="0"/>
      <w:marBottom w:val="0"/>
      <w:divBdr>
        <w:top w:val="none" w:sz="0" w:space="0" w:color="auto"/>
        <w:left w:val="none" w:sz="0" w:space="0" w:color="auto"/>
        <w:bottom w:val="none" w:sz="0" w:space="0" w:color="auto"/>
        <w:right w:val="none" w:sz="0" w:space="0" w:color="auto"/>
      </w:divBdr>
    </w:div>
    <w:div w:id="391193990">
      <w:bodyDiv w:val="1"/>
      <w:marLeft w:val="0"/>
      <w:marRight w:val="0"/>
      <w:marTop w:val="0"/>
      <w:marBottom w:val="0"/>
      <w:divBdr>
        <w:top w:val="none" w:sz="0" w:space="0" w:color="auto"/>
        <w:left w:val="none" w:sz="0" w:space="0" w:color="auto"/>
        <w:bottom w:val="none" w:sz="0" w:space="0" w:color="auto"/>
        <w:right w:val="none" w:sz="0" w:space="0" w:color="auto"/>
      </w:divBdr>
      <w:divsChild>
        <w:div w:id="1519152037">
          <w:marLeft w:val="480"/>
          <w:marRight w:val="0"/>
          <w:marTop w:val="0"/>
          <w:marBottom w:val="0"/>
          <w:divBdr>
            <w:top w:val="none" w:sz="0" w:space="0" w:color="auto"/>
            <w:left w:val="none" w:sz="0" w:space="0" w:color="auto"/>
            <w:bottom w:val="none" w:sz="0" w:space="0" w:color="auto"/>
            <w:right w:val="none" w:sz="0" w:space="0" w:color="auto"/>
          </w:divBdr>
        </w:div>
        <w:div w:id="1023089014">
          <w:marLeft w:val="480"/>
          <w:marRight w:val="0"/>
          <w:marTop w:val="0"/>
          <w:marBottom w:val="0"/>
          <w:divBdr>
            <w:top w:val="none" w:sz="0" w:space="0" w:color="auto"/>
            <w:left w:val="none" w:sz="0" w:space="0" w:color="auto"/>
            <w:bottom w:val="none" w:sz="0" w:space="0" w:color="auto"/>
            <w:right w:val="none" w:sz="0" w:space="0" w:color="auto"/>
          </w:divBdr>
        </w:div>
        <w:div w:id="1282030483">
          <w:marLeft w:val="480"/>
          <w:marRight w:val="0"/>
          <w:marTop w:val="0"/>
          <w:marBottom w:val="0"/>
          <w:divBdr>
            <w:top w:val="none" w:sz="0" w:space="0" w:color="auto"/>
            <w:left w:val="none" w:sz="0" w:space="0" w:color="auto"/>
            <w:bottom w:val="none" w:sz="0" w:space="0" w:color="auto"/>
            <w:right w:val="none" w:sz="0" w:space="0" w:color="auto"/>
          </w:divBdr>
        </w:div>
        <w:div w:id="451941946">
          <w:marLeft w:val="480"/>
          <w:marRight w:val="0"/>
          <w:marTop w:val="0"/>
          <w:marBottom w:val="0"/>
          <w:divBdr>
            <w:top w:val="none" w:sz="0" w:space="0" w:color="auto"/>
            <w:left w:val="none" w:sz="0" w:space="0" w:color="auto"/>
            <w:bottom w:val="none" w:sz="0" w:space="0" w:color="auto"/>
            <w:right w:val="none" w:sz="0" w:space="0" w:color="auto"/>
          </w:divBdr>
        </w:div>
        <w:div w:id="1218979963">
          <w:marLeft w:val="480"/>
          <w:marRight w:val="0"/>
          <w:marTop w:val="0"/>
          <w:marBottom w:val="0"/>
          <w:divBdr>
            <w:top w:val="none" w:sz="0" w:space="0" w:color="auto"/>
            <w:left w:val="none" w:sz="0" w:space="0" w:color="auto"/>
            <w:bottom w:val="none" w:sz="0" w:space="0" w:color="auto"/>
            <w:right w:val="none" w:sz="0" w:space="0" w:color="auto"/>
          </w:divBdr>
        </w:div>
        <w:div w:id="264503712">
          <w:marLeft w:val="480"/>
          <w:marRight w:val="0"/>
          <w:marTop w:val="0"/>
          <w:marBottom w:val="0"/>
          <w:divBdr>
            <w:top w:val="none" w:sz="0" w:space="0" w:color="auto"/>
            <w:left w:val="none" w:sz="0" w:space="0" w:color="auto"/>
            <w:bottom w:val="none" w:sz="0" w:space="0" w:color="auto"/>
            <w:right w:val="none" w:sz="0" w:space="0" w:color="auto"/>
          </w:divBdr>
        </w:div>
        <w:div w:id="1898123451">
          <w:marLeft w:val="480"/>
          <w:marRight w:val="0"/>
          <w:marTop w:val="0"/>
          <w:marBottom w:val="0"/>
          <w:divBdr>
            <w:top w:val="none" w:sz="0" w:space="0" w:color="auto"/>
            <w:left w:val="none" w:sz="0" w:space="0" w:color="auto"/>
            <w:bottom w:val="none" w:sz="0" w:space="0" w:color="auto"/>
            <w:right w:val="none" w:sz="0" w:space="0" w:color="auto"/>
          </w:divBdr>
        </w:div>
        <w:div w:id="1872723777">
          <w:marLeft w:val="480"/>
          <w:marRight w:val="0"/>
          <w:marTop w:val="0"/>
          <w:marBottom w:val="0"/>
          <w:divBdr>
            <w:top w:val="none" w:sz="0" w:space="0" w:color="auto"/>
            <w:left w:val="none" w:sz="0" w:space="0" w:color="auto"/>
            <w:bottom w:val="none" w:sz="0" w:space="0" w:color="auto"/>
            <w:right w:val="none" w:sz="0" w:space="0" w:color="auto"/>
          </w:divBdr>
        </w:div>
      </w:divsChild>
    </w:div>
    <w:div w:id="410082867">
      <w:bodyDiv w:val="1"/>
      <w:marLeft w:val="0"/>
      <w:marRight w:val="0"/>
      <w:marTop w:val="0"/>
      <w:marBottom w:val="0"/>
      <w:divBdr>
        <w:top w:val="none" w:sz="0" w:space="0" w:color="auto"/>
        <w:left w:val="none" w:sz="0" w:space="0" w:color="auto"/>
        <w:bottom w:val="none" w:sz="0" w:space="0" w:color="auto"/>
        <w:right w:val="none" w:sz="0" w:space="0" w:color="auto"/>
      </w:divBdr>
      <w:divsChild>
        <w:div w:id="327098792">
          <w:marLeft w:val="480"/>
          <w:marRight w:val="0"/>
          <w:marTop w:val="0"/>
          <w:marBottom w:val="0"/>
          <w:divBdr>
            <w:top w:val="none" w:sz="0" w:space="0" w:color="auto"/>
            <w:left w:val="none" w:sz="0" w:space="0" w:color="auto"/>
            <w:bottom w:val="none" w:sz="0" w:space="0" w:color="auto"/>
            <w:right w:val="none" w:sz="0" w:space="0" w:color="auto"/>
          </w:divBdr>
        </w:div>
        <w:div w:id="724525523">
          <w:marLeft w:val="480"/>
          <w:marRight w:val="0"/>
          <w:marTop w:val="0"/>
          <w:marBottom w:val="0"/>
          <w:divBdr>
            <w:top w:val="none" w:sz="0" w:space="0" w:color="auto"/>
            <w:left w:val="none" w:sz="0" w:space="0" w:color="auto"/>
            <w:bottom w:val="none" w:sz="0" w:space="0" w:color="auto"/>
            <w:right w:val="none" w:sz="0" w:space="0" w:color="auto"/>
          </w:divBdr>
        </w:div>
        <w:div w:id="2020809425">
          <w:marLeft w:val="480"/>
          <w:marRight w:val="0"/>
          <w:marTop w:val="0"/>
          <w:marBottom w:val="0"/>
          <w:divBdr>
            <w:top w:val="none" w:sz="0" w:space="0" w:color="auto"/>
            <w:left w:val="none" w:sz="0" w:space="0" w:color="auto"/>
            <w:bottom w:val="none" w:sz="0" w:space="0" w:color="auto"/>
            <w:right w:val="none" w:sz="0" w:space="0" w:color="auto"/>
          </w:divBdr>
        </w:div>
        <w:div w:id="1103646009">
          <w:marLeft w:val="480"/>
          <w:marRight w:val="0"/>
          <w:marTop w:val="0"/>
          <w:marBottom w:val="0"/>
          <w:divBdr>
            <w:top w:val="none" w:sz="0" w:space="0" w:color="auto"/>
            <w:left w:val="none" w:sz="0" w:space="0" w:color="auto"/>
            <w:bottom w:val="none" w:sz="0" w:space="0" w:color="auto"/>
            <w:right w:val="none" w:sz="0" w:space="0" w:color="auto"/>
          </w:divBdr>
        </w:div>
        <w:div w:id="624700812">
          <w:marLeft w:val="480"/>
          <w:marRight w:val="0"/>
          <w:marTop w:val="0"/>
          <w:marBottom w:val="0"/>
          <w:divBdr>
            <w:top w:val="none" w:sz="0" w:space="0" w:color="auto"/>
            <w:left w:val="none" w:sz="0" w:space="0" w:color="auto"/>
            <w:bottom w:val="none" w:sz="0" w:space="0" w:color="auto"/>
            <w:right w:val="none" w:sz="0" w:space="0" w:color="auto"/>
          </w:divBdr>
        </w:div>
        <w:div w:id="1736198440">
          <w:marLeft w:val="480"/>
          <w:marRight w:val="0"/>
          <w:marTop w:val="0"/>
          <w:marBottom w:val="0"/>
          <w:divBdr>
            <w:top w:val="none" w:sz="0" w:space="0" w:color="auto"/>
            <w:left w:val="none" w:sz="0" w:space="0" w:color="auto"/>
            <w:bottom w:val="none" w:sz="0" w:space="0" w:color="auto"/>
            <w:right w:val="none" w:sz="0" w:space="0" w:color="auto"/>
          </w:divBdr>
        </w:div>
        <w:div w:id="453714121">
          <w:marLeft w:val="480"/>
          <w:marRight w:val="0"/>
          <w:marTop w:val="0"/>
          <w:marBottom w:val="0"/>
          <w:divBdr>
            <w:top w:val="none" w:sz="0" w:space="0" w:color="auto"/>
            <w:left w:val="none" w:sz="0" w:space="0" w:color="auto"/>
            <w:bottom w:val="none" w:sz="0" w:space="0" w:color="auto"/>
            <w:right w:val="none" w:sz="0" w:space="0" w:color="auto"/>
          </w:divBdr>
        </w:div>
        <w:div w:id="1261138620">
          <w:marLeft w:val="480"/>
          <w:marRight w:val="0"/>
          <w:marTop w:val="0"/>
          <w:marBottom w:val="0"/>
          <w:divBdr>
            <w:top w:val="none" w:sz="0" w:space="0" w:color="auto"/>
            <w:left w:val="none" w:sz="0" w:space="0" w:color="auto"/>
            <w:bottom w:val="none" w:sz="0" w:space="0" w:color="auto"/>
            <w:right w:val="none" w:sz="0" w:space="0" w:color="auto"/>
          </w:divBdr>
        </w:div>
        <w:div w:id="1006514085">
          <w:marLeft w:val="480"/>
          <w:marRight w:val="0"/>
          <w:marTop w:val="0"/>
          <w:marBottom w:val="0"/>
          <w:divBdr>
            <w:top w:val="none" w:sz="0" w:space="0" w:color="auto"/>
            <w:left w:val="none" w:sz="0" w:space="0" w:color="auto"/>
            <w:bottom w:val="none" w:sz="0" w:space="0" w:color="auto"/>
            <w:right w:val="none" w:sz="0" w:space="0" w:color="auto"/>
          </w:divBdr>
        </w:div>
        <w:div w:id="1626696078">
          <w:marLeft w:val="480"/>
          <w:marRight w:val="0"/>
          <w:marTop w:val="0"/>
          <w:marBottom w:val="0"/>
          <w:divBdr>
            <w:top w:val="none" w:sz="0" w:space="0" w:color="auto"/>
            <w:left w:val="none" w:sz="0" w:space="0" w:color="auto"/>
            <w:bottom w:val="none" w:sz="0" w:space="0" w:color="auto"/>
            <w:right w:val="none" w:sz="0" w:space="0" w:color="auto"/>
          </w:divBdr>
        </w:div>
        <w:div w:id="294414420">
          <w:marLeft w:val="480"/>
          <w:marRight w:val="0"/>
          <w:marTop w:val="0"/>
          <w:marBottom w:val="0"/>
          <w:divBdr>
            <w:top w:val="none" w:sz="0" w:space="0" w:color="auto"/>
            <w:left w:val="none" w:sz="0" w:space="0" w:color="auto"/>
            <w:bottom w:val="none" w:sz="0" w:space="0" w:color="auto"/>
            <w:right w:val="none" w:sz="0" w:space="0" w:color="auto"/>
          </w:divBdr>
        </w:div>
        <w:div w:id="184372757">
          <w:marLeft w:val="480"/>
          <w:marRight w:val="0"/>
          <w:marTop w:val="0"/>
          <w:marBottom w:val="0"/>
          <w:divBdr>
            <w:top w:val="none" w:sz="0" w:space="0" w:color="auto"/>
            <w:left w:val="none" w:sz="0" w:space="0" w:color="auto"/>
            <w:bottom w:val="none" w:sz="0" w:space="0" w:color="auto"/>
            <w:right w:val="none" w:sz="0" w:space="0" w:color="auto"/>
          </w:divBdr>
        </w:div>
        <w:div w:id="405347458">
          <w:marLeft w:val="480"/>
          <w:marRight w:val="0"/>
          <w:marTop w:val="0"/>
          <w:marBottom w:val="0"/>
          <w:divBdr>
            <w:top w:val="none" w:sz="0" w:space="0" w:color="auto"/>
            <w:left w:val="none" w:sz="0" w:space="0" w:color="auto"/>
            <w:bottom w:val="none" w:sz="0" w:space="0" w:color="auto"/>
            <w:right w:val="none" w:sz="0" w:space="0" w:color="auto"/>
          </w:divBdr>
        </w:div>
        <w:div w:id="912856335">
          <w:marLeft w:val="480"/>
          <w:marRight w:val="0"/>
          <w:marTop w:val="0"/>
          <w:marBottom w:val="0"/>
          <w:divBdr>
            <w:top w:val="none" w:sz="0" w:space="0" w:color="auto"/>
            <w:left w:val="none" w:sz="0" w:space="0" w:color="auto"/>
            <w:bottom w:val="none" w:sz="0" w:space="0" w:color="auto"/>
            <w:right w:val="none" w:sz="0" w:space="0" w:color="auto"/>
          </w:divBdr>
        </w:div>
        <w:div w:id="1671716577">
          <w:marLeft w:val="480"/>
          <w:marRight w:val="0"/>
          <w:marTop w:val="0"/>
          <w:marBottom w:val="0"/>
          <w:divBdr>
            <w:top w:val="none" w:sz="0" w:space="0" w:color="auto"/>
            <w:left w:val="none" w:sz="0" w:space="0" w:color="auto"/>
            <w:bottom w:val="none" w:sz="0" w:space="0" w:color="auto"/>
            <w:right w:val="none" w:sz="0" w:space="0" w:color="auto"/>
          </w:divBdr>
        </w:div>
        <w:div w:id="1892303293">
          <w:marLeft w:val="480"/>
          <w:marRight w:val="0"/>
          <w:marTop w:val="0"/>
          <w:marBottom w:val="0"/>
          <w:divBdr>
            <w:top w:val="none" w:sz="0" w:space="0" w:color="auto"/>
            <w:left w:val="none" w:sz="0" w:space="0" w:color="auto"/>
            <w:bottom w:val="none" w:sz="0" w:space="0" w:color="auto"/>
            <w:right w:val="none" w:sz="0" w:space="0" w:color="auto"/>
          </w:divBdr>
        </w:div>
      </w:divsChild>
    </w:div>
    <w:div w:id="420612450">
      <w:bodyDiv w:val="1"/>
      <w:marLeft w:val="0"/>
      <w:marRight w:val="0"/>
      <w:marTop w:val="0"/>
      <w:marBottom w:val="0"/>
      <w:divBdr>
        <w:top w:val="none" w:sz="0" w:space="0" w:color="auto"/>
        <w:left w:val="none" w:sz="0" w:space="0" w:color="auto"/>
        <w:bottom w:val="none" w:sz="0" w:space="0" w:color="auto"/>
        <w:right w:val="none" w:sz="0" w:space="0" w:color="auto"/>
      </w:divBdr>
    </w:div>
    <w:div w:id="524758643">
      <w:bodyDiv w:val="1"/>
      <w:marLeft w:val="0"/>
      <w:marRight w:val="0"/>
      <w:marTop w:val="0"/>
      <w:marBottom w:val="0"/>
      <w:divBdr>
        <w:top w:val="none" w:sz="0" w:space="0" w:color="auto"/>
        <w:left w:val="none" w:sz="0" w:space="0" w:color="auto"/>
        <w:bottom w:val="none" w:sz="0" w:space="0" w:color="auto"/>
        <w:right w:val="none" w:sz="0" w:space="0" w:color="auto"/>
      </w:divBdr>
    </w:div>
    <w:div w:id="532302888">
      <w:bodyDiv w:val="1"/>
      <w:marLeft w:val="0"/>
      <w:marRight w:val="0"/>
      <w:marTop w:val="0"/>
      <w:marBottom w:val="0"/>
      <w:divBdr>
        <w:top w:val="none" w:sz="0" w:space="0" w:color="auto"/>
        <w:left w:val="none" w:sz="0" w:space="0" w:color="auto"/>
        <w:bottom w:val="none" w:sz="0" w:space="0" w:color="auto"/>
        <w:right w:val="none" w:sz="0" w:space="0" w:color="auto"/>
      </w:divBdr>
    </w:div>
    <w:div w:id="533428315">
      <w:bodyDiv w:val="1"/>
      <w:marLeft w:val="0"/>
      <w:marRight w:val="0"/>
      <w:marTop w:val="0"/>
      <w:marBottom w:val="0"/>
      <w:divBdr>
        <w:top w:val="none" w:sz="0" w:space="0" w:color="auto"/>
        <w:left w:val="none" w:sz="0" w:space="0" w:color="auto"/>
        <w:bottom w:val="none" w:sz="0" w:space="0" w:color="auto"/>
        <w:right w:val="none" w:sz="0" w:space="0" w:color="auto"/>
      </w:divBdr>
    </w:div>
    <w:div w:id="551044550">
      <w:bodyDiv w:val="1"/>
      <w:marLeft w:val="0"/>
      <w:marRight w:val="0"/>
      <w:marTop w:val="0"/>
      <w:marBottom w:val="0"/>
      <w:divBdr>
        <w:top w:val="none" w:sz="0" w:space="0" w:color="auto"/>
        <w:left w:val="none" w:sz="0" w:space="0" w:color="auto"/>
        <w:bottom w:val="none" w:sz="0" w:space="0" w:color="auto"/>
        <w:right w:val="none" w:sz="0" w:space="0" w:color="auto"/>
      </w:divBdr>
    </w:div>
    <w:div w:id="602614559">
      <w:bodyDiv w:val="1"/>
      <w:marLeft w:val="0"/>
      <w:marRight w:val="0"/>
      <w:marTop w:val="0"/>
      <w:marBottom w:val="0"/>
      <w:divBdr>
        <w:top w:val="none" w:sz="0" w:space="0" w:color="auto"/>
        <w:left w:val="none" w:sz="0" w:space="0" w:color="auto"/>
        <w:bottom w:val="none" w:sz="0" w:space="0" w:color="auto"/>
        <w:right w:val="none" w:sz="0" w:space="0" w:color="auto"/>
      </w:divBdr>
    </w:div>
    <w:div w:id="682780858">
      <w:bodyDiv w:val="1"/>
      <w:marLeft w:val="0"/>
      <w:marRight w:val="0"/>
      <w:marTop w:val="0"/>
      <w:marBottom w:val="0"/>
      <w:divBdr>
        <w:top w:val="none" w:sz="0" w:space="0" w:color="auto"/>
        <w:left w:val="none" w:sz="0" w:space="0" w:color="auto"/>
        <w:bottom w:val="none" w:sz="0" w:space="0" w:color="auto"/>
        <w:right w:val="none" w:sz="0" w:space="0" w:color="auto"/>
      </w:divBdr>
      <w:divsChild>
        <w:div w:id="622808004">
          <w:marLeft w:val="480"/>
          <w:marRight w:val="0"/>
          <w:marTop w:val="0"/>
          <w:marBottom w:val="0"/>
          <w:divBdr>
            <w:top w:val="none" w:sz="0" w:space="0" w:color="auto"/>
            <w:left w:val="none" w:sz="0" w:space="0" w:color="auto"/>
            <w:bottom w:val="none" w:sz="0" w:space="0" w:color="auto"/>
            <w:right w:val="none" w:sz="0" w:space="0" w:color="auto"/>
          </w:divBdr>
        </w:div>
        <w:div w:id="812258973">
          <w:marLeft w:val="480"/>
          <w:marRight w:val="0"/>
          <w:marTop w:val="0"/>
          <w:marBottom w:val="0"/>
          <w:divBdr>
            <w:top w:val="none" w:sz="0" w:space="0" w:color="auto"/>
            <w:left w:val="none" w:sz="0" w:space="0" w:color="auto"/>
            <w:bottom w:val="none" w:sz="0" w:space="0" w:color="auto"/>
            <w:right w:val="none" w:sz="0" w:space="0" w:color="auto"/>
          </w:divBdr>
        </w:div>
        <w:div w:id="421267271">
          <w:marLeft w:val="480"/>
          <w:marRight w:val="0"/>
          <w:marTop w:val="0"/>
          <w:marBottom w:val="0"/>
          <w:divBdr>
            <w:top w:val="none" w:sz="0" w:space="0" w:color="auto"/>
            <w:left w:val="none" w:sz="0" w:space="0" w:color="auto"/>
            <w:bottom w:val="none" w:sz="0" w:space="0" w:color="auto"/>
            <w:right w:val="none" w:sz="0" w:space="0" w:color="auto"/>
          </w:divBdr>
        </w:div>
        <w:div w:id="883906121">
          <w:marLeft w:val="480"/>
          <w:marRight w:val="0"/>
          <w:marTop w:val="0"/>
          <w:marBottom w:val="0"/>
          <w:divBdr>
            <w:top w:val="none" w:sz="0" w:space="0" w:color="auto"/>
            <w:left w:val="none" w:sz="0" w:space="0" w:color="auto"/>
            <w:bottom w:val="none" w:sz="0" w:space="0" w:color="auto"/>
            <w:right w:val="none" w:sz="0" w:space="0" w:color="auto"/>
          </w:divBdr>
        </w:div>
        <w:div w:id="1633317845">
          <w:marLeft w:val="480"/>
          <w:marRight w:val="0"/>
          <w:marTop w:val="0"/>
          <w:marBottom w:val="0"/>
          <w:divBdr>
            <w:top w:val="none" w:sz="0" w:space="0" w:color="auto"/>
            <w:left w:val="none" w:sz="0" w:space="0" w:color="auto"/>
            <w:bottom w:val="none" w:sz="0" w:space="0" w:color="auto"/>
            <w:right w:val="none" w:sz="0" w:space="0" w:color="auto"/>
          </w:divBdr>
        </w:div>
        <w:div w:id="1768652279">
          <w:marLeft w:val="480"/>
          <w:marRight w:val="0"/>
          <w:marTop w:val="0"/>
          <w:marBottom w:val="0"/>
          <w:divBdr>
            <w:top w:val="none" w:sz="0" w:space="0" w:color="auto"/>
            <w:left w:val="none" w:sz="0" w:space="0" w:color="auto"/>
            <w:bottom w:val="none" w:sz="0" w:space="0" w:color="auto"/>
            <w:right w:val="none" w:sz="0" w:space="0" w:color="auto"/>
          </w:divBdr>
        </w:div>
        <w:div w:id="513803900">
          <w:marLeft w:val="480"/>
          <w:marRight w:val="0"/>
          <w:marTop w:val="0"/>
          <w:marBottom w:val="0"/>
          <w:divBdr>
            <w:top w:val="none" w:sz="0" w:space="0" w:color="auto"/>
            <w:left w:val="none" w:sz="0" w:space="0" w:color="auto"/>
            <w:bottom w:val="none" w:sz="0" w:space="0" w:color="auto"/>
            <w:right w:val="none" w:sz="0" w:space="0" w:color="auto"/>
          </w:divBdr>
        </w:div>
        <w:div w:id="1005324820">
          <w:marLeft w:val="480"/>
          <w:marRight w:val="0"/>
          <w:marTop w:val="0"/>
          <w:marBottom w:val="0"/>
          <w:divBdr>
            <w:top w:val="none" w:sz="0" w:space="0" w:color="auto"/>
            <w:left w:val="none" w:sz="0" w:space="0" w:color="auto"/>
            <w:bottom w:val="none" w:sz="0" w:space="0" w:color="auto"/>
            <w:right w:val="none" w:sz="0" w:space="0" w:color="auto"/>
          </w:divBdr>
        </w:div>
        <w:div w:id="965618132">
          <w:marLeft w:val="480"/>
          <w:marRight w:val="0"/>
          <w:marTop w:val="0"/>
          <w:marBottom w:val="0"/>
          <w:divBdr>
            <w:top w:val="none" w:sz="0" w:space="0" w:color="auto"/>
            <w:left w:val="none" w:sz="0" w:space="0" w:color="auto"/>
            <w:bottom w:val="none" w:sz="0" w:space="0" w:color="auto"/>
            <w:right w:val="none" w:sz="0" w:space="0" w:color="auto"/>
          </w:divBdr>
        </w:div>
        <w:div w:id="1125345133">
          <w:marLeft w:val="480"/>
          <w:marRight w:val="0"/>
          <w:marTop w:val="0"/>
          <w:marBottom w:val="0"/>
          <w:divBdr>
            <w:top w:val="none" w:sz="0" w:space="0" w:color="auto"/>
            <w:left w:val="none" w:sz="0" w:space="0" w:color="auto"/>
            <w:bottom w:val="none" w:sz="0" w:space="0" w:color="auto"/>
            <w:right w:val="none" w:sz="0" w:space="0" w:color="auto"/>
          </w:divBdr>
        </w:div>
        <w:div w:id="1675570072">
          <w:marLeft w:val="480"/>
          <w:marRight w:val="0"/>
          <w:marTop w:val="0"/>
          <w:marBottom w:val="0"/>
          <w:divBdr>
            <w:top w:val="none" w:sz="0" w:space="0" w:color="auto"/>
            <w:left w:val="none" w:sz="0" w:space="0" w:color="auto"/>
            <w:bottom w:val="none" w:sz="0" w:space="0" w:color="auto"/>
            <w:right w:val="none" w:sz="0" w:space="0" w:color="auto"/>
          </w:divBdr>
        </w:div>
        <w:div w:id="1959068345">
          <w:marLeft w:val="480"/>
          <w:marRight w:val="0"/>
          <w:marTop w:val="0"/>
          <w:marBottom w:val="0"/>
          <w:divBdr>
            <w:top w:val="none" w:sz="0" w:space="0" w:color="auto"/>
            <w:left w:val="none" w:sz="0" w:space="0" w:color="auto"/>
            <w:bottom w:val="none" w:sz="0" w:space="0" w:color="auto"/>
            <w:right w:val="none" w:sz="0" w:space="0" w:color="auto"/>
          </w:divBdr>
        </w:div>
        <w:div w:id="1825900090">
          <w:marLeft w:val="480"/>
          <w:marRight w:val="0"/>
          <w:marTop w:val="0"/>
          <w:marBottom w:val="0"/>
          <w:divBdr>
            <w:top w:val="none" w:sz="0" w:space="0" w:color="auto"/>
            <w:left w:val="none" w:sz="0" w:space="0" w:color="auto"/>
            <w:bottom w:val="none" w:sz="0" w:space="0" w:color="auto"/>
            <w:right w:val="none" w:sz="0" w:space="0" w:color="auto"/>
          </w:divBdr>
        </w:div>
        <w:div w:id="1826508173">
          <w:marLeft w:val="480"/>
          <w:marRight w:val="0"/>
          <w:marTop w:val="0"/>
          <w:marBottom w:val="0"/>
          <w:divBdr>
            <w:top w:val="none" w:sz="0" w:space="0" w:color="auto"/>
            <w:left w:val="none" w:sz="0" w:space="0" w:color="auto"/>
            <w:bottom w:val="none" w:sz="0" w:space="0" w:color="auto"/>
            <w:right w:val="none" w:sz="0" w:space="0" w:color="auto"/>
          </w:divBdr>
        </w:div>
      </w:divsChild>
    </w:div>
    <w:div w:id="697975624">
      <w:bodyDiv w:val="1"/>
      <w:marLeft w:val="0"/>
      <w:marRight w:val="0"/>
      <w:marTop w:val="0"/>
      <w:marBottom w:val="0"/>
      <w:divBdr>
        <w:top w:val="none" w:sz="0" w:space="0" w:color="auto"/>
        <w:left w:val="none" w:sz="0" w:space="0" w:color="auto"/>
        <w:bottom w:val="none" w:sz="0" w:space="0" w:color="auto"/>
        <w:right w:val="none" w:sz="0" w:space="0" w:color="auto"/>
      </w:divBdr>
    </w:div>
    <w:div w:id="767431118">
      <w:bodyDiv w:val="1"/>
      <w:marLeft w:val="0"/>
      <w:marRight w:val="0"/>
      <w:marTop w:val="0"/>
      <w:marBottom w:val="0"/>
      <w:divBdr>
        <w:top w:val="none" w:sz="0" w:space="0" w:color="auto"/>
        <w:left w:val="none" w:sz="0" w:space="0" w:color="auto"/>
        <w:bottom w:val="none" w:sz="0" w:space="0" w:color="auto"/>
        <w:right w:val="none" w:sz="0" w:space="0" w:color="auto"/>
      </w:divBdr>
      <w:divsChild>
        <w:div w:id="1571036767">
          <w:marLeft w:val="480"/>
          <w:marRight w:val="0"/>
          <w:marTop w:val="0"/>
          <w:marBottom w:val="0"/>
          <w:divBdr>
            <w:top w:val="none" w:sz="0" w:space="0" w:color="auto"/>
            <w:left w:val="none" w:sz="0" w:space="0" w:color="auto"/>
            <w:bottom w:val="none" w:sz="0" w:space="0" w:color="auto"/>
            <w:right w:val="none" w:sz="0" w:space="0" w:color="auto"/>
          </w:divBdr>
        </w:div>
        <w:div w:id="1120874626">
          <w:marLeft w:val="480"/>
          <w:marRight w:val="0"/>
          <w:marTop w:val="0"/>
          <w:marBottom w:val="0"/>
          <w:divBdr>
            <w:top w:val="none" w:sz="0" w:space="0" w:color="auto"/>
            <w:left w:val="none" w:sz="0" w:space="0" w:color="auto"/>
            <w:bottom w:val="none" w:sz="0" w:space="0" w:color="auto"/>
            <w:right w:val="none" w:sz="0" w:space="0" w:color="auto"/>
          </w:divBdr>
        </w:div>
        <w:div w:id="330375625">
          <w:marLeft w:val="480"/>
          <w:marRight w:val="0"/>
          <w:marTop w:val="0"/>
          <w:marBottom w:val="0"/>
          <w:divBdr>
            <w:top w:val="none" w:sz="0" w:space="0" w:color="auto"/>
            <w:left w:val="none" w:sz="0" w:space="0" w:color="auto"/>
            <w:bottom w:val="none" w:sz="0" w:space="0" w:color="auto"/>
            <w:right w:val="none" w:sz="0" w:space="0" w:color="auto"/>
          </w:divBdr>
        </w:div>
        <w:div w:id="859974302">
          <w:marLeft w:val="480"/>
          <w:marRight w:val="0"/>
          <w:marTop w:val="0"/>
          <w:marBottom w:val="0"/>
          <w:divBdr>
            <w:top w:val="none" w:sz="0" w:space="0" w:color="auto"/>
            <w:left w:val="none" w:sz="0" w:space="0" w:color="auto"/>
            <w:bottom w:val="none" w:sz="0" w:space="0" w:color="auto"/>
            <w:right w:val="none" w:sz="0" w:space="0" w:color="auto"/>
          </w:divBdr>
        </w:div>
        <w:div w:id="38940752">
          <w:marLeft w:val="480"/>
          <w:marRight w:val="0"/>
          <w:marTop w:val="0"/>
          <w:marBottom w:val="0"/>
          <w:divBdr>
            <w:top w:val="none" w:sz="0" w:space="0" w:color="auto"/>
            <w:left w:val="none" w:sz="0" w:space="0" w:color="auto"/>
            <w:bottom w:val="none" w:sz="0" w:space="0" w:color="auto"/>
            <w:right w:val="none" w:sz="0" w:space="0" w:color="auto"/>
          </w:divBdr>
        </w:div>
        <w:div w:id="2040932950">
          <w:marLeft w:val="480"/>
          <w:marRight w:val="0"/>
          <w:marTop w:val="0"/>
          <w:marBottom w:val="0"/>
          <w:divBdr>
            <w:top w:val="none" w:sz="0" w:space="0" w:color="auto"/>
            <w:left w:val="none" w:sz="0" w:space="0" w:color="auto"/>
            <w:bottom w:val="none" w:sz="0" w:space="0" w:color="auto"/>
            <w:right w:val="none" w:sz="0" w:space="0" w:color="auto"/>
          </w:divBdr>
        </w:div>
        <w:div w:id="1210384588">
          <w:marLeft w:val="480"/>
          <w:marRight w:val="0"/>
          <w:marTop w:val="0"/>
          <w:marBottom w:val="0"/>
          <w:divBdr>
            <w:top w:val="none" w:sz="0" w:space="0" w:color="auto"/>
            <w:left w:val="none" w:sz="0" w:space="0" w:color="auto"/>
            <w:bottom w:val="none" w:sz="0" w:space="0" w:color="auto"/>
            <w:right w:val="none" w:sz="0" w:space="0" w:color="auto"/>
          </w:divBdr>
        </w:div>
        <w:div w:id="499588887">
          <w:marLeft w:val="480"/>
          <w:marRight w:val="0"/>
          <w:marTop w:val="0"/>
          <w:marBottom w:val="0"/>
          <w:divBdr>
            <w:top w:val="none" w:sz="0" w:space="0" w:color="auto"/>
            <w:left w:val="none" w:sz="0" w:space="0" w:color="auto"/>
            <w:bottom w:val="none" w:sz="0" w:space="0" w:color="auto"/>
            <w:right w:val="none" w:sz="0" w:space="0" w:color="auto"/>
          </w:divBdr>
        </w:div>
        <w:div w:id="1348478950">
          <w:marLeft w:val="480"/>
          <w:marRight w:val="0"/>
          <w:marTop w:val="0"/>
          <w:marBottom w:val="0"/>
          <w:divBdr>
            <w:top w:val="none" w:sz="0" w:space="0" w:color="auto"/>
            <w:left w:val="none" w:sz="0" w:space="0" w:color="auto"/>
            <w:bottom w:val="none" w:sz="0" w:space="0" w:color="auto"/>
            <w:right w:val="none" w:sz="0" w:space="0" w:color="auto"/>
          </w:divBdr>
        </w:div>
        <w:div w:id="753476747">
          <w:marLeft w:val="480"/>
          <w:marRight w:val="0"/>
          <w:marTop w:val="0"/>
          <w:marBottom w:val="0"/>
          <w:divBdr>
            <w:top w:val="none" w:sz="0" w:space="0" w:color="auto"/>
            <w:left w:val="none" w:sz="0" w:space="0" w:color="auto"/>
            <w:bottom w:val="none" w:sz="0" w:space="0" w:color="auto"/>
            <w:right w:val="none" w:sz="0" w:space="0" w:color="auto"/>
          </w:divBdr>
        </w:div>
        <w:div w:id="107160586">
          <w:marLeft w:val="480"/>
          <w:marRight w:val="0"/>
          <w:marTop w:val="0"/>
          <w:marBottom w:val="0"/>
          <w:divBdr>
            <w:top w:val="none" w:sz="0" w:space="0" w:color="auto"/>
            <w:left w:val="none" w:sz="0" w:space="0" w:color="auto"/>
            <w:bottom w:val="none" w:sz="0" w:space="0" w:color="auto"/>
            <w:right w:val="none" w:sz="0" w:space="0" w:color="auto"/>
          </w:divBdr>
        </w:div>
        <w:div w:id="437799077">
          <w:marLeft w:val="480"/>
          <w:marRight w:val="0"/>
          <w:marTop w:val="0"/>
          <w:marBottom w:val="0"/>
          <w:divBdr>
            <w:top w:val="none" w:sz="0" w:space="0" w:color="auto"/>
            <w:left w:val="none" w:sz="0" w:space="0" w:color="auto"/>
            <w:bottom w:val="none" w:sz="0" w:space="0" w:color="auto"/>
            <w:right w:val="none" w:sz="0" w:space="0" w:color="auto"/>
          </w:divBdr>
        </w:div>
        <w:div w:id="200560944">
          <w:marLeft w:val="480"/>
          <w:marRight w:val="0"/>
          <w:marTop w:val="0"/>
          <w:marBottom w:val="0"/>
          <w:divBdr>
            <w:top w:val="none" w:sz="0" w:space="0" w:color="auto"/>
            <w:left w:val="none" w:sz="0" w:space="0" w:color="auto"/>
            <w:bottom w:val="none" w:sz="0" w:space="0" w:color="auto"/>
            <w:right w:val="none" w:sz="0" w:space="0" w:color="auto"/>
          </w:divBdr>
        </w:div>
      </w:divsChild>
    </w:div>
    <w:div w:id="776488230">
      <w:bodyDiv w:val="1"/>
      <w:marLeft w:val="0"/>
      <w:marRight w:val="0"/>
      <w:marTop w:val="0"/>
      <w:marBottom w:val="0"/>
      <w:divBdr>
        <w:top w:val="none" w:sz="0" w:space="0" w:color="auto"/>
        <w:left w:val="none" w:sz="0" w:space="0" w:color="auto"/>
        <w:bottom w:val="none" w:sz="0" w:space="0" w:color="auto"/>
        <w:right w:val="none" w:sz="0" w:space="0" w:color="auto"/>
      </w:divBdr>
    </w:div>
    <w:div w:id="808087427">
      <w:bodyDiv w:val="1"/>
      <w:marLeft w:val="0"/>
      <w:marRight w:val="0"/>
      <w:marTop w:val="0"/>
      <w:marBottom w:val="0"/>
      <w:divBdr>
        <w:top w:val="none" w:sz="0" w:space="0" w:color="auto"/>
        <w:left w:val="none" w:sz="0" w:space="0" w:color="auto"/>
        <w:bottom w:val="none" w:sz="0" w:space="0" w:color="auto"/>
        <w:right w:val="none" w:sz="0" w:space="0" w:color="auto"/>
      </w:divBdr>
    </w:div>
    <w:div w:id="832917323">
      <w:bodyDiv w:val="1"/>
      <w:marLeft w:val="0"/>
      <w:marRight w:val="0"/>
      <w:marTop w:val="0"/>
      <w:marBottom w:val="0"/>
      <w:divBdr>
        <w:top w:val="none" w:sz="0" w:space="0" w:color="auto"/>
        <w:left w:val="none" w:sz="0" w:space="0" w:color="auto"/>
        <w:bottom w:val="none" w:sz="0" w:space="0" w:color="auto"/>
        <w:right w:val="none" w:sz="0" w:space="0" w:color="auto"/>
      </w:divBdr>
    </w:div>
    <w:div w:id="843515748">
      <w:bodyDiv w:val="1"/>
      <w:marLeft w:val="0"/>
      <w:marRight w:val="0"/>
      <w:marTop w:val="0"/>
      <w:marBottom w:val="0"/>
      <w:divBdr>
        <w:top w:val="none" w:sz="0" w:space="0" w:color="auto"/>
        <w:left w:val="none" w:sz="0" w:space="0" w:color="auto"/>
        <w:bottom w:val="none" w:sz="0" w:space="0" w:color="auto"/>
        <w:right w:val="none" w:sz="0" w:space="0" w:color="auto"/>
      </w:divBdr>
    </w:div>
    <w:div w:id="852233255">
      <w:bodyDiv w:val="1"/>
      <w:marLeft w:val="0"/>
      <w:marRight w:val="0"/>
      <w:marTop w:val="0"/>
      <w:marBottom w:val="0"/>
      <w:divBdr>
        <w:top w:val="none" w:sz="0" w:space="0" w:color="auto"/>
        <w:left w:val="none" w:sz="0" w:space="0" w:color="auto"/>
        <w:bottom w:val="none" w:sz="0" w:space="0" w:color="auto"/>
        <w:right w:val="none" w:sz="0" w:space="0" w:color="auto"/>
      </w:divBdr>
      <w:divsChild>
        <w:div w:id="816529204">
          <w:marLeft w:val="480"/>
          <w:marRight w:val="0"/>
          <w:marTop w:val="0"/>
          <w:marBottom w:val="0"/>
          <w:divBdr>
            <w:top w:val="none" w:sz="0" w:space="0" w:color="auto"/>
            <w:left w:val="none" w:sz="0" w:space="0" w:color="auto"/>
            <w:bottom w:val="none" w:sz="0" w:space="0" w:color="auto"/>
            <w:right w:val="none" w:sz="0" w:space="0" w:color="auto"/>
          </w:divBdr>
        </w:div>
        <w:div w:id="1082096070">
          <w:marLeft w:val="480"/>
          <w:marRight w:val="0"/>
          <w:marTop w:val="0"/>
          <w:marBottom w:val="0"/>
          <w:divBdr>
            <w:top w:val="none" w:sz="0" w:space="0" w:color="auto"/>
            <w:left w:val="none" w:sz="0" w:space="0" w:color="auto"/>
            <w:bottom w:val="none" w:sz="0" w:space="0" w:color="auto"/>
            <w:right w:val="none" w:sz="0" w:space="0" w:color="auto"/>
          </w:divBdr>
        </w:div>
        <w:div w:id="1214535265">
          <w:marLeft w:val="480"/>
          <w:marRight w:val="0"/>
          <w:marTop w:val="0"/>
          <w:marBottom w:val="0"/>
          <w:divBdr>
            <w:top w:val="none" w:sz="0" w:space="0" w:color="auto"/>
            <w:left w:val="none" w:sz="0" w:space="0" w:color="auto"/>
            <w:bottom w:val="none" w:sz="0" w:space="0" w:color="auto"/>
            <w:right w:val="none" w:sz="0" w:space="0" w:color="auto"/>
          </w:divBdr>
        </w:div>
        <w:div w:id="1627078407">
          <w:marLeft w:val="480"/>
          <w:marRight w:val="0"/>
          <w:marTop w:val="0"/>
          <w:marBottom w:val="0"/>
          <w:divBdr>
            <w:top w:val="none" w:sz="0" w:space="0" w:color="auto"/>
            <w:left w:val="none" w:sz="0" w:space="0" w:color="auto"/>
            <w:bottom w:val="none" w:sz="0" w:space="0" w:color="auto"/>
            <w:right w:val="none" w:sz="0" w:space="0" w:color="auto"/>
          </w:divBdr>
        </w:div>
        <w:div w:id="2132740716">
          <w:marLeft w:val="480"/>
          <w:marRight w:val="0"/>
          <w:marTop w:val="0"/>
          <w:marBottom w:val="0"/>
          <w:divBdr>
            <w:top w:val="none" w:sz="0" w:space="0" w:color="auto"/>
            <w:left w:val="none" w:sz="0" w:space="0" w:color="auto"/>
            <w:bottom w:val="none" w:sz="0" w:space="0" w:color="auto"/>
            <w:right w:val="none" w:sz="0" w:space="0" w:color="auto"/>
          </w:divBdr>
        </w:div>
        <w:div w:id="1479807433">
          <w:marLeft w:val="480"/>
          <w:marRight w:val="0"/>
          <w:marTop w:val="0"/>
          <w:marBottom w:val="0"/>
          <w:divBdr>
            <w:top w:val="none" w:sz="0" w:space="0" w:color="auto"/>
            <w:left w:val="none" w:sz="0" w:space="0" w:color="auto"/>
            <w:bottom w:val="none" w:sz="0" w:space="0" w:color="auto"/>
            <w:right w:val="none" w:sz="0" w:space="0" w:color="auto"/>
          </w:divBdr>
        </w:div>
        <w:div w:id="1486125462">
          <w:marLeft w:val="480"/>
          <w:marRight w:val="0"/>
          <w:marTop w:val="0"/>
          <w:marBottom w:val="0"/>
          <w:divBdr>
            <w:top w:val="none" w:sz="0" w:space="0" w:color="auto"/>
            <w:left w:val="none" w:sz="0" w:space="0" w:color="auto"/>
            <w:bottom w:val="none" w:sz="0" w:space="0" w:color="auto"/>
            <w:right w:val="none" w:sz="0" w:space="0" w:color="auto"/>
          </w:divBdr>
        </w:div>
        <w:div w:id="338625435">
          <w:marLeft w:val="480"/>
          <w:marRight w:val="0"/>
          <w:marTop w:val="0"/>
          <w:marBottom w:val="0"/>
          <w:divBdr>
            <w:top w:val="none" w:sz="0" w:space="0" w:color="auto"/>
            <w:left w:val="none" w:sz="0" w:space="0" w:color="auto"/>
            <w:bottom w:val="none" w:sz="0" w:space="0" w:color="auto"/>
            <w:right w:val="none" w:sz="0" w:space="0" w:color="auto"/>
          </w:divBdr>
        </w:div>
        <w:div w:id="1309749097">
          <w:marLeft w:val="480"/>
          <w:marRight w:val="0"/>
          <w:marTop w:val="0"/>
          <w:marBottom w:val="0"/>
          <w:divBdr>
            <w:top w:val="none" w:sz="0" w:space="0" w:color="auto"/>
            <w:left w:val="none" w:sz="0" w:space="0" w:color="auto"/>
            <w:bottom w:val="none" w:sz="0" w:space="0" w:color="auto"/>
            <w:right w:val="none" w:sz="0" w:space="0" w:color="auto"/>
          </w:divBdr>
        </w:div>
        <w:div w:id="1829054610">
          <w:marLeft w:val="480"/>
          <w:marRight w:val="0"/>
          <w:marTop w:val="0"/>
          <w:marBottom w:val="0"/>
          <w:divBdr>
            <w:top w:val="none" w:sz="0" w:space="0" w:color="auto"/>
            <w:left w:val="none" w:sz="0" w:space="0" w:color="auto"/>
            <w:bottom w:val="none" w:sz="0" w:space="0" w:color="auto"/>
            <w:right w:val="none" w:sz="0" w:space="0" w:color="auto"/>
          </w:divBdr>
        </w:div>
        <w:div w:id="2037194191">
          <w:marLeft w:val="480"/>
          <w:marRight w:val="0"/>
          <w:marTop w:val="0"/>
          <w:marBottom w:val="0"/>
          <w:divBdr>
            <w:top w:val="none" w:sz="0" w:space="0" w:color="auto"/>
            <w:left w:val="none" w:sz="0" w:space="0" w:color="auto"/>
            <w:bottom w:val="none" w:sz="0" w:space="0" w:color="auto"/>
            <w:right w:val="none" w:sz="0" w:space="0" w:color="auto"/>
          </w:divBdr>
        </w:div>
        <w:div w:id="726413642">
          <w:marLeft w:val="480"/>
          <w:marRight w:val="0"/>
          <w:marTop w:val="0"/>
          <w:marBottom w:val="0"/>
          <w:divBdr>
            <w:top w:val="none" w:sz="0" w:space="0" w:color="auto"/>
            <w:left w:val="none" w:sz="0" w:space="0" w:color="auto"/>
            <w:bottom w:val="none" w:sz="0" w:space="0" w:color="auto"/>
            <w:right w:val="none" w:sz="0" w:space="0" w:color="auto"/>
          </w:divBdr>
        </w:div>
        <w:div w:id="2006122907">
          <w:marLeft w:val="480"/>
          <w:marRight w:val="0"/>
          <w:marTop w:val="0"/>
          <w:marBottom w:val="0"/>
          <w:divBdr>
            <w:top w:val="none" w:sz="0" w:space="0" w:color="auto"/>
            <w:left w:val="none" w:sz="0" w:space="0" w:color="auto"/>
            <w:bottom w:val="none" w:sz="0" w:space="0" w:color="auto"/>
            <w:right w:val="none" w:sz="0" w:space="0" w:color="auto"/>
          </w:divBdr>
        </w:div>
      </w:divsChild>
    </w:div>
    <w:div w:id="1043670274">
      <w:bodyDiv w:val="1"/>
      <w:marLeft w:val="0"/>
      <w:marRight w:val="0"/>
      <w:marTop w:val="0"/>
      <w:marBottom w:val="0"/>
      <w:divBdr>
        <w:top w:val="none" w:sz="0" w:space="0" w:color="auto"/>
        <w:left w:val="none" w:sz="0" w:space="0" w:color="auto"/>
        <w:bottom w:val="none" w:sz="0" w:space="0" w:color="auto"/>
        <w:right w:val="none" w:sz="0" w:space="0" w:color="auto"/>
      </w:divBdr>
    </w:div>
    <w:div w:id="1066684119">
      <w:bodyDiv w:val="1"/>
      <w:marLeft w:val="0"/>
      <w:marRight w:val="0"/>
      <w:marTop w:val="0"/>
      <w:marBottom w:val="0"/>
      <w:divBdr>
        <w:top w:val="none" w:sz="0" w:space="0" w:color="auto"/>
        <w:left w:val="none" w:sz="0" w:space="0" w:color="auto"/>
        <w:bottom w:val="none" w:sz="0" w:space="0" w:color="auto"/>
        <w:right w:val="none" w:sz="0" w:space="0" w:color="auto"/>
      </w:divBdr>
      <w:divsChild>
        <w:div w:id="906107781">
          <w:marLeft w:val="480"/>
          <w:marRight w:val="0"/>
          <w:marTop w:val="0"/>
          <w:marBottom w:val="0"/>
          <w:divBdr>
            <w:top w:val="none" w:sz="0" w:space="0" w:color="auto"/>
            <w:left w:val="none" w:sz="0" w:space="0" w:color="auto"/>
            <w:bottom w:val="none" w:sz="0" w:space="0" w:color="auto"/>
            <w:right w:val="none" w:sz="0" w:space="0" w:color="auto"/>
          </w:divBdr>
        </w:div>
        <w:div w:id="1491943500">
          <w:marLeft w:val="480"/>
          <w:marRight w:val="0"/>
          <w:marTop w:val="0"/>
          <w:marBottom w:val="0"/>
          <w:divBdr>
            <w:top w:val="none" w:sz="0" w:space="0" w:color="auto"/>
            <w:left w:val="none" w:sz="0" w:space="0" w:color="auto"/>
            <w:bottom w:val="none" w:sz="0" w:space="0" w:color="auto"/>
            <w:right w:val="none" w:sz="0" w:space="0" w:color="auto"/>
          </w:divBdr>
        </w:div>
        <w:div w:id="1337077246">
          <w:marLeft w:val="480"/>
          <w:marRight w:val="0"/>
          <w:marTop w:val="0"/>
          <w:marBottom w:val="0"/>
          <w:divBdr>
            <w:top w:val="none" w:sz="0" w:space="0" w:color="auto"/>
            <w:left w:val="none" w:sz="0" w:space="0" w:color="auto"/>
            <w:bottom w:val="none" w:sz="0" w:space="0" w:color="auto"/>
            <w:right w:val="none" w:sz="0" w:space="0" w:color="auto"/>
          </w:divBdr>
        </w:div>
        <w:div w:id="1891991471">
          <w:marLeft w:val="480"/>
          <w:marRight w:val="0"/>
          <w:marTop w:val="0"/>
          <w:marBottom w:val="0"/>
          <w:divBdr>
            <w:top w:val="none" w:sz="0" w:space="0" w:color="auto"/>
            <w:left w:val="none" w:sz="0" w:space="0" w:color="auto"/>
            <w:bottom w:val="none" w:sz="0" w:space="0" w:color="auto"/>
            <w:right w:val="none" w:sz="0" w:space="0" w:color="auto"/>
          </w:divBdr>
        </w:div>
        <w:div w:id="392235648">
          <w:marLeft w:val="480"/>
          <w:marRight w:val="0"/>
          <w:marTop w:val="0"/>
          <w:marBottom w:val="0"/>
          <w:divBdr>
            <w:top w:val="none" w:sz="0" w:space="0" w:color="auto"/>
            <w:left w:val="none" w:sz="0" w:space="0" w:color="auto"/>
            <w:bottom w:val="none" w:sz="0" w:space="0" w:color="auto"/>
            <w:right w:val="none" w:sz="0" w:space="0" w:color="auto"/>
          </w:divBdr>
        </w:div>
        <w:div w:id="1799757455">
          <w:marLeft w:val="480"/>
          <w:marRight w:val="0"/>
          <w:marTop w:val="0"/>
          <w:marBottom w:val="0"/>
          <w:divBdr>
            <w:top w:val="none" w:sz="0" w:space="0" w:color="auto"/>
            <w:left w:val="none" w:sz="0" w:space="0" w:color="auto"/>
            <w:bottom w:val="none" w:sz="0" w:space="0" w:color="auto"/>
            <w:right w:val="none" w:sz="0" w:space="0" w:color="auto"/>
          </w:divBdr>
        </w:div>
        <w:div w:id="1878544445">
          <w:marLeft w:val="480"/>
          <w:marRight w:val="0"/>
          <w:marTop w:val="0"/>
          <w:marBottom w:val="0"/>
          <w:divBdr>
            <w:top w:val="none" w:sz="0" w:space="0" w:color="auto"/>
            <w:left w:val="none" w:sz="0" w:space="0" w:color="auto"/>
            <w:bottom w:val="none" w:sz="0" w:space="0" w:color="auto"/>
            <w:right w:val="none" w:sz="0" w:space="0" w:color="auto"/>
          </w:divBdr>
        </w:div>
        <w:div w:id="1516967624">
          <w:marLeft w:val="480"/>
          <w:marRight w:val="0"/>
          <w:marTop w:val="0"/>
          <w:marBottom w:val="0"/>
          <w:divBdr>
            <w:top w:val="none" w:sz="0" w:space="0" w:color="auto"/>
            <w:left w:val="none" w:sz="0" w:space="0" w:color="auto"/>
            <w:bottom w:val="none" w:sz="0" w:space="0" w:color="auto"/>
            <w:right w:val="none" w:sz="0" w:space="0" w:color="auto"/>
          </w:divBdr>
        </w:div>
        <w:div w:id="177542721">
          <w:marLeft w:val="480"/>
          <w:marRight w:val="0"/>
          <w:marTop w:val="0"/>
          <w:marBottom w:val="0"/>
          <w:divBdr>
            <w:top w:val="none" w:sz="0" w:space="0" w:color="auto"/>
            <w:left w:val="none" w:sz="0" w:space="0" w:color="auto"/>
            <w:bottom w:val="none" w:sz="0" w:space="0" w:color="auto"/>
            <w:right w:val="none" w:sz="0" w:space="0" w:color="auto"/>
          </w:divBdr>
        </w:div>
        <w:div w:id="1035694577">
          <w:marLeft w:val="480"/>
          <w:marRight w:val="0"/>
          <w:marTop w:val="0"/>
          <w:marBottom w:val="0"/>
          <w:divBdr>
            <w:top w:val="none" w:sz="0" w:space="0" w:color="auto"/>
            <w:left w:val="none" w:sz="0" w:space="0" w:color="auto"/>
            <w:bottom w:val="none" w:sz="0" w:space="0" w:color="auto"/>
            <w:right w:val="none" w:sz="0" w:space="0" w:color="auto"/>
          </w:divBdr>
        </w:div>
        <w:div w:id="1388603466">
          <w:marLeft w:val="480"/>
          <w:marRight w:val="0"/>
          <w:marTop w:val="0"/>
          <w:marBottom w:val="0"/>
          <w:divBdr>
            <w:top w:val="none" w:sz="0" w:space="0" w:color="auto"/>
            <w:left w:val="none" w:sz="0" w:space="0" w:color="auto"/>
            <w:bottom w:val="none" w:sz="0" w:space="0" w:color="auto"/>
            <w:right w:val="none" w:sz="0" w:space="0" w:color="auto"/>
          </w:divBdr>
        </w:div>
        <w:div w:id="308561418">
          <w:marLeft w:val="480"/>
          <w:marRight w:val="0"/>
          <w:marTop w:val="0"/>
          <w:marBottom w:val="0"/>
          <w:divBdr>
            <w:top w:val="none" w:sz="0" w:space="0" w:color="auto"/>
            <w:left w:val="none" w:sz="0" w:space="0" w:color="auto"/>
            <w:bottom w:val="none" w:sz="0" w:space="0" w:color="auto"/>
            <w:right w:val="none" w:sz="0" w:space="0" w:color="auto"/>
          </w:divBdr>
        </w:div>
        <w:div w:id="69624190">
          <w:marLeft w:val="480"/>
          <w:marRight w:val="0"/>
          <w:marTop w:val="0"/>
          <w:marBottom w:val="0"/>
          <w:divBdr>
            <w:top w:val="none" w:sz="0" w:space="0" w:color="auto"/>
            <w:left w:val="none" w:sz="0" w:space="0" w:color="auto"/>
            <w:bottom w:val="none" w:sz="0" w:space="0" w:color="auto"/>
            <w:right w:val="none" w:sz="0" w:space="0" w:color="auto"/>
          </w:divBdr>
        </w:div>
      </w:divsChild>
    </w:div>
    <w:div w:id="1104962114">
      <w:bodyDiv w:val="1"/>
      <w:marLeft w:val="0"/>
      <w:marRight w:val="0"/>
      <w:marTop w:val="0"/>
      <w:marBottom w:val="0"/>
      <w:divBdr>
        <w:top w:val="none" w:sz="0" w:space="0" w:color="auto"/>
        <w:left w:val="none" w:sz="0" w:space="0" w:color="auto"/>
        <w:bottom w:val="none" w:sz="0" w:space="0" w:color="auto"/>
        <w:right w:val="none" w:sz="0" w:space="0" w:color="auto"/>
      </w:divBdr>
    </w:div>
    <w:div w:id="1140810210">
      <w:bodyDiv w:val="1"/>
      <w:marLeft w:val="0"/>
      <w:marRight w:val="0"/>
      <w:marTop w:val="0"/>
      <w:marBottom w:val="0"/>
      <w:divBdr>
        <w:top w:val="none" w:sz="0" w:space="0" w:color="auto"/>
        <w:left w:val="none" w:sz="0" w:space="0" w:color="auto"/>
        <w:bottom w:val="none" w:sz="0" w:space="0" w:color="auto"/>
        <w:right w:val="none" w:sz="0" w:space="0" w:color="auto"/>
      </w:divBdr>
      <w:divsChild>
        <w:div w:id="424806289">
          <w:marLeft w:val="480"/>
          <w:marRight w:val="0"/>
          <w:marTop w:val="0"/>
          <w:marBottom w:val="0"/>
          <w:divBdr>
            <w:top w:val="none" w:sz="0" w:space="0" w:color="auto"/>
            <w:left w:val="none" w:sz="0" w:space="0" w:color="auto"/>
            <w:bottom w:val="none" w:sz="0" w:space="0" w:color="auto"/>
            <w:right w:val="none" w:sz="0" w:space="0" w:color="auto"/>
          </w:divBdr>
        </w:div>
        <w:div w:id="1559053598">
          <w:marLeft w:val="480"/>
          <w:marRight w:val="0"/>
          <w:marTop w:val="0"/>
          <w:marBottom w:val="0"/>
          <w:divBdr>
            <w:top w:val="none" w:sz="0" w:space="0" w:color="auto"/>
            <w:left w:val="none" w:sz="0" w:space="0" w:color="auto"/>
            <w:bottom w:val="none" w:sz="0" w:space="0" w:color="auto"/>
            <w:right w:val="none" w:sz="0" w:space="0" w:color="auto"/>
          </w:divBdr>
        </w:div>
        <w:div w:id="976836015">
          <w:marLeft w:val="480"/>
          <w:marRight w:val="0"/>
          <w:marTop w:val="0"/>
          <w:marBottom w:val="0"/>
          <w:divBdr>
            <w:top w:val="none" w:sz="0" w:space="0" w:color="auto"/>
            <w:left w:val="none" w:sz="0" w:space="0" w:color="auto"/>
            <w:bottom w:val="none" w:sz="0" w:space="0" w:color="auto"/>
            <w:right w:val="none" w:sz="0" w:space="0" w:color="auto"/>
          </w:divBdr>
        </w:div>
      </w:divsChild>
    </w:div>
    <w:div w:id="1142120274">
      <w:bodyDiv w:val="1"/>
      <w:marLeft w:val="0"/>
      <w:marRight w:val="0"/>
      <w:marTop w:val="0"/>
      <w:marBottom w:val="0"/>
      <w:divBdr>
        <w:top w:val="none" w:sz="0" w:space="0" w:color="auto"/>
        <w:left w:val="none" w:sz="0" w:space="0" w:color="auto"/>
        <w:bottom w:val="none" w:sz="0" w:space="0" w:color="auto"/>
        <w:right w:val="none" w:sz="0" w:space="0" w:color="auto"/>
      </w:divBdr>
    </w:div>
    <w:div w:id="1145319641">
      <w:bodyDiv w:val="1"/>
      <w:marLeft w:val="0"/>
      <w:marRight w:val="0"/>
      <w:marTop w:val="0"/>
      <w:marBottom w:val="0"/>
      <w:divBdr>
        <w:top w:val="none" w:sz="0" w:space="0" w:color="auto"/>
        <w:left w:val="none" w:sz="0" w:space="0" w:color="auto"/>
        <w:bottom w:val="none" w:sz="0" w:space="0" w:color="auto"/>
        <w:right w:val="none" w:sz="0" w:space="0" w:color="auto"/>
      </w:divBdr>
    </w:div>
    <w:div w:id="1151677349">
      <w:bodyDiv w:val="1"/>
      <w:marLeft w:val="0"/>
      <w:marRight w:val="0"/>
      <w:marTop w:val="0"/>
      <w:marBottom w:val="0"/>
      <w:divBdr>
        <w:top w:val="none" w:sz="0" w:space="0" w:color="auto"/>
        <w:left w:val="none" w:sz="0" w:space="0" w:color="auto"/>
        <w:bottom w:val="none" w:sz="0" w:space="0" w:color="auto"/>
        <w:right w:val="none" w:sz="0" w:space="0" w:color="auto"/>
      </w:divBdr>
    </w:div>
    <w:div w:id="1155101331">
      <w:bodyDiv w:val="1"/>
      <w:marLeft w:val="0"/>
      <w:marRight w:val="0"/>
      <w:marTop w:val="0"/>
      <w:marBottom w:val="0"/>
      <w:divBdr>
        <w:top w:val="none" w:sz="0" w:space="0" w:color="auto"/>
        <w:left w:val="none" w:sz="0" w:space="0" w:color="auto"/>
        <w:bottom w:val="none" w:sz="0" w:space="0" w:color="auto"/>
        <w:right w:val="none" w:sz="0" w:space="0" w:color="auto"/>
      </w:divBdr>
      <w:divsChild>
        <w:div w:id="114761673">
          <w:marLeft w:val="480"/>
          <w:marRight w:val="0"/>
          <w:marTop w:val="0"/>
          <w:marBottom w:val="0"/>
          <w:divBdr>
            <w:top w:val="none" w:sz="0" w:space="0" w:color="auto"/>
            <w:left w:val="none" w:sz="0" w:space="0" w:color="auto"/>
            <w:bottom w:val="none" w:sz="0" w:space="0" w:color="auto"/>
            <w:right w:val="none" w:sz="0" w:space="0" w:color="auto"/>
          </w:divBdr>
        </w:div>
        <w:div w:id="39407778">
          <w:marLeft w:val="480"/>
          <w:marRight w:val="0"/>
          <w:marTop w:val="0"/>
          <w:marBottom w:val="0"/>
          <w:divBdr>
            <w:top w:val="none" w:sz="0" w:space="0" w:color="auto"/>
            <w:left w:val="none" w:sz="0" w:space="0" w:color="auto"/>
            <w:bottom w:val="none" w:sz="0" w:space="0" w:color="auto"/>
            <w:right w:val="none" w:sz="0" w:space="0" w:color="auto"/>
          </w:divBdr>
        </w:div>
        <w:div w:id="2147239224">
          <w:marLeft w:val="480"/>
          <w:marRight w:val="0"/>
          <w:marTop w:val="0"/>
          <w:marBottom w:val="0"/>
          <w:divBdr>
            <w:top w:val="none" w:sz="0" w:space="0" w:color="auto"/>
            <w:left w:val="none" w:sz="0" w:space="0" w:color="auto"/>
            <w:bottom w:val="none" w:sz="0" w:space="0" w:color="auto"/>
            <w:right w:val="none" w:sz="0" w:space="0" w:color="auto"/>
          </w:divBdr>
        </w:div>
        <w:div w:id="562907160">
          <w:marLeft w:val="480"/>
          <w:marRight w:val="0"/>
          <w:marTop w:val="0"/>
          <w:marBottom w:val="0"/>
          <w:divBdr>
            <w:top w:val="none" w:sz="0" w:space="0" w:color="auto"/>
            <w:left w:val="none" w:sz="0" w:space="0" w:color="auto"/>
            <w:bottom w:val="none" w:sz="0" w:space="0" w:color="auto"/>
            <w:right w:val="none" w:sz="0" w:space="0" w:color="auto"/>
          </w:divBdr>
        </w:div>
        <w:div w:id="1619798417">
          <w:marLeft w:val="480"/>
          <w:marRight w:val="0"/>
          <w:marTop w:val="0"/>
          <w:marBottom w:val="0"/>
          <w:divBdr>
            <w:top w:val="none" w:sz="0" w:space="0" w:color="auto"/>
            <w:left w:val="none" w:sz="0" w:space="0" w:color="auto"/>
            <w:bottom w:val="none" w:sz="0" w:space="0" w:color="auto"/>
            <w:right w:val="none" w:sz="0" w:space="0" w:color="auto"/>
          </w:divBdr>
        </w:div>
        <w:div w:id="918640927">
          <w:marLeft w:val="480"/>
          <w:marRight w:val="0"/>
          <w:marTop w:val="0"/>
          <w:marBottom w:val="0"/>
          <w:divBdr>
            <w:top w:val="none" w:sz="0" w:space="0" w:color="auto"/>
            <w:left w:val="none" w:sz="0" w:space="0" w:color="auto"/>
            <w:bottom w:val="none" w:sz="0" w:space="0" w:color="auto"/>
            <w:right w:val="none" w:sz="0" w:space="0" w:color="auto"/>
          </w:divBdr>
        </w:div>
        <w:div w:id="269120694">
          <w:marLeft w:val="480"/>
          <w:marRight w:val="0"/>
          <w:marTop w:val="0"/>
          <w:marBottom w:val="0"/>
          <w:divBdr>
            <w:top w:val="none" w:sz="0" w:space="0" w:color="auto"/>
            <w:left w:val="none" w:sz="0" w:space="0" w:color="auto"/>
            <w:bottom w:val="none" w:sz="0" w:space="0" w:color="auto"/>
            <w:right w:val="none" w:sz="0" w:space="0" w:color="auto"/>
          </w:divBdr>
        </w:div>
        <w:div w:id="251083569">
          <w:marLeft w:val="480"/>
          <w:marRight w:val="0"/>
          <w:marTop w:val="0"/>
          <w:marBottom w:val="0"/>
          <w:divBdr>
            <w:top w:val="none" w:sz="0" w:space="0" w:color="auto"/>
            <w:left w:val="none" w:sz="0" w:space="0" w:color="auto"/>
            <w:bottom w:val="none" w:sz="0" w:space="0" w:color="auto"/>
            <w:right w:val="none" w:sz="0" w:space="0" w:color="auto"/>
          </w:divBdr>
        </w:div>
        <w:div w:id="1820876733">
          <w:marLeft w:val="480"/>
          <w:marRight w:val="0"/>
          <w:marTop w:val="0"/>
          <w:marBottom w:val="0"/>
          <w:divBdr>
            <w:top w:val="none" w:sz="0" w:space="0" w:color="auto"/>
            <w:left w:val="none" w:sz="0" w:space="0" w:color="auto"/>
            <w:bottom w:val="none" w:sz="0" w:space="0" w:color="auto"/>
            <w:right w:val="none" w:sz="0" w:space="0" w:color="auto"/>
          </w:divBdr>
        </w:div>
        <w:div w:id="1794013186">
          <w:marLeft w:val="480"/>
          <w:marRight w:val="0"/>
          <w:marTop w:val="0"/>
          <w:marBottom w:val="0"/>
          <w:divBdr>
            <w:top w:val="none" w:sz="0" w:space="0" w:color="auto"/>
            <w:left w:val="none" w:sz="0" w:space="0" w:color="auto"/>
            <w:bottom w:val="none" w:sz="0" w:space="0" w:color="auto"/>
            <w:right w:val="none" w:sz="0" w:space="0" w:color="auto"/>
          </w:divBdr>
        </w:div>
        <w:div w:id="256256647">
          <w:marLeft w:val="480"/>
          <w:marRight w:val="0"/>
          <w:marTop w:val="0"/>
          <w:marBottom w:val="0"/>
          <w:divBdr>
            <w:top w:val="none" w:sz="0" w:space="0" w:color="auto"/>
            <w:left w:val="none" w:sz="0" w:space="0" w:color="auto"/>
            <w:bottom w:val="none" w:sz="0" w:space="0" w:color="auto"/>
            <w:right w:val="none" w:sz="0" w:space="0" w:color="auto"/>
          </w:divBdr>
        </w:div>
        <w:div w:id="528373161">
          <w:marLeft w:val="480"/>
          <w:marRight w:val="0"/>
          <w:marTop w:val="0"/>
          <w:marBottom w:val="0"/>
          <w:divBdr>
            <w:top w:val="none" w:sz="0" w:space="0" w:color="auto"/>
            <w:left w:val="none" w:sz="0" w:space="0" w:color="auto"/>
            <w:bottom w:val="none" w:sz="0" w:space="0" w:color="auto"/>
            <w:right w:val="none" w:sz="0" w:space="0" w:color="auto"/>
          </w:divBdr>
        </w:div>
        <w:div w:id="1152869148">
          <w:marLeft w:val="480"/>
          <w:marRight w:val="0"/>
          <w:marTop w:val="0"/>
          <w:marBottom w:val="0"/>
          <w:divBdr>
            <w:top w:val="none" w:sz="0" w:space="0" w:color="auto"/>
            <w:left w:val="none" w:sz="0" w:space="0" w:color="auto"/>
            <w:bottom w:val="none" w:sz="0" w:space="0" w:color="auto"/>
            <w:right w:val="none" w:sz="0" w:space="0" w:color="auto"/>
          </w:divBdr>
        </w:div>
      </w:divsChild>
    </w:div>
    <w:div w:id="1159538501">
      <w:bodyDiv w:val="1"/>
      <w:marLeft w:val="0"/>
      <w:marRight w:val="0"/>
      <w:marTop w:val="0"/>
      <w:marBottom w:val="0"/>
      <w:divBdr>
        <w:top w:val="none" w:sz="0" w:space="0" w:color="auto"/>
        <w:left w:val="none" w:sz="0" w:space="0" w:color="auto"/>
        <w:bottom w:val="none" w:sz="0" w:space="0" w:color="auto"/>
        <w:right w:val="none" w:sz="0" w:space="0" w:color="auto"/>
      </w:divBdr>
    </w:div>
    <w:div w:id="1176455515">
      <w:bodyDiv w:val="1"/>
      <w:marLeft w:val="0"/>
      <w:marRight w:val="0"/>
      <w:marTop w:val="0"/>
      <w:marBottom w:val="0"/>
      <w:divBdr>
        <w:top w:val="none" w:sz="0" w:space="0" w:color="auto"/>
        <w:left w:val="none" w:sz="0" w:space="0" w:color="auto"/>
        <w:bottom w:val="none" w:sz="0" w:space="0" w:color="auto"/>
        <w:right w:val="none" w:sz="0" w:space="0" w:color="auto"/>
      </w:divBdr>
      <w:divsChild>
        <w:div w:id="548490782">
          <w:marLeft w:val="480"/>
          <w:marRight w:val="0"/>
          <w:marTop w:val="0"/>
          <w:marBottom w:val="0"/>
          <w:divBdr>
            <w:top w:val="none" w:sz="0" w:space="0" w:color="auto"/>
            <w:left w:val="none" w:sz="0" w:space="0" w:color="auto"/>
            <w:bottom w:val="none" w:sz="0" w:space="0" w:color="auto"/>
            <w:right w:val="none" w:sz="0" w:space="0" w:color="auto"/>
          </w:divBdr>
        </w:div>
        <w:div w:id="1835491050">
          <w:marLeft w:val="480"/>
          <w:marRight w:val="0"/>
          <w:marTop w:val="0"/>
          <w:marBottom w:val="0"/>
          <w:divBdr>
            <w:top w:val="none" w:sz="0" w:space="0" w:color="auto"/>
            <w:left w:val="none" w:sz="0" w:space="0" w:color="auto"/>
            <w:bottom w:val="none" w:sz="0" w:space="0" w:color="auto"/>
            <w:right w:val="none" w:sz="0" w:space="0" w:color="auto"/>
          </w:divBdr>
        </w:div>
        <w:div w:id="1239825016">
          <w:marLeft w:val="480"/>
          <w:marRight w:val="0"/>
          <w:marTop w:val="0"/>
          <w:marBottom w:val="0"/>
          <w:divBdr>
            <w:top w:val="none" w:sz="0" w:space="0" w:color="auto"/>
            <w:left w:val="none" w:sz="0" w:space="0" w:color="auto"/>
            <w:bottom w:val="none" w:sz="0" w:space="0" w:color="auto"/>
            <w:right w:val="none" w:sz="0" w:space="0" w:color="auto"/>
          </w:divBdr>
        </w:div>
        <w:div w:id="455754292">
          <w:marLeft w:val="480"/>
          <w:marRight w:val="0"/>
          <w:marTop w:val="0"/>
          <w:marBottom w:val="0"/>
          <w:divBdr>
            <w:top w:val="none" w:sz="0" w:space="0" w:color="auto"/>
            <w:left w:val="none" w:sz="0" w:space="0" w:color="auto"/>
            <w:bottom w:val="none" w:sz="0" w:space="0" w:color="auto"/>
            <w:right w:val="none" w:sz="0" w:space="0" w:color="auto"/>
          </w:divBdr>
        </w:div>
        <w:div w:id="1733501473">
          <w:marLeft w:val="480"/>
          <w:marRight w:val="0"/>
          <w:marTop w:val="0"/>
          <w:marBottom w:val="0"/>
          <w:divBdr>
            <w:top w:val="none" w:sz="0" w:space="0" w:color="auto"/>
            <w:left w:val="none" w:sz="0" w:space="0" w:color="auto"/>
            <w:bottom w:val="none" w:sz="0" w:space="0" w:color="auto"/>
            <w:right w:val="none" w:sz="0" w:space="0" w:color="auto"/>
          </w:divBdr>
        </w:div>
        <w:div w:id="1732188644">
          <w:marLeft w:val="480"/>
          <w:marRight w:val="0"/>
          <w:marTop w:val="0"/>
          <w:marBottom w:val="0"/>
          <w:divBdr>
            <w:top w:val="none" w:sz="0" w:space="0" w:color="auto"/>
            <w:left w:val="none" w:sz="0" w:space="0" w:color="auto"/>
            <w:bottom w:val="none" w:sz="0" w:space="0" w:color="auto"/>
            <w:right w:val="none" w:sz="0" w:space="0" w:color="auto"/>
          </w:divBdr>
        </w:div>
        <w:div w:id="1403992373">
          <w:marLeft w:val="480"/>
          <w:marRight w:val="0"/>
          <w:marTop w:val="0"/>
          <w:marBottom w:val="0"/>
          <w:divBdr>
            <w:top w:val="none" w:sz="0" w:space="0" w:color="auto"/>
            <w:left w:val="none" w:sz="0" w:space="0" w:color="auto"/>
            <w:bottom w:val="none" w:sz="0" w:space="0" w:color="auto"/>
            <w:right w:val="none" w:sz="0" w:space="0" w:color="auto"/>
          </w:divBdr>
        </w:div>
      </w:divsChild>
    </w:div>
    <w:div w:id="1272785321">
      <w:bodyDiv w:val="1"/>
      <w:marLeft w:val="0"/>
      <w:marRight w:val="0"/>
      <w:marTop w:val="0"/>
      <w:marBottom w:val="0"/>
      <w:divBdr>
        <w:top w:val="none" w:sz="0" w:space="0" w:color="auto"/>
        <w:left w:val="none" w:sz="0" w:space="0" w:color="auto"/>
        <w:bottom w:val="none" w:sz="0" w:space="0" w:color="auto"/>
        <w:right w:val="none" w:sz="0" w:space="0" w:color="auto"/>
      </w:divBdr>
    </w:div>
    <w:div w:id="1374689671">
      <w:bodyDiv w:val="1"/>
      <w:marLeft w:val="0"/>
      <w:marRight w:val="0"/>
      <w:marTop w:val="0"/>
      <w:marBottom w:val="0"/>
      <w:divBdr>
        <w:top w:val="none" w:sz="0" w:space="0" w:color="auto"/>
        <w:left w:val="none" w:sz="0" w:space="0" w:color="auto"/>
        <w:bottom w:val="none" w:sz="0" w:space="0" w:color="auto"/>
        <w:right w:val="none" w:sz="0" w:space="0" w:color="auto"/>
      </w:divBdr>
      <w:divsChild>
        <w:div w:id="432752794">
          <w:marLeft w:val="480"/>
          <w:marRight w:val="0"/>
          <w:marTop w:val="0"/>
          <w:marBottom w:val="0"/>
          <w:divBdr>
            <w:top w:val="none" w:sz="0" w:space="0" w:color="auto"/>
            <w:left w:val="none" w:sz="0" w:space="0" w:color="auto"/>
            <w:bottom w:val="none" w:sz="0" w:space="0" w:color="auto"/>
            <w:right w:val="none" w:sz="0" w:space="0" w:color="auto"/>
          </w:divBdr>
        </w:div>
        <w:div w:id="1593516011">
          <w:marLeft w:val="480"/>
          <w:marRight w:val="0"/>
          <w:marTop w:val="0"/>
          <w:marBottom w:val="0"/>
          <w:divBdr>
            <w:top w:val="none" w:sz="0" w:space="0" w:color="auto"/>
            <w:left w:val="none" w:sz="0" w:space="0" w:color="auto"/>
            <w:bottom w:val="none" w:sz="0" w:space="0" w:color="auto"/>
            <w:right w:val="none" w:sz="0" w:space="0" w:color="auto"/>
          </w:divBdr>
        </w:div>
        <w:div w:id="20473689">
          <w:marLeft w:val="480"/>
          <w:marRight w:val="0"/>
          <w:marTop w:val="0"/>
          <w:marBottom w:val="0"/>
          <w:divBdr>
            <w:top w:val="none" w:sz="0" w:space="0" w:color="auto"/>
            <w:left w:val="none" w:sz="0" w:space="0" w:color="auto"/>
            <w:bottom w:val="none" w:sz="0" w:space="0" w:color="auto"/>
            <w:right w:val="none" w:sz="0" w:space="0" w:color="auto"/>
          </w:divBdr>
        </w:div>
        <w:div w:id="1850945730">
          <w:marLeft w:val="480"/>
          <w:marRight w:val="0"/>
          <w:marTop w:val="0"/>
          <w:marBottom w:val="0"/>
          <w:divBdr>
            <w:top w:val="none" w:sz="0" w:space="0" w:color="auto"/>
            <w:left w:val="none" w:sz="0" w:space="0" w:color="auto"/>
            <w:bottom w:val="none" w:sz="0" w:space="0" w:color="auto"/>
            <w:right w:val="none" w:sz="0" w:space="0" w:color="auto"/>
          </w:divBdr>
        </w:div>
        <w:div w:id="670179849">
          <w:marLeft w:val="480"/>
          <w:marRight w:val="0"/>
          <w:marTop w:val="0"/>
          <w:marBottom w:val="0"/>
          <w:divBdr>
            <w:top w:val="none" w:sz="0" w:space="0" w:color="auto"/>
            <w:left w:val="none" w:sz="0" w:space="0" w:color="auto"/>
            <w:bottom w:val="none" w:sz="0" w:space="0" w:color="auto"/>
            <w:right w:val="none" w:sz="0" w:space="0" w:color="auto"/>
          </w:divBdr>
        </w:div>
        <w:div w:id="1024669456">
          <w:marLeft w:val="480"/>
          <w:marRight w:val="0"/>
          <w:marTop w:val="0"/>
          <w:marBottom w:val="0"/>
          <w:divBdr>
            <w:top w:val="none" w:sz="0" w:space="0" w:color="auto"/>
            <w:left w:val="none" w:sz="0" w:space="0" w:color="auto"/>
            <w:bottom w:val="none" w:sz="0" w:space="0" w:color="auto"/>
            <w:right w:val="none" w:sz="0" w:space="0" w:color="auto"/>
          </w:divBdr>
        </w:div>
        <w:div w:id="1889799239">
          <w:marLeft w:val="480"/>
          <w:marRight w:val="0"/>
          <w:marTop w:val="0"/>
          <w:marBottom w:val="0"/>
          <w:divBdr>
            <w:top w:val="none" w:sz="0" w:space="0" w:color="auto"/>
            <w:left w:val="none" w:sz="0" w:space="0" w:color="auto"/>
            <w:bottom w:val="none" w:sz="0" w:space="0" w:color="auto"/>
            <w:right w:val="none" w:sz="0" w:space="0" w:color="auto"/>
          </w:divBdr>
        </w:div>
        <w:div w:id="510608330">
          <w:marLeft w:val="480"/>
          <w:marRight w:val="0"/>
          <w:marTop w:val="0"/>
          <w:marBottom w:val="0"/>
          <w:divBdr>
            <w:top w:val="none" w:sz="0" w:space="0" w:color="auto"/>
            <w:left w:val="none" w:sz="0" w:space="0" w:color="auto"/>
            <w:bottom w:val="none" w:sz="0" w:space="0" w:color="auto"/>
            <w:right w:val="none" w:sz="0" w:space="0" w:color="auto"/>
          </w:divBdr>
        </w:div>
        <w:div w:id="1229144685">
          <w:marLeft w:val="480"/>
          <w:marRight w:val="0"/>
          <w:marTop w:val="0"/>
          <w:marBottom w:val="0"/>
          <w:divBdr>
            <w:top w:val="none" w:sz="0" w:space="0" w:color="auto"/>
            <w:left w:val="none" w:sz="0" w:space="0" w:color="auto"/>
            <w:bottom w:val="none" w:sz="0" w:space="0" w:color="auto"/>
            <w:right w:val="none" w:sz="0" w:space="0" w:color="auto"/>
          </w:divBdr>
        </w:div>
        <w:div w:id="2007249088">
          <w:marLeft w:val="480"/>
          <w:marRight w:val="0"/>
          <w:marTop w:val="0"/>
          <w:marBottom w:val="0"/>
          <w:divBdr>
            <w:top w:val="none" w:sz="0" w:space="0" w:color="auto"/>
            <w:left w:val="none" w:sz="0" w:space="0" w:color="auto"/>
            <w:bottom w:val="none" w:sz="0" w:space="0" w:color="auto"/>
            <w:right w:val="none" w:sz="0" w:space="0" w:color="auto"/>
          </w:divBdr>
        </w:div>
        <w:div w:id="1196389654">
          <w:marLeft w:val="480"/>
          <w:marRight w:val="0"/>
          <w:marTop w:val="0"/>
          <w:marBottom w:val="0"/>
          <w:divBdr>
            <w:top w:val="none" w:sz="0" w:space="0" w:color="auto"/>
            <w:left w:val="none" w:sz="0" w:space="0" w:color="auto"/>
            <w:bottom w:val="none" w:sz="0" w:space="0" w:color="auto"/>
            <w:right w:val="none" w:sz="0" w:space="0" w:color="auto"/>
          </w:divBdr>
        </w:div>
        <w:div w:id="78715621">
          <w:marLeft w:val="480"/>
          <w:marRight w:val="0"/>
          <w:marTop w:val="0"/>
          <w:marBottom w:val="0"/>
          <w:divBdr>
            <w:top w:val="none" w:sz="0" w:space="0" w:color="auto"/>
            <w:left w:val="none" w:sz="0" w:space="0" w:color="auto"/>
            <w:bottom w:val="none" w:sz="0" w:space="0" w:color="auto"/>
            <w:right w:val="none" w:sz="0" w:space="0" w:color="auto"/>
          </w:divBdr>
        </w:div>
        <w:div w:id="1686706445">
          <w:marLeft w:val="480"/>
          <w:marRight w:val="0"/>
          <w:marTop w:val="0"/>
          <w:marBottom w:val="0"/>
          <w:divBdr>
            <w:top w:val="none" w:sz="0" w:space="0" w:color="auto"/>
            <w:left w:val="none" w:sz="0" w:space="0" w:color="auto"/>
            <w:bottom w:val="none" w:sz="0" w:space="0" w:color="auto"/>
            <w:right w:val="none" w:sz="0" w:space="0" w:color="auto"/>
          </w:divBdr>
        </w:div>
        <w:div w:id="499346898">
          <w:marLeft w:val="480"/>
          <w:marRight w:val="0"/>
          <w:marTop w:val="0"/>
          <w:marBottom w:val="0"/>
          <w:divBdr>
            <w:top w:val="none" w:sz="0" w:space="0" w:color="auto"/>
            <w:left w:val="none" w:sz="0" w:space="0" w:color="auto"/>
            <w:bottom w:val="none" w:sz="0" w:space="0" w:color="auto"/>
            <w:right w:val="none" w:sz="0" w:space="0" w:color="auto"/>
          </w:divBdr>
        </w:div>
        <w:div w:id="1019427128">
          <w:marLeft w:val="480"/>
          <w:marRight w:val="0"/>
          <w:marTop w:val="0"/>
          <w:marBottom w:val="0"/>
          <w:divBdr>
            <w:top w:val="none" w:sz="0" w:space="0" w:color="auto"/>
            <w:left w:val="none" w:sz="0" w:space="0" w:color="auto"/>
            <w:bottom w:val="none" w:sz="0" w:space="0" w:color="auto"/>
            <w:right w:val="none" w:sz="0" w:space="0" w:color="auto"/>
          </w:divBdr>
        </w:div>
        <w:div w:id="1048915506">
          <w:marLeft w:val="480"/>
          <w:marRight w:val="0"/>
          <w:marTop w:val="0"/>
          <w:marBottom w:val="0"/>
          <w:divBdr>
            <w:top w:val="none" w:sz="0" w:space="0" w:color="auto"/>
            <w:left w:val="none" w:sz="0" w:space="0" w:color="auto"/>
            <w:bottom w:val="none" w:sz="0" w:space="0" w:color="auto"/>
            <w:right w:val="none" w:sz="0" w:space="0" w:color="auto"/>
          </w:divBdr>
        </w:div>
      </w:divsChild>
    </w:div>
    <w:div w:id="1392582057">
      <w:bodyDiv w:val="1"/>
      <w:marLeft w:val="0"/>
      <w:marRight w:val="0"/>
      <w:marTop w:val="0"/>
      <w:marBottom w:val="0"/>
      <w:divBdr>
        <w:top w:val="none" w:sz="0" w:space="0" w:color="auto"/>
        <w:left w:val="none" w:sz="0" w:space="0" w:color="auto"/>
        <w:bottom w:val="none" w:sz="0" w:space="0" w:color="auto"/>
        <w:right w:val="none" w:sz="0" w:space="0" w:color="auto"/>
      </w:divBdr>
    </w:div>
    <w:div w:id="1418289150">
      <w:bodyDiv w:val="1"/>
      <w:marLeft w:val="0"/>
      <w:marRight w:val="0"/>
      <w:marTop w:val="0"/>
      <w:marBottom w:val="0"/>
      <w:divBdr>
        <w:top w:val="none" w:sz="0" w:space="0" w:color="auto"/>
        <w:left w:val="none" w:sz="0" w:space="0" w:color="auto"/>
        <w:bottom w:val="none" w:sz="0" w:space="0" w:color="auto"/>
        <w:right w:val="none" w:sz="0" w:space="0" w:color="auto"/>
      </w:divBdr>
      <w:divsChild>
        <w:div w:id="1925145612">
          <w:marLeft w:val="480"/>
          <w:marRight w:val="0"/>
          <w:marTop w:val="0"/>
          <w:marBottom w:val="0"/>
          <w:divBdr>
            <w:top w:val="none" w:sz="0" w:space="0" w:color="auto"/>
            <w:left w:val="none" w:sz="0" w:space="0" w:color="auto"/>
            <w:bottom w:val="none" w:sz="0" w:space="0" w:color="auto"/>
            <w:right w:val="none" w:sz="0" w:space="0" w:color="auto"/>
          </w:divBdr>
        </w:div>
        <w:div w:id="1038817499">
          <w:marLeft w:val="480"/>
          <w:marRight w:val="0"/>
          <w:marTop w:val="0"/>
          <w:marBottom w:val="0"/>
          <w:divBdr>
            <w:top w:val="none" w:sz="0" w:space="0" w:color="auto"/>
            <w:left w:val="none" w:sz="0" w:space="0" w:color="auto"/>
            <w:bottom w:val="none" w:sz="0" w:space="0" w:color="auto"/>
            <w:right w:val="none" w:sz="0" w:space="0" w:color="auto"/>
          </w:divBdr>
        </w:div>
        <w:div w:id="420879836">
          <w:marLeft w:val="480"/>
          <w:marRight w:val="0"/>
          <w:marTop w:val="0"/>
          <w:marBottom w:val="0"/>
          <w:divBdr>
            <w:top w:val="none" w:sz="0" w:space="0" w:color="auto"/>
            <w:left w:val="none" w:sz="0" w:space="0" w:color="auto"/>
            <w:bottom w:val="none" w:sz="0" w:space="0" w:color="auto"/>
            <w:right w:val="none" w:sz="0" w:space="0" w:color="auto"/>
          </w:divBdr>
        </w:div>
        <w:div w:id="487090711">
          <w:marLeft w:val="480"/>
          <w:marRight w:val="0"/>
          <w:marTop w:val="0"/>
          <w:marBottom w:val="0"/>
          <w:divBdr>
            <w:top w:val="none" w:sz="0" w:space="0" w:color="auto"/>
            <w:left w:val="none" w:sz="0" w:space="0" w:color="auto"/>
            <w:bottom w:val="none" w:sz="0" w:space="0" w:color="auto"/>
            <w:right w:val="none" w:sz="0" w:space="0" w:color="auto"/>
          </w:divBdr>
        </w:div>
        <w:div w:id="263223680">
          <w:marLeft w:val="480"/>
          <w:marRight w:val="0"/>
          <w:marTop w:val="0"/>
          <w:marBottom w:val="0"/>
          <w:divBdr>
            <w:top w:val="none" w:sz="0" w:space="0" w:color="auto"/>
            <w:left w:val="none" w:sz="0" w:space="0" w:color="auto"/>
            <w:bottom w:val="none" w:sz="0" w:space="0" w:color="auto"/>
            <w:right w:val="none" w:sz="0" w:space="0" w:color="auto"/>
          </w:divBdr>
        </w:div>
      </w:divsChild>
    </w:div>
    <w:div w:id="1432818484">
      <w:bodyDiv w:val="1"/>
      <w:marLeft w:val="0"/>
      <w:marRight w:val="0"/>
      <w:marTop w:val="0"/>
      <w:marBottom w:val="0"/>
      <w:divBdr>
        <w:top w:val="none" w:sz="0" w:space="0" w:color="auto"/>
        <w:left w:val="none" w:sz="0" w:space="0" w:color="auto"/>
        <w:bottom w:val="none" w:sz="0" w:space="0" w:color="auto"/>
        <w:right w:val="none" w:sz="0" w:space="0" w:color="auto"/>
      </w:divBdr>
    </w:div>
    <w:div w:id="1436633272">
      <w:bodyDiv w:val="1"/>
      <w:marLeft w:val="0"/>
      <w:marRight w:val="0"/>
      <w:marTop w:val="0"/>
      <w:marBottom w:val="0"/>
      <w:divBdr>
        <w:top w:val="none" w:sz="0" w:space="0" w:color="auto"/>
        <w:left w:val="none" w:sz="0" w:space="0" w:color="auto"/>
        <w:bottom w:val="none" w:sz="0" w:space="0" w:color="auto"/>
        <w:right w:val="none" w:sz="0" w:space="0" w:color="auto"/>
      </w:divBdr>
    </w:div>
    <w:div w:id="1459757894">
      <w:bodyDiv w:val="1"/>
      <w:marLeft w:val="0"/>
      <w:marRight w:val="0"/>
      <w:marTop w:val="0"/>
      <w:marBottom w:val="0"/>
      <w:divBdr>
        <w:top w:val="none" w:sz="0" w:space="0" w:color="auto"/>
        <w:left w:val="none" w:sz="0" w:space="0" w:color="auto"/>
        <w:bottom w:val="none" w:sz="0" w:space="0" w:color="auto"/>
        <w:right w:val="none" w:sz="0" w:space="0" w:color="auto"/>
      </w:divBdr>
      <w:divsChild>
        <w:div w:id="1337075159">
          <w:marLeft w:val="480"/>
          <w:marRight w:val="0"/>
          <w:marTop w:val="0"/>
          <w:marBottom w:val="0"/>
          <w:divBdr>
            <w:top w:val="none" w:sz="0" w:space="0" w:color="auto"/>
            <w:left w:val="none" w:sz="0" w:space="0" w:color="auto"/>
            <w:bottom w:val="none" w:sz="0" w:space="0" w:color="auto"/>
            <w:right w:val="none" w:sz="0" w:space="0" w:color="auto"/>
          </w:divBdr>
        </w:div>
        <w:div w:id="1086881759">
          <w:marLeft w:val="480"/>
          <w:marRight w:val="0"/>
          <w:marTop w:val="0"/>
          <w:marBottom w:val="0"/>
          <w:divBdr>
            <w:top w:val="none" w:sz="0" w:space="0" w:color="auto"/>
            <w:left w:val="none" w:sz="0" w:space="0" w:color="auto"/>
            <w:bottom w:val="none" w:sz="0" w:space="0" w:color="auto"/>
            <w:right w:val="none" w:sz="0" w:space="0" w:color="auto"/>
          </w:divBdr>
        </w:div>
        <w:div w:id="937177893">
          <w:marLeft w:val="480"/>
          <w:marRight w:val="0"/>
          <w:marTop w:val="0"/>
          <w:marBottom w:val="0"/>
          <w:divBdr>
            <w:top w:val="none" w:sz="0" w:space="0" w:color="auto"/>
            <w:left w:val="none" w:sz="0" w:space="0" w:color="auto"/>
            <w:bottom w:val="none" w:sz="0" w:space="0" w:color="auto"/>
            <w:right w:val="none" w:sz="0" w:space="0" w:color="auto"/>
          </w:divBdr>
        </w:div>
        <w:div w:id="840774648">
          <w:marLeft w:val="480"/>
          <w:marRight w:val="0"/>
          <w:marTop w:val="0"/>
          <w:marBottom w:val="0"/>
          <w:divBdr>
            <w:top w:val="none" w:sz="0" w:space="0" w:color="auto"/>
            <w:left w:val="none" w:sz="0" w:space="0" w:color="auto"/>
            <w:bottom w:val="none" w:sz="0" w:space="0" w:color="auto"/>
            <w:right w:val="none" w:sz="0" w:space="0" w:color="auto"/>
          </w:divBdr>
        </w:div>
        <w:div w:id="1360082999">
          <w:marLeft w:val="480"/>
          <w:marRight w:val="0"/>
          <w:marTop w:val="0"/>
          <w:marBottom w:val="0"/>
          <w:divBdr>
            <w:top w:val="none" w:sz="0" w:space="0" w:color="auto"/>
            <w:left w:val="none" w:sz="0" w:space="0" w:color="auto"/>
            <w:bottom w:val="none" w:sz="0" w:space="0" w:color="auto"/>
            <w:right w:val="none" w:sz="0" w:space="0" w:color="auto"/>
          </w:divBdr>
        </w:div>
        <w:div w:id="1057239042">
          <w:marLeft w:val="480"/>
          <w:marRight w:val="0"/>
          <w:marTop w:val="0"/>
          <w:marBottom w:val="0"/>
          <w:divBdr>
            <w:top w:val="none" w:sz="0" w:space="0" w:color="auto"/>
            <w:left w:val="none" w:sz="0" w:space="0" w:color="auto"/>
            <w:bottom w:val="none" w:sz="0" w:space="0" w:color="auto"/>
            <w:right w:val="none" w:sz="0" w:space="0" w:color="auto"/>
          </w:divBdr>
        </w:div>
        <w:div w:id="1679960443">
          <w:marLeft w:val="480"/>
          <w:marRight w:val="0"/>
          <w:marTop w:val="0"/>
          <w:marBottom w:val="0"/>
          <w:divBdr>
            <w:top w:val="none" w:sz="0" w:space="0" w:color="auto"/>
            <w:left w:val="none" w:sz="0" w:space="0" w:color="auto"/>
            <w:bottom w:val="none" w:sz="0" w:space="0" w:color="auto"/>
            <w:right w:val="none" w:sz="0" w:space="0" w:color="auto"/>
          </w:divBdr>
        </w:div>
      </w:divsChild>
    </w:div>
    <w:div w:id="1510675643">
      <w:bodyDiv w:val="1"/>
      <w:marLeft w:val="0"/>
      <w:marRight w:val="0"/>
      <w:marTop w:val="0"/>
      <w:marBottom w:val="0"/>
      <w:divBdr>
        <w:top w:val="none" w:sz="0" w:space="0" w:color="auto"/>
        <w:left w:val="none" w:sz="0" w:space="0" w:color="auto"/>
        <w:bottom w:val="none" w:sz="0" w:space="0" w:color="auto"/>
        <w:right w:val="none" w:sz="0" w:space="0" w:color="auto"/>
      </w:divBdr>
      <w:divsChild>
        <w:div w:id="1889221262">
          <w:marLeft w:val="480"/>
          <w:marRight w:val="0"/>
          <w:marTop w:val="0"/>
          <w:marBottom w:val="0"/>
          <w:divBdr>
            <w:top w:val="none" w:sz="0" w:space="0" w:color="auto"/>
            <w:left w:val="none" w:sz="0" w:space="0" w:color="auto"/>
            <w:bottom w:val="none" w:sz="0" w:space="0" w:color="auto"/>
            <w:right w:val="none" w:sz="0" w:space="0" w:color="auto"/>
          </w:divBdr>
        </w:div>
        <w:div w:id="51270694">
          <w:marLeft w:val="480"/>
          <w:marRight w:val="0"/>
          <w:marTop w:val="0"/>
          <w:marBottom w:val="0"/>
          <w:divBdr>
            <w:top w:val="none" w:sz="0" w:space="0" w:color="auto"/>
            <w:left w:val="none" w:sz="0" w:space="0" w:color="auto"/>
            <w:bottom w:val="none" w:sz="0" w:space="0" w:color="auto"/>
            <w:right w:val="none" w:sz="0" w:space="0" w:color="auto"/>
          </w:divBdr>
        </w:div>
        <w:div w:id="1716005123">
          <w:marLeft w:val="480"/>
          <w:marRight w:val="0"/>
          <w:marTop w:val="0"/>
          <w:marBottom w:val="0"/>
          <w:divBdr>
            <w:top w:val="none" w:sz="0" w:space="0" w:color="auto"/>
            <w:left w:val="none" w:sz="0" w:space="0" w:color="auto"/>
            <w:bottom w:val="none" w:sz="0" w:space="0" w:color="auto"/>
            <w:right w:val="none" w:sz="0" w:space="0" w:color="auto"/>
          </w:divBdr>
        </w:div>
        <w:div w:id="1898012868">
          <w:marLeft w:val="480"/>
          <w:marRight w:val="0"/>
          <w:marTop w:val="0"/>
          <w:marBottom w:val="0"/>
          <w:divBdr>
            <w:top w:val="none" w:sz="0" w:space="0" w:color="auto"/>
            <w:left w:val="none" w:sz="0" w:space="0" w:color="auto"/>
            <w:bottom w:val="none" w:sz="0" w:space="0" w:color="auto"/>
            <w:right w:val="none" w:sz="0" w:space="0" w:color="auto"/>
          </w:divBdr>
        </w:div>
        <w:div w:id="1477726028">
          <w:marLeft w:val="480"/>
          <w:marRight w:val="0"/>
          <w:marTop w:val="0"/>
          <w:marBottom w:val="0"/>
          <w:divBdr>
            <w:top w:val="none" w:sz="0" w:space="0" w:color="auto"/>
            <w:left w:val="none" w:sz="0" w:space="0" w:color="auto"/>
            <w:bottom w:val="none" w:sz="0" w:space="0" w:color="auto"/>
            <w:right w:val="none" w:sz="0" w:space="0" w:color="auto"/>
          </w:divBdr>
        </w:div>
        <w:div w:id="1154029779">
          <w:marLeft w:val="480"/>
          <w:marRight w:val="0"/>
          <w:marTop w:val="0"/>
          <w:marBottom w:val="0"/>
          <w:divBdr>
            <w:top w:val="none" w:sz="0" w:space="0" w:color="auto"/>
            <w:left w:val="none" w:sz="0" w:space="0" w:color="auto"/>
            <w:bottom w:val="none" w:sz="0" w:space="0" w:color="auto"/>
            <w:right w:val="none" w:sz="0" w:space="0" w:color="auto"/>
          </w:divBdr>
        </w:div>
        <w:div w:id="1403218830">
          <w:marLeft w:val="480"/>
          <w:marRight w:val="0"/>
          <w:marTop w:val="0"/>
          <w:marBottom w:val="0"/>
          <w:divBdr>
            <w:top w:val="none" w:sz="0" w:space="0" w:color="auto"/>
            <w:left w:val="none" w:sz="0" w:space="0" w:color="auto"/>
            <w:bottom w:val="none" w:sz="0" w:space="0" w:color="auto"/>
            <w:right w:val="none" w:sz="0" w:space="0" w:color="auto"/>
          </w:divBdr>
        </w:div>
      </w:divsChild>
    </w:div>
    <w:div w:id="1520241424">
      <w:bodyDiv w:val="1"/>
      <w:marLeft w:val="0"/>
      <w:marRight w:val="0"/>
      <w:marTop w:val="0"/>
      <w:marBottom w:val="0"/>
      <w:divBdr>
        <w:top w:val="none" w:sz="0" w:space="0" w:color="auto"/>
        <w:left w:val="none" w:sz="0" w:space="0" w:color="auto"/>
        <w:bottom w:val="none" w:sz="0" w:space="0" w:color="auto"/>
        <w:right w:val="none" w:sz="0" w:space="0" w:color="auto"/>
      </w:divBdr>
    </w:div>
    <w:div w:id="1548445059">
      <w:bodyDiv w:val="1"/>
      <w:marLeft w:val="0"/>
      <w:marRight w:val="0"/>
      <w:marTop w:val="0"/>
      <w:marBottom w:val="0"/>
      <w:divBdr>
        <w:top w:val="none" w:sz="0" w:space="0" w:color="auto"/>
        <w:left w:val="none" w:sz="0" w:space="0" w:color="auto"/>
        <w:bottom w:val="none" w:sz="0" w:space="0" w:color="auto"/>
        <w:right w:val="none" w:sz="0" w:space="0" w:color="auto"/>
      </w:divBdr>
      <w:divsChild>
        <w:div w:id="2024085140">
          <w:marLeft w:val="480"/>
          <w:marRight w:val="0"/>
          <w:marTop w:val="0"/>
          <w:marBottom w:val="0"/>
          <w:divBdr>
            <w:top w:val="none" w:sz="0" w:space="0" w:color="auto"/>
            <w:left w:val="none" w:sz="0" w:space="0" w:color="auto"/>
            <w:bottom w:val="none" w:sz="0" w:space="0" w:color="auto"/>
            <w:right w:val="none" w:sz="0" w:space="0" w:color="auto"/>
          </w:divBdr>
        </w:div>
        <w:div w:id="743533007">
          <w:marLeft w:val="480"/>
          <w:marRight w:val="0"/>
          <w:marTop w:val="0"/>
          <w:marBottom w:val="0"/>
          <w:divBdr>
            <w:top w:val="none" w:sz="0" w:space="0" w:color="auto"/>
            <w:left w:val="none" w:sz="0" w:space="0" w:color="auto"/>
            <w:bottom w:val="none" w:sz="0" w:space="0" w:color="auto"/>
            <w:right w:val="none" w:sz="0" w:space="0" w:color="auto"/>
          </w:divBdr>
        </w:div>
        <w:div w:id="1249071247">
          <w:marLeft w:val="480"/>
          <w:marRight w:val="0"/>
          <w:marTop w:val="0"/>
          <w:marBottom w:val="0"/>
          <w:divBdr>
            <w:top w:val="none" w:sz="0" w:space="0" w:color="auto"/>
            <w:left w:val="none" w:sz="0" w:space="0" w:color="auto"/>
            <w:bottom w:val="none" w:sz="0" w:space="0" w:color="auto"/>
            <w:right w:val="none" w:sz="0" w:space="0" w:color="auto"/>
          </w:divBdr>
        </w:div>
        <w:div w:id="738215301">
          <w:marLeft w:val="480"/>
          <w:marRight w:val="0"/>
          <w:marTop w:val="0"/>
          <w:marBottom w:val="0"/>
          <w:divBdr>
            <w:top w:val="none" w:sz="0" w:space="0" w:color="auto"/>
            <w:left w:val="none" w:sz="0" w:space="0" w:color="auto"/>
            <w:bottom w:val="none" w:sz="0" w:space="0" w:color="auto"/>
            <w:right w:val="none" w:sz="0" w:space="0" w:color="auto"/>
          </w:divBdr>
        </w:div>
        <w:div w:id="623190909">
          <w:marLeft w:val="480"/>
          <w:marRight w:val="0"/>
          <w:marTop w:val="0"/>
          <w:marBottom w:val="0"/>
          <w:divBdr>
            <w:top w:val="none" w:sz="0" w:space="0" w:color="auto"/>
            <w:left w:val="none" w:sz="0" w:space="0" w:color="auto"/>
            <w:bottom w:val="none" w:sz="0" w:space="0" w:color="auto"/>
            <w:right w:val="none" w:sz="0" w:space="0" w:color="auto"/>
          </w:divBdr>
        </w:div>
        <w:div w:id="98455374">
          <w:marLeft w:val="480"/>
          <w:marRight w:val="0"/>
          <w:marTop w:val="0"/>
          <w:marBottom w:val="0"/>
          <w:divBdr>
            <w:top w:val="none" w:sz="0" w:space="0" w:color="auto"/>
            <w:left w:val="none" w:sz="0" w:space="0" w:color="auto"/>
            <w:bottom w:val="none" w:sz="0" w:space="0" w:color="auto"/>
            <w:right w:val="none" w:sz="0" w:space="0" w:color="auto"/>
          </w:divBdr>
        </w:div>
        <w:div w:id="18509431">
          <w:marLeft w:val="480"/>
          <w:marRight w:val="0"/>
          <w:marTop w:val="0"/>
          <w:marBottom w:val="0"/>
          <w:divBdr>
            <w:top w:val="none" w:sz="0" w:space="0" w:color="auto"/>
            <w:left w:val="none" w:sz="0" w:space="0" w:color="auto"/>
            <w:bottom w:val="none" w:sz="0" w:space="0" w:color="auto"/>
            <w:right w:val="none" w:sz="0" w:space="0" w:color="auto"/>
          </w:divBdr>
        </w:div>
        <w:div w:id="2058703765">
          <w:marLeft w:val="480"/>
          <w:marRight w:val="0"/>
          <w:marTop w:val="0"/>
          <w:marBottom w:val="0"/>
          <w:divBdr>
            <w:top w:val="none" w:sz="0" w:space="0" w:color="auto"/>
            <w:left w:val="none" w:sz="0" w:space="0" w:color="auto"/>
            <w:bottom w:val="none" w:sz="0" w:space="0" w:color="auto"/>
            <w:right w:val="none" w:sz="0" w:space="0" w:color="auto"/>
          </w:divBdr>
        </w:div>
        <w:div w:id="529345206">
          <w:marLeft w:val="480"/>
          <w:marRight w:val="0"/>
          <w:marTop w:val="0"/>
          <w:marBottom w:val="0"/>
          <w:divBdr>
            <w:top w:val="none" w:sz="0" w:space="0" w:color="auto"/>
            <w:left w:val="none" w:sz="0" w:space="0" w:color="auto"/>
            <w:bottom w:val="none" w:sz="0" w:space="0" w:color="auto"/>
            <w:right w:val="none" w:sz="0" w:space="0" w:color="auto"/>
          </w:divBdr>
        </w:div>
        <w:div w:id="426460846">
          <w:marLeft w:val="480"/>
          <w:marRight w:val="0"/>
          <w:marTop w:val="0"/>
          <w:marBottom w:val="0"/>
          <w:divBdr>
            <w:top w:val="none" w:sz="0" w:space="0" w:color="auto"/>
            <w:left w:val="none" w:sz="0" w:space="0" w:color="auto"/>
            <w:bottom w:val="none" w:sz="0" w:space="0" w:color="auto"/>
            <w:right w:val="none" w:sz="0" w:space="0" w:color="auto"/>
          </w:divBdr>
        </w:div>
        <w:div w:id="202715201">
          <w:marLeft w:val="480"/>
          <w:marRight w:val="0"/>
          <w:marTop w:val="0"/>
          <w:marBottom w:val="0"/>
          <w:divBdr>
            <w:top w:val="none" w:sz="0" w:space="0" w:color="auto"/>
            <w:left w:val="none" w:sz="0" w:space="0" w:color="auto"/>
            <w:bottom w:val="none" w:sz="0" w:space="0" w:color="auto"/>
            <w:right w:val="none" w:sz="0" w:space="0" w:color="auto"/>
          </w:divBdr>
        </w:div>
        <w:div w:id="1254321351">
          <w:marLeft w:val="480"/>
          <w:marRight w:val="0"/>
          <w:marTop w:val="0"/>
          <w:marBottom w:val="0"/>
          <w:divBdr>
            <w:top w:val="none" w:sz="0" w:space="0" w:color="auto"/>
            <w:left w:val="none" w:sz="0" w:space="0" w:color="auto"/>
            <w:bottom w:val="none" w:sz="0" w:space="0" w:color="auto"/>
            <w:right w:val="none" w:sz="0" w:space="0" w:color="auto"/>
          </w:divBdr>
        </w:div>
        <w:div w:id="876354320">
          <w:marLeft w:val="480"/>
          <w:marRight w:val="0"/>
          <w:marTop w:val="0"/>
          <w:marBottom w:val="0"/>
          <w:divBdr>
            <w:top w:val="none" w:sz="0" w:space="0" w:color="auto"/>
            <w:left w:val="none" w:sz="0" w:space="0" w:color="auto"/>
            <w:bottom w:val="none" w:sz="0" w:space="0" w:color="auto"/>
            <w:right w:val="none" w:sz="0" w:space="0" w:color="auto"/>
          </w:divBdr>
        </w:div>
        <w:div w:id="1294023732">
          <w:marLeft w:val="480"/>
          <w:marRight w:val="0"/>
          <w:marTop w:val="0"/>
          <w:marBottom w:val="0"/>
          <w:divBdr>
            <w:top w:val="none" w:sz="0" w:space="0" w:color="auto"/>
            <w:left w:val="none" w:sz="0" w:space="0" w:color="auto"/>
            <w:bottom w:val="none" w:sz="0" w:space="0" w:color="auto"/>
            <w:right w:val="none" w:sz="0" w:space="0" w:color="auto"/>
          </w:divBdr>
        </w:div>
        <w:div w:id="997264794">
          <w:marLeft w:val="480"/>
          <w:marRight w:val="0"/>
          <w:marTop w:val="0"/>
          <w:marBottom w:val="0"/>
          <w:divBdr>
            <w:top w:val="none" w:sz="0" w:space="0" w:color="auto"/>
            <w:left w:val="none" w:sz="0" w:space="0" w:color="auto"/>
            <w:bottom w:val="none" w:sz="0" w:space="0" w:color="auto"/>
            <w:right w:val="none" w:sz="0" w:space="0" w:color="auto"/>
          </w:divBdr>
        </w:div>
      </w:divsChild>
    </w:div>
    <w:div w:id="1556938783">
      <w:bodyDiv w:val="1"/>
      <w:marLeft w:val="0"/>
      <w:marRight w:val="0"/>
      <w:marTop w:val="0"/>
      <w:marBottom w:val="0"/>
      <w:divBdr>
        <w:top w:val="none" w:sz="0" w:space="0" w:color="auto"/>
        <w:left w:val="none" w:sz="0" w:space="0" w:color="auto"/>
        <w:bottom w:val="none" w:sz="0" w:space="0" w:color="auto"/>
        <w:right w:val="none" w:sz="0" w:space="0" w:color="auto"/>
      </w:divBdr>
    </w:div>
    <w:div w:id="1562059528">
      <w:bodyDiv w:val="1"/>
      <w:marLeft w:val="0"/>
      <w:marRight w:val="0"/>
      <w:marTop w:val="0"/>
      <w:marBottom w:val="0"/>
      <w:divBdr>
        <w:top w:val="none" w:sz="0" w:space="0" w:color="auto"/>
        <w:left w:val="none" w:sz="0" w:space="0" w:color="auto"/>
        <w:bottom w:val="none" w:sz="0" w:space="0" w:color="auto"/>
        <w:right w:val="none" w:sz="0" w:space="0" w:color="auto"/>
      </w:divBdr>
      <w:divsChild>
        <w:div w:id="1124544797">
          <w:marLeft w:val="480"/>
          <w:marRight w:val="0"/>
          <w:marTop w:val="0"/>
          <w:marBottom w:val="0"/>
          <w:divBdr>
            <w:top w:val="none" w:sz="0" w:space="0" w:color="auto"/>
            <w:left w:val="none" w:sz="0" w:space="0" w:color="auto"/>
            <w:bottom w:val="none" w:sz="0" w:space="0" w:color="auto"/>
            <w:right w:val="none" w:sz="0" w:space="0" w:color="auto"/>
          </w:divBdr>
        </w:div>
        <w:div w:id="1044791744">
          <w:marLeft w:val="480"/>
          <w:marRight w:val="0"/>
          <w:marTop w:val="0"/>
          <w:marBottom w:val="0"/>
          <w:divBdr>
            <w:top w:val="none" w:sz="0" w:space="0" w:color="auto"/>
            <w:left w:val="none" w:sz="0" w:space="0" w:color="auto"/>
            <w:bottom w:val="none" w:sz="0" w:space="0" w:color="auto"/>
            <w:right w:val="none" w:sz="0" w:space="0" w:color="auto"/>
          </w:divBdr>
        </w:div>
        <w:div w:id="2072078818">
          <w:marLeft w:val="480"/>
          <w:marRight w:val="0"/>
          <w:marTop w:val="0"/>
          <w:marBottom w:val="0"/>
          <w:divBdr>
            <w:top w:val="none" w:sz="0" w:space="0" w:color="auto"/>
            <w:left w:val="none" w:sz="0" w:space="0" w:color="auto"/>
            <w:bottom w:val="none" w:sz="0" w:space="0" w:color="auto"/>
            <w:right w:val="none" w:sz="0" w:space="0" w:color="auto"/>
          </w:divBdr>
        </w:div>
        <w:div w:id="506016221">
          <w:marLeft w:val="480"/>
          <w:marRight w:val="0"/>
          <w:marTop w:val="0"/>
          <w:marBottom w:val="0"/>
          <w:divBdr>
            <w:top w:val="none" w:sz="0" w:space="0" w:color="auto"/>
            <w:left w:val="none" w:sz="0" w:space="0" w:color="auto"/>
            <w:bottom w:val="none" w:sz="0" w:space="0" w:color="auto"/>
            <w:right w:val="none" w:sz="0" w:space="0" w:color="auto"/>
          </w:divBdr>
        </w:div>
        <w:div w:id="186526862">
          <w:marLeft w:val="480"/>
          <w:marRight w:val="0"/>
          <w:marTop w:val="0"/>
          <w:marBottom w:val="0"/>
          <w:divBdr>
            <w:top w:val="none" w:sz="0" w:space="0" w:color="auto"/>
            <w:left w:val="none" w:sz="0" w:space="0" w:color="auto"/>
            <w:bottom w:val="none" w:sz="0" w:space="0" w:color="auto"/>
            <w:right w:val="none" w:sz="0" w:space="0" w:color="auto"/>
          </w:divBdr>
        </w:div>
        <w:div w:id="1177498492">
          <w:marLeft w:val="480"/>
          <w:marRight w:val="0"/>
          <w:marTop w:val="0"/>
          <w:marBottom w:val="0"/>
          <w:divBdr>
            <w:top w:val="none" w:sz="0" w:space="0" w:color="auto"/>
            <w:left w:val="none" w:sz="0" w:space="0" w:color="auto"/>
            <w:bottom w:val="none" w:sz="0" w:space="0" w:color="auto"/>
            <w:right w:val="none" w:sz="0" w:space="0" w:color="auto"/>
          </w:divBdr>
        </w:div>
        <w:div w:id="881019250">
          <w:marLeft w:val="480"/>
          <w:marRight w:val="0"/>
          <w:marTop w:val="0"/>
          <w:marBottom w:val="0"/>
          <w:divBdr>
            <w:top w:val="none" w:sz="0" w:space="0" w:color="auto"/>
            <w:left w:val="none" w:sz="0" w:space="0" w:color="auto"/>
            <w:bottom w:val="none" w:sz="0" w:space="0" w:color="auto"/>
            <w:right w:val="none" w:sz="0" w:space="0" w:color="auto"/>
          </w:divBdr>
        </w:div>
        <w:div w:id="984432768">
          <w:marLeft w:val="480"/>
          <w:marRight w:val="0"/>
          <w:marTop w:val="0"/>
          <w:marBottom w:val="0"/>
          <w:divBdr>
            <w:top w:val="none" w:sz="0" w:space="0" w:color="auto"/>
            <w:left w:val="none" w:sz="0" w:space="0" w:color="auto"/>
            <w:bottom w:val="none" w:sz="0" w:space="0" w:color="auto"/>
            <w:right w:val="none" w:sz="0" w:space="0" w:color="auto"/>
          </w:divBdr>
        </w:div>
        <w:div w:id="94833355">
          <w:marLeft w:val="480"/>
          <w:marRight w:val="0"/>
          <w:marTop w:val="0"/>
          <w:marBottom w:val="0"/>
          <w:divBdr>
            <w:top w:val="none" w:sz="0" w:space="0" w:color="auto"/>
            <w:left w:val="none" w:sz="0" w:space="0" w:color="auto"/>
            <w:bottom w:val="none" w:sz="0" w:space="0" w:color="auto"/>
            <w:right w:val="none" w:sz="0" w:space="0" w:color="auto"/>
          </w:divBdr>
        </w:div>
        <w:div w:id="248850877">
          <w:marLeft w:val="480"/>
          <w:marRight w:val="0"/>
          <w:marTop w:val="0"/>
          <w:marBottom w:val="0"/>
          <w:divBdr>
            <w:top w:val="none" w:sz="0" w:space="0" w:color="auto"/>
            <w:left w:val="none" w:sz="0" w:space="0" w:color="auto"/>
            <w:bottom w:val="none" w:sz="0" w:space="0" w:color="auto"/>
            <w:right w:val="none" w:sz="0" w:space="0" w:color="auto"/>
          </w:divBdr>
        </w:div>
        <w:div w:id="1197740933">
          <w:marLeft w:val="480"/>
          <w:marRight w:val="0"/>
          <w:marTop w:val="0"/>
          <w:marBottom w:val="0"/>
          <w:divBdr>
            <w:top w:val="none" w:sz="0" w:space="0" w:color="auto"/>
            <w:left w:val="none" w:sz="0" w:space="0" w:color="auto"/>
            <w:bottom w:val="none" w:sz="0" w:space="0" w:color="auto"/>
            <w:right w:val="none" w:sz="0" w:space="0" w:color="auto"/>
          </w:divBdr>
        </w:div>
        <w:div w:id="1940722849">
          <w:marLeft w:val="480"/>
          <w:marRight w:val="0"/>
          <w:marTop w:val="0"/>
          <w:marBottom w:val="0"/>
          <w:divBdr>
            <w:top w:val="none" w:sz="0" w:space="0" w:color="auto"/>
            <w:left w:val="none" w:sz="0" w:space="0" w:color="auto"/>
            <w:bottom w:val="none" w:sz="0" w:space="0" w:color="auto"/>
            <w:right w:val="none" w:sz="0" w:space="0" w:color="auto"/>
          </w:divBdr>
        </w:div>
        <w:div w:id="29309398">
          <w:marLeft w:val="480"/>
          <w:marRight w:val="0"/>
          <w:marTop w:val="0"/>
          <w:marBottom w:val="0"/>
          <w:divBdr>
            <w:top w:val="none" w:sz="0" w:space="0" w:color="auto"/>
            <w:left w:val="none" w:sz="0" w:space="0" w:color="auto"/>
            <w:bottom w:val="none" w:sz="0" w:space="0" w:color="auto"/>
            <w:right w:val="none" w:sz="0" w:space="0" w:color="auto"/>
          </w:divBdr>
        </w:div>
      </w:divsChild>
    </w:div>
    <w:div w:id="1581402685">
      <w:bodyDiv w:val="1"/>
      <w:marLeft w:val="0"/>
      <w:marRight w:val="0"/>
      <w:marTop w:val="0"/>
      <w:marBottom w:val="0"/>
      <w:divBdr>
        <w:top w:val="none" w:sz="0" w:space="0" w:color="auto"/>
        <w:left w:val="none" w:sz="0" w:space="0" w:color="auto"/>
        <w:bottom w:val="none" w:sz="0" w:space="0" w:color="auto"/>
        <w:right w:val="none" w:sz="0" w:space="0" w:color="auto"/>
      </w:divBdr>
    </w:div>
    <w:div w:id="1585452818">
      <w:bodyDiv w:val="1"/>
      <w:marLeft w:val="0"/>
      <w:marRight w:val="0"/>
      <w:marTop w:val="0"/>
      <w:marBottom w:val="0"/>
      <w:divBdr>
        <w:top w:val="none" w:sz="0" w:space="0" w:color="auto"/>
        <w:left w:val="none" w:sz="0" w:space="0" w:color="auto"/>
        <w:bottom w:val="none" w:sz="0" w:space="0" w:color="auto"/>
        <w:right w:val="none" w:sz="0" w:space="0" w:color="auto"/>
      </w:divBdr>
    </w:div>
    <w:div w:id="1593392736">
      <w:bodyDiv w:val="1"/>
      <w:marLeft w:val="0"/>
      <w:marRight w:val="0"/>
      <w:marTop w:val="0"/>
      <w:marBottom w:val="0"/>
      <w:divBdr>
        <w:top w:val="none" w:sz="0" w:space="0" w:color="auto"/>
        <w:left w:val="none" w:sz="0" w:space="0" w:color="auto"/>
        <w:bottom w:val="none" w:sz="0" w:space="0" w:color="auto"/>
        <w:right w:val="none" w:sz="0" w:space="0" w:color="auto"/>
      </w:divBdr>
    </w:div>
    <w:div w:id="1593395376">
      <w:bodyDiv w:val="1"/>
      <w:marLeft w:val="0"/>
      <w:marRight w:val="0"/>
      <w:marTop w:val="0"/>
      <w:marBottom w:val="0"/>
      <w:divBdr>
        <w:top w:val="none" w:sz="0" w:space="0" w:color="auto"/>
        <w:left w:val="none" w:sz="0" w:space="0" w:color="auto"/>
        <w:bottom w:val="none" w:sz="0" w:space="0" w:color="auto"/>
        <w:right w:val="none" w:sz="0" w:space="0" w:color="auto"/>
      </w:divBdr>
      <w:divsChild>
        <w:div w:id="503086438">
          <w:marLeft w:val="480"/>
          <w:marRight w:val="0"/>
          <w:marTop w:val="0"/>
          <w:marBottom w:val="0"/>
          <w:divBdr>
            <w:top w:val="none" w:sz="0" w:space="0" w:color="auto"/>
            <w:left w:val="none" w:sz="0" w:space="0" w:color="auto"/>
            <w:bottom w:val="none" w:sz="0" w:space="0" w:color="auto"/>
            <w:right w:val="none" w:sz="0" w:space="0" w:color="auto"/>
          </w:divBdr>
        </w:div>
        <w:div w:id="1851336977">
          <w:marLeft w:val="480"/>
          <w:marRight w:val="0"/>
          <w:marTop w:val="0"/>
          <w:marBottom w:val="0"/>
          <w:divBdr>
            <w:top w:val="none" w:sz="0" w:space="0" w:color="auto"/>
            <w:left w:val="none" w:sz="0" w:space="0" w:color="auto"/>
            <w:bottom w:val="none" w:sz="0" w:space="0" w:color="auto"/>
            <w:right w:val="none" w:sz="0" w:space="0" w:color="auto"/>
          </w:divBdr>
        </w:div>
        <w:div w:id="165167797">
          <w:marLeft w:val="480"/>
          <w:marRight w:val="0"/>
          <w:marTop w:val="0"/>
          <w:marBottom w:val="0"/>
          <w:divBdr>
            <w:top w:val="none" w:sz="0" w:space="0" w:color="auto"/>
            <w:left w:val="none" w:sz="0" w:space="0" w:color="auto"/>
            <w:bottom w:val="none" w:sz="0" w:space="0" w:color="auto"/>
            <w:right w:val="none" w:sz="0" w:space="0" w:color="auto"/>
          </w:divBdr>
        </w:div>
        <w:div w:id="745344300">
          <w:marLeft w:val="480"/>
          <w:marRight w:val="0"/>
          <w:marTop w:val="0"/>
          <w:marBottom w:val="0"/>
          <w:divBdr>
            <w:top w:val="none" w:sz="0" w:space="0" w:color="auto"/>
            <w:left w:val="none" w:sz="0" w:space="0" w:color="auto"/>
            <w:bottom w:val="none" w:sz="0" w:space="0" w:color="auto"/>
            <w:right w:val="none" w:sz="0" w:space="0" w:color="auto"/>
          </w:divBdr>
        </w:div>
      </w:divsChild>
    </w:div>
    <w:div w:id="1675306891">
      <w:bodyDiv w:val="1"/>
      <w:marLeft w:val="0"/>
      <w:marRight w:val="0"/>
      <w:marTop w:val="0"/>
      <w:marBottom w:val="0"/>
      <w:divBdr>
        <w:top w:val="none" w:sz="0" w:space="0" w:color="auto"/>
        <w:left w:val="none" w:sz="0" w:space="0" w:color="auto"/>
        <w:bottom w:val="none" w:sz="0" w:space="0" w:color="auto"/>
        <w:right w:val="none" w:sz="0" w:space="0" w:color="auto"/>
      </w:divBdr>
    </w:div>
    <w:div w:id="1722094374">
      <w:bodyDiv w:val="1"/>
      <w:marLeft w:val="0"/>
      <w:marRight w:val="0"/>
      <w:marTop w:val="0"/>
      <w:marBottom w:val="0"/>
      <w:divBdr>
        <w:top w:val="none" w:sz="0" w:space="0" w:color="auto"/>
        <w:left w:val="none" w:sz="0" w:space="0" w:color="auto"/>
        <w:bottom w:val="none" w:sz="0" w:space="0" w:color="auto"/>
        <w:right w:val="none" w:sz="0" w:space="0" w:color="auto"/>
      </w:divBdr>
      <w:divsChild>
        <w:div w:id="953905885">
          <w:marLeft w:val="480"/>
          <w:marRight w:val="0"/>
          <w:marTop w:val="0"/>
          <w:marBottom w:val="0"/>
          <w:divBdr>
            <w:top w:val="none" w:sz="0" w:space="0" w:color="auto"/>
            <w:left w:val="none" w:sz="0" w:space="0" w:color="auto"/>
            <w:bottom w:val="none" w:sz="0" w:space="0" w:color="auto"/>
            <w:right w:val="none" w:sz="0" w:space="0" w:color="auto"/>
          </w:divBdr>
        </w:div>
        <w:div w:id="1048139375">
          <w:marLeft w:val="480"/>
          <w:marRight w:val="0"/>
          <w:marTop w:val="0"/>
          <w:marBottom w:val="0"/>
          <w:divBdr>
            <w:top w:val="none" w:sz="0" w:space="0" w:color="auto"/>
            <w:left w:val="none" w:sz="0" w:space="0" w:color="auto"/>
            <w:bottom w:val="none" w:sz="0" w:space="0" w:color="auto"/>
            <w:right w:val="none" w:sz="0" w:space="0" w:color="auto"/>
          </w:divBdr>
        </w:div>
        <w:div w:id="2069646485">
          <w:marLeft w:val="480"/>
          <w:marRight w:val="0"/>
          <w:marTop w:val="0"/>
          <w:marBottom w:val="0"/>
          <w:divBdr>
            <w:top w:val="none" w:sz="0" w:space="0" w:color="auto"/>
            <w:left w:val="none" w:sz="0" w:space="0" w:color="auto"/>
            <w:bottom w:val="none" w:sz="0" w:space="0" w:color="auto"/>
            <w:right w:val="none" w:sz="0" w:space="0" w:color="auto"/>
          </w:divBdr>
        </w:div>
        <w:div w:id="73287296">
          <w:marLeft w:val="480"/>
          <w:marRight w:val="0"/>
          <w:marTop w:val="0"/>
          <w:marBottom w:val="0"/>
          <w:divBdr>
            <w:top w:val="none" w:sz="0" w:space="0" w:color="auto"/>
            <w:left w:val="none" w:sz="0" w:space="0" w:color="auto"/>
            <w:bottom w:val="none" w:sz="0" w:space="0" w:color="auto"/>
            <w:right w:val="none" w:sz="0" w:space="0" w:color="auto"/>
          </w:divBdr>
        </w:div>
        <w:div w:id="771363706">
          <w:marLeft w:val="480"/>
          <w:marRight w:val="0"/>
          <w:marTop w:val="0"/>
          <w:marBottom w:val="0"/>
          <w:divBdr>
            <w:top w:val="none" w:sz="0" w:space="0" w:color="auto"/>
            <w:left w:val="none" w:sz="0" w:space="0" w:color="auto"/>
            <w:bottom w:val="none" w:sz="0" w:space="0" w:color="auto"/>
            <w:right w:val="none" w:sz="0" w:space="0" w:color="auto"/>
          </w:divBdr>
        </w:div>
        <w:div w:id="894121144">
          <w:marLeft w:val="480"/>
          <w:marRight w:val="0"/>
          <w:marTop w:val="0"/>
          <w:marBottom w:val="0"/>
          <w:divBdr>
            <w:top w:val="none" w:sz="0" w:space="0" w:color="auto"/>
            <w:left w:val="none" w:sz="0" w:space="0" w:color="auto"/>
            <w:bottom w:val="none" w:sz="0" w:space="0" w:color="auto"/>
            <w:right w:val="none" w:sz="0" w:space="0" w:color="auto"/>
          </w:divBdr>
        </w:div>
        <w:div w:id="203568677">
          <w:marLeft w:val="480"/>
          <w:marRight w:val="0"/>
          <w:marTop w:val="0"/>
          <w:marBottom w:val="0"/>
          <w:divBdr>
            <w:top w:val="none" w:sz="0" w:space="0" w:color="auto"/>
            <w:left w:val="none" w:sz="0" w:space="0" w:color="auto"/>
            <w:bottom w:val="none" w:sz="0" w:space="0" w:color="auto"/>
            <w:right w:val="none" w:sz="0" w:space="0" w:color="auto"/>
          </w:divBdr>
        </w:div>
        <w:div w:id="803498956">
          <w:marLeft w:val="480"/>
          <w:marRight w:val="0"/>
          <w:marTop w:val="0"/>
          <w:marBottom w:val="0"/>
          <w:divBdr>
            <w:top w:val="none" w:sz="0" w:space="0" w:color="auto"/>
            <w:left w:val="none" w:sz="0" w:space="0" w:color="auto"/>
            <w:bottom w:val="none" w:sz="0" w:space="0" w:color="auto"/>
            <w:right w:val="none" w:sz="0" w:space="0" w:color="auto"/>
          </w:divBdr>
        </w:div>
        <w:div w:id="307632671">
          <w:marLeft w:val="480"/>
          <w:marRight w:val="0"/>
          <w:marTop w:val="0"/>
          <w:marBottom w:val="0"/>
          <w:divBdr>
            <w:top w:val="none" w:sz="0" w:space="0" w:color="auto"/>
            <w:left w:val="none" w:sz="0" w:space="0" w:color="auto"/>
            <w:bottom w:val="none" w:sz="0" w:space="0" w:color="auto"/>
            <w:right w:val="none" w:sz="0" w:space="0" w:color="auto"/>
          </w:divBdr>
        </w:div>
        <w:div w:id="369493667">
          <w:marLeft w:val="480"/>
          <w:marRight w:val="0"/>
          <w:marTop w:val="0"/>
          <w:marBottom w:val="0"/>
          <w:divBdr>
            <w:top w:val="none" w:sz="0" w:space="0" w:color="auto"/>
            <w:left w:val="none" w:sz="0" w:space="0" w:color="auto"/>
            <w:bottom w:val="none" w:sz="0" w:space="0" w:color="auto"/>
            <w:right w:val="none" w:sz="0" w:space="0" w:color="auto"/>
          </w:divBdr>
        </w:div>
        <w:div w:id="468133660">
          <w:marLeft w:val="480"/>
          <w:marRight w:val="0"/>
          <w:marTop w:val="0"/>
          <w:marBottom w:val="0"/>
          <w:divBdr>
            <w:top w:val="none" w:sz="0" w:space="0" w:color="auto"/>
            <w:left w:val="none" w:sz="0" w:space="0" w:color="auto"/>
            <w:bottom w:val="none" w:sz="0" w:space="0" w:color="auto"/>
            <w:right w:val="none" w:sz="0" w:space="0" w:color="auto"/>
          </w:divBdr>
        </w:div>
        <w:div w:id="2067945446">
          <w:marLeft w:val="480"/>
          <w:marRight w:val="0"/>
          <w:marTop w:val="0"/>
          <w:marBottom w:val="0"/>
          <w:divBdr>
            <w:top w:val="none" w:sz="0" w:space="0" w:color="auto"/>
            <w:left w:val="none" w:sz="0" w:space="0" w:color="auto"/>
            <w:bottom w:val="none" w:sz="0" w:space="0" w:color="auto"/>
            <w:right w:val="none" w:sz="0" w:space="0" w:color="auto"/>
          </w:divBdr>
        </w:div>
        <w:div w:id="1090541213">
          <w:marLeft w:val="480"/>
          <w:marRight w:val="0"/>
          <w:marTop w:val="0"/>
          <w:marBottom w:val="0"/>
          <w:divBdr>
            <w:top w:val="none" w:sz="0" w:space="0" w:color="auto"/>
            <w:left w:val="none" w:sz="0" w:space="0" w:color="auto"/>
            <w:bottom w:val="none" w:sz="0" w:space="0" w:color="auto"/>
            <w:right w:val="none" w:sz="0" w:space="0" w:color="auto"/>
          </w:divBdr>
        </w:div>
      </w:divsChild>
    </w:div>
    <w:div w:id="1741905199">
      <w:bodyDiv w:val="1"/>
      <w:marLeft w:val="0"/>
      <w:marRight w:val="0"/>
      <w:marTop w:val="0"/>
      <w:marBottom w:val="0"/>
      <w:divBdr>
        <w:top w:val="none" w:sz="0" w:space="0" w:color="auto"/>
        <w:left w:val="none" w:sz="0" w:space="0" w:color="auto"/>
        <w:bottom w:val="none" w:sz="0" w:space="0" w:color="auto"/>
        <w:right w:val="none" w:sz="0" w:space="0" w:color="auto"/>
      </w:divBdr>
    </w:div>
    <w:div w:id="1764641152">
      <w:bodyDiv w:val="1"/>
      <w:marLeft w:val="0"/>
      <w:marRight w:val="0"/>
      <w:marTop w:val="0"/>
      <w:marBottom w:val="0"/>
      <w:divBdr>
        <w:top w:val="none" w:sz="0" w:space="0" w:color="auto"/>
        <w:left w:val="none" w:sz="0" w:space="0" w:color="auto"/>
        <w:bottom w:val="none" w:sz="0" w:space="0" w:color="auto"/>
        <w:right w:val="none" w:sz="0" w:space="0" w:color="auto"/>
      </w:divBdr>
    </w:div>
    <w:div w:id="1765803645">
      <w:bodyDiv w:val="1"/>
      <w:marLeft w:val="0"/>
      <w:marRight w:val="0"/>
      <w:marTop w:val="0"/>
      <w:marBottom w:val="0"/>
      <w:divBdr>
        <w:top w:val="none" w:sz="0" w:space="0" w:color="auto"/>
        <w:left w:val="none" w:sz="0" w:space="0" w:color="auto"/>
        <w:bottom w:val="none" w:sz="0" w:space="0" w:color="auto"/>
        <w:right w:val="none" w:sz="0" w:space="0" w:color="auto"/>
      </w:divBdr>
      <w:divsChild>
        <w:div w:id="225772839">
          <w:marLeft w:val="480"/>
          <w:marRight w:val="0"/>
          <w:marTop w:val="0"/>
          <w:marBottom w:val="0"/>
          <w:divBdr>
            <w:top w:val="none" w:sz="0" w:space="0" w:color="auto"/>
            <w:left w:val="none" w:sz="0" w:space="0" w:color="auto"/>
            <w:bottom w:val="none" w:sz="0" w:space="0" w:color="auto"/>
            <w:right w:val="none" w:sz="0" w:space="0" w:color="auto"/>
          </w:divBdr>
        </w:div>
        <w:div w:id="767580819">
          <w:marLeft w:val="480"/>
          <w:marRight w:val="0"/>
          <w:marTop w:val="0"/>
          <w:marBottom w:val="0"/>
          <w:divBdr>
            <w:top w:val="none" w:sz="0" w:space="0" w:color="auto"/>
            <w:left w:val="none" w:sz="0" w:space="0" w:color="auto"/>
            <w:bottom w:val="none" w:sz="0" w:space="0" w:color="auto"/>
            <w:right w:val="none" w:sz="0" w:space="0" w:color="auto"/>
          </w:divBdr>
        </w:div>
        <w:div w:id="1538084359">
          <w:marLeft w:val="480"/>
          <w:marRight w:val="0"/>
          <w:marTop w:val="0"/>
          <w:marBottom w:val="0"/>
          <w:divBdr>
            <w:top w:val="none" w:sz="0" w:space="0" w:color="auto"/>
            <w:left w:val="none" w:sz="0" w:space="0" w:color="auto"/>
            <w:bottom w:val="none" w:sz="0" w:space="0" w:color="auto"/>
            <w:right w:val="none" w:sz="0" w:space="0" w:color="auto"/>
          </w:divBdr>
        </w:div>
        <w:div w:id="1876845305">
          <w:marLeft w:val="480"/>
          <w:marRight w:val="0"/>
          <w:marTop w:val="0"/>
          <w:marBottom w:val="0"/>
          <w:divBdr>
            <w:top w:val="none" w:sz="0" w:space="0" w:color="auto"/>
            <w:left w:val="none" w:sz="0" w:space="0" w:color="auto"/>
            <w:bottom w:val="none" w:sz="0" w:space="0" w:color="auto"/>
            <w:right w:val="none" w:sz="0" w:space="0" w:color="auto"/>
          </w:divBdr>
        </w:div>
        <w:div w:id="229846175">
          <w:marLeft w:val="480"/>
          <w:marRight w:val="0"/>
          <w:marTop w:val="0"/>
          <w:marBottom w:val="0"/>
          <w:divBdr>
            <w:top w:val="none" w:sz="0" w:space="0" w:color="auto"/>
            <w:left w:val="none" w:sz="0" w:space="0" w:color="auto"/>
            <w:bottom w:val="none" w:sz="0" w:space="0" w:color="auto"/>
            <w:right w:val="none" w:sz="0" w:space="0" w:color="auto"/>
          </w:divBdr>
        </w:div>
        <w:div w:id="1921518342">
          <w:marLeft w:val="480"/>
          <w:marRight w:val="0"/>
          <w:marTop w:val="0"/>
          <w:marBottom w:val="0"/>
          <w:divBdr>
            <w:top w:val="none" w:sz="0" w:space="0" w:color="auto"/>
            <w:left w:val="none" w:sz="0" w:space="0" w:color="auto"/>
            <w:bottom w:val="none" w:sz="0" w:space="0" w:color="auto"/>
            <w:right w:val="none" w:sz="0" w:space="0" w:color="auto"/>
          </w:divBdr>
        </w:div>
      </w:divsChild>
    </w:div>
    <w:div w:id="1804350113">
      <w:bodyDiv w:val="1"/>
      <w:marLeft w:val="0"/>
      <w:marRight w:val="0"/>
      <w:marTop w:val="0"/>
      <w:marBottom w:val="0"/>
      <w:divBdr>
        <w:top w:val="none" w:sz="0" w:space="0" w:color="auto"/>
        <w:left w:val="none" w:sz="0" w:space="0" w:color="auto"/>
        <w:bottom w:val="none" w:sz="0" w:space="0" w:color="auto"/>
        <w:right w:val="none" w:sz="0" w:space="0" w:color="auto"/>
      </w:divBdr>
    </w:div>
    <w:div w:id="1821069708">
      <w:bodyDiv w:val="1"/>
      <w:marLeft w:val="0"/>
      <w:marRight w:val="0"/>
      <w:marTop w:val="0"/>
      <w:marBottom w:val="0"/>
      <w:divBdr>
        <w:top w:val="none" w:sz="0" w:space="0" w:color="auto"/>
        <w:left w:val="none" w:sz="0" w:space="0" w:color="auto"/>
        <w:bottom w:val="none" w:sz="0" w:space="0" w:color="auto"/>
        <w:right w:val="none" w:sz="0" w:space="0" w:color="auto"/>
      </w:divBdr>
    </w:div>
    <w:div w:id="1841315974">
      <w:bodyDiv w:val="1"/>
      <w:marLeft w:val="0"/>
      <w:marRight w:val="0"/>
      <w:marTop w:val="0"/>
      <w:marBottom w:val="0"/>
      <w:divBdr>
        <w:top w:val="none" w:sz="0" w:space="0" w:color="auto"/>
        <w:left w:val="none" w:sz="0" w:space="0" w:color="auto"/>
        <w:bottom w:val="none" w:sz="0" w:space="0" w:color="auto"/>
        <w:right w:val="none" w:sz="0" w:space="0" w:color="auto"/>
      </w:divBdr>
    </w:div>
    <w:div w:id="1873230345">
      <w:bodyDiv w:val="1"/>
      <w:marLeft w:val="0"/>
      <w:marRight w:val="0"/>
      <w:marTop w:val="0"/>
      <w:marBottom w:val="0"/>
      <w:divBdr>
        <w:top w:val="none" w:sz="0" w:space="0" w:color="auto"/>
        <w:left w:val="none" w:sz="0" w:space="0" w:color="auto"/>
        <w:bottom w:val="none" w:sz="0" w:space="0" w:color="auto"/>
        <w:right w:val="none" w:sz="0" w:space="0" w:color="auto"/>
      </w:divBdr>
    </w:div>
    <w:div w:id="1879777845">
      <w:bodyDiv w:val="1"/>
      <w:marLeft w:val="0"/>
      <w:marRight w:val="0"/>
      <w:marTop w:val="0"/>
      <w:marBottom w:val="0"/>
      <w:divBdr>
        <w:top w:val="none" w:sz="0" w:space="0" w:color="auto"/>
        <w:left w:val="none" w:sz="0" w:space="0" w:color="auto"/>
        <w:bottom w:val="none" w:sz="0" w:space="0" w:color="auto"/>
        <w:right w:val="none" w:sz="0" w:space="0" w:color="auto"/>
      </w:divBdr>
    </w:div>
    <w:div w:id="1906911213">
      <w:bodyDiv w:val="1"/>
      <w:marLeft w:val="0"/>
      <w:marRight w:val="0"/>
      <w:marTop w:val="0"/>
      <w:marBottom w:val="0"/>
      <w:divBdr>
        <w:top w:val="none" w:sz="0" w:space="0" w:color="auto"/>
        <w:left w:val="none" w:sz="0" w:space="0" w:color="auto"/>
        <w:bottom w:val="none" w:sz="0" w:space="0" w:color="auto"/>
        <w:right w:val="none" w:sz="0" w:space="0" w:color="auto"/>
      </w:divBdr>
    </w:div>
    <w:div w:id="2005401727">
      <w:bodyDiv w:val="1"/>
      <w:marLeft w:val="0"/>
      <w:marRight w:val="0"/>
      <w:marTop w:val="0"/>
      <w:marBottom w:val="0"/>
      <w:divBdr>
        <w:top w:val="none" w:sz="0" w:space="0" w:color="auto"/>
        <w:left w:val="none" w:sz="0" w:space="0" w:color="auto"/>
        <w:bottom w:val="none" w:sz="0" w:space="0" w:color="auto"/>
        <w:right w:val="none" w:sz="0" w:space="0" w:color="auto"/>
      </w:divBdr>
    </w:div>
    <w:div w:id="2041127953">
      <w:bodyDiv w:val="1"/>
      <w:marLeft w:val="0"/>
      <w:marRight w:val="0"/>
      <w:marTop w:val="0"/>
      <w:marBottom w:val="0"/>
      <w:divBdr>
        <w:top w:val="none" w:sz="0" w:space="0" w:color="auto"/>
        <w:left w:val="none" w:sz="0" w:space="0" w:color="auto"/>
        <w:bottom w:val="none" w:sz="0" w:space="0" w:color="auto"/>
        <w:right w:val="none" w:sz="0" w:space="0" w:color="auto"/>
      </w:divBdr>
    </w:div>
    <w:div w:id="2041320677">
      <w:bodyDiv w:val="1"/>
      <w:marLeft w:val="0"/>
      <w:marRight w:val="0"/>
      <w:marTop w:val="0"/>
      <w:marBottom w:val="0"/>
      <w:divBdr>
        <w:top w:val="none" w:sz="0" w:space="0" w:color="auto"/>
        <w:left w:val="none" w:sz="0" w:space="0" w:color="auto"/>
        <w:bottom w:val="none" w:sz="0" w:space="0" w:color="auto"/>
        <w:right w:val="none" w:sz="0" w:space="0" w:color="auto"/>
      </w:divBdr>
      <w:divsChild>
        <w:div w:id="449518195">
          <w:marLeft w:val="480"/>
          <w:marRight w:val="0"/>
          <w:marTop w:val="0"/>
          <w:marBottom w:val="0"/>
          <w:divBdr>
            <w:top w:val="none" w:sz="0" w:space="0" w:color="auto"/>
            <w:left w:val="none" w:sz="0" w:space="0" w:color="auto"/>
            <w:bottom w:val="none" w:sz="0" w:space="0" w:color="auto"/>
            <w:right w:val="none" w:sz="0" w:space="0" w:color="auto"/>
          </w:divBdr>
        </w:div>
        <w:div w:id="1098717585">
          <w:marLeft w:val="480"/>
          <w:marRight w:val="0"/>
          <w:marTop w:val="0"/>
          <w:marBottom w:val="0"/>
          <w:divBdr>
            <w:top w:val="none" w:sz="0" w:space="0" w:color="auto"/>
            <w:left w:val="none" w:sz="0" w:space="0" w:color="auto"/>
            <w:bottom w:val="none" w:sz="0" w:space="0" w:color="auto"/>
            <w:right w:val="none" w:sz="0" w:space="0" w:color="auto"/>
          </w:divBdr>
        </w:div>
        <w:div w:id="1899051242">
          <w:marLeft w:val="480"/>
          <w:marRight w:val="0"/>
          <w:marTop w:val="0"/>
          <w:marBottom w:val="0"/>
          <w:divBdr>
            <w:top w:val="none" w:sz="0" w:space="0" w:color="auto"/>
            <w:left w:val="none" w:sz="0" w:space="0" w:color="auto"/>
            <w:bottom w:val="none" w:sz="0" w:space="0" w:color="auto"/>
            <w:right w:val="none" w:sz="0" w:space="0" w:color="auto"/>
          </w:divBdr>
        </w:div>
        <w:div w:id="324434887">
          <w:marLeft w:val="480"/>
          <w:marRight w:val="0"/>
          <w:marTop w:val="0"/>
          <w:marBottom w:val="0"/>
          <w:divBdr>
            <w:top w:val="none" w:sz="0" w:space="0" w:color="auto"/>
            <w:left w:val="none" w:sz="0" w:space="0" w:color="auto"/>
            <w:bottom w:val="none" w:sz="0" w:space="0" w:color="auto"/>
            <w:right w:val="none" w:sz="0" w:space="0" w:color="auto"/>
          </w:divBdr>
        </w:div>
        <w:div w:id="947616357">
          <w:marLeft w:val="480"/>
          <w:marRight w:val="0"/>
          <w:marTop w:val="0"/>
          <w:marBottom w:val="0"/>
          <w:divBdr>
            <w:top w:val="none" w:sz="0" w:space="0" w:color="auto"/>
            <w:left w:val="none" w:sz="0" w:space="0" w:color="auto"/>
            <w:bottom w:val="none" w:sz="0" w:space="0" w:color="auto"/>
            <w:right w:val="none" w:sz="0" w:space="0" w:color="auto"/>
          </w:divBdr>
        </w:div>
        <w:div w:id="527565990">
          <w:marLeft w:val="480"/>
          <w:marRight w:val="0"/>
          <w:marTop w:val="0"/>
          <w:marBottom w:val="0"/>
          <w:divBdr>
            <w:top w:val="none" w:sz="0" w:space="0" w:color="auto"/>
            <w:left w:val="none" w:sz="0" w:space="0" w:color="auto"/>
            <w:bottom w:val="none" w:sz="0" w:space="0" w:color="auto"/>
            <w:right w:val="none" w:sz="0" w:space="0" w:color="auto"/>
          </w:divBdr>
        </w:div>
        <w:div w:id="1683892681">
          <w:marLeft w:val="480"/>
          <w:marRight w:val="0"/>
          <w:marTop w:val="0"/>
          <w:marBottom w:val="0"/>
          <w:divBdr>
            <w:top w:val="none" w:sz="0" w:space="0" w:color="auto"/>
            <w:left w:val="none" w:sz="0" w:space="0" w:color="auto"/>
            <w:bottom w:val="none" w:sz="0" w:space="0" w:color="auto"/>
            <w:right w:val="none" w:sz="0" w:space="0" w:color="auto"/>
          </w:divBdr>
        </w:div>
        <w:div w:id="725029056">
          <w:marLeft w:val="480"/>
          <w:marRight w:val="0"/>
          <w:marTop w:val="0"/>
          <w:marBottom w:val="0"/>
          <w:divBdr>
            <w:top w:val="none" w:sz="0" w:space="0" w:color="auto"/>
            <w:left w:val="none" w:sz="0" w:space="0" w:color="auto"/>
            <w:bottom w:val="none" w:sz="0" w:space="0" w:color="auto"/>
            <w:right w:val="none" w:sz="0" w:space="0" w:color="auto"/>
          </w:divBdr>
        </w:div>
        <w:div w:id="340163350">
          <w:marLeft w:val="480"/>
          <w:marRight w:val="0"/>
          <w:marTop w:val="0"/>
          <w:marBottom w:val="0"/>
          <w:divBdr>
            <w:top w:val="none" w:sz="0" w:space="0" w:color="auto"/>
            <w:left w:val="none" w:sz="0" w:space="0" w:color="auto"/>
            <w:bottom w:val="none" w:sz="0" w:space="0" w:color="auto"/>
            <w:right w:val="none" w:sz="0" w:space="0" w:color="auto"/>
          </w:divBdr>
        </w:div>
        <w:div w:id="887644686">
          <w:marLeft w:val="480"/>
          <w:marRight w:val="0"/>
          <w:marTop w:val="0"/>
          <w:marBottom w:val="0"/>
          <w:divBdr>
            <w:top w:val="none" w:sz="0" w:space="0" w:color="auto"/>
            <w:left w:val="none" w:sz="0" w:space="0" w:color="auto"/>
            <w:bottom w:val="none" w:sz="0" w:space="0" w:color="auto"/>
            <w:right w:val="none" w:sz="0" w:space="0" w:color="auto"/>
          </w:divBdr>
        </w:div>
        <w:div w:id="1643344634">
          <w:marLeft w:val="480"/>
          <w:marRight w:val="0"/>
          <w:marTop w:val="0"/>
          <w:marBottom w:val="0"/>
          <w:divBdr>
            <w:top w:val="none" w:sz="0" w:space="0" w:color="auto"/>
            <w:left w:val="none" w:sz="0" w:space="0" w:color="auto"/>
            <w:bottom w:val="none" w:sz="0" w:space="0" w:color="auto"/>
            <w:right w:val="none" w:sz="0" w:space="0" w:color="auto"/>
          </w:divBdr>
        </w:div>
        <w:div w:id="124321999">
          <w:marLeft w:val="480"/>
          <w:marRight w:val="0"/>
          <w:marTop w:val="0"/>
          <w:marBottom w:val="0"/>
          <w:divBdr>
            <w:top w:val="none" w:sz="0" w:space="0" w:color="auto"/>
            <w:left w:val="none" w:sz="0" w:space="0" w:color="auto"/>
            <w:bottom w:val="none" w:sz="0" w:space="0" w:color="auto"/>
            <w:right w:val="none" w:sz="0" w:space="0" w:color="auto"/>
          </w:divBdr>
        </w:div>
        <w:div w:id="232398470">
          <w:marLeft w:val="480"/>
          <w:marRight w:val="0"/>
          <w:marTop w:val="0"/>
          <w:marBottom w:val="0"/>
          <w:divBdr>
            <w:top w:val="none" w:sz="0" w:space="0" w:color="auto"/>
            <w:left w:val="none" w:sz="0" w:space="0" w:color="auto"/>
            <w:bottom w:val="none" w:sz="0" w:space="0" w:color="auto"/>
            <w:right w:val="none" w:sz="0" w:space="0" w:color="auto"/>
          </w:divBdr>
        </w:div>
      </w:divsChild>
    </w:div>
    <w:div w:id="2064789861">
      <w:bodyDiv w:val="1"/>
      <w:marLeft w:val="0"/>
      <w:marRight w:val="0"/>
      <w:marTop w:val="0"/>
      <w:marBottom w:val="0"/>
      <w:divBdr>
        <w:top w:val="none" w:sz="0" w:space="0" w:color="auto"/>
        <w:left w:val="none" w:sz="0" w:space="0" w:color="auto"/>
        <w:bottom w:val="none" w:sz="0" w:space="0" w:color="auto"/>
        <w:right w:val="none" w:sz="0" w:space="0" w:color="auto"/>
      </w:divBdr>
      <w:divsChild>
        <w:div w:id="56052800">
          <w:marLeft w:val="480"/>
          <w:marRight w:val="0"/>
          <w:marTop w:val="0"/>
          <w:marBottom w:val="0"/>
          <w:divBdr>
            <w:top w:val="none" w:sz="0" w:space="0" w:color="auto"/>
            <w:left w:val="none" w:sz="0" w:space="0" w:color="auto"/>
            <w:bottom w:val="none" w:sz="0" w:space="0" w:color="auto"/>
            <w:right w:val="none" w:sz="0" w:space="0" w:color="auto"/>
          </w:divBdr>
        </w:div>
        <w:div w:id="1430084253">
          <w:marLeft w:val="480"/>
          <w:marRight w:val="0"/>
          <w:marTop w:val="0"/>
          <w:marBottom w:val="0"/>
          <w:divBdr>
            <w:top w:val="none" w:sz="0" w:space="0" w:color="auto"/>
            <w:left w:val="none" w:sz="0" w:space="0" w:color="auto"/>
            <w:bottom w:val="none" w:sz="0" w:space="0" w:color="auto"/>
            <w:right w:val="none" w:sz="0" w:space="0" w:color="auto"/>
          </w:divBdr>
        </w:div>
        <w:div w:id="1727682007">
          <w:marLeft w:val="480"/>
          <w:marRight w:val="0"/>
          <w:marTop w:val="0"/>
          <w:marBottom w:val="0"/>
          <w:divBdr>
            <w:top w:val="none" w:sz="0" w:space="0" w:color="auto"/>
            <w:left w:val="none" w:sz="0" w:space="0" w:color="auto"/>
            <w:bottom w:val="none" w:sz="0" w:space="0" w:color="auto"/>
            <w:right w:val="none" w:sz="0" w:space="0" w:color="auto"/>
          </w:divBdr>
        </w:div>
        <w:div w:id="808328557">
          <w:marLeft w:val="480"/>
          <w:marRight w:val="0"/>
          <w:marTop w:val="0"/>
          <w:marBottom w:val="0"/>
          <w:divBdr>
            <w:top w:val="none" w:sz="0" w:space="0" w:color="auto"/>
            <w:left w:val="none" w:sz="0" w:space="0" w:color="auto"/>
            <w:bottom w:val="none" w:sz="0" w:space="0" w:color="auto"/>
            <w:right w:val="none" w:sz="0" w:space="0" w:color="auto"/>
          </w:divBdr>
        </w:div>
        <w:div w:id="2038695763">
          <w:marLeft w:val="480"/>
          <w:marRight w:val="0"/>
          <w:marTop w:val="0"/>
          <w:marBottom w:val="0"/>
          <w:divBdr>
            <w:top w:val="none" w:sz="0" w:space="0" w:color="auto"/>
            <w:left w:val="none" w:sz="0" w:space="0" w:color="auto"/>
            <w:bottom w:val="none" w:sz="0" w:space="0" w:color="auto"/>
            <w:right w:val="none" w:sz="0" w:space="0" w:color="auto"/>
          </w:divBdr>
        </w:div>
      </w:divsChild>
    </w:div>
    <w:div w:id="2085881134">
      <w:bodyDiv w:val="1"/>
      <w:marLeft w:val="0"/>
      <w:marRight w:val="0"/>
      <w:marTop w:val="0"/>
      <w:marBottom w:val="0"/>
      <w:divBdr>
        <w:top w:val="none" w:sz="0" w:space="0" w:color="auto"/>
        <w:left w:val="none" w:sz="0" w:space="0" w:color="auto"/>
        <w:bottom w:val="none" w:sz="0" w:space="0" w:color="auto"/>
        <w:right w:val="none" w:sz="0" w:space="0" w:color="auto"/>
      </w:divBdr>
      <w:divsChild>
        <w:div w:id="836461319">
          <w:marLeft w:val="480"/>
          <w:marRight w:val="0"/>
          <w:marTop w:val="0"/>
          <w:marBottom w:val="0"/>
          <w:divBdr>
            <w:top w:val="none" w:sz="0" w:space="0" w:color="auto"/>
            <w:left w:val="none" w:sz="0" w:space="0" w:color="auto"/>
            <w:bottom w:val="none" w:sz="0" w:space="0" w:color="auto"/>
            <w:right w:val="none" w:sz="0" w:space="0" w:color="auto"/>
          </w:divBdr>
        </w:div>
        <w:div w:id="707492196">
          <w:marLeft w:val="480"/>
          <w:marRight w:val="0"/>
          <w:marTop w:val="0"/>
          <w:marBottom w:val="0"/>
          <w:divBdr>
            <w:top w:val="none" w:sz="0" w:space="0" w:color="auto"/>
            <w:left w:val="none" w:sz="0" w:space="0" w:color="auto"/>
            <w:bottom w:val="none" w:sz="0" w:space="0" w:color="auto"/>
            <w:right w:val="none" w:sz="0" w:space="0" w:color="auto"/>
          </w:divBdr>
        </w:div>
        <w:div w:id="813719557">
          <w:marLeft w:val="480"/>
          <w:marRight w:val="0"/>
          <w:marTop w:val="0"/>
          <w:marBottom w:val="0"/>
          <w:divBdr>
            <w:top w:val="none" w:sz="0" w:space="0" w:color="auto"/>
            <w:left w:val="none" w:sz="0" w:space="0" w:color="auto"/>
            <w:bottom w:val="none" w:sz="0" w:space="0" w:color="auto"/>
            <w:right w:val="none" w:sz="0" w:space="0" w:color="auto"/>
          </w:divBdr>
        </w:div>
        <w:div w:id="1456749299">
          <w:marLeft w:val="480"/>
          <w:marRight w:val="0"/>
          <w:marTop w:val="0"/>
          <w:marBottom w:val="0"/>
          <w:divBdr>
            <w:top w:val="none" w:sz="0" w:space="0" w:color="auto"/>
            <w:left w:val="none" w:sz="0" w:space="0" w:color="auto"/>
            <w:bottom w:val="none" w:sz="0" w:space="0" w:color="auto"/>
            <w:right w:val="none" w:sz="0" w:space="0" w:color="auto"/>
          </w:divBdr>
        </w:div>
        <w:div w:id="561215047">
          <w:marLeft w:val="480"/>
          <w:marRight w:val="0"/>
          <w:marTop w:val="0"/>
          <w:marBottom w:val="0"/>
          <w:divBdr>
            <w:top w:val="none" w:sz="0" w:space="0" w:color="auto"/>
            <w:left w:val="none" w:sz="0" w:space="0" w:color="auto"/>
            <w:bottom w:val="none" w:sz="0" w:space="0" w:color="auto"/>
            <w:right w:val="none" w:sz="0" w:space="0" w:color="auto"/>
          </w:divBdr>
        </w:div>
        <w:div w:id="731079648">
          <w:marLeft w:val="480"/>
          <w:marRight w:val="0"/>
          <w:marTop w:val="0"/>
          <w:marBottom w:val="0"/>
          <w:divBdr>
            <w:top w:val="none" w:sz="0" w:space="0" w:color="auto"/>
            <w:left w:val="none" w:sz="0" w:space="0" w:color="auto"/>
            <w:bottom w:val="none" w:sz="0" w:space="0" w:color="auto"/>
            <w:right w:val="none" w:sz="0" w:space="0" w:color="auto"/>
          </w:divBdr>
        </w:div>
        <w:div w:id="891237617">
          <w:marLeft w:val="480"/>
          <w:marRight w:val="0"/>
          <w:marTop w:val="0"/>
          <w:marBottom w:val="0"/>
          <w:divBdr>
            <w:top w:val="none" w:sz="0" w:space="0" w:color="auto"/>
            <w:left w:val="none" w:sz="0" w:space="0" w:color="auto"/>
            <w:bottom w:val="none" w:sz="0" w:space="0" w:color="auto"/>
            <w:right w:val="none" w:sz="0" w:space="0" w:color="auto"/>
          </w:divBdr>
        </w:div>
        <w:div w:id="580408266">
          <w:marLeft w:val="480"/>
          <w:marRight w:val="0"/>
          <w:marTop w:val="0"/>
          <w:marBottom w:val="0"/>
          <w:divBdr>
            <w:top w:val="none" w:sz="0" w:space="0" w:color="auto"/>
            <w:left w:val="none" w:sz="0" w:space="0" w:color="auto"/>
            <w:bottom w:val="none" w:sz="0" w:space="0" w:color="auto"/>
            <w:right w:val="none" w:sz="0" w:space="0" w:color="auto"/>
          </w:divBdr>
        </w:div>
        <w:div w:id="287470079">
          <w:marLeft w:val="480"/>
          <w:marRight w:val="0"/>
          <w:marTop w:val="0"/>
          <w:marBottom w:val="0"/>
          <w:divBdr>
            <w:top w:val="none" w:sz="0" w:space="0" w:color="auto"/>
            <w:left w:val="none" w:sz="0" w:space="0" w:color="auto"/>
            <w:bottom w:val="none" w:sz="0" w:space="0" w:color="auto"/>
            <w:right w:val="none" w:sz="0" w:space="0" w:color="auto"/>
          </w:divBdr>
        </w:div>
        <w:div w:id="1781532311">
          <w:marLeft w:val="480"/>
          <w:marRight w:val="0"/>
          <w:marTop w:val="0"/>
          <w:marBottom w:val="0"/>
          <w:divBdr>
            <w:top w:val="none" w:sz="0" w:space="0" w:color="auto"/>
            <w:left w:val="none" w:sz="0" w:space="0" w:color="auto"/>
            <w:bottom w:val="none" w:sz="0" w:space="0" w:color="auto"/>
            <w:right w:val="none" w:sz="0" w:space="0" w:color="auto"/>
          </w:divBdr>
        </w:div>
        <w:div w:id="1540974705">
          <w:marLeft w:val="480"/>
          <w:marRight w:val="0"/>
          <w:marTop w:val="0"/>
          <w:marBottom w:val="0"/>
          <w:divBdr>
            <w:top w:val="none" w:sz="0" w:space="0" w:color="auto"/>
            <w:left w:val="none" w:sz="0" w:space="0" w:color="auto"/>
            <w:bottom w:val="none" w:sz="0" w:space="0" w:color="auto"/>
            <w:right w:val="none" w:sz="0" w:space="0" w:color="auto"/>
          </w:divBdr>
        </w:div>
        <w:div w:id="1702626696">
          <w:marLeft w:val="480"/>
          <w:marRight w:val="0"/>
          <w:marTop w:val="0"/>
          <w:marBottom w:val="0"/>
          <w:divBdr>
            <w:top w:val="none" w:sz="0" w:space="0" w:color="auto"/>
            <w:left w:val="none" w:sz="0" w:space="0" w:color="auto"/>
            <w:bottom w:val="none" w:sz="0" w:space="0" w:color="auto"/>
            <w:right w:val="none" w:sz="0" w:space="0" w:color="auto"/>
          </w:divBdr>
        </w:div>
        <w:div w:id="1273704709">
          <w:marLeft w:val="480"/>
          <w:marRight w:val="0"/>
          <w:marTop w:val="0"/>
          <w:marBottom w:val="0"/>
          <w:divBdr>
            <w:top w:val="none" w:sz="0" w:space="0" w:color="auto"/>
            <w:left w:val="none" w:sz="0" w:space="0" w:color="auto"/>
            <w:bottom w:val="none" w:sz="0" w:space="0" w:color="auto"/>
            <w:right w:val="none" w:sz="0" w:space="0" w:color="auto"/>
          </w:divBdr>
        </w:div>
        <w:div w:id="899513528">
          <w:marLeft w:val="480"/>
          <w:marRight w:val="0"/>
          <w:marTop w:val="0"/>
          <w:marBottom w:val="0"/>
          <w:divBdr>
            <w:top w:val="none" w:sz="0" w:space="0" w:color="auto"/>
            <w:left w:val="none" w:sz="0" w:space="0" w:color="auto"/>
            <w:bottom w:val="none" w:sz="0" w:space="0" w:color="auto"/>
            <w:right w:val="none" w:sz="0" w:space="0" w:color="auto"/>
          </w:divBdr>
        </w:div>
        <w:div w:id="1329820185">
          <w:marLeft w:val="480"/>
          <w:marRight w:val="0"/>
          <w:marTop w:val="0"/>
          <w:marBottom w:val="0"/>
          <w:divBdr>
            <w:top w:val="none" w:sz="0" w:space="0" w:color="auto"/>
            <w:left w:val="none" w:sz="0" w:space="0" w:color="auto"/>
            <w:bottom w:val="none" w:sz="0" w:space="0" w:color="auto"/>
            <w:right w:val="none" w:sz="0" w:space="0" w:color="auto"/>
          </w:divBdr>
        </w:div>
        <w:div w:id="1714184182">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wi@uptm.edu.my" TargetMode="External"/><Relationship Id="rId13" Type="http://schemas.openxmlformats.org/officeDocument/2006/relationships/chart" Target="charts/chart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ibi@uptm.edu.my" TargetMode="External"/><Relationship Id="rId12" Type="http://schemas.openxmlformats.org/officeDocument/2006/relationships/hyperlink" Target="mailto:ezzan@uptm.edu.m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arizah@uptm.edu.my" TargetMode="Externa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hyperlink" Target="mailto:aznizai@uptm.edu.m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israhim@uitm.edu.my"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User\Documents\BBH%20-%20UPTM\BBH%20-%20DD\BURNOUT\Analisis%20Data%20-%20english.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ocuments\BBH%20-%20UPTM\BBH%20-%20DD\BURNOUT\Analisis%20Data%20-%20englis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Book Antiqua" panose="02040602050305030304" pitchFamily="18" charset="0"/>
                <a:ea typeface="+mn-ea"/>
                <a:cs typeface="+mn-cs"/>
              </a:defRPr>
            </a:pPr>
            <a:r>
              <a:rPr lang="en-MY" sz="1000">
                <a:latin typeface="Book Antiqua" panose="02040602050305030304" pitchFamily="18" charset="0"/>
              </a:rPr>
              <a:t>Burnout Levels by Campus</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barChart>
        <c:barDir val="col"/>
        <c:grouping val="clustered"/>
        <c:varyColors val="0"/>
        <c:ser>
          <c:idx val="0"/>
          <c:order val="0"/>
          <c:tx>
            <c:strRef>
              <c:f>Analysis!$C$59</c:f>
              <c:strCache>
                <c:ptCount val="1"/>
                <c:pt idx="0">
                  <c:v>Mean Fatigue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Book Antiqua" panose="020406020503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Analysis!$B$60:$B$66</c:f>
              <c:strCache>
                <c:ptCount val="7"/>
                <c:pt idx="0">
                  <c:v>KPTM Alor Setar</c:v>
                </c:pt>
                <c:pt idx="1">
                  <c:v>KPTM Bangi</c:v>
                </c:pt>
                <c:pt idx="2">
                  <c:v>KPTM Batu Pahat</c:v>
                </c:pt>
                <c:pt idx="3">
                  <c:v>KPTM Ipoh</c:v>
                </c:pt>
                <c:pt idx="4">
                  <c:v>KPTM Kota Bharu</c:v>
                </c:pt>
                <c:pt idx="5">
                  <c:v>KPTM Kuantan</c:v>
                </c:pt>
                <c:pt idx="6">
                  <c:v>UPTM</c:v>
                </c:pt>
              </c:strCache>
            </c:strRef>
          </c:cat>
          <c:val>
            <c:numRef>
              <c:f>Analysis!$C$60:$C$66</c:f>
              <c:numCache>
                <c:formatCode>General</c:formatCode>
                <c:ptCount val="7"/>
                <c:pt idx="0">
                  <c:v>3.19</c:v>
                </c:pt>
                <c:pt idx="1">
                  <c:v>3.06</c:v>
                </c:pt>
                <c:pt idx="2">
                  <c:v>2.98</c:v>
                </c:pt>
                <c:pt idx="3">
                  <c:v>3.1</c:v>
                </c:pt>
                <c:pt idx="4">
                  <c:v>2.75</c:v>
                </c:pt>
                <c:pt idx="5">
                  <c:v>2.89</c:v>
                </c:pt>
                <c:pt idx="6">
                  <c:v>3.63</c:v>
                </c:pt>
              </c:numCache>
            </c:numRef>
          </c:val>
          <c:extLst>
            <c:ext xmlns:c16="http://schemas.microsoft.com/office/drawing/2014/chart" uri="{C3380CC4-5D6E-409C-BE32-E72D297353CC}">
              <c16:uniqueId val="{00000000-DF06-4A74-B0D7-4A9A4F3841CC}"/>
            </c:ext>
          </c:extLst>
        </c:ser>
        <c:ser>
          <c:idx val="1"/>
          <c:order val="1"/>
          <c:tx>
            <c:strRef>
              <c:f>Analysis!$D$59</c:f>
              <c:strCache>
                <c:ptCount val="1"/>
                <c:pt idx="0">
                  <c:v>Mean Apathy</c:v>
                </c:pt>
              </c:strCache>
            </c:strRef>
          </c:tx>
          <c:spPr>
            <a:solidFill>
              <a:srgbClr val="C0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Book Antiqua" panose="020406020503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Analysis!$B$60:$B$66</c:f>
              <c:strCache>
                <c:ptCount val="7"/>
                <c:pt idx="0">
                  <c:v>KPTM Alor Setar</c:v>
                </c:pt>
                <c:pt idx="1">
                  <c:v>KPTM Bangi</c:v>
                </c:pt>
                <c:pt idx="2">
                  <c:v>KPTM Batu Pahat</c:v>
                </c:pt>
                <c:pt idx="3">
                  <c:v>KPTM Ipoh</c:v>
                </c:pt>
                <c:pt idx="4">
                  <c:v>KPTM Kota Bharu</c:v>
                </c:pt>
                <c:pt idx="5">
                  <c:v>KPTM Kuantan</c:v>
                </c:pt>
                <c:pt idx="6">
                  <c:v>UPTM</c:v>
                </c:pt>
              </c:strCache>
            </c:strRef>
          </c:cat>
          <c:val>
            <c:numRef>
              <c:f>Analysis!$D$60:$D$66</c:f>
              <c:numCache>
                <c:formatCode>General</c:formatCode>
                <c:ptCount val="7"/>
                <c:pt idx="0">
                  <c:v>1.68</c:v>
                </c:pt>
                <c:pt idx="1">
                  <c:v>1.85</c:v>
                </c:pt>
                <c:pt idx="2">
                  <c:v>1.85</c:v>
                </c:pt>
                <c:pt idx="3">
                  <c:v>1.68</c:v>
                </c:pt>
                <c:pt idx="4">
                  <c:v>1.53</c:v>
                </c:pt>
                <c:pt idx="5">
                  <c:v>1.7</c:v>
                </c:pt>
                <c:pt idx="6">
                  <c:v>1.92</c:v>
                </c:pt>
              </c:numCache>
            </c:numRef>
          </c:val>
          <c:extLst>
            <c:ext xmlns:c16="http://schemas.microsoft.com/office/drawing/2014/chart" uri="{C3380CC4-5D6E-409C-BE32-E72D297353CC}">
              <c16:uniqueId val="{00000001-DF06-4A74-B0D7-4A9A4F3841CC}"/>
            </c:ext>
          </c:extLst>
        </c:ser>
        <c:dLbls>
          <c:dLblPos val="outEnd"/>
          <c:showLegendKey val="0"/>
          <c:showVal val="1"/>
          <c:showCatName val="0"/>
          <c:showSerName val="0"/>
          <c:showPercent val="0"/>
          <c:showBubbleSize val="0"/>
        </c:dLbls>
        <c:gapWidth val="444"/>
        <c:overlap val="-90"/>
        <c:axId val="1547429392"/>
        <c:axId val="1547428560"/>
      </c:barChart>
      <c:catAx>
        <c:axId val="154742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Book Antiqua" panose="02040602050305030304" pitchFamily="18" charset="0"/>
                <a:ea typeface="+mn-ea"/>
                <a:cs typeface="+mn-cs"/>
              </a:defRPr>
            </a:pPr>
            <a:endParaRPr lang="en-US"/>
          </a:p>
        </c:txPr>
        <c:crossAx val="1547428560"/>
        <c:crosses val="autoZero"/>
        <c:auto val="1"/>
        <c:lblAlgn val="ctr"/>
        <c:lblOffset val="100"/>
        <c:noMultiLvlLbl val="0"/>
      </c:catAx>
      <c:valAx>
        <c:axId val="1547428560"/>
        <c:scaling>
          <c:orientation val="minMax"/>
        </c:scaling>
        <c:delete val="1"/>
        <c:axPos val="l"/>
        <c:numFmt formatCode="General" sourceLinked="1"/>
        <c:majorTickMark val="none"/>
        <c:minorTickMark val="none"/>
        <c:tickLblPos val="nextTo"/>
        <c:crossAx val="1547429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'ALL ANALYSIS BY ITEM'!$L$76</c:f>
              <c:strCache>
                <c:ptCount val="1"/>
                <c:pt idx="0">
                  <c:v>NEUTRAL</c:v>
                </c:pt>
              </c:strCache>
            </c:strRef>
          </c:tx>
          <c:spPr>
            <a:solidFill>
              <a:schemeClr val="bg1">
                <a:lumMod val="75000"/>
              </a:schemeClr>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ITEM'!$L$77:$L$92</c:f>
              <c:numCache>
                <c:formatCode>General</c:formatCode>
                <c:ptCount val="16"/>
                <c:pt idx="0">
                  <c:v>-40.5</c:v>
                </c:pt>
                <c:pt idx="1">
                  <c:v>-90.5</c:v>
                </c:pt>
                <c:pt idx="2">
                  <c:v>-69</c:v>
                </c:pt>
                <c:pt idx="3">
                  <c:v>-97.5</c:v>
                </c:pt>
                <c:pt idx="4">
                  <c:v>-93.5</c:v>
                </c:pt>
                <c:pt idx="5">
                  <c:v>-93</c:v>
                </c:pt>
                <c:pt idx="6">
                  <c:v>-94</c:v>
                </c:pt>
                <c:pt idx="7">
                  <c:v>-123.5</c:v>
                </c:pt>
                <c:pt idx="8">
                  <c:v>-119</c:v>
                </c:pt>
                <c:pt idx="9">
                  <c:v>-88.5</c:v>
                </c:pt>
                <c:pt idx="10">
                  <c:v>-74</c:v>
                </c:pt>
                <c:pt idx="11">
                  <c:v>-131.5</c:v>
                </c:pt>
                <c:pt idx="12">
                  <c:v>-64.5</c:v>
                </c:pt>
                <c:pt idx="13">
                  <c:v>-100</c:v>
                </c:pt>
                <c:pt idx="14">
                  <c:v>-104.5</c:v>
                </c:pt>
                <c:pt idx="15">
                  <c:v>-118.5</c:v>
                </c:pt>
              </c:numCache>
            </c:numRef>
          </c:val>
          <c:extLst>
            <c:ext xmlns:c16="http://schemas.microsoft.com/office/drawing/2014/chart" uri="{C3380CC4-5D6E-409C-BE32-E72D297353CC}">
              <c16:uniqueId val="{00000000-3437-4F58-B589-55A5144D689A}"/>
            </c:ext>
          </c:extLst>
        </c:ser>
        <c:ser>
          <c:idx val="1"/>
          <c:order val="1"/>
          <c:tx>
            <c:strRef>
              <c:f>'ALL ANALYSIS BY ITEM'!$M$76</c:f>
              <c:strCache>
                <c:ptCount val="1"/>
                <c:pt idx="0">
                  <c:v>DISAGREE</c:v>
                </c:pt>
              </c:strCache>
            </c:strRef>
          </c:tx>
          <c:spPr>
            <a:solidFill>
              <a:srgbClr val="FF0066"/>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ITEM'!$M$77:$M$92</c:f>
              <c:numCache>
                <c:formatCode>General</c:formatCode>
                <c:ptCount val="16"/>
                <c:pt idx="0">
                  <c:v>-64</c:v>
                </c:pt>
                <c:pt idx="1">
                  <c:v>-76</c:v>
                </c:pt>
                <c:pt idx="2">
                  <c:v>-89</c:v>
                </c:pt>
                <c:pt idx="3">
                  <c:v>-139</c:v>
                </c:pt>
                <c:pt idx="4">
                  <c:v>-125</c:v>
                </c:pt>
                <c:pt idx="5">
                  <c:v>-134</c:v>
                </c:pt>
                <c:pt idx="6">
                  <c:v>-97</c:v>
                </c:pt>
                <c:pt idx="7">
                  <c:v>-108</c:v>
                </c:pt>
                <c:pt idx="8">
                  <c:v>-95</c:v>
                </c:pt>
                <c:pt idx="9">
                  <c:v>-96</c:v>
                </c:pt>
                <c:pt idx="10">
                  <c:v>-83</c:v>
                </c:pt>
                <c:pt idx="11">
                  <c:v>-113</c:v>
                </c:pt>
                <c:pt idx="12">
                  <c:v>-60</c:v>
                </c:pt>
                <c:pt idx="13">
                  <c:v>-109</c:v>
                </c:pt>
                <c:pt idx="14">
                  <c:v>-146</c:v>
                </c:pt>
                <c:pt idx="15">
                  <c:v>-159</c:v>
                </c:pt>
              </c:numCache>
            </c:numRef>
          </c:val>
          <c:extLst>
            <c:ext xmlns:c16="http://schemas.microsoft.com/office/drawing/2014/chart" uri="{C3380CC4-5D6E-409C-BE32-E72D297353CC}">
              <c16:uniqueId val="{00000001-3437-4F58-B589-55A5144D689A}"/>
            </c:ext>
          </c:extLst>
        </c:ser>
        <c:ser>
          <c:idx val="2"/>
          <c:order val="2"/>
          <c:tx>
            <c:strRef>
              <c:f>'ALL ANALYSIS BY ITEM'!$N$76</c:f>
              <c:strCache>
                <c:ptCount val="1"/>
                <c:pt idx="0">
                  <c:v>STRONGLY DISAGREE</c:v>
                </c:pt>
              </c:strCache>
            </c:strRef>
          </c:tx>
          <c:spPr>
            <a:solidFill>
              <a:srgbClr val="C00000"/>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ITEM'!$N$77:$N$92</c:f>
              <c:numCache>
                <c:formatCode>General</c:formatCode>
                <c:ptCount val="16"/>
                <c:pt idx="0">
                  <c:v>-114</c:v>
                </c:pt>
                <c:pt idx="1">
                  <c:v>-66</c:v>
                </c:pt>
                <c:pt idx="2">
                  <c:v>-80</c:v>
                </c:pt>
                <c:pt idx="3">
                  <c:v>-80</c:v>
                </c:pt>
                <c:pt idx="4">
                  <c:v>-56</c:v>
                </c:pt>
                <c:pt idx="5">
                  <c:v>-76</c:v>
                </c:pt>
                <c:pt idx="6">
                  <c:v>-68</c:v>
                </c:pt>
                <c:pt idx="7">
                  <c:v>-77</c:v>
                </c:pt>
                <c:pt idx="8">
                  <c:v>-71</c:v>
                </c:pt>
                <c:pt idx="9">
                  <c:v>-42</c:v>
                </c:pt>
                <c:pt idx="10">
                  <c:v>-68</c:v>
                </c:pt>
                <c:pt idx="11">
                  <c:v>-58</c:v>
                </c:pt>
                <c:pt idx="12">
                  <c:v>-49</c:v>
                </c:pt>
                <c:pt idx="13">
                  <c:v>-54</c:v>
                </c:pt>
                <c:pt idx="14">
                  <c:v>-105</c:v>
                </c:pt>
                <c:pt idx="15">
                  <c:v>-102</c:v>
                </c:pt>
              </c:numCache>
            </c:numRef>
          </c:val>
          <c:extLst>
            <c:ext xmlns:c16="http://schemas.microsoft.com/office/drawing/2014/chart" uri="{C3380CC4-5D6E-409C-BE32-E72D297353CC}">
              <c16:uniqueId val="{00000002-3437-4F58-B589-55A5144D689A}"/>
            </c:ext>
          </c:extLst>
        </c:ser>
        <c:ser>
          <c:idx val="3"/>
          <c:order val="3"/>
          <c:tx>
            <c:strRef>
              <c:f>'ALL ANALYSIS BY ITEM'!$O$76</c:f>
              <c:strCache>
                <c:ptCount val="1"/>
                <c:pt idx="0">
                  <c:v>DISAGREE</c:v>
                </c:pt>
              </c:strCache>
            </c:strRef>
          </c:tx>
          <c:spPr>
            <a:solidFill>
              <a:srgbClr val="FF0066"/>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ITEM'!$O$77:$O$92</c:f>
              <c:numCache>
                <c:formatCode>General</c:formatCode>
                <c:ptCount val="16"/>
              </c:numCache>
            </c:numRef>
          </c:val>
          <c:extLst>
            <c:ext xmlns:c16="http://schemas.microsoft.com/office/drawing/2014/chart" uri="{C3380CC4-5D6E-409C-BE32-E72D297353CC}">
              <c16:uniqueId val="{00000003-3437-4F58-B589-55A5144D689A}"/>
            </c:ext>
          </c:extLst>
        </c:ser>
        <c:ser>
          <c:idx val="4"/>
          <c:order val="4"/>
          <c:tx>
            <c:strRef>
              <c:f>'ALL ANALYSIS BY ITEM'!$P$76</c:f>
              <c:strCache>
                <c:ptCount val="1"/>
                <c:pt idx="0">
                  <c:v>NEUTRAL</c:v>
                </c:pt>
              </c:strCache>
            </c:strRef>
          </c:tx>
          <c:spPr>
            <a:solidFill>
              <a:schemeClr val="bg1">
                <a:lumMod val="75000"/>
              </a:schemeClr>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ITEM'!$P$77:$P$92</c:f>
              <c:numCache>
                <c:formatCode>General</c:formatCode>
                <c:ptCount val="16"/>
                <c:pt idx="0">
                  <c:v>40.5</c:v>
                </c:pt>
                <c:pt idx="1">
                  <c:v>90.5</c:v>
                </c:pt>
                <c:pt idx="2">
                  <c:v>69</c:v>
                </c:pt>
                <c:pt idx="3">
                  <c:v>97.5</c:v>
                </c:pt>
                <c:pt idx="4">
                  <c:v>93.5</c:v>
                </c:pt>
                <c:pt idx="5">
                  <c:v>93</c:v>
                </c:pt>
                <c:pt idx="6">
                  <c:v>94</c:v>
                </c:pt>
                <c:pt idx="7">
                  <c:v>123.5</c:v>
                </c:pt>
                <c:pt idx="8">
                  <c:v>119</c:v>
                </c:pt>
                <c:pt idx="9">
                  <c:v>88.5</c:v>
                </c:pt>
                <c:pt idx="10">
                  <c:v>74</c:v>
                </c:pt>
                <c:pt idx="11">
                  <c:v>131.5</c:v>
                </c:pt>
                <c:pt idx="12">
                  <c:v>64.5</c:v>
                </c:pt>
                <c:pt idx="13">
                  <c:v>100</c:v>
                </c:pt>
                <c:pt idx="14">
                  <c:v>104.5</c:v>
                </c:pt>
                <c:pt idx="15">
                  <c:v>118.5</c:v>
                </c:pt>
              </c:numCache>
            </c:numRef>
          </c:val>
          <c:extLst>
            <c:ext xmlns:c16="http://schemas.microsoft.com/office/drawing/2014/chart" uri="{C3380CC4-5D6E-409C-BE32-E72D297353CC}">
              <c16:uniqueId val="{00000004-3437-4F58-B589-55A5144D689A}"/>
            </c:ext>
          </c:extLst>
        </c:ser>
        <c:ser>
          <c:idx val="5"/>
          <c:order val="5"/>
          <c:tx>
            <c:strRef>
              <c:f>'ALL ANALYSIS BY ITEM'!$Q$76</c:f>
              <c:strCache>
                <c:ptCount val="1"/>
                <c:pt idx="0">
                  <c:v>AGREE</c:v>
                </c:pt>
              </c:strCache>
            </c:strRef>
          </c:tx>
          <c:spPr>
            <a:solidFill>
              <a:srgbClr val="00B0F0"/>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ITEM'!$Q$77:$Q$92</c:f>
              <c:numCache>
                <c:formatCode>General</c:formatCode>
                <c:ptCount val="16"/>
                <c:pt idx="0">
                  <c:v>102</c:v>
                </c:pt>
                <c:pt idx="1">
                  <c:v>182</c:v>
                </c:pt>
                <c:pt idx="2">
                  <c:v>186</c:v>
                </c:pt>
                <c:pt idx="3">
                  <c:v>194</c:v>
                </c:pt>
                <c:pt idx="4">
                  <c:v>213</c:v>
                </c:pt>
                <c:pt idx="5">
                  <c:v>181</c:v>
                </c:pt>
                <c:pt idx="6">
                  <c:v>177</c:v>
                </c:pt>
                <c:pt idx="7">
                  <c:v>147</c:v>
                </c:pt>
                <c:pt idx="8">
                  <c:v>164</c:v>
                </c:pt>
                <c:pt idx="9">
                  <c:v>210</c:v>
                </c:pt>
                <c:pt idx="10">
                  <c:v>180</c:v>
                </c:pt>
                <c:pt idx="11">
                  <c:v>181</c:v>
                </c:pt>
                <c:pt idx="12">
                  <c:v>160</c:v>
                </c:pt>
                <c:pt idx="13">
                  <c:v>209</c:v>
                </c:pt>
                <c:pt idx="14">
                  <c:v>155</c:v>
                </c:pt>
                <c:pt idx="15">
                  <c:v>126</c:v>
                </c:pt>
              </c:numCache>
            </c:numRef>
          </c:val>
          <c:extLst>
            <c:ext xmlns:c16="http://schemas.microsoft.com/office/drawing/2014/chart" uri="{C3380CC4-5D6E-409C-BE32-E72D297353CC}">
              <c16:uniqueId val="{00000005-3437-4F58-B589-55A5144D689A}"/>
            </c:ext>
          </c:extLst>
        </c:ser>
        <c:ser>
          <c:idx val="6"/>
          <c:order val="6"/>
          <c:tx>
            <c:strRef>
              <c:f>'ALL ANALYSIS BY ITEM'!$R$76</c:f>
              <c:strCache>
                <c:ptCount val="1"/>
                <c:pt idx="0">
                  <c:v>STRONGLY AGREE</c:v>
                </c:pt>
              </c:strCache>
            </c:strRef>
          </c:tx>
          <c:spPr>
            <a:solidFill>
              <a:srgbClr val="002060"/>
            </a:solidFill>
            <a:ln>
              <a:noFill/>
            </a:ln>
            <a:effectLst/>
          </c:spPr>
          <c:invertIfNegative val="0"/>
          <c:cat>
            <c:strRef>
              <c:f>'ALL ANALYSIS BY ITEM'!$K$77:$K$92</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ITEM'!$R$77:$R$92</c:f>
              <c:numCache>
                <c:formatCode>General</c:formatCode>
                <c:ptCount val="16"/>
                <c:pt idx="0">
                  <c:v>368</c:v>
                </c:pt>
                <c:pt idx="1">
                  <c:v>224</c:v>
                </c:pt>
                <c:pt idx="2">
                  <c:v>236</c:v>
                </c:pt>
                <c:pt idx="3">
                  <c:v>121</c:v>
                </c:pt>
                <c:pt idx="4">
                  <c:v>148</c:v>
                </c:pt>
                <c:pt idx="5">
                  <c:v>152</c:v>
                </c:pt>
                <c:pt idx="6">
                  <c:v>199</c:v>
                </c:pt>
                <c:pt idx="7">
                  <c:v>150</c:v>
                </c:pt>
                <c:pt idx="8">
                  <c:v>161</c:v>
                </c:pt>
                <c:pt idx="9">
                  <c:v>204</c:v>
                </c:pt>
                <c:pt idx="10">
                  <c:v>250</c:v>
                </c:pt>
                <c:pt idx="11">
                  <c:v>114</c:v>
                </c:pt>
                <c:pt idx="12">
                  <c:v>331</c:v>
                </c:pt>
                <c:pt idx="13">
                  <c:v>157</c:v>
                </c:pt>
                <c:pt idx="14">
                  <c:v>114</c:v>
                </c:pt>
                <c:pt idx="15">
                  <c:v>105</c:v>
                </c:pt>
              </c:numCache>
            </c:numRef>
          </c:val>
          <c:extLst>
            <c:ext xmlns:c16="http://schemas.microsoft.com/office/drawing/2014/chart" uri="{C3380CC4-5D6E-409C-BE32-E72D297353CC}">
              <c16:uniqueId val="{00000006-3437-4F58-B589-55A5144D689A}"/>
            </c:ext>
          </c:extLst>
        </c:ser>
        <c:dLbls>
          <c:showLegendKey val="0"/>
          <c:showVal val="0"/>
          <c:showCatName val="0"/>
          <c:showSerName val="0"/>
          <c:showPercent val="0"/>
          <c:showBubbleSize val="0"/>
        </c:dLbls>
        <c:gapWidth val="150"/>
        <c:overlap val="100"/>
        <c:axId val="930248864"/>
        <c:axId val="1"/>
      </c:barChart>
      <c:catAx>
        <c:axId val="930248864"/>
        <c:scaling>
          <c:orientation val="maxMin"/>
        </c:scaling>
        <c:delete val="0"/>
        <c:axPos val="l"/>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1"/>
        <c:crosses val="autoZero"/>
        <c:auto val="1"/>
        <c:lblAlgn val="ctr"/>
        <c:lblOffset val="100"/>
        <c:noMultiLvlLbl val="0"/>
      </c:catAx>
      <c:valAx>
        <c:axId val="1"/>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930248864"/>
        <c:crosses val="autoZero"/>
        <c:crossBetween val="between"/>
      </c:valAx>
      <c:spPr>
        <a:noFill/>
        <a:ln w="25400">
          <a:noFill/>
        </a:ln>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prstDash val="sysDash"/>
              <a:round/>
              <a:headEnd type="oval"/>
              <a:tailEnd type="oval"/>
            </a:ln>
            <a:effectLst/>
          </c:spPr>
          <c:marker>
            <c:symbol val="circle"/>
            <c:size val="10"/>
            <c:spPr>
              <a:solidFill>
                <a:srgbClr val="FF0000"/>
              </a:solidFill>
              <a:ln w="9525" cap="rnd">
                <a:solidFill>
                  <a:schemeClr val="accent1"/>
                </a:solidFill>
              </a:ln>
              <a:effectLst/>
            </c:spPr>
          </c:marker>
          <c:cat>
            <c:strRef>
              <c:f>'ALL ANALYSIS BY ITEM'!$M$100:$M$115</c:f>
              <c:strCache>
                <c:ptCount val="16"/>
                <c:pt idx="0">
                  <c:v>1. Implementation of the Trimester Study Schedule</c:v>
                </c:pt>
                <c:pt idx="1">
                  <c:v>2. Bureaucracy</c:v>
                </c:pt>
                <c:pt idx="2">
                  <c:v>3. Fill out the form</c:v>
                </c:pt>
                <c:pt idx="3">
                  <c:v>4. Teaching load</c:v>
                </c:pt>
                <c:pt idx="4">
                  <c:v>5. Teaching and learning preparation load</c:v>
                </c:pt>
                <c:pt idx="5">
                  <c:v>6. Learning new teaching and learning methods</c:v>
                </c:pt>
                <c:pt idx="6">
                  <c:v>7. Mentee management</c:v>
                </c:pt>
                <c:pt idx="7">
                  <c:v>8. Conducting research.</c:v>
                </c:pt>
                <c:pt idx="8">
                  <c:v>9. Producing publications.</c:v>
                </c:pt>
                <c:pt idx="9">
                  <c:v>10. Involvement in various committees.</c:v>
                </c:pt>
                <c:pt idx="10">
                  <c:v>11. Performing tasks outside the job description (e.g., marketing, registration).</c:v>
                </c:pt>
                <c:pt idx="11">
                  <c:v>12. Facing changes.</c:v>
                </c:pt>
                <c:pt idx="12">
                  <c:v>13. Preparation of documents for audit purposes.</c:v>
                </c:pt>
                <c:pt idx="13">
                  <c:v>14. Student supervision</c:v>
                </c:pt>
                <c:pt idx="14">
                  <c:v>15. Incompetent colleagues.</c:v>
                </c:pt>
                <c:pt idx="15">
                  <c:v>16. Leadership of the immediate supervisor.</c:v>
                </c:pt>
              </c:strCache>
            </c:strRef>
          </c:cat>
          <c:val>
            <c:numRef>
              <c:f>'ALL ANALYSIS BY ITEM'!$N$100:$N$115</c:f>
              <c:numCache>
                <c:formatCode>0.0</c:formatCode>
                <c:ptCount val="16"/>
                <c:pt idx="0">
                  <c:v>64.471879286694104</c:v>
                </c:pt>
                <c:pt idx="1">
                  <c:v>55.692729766803836</c:v>
                </c:pt>
                <c:pt idx="2">
                  <c:v>57.887517146776403</c:v>
                </c:pt>
                <c:pt idx="3">
                  <c:v>43.209876543209873</c:v>
                </c:pt>
                <c:pt idx="4">
                  <c:v>49.519890260631001</c:v>
                </c:pt>
                <c:pt idx="5">
                  <c:v>45.679012345679013</c:v>
                </c:pt>
                <c:pt idx="6">
                  <c:v>51.577503429355275</c:v>
                </c:pt>
                <c:pt idx="7">
                  <c:v>40.74074074074074</c:v>
                </c:pt>
                <c:pt idx="8">
                  <c:v>44.581618655692729</c:v>
                </c:pt>
                <c:pt idx="9">
                  <c:v>56.79012345679012</c:v>
                </c:pt>
                <c:pt idx="10">
                  <c:v>58.984910836762694</c:v>
                </c:pt>
                <c:pt idx="11">
                  <c:v>40.466392318244168</c:v>
                </c:pt>
                <c:pt idx="12">
                  <c:v>67.352537722908096</c:v>
                </c:pt>
                <c:pt idx="13">
                  <c:v>50.205761316872433</c:v>
                </c:pt>
                <c:pt idx="14">
                  <c:v>36.899862825788752</c:v>
                </c:pt>
                <c:pt idx="15">
                  <c:v>31.68724279835391</c:v>
                </c:pt>
              </c:numCache>
            </c:numRef>
          </c:val>
          <c:extLst>
            <c:ext xmlns:c16="http://schemas.microsoft.com/office/drawing/2014/chart" uri="{C3380CC4-5D6E-409C-BE32-E72D297353CC}">
              <c16:uniqueId val="{00000000-8DBC-4050-83F2-84DE3F334613}"/>
            </c:ext>
          </c:extLst>
        </c:ser>
        <c:dLbls>
          <c:showLegendKey val="0"/>
          <c:showVal val="0"/>
          <c:showCatName val="0"/>
          <c:showSerName val="0"/>
          <c:showPercent val="0"/>
          <c:showBubbleSize val="0"/>
        </c:dLbls>
        <c:axId val="1547352432"/>
        <c:axId val="1547339952"/>
      </c:radarChart>
      <c:catAx>
        <c:axId val="154735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339952"/>
        <c:crosses val="autoZero"/>
        <c:auto val="1"/>
        <c:lblAlgn val="ctr"/>
        <c:lblOffset val="100"/>
        <c:noMultiLvlLbl val="0"/>
      </c:catAx>
      <c:valAx>
        <c:axId val="1547339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35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0.02525</cdr:x>
      <cdr:y>0.45113</cdr:y>
    </cdr:from>
    <cdr:to>
      <cdr:x>0.97554</cdr:x>
      <cdr:y>0.45113</cdr:y>
    </cdr:to>
    <cdr:cxnSp macro="">
      <cdr:nvCxnSpPr>
        <cdr:cNvPr id="3" name="Straight Connector 2"/>
        <cdr:cNvCxnSpPr/>
      </cdr:nvCxnSpPr>
      <cdr:spPr>
        <a:xfrm xmlns:a="http://schemas.openxmlformats.org/drawingml/2006/main">
          <a:off x="116132" y="1002920"/>
          <a:ext cx="4370674" cy="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F180-8A53-4D75-A6B2-B471ED46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4682</Words>
  <Characters>26692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Microsoft Word - article template.doc</vt:lpstr>
    </vt:vector>
  </TitlesOfParts>
  <Company/>
  <LinksUpToDate>false</LinksUpToDate>
  <CharactersWithSpaces>31312</CharactersWithSpaces>
  <SharedDoc>false</SharedDoc>
  <HLinks>
    <vt:vector size="36" baseType="variant">
      <vt:variant>
        <vt:i4>983153</vt:i4>
      </vt:variant>
      <vt:variant>
        <vt:i4>15</vt:i4>
      </vt:variant>
      <vt:variant>
        <vt:i4>0</vt:i4>
      </vt:variant>
      <vt:variant>
        <vt:i4>5</vt:i4>
      </vt:variant>
      <vt:variant>
        <vt:lpwstr>mailto:ezzan@uptm.edu.my</vt:lpwstr>
      </vt:variant>
      <vt:variant>
        <vt:lpwstr/>
      </vt:variant>
      <vt:variant>
        <vt:i4>8126467</vt:i4>
      </vt:variant>
      <vt:variant>
        <vt:i4>12</vt:i4>
      </vt:variant>
      <vt:variant>
        <vt:i4>0</vt:i4>
      </vt:variant>
      <vt:variant>
        <vt:i4>5</vt:i4>
      </vt:variant>
      <vt:variant>
        <vt:lpwstr>mailto:barizah@uptm.edu.my</vt:lpwstr>
      </vt:variant>
      <vt:variant>
        <vt:lpwstr/>
      </vt:variant>
      <vt:variant>
        <vt:i4>6422552</vt:i4>
      </vt:variant>
      <vt:variant>
        <vt:i4>9</vt:i4>
      </vt:variant>
      <vt:variant>
        <vt:i4>0</vt:i4>
      </vt:variant>
      <vt:variant>
        <vt:i4>5</vt:i4>
      </vt:variant>
      <vt:variant>
        <vt:lpwstr>mailto:aznizai@uptm.edu.my</vt:lpwstr>
      </vt:variant>
      <vt:variant>
        <vt:lpwstr/>
      </vt:variant>
      <vt:variant>
        <vt:i4>65638</vt:i4>
      </vt:variant>
      <vt:variant>
        <vt:i4>6</vt:i4>
      </vt:variant>
      <vt:variant>
        <vt:i4>0</vt:i4>
      </vt:variant>
      <vt:variant>
        <vt:i4>5</vt:i4>
      </vt:variant>
      <vt:variant>
        <vt:lpwstr>mailto:anisrahim@uitm.edu.my</vt:lpwstr>
      </vt:variant>
      <vt:variant>
        <vt:lpwstr/>
      </vt:variant>
      <vt:variant>
        <vt:i4>5308451</vt:i4>
      </vt:variant>
      <vt:variant>
        <vt:i4>3</vt:i4>
      </vt:variant>
      <vt:variant>
        <vt:i4>0</vt:i4>
      </vt:variant>
      <vt:variant>
        <vt:i4>5</vt:i4>
      </vt:variant>
      <vt:variant>
        <vt:lpwstr>mailto:dewi@uptm.edu.my</vt:lpwstr>
      </vt:variant>
      <vt:variant>
        <vt:lpwstr/>
      </vt:variant>
      <vt:variant>
        <vt:i4>4325423</vt:i4>
      </vt:variant>
      <vt:variant>
        <vt:i4>0</vt:i4>
      </vt:variant>
      <vt:variant>
        <vt:i4>0</vt:i4>
      </vt:variant>
      <vt:variant>
        <vt:i4>5</vt:i4>
      </vt:variant>
      <vt:variant>
        <vt:lpwstr>mailto:bibi@uptm.edu.my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article template.doc</dc:title>
  <dc:subject/>
  <dc:creator>Shahri Abu Seman</dc:creator>
  <cp:keywords/>
  <cp:lastModifiedBy>FATIMAH BIBI HAMZAH</cp:lastModifiedBy>
  <cp:revision>2</cp:revision>
  <dcterms:created xsi:type="dcterms:W3CDTF">2026-06-15T04:33:00Z</dcterms:created>
  <dcterms:modified xsi:type="dcterms:W3CDTF">2026-06-15T04:33:00Z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3223aab24d0c6d97d6573e1e31276f51755dfed517f22fdd6bbe5c8f04fa93a7</vt:lpwstr>
  </property>
</Properties>
</file>