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A7D8" w14:textId="77777777" w:rsidR="00090A85" w:rsidRPr="00090A85" w:rsidRDefault="00090A85" w:rsidP="00BF1412">
      <w:pPr>
        <w:spacing w:line="360" w:lineRule="auto"/>
        <w:jc w:val="center"/>
        <w:rPr>
          <w:rFonts w:ascii="Times New Roman" w:hAnsi="Times New Roman" w:cs="Times New Roman"/>
          <w:b/>
          <w:bCs/>
          <w:sz w:val="28"/>
          <w:szCs w:val="28"/>
        </w:rPr>
      </w:pPr>
      <w:r w:rsidRPr="00090A85">
        <w:rPr>
          <w:rFonts w:ascii="Times New Roman" w:hAnsi="Times New Roman" w:cs="Times New Roman"/>
          <w:b/>
          <w:bCs/>
          <w:sz w:val="28"/>
          <w:szCs w:val="28"/>
        </w:rPr>
        <w:t>REGULATORY COMPLIANCE AND AIR POLLUTION MITIGATION IN ZAMBIA’S CEMENT INDUSTRY: A CRITICAL ANALYSIS OF ZEMA OVERSIGHT</w:t>
      </w:r>
    </w:p>
    <w:p w14:paraId="7E96BE4B" w14:textId="77777777" w:rsidR="00090A85" w:rsidRPr="00090A85" w:rsidRDefault="00090A85" w:rsidP="00090A85">
      <w:pPr>
        <w:spacing w:line="360" w:lineRule="auto"/>
        <w:jc w:val="both"/>
        <w:rPr>
          <w:rFonts w:ascii="Times New Roman" w:hAnsi="Times New Roman" w:cs="Times New Roman"/>
        </w:rPr>
      </w:pPr>
      <w:r w:rsidRPr="00090A85">
        <w:rPr>
          <w:rFonts w:ascii="Times New Roman" w:hAnsi="Times New Roman" w:cs="Times New Roman"/>
          <w:b/>
          <w:bCs/>
        </w:rPr>
        <w:t>Joseph Musona</w:t>
      </w:r>
    </w:p>
    <w:p w14:paraId="780F3642" w14:textId="77777777" w:rsidR="00090A85" w:rsidRPr="00090A85" w:rsidRDefault="00090A85" w:rsidP="00090A85">
      <w:pPr>
        <w:spacing w:line="360" w:lineRule="auto"/>
        <w:jc w:val="both"/>
        <w:rPr>
          <w:rFonts w:ascii="Times New Roman" w:hAnsi="Times New Roman" w:cs="Times New Roman"/>
        </w:rPr>
      </w:pPr>
      <w:r w:rsidRPr="00090A85">
        <w:rPr>
          <w:rFonts w:ascii="Times New Roman" w:hAnsi="Times New Roman" w:cs="Times New Roman"/>
          <w:i/>
          <w:iCs/>
        </w:rPr>
        <w:t>School of Postgraduate, University of Lusaka, P.O. Box 36711, Lusaka, Republic of Zambia</w:t>
      </w:r>
    </w:p>
    <w:p w14:paraId="7AA17B48" w14:textId="77777777" w:rsidR="00090A85" w:rsidRPr="00090A85" w:rsidRDefault="00090A85" w:rsidP="00090A85">
      <w:pPr>
        <w:spacing w:line="360" w:lineRule="auto"/>
        <w:jc w:val="both"/>
        <w:rPr>
          <w:rFonts w:ascii="Times New Roman" w:hAnsi="Times New Roman" w:cs="Times New Roman"/>
        </w:rPr>
      </w:pPr>
      <w:r w:rsidRPr="00090A85">
        <w:rPr>
          <w:rFonts w:ascii="Times New Roman" w:hAnsi="Times New Roman" w:cs="Times New Roman"/>
          <w:b/>
          <w:bCs/>
        </w:rPr>
        <w:t>Corresponding Author.</w:t>
      </w:r>
      <w:r w:rsidRPr="00090A85">
        <w:rPr>
          <w:rFonts w:ascii="Times New Roman" w:hAnsi="Times New Roman" w:cs="Times New Roman"/>
        </w:rPr>
        <w:t> Email: jmusona66@gmail.com; Telephone: +260 955759023; ORCID: 0009 0002 2452 9673</w:t>
      </w:r>
    </w:p>
    <w:p w14:paraId="40C68AFF"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ABSTRACT</w:t>
      </w:r>
    </w:p>
    <w:p w14:paraId="1BCF2D9C"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Regulatory oversight constitutes the primary institutional mechanism for reconciling industrial development with environmental protection, yet significant implementation gaps persist across sub-Saharan Africa. This study critically examines regulatory compliance monitoring by the Zambia Environmental Management Agency (ZEMA) at a cement plant in Chilanga District, evaluating the effectiveness of oversight mechanisms in protecting surrounding communities from air pollution impacts, with particular focus on vegetable vendors in an adjacent informal settlement. A convergent mixed methods design employed key informant interviews with three ZEMA officials and four community leaders, four focus group discussions with community members (total n=28), systematic analysis of enforcement records spanning 2009–2020, and a quantitative survey of 87 vegetable vendors. Triangulation across data sources revealed consistent patterns of regulatory failure. The findings show that despite adequate legal authority, regulatory oversight has not translated into effective pollution control, with 70.1% of vendors expressing low or very low trust in ZEMA. Documented enforcement actions, including a 2009 reduction of the plant's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validity period, have not resulted in sustained compliance. Critical barriers include inadequate staffing (approximately 15 inspectors nationally), reliance on self-reported quarterly data, absence of ambient air quality monitoring, and weak enforcement follow-up. When benchmarked against regional innovations – including Ghana's real-time continuous emissions monitoring system and Zimbabwe's enforceable compliance mechanisms – Zambia's regulatory framework exhibits significant implementation deficits. The study contributes new knowledge through: (1) empirical documentation of trust erosion mechanisms in regulatory institutions; (2) establishment of direct livelihood impacts of regulatory failure on informal sector workers, particularly women; (3) development of a multi-dimensional framework for understanding regulatory failure; (4) comparative positioning of Zambian practice within regional innovations; and (5) </w:t>
      </w:r>
      <w:proofErr w:type="spellStart"/>
      <w:r w:rsidRPr="00090A85">
        <w:rPr>
          <w:rFonts w:ascii="Times New Roman" w:hAnsi="Times New Roman" w:cs="Times New Roman"/>
        </w:rPr>
        <w:t>theorisation</w:t>
      </w:r>
      <w:proofErr w:type="spellEnd"/>
      <w:r w:rsidRPr="00090A85">
        <w:rPr>
          <w:rFonts w:ascii="Times New Roman" w:hAnsi="Times New Roman" w:cs="Times New Roman"/>
        </w:rPr>
        <w:t xml:space="preserve"> of the "complaint gap" as an indicator of institutional withdrawal. Key limitations include absence of independent ambient air quality monitoring, focus on a single facility, and cross-sectional design. The study provides robust evidence of systematic regulatory failure with implications for environmental governance across the region.</w:t>
      </w:r>
    </w:p>
    <w:p w14:paraId="76156C65" w14:textId="77777777" w:rsidR="00090A85" w:rsidRPr="00090A85" w:rsidRDefault="00090A85" w:rsidP="00BF1412">
      <w:pPr>
        <w:spacing w:line="360" w:lineRule="auto"/>
        <w:jc w:val="both"/>
        <w:rPr>
          <w:rFonts w:ascii="Times New Roman" w:hAnsi="Times New Roman" w:cs="Times New Roman"/>
        </w:rPr>
      </w:pPr>
      <w:r w:rsidRPr="00090A85">
        <w:rPr>
          <w:rFonts w:ascii="Times New Roman" w:hAnsi="Times New Roman" w:cs="Times New Roman"/>
          <w:b/>
          <w:bCs/>
        </w:rPr>
        <w:t>Keywords:</w:t>
      </w:r>
      <w:r w:rsidRPr="00090A85">
        <w:rPr>
          <w:rFonts w:ascii="Times New Roman" w:hAnsi="Times New Roman" w:cs="Times New Roman"/>
        </w:rPr>
        <w:t> regulatory compliance; environmental enforcement; cement industry; air pollution; ZEMA; Zambia; community perceptions; regulatory failure; procedural justice</w:t>
      </w:r>
    </w:p>
    <w:p w14:paraId="3CD62ACE"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lastRenderedPageBreak/>
        <w:t>1. INTRODUCTION</w:t>
      </w:r>
    </w:p>
    <w:p w14:paraId="7F34EB50"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1.1 Background and Problem Statement</w:t>
      </w:r>
    </w:p>
    <w:p w14:paraId="2C344B08"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Environmental regulation is the primary institutional mechanism through which modern societies reconcile industrial development with environmental protection. However, as Sharpe (1) demonstrated, the mere existence of legal frameworks does not automatically translate into reduced environmental impacts. Regulatory effectiveness depends fundamentally on implementation capacity, scrutiny processes, follow-up monitoring, and political economy contexts. This implementation gap is particularly pronounced in low- and middle-income countries where institutional capacity constraints intersect with powerful industrial interests.</w:t>
      </w:r>
    </w:p>
    <w:p w14:paraId="6D2F4C31"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The cement industry exemplifies both the developmental imperative for industrial expansion and the environmental challenges requiring effective regulation. Cement production releases particulate matter (PM), nitrogen oxides (NOₓ), sulfur dioxide (SO₂), and carbon dioxide (CO₂). Liu et al. (2) demonstrated that conventional monitoring frameworks systematically ignore emissions from mining operations, transportation, and material handling, with these overlooked pathways contributing 4.4–12.1% of total cement-related emissions. This finding has profound implications for developing countries where fugitive emissions may constitute an even larger proportion of pollution burden.</w:t>
      </w:r>
    </w:p>
    <w:p w14:paraId="4A8AEF48"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Zambia presents a particularly instructive case. The Zambia Environmental Management Agency (ZEMA), established under the Environmental Management Act No. 12 of 2011, possesses formal legal authority to regulate pollution (3). However, persistent community complaints regarding air pollution from the Chilanga cement plant (operating since 1949) raise fundamental questions about the translation of legal authority into substantive environmental protection.</w:t>
      </w:r>
    </w:p>
    <w:p w14:paraId="4F0A842F"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1.2 The African Context and Environmental Justice</w:t>
      </w:r>
    </w:p>
    <w:p w14:paraId="617DCF8C"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Across Africa, cement-related air pollution impacts have accumulated over decades. Uzor et al. (4) found that particulate matter concentrations around Nigeria's Dangote Cement Plant fell within hazardous categories, with ozone levels consistently very unhealthy. The environmental justice implications are profound. Schlosberg (5) and Walker (6) established frameworks encompassing distributive justice (equitable distribution of burdens), procedural justice (fair participation in decision-making), and recognition justice (respect for diverse knowledges). Communities near industrial facilities bear disproportionate pollution burdens while lacking effective redress mechanisms.</w:t>
      </w:r>
    </w:p>
    <w:p w14:paraId="32900AD9"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The African Commission on Human and Peoples' Rights (7) adopted Resolution ACHPR/Res.605 renewing the mandate of the Working Group on Extractive Industries, Environment and Human Rights Violations, explicitly recalling Articles 21 and 24 of the African Charter guaranteeing rights to natural resources and a satisfactory environment.</w:t>
      </w:r>
    </w:p>
    <w:p w14:paraId="5AFCEA44"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1.3 Zambia's Regulatory Framework</w:t>
      </w:r>
    </w:p>
    <w:p w14:paraId="33B41ED3"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Zambia's Environmental Management Act No. 12 of 2011 establishes ZEMA as the primary regulatory authority with responsibility for pollution control, environmental impact assessment, and compliance enforcement (3). The Act empowers ZEMA to issue pollution control </w:t>
      </w:r>
      <w:proofErr w:type="spellStart"/>
      <w:r w:rsidRPr="00090A85">
        <w:rPr>
          <w:rFonts w:ascii="Times New Roman" w:hAnsi="Times New Roman" w:cs="Times New Roman"/>
        </w:rPr>
        <w:t>licences</w:t>
      </w:r>
      <w:proofErr w:type="spellEnd"/>
      <w:r w:rsidRPr="00090A85">
        <w:rPr>
          <w:rFonts w:ascii="Times New Roman" w:hAnsi="Times New Roman" w:cs="Times New Roman"/>
        </w:rPr>
        <w:t xml:space="preserve">, conduct inspections (with powers of entry and search without warrant), monitor compliance, and impose sanctions including fines and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suspension. The Environmental Impact Assessment </w:t>
      </w:r>
      <w:r w:rsidRPr="00090A85">
        <w:rPr>
          <w:rFonts w:ascii="Times New Roman" w:hAnsi="Times New Roman" w:cs="Times New Roman"/>
        </w:rPr>
        <w:lastRenderedPageBreak/>
        <w:t>Regulations of 2013 (Statutory Instrument No. 28 of 2013) require project developers to implement mitigation measures throughout the project life cycle (8).</w:t>
      </w:r>
    </w:p>
    <w:p w14:paraId="200F629D"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For the Chilanga cement plant, historical evidence of pollution impacts spans decades. Chilala (9) documented that as early as 1952, the National Agricultural Research Institute discovered grave changes to soil chemistry from cement dust deposition. </w:t>
      </w: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et al. (10,11) found significantly higher odds of respiratory symptoms among adjacent residents and demonstrated elevated PM2.5 and PM10 concentrations exceeding Zambian standards by a factor of three.</w:t>
      </w:r>
    </w:p>
    <w:p w14:paraId="0946F25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1.4 Technological and Regional Innovations</w:t>
      </w:r>
    </w:p>
    <w:p w14:paraId="01CB83C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Recent developments offer promising models. Duah (12) documented Ghana's "</w:t>
      </w:r>
      <w:proofErr w:type="spellStart"/>
      <w:r w:rsidRPr="00090A85">
        <w:rPr>
          <w:rFonts w:ascii="Times New Roman" w:hAnsi="Times New Roman" w:cs="Times New Roman"/>
        </w:rPr>
        <w:t>Seelive</w:t>
      </w:r>
      <w:proofErr w:type="spellEnd"/>
      <w:r w:rsidRPr="00090A85">
        <w:rPr>
          <w:rFonts w:ascii="Times New Roman" w:hAnsi="Times New Roman" w:cs="Times New Roman"/>
        </w:rPr>
        <w:t xml:space="preserve">" monitoring system at Empire Cement, tracking NOₓ, SO₂, and PM in real time with data transmitted to regulators and the public, rebuilding trust through transparent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ABB (13) has pioneered continuous emissions monitoring systems (CEMS) compliant with EN 17255 standards. In Zimbabwe, the Environmental Management Agency (14) issued a compliance certificate requiring continuous emissions monitoring, though Bhebhe (15) reported that PPC Zimbabwe was recently fined US$3,000 for exceedances, demonstrating that framework adoption alone is insufficient without enforcement.</w:t>
      </w:r>
    </w:p>
    <w:p w14:paraId="778BBF3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1.5 Conceptual Framework: Multi-Dimensional Regulatory Failure</w:t>
      </w:r>
    </w:p>
    <w:p w14:paraId="47336AD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develops a multi-dimensional conceptual framework </w:t>
      </w:r>
      <w:proofErr w:type="spellStart"/>
      <w:r w:rsidRPr="00090A85">
        <w:rPr>
          <w:rFonts w:ascii="Times New Roman" w:hAnsi="Times New Roman" w:cs="Times New Roman"/>
        </w:rPr>
        <w:t>synthesising</w:t>
      </w:r>
      <w:proofErr w:type="spellEnd"/>
      <w:r w:rsidRPr="00090A85">
        <w:rPr>
          <w:rFonts w:ascii="Times New Roman" w:hAnsi="Times New Roman" w:cs="Times New Roman"/>
        </w:rPr>
        <w:t xml:space="preserve"> regulatory theory, environmental justice scholarship, and political economy analysis, comprising four interconnected dimensions:</w:t>
      </w:r>
    </w:p>
    <w:p w14:paraId="1A976E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Institutional Capacity Dimension:</w:t>
      </w:r>
      <w:r w:rsidRPr="00090A85">
        <w:rPr>
          <w:rFonts w:ascii="Times New Roman" w:hAnsi="Times New Roman" w:cs="Times New Roman"/>
        </w:rPr>
        <w:t> Drawing on Braithwaite's (16) concept of "regulatory ritualism" – where resource constraints transform substantive requirements into procedural compliance exercises – this dimension examines staffing, technical equipment, financial resources, and training.</w:t>
      </w:r>
    </w:p>
    <w:p w14:paraId="3E7A433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Regulatory Framework Dimension:</w:t>
      </w:r>
      <w:r w:rsidRPr="00090A85">
        <w:rPr>
          <w:rFonts w:ascii="Times New Roman" w:hAnsi="Times New Roman" w:cs="Times New Roman"/>
        </w:rPr>
        <w:t> This dimension analyses legal instrument structures, including provisions for continuous versus episodic monitoring, automatic enforcement triggers, ambient quality standards, and community participation mechanisms.</w:t>
      </w:r>
    </w:p>
    <w:p w14:paraId="73715CD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Procedural Justice Dimension:</w:t>
      </w:r>
      <w:r w:rsidRPr="00090A85">
        <w:rPr>
          <w:rFonts w:ascii="Times New Roman" w:hAnsi="Times New Roman" w:cs="Times New Roman"/>
        </w:rPr>
        <w:t xml:space="preserve"> Informed by Tyler (17) and Kunz, Hein and </w:t>
      </w:r>
      <w:proofErr w:type="spellStart"/>
      <w:r w:rsidRPr="00090A85">
        <w:rPr>
          <w:rFonts w:ascii="Times New Roman" w:hAnsi="Times New Roman" w:cs="Times New Roman"/>
        </w:rPr>
        <w:t>Sobirin</w:t>
      </w:r>
      <w:proofErr w:type="spellEnd"/>
      <w:r w:rsidRPr="00090A85">
        <w:rPr>
          <w:rFonts w:ascii="Times New Roman" w:hAnsi="Times New Roman" w:cs="Times New Roman"/>
        </w:rPr>
        <w:t xml:space="preserve"> (18), this dimension examines how regulatory processes include or exclude affected communities and how local knowledge is valued or devalued.</w:t>
      </w:r>
    </w:p>
    <w:p w14:paraId="5F035EF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Political Economy Dimension:</w:t>
      </w:r>
      <w:r w:rsidRPr="00090A85">
        <w:rPr>
          <w:rFonts w:ascii="Times New Roman" w:hAnsi="Times New Roman" w:cs="Times New Roman"/>
        </w:rPr>
        <w:t> This dimension considers power asymmetries, regulatory capture, political interference, and opportunity costs of enforcement (19,20).</w:t>
      </w:r>
    </w:p>
    <w:p w14:paraId="1F60542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These dimensions interact dynamically. Institutional capacity deficits exacerbate epistemic injustice; procedural injustice reinforces low trust and reduces complaint reporting; political economy constraints inhibit budget increases.</w:t>
      </w:r>
    </w:p>
    <w:p w14:paraId="4D8904C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1.6 New Knowledge Contribution and Research Questions</w:t>
      </w:r>
    </w:p>
    <w:p w14:paraId="1C8931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contributes five specific new knowledge contributions: (1) empirical documentation of trust erosion mechanisms through transparency, procedural fairness, and efficacy deficits; (2) direct links between regulatory failure and livelihood impacts on informal workers with gender-differentiated analysis; (3) a multi-dimensional regulatory failure framework; (4) comparative </w:t>
      </w:r>
      <w:r w:rsidRPr="00090A85">
        <w:rPr>
          <w:rFonts w:ascii="Times New Roman" w:hAnsi="Times New Roman" w:cs="Times New Roman"/>
        </w:rPr>
        <w:lastRenderedPageBreak/>
        <w:t xml:space="preserve">benchmarking against regional innovations; and (5) </w:t>
      </w:r>
      <w:proofErr w:type="spellStart"/>
      <w:r w:rsidRPr="00090A85">
        <w:rPr>
          <w:rFonts w:ascii="Times New Roman" w:hAnsi="Times New Roman" w:cs="Times New Roman"/>
        </w:rPr>
        <w:t>theorisation</w:t>
      </w:r>
      <w:proofErr w:type="spellEnd"/>
      <w:r w:rsidRPr="00090A85">
        <w:rPr>
          <w:rFonts w:ascii="Times New Roman" w:hAnsi="Times New Roman" w:cs="Times New Roman"/>
        </w:rPr>
        <w:t xml:space="preserve"> of the "complaint gap" as an indicator of institutional withdrawal.</w:t>
      </w:r>
    </w:p>
    <w:p w14:paraId="5637AC47" w14:textId="77777777" w:rsidR="00090A85" w:rsidRPr="00090A85" w:rsidRDefault="00090A85" w:rsidP="00C13202">
      <w:pPr>
        <w:spacing w:line="240" w:lineRule="auto"/>
        <w:rPr>
          <w:rFonts w:ascii="Times New Roman" w:hAnsi="Times New Roman" w:cs="Times New Roman"/>
        </w:rPr>
      </w:pPr>
      <w:r w:rsidRPr="00090A85">
        <w:rPr>
          <w:rFonts w:ascii="Times New Roman" w:hAnsi="Times New Roman" w:cs="Times New Roman"/>
          <w:b/>
          <w:bCs/>
        </w:rPr>
        <w:t>Research questions:</w:t>
      </w:r>
      <w:r w:rsidRPr="00090A85">
        <w:rPr>
          <w:rFonts w:ascii="Times New Roman" w:hAnsi="Times New Roman" w:cs="Times New Roman"/>
        </w:rPr>
        <w:br/>
      </w:r>
      <w:r w:rsidRPr="00090A85">
        <w:rPr>
          <w:rFonts w:ascii="Times New Roman" w:hAnsi="Times New Roman" w:cs="Times New Roman"/>
          <w:b/>
          <w:bCs/>
          <w:i/>
          <w:iCs/>
        </w:rPr>
        <w:t>RQ1:</w:t>
      </w:r>
      <w:r w:rsidRPr="00090A85">
        <w:rPr>
          <w:rFonts w:ascii="Times New Roman" w:hAnsi="Times New Roman" w:cs="Times New Roman"/>
          <w:i/>
          <w:iCs/>
        </w:rPr>
        <w:t> What is the level of community awareness of, contact with, and trust in ZEMA among vegetable vendors?</w:t>
      </w:r>
      <w:r w:rsidRPr="00090A85">
        <w:rPr>
          <w:rFonts w:ascii="Times New Roman" w:hAnsi="Times New Roman" w:cs="Times New Roman"/>
          <w:i/>
          <w:iCs/>
        </w:rPr>
        <w:br/>
      </w:r>
      <w:r w:rsidRPr="00090A85">
        <w:rPr>
          <w:rFonts w:ascii="Times New Roman" w:hAnsi="Times New Roman" w:cs="Times New Roman"/>
          <w:b/>
          <w:bCs/>
          <w:i/>
          <w:iCs/>
        </w:rPr>
        <w:t>RQ2:</w:t>
      </w:r>
      <w:r w:rsidRPr="00090A85">
        <w:rPr>
          <w:rFonts w:ascii="Times New Roman" w:hAnsi="Times New Roman" w:cs="Times New Roman"/>
          <w:i/>
          <w:iCs/>
        </w:rPr>
        <w:t xml:space="preserve"> What documented enforcement actions and monitoring practices </w:t>
      </w:r>
      <w:proofErr w:type="spellStart"/>
      <w:r w:rsidRPr="00090A85">
        <w:rPr>
          <w:rFonts w:ascii="Times New Roman" w:hAnsi="Times New Roman" w:cs="Times New Roman"/>
          <w:i/>
          <w:iCs/>
        </w:rPr>
        <w:t>characterise</w:t>
      </w:r>
      <w:proofErr w:type="spellEnd"/>
      <w:r w:rsidRPr="00090A85">
        <w:rPr>
          <w:rFonts w:ascii="Times New Roman" w:hAnsi="Times New Roman" w:cs="Times New Roman"/>
          <w:i/>
          <w:iCs/>
        </w:rPr>
        <w:t xml:space="preserve"> ZEMA's oversight?</w:t>
      </w:r>
      <w:r w:rsidRPr="00090A85">
        <w:rPr>
          <w:rFonts w:ascii="Times New Roman" w:hAnsi="Times New Roman" w:cs="Times New Roman"/>
          <w:i/>
          <w:iCs/>
        </w:rPr>
        <w:br/>
      </w:r>
      <w:r w:rsidRPr="00090A85">
        <w:rPr>
          <w:rFonts w:ascii="Times New Roman" w:hAnsi="Times New Roman" w:cs="Times New Roman"/>
          <w:b/>
          <w:bCs/>
          <w:i/>
          <w:iCs/>
        </w:rPr>
        <w:t>RQ3:</w:t>
      </w:r>
      <w:r w:rsidRPr="00090A85">
        <w:rPr>
          <w:rFonts w:ascii="Times New Roman" w:hAnsi="Times New Roman" w:cs="Times New Roman"/>
          <w:i/>
          <w:iCs/>
        </w:rPr>
        <w:t> What factors explain observed patterns of regulatory effectiveness or failure?</w:t>
      </w:r>
      <w:r w:rsidRPr="00090A85">
        <w:rPr>
          <w:rFonts w:ascii="Times New Roman" w:hAnsi="Times New Roman" w:cs="Times New Roman"/>
          <w:i/>
          <w:iCs/>
        </w:rPr>
        <w:br/>
      </w:r>
      <w:r w:rsidRPr="00090A85">
        <w:rPr>
          <w:rFonts w:ascii="Times New Roman" w:hAnsi="Times New Roman" w:cs="Times New Roman"/>
          <w:b/>
          <w:bCs/>
          <w:i/>
          <w:iCs/>
        </w:rPr>
        <w:t>RQ4:</w:t>
      </w:r>
      <w:r w:rsidRPr="00090A85">
        <w:rPr>
          <w:rFonts w:ascii="Times New Roman" w:hAnsi="Times New Roman" w:cs="Times New Roman"/>
          <w:i/>
          <w:iCs/>
        </w:rPr>
        <w:t> How does Zambia's practice compare with regional innovations?</w:t>
      </w:r>
    </w:p>
    <w:p w14:paraId="108B7AE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 MATERIALS AND METHODS</w:t>
      </w:r>
    </w:p>
    <w:p w14:paraId="51F6B75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2.1 Study Area</w:t>
      </w:r>
    </w:p>
    <w:p w14:paraId="00E3C8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The study was conducted in Freedom Compound, an informal settlement adjacent to the Lafarge Zambia (now Chilanga Cement) factory in Chilanga District, Lusaka Province. The settlement lies directly within the pollution fallout zone based on prevailing easterly winds. The plant has operated since 1949 with a production capacity of approximately 1.2 million </w:t>
      </w:r>
      <w:proofErr w:type="spellStart"/>
      <w:r w:rsidRPr="00090A85">
        <w:rPr>
          <w:rFonts w:ascii="Times New Roman" w:hAnsi="Times New Roman" w:cs="Times New Roman"/>
        </w:rPr>
        <w:t>tonnes</w:t>
      </w:r>
      <w:proofErr w:type="spellEnd"/>
      <w:r w:rsidRPr="00090A85">
        <w:rPr>
          <w:rFonts w:ascii="Times New Roman" w:hAnsi="Times New Roman" w:cs="Times New Roman"/>
        </w:rPr>
        <w:t xml:space="preserve"> per annum. The local economy is dominated by informal vegetable vending, with approximately 140 active vendors.</w:t>
      </w:r>
    </w:p>
    <w:p w14:paraId="3DA16F1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2.2 Research Design</w:t>
      </w:r>
    </w:p>
    <w:p w14:paraId="752FAA8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study adopted a convergent mixed methods design (21), integrating quantitative and qualitative data collection within a single phase. Triangulation across data sources enhanced credibility (22).</w:t>
      </w:r>
    </w:p>
    <w:p w14:paraId="40AD2AC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2.3 Sampling Strategies</w:t>
      </w:r>
    </w:p>
    <w:p w14:paraId="4E4EB6F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Vegetable vendors:</w:t>
      </w:r>
      <w:r w:rsidRPr="00090A85">
        <w:rPr>
          <w:rFonts w:ascii="Times New Roman" w:hAnsi="Times New Roman" w:cs="Times New Roman"/>
        </w:rPr>
        <w:t> A sampling frame was compiled through systematic walking tours. From 140 vendors, simple random sampling selected 100 for invitation; 87 completed the survey (87% response rate, approximately 62% of total population).</w:t>
      </w:r>
    </w:p>
    <w:p w14:paraId="3CCEBF3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Key informants:</w:t>
      </w:r>
      <w:r w:rsidRPr="00090A85">
        <w:rPr>
          <w:rFonts w:ascii="Times New Roman" w:hAnsi="Times New Roman" w:cs="Times New Roman"/>
        </w:rPr>
        <w:t> Purposive sampling included three ZEMA officials (Compliance and Enforcement, EIA departments), four community leaders, and one plant environmental manager.</w:t>
      </w:r>
    </w:p>
    <w:p w14:paraId="628A30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Focus groups:</w:t>
      </w:r>
      <w:r w:rsidRPr="00090A85">
        <w:rPr>
          <w:rFonts w:ascii="Times New Roman" w:hAnsi="Times New Roman" w:cs="Times New Roman"/>
        </w:rPr>
        <w:t> Four focus groups (total n=28) stratified by gender (two women's, two men's groups) to facilitate open discussion.</w:t>
      </w:r>
    </w:p>
    <w:p w14:paraId="6A61DD0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2.4 Data Collection Instruments</w:t>
      </w:r>
    </w:p>
    <w:p w14:paraId="476936E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Structured questionnaire:</w:t>
      </w:r>
      <w:r w:rsidRPr="00090A85">
        <w:rPr>
          <w:rFonts w:ascii="Times New Roman" w:hAnsi="Times New Roman" w:cs="Times New Roman"/>
        </w:rPr>
        <w:t> Developed specifically for this study and piloted with 10 vendors. Sections covered: demographics, exposure patterns, economic impacts, awareness of ZEMA, and regulatory perceptions using five-point Likert scales. Administered face-to-face in Nyanja.</w:t>
      </w:r>
    </w:p>
    <w:p w14:paraId="2A6B07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Semi-structured interviews:</w:t>
      </w:r>
      <w:r w:rsidRPr="00090A85">
        <w:rPr>
          <w:rFonts w:ascii="Times New Roman" w:hAnsi="Times New Roman" w:cs="Times New Roman"/>
        </w:rPr>
        <w:t> Separate guides for ZEMA officials, community leaders, and plant management explored regulatory mandate, monitoring protocols, resource constraints, enforcement practices, and community engagement. Interviews lasted 45–90 minutes and were audio recorded.</w:t>
      </w:r>
    </w:p>
    <w:p w14:paraId="670577E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Focus group discussions:</w:t>
      </w:r>
      <w:r w:rsidRPr="00090A85">
        <w:rPr>
          <w:rFonts w:ascii="Times New Roman" w:hAnsi="Times New Roman" w:cs="Times New Roman"/>
        </w:rPr>
        <w:t> Guides covered collective pollution experiences, health effects, economic coping strategies, and regulatory perceptions. Discussions lasted approximately 90 minutes and were audio recorded.</w:t>
      </w:r>
    </w:p>
    <w:p w14:paraId="57D50CC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Document review:</w:t>
      </w:r>
      <w:r w:rsidRPr="00090A85">
        <w:rPr>
          <w:rFonts w:ascii="Times New Roman" w:hAnsi="Times New Roman" w:cs="Times New Roman"/>
        </w:rPr>
        <w:t> Systematic analysis (23) of legal instruments, enforcement records (including the 2009 ECZ case file), corporate sustainability reports (2010–2019), and academic literature.</w:t>
      </w:r>
    </w:p>
    <w:p w14:paraId="23588C9B"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2.5 Data Analysis</w:t>
      </w:r>
    </w:p>
    <w:p w14:paraId="1716ED6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Quantitative data were entered into SPSS Version 25 with double-entry verification. Descriptive statistics (frequencies, percentages, means, standard deviations) were computed. Chi-square tests examined associations between trust and demographic variables.</w:t>
      </w:r>
    </w:p>
    <w:p w14:paraId="659D584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Qualitative data were transcribed verbatim, with Nyanja transcripts translated into English and checked by an independent translator. Thematic analysis followed Braun and Clarke's (24) six-phase procedure using NVivo 12. Codes were generated inductively then deductively mapped to the four conceptual framework dimensions.</w:t>
      </w:r>
    </w:p>
    <w:p w14:paraId="604FDAC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Triangulation was achieved through a matrix </w:t>
      </w:r>
      <w:proofErr w:type="spellStart"/>
      <w:r w:rsidRPr="00090A85">
        <w:rPr>
          <w:rFonts w:ascii="Times New Roman" w:hAnsi="Times New Roman" w:cs="Times New Roman"/>
        </w:rPr>
        <w:t>organised</w:t>
      </w:r>
      <w:proofErr w:type="spellEnd"/>
      <w:r w:rsidRPr="00090A85">
        <w:rPr>
          <w:rFonts w:ascii="Times New Roman" w:hAnsi="Times New Roman" w:cs="Times New Roman"/>
        </w:rPr>
        <w:t xml:space="preserve"> by research question and conceptual dimension, identifying convergence, divergence, and complementarity.</w:t>
      </w:r>
    </w:p>
    <w:p w14:paraId="728804D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2.6 Ethical Considerations</w:t>
      </w:r>
    </w:p>
    <w:p w14:paraId="672E87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Ethical approval was obtained from the University of Lusaka Research Ethics Committee (Approval Number: UNILUS/REC/2019/017) and the Zambia National Health Research Authority. All participants provided written or witnessed verbal informed consent. Confidentiality was ensured through </w:t>
      </w:r>
      <w:proofErr w:type="spellStart"/>
      <w:r w:rsidRPr="00090A85">
        <w:rPr>
          <w:rFonts w:ascii="Times New Roman" w:hAnsi="Times New Roman" w:cs="Times New Roman"/>
        </w:rPr>
        <w:t>anonymisation</w:t>
      </w:r>
      <w:proofErr w:type="spellEnd"/>
      <w:r w:rsidRPr="00090A85">
        <w:rPr>
          <w:rFonts w:ascii="Times New Roman" w:hAnsi="Times New Roman" w:cs="Times New Roman"/>
        </w:rPr>
        <w:t>. Female research assistants facilitated women's focus groups to mitigate gender-related disclosure barriers.</w:t>
      </w:r>
    </w:p>
    <w:p w14:paraId="7F0084CB"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2.7 Methodological Limitations Acknowledged</w:t>
      </w:r>
    </w:p>
    <w:p w14:paraId="51F355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Several limitations are acknowledged prospectively. First, the study did not independently verify emissions data or conduct ambient air quality monitoring due to equipment constraints. Second, the cross-sectional design precludes causal inference. Third, focus on a single facility limits </w:t>
      </w:r>
      <w:proofErr w:type="spellStart"/>
      <w:r w:rsidRPr="00090A85">
        <w:rPr>
          <w:rFonts w:ascii="Times New Roman" w:hAnsi="Times New Roman" w:cs="Times New Roman"/>
        </w:rPr>
        <w:t>generalisability</w:t>
      </w:r>
      <w:proofErr w:type="spellEnd"/>
      <w:r w:rsidRPr="00090A85">
        <w:rPr>
          <w:rFonts w:ascii="Times New Roman" w:hAnsi="Times New Roman" w:cs="Times New Roman"/>
        </w:rPr>
        <w:t>. Fourth, formal regulatory capture analysis (e.g., network mapping) was not undertaken. Fifth, self-reported regulatory data may be subject to social desirability bias. Sixth, recall bias may affect vendor reports. Seventh, language translation from Nyanja to English may have resulted in loss of nuance.</w:t>
      </w:r>
    </w:p>
    <w:p w14:paraId="667F05F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 RESULTS</w:t>
      </w:r>
    </w:p>
    <w:p w14:paraId="32141C50"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3.1 Demographic Characteristics of Respondents</w:t>
      </w:r>
    </w:p>
    <w:p w14:paraId="488EE52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Table 1 presents the demographic characteristics of 87 vegetable vendor respondents. Female vendors predominated (72.4%, n=63). Education levels were low, with 63.2% (n=55) having no formal schooling or only primary education. Length of residence was substantial, with 52.8% (n=46) having lived in the area for more than 10 years and 54.0% (n=47) having vended for more than 5 years.</w:t>
      </w:r>
    </w:p>
    <w:p w14:paraId="2CF9FC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1: Demographic Characteristics of Vegetable Vendor Respondents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960"/>
        <w:gridCol w:w="720"/>
        <w:gridCol w:w="900"/>
        <w:gridCol w:w="1220"/>
      </w:tblGrid>
      <w:tr w:rsidR="00090A85" w:rsidRPr="00090A85" w14:paraId="7AC188E1" w14:textId="77777777" w:rsidTr="00090A85">
        <w:trPr>
          <w:tblHeader/>
        </w:trPr>
        <w:tc>
          <w:tcPr>
            <w:tcW w:w="0" w:type="auto"/>
            <w:tcMar>
              <w:top w:w="150" w:type="dxa"/>
              <w:left w:w="0" w:type="dxa"/>
              <w:bottom w:w="150" w:type="dxa"/>
              <w:right w:w="240" w:type="dxa"/>
            </w:tcMar>
            <w:vAlign w:val="center"/>
            <w:hideMark/>
          </w:tcPr>
          <w:p w14:paraId="0D6928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Characteristic</w:t>
            </w:r>
          </w:p>
        </w:tc>
        <w:tc>
          <w:tcPr>
            <w:tcW w:w="0" w:type="auto"/>
            <w:tcMar>
              <w:top w:w="150" w:type="dxa"/>
              <w:left w:w="240" w:type="dxa"/>
              <w:bottom w:w="150" w:type="dxa"/>
              <w:right w:w="240" w:type="dxa"/>
            </w:tcMar>
            <w:vAlign w:val="center"/>
            <w:hideMark/>
          </w:tcPr>
          <w:p w14:paraId="1649619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1832A0C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c>
          <w:tcPr>
            <w:tcW w:w="0" w:type="auto"/>
            <w:tcMar>
              <w:top w:w="150" w:type="dxa"/>
              <w:left w:w="240" w:type="dxa"/>
              <w:bottom w:w="150" w:type="dxa"/>
              <w:right w:w="240" w:type="dxa"/>
            </w:tcMar>
            <w:vAlign w:val="center"/>
            <w:hideMark/>
          </w:tcPr>
          <w:p w14:paraId="694F870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AFB037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r>
      <w:tr w:rsidR="00090A85" w:rsidRPr="00090A85" w14:paraId="24425047" w14:textId="77777777" w:rsidTr="00090A85">
        <w:tc>
          <w:tcPr>
            <w:tcW w:w="0" w:type="auto"/>
            <w:tcMar>
              <w:top w:w="150" w:type="dxa"/>
              <w:left w:w="0" w:type="dxa"/>
              <w:bottom w:w="150" w:type="dxa"/>
              <w:right w:w="240" w:type="dxa"/>
            </w:tcMar>
            <w:vAlign w:val="center"/>
            <w:hideMark/>
          </w:tcPr>
          <w:p w14:paraId="6DAD21F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Gender</w:t>
            </w:r>
          </w:p>
        </w:tc>
        <w:tc>
          <w:tcPr>
            <w:tcW w:w="0" w:type="auto"/>
            <w:tcMar>
              <w:top w:w="150" w:type="dxa"/>
              <w:left w:w="240" w:type="dxa"/>
              <w:bottom w:w="150" w:type="dxa"/>
              <w:right w:w="240" w:type="dxa"/>
            </w:tcMar>
            <w:vAlign w:val="center"/>
            <w:hideMark/>
          </w:tcPr>
          <w:p w14:paraId="25FCCEE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Female</w:t>
            </w:r>
          </w:p>
        </w:tc>
        <w:tc>
          <w:tcPr>
            <w:tcW w:w="0" w:type="auto"/>
            <w:tcMar>
              <w:top w:w="150" w:type="dxa"/>
              <w:left w:w="240" w:type="dxa"/>
              <w:bottom w:w="150" w:type="dxa"/>
              <w:right w:w="240" w:type="dxa"/>
            </w:tcMar>
            <w:vAlign w:val="center"/>
            <w:hideMark/>
          </w:tcPr>
          <w:p w14:paraId="6E9978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63</w:t>
            </w:r>
          </w:p>
        </w:tc>
        <w:tc>
          <w:tcPr>
            <w:tcW w:w="0" w:type="auto"/>
            <w:tcMar>
              <w:top w:w="150" w:type="dxa"/>
              <w:left w:w="240" w:type="dxa"/>
              <w:bottom w:w="150" w:type="dxa"/>
              <w:right w:w="240" w:type="dxa"/>
            </w:tcMar>
            <w:vAlign w:val="center"/>
            <w:hideMark/>
          </w:tcPr>
          <w:p w14:paraId="10C24C7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72.4</w:t>
            </w:r>
          </w:p>
        </w:tc>
        <w:tc>
          <w:tcPr>
            <w:tcW w:w="0" w:type="auto"/>
            <w:tcMar>
              <w:top w:w="150" w:type="dxa"/>
              <w:left w:w="240" w:type="dxa"/>
              <w:bottom w:w="150" w:type="dxa"/>
              <w:right w:w="0" w:type="dxa"/>
            </w:tcMar>
            <w:vAlign w:val="center"/>
            <w:hideMark/>
          </w:tcPr>
          <w:p w14:paraId="08FB1AD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62.5–81.0</w:t>
            </w:r>
          </w:p>
        </w:tc>
      </w:tr>
      <w:tr w:rsidR="00090A85" w:rsidRPr="00090A85" w14:paraId="70382FD2" w14:textId="77777777" w:rsidTr="00090A85">
        <w:tc>
          <w:tcPr>
            <w:tcW w:w="0" w:type="auto"/>
            <w:tcMar>
              <w:top w:w="150" w:type="dxa"/>
              <w:left w:w="0" w:type="dxa"/>
              <w:bottom w:w="150" w:type="dxa"/>
              <w:right w:w="240" w:type="dxa"/>
            </w:tcMar>
            <w:vAlign w:val="center"/>
            <w:hideMark/>
          </w:tcPr>
          <w:p w14:paraId="1F0E6BEB"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74ECBB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Male</w:t>
            </w:r>
          </w:p>
        </w:tc>
        <w:tc>
          <w:tcPr>
            <w:tcW w:w="0" w:type="auto"/>
            <w:tcMar>
              <w:top w:w="150" w:type="dxa"/>
              <w:left w:w="240" w:type="dxa"/>
              <w:bottom w:w="150" w:type="dxa"/>
              <w:right w:w="240" w:type="dxa"/>
            </w:tcMar>
            <w:vAlign w:val="center"/>
            <w:hideMark/>
          </w:tcPr>
          <w:p w14:paraId="74EA384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w:t>
            </w:r>
          </w:p>
        </w:tc>
        <w:tc>
          <w:tcPr>
            <w:tcW w:w="0" w:type="auto"/>
            <w:tcMar>
              <w:top w:w="150" w:type="dxa"/>
              <w:left w:w="240" w:type="dxa"/>
              <w:bottom w:w="150" w:type="dxa"/>
              <w:right w:w="240" w:type="dxa"/>
            </w:tcMar>
            <w:vAlign w:val="center"/>
            <w:hideMark/>
          </w:tcPr>
          <w:p w14:paraId="587D948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27.6</w:t>
            </w:r>
          </w:p>
        </w:tc>
        <w:tc>
          <w:tcPr>
            <w:tcW w:w="0" w:type="auto"/>
            <w:tcMar>
              <w:top w:w="150" w:type="dxa"/>
              <w:left w:w="240" w:type="dxa"/>
              <w:bottom w:w="150" w:type="dxa"/>
              <w:right w:w="0" w:type="dxa"/>
            </w:tcMar>
            <w:vAlign w:val="center"/>
            <w:hideMark/>
          </w:tcPr>
          <w:p w14:paraId="64B78A0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19.0–37.5</w:t>
            </w:r>
          </w:p>
        </w:tc>
      </w:tr>
      <w:tr w:rsidR="00090A85" w:rsidRPr="00090A85" w14:paraId="0E28F236" w14:textId="77777777" w:rsidTr="00090A85">
        <w:tc>
          <w:tcPr>
            <w:tcW w:w="0" w:type="auto"/>
            <w:tcMar>
              <w:top w:w="150" w:type="dxa"/>
              <w:left w:w="0" w:type="dxa"/>
              <w:bottom w:w="150" w:type="dxa"/>
              <w:right w:w="240" w:type="dxa"/>
            </w:tcMar>
            <w:vAlign w:val="center"/>
            <w:hideMark/>
          </w:tcPr>
          <w:p w14:paraId="368F8B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Age group</w:t>
            </w:r>
          </w:p>
        </w:tc>
        <w:tc>
          <w:tcPr>
            <w:tcW w:w="0" w:type="auto"/>
            <w:tcMar>
              <w:top w:w="150" w:type="dxa"/>
              <w:left w:w="240" w:type="dxa"/>
              <w:bottom w:w="150" w:type="dxa"/>
              <w:right w:w="240" w:type="dxa"/>
            </w:tcMar>
            <w:vAlign w:val="center"/>
            <w:hideMark/>
          </w:tcPr>
          <w:p w14:paraId="3BE172C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18–30 years</w:t>
            </w:r>
          </w:p>
        </w:tc>
        <w:tc>
          <w:tcPr>
            <w:tcW w:w="0" w:type="auto"/>
            <w:tcMar>
              <w:top w:w="150" w:type="dxa"/>
              <w:left w:w="240" w:type="dxa"/>
              <w:bottom w:w="150" w:type="dxa"/>
              <w:right w:w="240" w:type="dxa"/>
            </w:tcMar>
            <w:vAlign w:val="center"/>
            <w:hideMark/>
          </w:tcPr>
          <w:p w14:paraId="52FD2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w:t>
            </w:r>
          </w:p>
        </w:tc>
        <w:tc>
          <w:tcPr>
            <w:tcW w:w="0" w:type="auto"/>
            <w:tcMar>
              <w:top w:w="150" w:type="dxa"/>
              <w:left w:w="240" w:type="dxa"/>
              <w:bottom w:w="150" w:type="dxa"/>
              <w:right w:w="240" w:type="dxa"/>
            </w:tcMar>
            <w:vAlign w:val="center"/>
            <w:hideMark/>
          </w:tcPr>
          <w:p w14:paraId="547D2E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13.8</w:t>
            </w:r>
          </w:p>
        </w:tc>
        <w:tc>
          <w:tcPr>
            <w:tcW w:w="0" w:type="auto"/>
            <w:tcMar>
              <w:top w:w="150" w:type="dxa"/>
              <w:left w:w="240" w:type="dxa"/>
              <w:bottom w:w="150" w:type="dxa"/>
              <w:right w:w="0" w:type="dxa"/>
            </w:tcMar>
            <w:vAlign w:val="center"/>
            <w:hideMark/>
          </w:tcPr>
          <w:p w14:paraId="616F840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7.5–22.5</w:t>
            </w:r>
          </w:p>
        </w:tc>
      </w:tr>
      <w:tr w:rsidR="00090A85" w:rsidRPr="00090A85" w14:paraId="0C7D80B8" w14:textId="77777777" w:rsidTr="00090A85">
        <w:tc>
          <w:tcPr>
            <w:tcW w:w="0" w:type="auto"/>
            <w:tcMar>
              <w:top w:w="150" w:type="dxa"/>
              <w:left w:w="0" w:type="dxa"/>
              <w:bottom w:w="150" w:type="dxa"/>
              <w:right w:w="240" w:type="dxa"/>
            </w:tcMar>
            <w:vAlign w:val="center"/>
            <w:hideMark/>
          </w:tcPr>
          <w:p w14:paraId="53E0CA26"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1B7E70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31–45 years</w:t>
            </w:r>
          </w:p>
        </w:tc>
        <w:tc>
          <w:tcPr>
            <w:tcW w:w="0" w:type="auto"/>
            <w:tcMar>
              <w:top w:w="150" w:type="dxa"/>
              <w:left w:w="240" w:type="dxa"/>
              <w:bottom w:w="150" w:type="dxa"/>
              <w:right w:w="240" w:type="dxa"/>
            </w:tcMar>
            <w:vAlign w:val="center"/>
            <w:hideMark/>
          </w:tcPr>
          <w:p w14:paraId="3727AFF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w:t>
            </w:r>
          </w:p>
        </w:tc>
        <w:tc>
          <w:tcPr>
            <w:tcW w:w="0" w:type="auto"/>
            <w:tcMar>
              <w:top w:w="150" w:type="dxa"/>
              <w:left w:w="240" w:type="dxa"/>
              <w:bottom w:w="150" w:type="dxa"/>
              <w:right w:w="240" w:type="dxa"/>
            </w:tcMar>
            <w:vAlign w:val="center"/>
            <w:hideMark/>
          </w:tcPr>
          <w:p w14:paraId="08978E3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47.1</w:t>
            </w:r>
          </w:p>
        </w:tc>
        <w:tc>
          <w:tcPr>
            <w:tcW w:w="0" w:type="auto"/>
            <w:tcMar>
              <w:top w:w="150" w:type="dxa"/>
              <w:left w:w="240" w:type="dxa"/>
              <w:bottom w:w="150" w:type="dxa"/>
              <w:right w:w="0" w:type="dxa"/>
            </w:tcMar>
            <w:vAlign w:val="center"/>
            <w:hideMark/>
          </w:tcPr>
          <w:p w14:paraId="3936F5B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36.7–57.6</w:t>
            </w:r>
          </w:p>
        </w:tc>
      </w:tr>
      <w:tr w:rsidR="00090A85" w:rsidRPr="00090A85" w14:paraId="5BB57570" w14:textId="77777777" w:rsidTr="00090A85">
        <w:tc>
          <w:tcPr>
            <w:tcW w:w="0" w:type="auto"/>
            <w:tcMar>
              <w:top w:w="150" w:type="dxa"/>
              <w:left w:w="0" w:type="dxa"/>
              <w:bottom w:w="150" w:type="dxa"/>
              <w:right w:w="240" w:type="dxa"/>
            </w:tcMar>
            <w:vAlign w:val="center"/>
            <w:hideMark/>
          </w:tcPr>
          <w:p w14:paraId="45BFC366"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8B7EE8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46–60 years</w:t>
            </w:r>
          </w:p>
        </w:tc>
        <w:tc>
          <w:tcPr>
            <w:tcW w:w="0" w:type="auto"/>
            <w:tcMar>
              <w:top w:w="150" w:type="dxa"/>
              <w:left w:w="240" w:type="dxa"/>
              <w:bottom w:w="150" w:type="dxa"/>
              <w:right w:w="240" w:type="dxa"/>
            </w:tcMar>
            <w:vAlign w:val="center"/>
            <w:hideMark/>
          </w:tcPr>
          <w:p w14:paraId="7345AB8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28</w:t>
            </w:r>
          </w:p>
        </w:tc>
        <w:tc>
          <w:tcPr>
            <w:tcW w:w="0" w:type="auto"/>
            <w:tcMar>
              <w:top w:w="150" w:type="dxa"/>
              <w:left w:w="240" w:type="dxa"/>
              <w:bottom w:w="150" w:type="dxa"/>
              <w:right w:w="240" w:type="dxa"/>
            </w:tcMar>
            <w:vAlign w:val="center"/>
            <w:hideMark/>
          </w:tcPr>
          <w:p w14:paraId="52D1F34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32.2</w:t>
            </w:r>
          </w:p>
        </w:tc>
        <w:tc>
          <w:tcPr>
            <w:tcW w:w="0" w:type="auto"/>
            <w:tcMar>
              <w:top w:w="150" w:type="dxa"/>
              <w:left w:w="240" w:type="dxa"/>
              <w:bottom w:w="150" w:type="dxa"/>
              <w:right w:w="0" w:type="dxa"/>
            </w:tcMar>
            <w:vAlign w:val="center"/>
            <w:hideMark/>
          </w:tcPr>
          <w:p w14:paraId="5B6F66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23.0–42.5</w:t>
            </w:r>
          </w:p>
        </w:tc>
      </w:tr>
      <w:tr w:rsidR="00090A85" w:rsidRPr="00090A85" w14:paraId="09D7FCD5" w14:textId="77777777" w:rsidTr="00090A85">
        <w:tc>
          <w:tcPr>
            <w:tcW w:w="0" w:type="auto"/>
            <w:tcMar>
              <w:top w:w="150" w:type="dxa"/>
              <w:left w:w="0" w:type="dxa"/>
              <w:bottom w:w="150" w:type="dxa"/>
              <w:right w:w="240" w:type="dxa"/>
            </w:tcMar>
            <w:vAlign w:val="center"/>
            <w:hideMark/>
          </w:tcPr>
          <w:p w14:paraId="5B672A1E"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FC7B8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&gt;60 years</w:t>
            </w:r>
          </w:p>
        </w:tc>
        <w:tc>
          <w:tcPr>
            <w:tcW w:w="0" w:type="auto"/>
            <w:tcMar>
              <w:top w:w="150" w:type="dxa"/>
              <w:left w:w="240" w:type="dxa"/>
              <w:bottom w:w="150" w:type="dxa"/>
              <w:right w:w="240" w:type="dxa"/>
            </w:tcMar>
            <w:vAlign w:val="center"/>
            <w:hideMark/>
          </w:tcPr>
          <w:p w14:paraId="4BF7833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w:t>
            </w:r>
          </w:p>
        </w:tc>
        <w:tc>
          <w:tcPr>
            <w:tcW w:w="0" w:type="auto"/>
            <w:tcMar>
              <w:top w:w="150" w:type="dxa"/>
              <w:left w:w="240" w:type="dxa"/>
              <w:bottom w:w="150" w:type="dxa"/>
              <w:right w:w="240" w:type="dxa"/>
            </w:tcMar>
            <w:vAlign w:val="center"/>
            <w:hideMark/>
          </w:tcPr>
          <w:p w14:paraId="7172F71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6.9</w:t>
            </w:r>
          </w:p>
        </w:tc>
        <w:tc>
          <w:tcPr>
            <w:tcW w:w="0" w:type="auto"/>
            <w:tcMar>
              <w:top w:w="150" w:type="dxa"/>
              <w:left w:w="240" w:type="dxa"/>
              <w:bottom w:w="150" w:type="dxa"/>
              <w:right w:w="0" w:type="dxa"/>
            </w:tcMar>
            <w:vAlign w:val="center"/>
            <w:hideMark/>
          </w:tcPr>
          <w:p w14:paraId="627DA9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2.6–14.2</w:t>
            </w:r>
          </w:p>
        </w:tc>
      </w:tr>
      <w:tr w:rsidR="00090A85" w:rsidRPr="00090A85" w14:paraId="4FEA3EF0" w14:textId="77777777" w:rsidTr="00090A85">
        <w:tc>
          <w:tcPr>
            <w:tcW w:w="0" w:type="auto"/>
            <w:tcMar>
              <w:top w:w="150" w:type="dxa"/>
              <w:left w:w="0" w:type="dxa"/>
              <w:bottom w:w="150" w:type="dxa"/>
              <w:right w:w="240" w:type="dxa"/>
            </w:tcMar>
            <w:vAlign w:val="center"/>
            <w:hideMark/>
          </w:tcPr>
          <w:p w14:paraId="3E0B1D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Education</w:t>
            </w:r>
          </w:p>
        </w:tc>
        <w:tc>
          <w:tcPr>
            <w:tcW w:w="0" w:type="auto"/>
            <w:tcMar>
              <w:top w:w="150" w:type="dxa"/>
              <w:left w:w="240" w:type="dxa"/>
              <w:bottom w:w="150" w:type="dxa"/>
              <w:right w:w="240" w:type="dxa"/>
            </w:tcMar>
            <w:vAlign w:val="center"/>
            <w:hideMark/>
          </w:tcPr>
          <w:p w14:paraId="4B869B9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formal schooling</w:t>
            </w:r>
          </w:p>
        </w:tc>
        <w:tc>
          <w:tcPr>
            <w:tcW w:w="0" w:type="auto"/>
            <w:tcMar>
              <w:top w:w="150" w:type="dxa"/>
              <w:left w:w="240" w:type="dxa"/>
              <w:bottom w:w="150" w:type="dxa"/>
              <w:right w:w="240" w:type="dxa"/>
            </w:tcMar>
            <w:vAlign w:val="center"/>
            <w:hideMark/>
          </w:tcPr>
          <w:p w14:paraId="060C52B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w:t>
            </w:r>
          </w:p>
        </w:tc>
        <w:tc>
          <w:tcPr>
            <w:tcW w:w="0" w:type="auto"/>
            <w:tcMar>
              <w:top w:w="150" w:type="dxa"/>
              <w:left w:w="240" w:type="dxa"/>
              <w:bottom w:w="150" w:type="dxa"/>
              <w:right w:w="240" w:type="dxa"/>
            </w:tcMar>
            <w:vAlign w:val="center"/>
            <w:hideMark/>
          </w:tcPr>
          <w:p w14:paraId="21CEF6C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24.1</w:t>
            </w:r>
          </w:p>
        </w:tc>
        <w:tc>
          <w:tcPr>
            <w:tcW w:w="0" w:type="auto"/>
            <w:tcMar>
              <w:top w:w="150" w:type="dxa"/>
              <w:left w:w="240" w:type="dxa"/>
              <w:bottom w:w="150" w:type="dxa"/>
              <w:right w:w="0" w:type="dxa"/>
            </w:tcMar>
            <w:vAlign w:val="center"/>
            <w:hideMark/>
          </w:tcPr>
          <w:p w14:paraId="1BDEDD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15.5–34.5</w:t>
            </w:r>
          </w:p>
        </w:tc>
      </w:tr>
      <w:tr w:rsidR="00090A85" w:rsidRPr="00090A85" w14:paraId="6523621D" w14:textId="77777777" w:rsidTr="00090A85">
        <w:tc>
          <w:tcPr>
            <w:tcW w:w="0" w:type="auto"/>
            <w:tcMar>
              <w:top w:w="150" w:type="dxa"/>
              <w:left w:w="0" w:type="dxa"/>
              <w:bottom w:w="150" w:type="dxa"/>
              <w:right w:w="240" w:type="dxa"/>
            </w:tcMar>
            <w:vAlign w:val="center"/>
            <w:hideMark/>
          </w:tcPr>
          <w:p w14:paraId="687D4CE9"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9FC6AA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Primary (grades 1–7)</w:t>
            </w:r>
          </w:p>
        </w:tc>
        <w:tc>
          <w:tcPr>
            <w:tcW w:w="0" w:type="auto"/>
            <w:tcMar>
              <w:top w:w="150" w:type="dxa"/>
              <w:left w:w="240" w:type="dxa"/>
              <w:bottom w:w="150" w:type="dxa"/>
              <w:right w:w="240" w:type="dxa"/>
            </w:tcMar>
            <w:vAlign w:val="center"/>
            <w:hideMark/>
          </w:tcPr>
          <w:p w14:paraId="5395352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w:t>
            </w:r>
          </w:p>
        </w:tc>
        <w:tc>
          <w:tcPr>
            <w:tcW w:w="0" w:type="auto"/>
            <w:tcMar>
              <w:top w:w="150" w:type="dxa"/>
              <w:left w:w="240" w:type="dxa"/>
              <w:bottom w:w="150" w:type="dxa"/>
              <w:right w:w="240" w:type="dxa"/>
            </w:tcMar>
            <w:vAlign w:val="center"/>
            <w:hideMark/>
          </w:tcPr>
          <w:p w14:paraId="1E241B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39.1</w:t>
            </w:r>
          </w:p>
        </w:tc>
        <w:tc>
          <w:tcPr>
            <w:tcW w:w="0" w:type="auto"/>
            <w:tcMar>
              <w:top w:w="150" w:type="dxa"/>
              <w:left w:w="240" w:type="dxa"/>
              <w:bottom w:w="150" w:type="dxa"/>
              <w:right w:w="0" w:type="dxa"/>
            </w:tcMar>
            <w:vAlign w:val="center"/>
            <w:hideMark/>
          </w:tcPr>
          <w:p w14:paraId="6A3A999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29.2–49.6</w:t>
            </w:r>
          </w:p>
        </w:tc>
      </w:tr>
      <w:tr w:rsidR="00090A85" w:rsidRPr="00090A85" w14:paraId="65A3DA87" w14:textId="77777777" w:rsidTr="00090A85">
        <w:tc>
          <w:tcPr>
            <w:tcW w:w="0" w:type="auto"/>
            <w:tcMar>
              <w:top w:w="150" w:type="dxa"/>
              <w:left w:w="0" w:type="dxa"/>
              <w:bottom w:w="150" w:type="dxa"/>
              <w:right w:w="240" w:type="dxa"/>
            </w:tcMar>
            <w:vAlign w:val="center"/>
            <w:hideMark/>
          </w:tcPr>
          <w:p w14:paraId="1977E315"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74F495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Junior secondary (8–9)</w:t>
            </w:r>
          </w:p>
        </w:tc>
        <w:tc>
          <w:tcPr>
            <w:tcW w:w="0" w:type="auto"/>
            <w:tcMar>
              <w:top w:w="150" w:type="dxa"/>
              <w:left w:w="240" w:type="dxa"/>
              <w:bottom w:w="150" w:type="dxa"/>
              <w:right w:w="240" w:type="dxa"/>
            </w:tcMar>
            <w:vAlign w:val="center"/>
            <w:hideMark/>
          </w:tcPr>
          <w:p w14:paraId="27BE391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47A226E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32BBB1E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5A2F7C5B" w14:textId="77777777" w:rsidTr="00090A85">
        <w:tc>
          <w:tcPr>
            <w:tcW w:w="0" w:type="auto"/>
            <w:tcMar>
              <w:top w:w="150" w:type="dxa"/>
              <w:left w:w="0" w:type="dxa"/>
              <w:bottom w:w="150" w:type="dxa"/>
              <w:right w:w="240" w:type="dxa"/>
            </w:tcMar>
            <w:vAlign w:val="center"/>
            <w:hideMark/>
          </w:tcPr>
          <w:p w14:paraId="5A036C6B"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0633C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Senior secondary (10–12)</w:t>
            </w:r>
          </w:p>
        </w:tc>
        <w:tc>
          <w:tcPr>
            <w:tcW w:w="0" w:type="auto"/>
            <w:tcMar>
              <w:top w:w="150" w:type="dxa"/>
              <w:left w:w="240" w:type="dxa"/>
              <w:bottom w:w="150" w:type="dxa"/>
              <w:right w:w="240" w:type="dxa"/>
            </w:tcMar>
            <w:vAlign w:val="center"/>
            <w:hideMark/>
          </w:tcPr>
          <w:p w14:paraId="0A2749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w:t>
            </w:r>
          </w:p>
        </w:tc>
        <w:tc>
          <w:tcPr>
            <w:tcW w:w="0" w:type="auto"/>
            <w:tcMar>
              <w:top w:w="150" w:type="dxa"/>
              <w:left w:w="240" w:type="dxa"/>
              <w:bottom w:w="150" w:type="dxa"/>
              <w:right w:w="240" w:type="dxa"/>
            </w:tcMar>
            <w:vAlign w:val="center"/>
            <w:hideMark/>
          </w:tcPr>
          <w:p w14:paraId="203D239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13.8</w:t>
            </w:r>
          </w:p>
        </w:tc>
        <w:tc>
          <w:tcPr>
            <w:tcW w:w="0" w:type="auto"/>
            <w:tcMar>
              <w:top w:w="150" w:type="dxa"/>
              <w:left w:w="240" w:type="dxa"/>
              <w:bottom w:w="150" w:type="dxa"/>
              <w:right w:w="0" w:type="dxa"/>
            </w:tcMar>
            <w:vAlign w:val="center"/>
            <w:hideMark/>
          </w:tcPr>
          <w:p w14:paraId="648B971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7.5–22.5</w:t>
            </w:r>
          </w:p>
        </w:tc>
      </w:tr>
      <w:tr w:rsidR="00090A85" w:rsidRPr="00090A85" w14:paraId="1E8CFBD7" w14:textId="77777777" w:rsidTr="00090A85">
        <w:tc>
          <w:tcPr>
            <w:tcW w:w="0" w:type="auto"/>
            <w:tcMar>
              <w:top w:w="150" w:type="dxa"/>
              <w:left w:w="0" w:type="dxa"/>
              <w:bottom w:w="150" w:type="dxa"/>
              <w:right w:w="240" w:type="dxa"/>
            </w:tcMar>
            <w:vAlign w:val="center"/>
            <w:hideMark/>
          </w:tcPr>
          <w:p w14:paraId="6AC2A1B2"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7C2266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Post-secondary</w:t>
            </w:r>
          </w:p>
        </w:tc>
        <w:tc>
          <w:tcPr>
            <w:tcW w:w="0" w:type="auto"/>
            <w:tcMar>
              <w:top w:w="150" w:type="dxa"/>
              <w:left w:w="240" w:type="dxa"/>
              <w:bottom w:w="150" w:type="dxa"/>
              <w:right w:w="240" w:type="dxa"/>
            </w:tcMar>
            <w:vAlign w:val="center"/>
            <w:hideMark/>
          </w:tcPr>
          <w:p w14:paraId="7E48C14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w:t>
            </w:r>
          </w:p>
        </w:tc>
        <w:tc>
          <w:tcPr>
            <w:tcW w:w="0" w:type="auto"/>
            <w:tcMar>
              <w:top w:w="150" w:type="dxa"/>
              <w:left w:w="240" w:type="dxa"/>
              <w:bottom w:w="150" w:type="dxa"/>
              <w:right w:w="240" w:type="dxa"/>
            </w:tcMar>
            <w:vAlign w:val="center"/>
            <w:hideMark/>
          </w:tcPr>
          <w:p w14:paraId="482B4B3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w:t>
            </w:r>
          </w:p>
        </w:tc>
        <w:tc>
          <w:tcPr>
            <w:tcW w:w="0" w:type="auto"/>
            <w:tcMar>
              <w:top w:w="150" w:type="dxa"/>
              <w:left w:w="240" w:type="dxa"/>
              <w:bottom w:w="150" w:type="dxa"/>
              <w:right w:w="0" w:type="dxa"/>
            </w:tcMar>
            <w:vAlign w:val="center"/>
            <w:hideMark/>
          </w:tcPr>
          <w:p w14:paraId="3FF113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0.3–8.0</w:t>
            </w:r>
          </w:p>
        </w:tc>
      </w:tr>
      <w:tr w:rsidR="00090A85" w:rsidRPr="00090A85" w14:paraId="54F0496C" w14:textId="77777777" w:rsidTr="00090A85">
        <w:tc>
          <w:tcPr>
            <w:tcW w:w="0" w:type="auto"/>
            <w:tcMar>
              <w:top w:w="150" w:type="dxa"/>
              <w:left w:w="0" w:type="dxa"/>
              <w:bottom w:w="150" w:type="dxa"/>
              <w:right w:w="240" w:type="dxa"/>
            </w:tcMar>
            <w:vAlign w:val="center"/>
            <w:hideMark/>
          </w:tcPr>
          <w:p w14:paraId="21A623B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Length of residence</w:t>
            </w:r>
          </w:p>
        </w:tc>
        <w:tc>
          <w:tcPr>
            <w:tcW w:w="0" w:type="auto"/>
            <w:tcMar>
              <w:top w:w="150" w:type="dxa"/>
              <w:left w:w="240" w:type="dxa"/>
              <w:bottom w:w="150" w:type="dxa"/>
              <w:right w:w="240" w:type="dxa"/>
            </w:tcMar>
            <w:vAlign w:val="center"/>
            <w:hideMark/>
          </w:tcPr>
          <w:p w14:paraId="7DB5480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&lt;1 year</w:t>
            </w:r>
          </w:p>
        </w:tc>
        <w:tc>
          <w:tcPr>
            <w:tcW w:w="0" w:type="auto"/>
            <w:tcMar>
              <w:top w:w="150" w:type="dxa"/>
              <w:left w:w="240" w:type="dxa"/>
              <w:bottom w:w="150" w:type="dxa"/>
              <w:right w:w="240" w:type="dxa"/>
            </w:tcMar>
            <w:vAlign w:val="center"/>
            <w:hideMark/>
          </w:tcPr>
          <w:p w14:paraId="2E98E38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w:t>
            </w:r>
          </w:p>
        </w:tc>
        <w:tc>
          <w:tcPr>
            <w:tcW w:w="0" w:type="auto"/>
            <w:tcMar>
              <w:top w:w="150" w:type="dxa"/>
              <w:left w:w="240" w:type="dxa"/>
              <w:bottom w:w="150" w:type="dxa"/>
              <w:right w:w="240" w:type="dxa"/>
            </w:tcMar>
            <w:vAlign w:val="center"/>
            <w:hideMark/>
          </w:tcPr>
          <w:p w14:paraId="3A5D61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w:t>
            </w:r>
          </w:p>
        </w:tc>
        <w:tc>
          <w:tcPr>
            <w:tcW w:w="0" w:type="auto"/>
            <w:tcMar>
              <w:top w:w="150" w:type="dxa"/>
              <w:left w:w="240" w:type="dxa"/>
              <w:bottom w:w="150" w:type="dxa"/>
              <w:right w:w="0" w:type="dxa"/>
            </w:tcMar>
            <w:vAlign w:val="center"/>
            <w:hideMark/>
          </w:tcPr>
          <w:p w14:paraId="2B6B783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1.9–12.8</w:t>
            </w:r>
          </w:p>
        </w:tc>
      </w:tr>
      <w:tr w:rsidR="00090A85" w:rsidRPr="00090A85" w14:paraId="025D7044" w14:textId="77777777" w:rsidTr="00090A85">
        <w:tc>
          <w:tcPr>
            <w:tcW w:w="0" w:type="auto"/>
            <w:tcMar>
              <w:top w:w="150" w:type="dxa"/>
              <w:left w:w="0" w:type="dxa"/>
              <w:bottom w:w="150" w:type="dxa"/>
              <w:right w:w="240" w:type="dxa"/>
            </w:tcMar>
            <w:vAlign w:val="center"/>
            <w:hideMark/>
          </w:tcPr>
          <w:p w14:paraId="213D93D8"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25D969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 years</w:t>
            </w:r>
          </w:p>
        </w:tc>
        <w:tc>
          <w:tcPr>
            <w:tcW w:w="0" w:type="auto"/>
            <w:tcMar>
              <w:top w:w="150" w:type="dxa"/>
              <w:left w:w="240" w:type="dxa"/>
              <w:bottom w:w="150" w:type="dxa"/>
              <w:right w:w="240" w:type="dxa"/>
            </w:tcMar>
            <w:vAlign w:val="center"/>
            <w:hideMark/>
          </w:tcPr>
          <w:p w14:paraId="6B67FA5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0EFCF9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19FFB8B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0F7925DA" w14:textId="77777777" w:rsidTr="00090A85">
        <w:tc>
          <w:tcPr>
            <w:tcW w:w="0" w:type="auto"/>
            <w:tcMar>
              <w:top w:w="150" w:type="dxa"/>
              <w:left w:w="0" w:type="dxa"/>
              <w:bottom w:w="150" w:type="dxa"/>
              <w:right w:w="240" w:type="dxa"/>
            </w:tcMar>
            <w:vAlign w:val="center"/>
            <w:hideMark/>
          </w:tcPr>
          <w:p w14:paraId="55A88DE2"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E58054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6–10 years</w:t>
            </w:r>
          </w:p>
        </w:tc>
        <w:tc>
          <w:tcPr>
            <w:tcW w:w="0" w:type="auto"/>
            <w:tcMar>
              <w:top w:w="150" w:type="dxa"/>
              <w:left w:w="240" w:type="dxa"/>
              <w:bottom w:w="150" w:type="dxa"/>
              <w:right w:w="240" w:type="dxa"/>
            </w:tcMar>
            <w:vAlign w:val="center"/>
            <w:hideMark/>
          </w:tcPr>
          <w:p w14:paraId="51CE332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6E8E37C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60FE1B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349CCF9C" w14:textId="77777777" w:rsidTr="00090A85">
        <w:tc>
          <w:tcPr>
            <w:tcW w:w="0" w:type="auto"/>
            <w:tcMar>
              <w:top w:w="150" w:type="dxa"/>
              <w:left w:w="0" w:type="dxa"/>
              <w:bottom w:w="150" w:type="dxa"/>
              <w:right w:w="240" w:type="dxa"/>
            </w:tcMar>
            <w:vAlign w:val="center"/>
            <w:hideMark/>
          </w:tcPr>
          <w:p w14:paraId="35ADD9CA"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988D9B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&gt;10 years</w:t>
            </w:r>
          </w:p>
        </w:tc>
        <w:tc>
          <w:tcPr>
            <w:tcW w:w="0" w:type="auto"/>
            <w:tcMar>
              <w:top w:w="150" w:type="dxa"/>
              <w:left w:w="240" w:type="dxa"/>
              <w:bottom w:w="150" w:type="dxa"/>
              <w:right w:w="240" w:type="dxa"/>
            </w:tcMar>
            <w:vAlign w:val="center"/>
            <w:hideMark/>
          </w:tcPr>
          <w:p w14:paraId="42146E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w:t>
            </w:r>
          </w:p>
        </w:tc>
        <w:tc>
          <w:tcPr>
            <w:tcW w:w="0" w:type="auto"/>
            <w:tcMar>
              <w:top w:w="150" w:type="dxa"/>
              <w:left w:w="240" w:type="dxa"/>
              <w:bottom w:w="150" w:type="dxa"/>
              <w:right w:w="240" w:type="dxa"/>
            </w:tcMar>
            <w:vAlign w:val="center"/>
            <w:hideMark/>
          </w:tcPr>
          <w:p w14:paraId="24D2F5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52.9</w:t>
            </w:r>
          </w:p>
        </w:tc>
        <w:tc>
          <w:tcPr>
            <w:tcW w:w="0" w:type="auto"/>
            <w:tcMar>
              <w:top w:w="150" w:type="dxa"/>
              <w:left w:w="240" w:type="dxa"/>
              <w:bottom w:w="150" w:type="dxa"/>
              <w:right w:w="0" w:type="dxa"/>
            </w:tcMar>
            <w:vAlign w:val="center"/>
            <w:hideMark/>
          </w:tcPr>
          <w:p w14:paraId="4C1AA0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42.3–63.2</w:t>
            </w:r>
          </w:p>
        </w:tc>
      </w:tr>
      <w:tr w:rsidR="00090A85" w:rsidRPr="00090A85" w14:paraId="34C4CD52" w14:textId="77777777" w:rsidTr="00090A85">
        <w:tc>
          <w:tcPr>
            <w:tcW w:w="0" w:type="auto"/>
            <w:tcMar>
              <w:top w:w="150" w:type="dxa"/>
              <w:left w:w="0" w:type="dxa"/>
              <w:bottom w:w="150" w:type="dxa"/>
              <w:right w:w="240" w:type="dxa"/>
            </w:tcMar>
            <w:vAlign w:val="center"/>
            <w:hideMark/>
          </w:tcPr>
          <w:p w14:paraId="7ED56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Vending experience</w:t>
            </w:r>
          </w:p>
        </w:tc>
        <w:tc>
          <w:tcPr>
            <w:tcW w:w="0" w:type="auto"/>
            <w:tcMar>
              <w:top w:w="150" w:type="dxa"/>
              <w:left w:w="240" w:type="dxa"/>
              <w:bottom w:w="150" w:type="dxa"/>
              <w:right w:w="240" w:type="dxa"/>
            </w:tcMar>
            <w:vAlign w:val="center"/>
            <w:hideMark/>
          </w:tcPr>
          <w:p w14:paraId="5B8C7B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&lt;1 year</w:t>
            </w:r>
          </w:p>
        </w:tc>
        <w:tc>
          <w:tcPr>
            <w:tcW w:w="0" w:type="auto"/>
            <w:tcMar>
              <w:top w:w="150" w:type="dxa"/>
              <w:left w:w="240" w:type="dxa"/>
              <w:bottom w:w="150" w:type="dxa"/>
              <w:right w:w="240" w:type="dxa"/>
            </w:tcMar>
            <w:vAlign w:val="center"/>
            <w:hideMark/>
          </w:tcPr>
          <w:p w14:paraId="375CAE6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w:t>
            </w:r>
          </w:p>
        </w:tc>
        <w:tc>
          <w:tcPr>
            <w:tcW w:w="0" w:type="auto"/>
            <w:tcMar>
              <w:top w:w="150" w:type="dxa"/>
              <w:left w:w="240" w:type="dxa"/>
              <w:bottom w:w="150" w:type="dxa"/>
              <w:right w:w="240" w:type="dxa"/>
            </w:tcMar>
            <w:vAlign w:val="center"/>
            <w:hideMark/>
          </w:tcPr>
          <w:p w14:paraId="799A8FB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0" w:type="dxa"/>
            </w:tcMar>
            <w:vAlign w:val="center"/>
            <w:hideMark/>
          </w:tcPr>
          <w:p w14:paraId="398816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4.1–17.2</w:t>
            </w:r>
          </w:p>
        </w:tc>
      </w:tr>
      <w:tr w:rsidR="00090A85" w:rsidRPr="00090A85" w14:paraId="1666C5A2" w14:textId="77777777" w:rsidTr="00090A85">
        <w:tc>
          <w:tcPr>
            <w:tcW w:w="0" w:type="auto"/>
            <w:tcMar>
              <w:top w:w="150" w:type="dxa"/>
              <w:left w:w="0" w:type="dxa"/>
              <w:bottom w:w="150" w:type="dxa"/>
              <w:right w:w="240" w:type="dxa"/>
            </w:tcMar>
            <w:vAlign w:val="center"/>
            <w:hideMark/>
          </w:tcPr>
          <w:p w14:paraId="7D058F83"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95F94C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 years</w:t>
            </w:r>
          </w:p>
        </w:tc>
        <w:tc>
          <w:tcPr>
            <w:tcW w:w="0" w:type="auto"/>
            <w:tcMar>
              <w:top w:w="150" w:type="dxa"/>
              <w:left w:w="240" w:type="dxa"/>
              <w:bottom w:w="150" w:type="dxa"/>
              <w:right w:w="240" w:type="dxa"/>
            </w:tcMar>
            <w:vAlign w:val="center"/>
            <w:hideMark/>
          </w:tcPr>
          <w:p w14:paraId="42DC017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w:t>
            </w:r>
          </w:p>
        </w:tc>
        <w:tc>
          <w:tcPr>
            <w:tcW w:w="0" w:type="auto"/>
            <w:tcMar>
              <w:top w:w="150" w:type="dxa"/>
              <w:left w:w="240" w:type="dxa"/>
              <w:bottom w:w="150" w:type="dxa"/>
              <w:right w:w="240" w:type="dxa"/>
            </w:tcMar>
            <w:vAlign w:val="center"/>
            <w:hideMark/>
          </w:tcPr>
          <w:p w14:paraId="0D321F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36.8</w:t>
            </w:r>
          </w:p>
        </w:tc>
        <w:tc>
          <w:tcPr>
            <w:tcW w:w="0" w:type="auto"/>
            <w:tcMar>
              <w:top w:w="150" w:type="dxa"/>
              <w:left w:w="240" w:type="dxa"/>
              <w:bottom w:w="150" w:type="dxa"/>
              <w:right w:w="0" w:type="dxa"/>
            </w:tcMar>
            <w:vAlign w:val="center"/>
            <w:hideMark/>
          </w:tcPr>
          <w:p w14:paraId="56E1257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27.1–47.3</w:t>
            </w:r>
          </w:p>
        </w:tc>
      </w:tr>
      <w:tr w:rsidR="00090A85" w:rsidRPr="00090A85" w14:paraId="5F106FFA" w14:textId="77777777" w:rsidTr="00090A85">
        <w:tc>
          <w:tcPr>
            <w:tcW w:w="0" w:type="auto"/>
            <w:tcMar>
              <w:top w:w="150" w:type="dxa"/>
              <w:left w:w="0" w:type="dxa"/>
              <w:bottom w:w="150" w:type="dxa"/>
              <w:right w:w="240" w:type="dxa"/>
            </w:tcMar>
            <w:vAlign w:val="center"/>
            <w:hideMark/>
          </w:tcPr>
          <w:p w14:paraId="7FB8A04E"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8EAC2F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&gt;5 years</w:t>
            </w:r>
          </w:p>
        </w:tc>
        <w:tc>
          <w:tcPr>
            <w:tcW w:w="0" w:type="auto"/>
            <w:tcMar>
              <w:top w:w="150" w:type="dxa"/>
              <w:left w:w="240" w:type="dxa"/>
              <w:bottom w:w="150" w:type="dxa"/>
              <w:right w:w="240" w:type="dxa"/>
            </w:tcMar>
            <w:vAlign w:val="center"/>
            <w:hideMark/>
          </w:tcPr>
          <w:p w14:paraId="1146C7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47</w:t>
            </w:r>
          </w:p>
        </w:tc>
        <w:tc>
          <w:tcPr>
            <w:tcW w:w="0" w:type="auto"/>
            <w:tcMar>
              <w:top w:w="150" w:type="dxa"/>
              <w:left w:w="240" w:type="dxa"/>
              <w:bottom w:w="150" w:type="dxa"/>
              <w:right w:w="240" w:type="dxa"/>
            </w:tcMar>
            <w:vAlign w:val="center"/>
            <w:hideMark/>
          </w:tcPr>
          <w:p w14:paraId="635B0CC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54.0</w:t>
            </w:r>
          </w:p>
        </w:tc>
        <w:tc>
          <w:tcPr>
            <w:tcW w:w="0" w:type="auto"/>
            <w:tcMar>
              <w:top w:w="150" w:type="dxa"/>
              <w:left w:w="240" w:type="dxa"/>
              <w:bottom w:w="150" w:type="dxa"/>
              <w:right w:w="0" w:type="dxa"/>
            </w:tcMar>
            <w:vAlign w:val="center"/>
            <w:hideMark/>
          </w:tcPr>
          <w:p w14:paraId="37053D6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43.5–64.3</w:t>
            </w:r>
          </w:p>
        </w:tc>
      </w:tr>
    </w:tbl>
    <w:p w14:paraId="03340352" w14:textId="58368F9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14A4BD70" w14:textId="036547D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Note: CI = Confidence interval (Wilson method)</w:t>
      </w:r>
    </w:p>
    <w:p w14:paraId="0F042F9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3.2 Community Awareness and Contact with ZEMA</w:t>
      </w:r>
    </w:p>
    <w:p w14:paraId="2EA21B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Of 87 vendors surveyed, only 34.5% (n=30, 95% CI 25.0–45.1) reported awareness of ZEMA as the regulatory authority responsible for pollution control. Direct contact with the agency was even rarer, with only 9.2% (n=8, 95% CI 4.1–17.2) reporting ever having communicated a complaint. Among those who had complained, five received no response, two received a response but no follow-up, and one was told to "go to the council instead."</w:t>
      </w:r>
    </w:p>
    <w:p w14:paraId="1C173B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This finding reveals a regulatory visibility gap – a systematic disconnect between the formal existence of a regulatory institution and its substantive presence in community lived experience. A female focus group participant stated:</w:t>
      </w:r>
    </w:p>
    <w:p w14:paraId="4258519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 xml:space="preserve">"We hear about an </w:t>
      </w:r>
      <w:proofErr w:type="spellStart"/>
      <w:r w:rsidRPr="00090A85">
        <w:rPr>
          <w:rFonts w:ascii="Times New Roman" w:hAnsi="Times New Roman" w:cs="Times New Roman"/>
          <w:i/>
          <w:iCs/>
        </w:rPr>
        <w:t>organisation</w:t>
      </w:r>
      <w:proofErr w:type="spellEnd"/>
      <w:r w:rsidRPr="00090A85">
        <w:rPr>
          <w:rFonts w:ascii="Times New Roman" w:hAnsi="Times New Roman" w:cs="Times New Roman"/>
          <w:i/>
          <w:iCs/>
        </w:rPr>
        <w:t xml:space="preserve"> called ZEMA that is supposed to control the factory, but we never see them. They only come when the factory invites them, not when we call them."</w:t>
      </w:r>
      <w:r w:rsidRPr="00090A85">
        <w:rPr>
          <w:rFonts w:ascii="Times New Roman" w:hAnsi="Times New Roman" w:cs="Times New Roman"/>
        </w:rPr>
        <w:t> (FGD, Women's Group A, Participant 3)</w:t>
      </w:r>
    </w:p>
    <w:p w14:paraId="513F7C4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3.3 Trust in ZEMA</w:t>
      </w:r>
    </w:p>
    <w:p w14:paraId="0B8F88E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Trust ratings for ZEMA were extremely low. Table 2 presents trust levels across four institutions. When asked to rate trust in ZEMA on a five-point scale (1 = very low, 5 = very high), 70.1% (n=61) expressed very low or low trust (ratings 1 or 2). Only 9.2% (n=8) expressed high or very high trust. Mean trust score for ZEMA was 2.12 (SD = 1.04), significantly lower than for traditional leaders (3.21, SD = 1.18; </w:t>
      </w:r>
      <w:proofErr w:type="gramStart"/>
      <w:r w:rsidRPr="00090A85">
        <w:rPr>
          <w:rFonts w:ascii="Times New Roman" w:hAnsi="Times New Roman" w:cs="Times New Roman"/>
        </w:rPr>
        <w:t>t(86)=</w:t>
      </w:r>
      <w:proofErr w:type="gramEnd"/>
      <w:r w:rsidRPr="00090A85">
        <w:rPr>
          <w:rFonts w:ascii="Times New Roman" w:hAnsi="Times New Roman" w:cs="Times New Roman"/>
        </w:rPr>
        <w:t>7.34, p&lt;0.001).</w:t>
      </w:r>
    </w:p>
    <w:p w14:paraId="1C831ED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2: Trust Levels in ZEMA, Traditional Leaders, Local Council and Police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304"/>
        <w:gridCol w:w="1138"/>
        <w:gridCol w:w="1618"/>
        <w:gridCol w:w="1178"/>
        <w:gridCol w:w="1328"/>
        <w:gridCol w:w="1218"/>
      </w:tblGrid>
      <w:tr w:rsidR="00090A85" w:rsidRPr="00090A85" w14:paraId="6C9941E9" w14:textId="77777777" w:rsidTr="00090A85">
        <w:trPr>
          <w:tblHeader/>
        </w:trPr>
        <w:tc>
          <w:tcPr>
            <w:tcW w:w="0" w:type="auto"/>
            <w:tcMar>
              <w:top w:w="150" w:type="dxa"/>
              <w:left w:w="0" w:type="dxa"/>
              <w:bottom w:w="150" w:type="dxa"/>
              <w:right w:w="240" w:type="dxa"/>
            </w:tcMar>
            <w:vAlign w:val="center"/>
            <w:hideMark/>
          </w:tcPr>
          <w:p w14:paraId="6D4214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Institution</w:t>
            </w:r>
          </w:p>
        </w:tc>
        <w:tc>
          <w:tcPr>
            <w:tcW w:w="0" w:type="auto"/>
            <w:tcMar>
              <w:top w:w="150" w:type="dxa"/>
              <w:left w:w="240" w:type="dxa"/>
              <w:bottom w:w="150" w:type="dxa"/>
              <w:right w:w="240" w:type="dxa"/>
            </w:tcMar>
            <w:vAlign w:val="center"/>
            <w:hideMark/>
          </w:tcPr>
          <w:p w14:paraId="1B0C59B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Very low (1) %</w:t>
            </w:r>
          </w:p>
        </w:tc>
        <w:tc>
          <w:tcPr>
            <w:tcW w:w="0" w:type="auto"/>
            <w:tcMar>
              <w:top w:w="150" w:type="dxa"/>
              <w:left w:w="240" w:type="dxa"/>
              <w:bottom w:w="150" w:type="dxa"/>
              <w:right w:w="240" w:type="dxa"/>
            </w:tcMar>
            <w:vAlign w:val="center"/>
            <w:hideMark/>
          </w:tcPr>
          <w:p w14:paraId="43DB706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 (2) %</w:t>
            </w:r>
          </w:p>
        </w:tc>
        <w:tc>
          <w:tcPr>
            <w:tcW w:w="0" w:type="auto"/>
            <w:tcMar>
              <w:top w:w="150" w:type="dxa"/>
              <w:left w:w="240" w:type="dxa"/>
              <w:bottom w:w="150" w:type="dxa"/>
              <w:right w:w="240" w:type="dxa"/>
            </w:tcMar>
            <w:vAlign w:val="center"/>
            <w:hideMark/>
          </w:tcPr>
          <w:p w14:paraId="54747A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Moderate (3) %</w:t>
            </w:r>
          </w:p>
        </w:tc>
        <w:tc>
          <w:tcPr>
            <w:tcW w:w="0" w:type="auto"/>
            <w:tcMar>
              <w:top w:w="150" w:type="dxa"/>
              <w:left w:w="240" w:type="dxa"/>
              <w:bottom w:w="150" w:type="dxa"/>
              <w:right w:w="240" w:type="dxa"/>
            </w:tcMar>
            <w:vAlign w:val="center"/>
            <w:hideMark/>
          </w:tcPr>
          <w:p w14:paraId="13926B4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High (4) %</w:t>
            </w:r>
          </w:p>
        </w:tc>
        <w:tc>
          <w:tcPr>
            <w:tcW w:w="0" w:type="auto"/>
            <w:tcMar>
              <w:top w:w="150" w:type="dxa"/>
              <w:left w:w="240" w:type="dxa"/>
              <w:bottom w:w="150" w:type="dxa"/>
              <w:right w:w="240" w:type="dxa"/>
            </w:tcMar>
            <w:vAlign w:val="center"/>
            <w:hideMark/>
          </w:tcPr>
          <w:p w14:paraId="732B54D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Very high (5) %</w:t>
            </w:r>
          </w:p>
        </w:tc>
        <w:tc>
          <w:tcPr>
            <w:tcW w:w="0" w:type="auto"/>
            <w:tcMar>
              <w:top w:w="150" w:type="dxa"/>
              <w:left w:w="240" w:type="dxa"/>
              <w:bottom w:w="150" w:type="dxa"/>
              <w:right w:w="240" w:type="dxa"/>
            </w:tcMar>
            <w:vAlign w:val="center"/>
            <w:hideMark/>
          </w:tcPr>
          <w:p w14:paraId="6063B8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Mean (SD)</w:t>
            </w:r>
          </w:p>
        </w:tc>
      </w:tr>
      <w:tr w:rsidR="00090A85" w:rsidRPr="00090A85" w14:paraId="086C017A" w14:textId="77777777" w:rsidTr="00090A85">
        <w:tc>
          <w:tcPr>
            <w:tcW w:w="0" w:type="auto"/>
            <w:tcMar>
              <w:top w:w="150" w:type="dxa"/>
              <w:left w:w="0" w:type="dxa"/>
              <w:bottom w:w="150" w:type="dxa"/>
              <w:right w:w="240" w:type="dxa"/>
            </w:tcMar>
            <w:vAlign w:val="center"/>
            <w:hideMark/>
          </w:tcPr>
          <w:p w14:paraId="4E826A6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ZEMA</w:t>
            </w:r>
          </w:p>
        </w:tc>
        <w:tc>
          <w:tcPr>
            <w:tcW w:w="0" w:type="auto"/>
            <w:tcMar>
              <w:top w:w="150" w:type="dxa"/>
              <w:left w:w="240" w:type="dxa"/>
              <w:bottom w:w="150" w:type="dxa"/>
              <w:right w:w="240" w:type="dxa"/>
            </w:tcMar>
            <w:vAlign w:val="center"/>
            <w:hideMark/>
          </w:tcPr>
          <w:p w14:paraId="7C38B47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31.0</w:t>
            </w:r>
          </w:p>
        </w:tc>
        <w:tc>
          <w:tcPr>
            <w:tcW w:w="0" w:type="auto"/>
            <w:tcMar>
              <w:top w:w="150" w:type="dxa"/>
              <w:left w:w="240" w:type="dxa"/>
              <w:bottom w:w="150" w:type="dxa"/>
              <w:right w:w="240" w:type="dxa"/>
            </w:tcMar>
            <w:vAlign w:val="center"/>
            <w:hideMark/>
          </w:tcPr>
          <w:p w14:paraId="26709B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39.1</w:t>
            </w:r>
          </w:p>
        </w:tc>
        <w:tc>
          <w:tcPr>
            <w:tcW w:w="0" w:type="auto"/>
            <w:tcMar>
              <w:top w:w="150" w:type="dxa"/>
              <w:left w:w="240" w:type="dxa"/>
              <w:bottom w:w="150" w:type="dxa"/>
              <w:right w:w="240" w:type="dxa"/>
            </w:tcMar>
            <w:vAlign w:val="center"/>
            <w:hideMark/>
          </w:tcPr>
          <w:p w14:paraId="491C1F1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240" w:type="dxa"/>
            </w:tcMar>
            <w:vAlign w:val="center"/>
            <w:hideMark/>
          </w:tcPr>
          <w:p w14:paraId="56E145F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6.9</w:t>
            </w:r>
          </w:p>
        </w:tc>
        <w:tc>
          <w:tcPr>
            <w:tcW w:w="0" w:type="auto"/>
            <w:tcMar>
              <w:top w:w="150" w:type="dxa"/>
              <w:left w:w="240" w:type="dxa"/>
              <w:bottom w:w="150" w:type="dxa"/>
              <w:right w:w="240" w:type="dxa"/>
            </w:tcMar>
            <w:vAlign w:val="center"/>
            <w:hideMark/>
          </w:tcPr>
          <w:p w14:paraId="1B46E13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w:t>
            </w:r>
          </w:p>
        </w:tc>
        <w:tc>
          <w:tcPr>
            <w:tcW w:w="0" w:type="auto"/>
            <w:tcMar>
              <w:top w:w="150" w:type="dxa"/>
              <w:left w:w="240" w:type="dxa"/>
              <w:bottom w:w="150" w:type="dxa"/>
              <w:right w:w="0" w:type="dxa"/>
            </w:tcMar>
            <w:vAlign w:val="center"/>
            <w:hideMark/>
          </w:tcPr>
          <w:p w14:paraId="0939C5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2.12 (1.04)</w:t>
            </w:r>
          </w:p>
        </w:tc>
      </w:tr>
      <w:tr w:rsidR="00090A85" w:rsidRPr="00090A85" w14:paraId="493AD4CF" w14:textId="77777777" w:rsidTr="00090A85">
        <w:tc>
          <w:tcPr>
            <w:tcW w:w="0" w:type="auto"/>
            <w:tcMar>
              <w:top w:w="150" w:type="dxa"/>
              <w:left w:w="0" w:type="dxa"/>
              <w:bottom w:w="150" w:type="dxa"/>
              <w:right w:w="240" w:type="dxa"/>
            </w:tcMar>
            <w:vAlign w:val="center"/>
            <w:hideMark/>
          </w:tcPr>
          <w:p w14:paraId="3281650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Traditional leaders</w:t>
            </w:r>
          </w:p>
        </w:tc>
        <w:tc>
          <w:tcPr>
            <w:tcW w:w="0" w:type="auto"/>
            <w:tcMar>
              <w:top w:w="150" w:type="dxa"/>
              <w:left w:w="240" w:type="dxa"/>
              <w:bottom w:w="150" w:type="dxa"/>
              <w:right w:w="240" w:type="dxa"/>
            </w:tcMar>
            <w:vAlign w:val="center"/>
            <w:hideMark/>
          </w:tcPr>
          <w:p w14:paraId="290CE6B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12.6</w:t>
            </w:r>
          </w:p>
        </w:tc>
        <w:tc>
          <w:tcPr>
            <w:tcW w:w="0" w:type="auto"/>
            <w:tcMar>
              <w:top w:w="150" w:type="dxa"/>
              <w:left w:w="240" w:type="dxa"/>
              <w:bottom w:w="150" w:type="dxa"/>
              <w:right w:w="240" w:type="dxa"/>
            </w:tcMar>
            <w:vAlign w:val="center"/>
            <w:hideMark/>
          </w:tcPr>
          <w:p w14:paraId="6EFB4D3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19.5</w:t>
            </w:r>
          </w:p>
        </w:tc>
        <w:tc>
          <w:tcPr>
            <w:tcW w:w="0" w:type="auto"/>
            <w:tcMar>
              <w:top w:w="150" w:type="dxa"/>
              <w:left w:w="240" w:type="dxa"/>
              <w:bottom w:w="150" w:type="dxa"/>
              <w:right w:w="240" w:type="dxa"/>
            </w:tcMar>
            <w:vAlign w:val="center"/>
            <w:hideMark/>
          </w:tcPr>
          <w:p w14:paraId="39CE68A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29.9</w:t>
            </w:r>
          </w:p>
        </w:tc>
        <w:tc>
          <w:tcPr>
            <w:tcW w:w="0" w:type="auto"/>
            <w:tcMar>
              <w:top w:w="150" w:type="dxa"/>
              <w:left w:w="240" w:type="dxa"/>
              <w:bottom w:w="150" w:type="dxa"/>
              <w:right w:w="240" w:type="dxa"/>
            </w:tcMar>
            <w:vAlign w:val="center"/>
            <w:hideMark/>
          </w:tcPr>
          <w:p w14:paraId="3E9102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26.4</w:t>
            </w:r>
          </w:p>
        </w:tc>
        <w:tc>
          <w:tcPr>
            <w:tcW w:w="0" w:type="auto"/>
            <w:tcMar>
              <w:top w:w="150" w:type="dxa"/>
              <w:left w:w="240" w:type="dxa"/>
              <w:bottom w:w="150" w:type="dxa"/>
              <w:right w:w="240" w:type="dxa"/>
            </w:tcMar>
            <w:vAlign w:val="center"/>
            <w:hideMark/>
          </w:tcPr>
          <w:p w14:paraId="5C18737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11.5</w:t>
            </w:r>
          </w:p>
        </w:tc>
        <w:tc>
          <w:tcPr>
            <w:tcW w:w="0" w:type="auto"/>
            <w:tcMar>
              <w:top w:w="150" w:type="dxa"/>
              <w:left w:w="240" w:type="dxa"/>
              <w:bottom w:w="150" w:type="dxa"/>
              <w:right w:w="0" w:type="dxa"/>
            </w:tcMar>
            <w:vAlign w:val="center"/>
            <w:hideMark/>
          </w:tcPr>
          <w:p w14:paraId="3113373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3.21 (1.18)</w:t>
            </w:r>
          </w:p>
        </w:tc>
      </w:tr>
      <w:tr w:rsidR="00090A85" w:rsidRPr="00090A85" w14:paraId="68C052E2" w14:textId="77777777" w:rsidTr="00090A85">
        <w:tc>
          <w:tcPr>
            <w:tcW w:w="0" w:type="auto"/>
            <w:tcMar>
              <w:top w:w="150" w:type="dxa"/>
              <w:left w:w="0" w:type="dxa"/>
              <w:bottom w:w="150" w:type="dxa"/>
              <w:right w:w="240" w:type="dxa"/>
            </w:tcMar>
            <w:vAlign w:val="center"/>
            <w:hideMark/>
          </w:tcPr>
          <w:p w14:paraId="7102E5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Local council</w:t>
            </w:r>
          </w:p>
        </w:tc>
        <w:tc>
          <w:tcPr>
            <w:tcW w:w="0" w:type="auto"/>
            <w:tcMar>
              <w:top w:w="150" w:type="dxa"/>
              <w:left w:w="240" w:type="dxa"/>
              <w:bottom w:w="150" w:type="dxa"/>
              <w:right w:w="240" w:type="dxa"/>
            </w:tcMar>
            <w:vAlign w:val="center"/>
            <w:hideMark/>
          </w:tcPr>
          <w:p w14:paraId="171D44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28.7</w:t>
            </w:r>
          </w:p>
        </w:tc>
        <w:tc>
          <w:tcPr>
            <w:tcW w:w="0" w:type="auto"/>
            <w:tcMar>
              <w:top w:w="150" w:type="dxa"/>
              <w:left w:w="240" w:type="dxa"/>
              <w:bottom w:w="150" w:type="dxa"/>
              <w:right w:w="240" w:type="dxa"/>
            </w:tcMar>
            <w:vAlign w:val="center"/>
            <w:hideMark/>
          </w:tcPr>
          <w:p w14:paraId="58E0C6D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33.3</w:t>
            </w:r>
          </w:p>
        </w:tc>
        <w:tc>
          <w:tcPr>
            <w:tcW w:w="0" w:type="auto"/>
            <w:tcMar>
              <w:top w:w="150" w:type="dxa"/>
              <w:left w:w="240" w:type="dxa"/>
              <w:bottom w:w="150" w:type="dxa"/>
              <w:right w:w="240" w:type="dxa"/>
            </w:tcMar>
            <w:vAlign w:val="center"/>
            <w:hideMark/>
          </w:tcPr>
          <w:p w14:paraId="4238003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24.1</w:t>
            </w:r>
          </w:p>
        </w:tc>
        <w:tc>
          <w:tcPr>
            <w:tcW w:w="0" w:type="auto"/>
            <w:tcMar>
              <w:top w:w="150" w:type="dxa"/>
              <w:left w:w="240" w:type="dxa"/>
              <w:bottom w:w="150" w:type="dxa"/>
              <w:right w:w="240" w:type="dxa"/>
            </w:tcMar>
            <w:vAlign w:val="center"/>
            <w:hideMark/>
          </w:tcPr>
          <w:p w14:paraId="796D11F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68576F0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w:t>
            </w:r>
          </w:p>
        </w:tc>
        <w:tc>
          <w:tcPr>
            <w:tcW w:w="0" w:type="auto"/>
            <w:tcMar>
              <w:top w:w="150" w:type="dxa"/>
              <w:left w:w="240" w:type="dxa"/>
              <w:bottom w:w="150" w:type="dxa"/>
              <w:right w:w="0" w:type="dxa"/>
            </w:tcMar>
            <w:vAlign w:val="center"/>
            <w:hideMark/>
          </w:tcPr>
          <w:p w14:paraId="7D4C074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2.28 (1.12)</w:t>
            </w:r>
          </w:p>
        </w:tc>
      </w:tr>
      <w:tr w:rsidR="00090A85" w:rsidRPr="00090A85" w14:paraId="5A27CDCD" w14:textId="77777777" w:rsidTr="00090A85">
        <w:tc>
          <w:tcPr>
            <w:tcW w:w="0" w:type="auto"/>
            <w:tcMar>
              <w:top w:w="150" w:type="dxa"/>
              <w:left w:w="0" w:type="dxa"/>
              <w:bottom w:w="150" w:type="dxa"/>
              <w:right w:w="240" w:type="dxa"/>
            </w:tcMar>
            <w:vAlign w:val="center"/>
            <w:hideMark/>
          </w:tcPr>
          <w:p w14:paraId="3538A08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Police</w:t>
            </w:r>
          </w:p>
        </w:tc>
        <w:tc>
          <w:tcPr>
            <w:tcW w:w="0" w:type="auto"/>
            <w:tcMar>
              <w:top w:w="150" w:type="dxa"/>
              <w:left w:w="240" w:type="dxa"/>
              <w:bottom w:w="150" w:type="dxa"/>
              <w:right w:w="240" w:type="dxa"/>
            </w:tcMar>
            <w:vAlign w:val="center"/>
            <w:hideMark/>
          </w:tcPr>
          <w:p w14:paraId="5872977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240" w:type="dxa"/>
            </w:tcMar>
            <w:vAlign w:val="center"/>
            <w:hideMark/>
          </w:tcPr>
          <w:p w14:paraId="3F29437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31.0</w:t>
            </w:r>
          </w:p>
        </w:tc>
        <w:tc>
          <w:tcPr>
            <w:tcW w:w="0" w:type="auto"/>
            <w:tcMar>
              <w:top w:w="150" w:type="dxa"/>
              <w:left w:w="240" w:type="dxa"/>
              <w:bottom w:w="150" w:type="dxa"/>
              <w:right w:w="240" w:type="dxa"/>
            </w:tcMar>
            <w:vAlign w:val="center"/>
            <w:hideMark/>
          </w:tcPr>
          <w:p w14:paraId="2D0EE0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240" w:type="dxa"/>
            </w:tcMar>
            <w:vAlign w:val="center"/>
            <w:hideMark/>
          </w:tcPr>
          <w:p w14:paraId="2EB59A0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07E1DEF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w:t>
            </w:r>
          </w:p>
        </w:tc>
        <w:tc>
          <w:tcPr>
            <w:tcW w:w="0" w:type="auto"/>
            <w:tcMar>
              <w:top w:w="150" w:type="dxa"/>
              <w:left w:w="240" w:type="dxa"/>
              <w:bottom w:w="150" w:type="dxa"/>
              <w:right w:w="0" w:type="dxa"/>
            </w:tcMar>
            <w:vAlign w:val="center"/>
            <w:hideMark/>
          </w:tcPr>
          <w:p w14:paraId="7F32C7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2.14 (1.15)</w:t>
            </w:r>
          </w:p>
        </w:tc>
      </w:tr>
    </w:tbl>
    <w:p w14:paraId="4B121FE0" w14:textId="73DD146B"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440F1281" w14:textId="3B651ABF"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Chi-square analysis revealed no significant associations between trust and gender (χ</w:t>
      </w:r>
      <w:proofErr w:type="gramStart"/>
      <w:r w:rsidRPr="00090A85">
        <w:rPr>
          <w:rFonts w:ascii="Times New Roman" w:hAnsi="Times New Roman" w:cs="Times New Roman"/>
        </w:rPr>
        <w:t>²(4)=</w:t>
      </w:r>
      <w:proofErr w:type="gramEnd"/>
      <w:r w:rsidRPr="00090A85">
        <w:rPr>
          <w:rFonts w:ascii="Times New Roman" w:hAnsi="Times New Roman" w:cs="Times New Roman"/>
        </w:rPr>
        <w:t>3.21, p=0.52), education (χ</w:t>
      </w:r>
      <w:proofErr w:type="gramStart"/>
      <w:r w:rsidRPr="00090A85">
        <w:rPr>
          <w:rFonts w:ascii="Times New Roman" w:hAnsi="Times New Roman" w:cs="Times New Roman"/>
        </w:rPr>
        <w:t>²(8)=</w:t>
      </w:r>
      <w:proofErr w:type="gramEnd"/>
      <w:r w:rsidRPr="00090A85">
        <w:rPr>
          <w:rFonts w:ascii="Times New Roman" w:hAnsi="Times New Roman" w:cs="Times New Roman"/>
        </w:rPr>
        <w:t>6.45, p=0.60), or length of residence (χ</w:t>
      </w:r>
      <w:proofErr w:type="gramStart"/>
      <w:r w:rsidRPr="00090A85">
        <w:rPr>
          <w:rFonts w:ascii="Times New Roman" w:hAnsi="Times New Roman" w:cs="Times New Roman"/>
        </w:rPr>
        <w:t>²(8)=</w:t>
      </w:r>
      <w:proofErr w:type="gramEnd"/>
      <w:r w:rsidRPr="00090A85">
        <w:rPr>
          <w:rFonts w:ascii="Times New Roman" w:hAnsi="Times New Roman" w:cs="Times New Roman"/>
        </w:rPr>
        <w:t>7.89, p=0.44), suggesting low trust is widespread. A community leader explained:</w:t>
      </w:r>
    </w:p>
    <w:p w14:paraId="1145C15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"ZEMA is supposed to be for the people, but when we complain, nothing happens. Years pass and the dust continues, so people stop believing."</w:t>
      </w:r>
      <w:r w:rsidRPr="00090A85">
        <w:rPr>
          <w:rFonts w:ascii="Times New Roman" w:hAnsi="Times New Roman" w:cs="Times New Roman"/>
        </w:rPr>
        <w:t> (Key informant, Community Leader B)</w:t>
      </w:r>
    </w:p>
    <w:p w14:paraId="3C163431"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3.4 Economic Impacts</w:t>
      </w:r>
    </w:p>
    <w:p w14:paraId="3ADD07A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frequency of dust impacts was striking, with 81.6% (n=71, 95% CI 72.0–89.0) reporting daily dust settlement on produce. Table 3 presents economic consequences.</w:t>
      </w:r>
    </w:p>
    <w:p w14:paraId="4C7A7E6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3: Economic Impacts of Dust on Vegetable Vending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0"/>
        <w:gridCol w:w="720"/>
        <w:gridCol w:w="900"/>
        <w:gridCol w:w="1220"/>
      </w:tblGrid>
      <w:tr w:rsidR="00090A85" w:rsidRPr="00090A85" w14:paraId="130B0861" w14:textId="77777777" w:rsidTr="00090A85">
        <w:trPr>
          <w:tblHeader/>
        </w:trPr>
        <w:tc>
          <w:tcPr>
            <w:tcW w:w="0" w:type="auto"/>
            <w:tcMar>
              <w:top w:w="150" w:type="dxa"/>
              <w:left w:w="0" w:type="dxa"/>
              <w:bottom w:w="150" w:type="dxa"/>
              <w:right w:w="240" w:type="dxa"/>
            </w:tcMar>
            <w:vAlign w:val="center"/>
            <w:hideMark/>
          </w:tcPr>
          <w:p w14:paraId="1251451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Impact</w:t>
            </w:r>
          </w:p>
        </w:tc>
        <w:tc>
          <w:tcPr>
            <w:tcW w:w="0" w:type="auto"/>
            <w:tcMar>
              <w:top w:w="150" w:type="dxa"/>
              <w:left w:w="240" w:type="dxa"/>
              <w:bottom w:w="150" w:type="dxa"/>
              <w:right w:w="240" w:type="dxa"/>
            </w:tcMar>
            <w:vAlign w:val="center"/>
            <w:hideMark/>
          </w:tcPr>
          <w:p w14:paraId="52D431E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c>
          <w:tcPr>
            <w:tcW w:w="0" w:type="auto"/>
            <w:tcMar>
              <w:top w:w="150" w:type="dxa"/>
              <w:left w:w="240" w:type="dxa"/>
              <w:bottom w:w="150" w:type="dxa"/>
              <w:right w:w="240" w:type="dxa"/>
            </w:tcMar>
            <w:vAlign w:val="center"/>
            <w:hideMark/>
          </w:tcPr>
          <w:p w14:paraId="318AA3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EB28E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r>
      <w:tr w:rsidR="00090A85" w:rsidRPr="00090A85" w14:paraId="26DEB9BA" w14:textId="77777777" w:rsidTr="00090A85">
        <w:tc>
          <w:tcPr>
            <w:tcW w:w="0" w:type="auto"/>
            <w:tcMar>
              <w:top w:w="150" w:type="dxa"/>
              <w:left w:w="0" w:type="dxa"/>
              <w:bottom w:w="150" w:type="dxa"/>
              <w:right w:w="240" w:type="dxa"/>
            </w:tcMar>
            <w:vAlign w:val="center"/>
            <w:hideMark/>
          </w:tcPr>
          <w:p w14:paraId="294D3F3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Lost sales due to customer rejection</w:t>
            </w:r>
          </w:p>
        </w:tc>
        <w:tc>
          <w:tcPr>
            <w:tcW w:w="0" w:type="auto"/>
            <w:tcMar>
              <w:top w:w="150" w:type="dxa"/>
              <w:left w:w="240" w:type="dxa"/>
              <w:bottom w:w="150" w:type="dxa"/>
              <w:right w:w="240" w:type="dxa"/>
            </w:tcMar>
            <w:vAlign w:val="center"/>
            <w:hideMark/>
          </w:tcPr>
          <w:p w14:paraId="137FE46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59</w:t>
            </w:r>
          </w:p>
        </w:tc>
        <w:tc>
          <w:tcPr>
            <w:tcW w:w="0" w:type="auto"/>
            <w:tcMar>
              <w:top w:w="150" w:type="dxa"/>
              <w:left w:w="240" w:type="dxa"/>
              <w:bottom w:w="150" w:type="dxa"/>
              <w:right w:w="240" w:type="dxa"/>
            </w:tcMar>
            <w:vAlign w:val="center"/>
            <w:hideMark/>
          </w:tcPr>
          <w:p w14:paraId="2C68E8D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67.8</w:t>
            </w:r>
          </w:p>
        </w:tc>
        <w:tc>
          <w:tcPr>
            <w:tcW w:w="0" w:type="auto"/>
            <w:tcMar>
              <w:top w:w="150" w:type="dxa"/>
              <w:left w:w="240" w:type="dxa"/>
              <w:bottom w:w="150" w:type="dxa"/>
              <w:right w:w="0" w:type="dxa"/>
            </w:tcMar>
            <w:vAlign w:val="center"/>
            <w:hideMark/>
          </w:tcPr>
          <w:p w14:paraId="4FB9D2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57.4–77.1</w:t>
            </w:r>
          </w:p>
        </w:tc>
      </w:tr>
      <w:tr w:rsidR="00090A85" w:rsidRPr="00090A85" w14:paraId="18A96A13" w14:textId="77777777" w:rsidTr="00090A85">
        <w:tc>
          <w:tcPr>
            <w:tcW w:w="0" w:type="auto"/>
            <w:tcMar>
              <w:top w:w="150" w:type="dxa"/>
              <w:left w:w="0" w:type="dxa"/>
              <w:bottom w:w="150" w:type="dxa"/>
              <w:right w:w="240" w:type="dxa"/>
            </w:tcMar>
            <w:vAlign w:val="center"/>
            <w:hideMark/>
          </w:tcPr>
          <w:p w14:paraId="4987DB4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Reduced prices for affected produce</w:t>
            </w:r>
          </w:p>
        </w:tc>
        <w:tc>
          <w:tcPr>
            <w:tcW w:w="0" w:type="auto"/>
            <w:tcMar>
              <w:top w:w="150" w:type="dxa"/>
              <w:left w:w="240" w:type="dxa"/>
              <w:bottom w:w="150" w:type="dxa"/>
              <w:right w:w="240" w:type="dxa"/>
            </w:tcMar>
            <w:vAlign w:val="center"/>
            <w:hideMark/>
          </w:tcPr>
          <w:p w14:paraId="7BF504C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w:t>
            </w:r>
          </w:p>
        </w:tc>
        <w:tc>
          <w:tcPr>
            <w:tcW w:w="0" w:type="auto"/>
            <w:tcMar>
              <w:top w:w="150" w:type="dxa"/>
              <w:left w:w="240" w:type="dxa"/>
              <w:bottom w:w="150" w:type="dxa"/>
              <w:right w:w="240" w:type="dxa"/>
            </w:tcMar>
            <w:vAlign w:val="center"/>
            <w:hideMark/>
          </w:tcPr>
          <w:p w14:paraId="01C5C83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48.3</w:t>
            </w:r>
          </w:p>
        </w:tc>
        <w:tc>
          <w:tcPr>
            <w:tcW w:w="0" w:type="auto"/>
            <w:tcMar>
              <w:top w:w="150" w:type="dxa"/>
              <w:left w:w="240" w:type="dxa"/>
              <w:bottom w:w="150" w:type="dxa"/>
              <w:right w:w="0" w:type="dxa"/>
            </w:tcMar>
            <w:vAlign w:val="center"/>
            <w:hideMark/>
          </w:tcPr>
          <w:p w14:paraId="1B9E081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37.9–58.7</w:t>
            </w:r>
          </w:p>
        </w:tc>
      </w:tr>
      <w:tr w:rsidR="00090A85" w:rsidRPr="00090A85" w14:paraId="6A6A2F4E" w14:textId="77777777" w:rsidTr="00090A85">
        <w:tc>
          <w:tcPr>
            <w:tcW w:w="0" w:type="auto"/>
            <w:tcMar>
              <w:top w:w="150" w:type="dxa"/>
              <w:left w:w="0" w:type="dxa"/>
              <w:bottom w:w="150" w:type="dxa"/>
              <w:right w:w="240" w:type="dxa"/>
            </w:tcMar>
            <w:vAlign w:val="center"/>
            <w:hideMark/>
          </w:tcPr>
          <w:p w14:paraId="36570DD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44BB51D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w:t>
            </w:r>
          </w:p>
        </w:tc>
        <w:tc>
          <w:tcPr>
            <w:tcW w:w="0" w:type="auto"/>
            <w:tcMar>
              <w:top w:w="150" w:type="dxa"/>
              <w:left w:w="240" w:type="dxa"/>
              <w:bottom w:w="150" w:type="dxa"/>
              <w:right w:w="240" w:type="dxa"/>
            </w:tcMar>
            <w:vAlign w:val="center"/>
            <w:hideMark/>
          </w:tcPr>
          <w:p w14:paraId="613E8E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0" w:type="dxa"/>
            </w:tcMar>
            <w:vAlign w:val="center"/>
            <w:hideMark/>
          </w:tcPr>
          <w:p w14:paraId="37F91A1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26.0–46.0</w:t>
            </w:r>
          </w:p>
        </w:tc>
      </w:tr>
      <w:tr w:rsidR="00090A85" w:rsidRPr="00090A85" w14:paraId="6C125AB5" w14:textId="77777777" w:rsidTr="00090A85">
        <w:tc>
          <w:tcPr>
            <w:tcW w:w="0" w:type="auto"/>
            <w:tcMar>
              <w:top w:w="150" w:type="dxa"/>
              <w:left w:w="0" w:type="dxa"/>
              <w:bottom w:w="150" w:type="dxa"/>
              <w:right w:w="240" w:type="dxa"/>
            </w:tcMar>
            <w:vAlign w:val="center"/>
            <w:hideMark/>
          </w:tcPr>
          <w:p w14:paraId="06A5AC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Need to wash produce multiple times daily</w:t>
            </w:r>
          </w:p>
        </w:tc>
        <w:tc>
          <w:tcPr>
            <w:tcW w:w="0" w:type="auto"/>
            <w:tcMar>
              <w:top w:w="150" w:type="dxa"/>
              <w:left w:w="240" w:type="dxa"/>
              <w:bottom w:w="150" w:type="dxa"/>
              <w:right w:w="240" w:type="dxa"/>
            </w:tcMar>
            <w:vAlign w:val="center"/>
            <w:hideMark/>
          </w:tcPr>
          <w:p w14:paraId="1CD5FEA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68</w:t>
            </w:r>
          </w:p>
        </w:tc>
        <w:tc>
          <w:tcPr>
            <w:tcW w:w="0" w:type="auto"/>
            <w:tcMar>
              <w:top w:w="150" w:type="dxa"/>
              <w:left w:w="240" w:type="dxa"/>
              <w:bottom w:w="150" w:type="dxa"/>
              <w:right w:w="240" w:type="dxa"/>
            </w:tcMar>
            <w:vAlign w:val="center"/>
            <w:hideMark/>
          </w:tcPr>
          <w:p w14:paraId="58968FE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78.2</w:t>
            </w:r>
          </w:p>
        </w:tc>
        <w:tc>
          <w:tcPr>
            <w:tcW w:w="0" w:type="auto"/>
            <w:tcMar>
              <w:top w:w="150" w:type="dxa"/>
              <w:left w:w="240" w:type="dxa"/>
              <w:bottom w:w="150" w:type="dxa"/>
              <w:right w:w="0" w:type="dxa"/>
            </w:tcMar>
            <w:vAlign w:val="center"/>
            <w:hideMark/>
          </w:tcPr>
          <w:p w14:paraId="231B5ED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68.3–86.0</w:t>
            </w:r>
          </w:p>
        </w:tc>
      </w:tr>
      <w:tr w:rsidR="00090A85" w:rsidRPr="00090A85" w14:paraId="03C31CC8" w14:textId="77777777" w:rsidTr="00090A85">
        <w:tc>
          <w:tcPr>
            <w:tcW w:w="0" w:type="auto"/>
            <w:tcMar>
              <w:top w:w="150" w:type="dxa"/>
              <w:left w:w="0" w:type="dxa"/>
              <w:bottom w:w="150" w:type="dxa"/>
              <w:right w:w="240" w:type="dxa"/>
            </w:tcMar>
            <w:vAlign w:val="center"/>
            <w:hideMark/>
          </w:tcPr>
          <w:p w14:paraId="172ED49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Customers explicitly refuse to buy due to dust</w:t>
            </w:r>
          </w:p>
        </w:tc>
        <w:tc>
          <w:tcPr>
            <w:tcW w:w="0" w:type="auto"/>
            <w:tcMar>
              <w:top w:w="150" w:type="dxa"/>
              <w:left w:w="240" w:type="dxa"/>
              <w:bottom w:w="150" w:type="dxa"/>
              <w:right w:w="240" w:type="dxa"/>
            </w:tcMar>
            <w:vAlign w:val="center"/>
            <w:hideMark/>
          </w:tcPr>
          <w:p w14:paraId="7A9E114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54</w:t>
            </w:r>
          </w:p>
        </w:tc>
        <w:tc>
          <w:tcPr>
            <w:tcW w:w="0" w:type="auto"/>
            <w:tcMar>
              <w:top w:w="150" w:type="dxa"/>
              <w:left w:w="240" w:type="dxa"/>
              <w:bottom w:w="150" w:type="dxa"/>
              <w:right w:w="240" w:type="dxa"/>
            </w:tcMar>
            <w:vAlign w:val="center"/>
            <w:hideMark/>
          </w:tcPr>
          <w:p w14:paraId="1D0A812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62.1</w:t>
            </w:r>
          </w:p>
        </w:tc>
        <w:tc>
          <w:tcPr>
            <w:tcW w:w="0" w:type="auto"/>
            <w:tcMar>
              <w:top w:w="150" w:type="dxa"/>
              <w:left w:w="240" w:type="dxa"/>
              <w:bottom w:w="150" w:type="dxa"/>
              <w:right w:w="0" w:type="dxa"/>
            </w:tcMar>
            <w:vAlign w:val="center"/>
            <w:hideMark/>
          </w:tcPr>
          <w:p w14:paraId="3709886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51.6–71.8</w:t>
            </w:r>
          </w:p>
        </w:tc>
      </w:tr>
    </w:tbl>
    <w:p w14:paraId="6015B246" w14:textId="5FAB90EB"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6F33E910" w14:textId="261F3CD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vendor explained:</w:t>
      </w:r>
    </w:p>
    <w:p w14:paraId="358104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lastRenderedPageBreak/>
        <w:t>"Before, I could sell everything by midday. Now sometimes I sit until evening with unsold produce. Customers go to other places where they think vegetables are cleaner."</w:t>
      </w:r>
      <w:r w:rsidRPr="00090A85">
        <w:rPr>
          <w:rFonts w:ascii="Times New Roman" w:hAnsi="Times New Roman" w:cs="Times New Roman"/>
        </w:rPr>
        <w:t> (Survey respondent, Female Vendor #23)</w:t>
      </w:r>
    </w:p>
    <w:p w14:paraId="31A1D4D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Despite significant impacts, formal complaints to ZEMA were rare (9.2%). When asked why, vendors cited: lack of knowledge (47.1%), belief that complaining would not change anything (38.8%), fear of retaliation (9.4%), and lack of transport (4.7%). This complaint gap – divergence between experienced harm (81.6% daily impacts) and reported harm (9.2% ever complained) – is an indicator of regulatory failure.</w:t>
      </w:r>
    </w:p>
    <w:p w14:paraId="286FD21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3.5 Documented Enforcement Actions</w:t>
      </w:r>
    </w:p>
    <w:p w14:paraId="64DB91D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Document review revealed that formal enforcement actions have been exceptionally rare. The 2009 ECZ intervention stands as the most significant in the plant's seven-decade history. According to ECZ records (25), an inspection on 8 March 2009 documented abnormal dust emissions affecting areas up to 1.6 km. ECZ: (1) reduced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validity from 12 to 6 months; (2) required two-week stack emission reports; (3) required an environmental management plan; and (4) required quarterly environmental audit reports.</w:t>
      </w:r>
    </w:p>
    <w:p w14:paraId="567715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ZEMA official reflected:</w:t>
      </w:r>
    </w:p>
    <w:p w14:paraId="317A6679" w14:textId="1574FBB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2009 case showed we can act when violations are clear. But maintaining pressure over time has been difficult due to limited resources. The two-week reporting requirement was not sustained indefinitely." (Key informant, ZEMA Official A)</w:t>
      </w:r>
    </w:p>
    <w:p w14:paraId="3FBA0ED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absence of comparable enforcement actions since 2009 represents a significant enforcement gap, with Zambia exhibiting a flat regulatory pyramid with minimal escalation (26).</w:t>
      </w:r>
    </w:p>
    <w:p w14:paraId="5FD7401D"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3.6 Current Monitoring Practices</w:t>
      </w:r>
    </w:p>
    <w:p w14:paraId="5FC390B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Table 4 </w:t>
      </w:r>
      <w:proofErr w:type="spellStart"/>
      <w:r w:rsidRPr="00090A85">
        <w:rPr>
          <w:rFonts w:ascii="Times New Roman" w:hAnsi="Times New Roman" w:cs="Times New Roman"/>
        </w:rPr>
        <w:t>summarises</w:t>
      </w:r>
      <w:proofErr w:type="spellEnd"/>
      <w:r w:rsidRPr="00090A85">
        <w:rPr>
          <w:rFonts w:ascii="Times New Roman" w:hAnsi="Times New Roman" w:cs="Times New Roman"/>
        </w:rPr>
        <w:t xml:space="preserve"> current monitoring practices based on key informant interviews.</w:t>
      </w:r>
    </w:p>
    <w:p w14:paraId="6C93CA2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4: Current ZEMA Monitoring Practices at the Chilanga Cement 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2230"/>
        <w:gridCol w:w="2601"/>
        <w:gridCol w:w="2604"/>
      </w:tblGrid>
      <w:tr w:rsidR="00090A85" w:rsidRPr="00090A85" w14:paraId="6B6A3C78" w14:textId="77777777" w:rsidTr="00090A85">
        <w:trPr>
          <w:tblHeader/>
        </w:trPr>
        <w:tc>
          <w:tcPr>
            <w:tcW w:w="0" w:type="auto"/>
            <w:tcMar>
              <w:top w:w="150" w:type="dxa"/>
              <w:left w:w="0" w:type="dxa"/>
              <w:bottom w:w="150" w:type="dxa"/>
              <w:right w:w="240" w:type="dxa"/>
            </w:tcMar>
            <w:vAlign w:val="center"/>
            <w:hideMark/>
          </w:tcPr>
          <w:p w14:paraId="7CBFBF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Monitoring activity</w:t>
            </w:r>
          </w:p>
        </w:tc>
        <w:tc>
          <w:tcPr>
            <w:tcW w:w="0" w:type="auto"/>
            <w:tcMar>
              <w:top w:w="150" w:type="dxa"/>
              <w:left w:w="240" w:type="dxa"/>
              <w:bottom w:w="150" w:type="dxa"/>
              <w:right w:w="240" w:type="dxa"/>
            </w:tcMar>
            <w:vAlign w:val="center"/>
            <w:hideMark/>
          </w:tcPr>
          <w:p w14:paraId="633459B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Frequency</w:t>
            </w:r>
          </w:p>
        </w:tc>
        <w:tc>
          <w:tcPr>
            <w:tcW w:w="0" w:type="auto"/>
            <w:tcMar>
              <w:top w:w="150" w:type="dxa"/>
              <w:left w:w="240" w:type="dxa"/>
              <w:bottom w:w="150" w:type="dxa"/>
              <w:right w:w="240" w:type="dxa"/>
            </w:tcMar>
            <w:vAlign w:val="center"/>
            <w:hideMark/>
          </w:tcPr>
          <w:p w14:paraId="6A63C7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Verification method</w:t>
            </w:r>
          </w:p>
        </w:tc>
        <w:tc>
          <w:tcPr>
            <w:tcW w:w="0" w:type="auto"/>
            <w:tcMar>
              <w:top w:w="150" w:type="dxa"/>
              <w:left w:w="240" w:type="dxa"/>
              <w:bottom w:w="150" w:type="dxa"/>
              <w:right w:w="240" w:type="dxa"/>
            </w:tcMar>
            <w:vAlign w:val="center"/>
            <w:hideMark/>
          </w:tcPr>
          <w:p w14:paraId="10E2E4A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Identified limitation</w:t>
            </w:r>
          </w:p>
        </w:tc>
      </w:tr>
      <w:tr w:rsidR="00090A85" w:rsidRPr="00090A85" w14:paraId="4E21D93D" w14:textId="77777777" w:rsidTr="00090A85">
        <w:tc>
          <w:tcPr>
            <w:tcW w:w="0" w:type="auto"/>
            <w:tcMar>
              <w:top w:w="150" w:type="dxa"/>
              <w:left w:w="0" w:type="dxa"/>
              <w:bottom w:w="150" w:type="dxa"/>
              <w:right w:w="240" w:type="dxa"/>
            </w:tcMar>
            <w:vAlign w:val="center"/>
            <w:hideMark/>
          </w:tcPr>
          <w:p w14:paraId="659EC01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 emissions reports</w:t>
            </w:r>
          </w:p>
        </w:tc>
        <w:tc>
          <w:tcPr>
            <w:tcW w:w="0" w:type="auto"/>
            <w:tcMar>
              <w:top w:w="150" w:type="dxa"/>
              <w:left w:w="240" w:type="dxa"/>
              <w:bottom w:w="150" w:type="dxa"/>
              <w:right w:w="240" w:type="dxa"/>
            </w:tcMar>
            <w:vAlign w:val="center"/>
            <w:hideMark/>
          </w:tcPr>
          <w:p w14:paraId="163B9C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w:t>
            </w:r>
          </w:p>
        </w:tc>
        <w:tc>
          <w:tcPr>
            <w:tcW w:w="0" w:type="auto"/>
            <w:tcMar>
              <w:top w:w="150" w:type="dxa"/>
              <w:left w:w="240" w:type="dxa"/>
              <w:bottom w:w="150" w:type="dxa"/>
              <w:right w:w="240" w:type="dxa"/>
            </w:tcMar>
            <w:vAlign w:val="center"/>
            <w:hideMark/>
          </w:tcPr>
          <w:p w14:paraId="07E06D5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Review of company-submitted data</w:t>
            </w:r>
          </w:p>
        </w:tc>
        <w:tc>
          <w:tcPr>
            <w:tcW w:w="0" w:type="auto"/>
            <w:tcMar>
              <w:top w:w="150" w:type="dxa"/>
              <w:left w:w="240" w:type="dxa"/>
              <w:bottom w:w="150" w:type="dxa"/>
              <w:right w:w="0" w:type="dxa"/>
            </w:tcMar>
            <w:vAlign w:val="center"/>
            <w:hideMark/>
          </w:tcPr>
          <w:p w14:paraId="47CE3DB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Relies on self-reporting; no independent verification</w:t>
            </w:r>
          </w:p>
        </w:tc>
      </w:tr>
      <w:tr w:rsidR="00090A85" w:rsidRPr="00090A85" w14:paraId="009E9E31" w14:textId="77777777" w:rsidTr="00090A85">
        <w:tc>
          <w:tcPr>
            <w:tcW w:w="0" w:type="auto"/>
            <w:tcMar>
              <w:top w:w="150" w:type="dxa"/>
              <w:left w:w="0" w:type="dxa"/>
              <w:bottom w:w="150" w:type="dxa"/>
              <w:right w:w="240" w:type="dxa"/>
            </w:tcMar>
            <w:vAlign w:val="center"/>
            <w:hideMark/>
          </w:tcPr>
          <w:p w14:paraId="0397D18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Site inspections</w:t>
            </w:r>
          </w:p>
        </w:tc>
        <w:tc>
          <w:tcPr>
            <w:tcW w:w="0" w:type="auto"/>
            <w:tcMar>
              <w:top w:w="150" w:type="dxa"/>
              <w:left w:w="240" w:type="dxa"/>
              <w:bottom w:w="150" w:type="dxa"/>
              <w:right w:w="240" w:type="dxa"/>
            </w:tcMar>
            <w:vAlign w:val="center"/>
            <w:hideMark/>
          </w:tcPr>
          <w:p w14:paraId="724CFB4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Ad hoc, complaint driven</w:t>
            </w:r>
          </w:p>
        </w:tc>
        <w:tc>
          <w:tcPr>
            <w:tcW w:w="0" w:type="auto"/>
            <w:tcMar>
              <w:top w:w="150" w:type="dxa"/>
              <w:left w:w="240" w:type="dxa"/>
              <w:bottom w:w="150" w:type="dxa"/>
              <w:right w:w="240" w:type="dxa"/>
            </w:tcMar>
            <w:vAlign w:val="center"/>
            <w:hideMark/>
          </w:tcPr>
          <w:p w14:paraId="0E4FF21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Visual inspection; occasional consultant support</w:t>
            </w:r>
          </w:p>
        </w:tc>
        <w:tc>
          <w:tcPr>
            <w:tcW w:w="0" w:type="auto"/>
            <w:tcMar>
              <w:top w:w="150" w:type="dxa"/>
              <w:left w:w="240" w:type="dxa"/>
              <w:bottom w:w="150" w:type="dxa"/>
              <w:right w:w="0" w:type="dxa"/>
            </w:tcMar>
            <w:vAlign w:val="center"/>
            <w:hideMark/>
          </w:tcPr>
          <w:p w14:paraId="2C0616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Reactive; limited by staffing (≈15 inspectors nationally)</w:t>
            </w:r>
          </w:p>
        </w:tc>
      </w:tr>
      <w:tr w:rsidR="00090A85" w:rsidRPr="00090A85" w14:paraId="7B866B97" w14:textId="77777777" w:rsidTr="00090A85">
        <w:tc>
          <w:tcPr>
            <w:tcW w:w="0" w:type="auto"/>
            <w:tcMar>
              <w:top w:w="150" w:type="dxa"/>
              <w:left w:w="0" w:type="dxa"/>
              <w:bottom w:w="150" w:type="dxa"/>
              <w:right w:w="240" w:type="dxa"/>
            </w:tcMar>
            <w:vAlign w:val="center"/>
            <w:hideMark/>
          </w:tcPr>
          <w:p w14:paraId="60277BC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Stack emission testing</w:t>
            </w:r>
          </w:p>
        </w:tc>
        <w:tc>
          <w:tcPr>
            <w:tcW w:w="0" w:type="auto"/>
            <w:tcMar>
              <w:top w:w="150" w:type="dxa"/>
              <w:left w:w="240" w:type="dxa"/>
              <w:bottom w:w="150" w:type="dxa"/>
              <w:right w:w="240" w:type="dxa"/>
            </w:tcMar>
            <w:vAlign w:val="center"/>
            <w:hideMark/>
          </w:tcPr>
          <w:p w14:paraId="65C3F05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Episodic (when complaints escalate)</w:t>
            </w:r>
          </w:p>
        </w:tc>
        <w:tc>
          <w:tcPr>
            <w:tcW w:w="0" w:type="auto"/>
            <w:tcMar>
              <w:top w:w="150" w:type="dxa"/>
              <w:left w:w="240" w:type="dxa"/>
              <w:bottom w:w="150" w:type="dxa"/>
              <w:right w:w="240" w:type="dxa"/>
            </w:tcMar>
            <w:vAlign w:val="center"/>
            <w:hideMark/>
          </w:tcPr>
          <w:p w14:paraId="28E8DCC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External consultants</w:t>
            </w:r>
          </w:p>
        </w:tc>
        <w:tc>
          <w:tcPr>
            <w:tcW w:w="0" w:type="auto"/>
            <w:tcMar>
              <w:top w:w="150" w:type="dxa"/>
              <w:left w:w="240" w:type="dxa"/>
              <w:bottom w:w="150" w:type="dxa"/>
              <w:right w:w="0" w:type="dxa"/>
            </w:tcMar>
            <w:vAlign w:val="center"/>
            <w:hideMark/>
          </w:tcPr>
          <w:p w14:paraId="086A929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Expensive; not routine; company aware of timing</w:t>
            </w:r>
          </w:p>
        </w:tc>
      </w:tr>
      <w:tr w:rsidR="00090A85" w:rsidRPr="00090A85" w14:paraId="1914B23B" w14:textId="77777777" w:rsidTr="00090A85">
        <w:tc>
          <w:tcPr>
            <w:tcW w:w="0" w:type="auto"/>
            <w:tcMar>
              <w:top w:w="150" w:type="dxa"/>
              <w:left w:w="0" w:type="dxa"/>
              <w:bottom w:w="150" w:type="dxa"/>
              <w:right w:w="240" w:type="dxa"/>
            </w:tcMar>
            <w:vAlign w:val="center"/>
            <w:hideMark/>
          </w:tcPr>
          <w:p w14:paraId="6EDA7D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Ambient air quality monitoring</w:t>
            </w:r>
          </w:p>
        </w:tc>
        <w:tc>
          <w:tcPr>
            <w:tcW w:w="0" w:type="auto"/>
            <w:tcMar>
              <w:top w:w="150" w:type="dxa"/>
              <w:left w:w="240" w:type="dxa"/>
              <w:bottom w:w="150" w:type="dxa"/>
              <w:right w:w="240" w:type="dxa"/>
            </w:tcMar>
            <w:vAlign w:val="center"/>
            <w:hideMark/>
          </w:tcPr>
          <w:p w14:paraId="4F13955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None</w:t>
            </w:r>
          </w:p>
        </w:tc>
        <w:tc>
          <w:tcPr>
            <w:tcW w:w="0" w:type="auto"/>
            <w:tcMar>
              <w:top w:w="150" w:type="dxa"/>
              <w:left w:w="240" w:type="dxa"/>
              <w:bottom w:w="150" w:type="dxa"/>
              <w:right w:w="240" w:type="dxa"/>
            </w:tcMar>
            <w:vAlign w:val="center"/>
            <w:hideMark/>
          </w:tcPr>
          <w:p w14:paraId="3D54CF1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Not applicable</w:t>
            </w:r>
          </w:p>
        </w:tc>
        <w:tc>
          <w:tcPr>
            <w:tcW w:w="0" w:type="auto"/>
            <w:tcMar>
              <w:top w:w="150" w:type="dxa"/>
              <w:left w:w="240" w:type="dxa"/>
              <w:bottom w:w="150" w:type="dxa"/>
              <w:right w:w="0" w:type="dxa"/>
            </w:tcMar>
            <w:vAlign w:val="center"/>
            <w:hideMark/>
          </w:tcPr>
          <w:p w14:paraId="7999B72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independent measure of community exposure</w:t>
            </w:r>
          </w:p>
        </w:tc>
      </w:tr>
      <w:tr w:rsidR="00090A85" w:rsidRPr="00090A85" w14:paraId="5C537EBF" w14:textId="77777777" w:rsidTr="00090A85">
        <w:tc>
          <w:tcPr>
            <w:tcW w:w="0" w:type="auto"/>
            <w:tcMar>
              <w:top w:w="150" w:type="dxa"/>
              <w:left w:w="0" w:type="dxa"/>
              <w:bottom w:w="150" w:type="dxa"/>
              <w:right w:w="240" w:type="dxa"/>
            </w:tcMar>
            <w:vAlign w:val="center"/>
            <w:hideMark/>
          </w:tcPr>
          <w:p w14:paraId="4A06518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complaint tracking</w:t>
            </w:r>
          </w:p>
        </w:tc>
        <w:tc>
          <w:tcPr>
            <w:tcW w:w="0" w:type="auto"/>
            <w:tcMar>
              <w:top w:w="150" w:type="dxa"/>
              <w:left w:w="240" w:type="dxa"/>
              <w:bottom w:w="150" w:type="dxa"/>
              <w:right w:w="240" w:type="dxa"/>
            </w:tcMar>
            <w:vAlign w:val="center"/>
            <w:hideMark/>
          </w:tcPr>
          <w:p w14:paraId="6F72AEE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As received</w:t>
            </w:r>
          </w:p>
        </w:tc>
        <w:tc>
          <w:tcPr>
            <w:tcW w:w="0" w:type="auto"/>
            <w:tcMar>
              <w:top w:w="150" w:type="dxa"/>
              <w:left w:w="240" w:type="dxa"/>
              <w:bottom w:w="150" w:type="dxa"/>
              <w:right w:w="240" w:type="dxa"/>
            </w:tcMar>
            <w:vAlign w:val="center"/>
            <w:hideMark/>
          </w:tcPr>
          <w:p w14:paraId="1DAD1F0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formal feedback mechanism</w:t>
            </w:r>
          </w:p>
        </w:tc>
        <w:tc>
          <w:tcPr>
            <w:tcW w:w="0" w:type="auto"/>
            <w:tcMar>
              <w:top w:w="150" w:type="dxa"/>
              <w:left w:w="240" w:type="dxa"/>
              <w:bottom w:w="150" w:type="dxa"/>
              <w:right w:w="0" w:type="dxa"/>
            </w:tcMar>
            <w:vAlign w:val="center"/>
            <w:hideMark/>
          </w:tcPr>
          <w:p w14:paraId="158CF9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 community trust; under-reporting</w:t>
            </w:r>
          </w:p>
        </w:tc>
      </w:tr>
    </w:tbl>
    <w:p w14:paraId="16D28AB0" w14:textId="7777777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Source: Author’s observations based on survey data (2020)</w:t>
      </w:r>
    </w:p>
    <w:p w14:paraId="0A324CDE" w14:textId="40D4262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ZEMA official described resource constraints:</w:t>
      </w:r>
    </w:p>
    <w:p w14:paraId="46BB8E3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"We have perhaps 15 inspectors for the whole country, covering mines, factories, power plants, and waste sites. Companies know that if they are not causing a major visible incident, inspection chances are low."</w:t>
      </w:r>
      <w:r w:rsidRPr="00090A85">
        <w:rPr>
          <w:rFonts w:ascii="Times New Roman" w:hAnsi="Times New Roman" w:cs="Times New Roman"/>
        </w:rPr>
        <w:t> (Key informant, ZEMA Official B)</w:t>
      </w:r>
    </w:p>
    <w:p w14:paraId="244B4B8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Regarding ambient monitoring, an official acknowledged:</w:t>
      </w:r>
    </w:p>
    <w:p w14:paraId="779CCCA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"ZEMA does not monitor around the plant. We rely on company reports about stack emissions rather than measuring what reaches the community. This is fundamental because community experience differs from stack emissions."</w:t>
      </w:r>
      <w:r w:rsidRPr="00090A85">
        <w:rPr>
          <w:rFonts w:ascii="Times New Roman" w:hAnsi="Times New Roman" w:cs="Times New Roman"/>
        </w:rPr>
        <w:t> (Key informant, ZEMA Official C)</w:t>
      </w:r>
    </w:p>
    <w:p w14:paraId="5563603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3.7 Qualitative Themes</w:t>
      </w:r>
    </w:p>
    <w:p w14:paraId="606EA6B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Thematic analysis revealed four major themes corresponding to the conceptual framework. Under institutional capacity, participants consistently described ZEMA as "understaffed" and "under-resourced." Under regulatory framework, participants expressed frustration that the company reports its own emissions. A female participant asked: "If the factory measures its own dust, why would they tell the truth?" (FGD, Women's Group B, Participant 2). Under procedural justice, participants described geographic, literacy, and cost barriers. A vendor stated: "I asked how I, a vegetable seller, could go to Lusaka. I had no transport money" (FGD, Women's Group B, Participant 4). Under political economy, participants expressed fatalistic beliefs that "the factory is too big to regulate because it brings money" (FGD, Men's Group B, Participant 3).</w:t>
      </w:r>
    </w:p>
    <w:p w14:paraId="0FFFD0E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3.8 Triangulation and Summary</w:t>
      </w:r>
    </w:p>
    <w:p w14:paraId="63FD9D0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Triangulation revealed convergence on most major findings. Divergence emerged around monitoring adequacy: ZEMA officials </w:t>
      </w:r>
      <w:proofErr w:type="spellStart"/>
      <w:r w:rsidRPr="00090A85">
        <w:rPr>
          <w:rFonts w:ascii="Times New Roman" w:hAnsi="Times New Roman" w:cs="Times New Roman"/>
        </w:rPr>
        <w:t>characterising</w:t>
      </w:r>
      <w:proofErr w:type="spellEnd"/>
      <w:r w:rsidRPr="00090A85">
        <w:rPr>
          <w:rFonts w:ascii="Times New Roman" w:hAnsi="Times New Roman" w:cs="Times New Roman"/>
        </w:rPr>
        <w:t xml:space="preserve"> the system as "adequate given resources" while community members described it as "completely ineffective." Table 5 </w:t>
      </w:r>
      <w:proofErr w:type="spellStart"/>
      <w:r w:rsidRPr="00090A85">
        <w:rPr>
          <w:rFonts w:ascii="Times New Roman" w:hAnsi="Times New Roman" w:cs="Times New Roman"/>
        </w:rPr>
        <w:t>summarises</w:t>
      </w:r>
      <w:proofErr w:type="spellEnd"/>
      <w:r w:rsidRPr="00090A85">
        <w:rPr>
          <w:rFonts w:ascii="Times New Roman" w:hAnsi="Times New Roman" w:cs="Times New Roman"/>
        </w:rPr>
        <w:t xml:space="preserve"> key quantitative findings.</w:t>
      </w:r>
    </w:p>
    <w:p w14:paraId="137F275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Table 5: Summary of Key Quantitative Findings with Confidence Intervals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3"/>
        <w:gridCol w:w="900"/>
        <w:gridCol w:w="1440"/>
        <w:gridCol w:w="600"/>
      </w:tblGrid>
      <w:tr w:rsidR="00090A85" w:rsidRPr="00090A85" w14:paraId="524C8E3E" w14:textId="77777777" w:rsidTr="00090A85">
        <w:trPr>
          <w:tblHeader/>
        </w:trPr>
        <w:tc>
          <w:tcPr>
            <w:tcW w:w="0" w:type="auto"/>
            <w:tcMar>
              <w:top w:w="150" w:type="dxa"/>
              <w:left w:w="0" w:type="dxa"/>
              <w:bottom w:w="150" w:type="dxa"/>
              <w:right w:w="240" w:type="dxa"/>
            </w:tcMar>
            <w:vAlign w:val="center"/>
            <w:hideMark/>
          </w:tcPr>
          <w:p w14:paraId="1013D9E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Indicator</w:t>
            </w:r>
          </w:p>
        </w:tc>
        <w:tc>
          <w:tcPr>
            <w:tcW w:w="0" w:type="auto"/>
            <w:tcMar>
              <w:top w:w="150" w:type="dxa"/>
              <w:left w:w="240" w:type="dxa"/>
              <w:bottom w:w="150" w:type="dxa"/>
              <w:right w:w="240" w:type="dxa"/>
            </w:tcMar>
            <w:vAlign w:val="center"/>
            <w:hideMark/>
          </w:tcPr>
          <w:p w14:paraId="649AD1A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269B4A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c>
          <w:tcPr>
            <w:tcW w:w="0" w:type="auto"/>
            <w:tcMar>
              <w:top w:w="150" w:type="dxa"/>
              <w:left w:w="240" w:type="dxa"/>
              <w:bottom w:w="150" w:type="dxa"/>
              <w:right w:w="240" w:type="dxa"/>
            </w:tcMar>
            <w:vAlign w:val="center"/>
            <w:hideMark/>
          </w:tcPr>
          <w:p w14:paraId="4C4370D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r>
      <w:tr w:rsidR="00090A85" w:rsidRPr="00090A85" w14:paraId="0DB4E49A" w14:textId="77777777" w:rsidTr="00090A85">
        <w:tc>
          <w:tcPr>
            <w:tcW w:w="0" w:type="auto"/>
            <w:tcMar>
              <w:top w:w="150" w:type="dxa"/>
              <w:left w:w="0" w:type="dxa"/>
              <w:bottom w:w="150" w:type="dxa"/>
              <w:right w:w="240" w:type="dxa"/>
            </w:tcMar>
            <w:vAlign w:val="center"/>
            <w:hideMark/>
          </w:tcPr>
          <w:p w14:paraId="5DF9CBD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Vendor awareness of ZEMA</w:t>
            </w:r>
          </w:p>
        </w:tc>
        <w:tc>
          <w:tcPr>
            <w:tcW w:w="0" w:type="auto"/>
            <w:tcMar>
              <w:top w:w="150" w:type="dxa"/>
              <w:left w:w="240" w:type="dxa"/>
              <w:bottom w:w="150" w:type="dxa"/>
              <w:right w:w="240" w:type="dxa"/>
            </w:tcMar>
            <w:vAlign w:val="center"/>
            <w:hideMark/>
          </w:tcPr>
          <w:p w14:paraId="530D15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34.5</w:t>
            </w:r>
          </w:p>
        </w:tc>
        <w:tc>
          <w:tcPr>
            <w:tcW w:w="0" w:type="auto"/>
            <w:tcMar>
              <w:top w:w="150" w:type="dxa"/>
              <w:left w:w="240" w:type="dxa"/>
              <w:bottom w:w="150" w:type="dxa"/>
              <w:right w:w="240" w:type="dxa"/>
            </w:tcMar>
            <w:vAlign w:val="center"/>
            <w:hideMark/>
          </w:tcPr>
          <w:p w14:paraId="37F7E96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25.0–45.1</w:t>
            </w:r>
          </w:p>
        </w:tc>
        <w:tc>
          <w:tcPr>
            <w:tcW w:w="0" w:type="auto"/>
            <w:tcMar>
              <w:top w:w="150" w:type="dxa"/>
              <w:left w:w="240" w:type="dxa"/>
              <w:bottom w:w="150" w:type="dxa"/>
              <w:right w:w="0" w:type="dxa"/>
            </w:tcMar>
            <w:vAlign w:val="center"/>
            <w:hideMark/>
          </w:tcPr>
          <w:p w14:paraId="3CC286A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30</w:t>
            </w:r>
          </w:p>
        </w:tc>
      </w:tr>
      <w:tr w:rsidR="00090A85" w:rsidRPr="00090A85" w14:paraId="540E7AA3" w14:textId="77777777" w:rsidTr="00090A85">
        <w:tc>
          <w:tcPr>
            <w:tcW w:w="0" w:type="auto"/>
            <w:tcMar>
              <w:top w:w="150" w:type="dxa"/>
              <w:left w:w="0" w:type="dxa"/>
              <w:bottom w:w="150" w:type="dxa"/>
              <w:right w:w="240" w:type="dxa"/>
            </w:tcMar>
            <w:vAlign w:val="center"/>
            <w:hideMark/>
          </w:tcPr>
          <w:p w14:paraId="6FB2AE4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Direct contact with ZEMA</w:t>
            </w:r>
          </w:p>
        </w:tc>
        <w:tc>
          <w:tcPr>
            <w:tcW w:w="0" w:type="auto"/>
            <w:tcMar>
              <w:top w:w="150" w:type="dxa"/>
              <w:left w:w="240" w:type="dxa"/>
              <w:bottom w:w="150" w:type="dxa"/>
              <w:right w:w="240" w:type="dxa"/>
            </w:tcMar>
            <w:vAlign w:val="center"/>
            <w:hideMark/>
          </w:tcPr>
          <w:p w14:paraId="34D5AF5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04B38D4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4.1–17.2</w:t>
            </w:r>
          </w:p>
        </w:tc>
        <w:tc>
          <w:tcPr>
            <w:tcW w:w="0" w:type="auto"/>
            <w:tcMar>
              <w:top w:w="150" w:type="dxa"/>
              <w:left w:w="240" w:type="dxa"/>
              <w:bottom w:w="150" w:type="dxa"/>
              <w:right w:w="0" w:type="dxa"/>
            </w:tcMar>
            <w:vAlign w:val="center"/>
            <w:hideMark/>
          </w:tcPr>
          <w:p w14:paraId="773F57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w:t>
            </w:r>
          </w:p>
        </w:tc>
      </w:tr>
      <w:tr w:rsidR="00090A85" w:rsidRPr="00090A85" w14:paraId="785DD16D" w14:textId="77777777" w:rsidTr="00090A85">
        <w:tc>
          <w:tcPr>
            <w:tcW w:w="0" w:type="auto"/>
            <w:tcMar>
              <w:top w:w="150" w:type="dxa"/>
              <w:left w:w="0" w:type="dxa"/>
              <w:bottom w:w="150" w:type="dxa"/>
              <w:right w:w="240" w:type="dxa"/>
            </w:tcMar>
            <w:vAlign w:val="center"/>
            <w:hideMark/>
          </w:tcPr>
          <w:p w14:paraId="4A83A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Low/very low trust in ZEMA</w:t>
            </w:r>
          </w:p>
        </w:tc>
        <w:tc>
          <w:tcPr>
            <w:tcW w:w="0" w:type="auto"/>
            <w:tcMar>
              <w:top w:w="150" w:type="dxa"/>
              <w:left w:w="240" w:type="dxa"/>
              <w:bottom w:w="150" w:type="dxa"/>
              <w:right w:w="240" w:type="dxa"/>
            </w:tcMar>
            <w:vAlign w:val="center"/>
            <w:hideMark/>
          </w:tcPr>
          <w:p w14:paraId="3759AB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70.1</w:t>
            </w:r>
          </w:p>
        </w:tc>
        <w:tc>
          <w:tcPr>
            <w:tcW w:w="0" w:type="auto"/>
            <w:tcMar>
              <w:top w:w="150" w:type="dxa"/>
              <w:left w:w="240" w:type="dxa"/>
              <w:bottom w:w="150" w:type="dxa"/>
              <w:right w:w="240" w:type="dxa"/>
            </w:tcMar>
            <w:vAlign w:val="center"/>
            <w:hideMark/>
          </w:tcPr>
          <w:p w14:paraId="060E699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60.0–78.9</w:t>
            </w:r>
          </w:p>
        </w:tc>
        <w:tc>
          <w:tcPr>
            <w:tcW w:w="0" w:type="auto"/>
            <w:tcMar>
              <w:top w:w="150" w:type="dxa"/>
              <w:left w:w="240" w:type="dxa"/>
              <w:bottom w:w="150" w:type="dxa"/>
              <w:right w:w="0" w:type="dxa"/>
            </w:tcMar>
            <w:vAlign w:val="center"/>
            <w:hideMark/>
          </w:tcPr>
          <w:p w14:paraId="71F5A8E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61</w:t>
            </w:r>
          </w:p>
        </w:tc>
      </w:tr>
      <w:tr w:rsidR="00090A85" w:rsidRPr="00090A85" w14:paraId="5AEFD233" w14:textId="77777777" w:rsidTr="00090A85">
        <w:tc>
          <w:tcPr>
            <w:tcW w:w="0" w:type="auto"/>
            <w:tcMar>
              <w:top w:w="150" w:type="dxa"/>
              <w:left w:w="0" w:type="dxa"/>
              <w:bottom w:w="150" w:type="dxa"/>
              <w:right w:w="240" w:type="dxa"/>
            </w:tcMar>
            <w:vAlign w:val="center"/>
            <w:hideMark/>
          </w:tcPr>
          <w:p w14:paraId="42383A4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Daily dust settlement on produce</w:t>
            </w:r>
          </w:p>
        </w:tc>
        <w:tc>
          <w:tcPr>
            <w:tcW w:w="0" w:type="auto"/>
            <w:tcMar>
              <w:top w:w="150" w:type="dxa"/>
              <w:left w:w="240" w:type="dxa"/>
              <w:bottom w:w="150" w:type="dxa"/>
              <w:right w:w="240" w:type="dxa"/>
            </w:tcMar>
            <w:vAlign w:val="center"/>
            <w:hideMark/>
          </w:tcPr>
          <w:p w14:paraId="021FD2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81.6</w:t>
            </w:r>
          </w:p>
        </w:tc>
        <w:tc>
          <w:tcPr>
            <w:tcW w:w="0" w:type="auto"/>
            <w:tcMar>
              <w:top w:w="150" w:type="dxa"/>
              <w:left w:w="240" w:type="dxa"/>
              <w:bottom w:w="150" w:type="dxa"/>
              <w:right w:w="240" w:type="dxa"/>
            </w:tcMar>
            <w:vAlign w:val="center"/>
            <w:hideMark/>
          </w:tcPr>
          <w:p w14:paraId="19ED112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72.0–89.0</w:t>
            </w:r>
          </w:p>
        </w:tc>
        <w:tc>
          <w:tcPr>
            <w:tcW w:w="0" w:type="auto"/>
            <w:tcMar>
              <w:top w:w="150" w:type="dxa"/>
              <w:left w:w="240" w:type="dxa"/>
              <w:bottom w:w="150" w:type="dxa"/>
              <w:right w:w="0" w:type="dxa"/>
            </w:tcMar>
            <w:vAlign w:val="center"/>
            <w:hideMark/>
          </w:tcPr>
          <w:p w14:paraId="36B864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71</w:t>
            </w:r>
          </w:p>
        </w:tc>
      </w:tr>
      <w:tr w:rsidR="00090A85" w:rsidRPr="00090A85" w14:paraId="7BEDBEA6" w14:textId="77777777" w:rsidTr="00090A85">
        <w:tc>
          <w:tcPr>
            <w:tcW w:w="0" w:type="auto"/>
            <w:tcMar>
              <w:top w:w="150" w:type="dxa"/>
              <w:left w:w="0" w:type="dxa"/>
              <w:bottom w:w="150" w:type="dxa"/>
              <w:right w:w="240" w:type="dxa"/>
            </w:tcMar>
            <w:vAlign w:val="center"/>
            <w:hideMark/>
          </w:tcPr>
          <w:p w14:paraId="3D5FDD1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Lost sales due to dust</w:t>
            </w:r>
          </w:p>
        </w:tc>
        <w:tc>
          <w:tcPr>
            <w:tcW w:w="0" w:type="auto"/>
            <w:tcMar>
              <w:top w:w="150" w:type="dxa"/>
              <w:left w:w="240" w:type="dxa"/>
              <w:bottom w:w="150" w:type="dxa"/>
              <w:right w:w="240" w:type="dxa"/>
            </w:tcMar>
            <w:vAlign w:val="center"/>
            <w:hideMark/>
          </w:tcPr>
          <w:p w14:paraId="21B2CC0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67.8</w:t>
            </w:r>
          </w:p>
        </w:tc>
        <w:tc>
          <w:tcPr>
            <w:tcW w:w="0" w:type="auto"/>
            <w:tcMar>
              <w:top w:w="150" w:type="dxa"/>
              <w:left w:w="240" w:type="dxa"/>
              <w:bottom w:w="150" w:type="dxa"/>
              <w:right w:w="240" w:type="dxa"/>
            </w:tcMar>
            <w:vAlign w:val="center"/>
            <w:hideMark/>
          </w:tcPr>
          <w:p w14:paraId="6348D86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57.4–77.1</w:t>
            </w:r>
          </w:p>
        </w:tc>
        <w:tc>
          <w:tcPr>
            <w:tcW w:w="0" w:type="auto"/>
            <w:tcMar>
              <w:top w:w="150" w:type="dxa"/>
              <w:left w:w="240" w:type="dxa"/>
              <w:bottom w:w="150" w:type="dxa"/>
              <w:right w:w="0" w:type="dxa"/>
            </w:tcMar>
            <w:vAlign w:val="center"/>
            <w:hideMark/>
          </w:tcPr>
          <w:p w14:paraId="7CA25D9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59</w:t>
            </w:r>
          </w:p>
        </w:tc>
      </w:tr>
      <w:tr w:rsidR="00090A85" w:rsidRPr="00090A85" w14:paraId="25858A78" w14:textId="77777777" w:rsidTr="00090A85">
        <w:tc>
          <w:tcPr>
            <w:tcW w:w="0" w:type="auto"/>
            <w:tcMar>
              <w:top w:w="150" w:type="dxa"/>
              <w:left w:w="0" w:type="dxa"/>
              <w:bottom w:w="150" w:type="dxa"/>
              <w:right w:w="240" w:type="dxa"/>
            </w:tcMar>
            <w:vAlign w:val="center"/>
            <w:hideMark/>
          </w:tcPr>
          <w:p w14:paraId="6AB7E11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Reduced prices due to dust</w:t>
            </w:r>
          </w:p>
        </w:tc>
        <w:tc>
          <w:tcPr>
            <w:tcW w:w="0" w:type="auto"/>
            <w:tcMar>
              <w:top w:w="150" w:type="dxa"/>
              <w:left w:w="240" w:type="dxa"/>
              <w:bottom w:w="150" w:type="dxa"/>
              <w:right w:w="240" w:type="dxa"/>
            </w:tcMar>
            <w:vAlign w:val="center"/>
            <w:hideMark/>
          </w:tcPr>
          <w:p w14:paraId="2B43E44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48.3</w:t>
            </w:r>
          </w:p>
        </w:tc>
        <w:tc>
          <w:tcPr>
            <w:tcW w:w="0" w:type="auto"/>
            <w:tcMar>
              <w:top w:w="150" w:type="dxa"/>
              <w:left w:w="240" w:type="dxa"/>
              <w:bottom w:w="150" w:type="dxa"/>
              <w:right w:w="240" w:type="dxa"/>
            </w:tcMar>
            <w:vAlign w:val="center"/>
            <w:hideMark/>
          </w:tcPr>
          <w:p w14:paraId="66999A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37.9–58.7</w:t>
            </w:r>
          </w:p>
        </w:tc>
        <w:tc>
          <w:tcPr>
            <w:tcW w:w="0" w:type="auto"/>
            <w:tcMar>
              <w:top w:w="150" w:type="dxa"/>
              <w:left w:w="240" w:type="dxa"/>
              <w:bottom w:w="150" w:type="dxa"/>
              <w:right w:w="0" w:type="dxa"/>
            </w:tcMar>
            <w:vAlign w:val="center"/>
            <w:hideMark/>
          </w:tcPr>
          <w:p w14:paraId="2DD0276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w:t>
            </w:r>
          </w:p>
        </w:tc>
      </w:tr>
      <w:tr w:rsidR="00090A85" w:rsidRPr="00090A85" w14:paraId="386875B9" w14:textId="77777777" w:rsidTr="00090A85">
        <w:tc>
          <w:tcPr>
            <w:tcW w:w="0" w:type="auto"/>
            <w:tcMar>
              <w:top w:w="150" w:type="dxa"/>
              <w:left w:w="0" w:type="dxa"/>
              <w:bottom w:w="150" w:type="dxa"/>
              <w:right w:w="240" w:type="dxa"/>
            </w:tcMar>
            <w:vAlign w:val="center"/>
            <w:hideMark/>
          </w:tcPr>
          <w:p w14:paraId="0F1DD9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072C62B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240" w:type="dxa"/>
            </w:tcMar>
            <w:vAlign w:val="center"/>
            <w:hideMark/>
          </w:tcPr>
          <w:p w14:paraId="4CD451C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26.0–46.0</w:t>
            </w:r>
          </w:p>
        </w:tc>
        <w:tc>
          <w:tcPr>
            <w:tcW w:w="0" w:type="auto"/>
            <w:tcMar>
              <w:top w:w="150" w:type="dxa"/>
              <w:left w:w="240" w:type="dxa"/>
              <w:bottom w:w="150" w:type="dxa"/>
              <w:right w:w="0" w:type="dxa"/>
            </w:tcMar>
            <w:vAlign w:val="center"/>
            <w:hideMark/>
          </w:tcPr>
          <w:p w14:paraId="085177A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w:t>
            </w:r>
          </w:p>
        </w:tc>
      </w:tr>
    </w:tbl>
    <w:p w14:paraId="233845A2" w14:textId="48B4230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w:t>
      </w:r>
      <w:r w:rsidRPr="006C6DF3">
        <w:rPr>
          <w:rFonts w:ascii="Times New Roman" w:hAnsi="Times New Roman" w:cs="Times New Roman"/>
          <w:i/>
          <w:iCs/>
          <w:sz w:val="22"/>
          <w:szCs w:val="22"/>
        </w:rPr>
        <w:t>s based on survey data (2020)</w:t>
      </w:r>
    </w:p>
    <w:p w14:paraId="2F09244E" w14:textId="065DE818"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 DISCUSSION</w:t>
      </w:r>
    </w:p>
    <w:p w14:paraId="0CC2894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4.1 The Implementation Gap: Institutional Capacity and Regulatory Ritualism</w:t>
      </w:r>
    </w:p>
    <w:p w14:paraId="1E18FA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findings reveal a fundamental disconnect between ZEMA's legal mandate and operational effectiveness. This </w:t>
      </w:r>
      <w:r w:rsidRPr="00090A85">
        <w:rPr>
          <w:rFonts w:ascii="Times New Roman" w:hAnsi="Times New Roman" w:cs="Times New Roman"/>
          <w:b/>
          <w:bCs/>
        </w:rPr>
        <w:t>implementation gap</w:t>
      </w:r>
      <w:r w:rsidRPr="00090A85">
        <w:rPr>
          <w:rFonts w:ascii="Times New Roman" w:hAnsi="Times New Roman" w:cs="Times New Roman"/>
        </w:rPr>
        <w:t> reflects patterns documented across sub-Saharan Africa (1). The concept of </w:t>
      </w:r>
      <w:r w:rsidRPr="00090A85">
        <w:rPr>
          <w:rFonts w:ascii="Times New Roman" w:hAnsi="Times New Roman" w:cs="Times New Roman"/>
          <w:b/>
          <w:bCs/>
        </w:rPr>
        <w:t>regulatory ritualism</w:t>
      </w:r>
      <w:r w:rsidRPr="00090A85">
        <w:rPr>
          <w:rFonts w:ascii="Times New Roman" w:hAnsi="Times New Roman" w:cs="Times New Roman"/>
        </w:rPr>
        <w:t> (16) explains this phenomenon: the plant submits quarterly reports and ZEMA reviews them, but without independent verification, the process becomes a ritual of compliance rather than substantive pollution control.</w:t>
      </w:r>
    </w:p>
    <w:p w14:paraId="3F3F8FB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staffing ratio – approximately 15 inspectors for all regulated facilities nationwide – is manifestly inadequate. Each facility can expect at most one or two inspections annually, creating a predictable compliance environment where violations persist undetected for months. This finding is consistent with the environmental enforcement literature demonstrating that inspection frequency strongly predicts compliance (27,28).</w:t>
      </w:r>
    </w:p>
    <w:p w14:paraId="047911E9"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4.2 Community Trust and Procedural Justice Failure</w:t>
      </w:r>
    </w:p>
    <w:p w14:paraId="33B0D47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The finding that 70.1% of vendors express low trust reflects profound erosion of institutional legitimacy. </w:t>
      </w:r>
      <w:proofErr w:type="spellStart"/>
      <w:r w:rsidRPr="00090A85">
        <w:rPr>
          <w:rFonts w:ascii="Times New Roman" w:hAnsi="Times New Roman" w:cs="Times New Roman"/>
        </w:rPr>
        <w:t>Analysing</w:t>
      </w:r>
      <w:proofErr w:type="spellEnd"/>
      <w:r w:rsidRPr="00090A85">
        <w:rPr>
          <w:rFonts w:ascii="Times New Roman" w:hAnsi="Times New Roman" w:cs="Times New Roman"/>
        </w:rPr>
        <w:t xml:space="preserve"> through the procedural justice dimension, trust deficits emerged across three dimensions:</w:t>
      </w:r>
    </w:p>
    <w:p w14:paraId="21D485C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Transparency deficits:</w:t>
      </w:r>
      <w:r w:rsidRPr="00090A85">
        <w:rPr>
          <w:rFonts w:ascii="Times New Roman" w:hAnsi="Times New Roman" w:cs="Times New Roman"/>
        </w:rPr>
        <w:t> No access to monitoring data, no information about inspection findings, no feedback on complaints. As one participant stated: "They write a report and leave. Nothing changes."</w:t>
      </w:r>
    </w:p>
    <w:p w14:paraId="711C9F8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Procedural fairness deficits:</w:t>
      </w:r>
      <w:r w:rsidRPr="00090A85">
        <w:rPr>
          <w:rFonts w:ascii="Times New Roman" w:hAnsi="Times New Roman" w:cs="Times New Roman"/>
        </w:rPr>
        <w:t> No community engagement in inspections, geographically distant complaint mechanisms (requiring transport costs vendors cannot afford), literacy barriers, and failure to respond meaningfully to grievances.</w:t>
      </w:r>
    </w:p>
    <w:p w14:paraId="722194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Efficacy deficits:</w:t>
      </w:r>
      <w:r w:rsidRPr="00090A85">
        <w:rPr>
          <w:rFonts w:ascii="Times New Roman" w:hAnsi="Times New Roman" w:cs="Times New Roman"/>
        </w:rPr>
        <w:t> Having observed that complaints yield no observable changes in pollution levels, community members concluded that regulatory processes are ineffective. The complaint gap (67.8% lost sales versus 9.2% ever complained) indicates rational disengagement.</w:t>
      </w:r>
    </w:p>
    <w:p w14:paraId="0D4CC53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contrast with trust in traditional leaders (38.1% high trust) is instructive. Traditional leaders are accessible, visible, and responsive. For ZEMA to rebuild trust, it must become more present, responsive, and transparent.</w:t>
      </w:r>
    </w:p>
    <w:p w14:paraId="55364F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Women bear disproportionate impacts (72.4% of vendors are women) while facing greater barriers to regulatory access. This double disadvantage suggests regulatory reforms must be gender-sensitive.</w:t>
      </w:r>
    </w:p>
    <w:p w14:paraId="1FA62B58"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4.3 Benchmarking Against Regional Innovations</w:t>
      </w:r>
    </w:p>
    <w:p w14:paraId="69D7A026" w14:textId="3FEB5A6C" w:rsidR="006C6DF3" w:rsidRPr="006C6DF3" w:rsidRDefault="006C6DF3" w:rsidP="00C13202">
      <w:pPr>
        <w:spacing w:line="240" w:lineRule="auto"/>
        <w:jc w:val="both"/>
        <w:rPr>
          <w:rFonts w:ascii="Times New Roman" w:hAnsi="Times New Roman" w:cs="Times New Roman"/>
        </w:rPr>
      </w:pPr>
      <w:r w:rsidRPr="006C6DF3">
        <w:rPr>
          <w:rFonts w:ascii="Times New Roman" w:hAnsi="Times New Roman" w:cs="Times New Roman"/>
        </w:rPr>
        <w:t xml:space="preserve">Table 6 provides a systematic comparative benchmarking of Zambia's regulatory practices against emerging innovations in Ghana, Zimbabwe, and South Africa. The comparison is </w:t>
      </w:r>
      <w:proofErr w:type="spellStart"/>
      <w:r w:rsidRPr="006C6DF3">
        <w:rPr>
          <w:rFonts w:ascii="Times New Roman" w:hAnsi="Times New Roman" w:cs="Times New Roman"/>
        </w:rPr>
        <w:t>organised</w:t>
      </w:r>
      <w:proofErr w:type="spellEnd"/>
      <w:r w:rsidRPr="006C6DF3">
        <w:rPr>
          <w:rFonts w:ascii="Times New Roman" w:hAnsi="Times New Roman" w:cs="Times New Roman"/>
        </w:rPr>
        <w:t xml:space="preserve"> across four dimensions: monitoring technology, enforcement frequency and triggers, community engagement mechanisms, and transparency provisions. This benchmarking reveals significant implementation gaps in Zambia's regulatory framework relative to regional peers.</w:t>
      </w:r>
    </w:p>
    <w:p w14:paraId="69AD0738" w14:textId="7108635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6: Benchmarking Zambia Against Regional Regulatory Innovations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2"/>
        <w:gridCol w:w="1864"/>
        <w:gridCol w:w="2033"/>
        <w:gridCol w:w="2098"/>
        <w:gridCol w:w="1723"/>
      </w:tblGrid>
      <w:tr w:rsidR="00090A85" w:rsidRPr="00090A85" w14:paraId="3E482761" w14:textId="77777777" w:rsidTr="00090A85">
        <w:trPr>
          <w:tblHeader/>
        </w:trPr>
        <w:tc>
          <w:tcPr>
            <w:tcW w:w="0" w:type="auto"/>
            <w:tcMar>
              <w:top w:w="150" w:type="dxa"/>
              <w:left w:w="0" w:type="dxa"/>
              <w:bottom w:w="150" w:type="dxa"/>
              <w:right w:w="240" w:type="dxa"/>
            </w:tcMar>
            <w:vAlign w:val="center"/>
            <w:hideMark/>
          </w:tcPr>
          <w:p w14:paraId="2DFADC8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Dimension</w:t>
            </w:r>
          </w:p>
        </w:tc>
        <w:tc>
          <w:tcPr>
            <w:tcW w:w="0" w:type="auto"/>
            <w:tcMar>
              <w:top w:w="150" w:type="dxa"/>
              <w:left w:w="240" w:type="dxa"/>
              <w:bottom w:w="150" w:type="dxa"/>
              <w:right w:w="240" w:type="dxa"/>
            </w:tcMar>
            <w:vAlign w:val="center"/>
            <w:hideMark/>
          </w:tcPr>
          <w:p w14:paraId="0BEA80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Zambia (current study)</w:t>
            </w:r>
          </w:p>
        </w:tc>
        <w:tc>
          <w:tcPr>
            <w:tcW w:w="0" w:type="auto"/>
            <w:tcMar>
              <w:top w:w="150" w:type="dxa"/>
              <w:left w:w="240" w:type="dxa"/>
              <w:bottom w:w="150" w:type="dxa"/>
              <w:right w:w="240" w:type="dxa"/>
            </w:tcMar>
            <w:vAlign w:val="center"/>
            <w:hideMark/>
          </w:tcPr>
          <w:p w14:paraId="3E4BED9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Ghana (12)</w:t>
            </w:r>
          </w:p>
        </w:tc>
        <w:tc>
          <w:tcPr>
            <w:tcW w:w="0" w:type="auto"/>
            <w:tcMar>
              <w:top w:w="150" w:type="dxa"/>
              <w:left w:w="240" w:type="dxa"/>
              <w:bottom w:w="150" w:type="dxa"/>
              <w:right w:w="240" w:type="dxa"/>
            </w:tcMar>
            <w:vAlign w:val="center"/>
            <w:hideMark/>
          </w:tcPr>
          <w:p w14:paraId="01E5B5D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Zimbabwe (14,15)</w:t>
            </w:r>
          </w:p>
        </w:tc>
        <w:tc>
          <w:tcPr>
            <w:tcW w:w="0" w:type="auto"/>
            <w:tcMar>
              <w:top w:w="150" w:type="dxa"/>
              <w:left w:w="240" w:type="dxa"/>
              <w:bottom w:w="150" w:type="dxa"/>
              <w:right w:w="240" w:type="dxa"/>
            </w:tcMar>
            <w:vAlign w:val="center"/>
            <w:hideMark/>
          </w:tcPr>
          <w:p w14:paraId="647D844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South Africa (29)</w:t>
            </w:r>
          </w:p>
        </w:tc>
      </w:tr>
      <w:tr w:rsidR="00090A85" w:rsidRPr="00090A85" w14:paraId="1EFE747B" w14:textId="77777777" w:rsidTr="00090A85">
        <w:tc>
          <w:tcPr>
            <w:tcW w:w="0" w:type="auto"/>
            <w:tcMar>
              <w:top w:w="150" w:type="dxa"/>
              <w:left w:w="0" w:type="dxa"/>
              <w:bottom w:w="150" w:type="dxa"/>
              <w:right w:w="240" w:type="dxa"/>
            </w:tcMar>
            <w:vAlign w:val="center"/>
            <w:hideMark/>
          </w:tcPr>
          <w:p w14:paraId="711B9C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Monitoring</w:t>
            </w:r>
          </w:p>
        </w:tc>
        <w:tc>
          <w:tcPr>
            <w:tcW w:w="0" w:type="auto"/>
            <w:tcMar>
              <w:top w:w="150" w:type="dxa"/>
              <w:left w:w="240" w:type="dxa"/>
              <w:bottom w:w="150" w:type="dxa"/>
              <w:right w:w="240" w:type="dxa"/>
            </w:tcMar>
            <w:vAlign w:val="center"/>
            <w:hideMark/>
          </w:tcPr>
          <w:p w14:paraId="4B56EDB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 self-reports; no ambient monitoring</w:t>
            </w:r>
          </w:p>
        </w:tc>
        <w:tc>
          <w:tcPr>
            <w:tcW w:w="0" w:type="auto"/>
            <w:tcMar>
              <w:top w:w="150" w:type="dxa"/>
              <w:left w:w="240" w:type="dxa"/>
              <w:bottom w:w="150" w:type="dxa"/>
              <w:right w:w="240" w:type="dxa"/>
            </w:tcMar>
            <w:vAlign w:val="center"/>
            <w:hideMark/>
          </w:tcPr>
          <w:p w14:paraId="60EA87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Real-time CEMS with public data </w:t>
            </w:r>
            <w:proofErr w:type="spellStart"/>
            <w:r w:rsidRPr="00090A85">
              <w:rPr>
                <w:rFonts w:ascii="Times New Roman" w:hAnsi="Times New Roman" w:cs="Times New Roman"/>
              </w:rPr>
              <w:t>visualisation</w:t>
            </w:r>
            <w:proofErr w:type="spellEnd"/>
          </w:p>
        </w:tc>
        <w:tc>
          <w:tcPr>
            <w:tcW w:w="0" w:type="auto"/>
            <w:tcMar>
              <w:top w:w="150" w:type="dxa"/>
              <w:left w:w="240" w:type="dxa"/>
              <w:bottom w:w="150" w:type="dxa"/>
              <w:right w:w="240" w:type="dxa"/>
            </w:tcMar>
            <w:vAlign w:val="center"/>
            <w:hideMark/>
          </w:tcPr>
          <w:p w14:paraId="2056996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Continuous monitoring required; baseline ambient assessment</w:t>
            </w:r>
          </w:p>
        </w:tc>
        <w:tc>
          <w:tcPr>
            <w:tcW w:w="0" w:type="auto"/>
            <w:tcMar>
              <w:top w:w="150" w:type="dxa"/>
              <w:left w:w="240" w:type="dxa"/>
              <w:bottom w:w="150" w:type="dxa"/>
              <w:right w:w="0" w:type="dxa"/>
            </w:tcMar>
            <w:vAlign w:val="center"/>
            <w:hideMark/>
          </w:tcPr>
          <w:p w14:paraId="3547CFD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CEMS mandatory; ambient networks; public access</w:t>
            </w:r>
          </w:p>
        </w:tc>
      </w:tr>
      <w:tr w:rsidR="00090A85" w:rsidRPr="00090A85" w14:paraId="4DAA15A9" w14:textId="77777777" w:rsidTr="00090A85">
        <w:tc>
          <w:tcPr>
            <w:tcW w:w="0" w:type="auto"/>
            <w:tcMar>
              <w:top w:w="150" w:type="dxa"/>
              <w:left w:w="0" w:type="dxa"/>
              <w:bottom w:w="150" w:type="dxa"/>
              <w:right w:w="240" w:type="dxa"/>
            </w:tcMar>
            <w:vAlign w:val="center"/>
            <w:hideMark/>
          </w:tcPr>
          <w:p w14:paraId="22C75D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Enforcement</w:t>
            </w:r>
          </w:p>
        </w:tc>
        <w:tc>
          <w:tcPr>
            <w:tcW w:w="0" w:type="auto"/>
            <w:tcMar>
              <w:top w:w="150" w:type="dxa"/>
              <w:left w:w="240" w:type="dxa"/>
              <w:bottom w:w="150" w:type="dxa"/>
              <w:right w:w="240" w:type="dxa"/>
            </w:tcMar>
            <w:vAlign w:val="center"/>
            <w:hideMark/>
          </w:tcPr>
          <w:p w14:paraId="5561FB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Episodic; last major action 2009</w:t>
            </w:r>
          </w:p>
        </w:tc>
        <w:tc>
          <w:tcPr>
            <w:tcW w:w="0" w:type="auto"/>
            <w:tcMar>
              <w:top w:w="150" w:type="dxa"/>
              <w:left w:w="240" w:type="dxa"/>
              <w:bottom w:w="150" w:type="dxa"/>
              <w:right w:w="240" w:type="dxa"/>
            </w:tcMar>
            <w:vAlign w:val="center"/>
            <w:hideMark/>
          </w:tcPr>
          <w:p w14:paraId="2B0BC9B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Post-shutdown enforcement; regular fines</w:t>
            </w:r>
          </w:p>
        </w:tc>
        <w:tc>
          <w:tcPr>
            <w:tcW w:w="0" w:type="auto"/>
            <w:tcMar>
              <w:top w:w="150" w:type="dxa"/>
              <w:left w:w="240" w:type="dxa"/>
              <w:bottom w:w="150" w:type="dxa"/>
              <w:right w:w="240" w:type="dxa"/>
            </w:tcMar>
            <w:vAlign w:val="center"/>
            <w:hideMark/>
          </w:tcPr>
          <w:p w14:paraId="7E4702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Active fines (US$3,000) for exceedances</w:t>
            </w:r>
          </w:p>
        </w:tc>
        <w:tc>
          <w:tcPr>
            <w:tcW w:w="0" w:type="auto"/>
            <w:tcMar>
              <w:top w:w="150" w:type="dxa"/>
              <w:left w:w="240" w:type="dxa"/>
              <w:bottom w:w="150" w:type="dxa"/>
              <w:right w:w="0" w:type="dxa"/>
            </w:tcMar>
            <w:vAlign w:val="center"/>
            <w:hideMark/>
          </w:tcPr>
          <w:p w14:paraId="05273F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Routine fines; criminal prosecution</w:t>
            </w:r>
          </w:p>
        </w:tc>
      </w:tr>
      <w:tr w:rsidR="00090A85" w:rsidRPr="00090A85" w14:paraId="5D75700D" w14:textId="77777777" w:rsidTr="00090A85">
        <w:tc>
          <w:tcPr>
            <w:tcW w:w="0" w:type="auto"/>
            <w:tcMar>
              <w:top w:w="150" w:type="dxa"/>
              <w:left w:w="0" w:type="dxa"/>
              <w:bottom w:w="150" w:type="dxa"/>
              <w:right w:w="240" w:type="dxa"/>
            </w:tcMar>
            <w:vAlign w:val="center"/>
            <w:hideMark/>
          </w:tcPr>
          <w:p w14:paraId="110DC2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Community engagement</w:t>
            </w:r>
          </w:p>
        </w:tc>
        <w:tc>
          <w:tcPr>
            <w:tcW w:w="0" w:type="auto"/>
            <w:tcMar>
              <w:top w:w="150" w:type="dxa"/>
              <w:left w:w="240" w:type="dxa"/>
              <w:bottom w:w="150" w:type="dxa"/>
              <w:right w:w="240" w:type="dxa"/>
            </w:tcMar>
            <w:vAlign w:val="center"/>
            <w:hideMark/>
          </w:tcPr>
          <w:p w14:paraId="57F0198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Minimal; no accessible mechanism</w:t>
            </w:r>
          </w:p>
        </w:tc>
        <w:tc>
          <w:tcPr>
            <w:tcW w:w="0" w:type="auto"/>
            <w:tcMar>
              <w:top w:w="150" w:type="dxa"/>
              <w:left w:w="240" w:type="dxa"/>
              <w:bottom w:w="150" w:type="dxa"/>
              <w:right w:w="240" w:type="dxa"/>
            </w:tcMar>
            <w:vAlign w:val="center"/>
            <w:hideMark/>
          </w:tcPr>
          <w:p w14:paraId="310FA8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forums with real-time data</w:t>
            </w:r>
          </w:p>
        </w:tc>
        <w:tc>
          <w:tcPr>
            <w:tcW w:w="0" w:type="auto"/>
            <w:tcMar>
              <w:top w:w="150" w:type="dxa"/>
              <w:left w:w="240" w:type="dxa"/>
              <w:bottom w:w="150" w:type="dxa"/>
              <w:right w:w="240" w:type="dxa"/>
            </w:tcMar>
            <w:vAlign w:val="center"/>
            <w:hideMark/>
          </w:tcPr>
          <w:p w14:paraId="40D093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Regular community meetings required</w:t>
            </w:r>
          </w:p>
        </w:tc>
        <w:tc>
          <w:tcPr>
            <w:tcW w:w="0" w:type="auto"/>
            <w:tcMar>
              <w:top w:w="150" w:type="dxa"/>
              <w:left w:w="240" w:type="dxa"/>
              <w:bottom w:w="150" w:type="dxa"/>
              <w:right w:w="0" w:type="dxa"/>
            </w:tcMar>
            <w:vAlign w:val="center"/>
            <w:hideMark/>
          </w:tcPr>
          <w:p w14:paraId="1CB16B7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right to know provisions</w:t>
            </w:r>
          </w:p>
        </w:tc>
      </w:tr>
      <w:tr w:rsidR="00090A85" w:rsidRPr="00090A85" w14:paraId="36C1AA0D" w14:textId="77777777" w:rsidTr="00090A85">
        <w:tc>
          <w:tcPr>
            <w:tcW w:w="0" w:type="auto"/>
            <w:tcMar>
              <w:top w:w="150" w:type="dxa"/>
              <w:left w:w="0" w:type="dxa"/>
              <w:bottom w:w="150" w:type="dxa"/>
              <w:right w:w="240" w:type="dxa"/>
            </w:tcMar>
            <w:vAlign w:val="center"/>
            <w:hideMark/>
          </w:tcPr>
          <w:p w14:paraId="7D5894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Transparency</w:t>
            </w:r>
          </w:p>
        </w:tc>
        <w:tc>
          <w:tcPr>
            <w:tcW w:w="0" w:type="auto"/>
            <w:tcMar>
              <w:top w:w="150" w:type="dxa"/>
              <w:left w:w="240" w:type="dxa"/>
              <w:bottom w:w="150" w:type="dxa"/>
              <w:right w:w="240" w:type="dxa"/>
            </w:tcMar>
            <w:vAlign w:val="center"/>
            <w:hideMark/>
          </w:tcPr>
          <w:p w14:paraId="4A38E93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public access</w:t>
            </w:r>
          </w:p>
        </w:tc>
        <w:tc>
          <w:tcPr>
            <w:tcW w:w="0" w:type="auto"/>
            <w:tcMar>
              <w:top w:w="150" w:type="dxa"/>
              <w:left w:w="240" w:type="dxa"/>
              <w:bottom w:w="150" w:type="dxa"/>
              <w:right w:w="240" w:type="dxa"/>
            </w:tcMar>
            <w:vAlign w:val="center"/>
            <w:hideMark/>
          </w:tcPr>
          <w:p w14:paraId="0458F59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Public data </w:t>
            </w:r>
            <w:proofErr w:type="spellStart"/>
            <w:r w:rsidRPr="00090A85">
              <w:rPr>
                <w:rFonts w:ascii="Times New Roman" w:hAnsi="Times New Roman" w:cs="Times New Roman"/>
              </w:rPr>
              <w:t>visualisation</w:t>
            </w:r>
            <w:proofErr w:type="spellEnd"/>
          </w:p>
        </w:tc>
        <w:tc>
          <w:tcPr>
            <w:tcW w:w="0" w:type="auto"/>
            <w:tcMar>
              <w:top w:w="150" w:type="dxa"/>
              <w:left w:w="240" w:type="dxa"/>
              <w:bottom w:w="150" w:type="dxa"/>
              <w:right w:w="240" w:type="dxa"/>
            </w:tcMar>
            <w:vAlign w:val="center"/>
            <w:hideMark/>
          </w:tcPr>
          <w:p w14:paraId="63D1BA2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Data transmitted to regulator</w:t>
            </w:r>
          </w:p>
        </w:tc>
        <w:tc>
          <w:tcPr>
            <w:tcW w:w="0" w:type="auto"/>
            <w:tcMar>
              <w:top w:w="150" w:type="dxa"/>
              <w:left w:w="240" w:type="dxa"/>
              <w:bottom w:w="150" w:type="dxa"/>
              <w:right w:w="0" w:type="dxa"/>
            </w:tcMar>
            <w:vAlign w:val="center"/>
            <w:hideMark/>
          </w:tcPr>
          <w:p w14:paraId="7FDF5B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Public online database</w:t>
            </w:r>
          </w:p>
        </w:tc>
      </w:tr>
    </w:tbl>
    <w:p w14:paraId="07259B92" w14:textId="2C8CB928" w:rsidR="006C6DF3" w:rsidRPr="006C6DF3" w:rsidRDefault="006C6DF3" w:rsidP="00C13202">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Source: Author’s observations based on survey data (2020)</w:t>
      </w:r>
    </w:p>
    <w:p w14:paraId="3EA57A7B" w14:textId="40869C43"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Ghana's real-time monitoring with public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xml:space="preserve"> addresses precisely the institutional capacity and procedural justice limitations identified in this study (12). Zimbabwe's active fines (15), while modest, demonstrate that enforcement is possible. South Africa provides the most advanced regional benchmark (29).</w:t>
      </w:r>
    </w:p>
    <w:p w14:paraId="6D589EA4"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4.4 Theoretical Contributions</w:t>
      </w:r>
    </w:p>
    <w:p w14:paraId="7BCAF13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makes five theoretical contributions. First, it extends Braithwaite's (16) regulatory ritualism concept to the developing country context. Second, it integrates procedural justice (17) and epistemic injustice (18) literatures, showing how devaluation of community knowledge degrades regulatory information environments. Third, it </w:t>
      </w:r>
      <w:proofErr w:type="spellStart"/>
      <w:r w:rsidRPr="00090A85">
        <w:rPr>
          <w:rFonts w:ascii="Times New Roman" w:hAnsi="Times New Roman" w:cs="Times New Roman"/>
        </w:rPr>
        <w:t>theorises</w:t>
      </w:r>
      <w:proofErr w:type="spellEnd"/>
      <w:r w:rsidRPr="00090A85">
        <w:rPr>
          <w:rFonts w:ascii="Times New Roman" w:hAnsi="Times New Roman" w:cs="Times New Roman"/>
        </w:rPr>
        <w:t xml:space="preserve"> the complaint gap – systematic divergence between experienced and reported harm – as an indicator of regulatory failure and institutional withdrawal. Fourth, it contributes gendered analysis, demonstrating that women informal workers bear disproportionate burdens from both pollution impacts and barriers to regulatory access. Fifth, it contributes to CSR literature by documenting that voluntary corporate responsibility commitments lack credibility without enforcement (30,31).</w:t>
      </w:r>
    </w:p>
    <w:p w14:paraId="33958E2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4.5 Limitations</w:t>
      </w:r>
    </w:p>
    <w:p w14:paraId="0B7B0B5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Several limitations are acknowledged. First, the study did not independently verify emissions or conduct ambient monitoring. Second, focus on a single facility limits </w:t>
      </w:r>
      <w:proofErr w:type="spellStart"/>
      <w:r w:rsidRPr="00090A85">
        <w:rPr>
          <w:rFonts w:ascii="Times New Roman" w:hAnsi="Times New Roman" w:cs="Times New Roman"/>
        </w:rPr>
        <w:t>generalisability</w:t>
      </w:r>
      <w:proofErr w:type="spellEnd"/>
      <w:r w:rsidRPr="00090A85">
        <w:rPr>
          <w:rFonts w:ascii="Times New Roman" w:hAnsi="Times New Roman" w:cs="Times New Roman"/>
        </w:rPr>
        <w:t>. Third, cross-sectional design precludes causal inference. Fourth, formal regulatory capture analysis was not undertaken. Fifth, self-reported regulatory data may be subject to social desirability bias. Sixth, recall bias may affect vendor reports. Seventh, language translation may have resulted in loss of nuance. These limitations notwithstanding, triangulation across multiple data sources provides robust evidence of systematic regulatory failure.</w:t>
      </w:r>
    </w:p>
    <w:p w14:paraId="367C8502"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 CONCLUSION</w:t>
      </w:r>
    </w:p>
    <w:p w14:paraId="62076F6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5.1 Summary of Findings</w:t>
      </w:r>
    </w:p>
    <w:p w14:paraId="5249757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evaluated ZEMA regulatory oversight at a Chilanga cement plant using a convergent mixed-methods design. Community awareness of ZEMA is only 34.5%, direct contact is 9.2%, and trust is critically low at 70.1% negative. Economic impacts on vendors are severe, with 81.6% </w:t>
      </w:r>
      <w:r w:rsidRPr="00090A85">
        <w:rPr>
          <w:rFonts w:ascii="Times New Roman" w:hAnsi="Times New Roman" w:cs="Times New Roman"/>
        </w:rPr>
        <w:lastRenderedPageBreak/>
        <w:t>reporting daily dust on produce and 67.8% experiencing lost sales. Enforcement actions are exceptionally rare, with only the 2009 intervention as the sole significant action in seven decades. Monitoring relies on quarterly self-reports without independent verification, and ambient air quality monitoring is completely absent. When benchmarked against Ghana, Zimbabwe, and South Africa, Zambia exhibits significant implementation gaps across institutional capacity, regulatory framework, procedural justice, and political economy dimensions.</w:t>
      </w:r>
    </w:p>
    <w:p w14:paraId="672B64A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5.2 Conclusions</w:t>
      </w:r>
    </w:p>
    <w:p w14:paraId="06C0B3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RQ1:</w:t>
      </w:r>
      <w:r w:rsidRPr="00090A85">
        <w:rPr>
          <w:rFonts w:ascii="Times New Roman" w:hAnsi="Times New Roman" w:cs="Times New Roman"/>
        </w:rPr>
        <w:t> ZEMA suffers a structural legitimacy deficit. Only one in three vendors knows ZEMA exists, fewer than one in ten has complained, and seventy percent express low trust. Women face compounded barriers. ZEMA has failed to establish procedural justice conditions, creating a downward spiral where low trust reduces complaint reporting.</w:t>
      </w:r>
    </w:p>
    <w:p w14:paraId="29AC8FD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RQ2:</w:t>
      </w:r>
      <w:r w:rsidRPr="00090A85">
        <w:rPr>
          <w:rFonts w:ascii="Times New Roman" w:hAnsi="Times New Roman" w:cs="Times New Roman"/>
        </w:rPr>
        <w:t> ZEMA operates an episodic enforcement regime rather than systematic oversight. The 2009 intervention was not sustained. With approximately 15 inspectors nationally, a predictable compliance environment exists. Ambient air quality monitoring is completely absent.</w:t>
      </w:r>
    </w:p>
    <w:p w14:paraId="5C17A57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RQ3:</w:t>
      </w:r>
      <w:r w:rsidRPr="00090A85">
        <w:rPr>
          <w:rFonts w:ascii="Times New Roman" w:hAnsi="Times New Roman" w:cs="Times New Roman"/>
        </w:rPr>
        <w:t> Regulatory failure is multi-dimensional and self-reinforcing across institutional capacity (inadequate staffing, no ambient monitoring), regulatory framework (no continuous monitoring, no automatic triggers), procedural justice (inaccessible complaint mechanisms, epistemic injustice), and political economy (industry economic significance constraining enforcement).</w:t>
      </w:r>
    </w:p>
    <w:p w14:paraId="1232B49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RQ4:</w:t>
      </w:r>
      <w:r w:rsidRPr="00090A85">
        <w:rPr>
          <w:rFonts w:ascii="Times New Roman" w:hAnsi="Times New Roman" w:cs="Times New Roman"/>
        </w:rPr>
        <w:t xml:space="preserve"> Zambia has fallen behind regional peers. Ghana has deployed real-time monitoring with public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Zimbabwe has active fines for exceedances. South Africa maintains comprehensive ambient monitoring networks. Transferable practices include low-cost continuous monitoring, mobile phone complaint mechanisms with feedback, mandatory ambient monitoring, and automatic enforcement triggers.</w:t>
      </w:r>
    </w:p>
    <w:p w14:paraId="3E461AAF"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5.3 Recommendations</w:t>
      </w:r>
    </w:p>
    <w:p w14:paraId="227A76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ZEMA:</w:t>
      </w:r>
      <w:r w:rsidRPr="00090A85">
        <w:rPr>
          <w:rFonts w:ascii="Times New Roman" w:hAnsi="Times New Roman" w:cs="Times New Roman"/>
        </w:rPr>
        <w:t> (1) Establish mobile phone-based complaint systems with toll-free numbers and feedback within specified timeframes. (2) Require certified continuous emissions monitoring with real-time data transmission and public disclosure. (3) Deploy low-cost ambient air quality sensors in Freedom Compound. (4) Increase inspection staffing from approximately 15 to at least 50 inspectors nationally. (5) Publish a public online dashboard with inspection findings, enforcement actions, and emissions data.</w:t>
      </w:r>
    </w:p>
    <w:p w14:paraId="4F26BE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the Government of Zambia:</w:t>
      </w:r>
      <w:r w:rsidRPr="00090A85">
        <w:rPr>
          <w:rFonts w:ascii="Times New Roman" w:hAnsi="Times New Roman" w:cs="Times New Roman"/>
        </w:rPr>
        <w:t> (1) Substantially increase ZEMA's annual budget appropriation. (2) Amend the Environmental Management Act to require continuous emissions monitoring, establish automatic enforcement triggers with escalating fines, and mandate ambient monitoring. (3) Develop implementing regulations giving effect to Article 24 of the African Charter on environmental rights.</w:t>
      </w:r>
    </w:p>
    <w:p w14:paraId="1C6D12A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regulated industry:</w:t>
      </w:r>
      <w:r w:rsidRPr="00090A85">
        <w:rPr>
          <w:rFonts w:ascii="Times New Roman" w:hAnsi="Times New Roman" w:cs="Times New Roman"/>
        </w:rPr>
        <w:t> (1) Voluntarily publish real-time emissions data. (2) Invest in best available control technologies for particulate matter and fugitive emissions. (3) Establish a community grievance mechanism with clear resolution timelines and compensation for documented livelihood impacts.</w:t>
      </w:r>
    </w:p>
    <w:p w14:paraId="1F70EEB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For civil society:</w:t>
      </w:r>
      <w:r w:rsidRPr="00090A85">
        <w:rPr>
          <w:rFonts w:ascii="Times New Roman" w:hAnsi="Times New Roman" w:cs="Times New Roman"/>
        </w:rPr>
        <w:t xml:space="preserve"> (1) Train community members in low-cost air quality monitoring techniques to provide independent evidence. (2) Pursue judicial review of ZEMA decisions and constitutional litigation under environmental rights provisions. (3) Support community </w:t>
      </w:r>
      <w:proofErr w:type="spellStart"/>
      <w:r w:rsidRPr="00090A85">
        <w:rPr>
          <w:rFonts w:ascii="Times New Roman" w:hAnsi="Times New Roman" w:cs="Times New Roman"/>
        </w:rPr>
        <w:t>organising</w:t>
      </w:r>
      <w:proofErr w:type="spellEnd"/>
      <w:r w:rsidRPr="00090A85">
        <w:rPr>
          <w:rFonts w:ascii="Times New Roman" w:hAnsi="Times New Roman" w:cs="Times New Roman"/>
        </w:rPr>
        <w:t xml:space="preserve"> and leadership development, particularly for women vendors.</w:t>
      </w:r>
    </w:p>
    <w:p w14:paraId="4A83248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future research:</w:t>
      </w:r>
      <w:r w:rsidRPr="00090A85">
        <w:rPr>
          <w:rFonts w:ascii="Times New Roman" w:hAnsi="Times New Roman" w:cs="Times New Roman"/>
        </w:rPr>
        <w:t> (1) Conduct longitudinal studies combining community perception data with independent ambient monitoring and health assessments. (2) Undertake comparative case studies across multiple facilities and regulatory regimes. (3) Investigate political economy of environmental regulation through network mapping and process tracing. (4) Conduct dedicated research on gender dimensions of regulatory failure and reform.</w:t>
      </w:r>
    </w:p>
    <w:p w14:paraId="274A512C"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REFERENCES</w:t>
      </w:r>
    </w:p>
    <w:p w14:paraId="6918C33F"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Sharpe LM. Environmental impact assessment effectiveness in four Asian nations: Legal requirements versus implementation. Environmental Impact Assessment Review. </w:t>
      </w:r>
      <w:proofErr w:type="gramStart"/>
      <w:r w:rsidRPr="00090A85">
        <w:rPr>
          <w:rFonts w:ascii="Times New Roman" w:hAnsi="Times New Roman" w:cs="Times New Roman"/>
        </w:rPr>
        <w:t>2024;104:107</w:t>
      </w:r>
      <w:proofErr w:type="gramEnd"/>
      <w:r w:rsidRPr="00090A85">
        <w:rPr>
          <w:rFonts w:ascii="Times New Roman" w:hAnsi="Times New Roman" w:cs="Times New Roman"/>
        </w:rPr>
        <w:t>-123.</w:t>
      </w:r>
    </w:p>
    <w:p w14:paraId="760745E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Liu Y, Wang X, Zhang H. Whole process accounting of emissions from China's cement industry: Beyond stack monitoring. Journal of Industrial Ecology. 2025;29(1):88-104.</w:t>
      </w:r>
    </w:p>
    <w:p w14:paraId="10120FC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the Republic of Zambia. Environmental Management Act No. 12 of 2011. Lusaka: Government Printer; 2011.</w:t>
      </w:r>
    </w:p>
    <w:p w14:paraId="1FF4232E"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Uzor CO, Adebayo AA, </w:t>
      </w:r>
      <w:proofErr w:type="spellStart"/>
      <w:r w:rsidRPr="00090A85">
        <w:rPr>
          <w:rFonts w:ascii="Times New Roman" w:hAnsi="Times New Roman" w:cs="Times New Roman"/>
        </w:rPr>
        <w:t>Ogunseye</w:t>
      </w:r>
      <w:proofErr w:type="spellEnd"/>
      <w:r w:rsidRPr="00090A85">
        <w:rPr>
          <w:rFonts w:ascii="Times New Roman" w:hAnsi="Times New Roman" w:cs="Times New Roman"/>
        </w:rPr>
        <w:t xml:space="preserve"> OO. Air quality index assessment around the Dangote Cement Plant, Obajana, Nigeria. Journal of the Air &amp; Waste Management Association. 2025;75(3):198-215.</w:t>
      </w:r>
    </w:p>
    <w:p w14:paraId="73F6660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Schlosberg D. Defining environmental justice: Theories, movements, and nature. Oxford University Press; 2007.</w:t>
      </w:r>
    </w:p>
    <w:p w14:paraId="4EB56EA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Walker G. Environmental justice: Concepts, evidence and politics. Routledge; 2012.</w:t>
      </w:r>
    </w:p>
    <w:p w14:paraId="2163524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African Commission on Human and Peoples' Rights. Resolution ACHPR/Res.605 on extractive industries, environment and human rights violations in Africa. Banjul: ACHPR; 2024.</w:t>
      </w:r>
    </w:p>
    <w:p w14:paraId="7A58B54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the Republic of Zambia. Environmental Impact Assessment Regulations, Statutory Instrument No. 28 of 2013. Lusaka: Government Printer; 2013.</w:t>
      </w:r>
    </w:p>
    <w:p w14:paraId="382E4652"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Chilala RD. Historical soil chemistry changes from cement dust deposition in Chilanga, Zambia. Zambia Journal of Environmental Science. 2016;8(2):45-58.</w:t>
      </w:r>
    </w:p>
    <w:p w14:paraId="624C8B2F"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 Ndhlovu M, </w:t>
      </w:r>
      <w:proofErr w:type="spellStart"/>
      <w:r w:rsidRPr="00090A85">
        <w:rPr>
          <w:rFonts w:ascii="Times New Roman" w:hAnsi="Times New Roman" w:cs="Times New Roman"/>
        </w:rPr>
        <w:t>Siziya</w:t>
      </w:r>
      <w:proofErr w:type="spellEnd"/>
      <w:r w:rsidRPr="00090A85">
        <w:rPr>
          <w:rFonts w:ascii="Times New Roman" w:hAnsi="Times New Roman" w:cs="Times New Roman"/>
        </w:rPr>
        <w:t xml:space="preserve"> S. Respiratory health effects of cement dust exposure in a Zambian community. International Journal of Environmental Health Research. 2015;25(4):412-425.</w:t>
      </w:r>
    </w:p>
    <w:p w14:paraId="2D846A49"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 Ndhlovu M, </w:t>
      </w:r>
      <w:proofErr w:type="spellStart"/>
      <w:r w:rsidRPr="00090A85">
        <w:rPr>
          <w:rFonts w:ascii="Times New Roman" w:hAnsi="Times New Roman" w:cs="Times New Roman"/>
        </w:rPr>
        <w:t>Voyi</w:t>
      </w:r>
      <w:proofErr w:type="spellEnd"/>
      <w:r w:rsidRPr="00090A85">
        <w:rPr>
          <w:rFonts w:ascii="Times New Roman" w:hAnsi="Times New Roman" w:cs="Times New Roman"/>
        </w:rPr>
        <w:t xml:space="preserve"> K. PM2.5 and PM10 concentrations and respiratory symptoms in a community adjacent to a cement plant in Zambia. Air Quality, Atmosphere &amp; Health. 2017;10(6):735-746.</w:t>
      </w:r>
    </w:p>
    <w:p w14:paraId="4BEE2EB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Duah SK. Real-time environmental monitoring in Ghana's cement industry: The Empire Cement case. West African Journal of Applied Ecology. 2025;33(1):56-72.</w:t>
      </w:r>
    </w:p>
    <w:p w14:paraId="0B81EA4F"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lastRenderedPageBreak/>
        <w:t>ABB. Continuous emissions monitoring systems: CEM DAS achieves EN 17255 certification. Journal of Environmental Monitoring Technology. 2025;18(2):112-125.</w:t>
      </w:r>
    </w:p>
    <w:p w14:paraId="1206A06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Environmental Management Agency of Zimbabwe. Compliance certificate issuance and conditions for cement manufacturing: </w:t>
      </w:r>
      <w:proofErr w:type="spellStart"/>
      <w:r w:rsidRPr="00090A85">
        <w:rPr>
          <w:rFonts w:ascii="Times New Roman" w:hAnsi="Times New Roman" w:cs="Times New Roman"/>
        </w:rPr>
        <w:t>Magunje</w:t>
      </w:r>
      <w:proofErr w:type="spellEnd"/>
      <w:r w:rsidRPr="00090A85">
        <w:rPr>
          <w:rFonts w:ascii="Times New Roman" w:hAnsi="Times New Roman" w:cs="Times New Roman"/>
        </w:rPr>
        <w:t xml:space="preserve"> plant. Harare: EMA; 2024.</w:t>
      </w:r>
    </w:p>
    <w:p w14:paraId="2344891B"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Bhebhe T. Enforcement challenges in Zimbabwe's cement industry: The PPC case. African Journal of Environmental Law and Policy. 2025;12(1):78-95.</w:t>
      </w:r>
    </w:p>
    <w:p w14:paraId="174C83B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Braithwaite J. Regulatory capitalism: How it works, ideas for making it work better. Edward Elgar; 2008.</w:t>
      </w:r>
    </w:p>
    <w:p w14:paraId="6D64B73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Tyler TR. Why people obey the law. Princeton University Press; 2006.</w:t>
      </w:r>
    </w:p>
    <w:p w14:paraId="4BD60011"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Kunz S, Hein J, </w:t>
      </w:r>
      <w:proofErr w:type="spellStart"/>
      <w:r w:rsidRPr="00090A85">
        <w:rPr>
          <w:rFonts w:ascii="Times New Roman" w:hAnsi="Times New Roman" w:cs="Times New Roman"/>
        </w:rPr>
        <w:t>Sobirin</w:t>
      </w:r>
      <w:proofErr w:type="spellEnd"/>
      <w:r w:rsidRPr="00090A85">
        <w:rPr>
          <w:rFonts w:ascii="Times New Roman" w:hAnsi="Times New Roman" w:cs="Times New Roman"/>
        </w:rPr>
        <w:t xml:space="preserve"> SM. Epistemic injustice in environmental governance: The devaluation of local knowledge. Environmental Politics. 2023;32(4):678-698.</w:t>
      </w:r>
    </w:p>
    <w:p w14:paraId="6BCD577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Carpenter D, Moss D. Preventing regulatory capture: Special interest influence and how to limit it. Cambridge University Press; 2014.</w:t>
      </w:r>
    </w:p>
    <w:p w14:paraId="3FA1D237"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Dal Bó E. Regulatory capture: A review. Oxford Review of Economic Policy. 2006;22(2):203-225.</w:t>
      </w:r>
    </w:p>
    <w:p w14:paraId="3E0A5B3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Creswell JW, Plano Clark VL. Designing and conducting mixed methods research. 3rd ed. Sage Publications; 2017.</w:t>
      </w:r>
    </w:p>
    <w:p w14:paraId="2E5A925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Denzin NK. The research act: A theoretical introduction to sociological methods. Aldine; 1978.</w:t>
      </w:r>
    </w:p>
    <w:p w14:paraId="63ACFE6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Bowen GA. Document analysis as a qualitative research method. Qualitative Research Journal. 2009;9(2):27-40.</w:t>
      </w:r>
    </w:p>
    <w:p w14:paraId="7EA7A2DB"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Braun V, Clarke V. Using thematic analysis in psychology. Qualitative Research in Psychology. 2006;3(2):77-101.</w:t>
      </w:r>
    </w:p>
    <w:p w14:paraId="001FA0AD"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Environmental Council of Zambia. Enforcement action report: Lafarge Zambia – Chilanga plant. Lusaka: ECZ; 2009.</w:t>
      </w:r>
    </w:p>
    <w:p w14:paraId="5863BCB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Ayres I, Braithwaite J. Responsive regulation: Transcending the deregulation debate. Oxford University Press; 1992.</w:t>
      </w:r>
    </w:p>
    <w:p w14:paraId="054C080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Gray WB, </w:t>
      </w:r>
      <w:proofErr w:type="spellStart"/>
      <w:r w:rsidRPr="00090A85">
        <w:rPr>
          <w:rFonts w:ascii="Times New Roman" w:hAnsi="Times New Roman" w:cs="Times New Roman"/>
        </w:rPr>
        <w:t>Shimshack</w:t>
      </w:r>
      <w:proofErr w:type="spellEnd"/>
      <w:r w:rsidRPr="00090A85">
        <w:rPr>
          <w:rFonts w:ascii="Times New Roman" w:hAnsi="Times New Roman" w:cs="Times New Roman"/>
        </w:rPr>
        <w:t xml:space="preserve"> JP. The effectiveness of environmental monitoring and enforcement: A review of the empirical evidence. Review of Environmental Economics and Policy. 2011;5(1):3-24.</w:t>
      </w:r>
    </w:p>
    <w:p w14:paraId="50DD08AD"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Shimshack</w:t>
      </w:r>
      <w:proofErr w:type="spellEnd"/>
      <w:r w:rsidRPr="00090A85">
        <w:rPr>
          <w:rFonts w:ascii="Times New Roman" w:hAnsi="Times New Roman" w:cs="Times New Roman"/>
        </w:rPr>
        <w:t xml:space="preserve"> JP. The economics of environmental monitoring and enforcement. Annual Review of Resource Economics. </w:t>
      </w:r>
      <w:proofErr w:type="gramStart"/>
      <w:r w:rsidRPr="00090A85">
        <w:rPr>
          <w:rFonts w:ascii="Times New Roman" w:hAnsi="Times New Roman" w:cs="Times New Roman"/>
        </w:rPr>
        <w:t>2014;6:339</w:t>
      </w:r>
      <w:proofErr w:type="gramEnd"/>
      <w:r w:rsidRPr="00090A85">
        <w:rPr>
          <w:rFonts w:ascii="Times New Roman" w:hAnsi="Times New Roman" w:cs="Times New Roman"/>
        </w:rPr>
        <w:t>-360.</w:t>
      </w:r>
    </w:p>
    <w:p w14:paraId="4AA2B2A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South Africa. National Environmental Management: Air Quality Act No. 39 of 2004. Pretoria: Government Printer; 2004.</w:t>
      </w:r>
    </w:p>
    <w:p w14:paraId="5EACC0C1"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Mikkilä</w:t>
      </w:r>
      <w:proofErr w:type="spellEnd"/>
      <w:r w:rsidRPr="00090A85">
        <w:rPr>
          <w:rFonts w:ascii="Times New Roman" w:hAnsi="Times New Roman" w:cs="Times New Roman"/>
        </w:rPr>
        <w:t xml:space="preserve"> M, Uusitalo U, Lähde L. From corporate social responsibility to sustainable business: An outside-in perspective. Business Strategy and the Environment. 2021;30(8):3456-3472.</w:t>
      </w:r>
    </w:p>
    <w:p w14:paraId="246B9145"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lastRenderedPageBreak/>
        <w:t>Camilleri MA. Corporate sustainability and responsibility: Creating value for business, society and the environment. Asian Journal of Sustainability and Social Responsibility. 2017;2(1):59-74.</w:t>
      </w:r>
    </w:p>
    <w:p w14:paraId="10BA52F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Acknowledgments:</w:t>
      </w:r>
      <w:r w:rsidRPr="00090A85">
        <w:rPr>
          <w:rFonts w:ascii="Times New Roman" w:hAnsi="Times New Roman" w:cs="Times New Roman"/>
        </w:rPr>
        <w:t> The author thanks the community leaders and vegetable vendors of Freedom Compound for their participation, and ZEMA officials who provided institutional perspectives. This research was conducted as part of the author's Master of Science dissertation at the University of Lusaka. No specific funding was received.</w:t>
      </w:r>
    </w:p>
    <w:p w14:paraId="570CC7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Conflict of Interest:</w:t>
      </w:r>
      <w:r w:rsidRPr="00090A85">
        <w:rPr>
          <w:rFonts w:ascii="Times New Roman" w:hAnsi="Times New Roman" w:cs="Times New Roman"/>
        </w:rPr>
        <w:t> The author declares no competing interests.</w:t>
      </w:r>
    </w:p>
    <w:p w14:paraId="2060DF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Funding:</w:t>
      </w:r>
      <w:r w:rsidRPr="00090A85">
        <w:rPr>
          <w:rFonts w:ascii="Times New Roman" w:hAnsi="Times New Roman" w:cs="Times New Roman"/>
        </w:rPr>
        <w:t> This research received no specific grant from any funding agency.</w:t>
      </w:r>
    </w:p>
    <w:p w14:paraId="3F6F9EC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Ethical Approval:</w:t>
      </w:r>
      <w:r w:rsidRPr="00090A85">
        <w:rPr>
          <w:rFonts w:ascii="Times New Roman" w:hAnsi="Times New Roman" w:cs="Times New Roman"/>
        </w:rPr>
        <w:t> University of Lusaka Research Ethics Committee (UNILUS/REC/2019/017).</w:t>
      </w:r>
    </w:p>
    <w:p w14:paraId="382AB46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Consent to Participate:</w:t>
      </w:r>
      <w:r w:rsidRPr="00090A85">
        <w:rPr>
          <w:rFonts w:ascii="Times New Roman" w:hAnsi="Times New Roman" w:cs="Times New Roman"/>
        </w:rPr>
        <w:t> Informed consent obtained from all participants.</w:t>
      </w:r>
    </w:p>
    <w:p w14:paraId="595775C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Consent for Publication:</w:t>
      </w:r>
      <w:r w:rsidRPr="00090A85">
        <w:rPr>
          <w:rFonts w:ascii="Times New Roman" w:hAnsi="Times New Roman" w:cs="Times New Roman"/>
        </w:rPr>
        <w:t xml:space="preserve"> All participants provided consent for publication of </w:t>
      </w:r>
      <w:proofErr w:type="spellStart"/>
      <w:r w:rsidRPr="00090A85">
        <w:rPr>
          <w:rFonts w:ascii="Times New Roman" w:hAnsi="Times New Roman" w:cs="Times New Roman"/>
        </w:rPr>
        <w:t>anonymised</w:t>
      </w:r>
      <w:proofErr w:type="spellEnd"/>
      <w:r w:rsidRPr="00090A85">
        <w:rPr>
          <w:rFonts w:ascii="Times New Roman" w:hAnsi="Times New Roman" w:cs="Times New Roman"/>
        </w:rPr>
        <w:t xml:space="preserve"> data.</w:t>
      </w:r>
    </w:p>
    <w:p w14:paraId="0B4F6E5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Data Availability:</w:t>
      </w:r>
      <w:r w:rsidRPr="00090A85">
        <w:rPr>
          <w:rFonts w:ascii="Times New Roman" w:hAnsi="Times New Roman" w:cs="Times New Roman"/>
        </w:rPr>
        <w:t> Data available from corresponding author upon reasonable request.</w:t>
      </w:r>
    </w:p>
    <w:p w14:paraId="0149389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Disclaimer:</w:t>
      </w:r>
      <w:r w:rsidRPr="00090A85">
        <w:rPr>
          <w:rFonts w:ascii="Times New Roman" w:hAnsi="Times New Roman" w:cs="Times New Roman"/>
        </w:rPr>
        <w:t xml:space="preserve"> The views expressed are solely those of the author and do not necessarily reflect official positions of any </w:t>
      </w:r>
      <w:proofErr w:type="spellStart"/>
      <w:r w:rsidRPr="00090A85">
        <w:rPr>
          <w:rFonts w:ascii="Times New Roman" w:hAnsi="Times New Roman" w:cs="Times New Roman"/>
        </w:rPr>
        <w:t>organisation</w:t>
      </w:r>
      <w:proofErr w:type="spellEnd"/>
      <w:r w:rsidRPr="00090A85">
        <w:rPr>
          <w:rFonts w:ascii="Times New Roman" w:hAnsi="Times New Roman" w:cs="Times New Roman"/>
        </w:rPr>
        <w:t xml:space="preserve"> referenced.</w:t>
      </w:r>
    </w:p>
    <w:p w14:paraId="4F8853B6" w14:textId="77777777" w:rsidR="00A77FD5" w:rsidRDefault="00A77FD5" w:rsidP="00C13202">
      <w:pPr>
        <w:spacing w:line="240" w:lineRule="auto"/>
      </w:pPr>
    </w:p>
    <w:sectPr w:rsidR="00A77F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97B" w14:textId="77777777" w:rsidR="0099183C" w:rsidRDefault="0099183C" w:rsidP="00090A85">
      <w:pPr>
        <w:spacing w:after="0" w:line="240" w:lineRule="auto"/>
      </w:pPr>
      <w:r>
        <w:separator/>
      </w:r>
    </w:p>
  </w:endnote>
  <w:endnote w:type="continuationSeparator" w:id="0">
    <w:p w14:paraId="1EB38DF9" w14:textId="77777777" w:rsidR="0099183C" w:rsidRDefault="0099183C" w:rsidP="0009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355706"/>
      <w:docPartObj>
        <w:docPartGallery w:val="Page Numbers (Bottom of Page)"/>
        <w:docPartUnique/>
      </w:docPartObj>
    </w:sdtPr>
    <w:sdtEndPr>
      <w:rPr>
        <w:noProof/>
      </w:rPr>
    </w:sdtEndPr>
    <w:sdtContent>
      <w:p w14:paraId="33AE0391" w14:textId="166F50AB" w:rsidR="00090A85" w:rsidRDefault="00090A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22CA2" w14:textId="77777777" w:rsidR="00090A85" w:rsidRDefault="00090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1577" w14:textId="77777777" w:rsidR="0099183C" w:rsidRDefault="0099183C" w:rsidP="00090A85">
      <w:pPr>
        <w:spacing w:after="0" w:line="240" w:lineRule="auto"/>
      </w:pPr>
      <w:r>
        <w:separator/>
      </w:r>
    </w:p>
  </w:footnote>
  <w:footnote w:type="continuationSeparator" w:id="0">
    <w:p w14:paraId="799CA2CE" w14:textId="77777777" w:rsidR="0099183C" w:rsidRDefault="0099183C" w:rsidP="00090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F45"/>
    <w:multiLevelType w:val="multilevel"/>
    <w:tmpl w:val="A282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1065"/>
    <w:multiLevelType w:val="multilevel"/>
    <w:tmpl w:val="62FA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856D7"/>
    <w:multiLevelType w:val="multilevel"/>
    <w:tmpl w:val="9786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A5AB1"/>
    <w:multiLevelType w:val="multilevel"/>
    <w:tmpl w:val="14A6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1640E"/>
    <w:multiLevelType w:val="multilevel"/>
    <w:tmpl w:val="988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1513C"/>
    <w:multiLevelType w:val="multilevel"/>
    <w:tmpl w:val="49AE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F57DD9"/>
    <w:multiLevelType w:val="multilevel"/>
    <w:tmpl w:val="83F6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A1592"/>
    <w:multiLevelType w:val="multilevel"/>
    <w:tmpl w:val="8492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875A33"/>
    <w:multiLevelType w:val="multilevel"/>
    <w:tmpl w:val="3272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815484">
    <w:abstractNumId w:val="1"/>
  </w:num>
  <w:num w:numId="2" w16cid:durableId="1212231317">
    <w:abstractNumId w:val="7"/>
  </w:num>
  <w:num w:numId="3" w16cid:durableId="1995336382">
    <w:abstractNumId w:val="5"/>
  </w:num>
  <w:num w:numId="4" w16cid:durableId="2146963188">
    <w:abstractNumId w:val="6"/>
  </w:num>
  <w:num w:numId="5" w16cid:durableId="265425311">
    <w:abstractNumId w:val="8"/>
  </w:num>
  <w:num w:numId="6" w16cid:durableId="977342054">
    <w:abstractNumId w:val="3"/>
  </w:num>
  <w:num w:numId="7" w16cid:durableId="1005938215">
    <w:abstractNumId w:val="0"/>
  </w:num>
  <w:num w:numId="8" w16cid:durableId="800659446">
    <w:abstractNumId w:val="4"/>
  </w:num>
  <w:num w:numId="9" w16cid:durableId="179282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D0"/>
    <w:rsid w:val="000711C1"/>
    <w:rsid w:val="00090A85"/>
    <w:rsid w:val="00436F73"/>
    <w:rsid w:val="005C2B17"/>
    <w:rsid w:val="006C6DF3"/>
    <w:rsid w:val="00736DD3"/>
    <w:rsid w:val="0099183C"/>
    <w:rsid w:val="00A77FD5"/>
    <w:rsid w:val="00AA2084"/>
    <w:rsid w:val="00B16D64"/>
    <w:rsid w:val="00BF1412"/>
    <w:rsid w:val="00C13202"/>
    <w:rsid w:val="00E14FC4"/>
    <w:rsid w:val="00E2778D"/>
    <w:rsid w:val="00F0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89AA"/>
  <w15:chartTrackingRefBased/>
  <w15:docId w15:val="{D7E17A27-17A9-44B9-992B-362E65D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D0"/>
    <w:rPr>
      <w:rFonts w:eastAsiaTheme="majorEastAsia" w:cstheme="majorBidi"/>
      <w:color w:val="272727" w:themeColor="text1" w:themeTint="D8"/>
    </w:rPr>
  </w:style>
  <w:style w:type="paragraph" w:styleId="Title">
    <w:name w:val="Title"/>
    <w:basedOn w:val="Normal"/>
    <w:next w:val="Normal"/>
    <w:link w:val="TitleChar"/>
    <w:uiPriority w:val="10"/>
    <w:qFormat/>
    <w:rsid w:val="00F0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D0"/>
    <w:pPr>
      <w:spacing w:before="160"/>
      <w:jc w:val="center"/>
    </w:pPr>
    <w:rPr>
      <w:i/>
      <w:iCs/>
      <w:color w:val="404040" w:themeColor="text1" w:themeTint="BF"/>
    </w:rPr>
  </w:style>
  <w:style w:type="character" w:customStyle="1" w:styleId="QuoteChar">
    <w:name w:val="Quote Char"/>
    <w:basedOn w:val="DefaultParagraphFont"/>
    <w:link w:val="Quote"/>
    <w:uiPriority w:val="29"/>
    <w:rsid w:val="00F006D0"/>
    <w:rPr>
      <w:i/>
      <w:iCs/>
      <w:color w:val="404040" w:themeColor="text1" w:themeTint="BF"/>
    </w:rPr>
  </w:style>
  <w:style w:type="paragraph" w:styleId="ListParagraph">
    <w:name w:val="List Paragraph"/>
    <w:basedOn w:val="Normal"/>
    <w:uiPriority w:val="34"/>
    <w:qFormat/>
    <w:rsid w:val="00F006D0"/>
    <w:pPr>
      <w:ind w:left="720"/>
      <w:contextualSpacing/>
    </w:pPr>
  </w:style>
  <w:style w:type="character" w:styleId="IntenseEmphasis">
    <w:name w:val="Intense Emphasis"/>
    <w:basedOn w:val="DefaultParagraphFont"/>
    <w:uiPriority w:val="21"/>
    <w:qFormat/>
    <w:rsid w:val="00F006D0"/>
    <w:rPr>
      <w:i/>
      <w:iCs/>
      <w:color w:val="2F5496" w:themeColor="accent1" w:themeShade="BF"/>
    </w:rPr>
  </w:style>
  <w:style w:type="paragraph" w:styleId="IntenseQuote">
    <w:name w:val="Intense Quote"/>
    <w:basedOn w:val="Normal"/>
    <w:next w:val="Normal"/>
    <w:link w:val="IntenseQuoteChar"/>
    <w:uiPriority w:val="30"/>
    <w:qFormat/>
    <w:rsid w:val="00F0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6D0"/>
    <w:rPr>
      <w:i/>
      <w:iCs/>
      <w:color w:val="2F5496" w:themeColor="accent1" w:themeShade="BF"/>
    </w:rPr>
  </w:style>
  <w:style w:type="character" w:styleId="IntenseReference">
    <w:name w:val="Intense Reference"/>
    <w:basedOn w:val="DefaultParagraphFont"/>
    <w:uiPriority w:val="32"/>
    <w:qFormat/>
    <w:rsid w:val="00F006D0"/>
    <w:rPr>
      <w:b/>
      <w:bCs/>
      <w:smallCaps/>
      <w:color w:val="2F5496" w:themeColor="accent1" w:themeShade="BF"/>
      <w:spacing w:val="5"/>
    </w:rPr>
  </w:style>
  <w:style w:type="paragraph" w:styleId="Header">
    <w:name w:val="header"/>
    <w:basedOn w:val="Normal"/>
    <w:link w:val="HeaderChar"/>
    <w:uiPriority w:val="99"/>
    <w:unhideWhenUsed/>
    <w:rsid w:val="00090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85"/>
  </w:style>
  <w:style w:type="paragraph" w:styleId="Footer">
    <w:name w:val="footer"/>
    <w:basedOn w:val="Normal"/>
    <w:link w:val="FooterChar"/>
    <w:uiPriority w:val="99"/>
    <w:unhideWhenUsed/>
    <w:rsid w:val="0009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17</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Joseph Musona</cp:lastModifiedBy>
  <cp:revision>1</cp:revision>
  <dcterms:created xsi:type="dcterms:W3CDTF">2026-05-06T13:31:00Z</dcterms:created>
  <dcterms:modified xsi:type="dcterms:W3CDTF">2026-05-06T17:46:00Z</dcterms:modified>
</cp:coreProperties>
</file>