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77BA" w14:textId="77777777" w:rsidR="00232E1D" w:rsidRDefault="000912E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Evaluating the Screening Efficiency and Assessment of Non-Communicable Disease Risk Factors Among Clients Attending Healthy Lifestyle Clinics in the Colombo District </w:t>
      </w:r>
    </w:p>
    <w:p w14:paraId="280E00C0" w14:textId="54BC671B" w:rsidR="00D95A9B" w:rsidRPr="00D95A9B" w:rsidRDefault="00D95A9B" w:rsidP="00B05786">
      <w:pPr>
        <w:spacing w:line="360" w:lineRule="auto"/>
        <w:jc w:val="center"/>
        <w:rPr>
          <w:rFonts w:ascii="Times New Roman" w:hAnsi="Times New Roman" w:cs="Times New Roman"/>
          <w:i/>
          <w:iCs/>
          <w:sz w:val="20"/>
          <w:szCs w:val="20"/>
          <w:vertAlign w:val="superscript"/>
        </w:rPr>
      </w:pPr>
      <w:proofErr w:type="spellStart"/>
      <w:r w:rsidRPr="00D95A9B">
        <w:rPr>
          <w:rFonts w:ascii="Times New Roman" w:hAnsi="Times New Roman" w:cs="Times New Roman"/>
          <w:i/>
          <w:iCs/>
          <w:sz w:val="20"/>
          <w:szCs w:val="20"/>
        </w:rPr>
        <w:t/>
      </w:r>
      <w:proofErr w:type="spellEnd"/>
      <w:r w:rsidRPr="00D95A9B">
        <w:rPr>
          <w:rFonts w:ascii="Times New Roman" w:hAnsi="Times New Roman" w:cs="Times New Roman"/>
          <w:i/>
          <w:iCs/>
          <w:sz w:val="20"/>
          <w:szCs w:val="20"/>
        </w:rPr>
        <w:t xml:space="preserve"/>
      </w:r>
      <w:r w:rsidRPr="00D95A9B">
        <w:rPr>
          <w:rFonts w:ascii="Times New Roman" w:hAnsi="Times New Roman" w:cs="Times New Roman"/>
          <w:i/>
          <w:iCs/>
          <w:sz w:val="20"/>
          <w:szCs w:val="20"/>
          <w:vertAlign w:val="superscript"/>
        </w:rPr>
        <w:t xml:space="preserve"/>
      </w:r>
      <w:r w:rsidR="00444B35">
        <w:rPr>
          <w:rFonts w:ascii="Times New Roman" w:hAnsi="Times New Roman" w:cs="Times New Roman"/>
          <w:i/>
          <w:iCs/>
          <w:sz w:val="20"/>
          <w:szCs w:val="20"/>
        </w:rPr>
        <w:t/>
      </w:r>
      <w:r w:rsidRPr="00D95A9B">
        <w:rPr>
          <w:rFonts w:ascii="Times New Roman" w:hAnsi="Times New Roman" w:cs="Times New Roman"/>
          <w:i/>
          <w:iCs/>
          <w:sz w:val="20"/>
          <w:szCs w:val="20"/>
          <w:vertAlign w:val="superscript"/>
        </w:rPr>
        <w:t xml:space="preserve"/>
      </w:r>
      <w:r w:rsidR="00B05786">
        <w:rPr>
          <w:rFonts w:ascii="Times New Roman" w:hAnsi="Times New Roman" w:cs="Times New Roman"/>
          <w:i/>
          <w:iCs/>
          <w:sz w:val="20"/>
          <w:szCs w:val="20"/>
        </w:rPr>
        <w:t/>
      </w:r>
      <w:r w:rsidR="00B05786">
        <w:rPr>
          <w:rFonts w:ascii="Times New Roman" w:hAnsi="Times New Roman" w:cs="Times New Roman"/>
          <w:i/>
          <w:iCs/>
          <w:sz w:val="20"/>
          <w:szCs w:val="20"/>
          <w:vertAlign w:val="superscript"/>
        </w:rPr>
        <w:t/>
      </w:r>
      <w:r w:rsidR="00B05786" w:rsidRPr="00B05786">
        <w:rPr>
          <w:rFonts w:ascii="Times New Roman" w:hAnsi="Times New Roman" w:cs="Times New Roman"/>
          <w:i/>
          <w:iCs/>
          <w:sz w:val="20"/>
          <w:szCs w:val="20"/>
          <w:vertAlign w:val="superscript"/>
        </w:rPr>
        <w:t xml:space="preserve"/>
      </w:r>
      <w:r w:rsidR="00016D46">
        <w:rPr>
          <w:rFonts w:ascii="Times New Roman" w:hAnsi="Times New Roman" w:cs="Times New Roman"/>
          <w:i/>
          <w:iCs/>
          <w:sz w:val="20"/>
          <w:szCs w:val="20"/>
        </w:rPr>
        <w:t/>
      </w:r>
      <w:r w:rsidR="00033AB2" w:rsidRPr="00033AB2">
        <w:rPr>
          <w:rFonts w:ascii="Times New Roman" w:hAnsi="Times New Roman" w:cs="Times New Roman"/>
          <w:i/>
          <w:iCs/>
          <w:sz w:val="20"/>
          <w:szCs w:val="20"/>
        </w:rPr>
        <w:t xml:space="preserve"/>
      </w:r>
      <w:r w:rsidR="00B774B8">
        <w:rPr>
          <w:rFonts w:ascii="Times New Roman" w:hAnsi="Times New Roman" w:cs="Times New Roman"/>
          <w:i/>
          <w:iCs/>
          <w:sz w:val="20"/>
          <w:szCs w:val="20"/>
          <w:vertAlign w:val="superscript"/>
        </w:rPr>
        <w:t/>
      </w:r>
      <w:r w:rsidRPr="00D95A9B">
        <w:rPr>
          <w:rFonts w:ascii="Times New Roman" w:hAnsi="Times New Roman" w:cs="Times New Roman"/>
          <w:i/>
          <w:iCs/>
          <w:sz w:val="20"/>
          <w:szCs w:val="20"/>
        </w:rPr>
        <w:t/>
      </w:r>
      <w:r w:rsidR="00B774B8">
        <w:rPr>
          <w:rFonts w:ascii="Times New Roman" w:hAnsi="Times New Roman" w:cs="Times New Roman"/>
          <w:i/>
          <w:iCs/>
          <w:sz w:val="20"/>
          <w:szCs w:val="20"/>
          <w:vertAlign w:val="superscript"/>
        </w:rPr>
        <w:t/>
      </w:r>
      <w:r w:rsidRPr="00D95A9B">
        <w:rPr>
          <w:rFonts w:ascii="Times New Roman" w:hAnsi="Times New Roman" w:cs="Times New Roman"/>
          <w:i/>
          <w:iCs/>
          <w:sz w:val="20"/>
          <w:szCs w:val="20"/>
          <w:vertAlign w:val="superscript"/>
        </w:rPr>
        <w:t xml:space="preserve"/>
      </w:r>
      <w:r w:rsidRPr="00D95A9B">
        <w:rPr>
          <w:rFonts w:ascii="Times New Roman" w:hAnsi="Times New Roman" w:cs="Times New Roman"/>
          <w:i/>
          <w:iCs/>
          <w:sz w:val="20"/>
          <w:szCs w:val="20"/>
        </w:rPr>
        <w:t/>
      </w:r>
      <w:r w:rsidR="00B774B8">
        <w:rPr>
          <w:rFonts w:ascii="Times New Roman" w:hAnsi="Times New Roman" w:cs="Times New Roman"/>
          <w:i/>
          <w:iCs/>
          <w:sz w:val="20"/>
          <w:szCs w:val="20"/>
          <w:vertAlign w:val="superscript"/>
        </w:rPr>
        <w:t/>
      </w:r>
    </w:p>
    <w:p w14:paraId="3C3F7EB2" w14:textId="7E42B389" w:rsidR="00D95A9B" w:rsidRPr="00D95A9B" w:rsidRDefault="00D95A9B" w:rsidP="00D95A9B">
      <w:pPr>
        <w:spacing w:line="360" w:lineRule="auto"/>
        <w:jc w:val="center"/>
        <w:rPr>
          <w:rFonts w:ascii="Times New Roman" w:hAnsi="Times New Roman" w:cs="Times New Roman"/>
          <w:i/>
          <w:iCs/>
          <w:sz w:val="20"/>
          <w:szCs w:val="20"/>
          <w:vertAlign w:val="superscript"/>
        </w:rPr>
      </w:pPr>
      <w:r w:rsidRPr="00D95A9B">
        <w:rPr>
          <w:rFonts w:ascii="Times New Roman" w:hAnsi="Times New Roman" w:cs="Times New Roman"/>
          <w:i/>
          <w:iCs/>
          <w:sz w:val="20"/>
          <w:szCs w:val="20"/>
        </w:rPr>
        <w:t/>
      </w:r>
      <w:r w:rsidRPr="00D95A9B">
        <w:rPr>
          <w:rFonts w:ascii="Times New Roman" w:hAnsi="Times New Roman" w:cs="Times New Roman"/>
          <w:i/>
          <w:iCs/>
          <w:sz w:val="20"/>
          <w:szCs w:val="20"/>
          <w:vertAlign w:val="superscript"/>
        </w:rPr>
        <w:t xml:space="preserve"/>
      </w:r>
      <w:r w:rsidR="00103644">
        <w:rPr>
          <w:rFonts w:ascii="Times New Roman" w:hAnsi="Times New Roman" w:cs="Times New Roman"/>
          <w:i/>
          <w:iCs/>
          <w:sz w:val="20"/>
          <w:szCs w:val="20"/>
        </w:rPr>
        <w:t/>
      </w:r>
      <w:r w:rsidR="0022634A">
        <w:rPr>
          <w:rFonts w:ascii="Times New Roman" w:hAnsi="Times New Roman" w:cs="Times New Roman"/>
          <w:i/>
          <w:iCs/>
          <w:sz w:val="20"/>
          <w:szCs w:val="20"/>
          <w:vertAlign w:val="superscript"/>
        </w:rPr>
        <w:t xml:space="preserve"/>
      </w:r>
      <w:r w:rsidR="00E4244C" w:rsidRPr="00E4244C">
        <w:rPr>
          <w:rFonts w:ascii="Times New Roman" w:hAnsi="Times New Roman" w:cs="Times New Roman"/>
          <w:i/>
          <w:iCs/>
          <w:sz w:val="20"/>
          <w:szCs w:val="20"/>
        </w:rPr>
        <w:t xml:space="preserve"/>
      </w:r>
      <w:r w:rsidR="00E4244C" w:rsidRPr="00D95A9B">
        <w:rPr>
          <w:rFonts w:ascii="Times New Roman" w:hAnsi="Times New Roman" w:cs="Times New Roman"/>
          <w:i/>
          <w:iCs/>
          <w:sz w:val="20"/>
          <w:szCs w:val="20"/>
        </w:rPr>
        <w:t/>
      </w:r>
      <w:r w:rsidR="00E4244C">
        <w:rPr>
          <w:rFonts w:ascii="Times New Roman" w:hAnsi="Times New Roman" w:cs="Times New Roman"/>
          <w:i/>
          <w:iCs/>
          <w:sz w:val="20"/>
          <w:szCs w:val="20"/>
          <w:vertAlign w:val="superscript"/>
        </w:rPr>
        <w:t xml:space="preserve"/>
      </w:r>
      <w:r w:rsidR="00E4244C">
        <w:rPr>
          <w:rFonts w:ascii="Times New Roman" w:hAnsi="Times New Roman" w:cs="Times New Roman"/>
          <w:i/>
          <w:iCs/>
          <w:sz w:val="20"/>
          <w:szCs w:val="20"/>
        </w:rPr>
        <w:t/>
      </w:r>
      <w:r w:rsidRPr="00D95A9B">
        <w:rPr>
          <w:rFonts w:ascii="Times New Roman" w:hAnsi="Times New Roman" w:cs="Times New Roman"/>
          <w:i/>
          <w:iCs/>
          <w:sz w:val="20"/>
          <w:szCs w:val="20"/>
        </w:rPr>
        <w:t/>
      </w:r>
      <w:r w:rsidR="00E4244C">
        <w:rPr>
          <w:rFonts w:ascii="Times New Roman" w:hAnsi="Times New Roman" w:cs="Times New Roman"/>
          <w:i/>
          <w:iCs/>
          <w:sz w:val="20"/>
          <w:szCs w:val="20"/>
          <w:vertAlign w:val="superscript"/>
        </w:rPr>
        <w:t/>
      </w:r>
      <w:r w:rsidRPr="00D95A9B">
        <w:rPr>
          <w:rFonts w:ascii="Times New Roman" w:hAnsi="Times New Roman" w:cs="Times New Roman"/>
          <w:i/>
          <w:iCs/>
          <w:sz w:val="20"/>
          <w:szCs w:val="20"/>
          <w:vertAlign w:val="superscript"/>
        </w:rPr>
        <w:t xml:space="preserve"/>
      </w:r>
      <w:r w:rsidRPr="00D95A9B">
        <w:rPr>
          <w:rFonts w:ascii="Times New Roman" w:hAnsi="Times New Roman" w:cs="Times New Roman"/>
          <w:i/>
          <w:iCs/>
          <w:sz w:val="20"/>
          <w:szCs w:val="20"/>
        </w:rPr>
        <w:t/>
      </w:r>
      <w:r w:rsidR="00E4244C">
        <w:rPr>
          <w:rFonts w:ascii="Times New Roman" w:hAnsi="Times New Roman" w:cs="Times New Roman"/>
          <w:i/>
          <w:iCs/>
          <w:sz w:val="20"/>
          <w:szCs w:val="20"/>
          <w:vertAlign w:val="superscript"/>
        </w:rPr>
        <w:t/>
      </w:r>
      <w:r w:rsidRPr="00D95A9B">
        <w:rPr>
          <w:rFonts w:ascii="Times New Roman" w:hAnsi="Times New Roman" w:cs="Times New Roman"/>
          <w:i/>
          <w:iCs/>
          <w:sz w:val="20"/>
          <w:szCs w:val="20"/>
        </w:rPr>
        <w:t xml:space="preserve"/>
      </w:r>
      <w:r w:rsidR="00E4244C">
        <w:rPr>
          <w:rFonts w:ascii="Times New Roman" w:hAnsi="Times New Roman" w:cs="Times New Roman"/>
          <w:i/>
          <w:iCs/>
          <w:sz w:val="20"/>
          <w:szCs w:val="20"/>
          <w:vertAlign w:val="superscript"/>
        </w:rPr>
        <w:t/>
      </w:r>
    </w:p>
    <w:p w14:paraId="3E48FE4D" w14:textId="77777777" w:rsidR="00232E1D" w:rsidRDefault="00232E1D">
      <w:pPr>
        <w:spacing w:line="360" w:lineRule="auto"/>
        <w:jc w:val="both"/>
        <w:rPr>
          <w:rFonts w:ascii="Times New Roman" w:hAnsi="Times New Roman" w:cs="Times New Roman"/>
          <w:b/>
          <w:bCs/>
          <w:sz w:val="28"/>
          <w:szCs w:val="28"/>
        </w:rPr>
      </w:pPr>
    </w:p>
    <w:p w14:paraId="1150A0C0" w14:textId="7D2798BD" w:rsidR="00232E1D" w:rsidRDefault="00297AE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Abstract</w:t>
      </w:r>
    </w:p>
    <w:p w14:paraId="5D3391E2" w14:textId="52608EDE" w:rsidR="00232E1D" w:rsidRDefault="000912E6">
      <w:pPr>
        <w:spacing w:line="360" w:lineRule="auto"/>
        <w:jc w:val="both"/>
        <w:rPr>
          <w:rFonts w:ascii="Times New Roman" w:hAnsi="Times New Roman" w:cs="Times New Roman"/>
        </w:rPr>
      </w:pPr>
      <w:r>
        <w:rPr>
          <w:rFonts w:ascii="Times New Roman" w:hAnsi="Times New Roman" w:cs="Times New Roman"/>
        </w:rPr>
        <w:t>Background</w:t>
      </w:r>
      <w:r w:rsidR="002D570F">
        <w:rPr>
          <w:rFonts w:ascii="Times New Roman" w:hAnsi="Times New Roman" w:cs="Times New Roman"/>
        </w:rPr>
        <w:t xml:space="preserve">: </w:t>
      </w:r>
      <w:r>
        <w:rPr>
          <w:rFonts w:ascii="Times New Roman" w:hAnsi="Times New Roman" w:cs="Times New Roman"/>
        </w:rPr>
        <w:t>Non-communicable diseases (NCDs) present a critical global healthcare crisis, accounting for 74% of all annual deaths worldwide, with a disproportionate 86% of premature fatalities occurring in low- and middle-income countries (LMICs). In Sri Lanka, an accelerated epidemiological transition driven by rapid urbanization and a rapidly aging population has positioned NCDs as the leading public health challenge, responsible for an estimated 83% of annual deaths. Cardiovascular diseases alone dictate 34% of national mortality. In response, the Ministry of Health operationalized Healthy Lifestyle Clinics (HLCs) within the primary healthcare network to target individuals aged 35 and older. This strategy aims to shift the medical paradigm from expensive, tertiary-level curative interventions to localized, community-based risk modification. This study evaluates the screening performance, risk patterns, and institutional variances across 11 frontline centers in the Colombo Regional Health Services (RDHS) area during the 2024 screening period.</w:t>
      </w:r>
    </w:p>
    <w:p w14:paraId="1E70646B" w14:textId="1BA2988B" w:rsidR="00232E1D" w:rsidRDefault="000C4F8C">
      <w:pPr>
        <w:spacing w:line="360" w:lineRule="auto"/>
        <w:jc w:val="both"/>
        <w:rPr>
          <w:rFonts w:ascii="Times New Roman" w:hAnsi="Times New Roman" w:cs="Times New Roman"/>
        </w:rPr>
      </w:pPr>
      <w:r>
        <w:rPr>
          <w:rFonts w:ascii="Times New Roman" w:hAnsi="Times New Roman" w:cs="Times New Roman"/>
        </w:rPr>
        <w:t xml:space="preserve">Methods: </w:t>
      </w:r>
      <w:r w:rsidR="000912E6">
        <w:rPr>
          <w:rFonts w:ascii="Times New Roman" w:hAnsi="Times New Roman" w:cs="Times New Roman"/>
        </w:rPr>
        <w:t xml:space="preserve">This evaluation utilized a mixed-methods, cross-sectional descriptive design. Quantitative data were retrospectively extracted from the formal 2024 HLC Annual Review Data across 11 selected facilities, consisting of two secondary care centers (District General Hospital </w:t>
      </w:r>
      <w:proofErr w:type="spellStart"/>
      <w:r w:rsidR="000912E6">
        <w:rPr>
          <w:rFonts w:ascii="Times New Roman" w:hAnsi="Times New Roman" w:cs="Times New Roman"/>
        </w:rPr>
        <w:t>Avissawella</w:t>
      </w:r>
      <w:proofErr w:type="spellEnd"/>
      <w:r w:rsidR="000912E6">
        <w:rPr>
          <w:rFonts w:ascii="Times New Roman" w:hAnsi="Times New Roman" w:cs="Times New Roman"/>
        </w:rPr>
        <w:t xml:space="preserve"> and Base Hospital </w:t>
      </w:r>
      <w:proofErr w:type="spellStart"/>
      <w:r w:rsidR="000912E6">
        <w:rPr>
          <w:rFonts w:ascii="Times New Roman" w:hAnsi="Times New Roman" w:cs="Times New Roman"/>
        </w:rPr>
        <w:t>Homagama</w:t>
      </w:r>
      <w:proofErr w:type="spellEnd"/>
      <w:r w:rsidR="000912E6">
        <w:rPr>
          <w:rFonts w:ascii="Times New Roman" w:hAnsi="Times New Roman" w:cs="Times New Roman"/>
        </w:rPr>
        <w:t xml:space="preserve">) and nine primary care Divisional Hospitals (DH </w:t>
      </w:r>
    </w:p>
    <w:p w14:paraId="58C92420" w14:textId="77777777" w:rsidR="00232E1D" w:rsidRDefault="000912E6">
      <w:pPr>
        <w:spacing w:line="360" w:lineRule="auto"/>
        <w:jc w:val="both"/>
        <w:rPr>
          <w:rFonts w:ascii="Times New Roman" w:hAnsi="Times New Roman" w:cs="Times New Roman"/>
        </w:rPr>
      </w:pPr>
      <w:proofErr w:type="spellStart"/>
      <w:r>
        <w:rPr>
          <w:rFonts w:ascii="Times New Roman" w:hAnsi="Times New Roman" w:cs="Times New Roman"/>
        </w:rPr>
        <w:t>Wethara</w:t>
      </w:r>
      <w:proofErr w:type="spellEnd"/>
      <w:r>
        <w:rPr>
          <w:rFonts w:ascii="Times New Roman" w:hAnsi="Times New Roman" w:cs="Times New Roman"/>
        </w:rPr>
        <w:t xml:space="preserve">, DH </w:t>
      </w:r>
      <w:proofErr w:type="spellStart"/>
      <w:r>
        <w:rPr>
          <w:rFonts w:ascii="Times New Roman" w:hAnsi="Times New Roman" w:cs="Times New Roman"/>
        </w:rPr>
        <w:t>Piliyandala</w:t>
      </w:r>
      <w:proofErr w:type="spellEnd"/>
      <w:r>
        <w:rPr>
          <w:rFonts w:ascii="Times New Roman" w:hAnsi="Times New Roman" w:cs="Times New Roman"/>
        </w:rPr>
        <w:t xml:space="preserve">, DH </w:t>
      </w:r>
      <w:proofErr w:type="spellStart"/>
      <w:r>
        <w:rPr>
          <w:rFonts w:ascii="Times New Roman" w:hAnsi="Times New Roman" w:cs="Times New Roman"/>
        </w:rPr>
        <w:t>Thalangama</w:t>
      </w:r>
      <w:proofErr w:type="spellEnd"/>
      <w:r>
        <w:rPr>
          <w:rFonts w:ascii="Times New Roman" w:hAnsi="Times New Roman" w:cs="Times New Roman"/>
        </w:rPr>
        <w:t xml:space="preserve">, DH </w:t>
      </w:r>
      <w:proofErr w:type="spellStart"/>
      <w:r>
        <w:rPr>
          <w:rFonts w:ascii="Times New Roman" w:hAnsi="Times New Roman" w:cs="Times New Roman"/>
        </w:rPr>
        <w:t>Nawagamuwa</w:t>
      </w:r>
      <w:proofErr w:type="spellEnd"/>
      <w:r>
        <w:rPr>
          <w:rFonts w:ascii="Times New Roman" w:hAnsi="Times New Roman" w:cs="Times New Roman"/>
        </w:rPr>
        <w:t xml:space="preserve">, DH </w:t>
      </w:r>
      <w:proofErr w:type="spellStart"/>
      <w:r>
        <w:rPr>
          <w:rFonts w:ascii="Times New Roman" w:hAnsi="Times New Roman" w:cs="Times New Roman"/>
        </w:rPr>
        <w:t>Padukka</w:t>
      </w:r>
      <w:proofErr w:type="spellEnd"/>
      <w:r>
        <w:rPr>
          <w:rFonts w:ascii="Times New Roman" w:hAnsi="Times New Roman" w:cs="Times New Roman"/>
        </w:rPr>
        <w:t xml:space="preserve">, DH Moratuwa, DH </w:t>
      </w:r>
      <w:proofErr w:type="spellStart"/>
      <w:r>
        <w:rPr>
          <w:rFonts w:ascii="Times New Roman" w:hAnsi="Times New Roman" w:cs="Times New Roman"/>
        </w:rPr>
        <w:t>Maligawatta</w:t>
      </w:r>
      <w:proofErr w:type="spellEnd"/>
      <w:r>
        <w:rPr>
          <w:rFonts w:ascii="Times New Roman" w:hAnsi="Times New Roman" w:cs="Times New Roman"/>
        </w:rPr>
        <w:t xml:space="preserve">, DH </w:t>
      </w:r>
      <w:proofErr w:type="spellStart"/>
      <w:r>
        <w:rPr>
          <w:rFonts w:ascii="Times New Roman" w:hAnsi="Times New Roman" w:cs="Times New Roman"/>
        </w:rPr>
        <w:t>Kosgama</w:t>
      </w:r>
      <w:proofErr w:type="spellEnd"/>
      <w:r>
        <w:rPr>
          <w:rFonts w:ascii="Times New Roman" w:hAnsi="Times New Roman" w:cs="Times New Roman"/>
        </w:rPr>
        <w:t xml:space="preserve">, and DH Athurugiriya). The study population encompassed all 17,212 </w:t>
      </w:r>
      <w:r>
        <w:rPr>
          <w:rFonts w:ascii="Times New Roman" w:hAnsi="Times New Roman" w:cs="Times New Roman"/>
        </w:rPr>
        <w:lastRenderedPageBreak/>
        <w:t xml:space="preserve">eligible clients screened during the calendar year. Qualitative data were gathered via a systematic desk review of institutional documents (monthly returns and clinic logs) alongside semi-structured Key Informant Interviews (KIIs) with institutional stakeholders, Medical Officers, and Public Health Nursing Officers to contextualize administrative challenges and data recording fidelity. </w:t>
      </w:r>
    </w:p>
    <w:p w14:paraId="377BD5DD" w14:textId="0A9251A4" w:rsidR="00232E1D" w:rsidRDefault="00140651">
      <w:pPr>
        <w:spacing w:line="360" w:lineRule="auto"/>
        <w:jc w:val="both"/>
        <w:rPr>
          <w:rFonts w:ascii="Times New Roman" w:hAnsi="Times New Roman" w:cs="Times New Roman"/>
        </w:rPr>
      </w:pPr>
      <w:r>
        <w:rPr>
          <w:rFonts w:ascii="Times New Roman" w:hAnsi="Times New Roman" w:cs="Times New Roman"/>
        </w:rPr>
        <w:t xml:space="preserve">Results: </w:t>
      </w:r>
      <w:r w:rsidR="000912E6">
        <w:rPr>
          <w:rFonts w:ascii="Times New Roman" w:hAnsi="Times New Roman" w:cs="Times New Roman"/>
        </w:rPr>
        <w:t xml:space="preserve">A total of 17,212 clients were screened across the region. Primary care centers bore the vast majority of the preventative volume, led by DH Moratuwa (20.80%) and DH </w:t>
      </w:r>
      <w:proofErr w:type="spellStart"/>
      <w:r w:rsidR="000912E6">
        <w:rPr>
          <w:rFonts w:ascii="Times New Roman" w:hAnsi="Times New Roman" w:cs="Times New Roman"/>
        </w:rPr>
        <w:t>Kosgama</w:t>
      </w:r>
      <w:proofErr w:type="spellEnd"/>
      <w:r w:rsidR="000912E6">
        <w:rPr>
          <w:rFonts w:ascii="Times New Roman" w:hAnsi="Times New Roman" w:cs="Times New Roman"/>
        </w:rPr>
        <w:t xml:space="preserve"> (14.05%). Conversely, specialized secondary care centers demonstrated very low preventative outreach; DGH </w:t>
      </w:r>
      <w:proofErr w:type="spellStart"/>
      <w:r w:rsidR="000912E6">
        <w:rPr>
          <w:rFonts w:ascii="Times New Roman" w:hAnsi="Times New Roman" w:cs="Times New Roman"/>
        </w:rPr>
        <w:t>Avissawella</w:t>
      </w:r>
      <w:proofErr w:type="spellEnd"/>
      <w:r w:rsidR="000912E6">
        <w:rPr>
          <w:rFonts w:ascii="Times New Roman" w:hAnsi="Times New Roman" w:cs="Times New Roman"/>
        </w:rPr>
        <w:t xml:space="preserve"> contributed only 2.25% of total regional screenings, acting primarily as an overburdened curative </w:t>
      </w:r>
      <w:proofErr w:type="spellStart"/>
      <w:r w:rsidR="000912E6">
        <w:rPr>
          <w:rFonts w:ascii="Times New Roman" w:hAnsi="Times New Roman" w:cs="Times New Roman"/>
        </w:rPr>
        <w:t>centre</w:t>
      </w:r>
      <w:proofErr w:type="spellEnd"/>
      <w:r w:rsidR="000912E6">
        <w:rPr>
          <w:rFonts w:ascii="Times New Roman" w:hAnsi="Times New Roman" w:cs="Times New Roman"/>
        </w:rPr>
        <w:t>.</w:t>
      </w:r>
    </w:p>
    <w:p w14:paraId="24C84AE4"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 Tobacco smoking prevalence was highest in high-density urban or industrial zones, led by DH Moratuwa at 19.08% . Culturally embedded betel chewing showed strong clustering in agricultural or semi-urban cohorts, peaking proportionately at DGH </w:t>
      </w:r>
      <w:proofErr w:type="spellStart"/>
      <w:r>
        <w:rPr>
          <w:rFonts w:ascii="Times New Roman" w:hAnsi="Times New Roman" w:cs="Times New Roman"/>
        </w:rPr>
        <w:t>Avissawella</w:t>
      </w:r>
      <w:proofErr w:type="spellEnd"/>
      <w:r>
        <w:rPr>
          <w:rFonts w:ascii="Times New Roman" w:hAnsi="Times New Roman" w:cs="Times New Roman"/>
        </w:rPr>
        <w:t xml:space="preserve"> (21.65%) and DH </w:t>
      </w:r>
      <w:proofErr w:type="spellStart"/>
      <w:r>
        <w:rPr>
          <w:rFonts w:ascii="Times New Roman" w:hAnsi="Times New Roman" w:cs="Times New Roman"/>
        </w:rPr>
        <w:t>Nawagamuwa</w:t>
      </w:r>
      <w:proofErr w:type="spellEnd"/>
      <w:r>
        <w:rPr>
          <w:rFonts w:ascii="Times New Roman" w:hAnsi="Times New Roman" w:cs="Times New Roman"/>
        </w:rPr>
        <w:t xml:space="preserve"> (18.97%). Harmful alcohol consumption emerged as a widespread behavioral threat, with the highest relative density documented at DH </w:t>
      </w:r>
      <w:proofErr w:type="spellStart"/>
      <w:r>
        <w:rPr>
          <w:rFonts w:ascii="Times New Roman" w:hAnsi="Times New Roman" w:cs="Times New Roman"/>
        </w:rPr>
        <w:t>Maligawatta</w:t>
      </w:r>
      <w:proofErr w:type="spellEnd"/>
      <w:r>
        <w:rPr>
          <w:rFonts w:ascii="Times New Roman" w:hAnsi="Times New Roman" w:cs="Times New Roman"/>
        </w:rPr>
        <w:t xml:space="preserve"> (27.09%). </w:t>
      </w:r>
    </w:p>
    <w:p w14:paraId="32EDCADF"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Elevated blood pressure represented an immense physiological burden, heavily concentrated at DH </w:t>
      </w:r>
      <w:proofErr w:type="spellStart"/>
      <w:r>
        <w:rPr>
          <w:rFonts w:ascii="Times New Roman" w:hAnsi="Times New Roman" w:cs="Times New Roman"/>
        </w:rPr>
        <w:t>Kosgama</w:t>
      </w:r>
      <w:proofErr w:type="spellEnd"/>
      <w:r>
        <w:rPr>
          <w:rFonts w:ascii="Times New Roman" w:hAnsi="Times New Roman" w:cs="Times New Roman"/>
        </w:rPr>
        <w:t xml:space="preserve"> where 32.34% () of the screened cohort presented with high blood pressure. Institutional obesity rates peaked at DH Wethara (18.65%) and DH </w:t>
      </w:r>
      <w:proofErr w:type="spellStart"/>
      <w:r>
        <w:rPr>
          <w:rFonts w:ascii="Times New Roman" w:hAnsi="Times New Roman" w:cs="Times New Roman"/>
        </w:rPr>
        <w:t>Maligawatta</w:t>
      </w:r>
      <w:proofErr w:type="spellEnd"/>
      <w:r>
        <w:rPr>
          <w:rFonts w:ascii="Times New Roman" w:hAnsi="Times New Roman" w:cs="Times New Roman"/>
        </w:rPr>
        <w:t xml:space="preserve"> (16.58%), reflecting an ongoing urban nutritional transition. </w:t>
      </w:r>
    </w:p>
    <w:p w14:paraId="678C8FC5"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The evaluation exposed a critical operational vulnerability in diabetes tracking. While BH </w:t>
      </w:r>
      <w:proofErr w:type="spellStart"/>
      <w:r>
        <w:rPr>
          <w:rFonts w:ascii="Times New Roman" w:hAnsi="Times New Roman" w:cs="Times New Roman"/>
        </w:rPr>
        <w:t>Homagama</w:t>
      </w:r>
      <w:proofErr w:type="spellEnd"/>
      <w:r>
        <w:rPr>
          <w:rFonts w:ascii="Times New Roman" w:hAnsi="Times New Roman" w:cs="Times New Roman"/>
        </w:rPr>
        <w:t xml:space="preserve"> reported a realistic high FBS rate of 7.23%, high-volume clinics like DH Moratuwa reported an epidemiologically impossible rate of 0.34%, and DH </w:t>
      </w:r>
      <w:proofErr w:type="spellStart"/>
      <w:r>
        <w:rPr>
          <w:rFonts w:ascii="Times New Roman" w:hAnsi="Times New Roman" w:cs="Times New Roman"/>
        </w:rPr>
        <w:t>Kosgama</w:t>
      </w:r>
      <w:proofErr w:type="spellEnd"/>
      <w:r>
        <w:rPr>
          <w:rFonts w:ascii="Times New Roman" w:hAnsi="Times New Roman" w:cs="Times New Roman"/>
        </w:rPr>
        <w:t xml:space="preserve"> reported 0.00% across 2,418 clients. Qualitative triangulation revealed this gap was driven by frequent glucometer strip shortages and drop-outs among non-fasting walk-in clients requested to return a subsequent morning, leading to blank fields erroneously aggregated as zero cases. </w:t>
      </w:r>
    </w:p>
    <w:p w14:paraId="71148A50" w14:textId="77777777" w:rsidR="00104319" w:rsidRDefault="000912E6">
      <w:pPr>
        <w:spacing w:line="360" w:lineRule="auto"/>
        <w:jc w:val="both"/>
        <w:rPr>
          <w:rFonts w:ascii="Times New Roman" w:hAnsi="Times New Roman" w:cs="Times New Roman"/>
        </w:rPr>
      </w:pPr>
      <w:r>
        <w:rPr>
          <w:rFonts w:ascii="Times New Roman" w:hAnsi="Times New Roman" w:cs="Times New Roman"/>
        </w:rPr>
        <w:t>Conclusion</w:t>
      </w:r>
      <w:r w:rsidR="002D570F">
        <w:rPr>
          <w:rFonts w:ascii="Times New Roman" w:hAnsi="Times New Roman" w:cs="Times New Roman"/>
        </w:rPr>
        <w:t xml:space="preserve">: </w:t>
      </w:r>
      <w:r>
        <w:rPr>
          <w:rFonts w:ascii="Times New Roman" w:hAnsi="Times New Roman" w:cs="Times New Roman"/>
        </w:rPr>
        <w:t>While the HLC framework succeeds in shifting medical focus toward community-based screening, its execution remains highly uneven across the Colombo district. High-volume primary care centers effectively mobilize the community but are highly vulnerable to supply-chain disruptions and diagnostic recording failures. Secondary centers possess stable diagnostics but fail to establish proactive preventative outreach.</w:t>
      </w:r>
      <w:r w:rsidR="00104319">
        <w:rPr>
          <w:rFonts w:ascii="Times New Roman" w:hAnsi="Times New Roman" w:cs="Times New Roman"/>
        </w:rPr>
        <w:t xml:space="preserve"> </w:t>
      </w:r>
    </w:p>
    <w:p w14:paraId="167472B4" w14:textId="3685B63E" w:rsidR="00232E1D" w:rsidRDefault="00104319">
      <w:pPr>
        <w:spacing w:line="360" w:lineRule="auto"/>
        <w:jc w:val="both"/>
        <w:rPr>
          <w:rFonts w:ascii="Times New Roman" w:hAnsi="Times New Roman" w:cs="Times New Roman"/>
        </w:rPr>
      </w:pPr>
      <w:r>
        <w:rPr>
          <w:rFonts w:ascii="Times New Roman" w:hAnsi="Times New Roman" w:cs="Times New Roman"/>
        </w:rPr>
        <w:lastRenderedPageBreak/>
        <w:t xml:space="preserve">Keywords: Non communicable diseases, Healthy Lifestyle </w:t>
      </w:r>
      <w:r w:rsidR="00622EE3">
        <w:rPr>
          <w:rFonts w:ascii="Times New Roman" w:hAnsi="Times New Roman" w:cs="Times New Roman"/>
        </w:rPr>
        <w:t>clinics, Screening efficiency, Primary healthcare, Obesity, Hypertension.</w:t>
      </w:r>
    </w:p>
    <w:p w14:paraId="481B249C" w14:textId="6C81BCDE" w:rsidR="00232E1D" w:rsidRDefault="00232E1D">
      <w:pPr>
        <w:spacing w:line="360" w:lineRule="auto"/>
        <w:jc w:val="both"/>
        <w:rPr>
          <w:rFonts w:ascii="Times New Roman" w:hAnsi="Times New Roman" w:cs="Times New Roman"/>
          <w:b/>
          <w:bCs/>
          <w:sz w:val="28"/>
          <w:szCs w:val="28"/>
        </w:rPr>
      </w:pPr>
    </w:p>
    <w:p w14:paraId="54585242" w14:textId="77777777" w:rsidR="00232E1D" w:rsidRDefault="000912E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5B5882CB" w14:textId="77777777" w:rsidR="00232E1D" w:rsidRPr="00926508" w:rsidRDefault="000912E6">
      <w:pPr>
        <w:spacing w:line="360" w:lineRule="auto"/>
        <w:jc w:val="both"/>
        <w:rPr>
          <w:rFonts w:ascii="Times New Roman" w:hAnsi="Times New Roman" w:cs="Times New Roman"/>
        </w:rPr>
      </w:pPr>
      <w:r>
        <w:rPr>
          <w:rFonts w:ascii="Times New Roman" w:hAnsi="Times New Roman" w:cs="Times New Roman"/>
        </w:rPr>
        <w:t xml:space="preserve">Non-communicable diseases (NCDs)—primarily cardiovascular diseases, cancers, chronic respiratory diseases, and diabetes—have transitioned from a health challenge of the affluent to a defining global pandemic of the 21st century. According to the World Health Organization (WHO) and the Global Burden of Disease (GBD) studies, NCDs are collectively responsible for </w:t>
      </w:r>
      <w:r w:rsidRPr="00926508">
        <w:rPr>
          <w:rFonts w:ascii="Times New Roman" w:hAnsi="Times New Roman" w:cs="Times New Roman"/>
        </w:rPr>
        <w:t xml:space="preserve">approximately 74% of all deaths worldwide, translating to over 41 million fatalities annually. </w:t>
      </w:r>
    </w:p>
    <w:p w14:paraId="6D9E9743" w14:textId="77777777" w:rsidR="00232E1D" w:rsidRPr="00926508" w:rsidRDefault="000912E6">
      <w:pPr>
        <w:spacing w:line="360" w:lineRule="auto"/>
        <w:jc w:val="both"/>
        <w:rPr>
          <w:rFonts w:ascii="Times New Roman" w:hAnsi="Times New Roman" w:cs="Times New Roman"/>
        </w:rPr>
      </w:pPr>
      <w:r w:rsidRPr="00926508">
        <w:rPr>
          <w:rFonts w:ascii="Times New Roman" w:hAnsi="Times New Roman" w:cs="Times New Roman"/>
        </w:rPr>
        <w:t xml:space="preserve">While historically associated with high-income countries, the epidemiological landscape has shifted dramatically. Today, over three-quarters (86%) of all premature NCD deaths (occurring between the ages of 30 and 70 years) happen in low- and middle-income countries (LMICs). In these resource-constrained settings, NCDs create a double burden alongside infectious diseases, rapidly overwhelming fragile primary healthcare infrastructure and driving households into poverty due to catastrophic out-of-pocket health expenditures. Recognizing this crisis, the United Nations established Sustainable Development Goal (SDG) Target 3.4, which aims to reduce premature mortality from NCDs by one-third by 2030 through prevention and treatment. </w:t>
      </w:r>
    </w:p>
    <w:p w14:paraId="781DC64B" w14:textId="77777777" w:rsidR="00232E1D" w:rsidRPr="00926508" w:rsidRDefault="000912E6">
      <w:pPr>
        <w:spacing w:line="360" w:lineRule="auto"/>
        <w:jc w:val="both"/>
        <w:rPr>
          <w:rFonts w:ascii="Times New Roman" w:hAnsi="Times New Roman" w:cs="Times New Roman"/>
        </w:rPr>
      </w:pPr>
      <w:r w:rsidRPr="00926508">
        <w:rPr>
          <w:rFonts w:ascii="Times New Roman" w:hAnsi="Times New Roman" w:cs="Times New Roman"/>
        </w:rPr>
        <w:t>The global rise of NCDs is not random; it is driven by an intersection of socioeconomic determinants, rapid urbanization, population aging, and a specific set of shared, preventable risk factors. Epidemiologically, these are categorized into Behavioral (Modifiable) Risk Factors and Metabolic (Physiological) Risk Factors. Behavioral risks drive the physiological alterations that ultimately manifest as chronic disease.</w:t>
      </w:r>
    </w:p>
    <w:p w14:paraId="294D2D40" w14:textId="77777777" w:rsidR="00232E1D" w:rsidRDefault="00232E1D">
      <w:pPr>
        <w:spacing w:line="360" w:lineRule="auto"/>
        <w:jc w:val="both"/>
        <w:rPr>
          <w:rFonts w:ascii="Times New Roman" w:hAnsi="Times New Roman" w:cs="Times New Roman"/>
          <w:b/>
          <w:bCs/>
        </w:rPr>
      </w:pPr>
    </w:p>
    <w:p w14:paraId="10CDA96C"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Modifiable Behavioral Risk Factors</w:t>
      </w:r>
    </w:p>
    <w:p w14:paraId="3CE95E6A" w14:textId="77777777" w:rsidR="00232E1D" w:rsidRDefault="000912E6">
      <w:pPr>
        <w:spacing w:line="360" w:lineRule="auto"/>
        <w:jc w:val="both"/>
        <w:rPr>
          <w:rFonts w:ascii="Times New Roman" w:hAnsi="Times New Roman" w:cs="Times New Roman"/>
        </w:rPr>
      </w:pPr>
      <w:r>
        <w:rPr>
          <w:rFonts w:ascii="Times New Roman" w:hAnsi="Times New Roman" w:cs="Times New Roman"/>
        </w:rPr>
        <w:t>These represent individual habits and culturally embedded lifestyles that directly accelerate tissue damage and metabolic decline:</w:t>
      </w:r>
    </w:p>
    <w:p w14:paraId="5FD7DB9A" w14:textId="77777777" w:rsidR="00232E1D" w:rsidRDefault="000912E6">
      <w:pPr>
        <w:numPr>
          <w:ilvl w:val="0"/>
          <w:numId w:val="2"/>
        </w:numPr>
        <w:spacing w:line="360" w:lineRule="auto"/>
        <w:jc w:val="both"/>
        <w:rPr>
          <w:rFonts w:ascii="Times New Roman" w:hAnsi="Times New Roman" w:cs="Times New Roman"/>
        </w:rPr>
      </w:pPr>
      <w:r>
        <w:rPr>
          <w:rFonts w:ascii="Times New Roman" w:hAnsi="Times New Roman" w:cs="Times New Roman"/>
          <w:b/>
          <w:bCs/>
        </w:rPr>
        <w:lastRenderedPageBreak/>
        <w:t>Tobacco Use:</w:t>
      </w:r>
      <w:r>
        <w:rPr>
          <w:rFonts w:ascii="Times New Roman" w:hAnsi="Times New Roman" w:cs="Times New Roman"/>
        </w:rPr>
        <w:t xml:space="preserve"> Tobacco remains the leading cause of preventable death globally, accounting for over 8 million deaths annually (including second-hand smoke exposure). Nicotine and associated toxins induce systemic endothelial dysfunction, atherosclerosis, and cellular mutations that lead to malignant neoplasms. </w:t>
      </w:r>
    </w:p>
    <w:p w14:paraId="77108DA4" w14:textId="77777777" w:rsidR="00232E1D" w:rsidRDefault="000912E6">
      <w:pPr>
        <w:numPr>
          <w:ilvl w:val="0"/>
          <w:numId w:val="2"/>
        </w:numPr>
        <w:spacing w:line="360" w:lineRule="auto"/>
        <w:jc w:val="both"/>
        <w:rPr>
          <w:rFonts w:ascii="Times New Roman" w:hAnsi="Times New Roman" w:cs="Times New Roman"/>
        </w:rPr>
      </w:pPr>
      <w:r>
        <w:rPr>
          <w:rFonts w:ascii="Times New Roman" w:hAnsi="Times New Roman" w:cs="Times New Roman"/>
          <w:b/>
          <w:bCs/>
        </w:rPr>
        <w:t>Harmful Alcohol Consumption:</w:t>
      </w:r>
      <w:r>
        <w:rPr>
          <w:rFonts w:ascii="Times New Roman" w:hAnsi="Times New Roman" w:cs="Times New Roman"/>
        </w:rPr>
        <w:t xml:space="preserve"> Excessive alcohol intake contributes to multi-system pathology, acting as a major risk factor for cardiovascular disease, hepatic cirrhosis, and several forms of cancer.</w:t>
      </w:r>
    </w:p>
    <w:p w14:paraId="5116BF98" w14:textId="77777777" w:rsidR="00232E1D" w:rsidRDefault="000912E6">
      <w:pPr>
        <w:numPr>
          <w:ilvl w:val="0"/>
          <w:numId w:val="2"/>
        </w:numPr>
        <w:spacing w:line="360" w:lineRule="auto"/>
        <w:jc w:val="both"/>
        <w:rPr>
          <w:rFonts w:ascii="Times New Roman" w:hAnsi="Times New Roman" w:cs="Times New Roman"/>
        </w:rPr>
      </w:pPr>
      <w:r>
        <w:rPr>
          <w:rFonts w:ascii="Times New Roman" w:hAnsi="Times New Roman" w:cs="Times New Roman"/>
          <w:b/>
          <w:bCs/>
        </w:rPr>
        <w:t>Unhealthy Diet:</w:t>
      </w:r>
      <w:r>
        <w:rPr>
          <w:rFonts w:ascii="Times New Roman" w:hAnsi="Times New Roman" w:cs="Times New Roman"/>
        </w:rPr>
        <w:t xml:space="preserve"> The global nutritional transition away from high-fiber, whole foods toward ultra-processed foods, saturated fats, refined sugars, and high-sodium diets is a critical vector for disease. Excessive salt intake is direct fuel for global hypertension, while high-calorie, nutrient-poor diets drive metabolic storage failures.</w:t>
      </w:r>
    </w:p>
    <w:p w14:paraId="70C0FD29" w14:textId="77777777" w:rsidR="00232E1D" w:rsidRDefault="000912E6">
      <w:pPr>
        <w:numPr>
          <w:ilvl w:val="0"/>
          <w:numId w:val="2"/>
        </w:numPr>
        <w:spacing w:line="360" w:lineRule="auto"/>
        <w:jc w:val="both"/>
        <w:rPr>
          <w:rFonts w:ascii="Times New Roman" w:hAnsi="Times New Roman" w:cs="Times New Roman"/>
        </w:rPr>
      </w:pPr>
      <w:r>
        <w:rPr>
          <w:rFonts w:ascii="Times New Roman" w:hAnsi="Times New Roman" w:cs="Times New Roman"/>
          <w:b/>
          <w:bCs/>
        </w:rPr>
        <w:t>Physical Inactivity:</w:t>
      </w:r>
      <w:r>
        <w:rPr>
          <w:rFonts w:ascii="Times New Roman" w:hAnsi="Times New Roman" w:cs="Times New Roman"/>
        </w:rPr>
        <w:t xml:space="preserve"> Sedentary lifestyles driven by urbanization, mechanized transport, and desk-based occupations significantly diminish insulin sensitivity, slow lipid metabolism, and increase systemic inflammation.</w:t>
      </w:r>
    </w:p>
    <w:p w14:paraId="36BD1105"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B. Metabolic (Physiological) Risk Factors</w:t>
      </w:r>
    </w:p>
    <w:p w14:paraId="0E42C1DD"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When behavioral risks persist over time, they lead to quantifiable metabolic alterations. These serve as the clinical parameters measured by frontline screening programs to intercept full-blown NCD development: </w:t>
      </w:r>
    </w:p>
    <w:p w14:paraId="3213F4FB" w14:textId="77777777" w:rsidR="00232E1D" w:rsidRDefault="000912E6">
      <w:pPr>
        <w:numPr>
          <w:ilvl w:val="0"/>
          <w:numId w:val="3"/>
        </w:numPr>
        <w:spacing w:line="360" w:lineRule="auto"/>
        <w:jc w:val="both"/>
        <w:rPr>
          <w:rFonts w:ascii="Times New Roman" w:hAnsi="Times New Roman" w:cs="Times New Roman"/>
        </w:rPr>
      </w:pPr>
      <w:r>
        <w:rPr>
          <w:rFonts w:ascii="Times New Roman" w:hAnsi="Times New Roman" w:cs="Times New Roman"/>
          <w:b/>
          <w:bCs/>
        </w:rPr>
        <w:t>Raised Blood Pressure (Hypertension):</w:t>
      </w:r>
      <w:r>
        <w:rPr>
          <w:rFonts w:ascii="Times New Roman" w:hAnsi="Times New Roman" w:cs="Times New Roman"/>
        </w:rPr>
        <w:t xml:space="preserve"> </w:t>
      </w:r>
      <w:r w:rsidRPr="00E04F3B">
        <w:rPr>
          <w:rFonts w:ascii="Times New Roman" w:hAnsi="Times New Roman" w:cs="Times New Roman"/>
        </w:rPr>
        <w:t>According to GBD data, high systolic blood pressure is the leading risk factor for age-standardized Disability-Adjusted Life Years (DALYs) globally. It is the silent precursor</w:t>
      </w:r>
      <w:r>
        <w:rPr>
          <w:rFonts w:ascii="Times New Roman" w:hAnsi="Times New Roman" w:cs="Times New Roman"/>
        </w:rPr>
        <w:t xml:space="preserve"> to ischemic heart disease, cerebrovascular accidents (strokes), and chronic kidney disease.</w:t>
      </w:r>
    </w:p>
    <w:p w14:paraId="42AA15C7" w14:textId="77777777" w:rsidR="00232E1D" w:rsidRDefault="000912E6">
      <w:pPr>
        <w:numPr>
          <w:ilvl w:val="0"/>
          <w:numId w:val="3"/>
        </w:numPr>
        <w:spacing w:line="360" w:lineRule="auto"/>
        <w:jc w:val="both"/>
        <w:rPr>
          <w:rFonts w:ascii="Times New Roman" w:hAnsi="Times New Roman" w:cs="Times New Roman"/>
        </w:rPr>
      </w:pPr>
      <w:r>
        <w:rPr>
          <w:rFonts w:ascii="Times New Roman" w:hAnsi="Times New Roman" w:cs="Times New Roman"/>
          <w:b/>
          <w:bCs/>
        </w:rPr>
        <w:t>Overweight and Obesity:</w:t>
      </w:r>
      <w:r>
        <w:rPr>
          <w:rFonts w:ascii="Times New Roman" w:hAnsi="Times New Roman" w:cs="Times New Roman"/>
        </w:rPr>
        <w:t xml:space="preserve"> Measured primarily through Body Mass Index (BMI) and waist circumference, obesity has seen the sharpest increase among global risks over the last three decades.</w:t>
      </w:r>
    </w:p>
    <w:p w14:paraId="12124FE8" w14:textId="77777777" w:rsidR="00232E1D" w:rsidRDefault="000912E6">
      <w:pPr>
        <w:numPr>
          <w:ilvl w:val="0"/>
          <w:numId w:val="3"/>
        </w:numPr>
        <w:spacing w:line="360" w:lineRule="auto"/>
        <w:jc w:val="both"/>
        <w:rPr>
          <w:rFonts w:ascii="Times New Roman" w:hAnsi="Times New Roman" w:cs="Times New Roman"/>
        </w:rPr>
      </w:pPr>
      <w:r>
        <w:rPr>
          <w:rFonts w:ascii="Times New Roman" w:hAnsi="Times New Roman" w:cs="Times New Roman"/>
          <w:b/>
          <w:bCs/>
        </w:rPr>
        <w:t>Elevated Fasting Blood Glucose:</w:t>
      </w:r>
      <w:r>
        <w:rPr>
          <w:rFonts w:ascii="Times New Roman" w:hAnsi="Times New Roman" w:cs="Times New Roman"/>
        </w:rPr>
        <w:t xml:space="preserve"> Reflective of the global type 2 diabetes epidemic, impaired fasting glucose and insulin resistance cause microvascular and macrovascular destruction, leading to blindness, limb amputations, and cardiovascular death.</w:t>
      </w:r>
    </w:p>
    <w:p w14:paraId="63903E3D" w14:textId="77777777" w:rsidR="00232E1D" w:rsidRDefault="000912E6">
      <w:pPr>
        <w:numPr>
          <w:ilvl w:val="0"/>
          <w:numId w:val="3"/>
        </w:numPr>
        <w:spacing w:line="360" w:lineRule="auto"/>
        <w:jc w:val="both"/>
        <w:rPr>
          <w:rFonts w:ascii="Times New Roman" w:hAnsi="Times New Roman" w:cs="Times New Roman"/>
        </w:rPr>
      </w:pPr>
      <w:r>
        <w:rPr>
          <w:rFonts w:ascii="Times New Roman" w:hAnsi="Times New Roman" w:cs="Times New Roman"/>
          <w:b/>
          <w:bCs/>
        </w:rPr>
        <w:lastRenderedPageBreak/>
        <w:t>Dyslipidemia:</w:t>
      </w:r>
      <w:r>
        <w:rPr>
          <w:rFonts w:ascii="Times New Roman" w:hAnsi="Times New Roman" w:cs="Times New Roman"/>
        </w:rPr>
        <w:t xml:space="preserve"> Abnormal circulating lipid profiles (high LDL cholesterol and triglycerides) directly cause the arterial plaque deposition responsible for coronary artery disease.</w:t>
      </w:r>
    </w:p>
    <w:p w14:paraId="2FB08486" w14:textId="77777777" w:rsidR="00232E1D" w:rsidRDefault="00232E1D">
      <w:pPr>
        <w:spacing w:line="360" w:lineRule="auto"/>
        <w:jc w:val="both"/>
        <w:rPr>
          <w:rFonts w:ascii="Times New Roman" w:hAnsi="Times New Roman" w:cs="Times New Roman"/>
        </w:rPr>
      </w:pPr>
    </w:p>
    <w:p w14:paraId="21D8E4C5"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The Burden of Non-Communicable Diseases (NCDs) in Sri Lanka</w:t>
      </w:r>
    </w:p>
    <w:p w14:paraId="18CD161C"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Sri Lanka presents a unique health profile within South Asia, often celebrated for achieving advanced health indicators—such as low maternal and infant mortality rates and a high life expectancy—despite low healthcare spending. However, this success, paired with a rapidly aging population and swift urbanization, has triggered an acute epidemiological transition. </w:t>
      </w:r>
      <w:r w:rsidRPr="00E04F3B">
        <w:rPr>
          <w:rFonts w:ascii="Times New Roman" w:hAnsi="Times New Roman" w:cs="Times New Roman"/>
        </w:rPr>
        <w:t>Today, Non-Communicable Diseases (NCDs) are the leading public health challenge in Sri Lanka, accounting for an estimated 83% of all annual deaths. The mortality and morbidity</w:t>
      </w:r>
      <w:r>
        <w:rPr>
          <w:rFonts w:ascii="Times New Roman" w:hAnsi="Times New Roman" w:cs="Times New Roman"/>
        </w:rPr>
        <w:t xml:space="preserve"> landscape is heavily dominated by four major chronic conditions: </w:t>
      </w:r>
    </w:p>
    <w:p w14:paraId="0ED60106" w14:textId="77777777" w:rsidR="00232E1D" w:rsidRDefault="000912E6">
      <w:pPr>
        <w:numPr>
          <w:ilvl w:val="0"/>
          <w:numId w:val="4"/>
        </w:numPr>
        <w:spacing w:line="360" w:lineRule="auto"/>
        <w:jc w:val="both"/>
        <w:rPr>
          <w:rFonts w:ascii="Times New Roman" w:hAnsi="Times New Roman" w:cs="Times New Roman"/>
        </w:rPr>
      </w:pPr>
      <w:r>
        <w:rPr>
          <w:rFonts w:ascii="Times New Roman" w:hAnsi="Times New Roman" w:cs="Times New Roman"/>
          <w:b/>
          <w:bCs/>
        </w:rPr>
        <w:t>Cardiovascular Diseases (CVD):</w:t>
      </w:r>
      <w:r>
        <w:rPr>
          <w:rFonts w:ascii="Times New Roman" w:hAnsi="Times New Roman" w:cs="Times New Roman"/>
        </w:rPr>
        <w:t xml:space="preserve"> The single largest contributor, responsible for roughly 34% of national mortality, with ischemic heart disease and cerebrovascular accidents (strokes) topping hospital death registries.</w:t>
      </w:r>
    </w:p>
    <w:p w14:paraId="42F1F648" w14:textId="77777777" w:rsidR="00232E1D" w:rsidRDefault="000912E6">
      <w:pPr>
        <w:numPr>
          <w:ilvl w:val="0"/>
          <w:numId w:val="4"/>
        </w:numPr>
        <w:spacing w:line="360" w:lineRule="auto"/>
        <w:jc w:val="both"/>
        <w:rPr>
          <w:rFonts w:ascii="Times New Roman" w:hAnsi="Times New Roman" w:cs="Times New Roman"/>
        </w:rPr>
      </w:pPr>
      <w:r>
        <w:rPr>
          <w:rFonts w:ascii="Times New Roman" w:hAnsi="Times New Roman" w:cs="Times New Roman"/>
          <w:b/>
          <w:bCs/>
        </w:rPr>
        <w:t>Neoplasms (Cancers):</w:t>
      </w:r>
      <w:r>
        <w:rPr>
          <w:rFonts w:ascii="Times New Roman" w:hAnsi="Times New Roman" w:cs="Times New Roman"/>
        </w:rPr>
        <w:t xml:space="preserve"> Accountable for approximately 14% of annual deaths.</w:t>
      </w:r>
    </w:p>
    <w:p w14:paraId="5781FD59" w14:textId="77777777" w:rsidR="00232E1D" w:rsidRDefault="000912E6">
      <w:pPr>
        <w:numPr>
          <w:ilvl w:val="0"/>
          <w:numId w:val="4"/>
        </w:numPr>
        <w:spacing w:line="360" w:lineRule="auto"/>
        <w:jc w:val="both"/>
        <w:rPr>
          <w:rFonts w:ascii="Times New Roman" w:hAnsi="Times New Roman" w:cs="Times New Roman"/>
        </w:rPr>
      </w:pPr>
      <w:r>
        <w:rPr>
          <w:rFonts w:ascii="Times New Roman" w:hAnsi="Times New Roman" w:cs="Times New Roman"/>
          <w:b/>
          <w:bCs/>
        </w:rPr>
        <w:t>Diabetes Mellitus:</w:t>
      </w:r>
      <w:r>
        <w:rPr>
          <w:rFonts w:ascii="Times New Roman" w:hAnsi="Times New Roman" w:cs="Times New Roman"/>
        </w:rPr>
        <w:t xml:space="preserve"> Directly causing 9% of deaths, alongside a growing burden of microvascular and macrovascular complications.</w:t>
      </w:r>
    </w:p>
    <w:p w14:paraId="30E12D54" w14:textId="77777777" w:rsidR="00232E1D" w:rsidRDefault="000912E6">
      <w:pPr>
        <w:numPr>
          <w:ilvl w:val="0"/>
          <w:numId w:val="4"/>
        </w:numPr>
        <w:spacing w:line="360" w:lineRule="auto"/>
        <w:jc w:val="both"/>
        <w:rPr>
          <w:rFonts w:ascii="Times New Roman" w:hAnsi="Times New Roman" w:cs="Times New Roman"/>
        </w:rPr>
      </w:pPr>
      <w:r>
        <w:rPr>
          <w:rFonts w:ascii="Times New Roman" w:hAnsi="Times New Roman" w:cs="Times New Roman"/>
          <w:b/>
          <w:bCs/>
        </w:rPr>
        <w:t>Chronic Respiratory Diseases:</w:t>
      </w:r>
      <w:r>
        <w:rPr>
          <w:rFonts w:ascii="Times New Roman" w:hAnsi="Times New Roman" w:cs="Times New Roman"/>
        </w:rPr>
        <w:t xml:space="preserve"> Contributing to 8% of deaths.</w:t>
      </w:r>
    </w:p>
    <w:p w14:paraId="6CB16000" w14:textId="510D5813" w:rsidR="00232E1D" w:rsidRDefault="000912E6" w:rsidP="00E04F3B">
      <w:pPr>
        <w:spacing w:line="360" w:lineRule="auto"/>
        <w:jc w:val="both"/>
        <w:rPr>
          <w:rFonts w:ascii="Times New Roman" w:hAnsi="Times New Roman" w:cs="Times New Roman"/>
        </w:rPr>
      </w:pPr>
      <w:r>
        <w:rPr>
          <w:rFonts w:ascii="Times New Roman" w:hAnsi="Times New Roman" w:cs="Times New Roman"/>
        </w:rPr>
        <w:t xml:space="preserve">Furthermore, complications arising from poorly managed diabetes and hypertension have fueled an epidemic of </w:t>
      </w:r>
      <w:r w:rsidRPr="00E04F3B">
        <w:rPr>
          <w:rFonts w:ascii="Times New Roman" w:hAnsi="Times New Roman" w:cs="Times New Roman"/>
        </w:rPr>
        <w:t>Chronic Kidney Disease (CKD), which</w:t>
      </w:r>
      <w:r>
        <w:rPr>
          <w:rFonts w:ascii="Times New Roman" w:hAnsi="Times New Roman" w:cs="Times New Roman"/>
        </w:rPr>
        <w:t xml:space="preserve"> affects an estimated 10% of the population aged 20 and older, heavily straining tertiary healthcare resources.</w:t>
      </w:r>
    </w:p>
    <w:p w14:paraId="6B4A9AB7" w14:textId="77777777" w:rsidR="00E04F3B" w:rsidRPr="00E04F3B" w:rsidRDefault="00E04F3B" w:rsidP="00E04F3B">
      <w:pPr>
        <w:spacing w:line="360" w:lineRule="auto"/>
        <w:jc w:val="both"/>
        <w:rPr>
          <w:rFonts w:ascii="Times New Roman" w:hAnsi="Times New Roman" w:cs="Times New Roman"/>
        </w:rPr>
      </w:pPr>
    </w:p>
    <w:p w14:paraId="6BBCDDE1"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The Socio-Behavioral and Metabolic Risk Factor Profile</w:t>
      </w:r>
    </w:p>
    <w:p w14:paraId="4798E092" w14:textId="77777777" w:rsidR="00232E1D" w:rsidRDefault="000912E6">
      <w:pPr>
        <w:spacing w:line="360" w:lineRule="auto"/>
        <w:jc w:val="both"/>
        <w:rPr>
          <w:rFonts w:ascii="Times New Roman" w:hAnsi="Times New Roman" w:cs="Times New Roman"/>
        </w:rPr>
      </w:pPr>
      <w:r>
        <w:rPr>
          <w:rFonts w:ascii="Times New Roman" w:hAnsi="Times New Roman" w:cs="Times New Roman"/>
        </w:rPr>
        <w:t>Data from national population-based surveillance, including the World Health Organization (WHO</w:t>
      </w:r>
      <w:r w:rsidRPr="00E04F3B">
        <w:rPr>
          <w:rFonts w:ascii="Times New Roman" w:hAnsi="Times New Roman" w:cs="Times New Roman"/>
        </w:rPr>
        <w:t>) STEPS surveys,</w:t>
      </w:r>
      <w:r>
        <w:rPr>
          <w:rFonts w:ascii="Times New Roman" w:hAnsi="Times New Roman" w:cs="Times New Roman"/>
        </w:rPr>
        <w:t xml:space="preserve"> reveals a high and deeply gendered prevalence of NCD risk factors across the island. These risks are divided into modifiable behaviors and the physiological changes they trigger:</w:t>
      </w:r>
    </w:p>
    <w:p w14:paraId="4EEC272A" w14:textId="77777777" w:rsidR="00232E1D" w:rsidRDefault="00232E1D">
      <w:pPr>
        <w:spacing w:line="360" w:lineRule="auto"/>
        <w:jc w:val="both"/>
        <w:rPr>
          <w:rFonts w:ascii="Times New Roman" w:hAnsi="Times New Roman" w:cs="Times New Roman"/>
          <w:b/>
          <w:bCs/>
        </w:rPr>
      </w:pPr>
    </w:p>
    <w:p w14:paraId="54A76633"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Frontline Operational Strategy: Healthy Lifestyle Clinics (HLCs)</w:t>
      </w:r>
    </w:p>
    <w:p w14:paraId="35089A9B"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In response to this mounting crisis, the Ministry of Health developed the </w:t>
      </w:r>
      <w:r>
        <w:rPr>
          <w:rFonts w:ascii="Times New Roman" w:hAnsi="Times New Roman" w:cs="Times New Roman"/>
          <w:i/>
          <w:iCs/>
        </w:rPr>
        <w:t>National Multisectoral Action Plan for the Prevention and Control of NCDs</w:t>
      </w:r>
      <w:r>
        <w:rPr>
          <w:rFonts w:ascii="Times New Roman" w:hAnsi="Times New Roman" w:cs="Times New Roman"/>
        </w:rPr>
        <w:t xml:space="preserve">. A core mechanism of this policy was the introduction of </w:t>
      </w:r>
      <w:r w:rsidRPr="00E04F3B">
        <w:rPr>
          <w:rFonts w:ascii="Times New Roman" w:hAnsi="Times New Roman" w:cs="Times New Roman"/>
        </w:rPr>
        <w:t>Healthy Lifestyle Clinics (HLCs)</w:t>
      </w:r>
      <w:r>
        <w:rPr>
          <w:rFonts w:ascii="Times New Roman" w:hAnsi="Times New Roman" w:cs="Times New Roman"/>
        </w:rPr>
        <w:t xml:space="preserve"> across the primary care network. </w:t>
      </w:r>
    </w:p>
    <w:p w14:paraId="261FEB40" w14:textId="77777777" w:rsidR="00232E1D" w:rsidRDefault="000912E6">
      <w:pPr>
        <w:spacing w:line="360" w:lineRule="auto"/>
        <w:jc w:val="both"/>
        <w:rPr>
          <w:rFonts w:ascii="Times New Roman" w:hAnsi="Times New Roman" w:cs="Times New Roman"/>
        </w:rPr>
      </w:pPr>
      <w:r>
        <w:rPr>
          <w:rFonts w:ascii="Times New Roman" w:hAnsi="Times New Roman" w:cs="Times New Roman"/>
        </w:rPr>
        <w:t>Targeting individuals aged 35 and older, HLCs function as a community defense system designed to intercept chronic disease early. They systematically screen asymptomatic citizens for behavioral risks (such as smoking and betel chewing) and metabolic risk markers (such as obesity, high blood pressure, and elevated blood sugar). By shifting the care model from high-cost, tertiary curative interventions to localized, primary-level risk modification, HLCs aim to curb premature mortality. This case study evaluates the specific screening realities and institutional variances across 11 such centers within the Colombo RDHS area.</w:t>
      </w:r>
    </w:p>
    <w:p w14:paraId="3190BFE8"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Because these risk factors are largely modifiable, the World Health Organization advocates for population-level screening and early behavioral interventions. In Sri Lanka, this strategy is operationalized through the primary healthcare network via </w:t>
      </w:r>
      <w:r w:rsidRPr="00E04F3B">
        <w:rPr>
          <w:rFonts w:ascii="Times New Roman" w:hAnsi="Times New Roman" w:cs="Times New Roman"/>
        </w:rPr>
        <w:t>Healthy Lifestyle Clinics (HLCs).</w:t>
      </w:r>
      <w:r>
        <w:rPr>
          <w:rFonts w:ascii="Times New Roman" w:hAnsi="Times New Roman" w:cs="Times New Roman"/>
        </w:rPr>
        <w:t xml:space="preserve"> Set up in primary health care institutions, these clinics serve as the frontline defense mechanism. They screen eligible adult populations for asymptomatic metabolic alterations (such as hypertension and obesity) and behavioral risks (tobacco and alcohol use), shifting the health system focus from expensive, tertiary-level curative care to community-based preventive medicine. This case study evaluates the institutional screening outcomes across 11 health care centers in the Colombo RDHS area to identify regional risk factor variations and system delivery challenges.</w:t>
      </w:r>
    </w:p>
    <w:p w14:paraId="191EEFF7" w14:textId="77777777" w:rsidR="00232E1D" w:rsidRDefault="00232E1D">
      <w:pPr>
        <w:spacing w:line="360" w:lineRule="auto"/>
        <w:jc w:val="both"/>
        <w:rPr>
          <w:rFonts w:ascii="Times New Roman" w:hAnsi="Times New Roman" w:cs="Times New Roman"/>
        </w:rPr>
      </w:pPr>
    </w:p>
    <w:p w14:paraId="52E8918C" w14:textId="77777777" w:rsidR="00232E1D" w:rsidRDefault="000912E6">
      <w:pPr>
        <w:spacing w:line="360" w:lineRule="auto"/>
        <w:jc w:val="both"/>
        <w:rPr>
          <w:rFonts w:ascii="Times New Roman" w:hAnsi="Times New Roman" w:cs="Times New Roman"/>
        </w:rPr>
      </w:pPr>
      <w:r>
        <w:rPr>
          <w:rFonts w:ascii="Times New Roman" w:hAnsi="Times New Roman" w:cs="Times New Roman"/>
          <w:b/>
          <w:bCs/>
        </w:rPr>
        <w:t>General Objective:</w:t>
      </w:r>
    </w:p>
    <w:p w14:paraId="3F249841" w14:textId="77777777" w:rsidR="00232E1D" w:rsidRDefault="000912E6">
      <w:pPr>
        <w:spacing w:line="360" w:lineRule="auto"/>
        <w:jc w:val="both"/>
        <w:rPr>
          <w:rFonts w:ascii="Times New Roman" w:hAnsi="Times New Roman" w:cs="Times New Roman"/>
        </w:rPr>
      </w:pPr>
      <w:r>
        <w:rPr>
          <w:rFonts w:ascii="Times New Roman" w:hAnsi="Times New Roman" w:cs="Times New Roman"/>
        </w:rPr>
        <w:t>To evaluate the screening performance and patterns of non-communicable disease risk factors among clients attending Healthy Lifestyle Clinics across primary healthcare institutions within the Colombo Regional Health Services area in 2024.</w:t>
      </w:r>
    </w:p>
    <w:p w14:paraId="79F1BAC5" w14:textId="77777777" w:rsidR="00232E1D" w:rsidRDefault="00232E1D">
      <w:pPr>
        <w:spacing w:line="360" w:lineRule="auto"/>
        <w:jc w:val="both"/>
        <w:rPr>
          <w:rFonts w:ascii="Times New Roman" w:hAnsi="Times New Roman" w:cs="Times New Roman"/>
        </w:rPr>
      </w:pPr>
    </w:p>
    <w:p w14:paraId="49970A82"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Specific objectives</w:t>
      </w:r>
    </w:p>
    <w:p w14:paraId="427AE947" w14:textId="30768D7F" w:rsidR="00232E1D" w:rsidRPr="00E04F3B" w:rsidRDefault="000912E6">
      <w:pPr>
        <w:pStyle w:val="ListParagraph"/>
        <w:numPr>
          <w:ilvl w:val="0"/>
          <w:numId w:val="5"/>
        </w:numPr>
        <w:spacing w:line="360" w:lineRule="auto"/>
        <w:jc w:val="both"/>
        <w:rPr>
          <w:rFonts w:ascii="Times New Roman" w:hAnsi="Times New Roman" w:cs="Times New Roman"/>
        </w:rPr>
      </w:pPr>
      <w:r w:rsidRPr="00E04F3B">
        <w:rPr>
          <w:rFonts w:ascii="Times New Roman" w:hAnsi="Times New Roman" w:cs="Times New Roman"/>
        </w:rPr>
        <w:lastRenderedPageBreak/>
        <w:t>To determine the prevalence of modifiable behavioral risk factors among eligible clients attending Healthy Lifestyle Clinics.</w:t>
      </w:r>
    </w:p>
    <w:p w14:paraId="005430A6" w14:textId="77777777" w:rsidR="00232E1D" w:rsidRPr="00E04F3B" w:rsidRDefault="000912E6">
      <w:pPr>
        <w:pStyle w:val="ListParagraph"/>
        <w:numPr>
          <w:ilvl w:val="0"/>
          <w:numId w:val="5"/>
        </w:numPr>
        <w:spacing w:line="360" w:lineRule="auto"/>
        <w:jc w:val="both"/>
        <w:rPr>
          <w:rFonts w:ascii="Times New Roman" w:hAnsi="Times New Roman" w:cs="Times New Roman"/>
        </w:rPr>
      </w:pPr>
      <w:r w:rsidRPr="00E04F3B">
        <w:rPr>
          <w:rFonts w:ascii="Times New Roman" w:hAnsi="Times New Roman" w:cs="Times New Roman"/>
        </w:rPr>
        <w:t>To estimate the prevalence of metabolic risk markers among the screened population across the selected clinics.</w:t>
      </w:r>
    </w:p>
    <w:p w14:paraId="38DAFA57" w14:textId="77777777" w:rsidR="00232E1D" w:rsidRPr="00E04F3B" w:rsidRDefault="000912E6">
      <w:pPr>
        <w:pStyle w:val="ListParagraph"/>
        <w:numPr>
          <w:ilvl w:val="0"/>
          <w:numId w:val="5"/>
        </w:numPr>
        <w:spacing w:line="360" w:lineRule="auto"/>
        <w:jc w:val="both"/>
        <w:rPr>
          <w:rFonts w:ascii="Times New Roman" w:hAnsi="Times New Roman" w:cs="Times New Roman"/>
        </w:rPr>
      </w:pPr>
      <w:r w:rsidRPr="00E04F3B">
        <w:rPr>
          <w:rFonts w:ascii="Times New Roman" w:hAnsi="Times New Roman" w:cs="Times New Roman"/>
        </w:rPr>
        <w:t>To compare the patterns and variations of NCD risk factors across different primary and secondary care frontline facilities (District General Hospital, Base Hospital, and individual Divisional Hospitals) within the region.</w:t>
      </w:r>
    </w:p>
    <w:p w14:paraId="43C2B1A0" w14:textId="77777777" w:rsidR="00232E1D" w:rsidRPr="00E04F3B" w:rsidRDefault="000912E6">
      <w:pPr>
        <w:pStyle w:val="ListParagraph"/>
        <w:numPr>
          <w:ilvl w:val="0"/>
          <w:numId w:val="5"/>
        </w:numPr>
        <w:spacing w:line="360" w:lineRule="auto"/>
        <w:jc w:val="both"/>
        <w:rPr>
          <w:rFonts w:ascii="Times New Roman" w:hAnsi="Times New Roman" w:cs="Times New Roman"/>
        </w:rPr>
      </w:pPr>
      <w:r w:rsidRPr="00E04F3B">
        <w:rPr>
          <w:rFonts w:ascii="Times New Roman" w:hAnsi="Times New Roman" w:cs="Times New Roman"/>
        </w:rPr>
        <w:t>To evaluate the screening performance and data completeness of clinical markers—with a specific focus on fasting blood sugar monitoring and potential diagnostic gaps—across the participating institutions.</w:t>
      </w:r>
    </w:p>
    <w:p w14:paraId="1F251D12" w14:textId="77777777" w:rsidR="00232E1D" w:rsidRDefault="000912E6">
      <w:pPr>
        <w:pStyle w:val="ListParagraph"/>
        <w:numPr>
          <w:ilvl w:val="0"/>
          <w:numId w:val="5"/>
        </w:numPr>
        <w:spacing w:line="360" w:lineRule="auto"/>
        <w:jc w:val="both"/>
        <w:rPr>
          <w:rFonts w:ascii="Times New Roman" w:hAnsi="Times New Roman" w:cs="Times New Roman"/>
        </w:rPr>
      </w:pPr>
      <w:r w:rsidRPr="00E04F3B">
        <w:rPr>
          <w:rFonts w:ascii="Times New Roman" w:hAnsi="Times New Roman" w:cs="Times New Roman"/>
        </w:rPr>
        <w:t>To provide evidence-based recommendations for healthcare administrators to</w:t>
      </w:r>
      <w:r>
        <w:rPr>
          <w:rFonts w:ascii="Times New Roman" w:hAnsi="Times New Roman" w:cs="Times New Roman"/>
        </w:rPr>
        <w:t xml:space="preserve"> optimize risk-targeted resource allocation and strengthen the service delivery of HLCs in the Colombo district.</w:t>
      </w:r>
    </w:p>
    <w:p w14:paraId="6DD8FC20" w14:textId="77777777" w:rsidR="00232E1D" w:rsidRDefault="00232E1D">
      <w:pPr>
        <w:spacing w:line="360" w:lineRule="auto"/>
        <w:jc w:val="both"/>
        <w:rPr>
          <w:rFonts w:ascii="Times New Roman" w:hAnsi="Times New Roman" w:cs="Times New Roman"/>
        </w:rPr>
      </w:pPr>
    </w:p>
    <w:p w14:paraId="384D477E" w14:textId="77777777" w:rsidR="00232E1D" w:rsidRDefault="000912E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07BC8DF6"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Study Design</w:t>
      </w:r>
    </w:p>
    <w:p w14:paraId="679EBA08"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This study utilized a </w:t>
      </w:r>
      <w:r w:rsidRPr="00E04F3B">
        <w:rPr>
          <w:rFonts w:ascii="Times New Roman" w:hAnsi="Times New Roman" w:cs="Times New Roman"/>
        </w:rPr>
        <w:t xml:space="preserve">mixed-methods, cross-sectional descriptive design </w:t>
      </w:r>
      <w:r>
        <w:rPr>
          <w:rFonts w:ascii="Times New Roman" w:hAnsi="Times New Roman" w:cs="Times New Roman"/>
        </w:rPr>
        <w:t>to evaluate the screening performance and patterns of non-communicable disease (NCD) risk factors. The study combined quantitative and qualitative methodologies:</w:t>
      </w:r>
    </w:p>
    <w:p w14:paraId="4F53B06E" w14:textId="77777777" w:rsidR="00232E1D" w:rsidRDefault="000912E6">
      <w:pPr>
        <w:numPr>
          <w:ilvl w:val="0"/>
          <w:numId w:val="6"/>
        </w:numPr>
        <w:spacing w:line="360" w:lineRule="auto"/>
        <w:jc w:val="both"/>
        <w:rPr>
          <w:rFonts w:ascii="Times New Roman" w:hAnsi="Times New Roman" w:cs="Times New Roman"/>
        </w:rPr>
      </w:pPr>
      <w:r>
        <w:rPr>
          <w:rFonts w:ascii="Times New Roman" w:hAnsi="Times New Roman" w:cs="Times New Roman"/>
          <w:b/>
          <w:bCs/>
        </w:rPr>
        <w:t>Quantitative Component:</w:t>
      </w:r>
      <w:r>
        <w:rPr>
          <w:rFonts w:ascii="Times New Roman" w:hAnsi="Times New Roman" w:cs="Times New Roman"/>
        </w:rPr>
        <w:t xml:space="preserve"> A retrospective secondary data review of routine Healthy Lifestyle Clinic (HLC) screening registries.</w:t>
      </w:r>
    </w:p>
    <w:p w14:paraId="58A43889" w14:textId="77777777" w:rsidR="00232E1D" w:rsidRDefault="000912E6">
      <w:pPr>
        <w:numPr>
          <w:ilvl w:val="0"/>
          <w:numId w:val="6"/>
        </w:numPr>
        <w:spacing w:line="360" w:lineRule="auto"/>
        <w:jc w:val="both"/>
        <w:rPr>
          <w:rFonts w:ascii="Times New Roman" w:hAnsi="Times New Roman" w:cs="Times New Roman"/>
        </w:rPr>
      </w:pPr>
      <w:r>
        <w:rPr>
          <w:rFonts w:ascii="Times New Roman" w:hAnsi="Times New Roman" w:cs="Times New Roman"/>
          <w:b/>
          <w:bCs/>
        </w:rPr>
        <w:t>Qualitative Component:</w:t>
      </w:r>
      <w:r>
        <w:rPr>
          <w:rFonts w:ascii="Times New Roman" w:hAnsi="Times New Roman" w:cs="Times New Roman"/>
        </w:rPr>
        <w:t xml:space="preserve"> A desk review of institutional </w:t>
      </w:r>
      <w:proofErr w:type="spellStart"/>
      <w:r>
        <w:rPr>
          <w:rFonts w:ascii="Times New Roman" w:hAnsi="Times New Roman" w:cs="Times New Roman"/>
        </w:rPr>
        <w:t>institutional</w:t>
      </w:r>
      <w:proofErr w:type="spellEnd"/>
      <w:r>
        <w:rPr>
          <w:rFonts w:ascii="Times New Roman" w:hAnsi="Times New Roman" w:cs="Times New Roman"/>
        </w:rPr>
        <w:t xml:space="preserve"> documents alongside key informant interviews (KIIs) to contextualize screening performance, administrative challenges, and systemic variations.</w:t>
      </w:r>
    </w:p>
    <w:p w14:paraId="2F19D209" w14:textId="77777777" w:rsidR="00232E1D" w:rsidRDefault="00232E1D">
      <w:pPr>
        <w:spacing w:line="360" w:lineRule="auto"/>
        <w:jc w:val="both"/>
        <w:rPr>
          <w:rFonts w:ascii="Times New Roman" w:hAnsi="Times New Roman" w:cs="Times New Roman"/>
        </w:rPr>
      </w:pPr>
    </w:p>
    <w:p w14:paraId="0C9B7D30"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Study Setting</w:t>
      </w:r>
    </w:p>
    <w:p w14:paraId="441E4CB7" w14:textId="77777777" w:rsidR="00232E1D" w:rsidRDefault="000912E6">
      <w:pPr>
        <w:spacing w:line="360" w:lineRule="auto"/>
        <w:jc w:val="both"/>
        <w:rPr>
          <w:rFonts w:ascii="Times New Roman" w:hAnsi="Times New Roman" w:cs="Times New Roman"/>
        </w:rPr>
      </w:pPr>
      <w:r>
        <w:rPr>
          <w:rFonts w:ascii="Times New Roman" w:hAnsi="Times New Roman" w:cs="Times New Roman"/>
        </w:rPr>
        <w:lastRenderedPageBreak/>
        <w:t>The study was conducted within the administrative boundary of the Regional Department of Health Services (RDHS) Colombo. The evaluation focused on 11 healthcare institutions implementing HLC services, representing different tiers of the public healthcare delivery system:</w:t>
      </w:r>
    </w:p>
    <w:p w14:paraId="5971DDBF"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Secondary Care Centers: District General Hospital (DGH) </w:t>
      </w:r>
      <w:proofErr w:type="spellStart"/>
      <w:r>
        <w:rPr>
          <w:rFonts w:ascii="Times New Roman" w:hAnsi="Times New Roman" w:cs="Times New Roman"/>
        </w:rPr>
        <w:t>Avissawella</w:t>
      </w:r>
      <w:proofErr w:type="spellEnd"/>
      <w:r>
        <w:rPr>
          <w:rFonts w:ascii="Times New Roman" w:hAnsi="Times New Roman" w:cs="Times New Roman"/>
        </w:rPr>
        <w:t xml:space="preserve"> and Base Hospital (BH) </w:t>
      </w:r>
      <w:proofErr w:type="spellStart"/>
      <w:r>
        <w:rPr>
          <w:rFonts w:ascii="Times New Roman" w:hAnsi="Times New Roman" w:cs="Times New Roman"/>
        </w:rPr>
        <w:t>Homagama</w:t>
      </w:r>
      <w:proofErr w:type="spellEnd"/>
      <w:r>
        <w:rPr>
          <w:rFonts w:ascii="Times New Roman" w:hAnsi="Times New Roman" w:cs="Times New Roman"/>
        </w:rPr>
        <w:t>.</w:t>
      </w:r>
    </w:p>
    <w:p w14:paraId="0054DD5B"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Primary Care Centers: Nine Divisional Hospitals (DH), including DH </w:t>
      </w:r>
      <w:proofErr w:type="spellStart"/>
      <w:r>
        <w:rPr>
          <w:rFonts w:ascii="Times New Roman" w:hAnsi="Times New Roman" w:cs="Times New Roman"/>
        </w:rPr>
        <w:t>Wethara</w:t>
      </w:r>
      <w:proofErr w:type="spellEnd"/>
      <w:r>
        <w:rPr>
          <w:rFonts w:ascii="Times New Roman" w:hAnsi="Times New Roman" w:cs="Times New Roman"/>
        </w:rPr>
        <w:t xml:space="preserve">, DH </w:t>
      </w:r>
      <w:proofErr w:type="spellStart"/>
      <w:r>
        <w:rPr>
          <w:rFonts w:ascii="Times New Roman" w:hAnsi="Times New Roman" w:cs="Times New Roman"/>
        </w:rPr>
        <w:t>Piliyandala</w:t>
      </w:r>
      <w:proofErr w:type="spellEnd"/>
      <w:r>
        <w:rPr>
          <w:rFonts w:ascii="Times New Roman" w:hAnsi="Times New Roman" w:cs="Times New Roman"/>
        </w:rPr>
        <w:t xml:space="preserve">, DH </w:t>
      </w:r>
      <w:proofErr w:type="spellStart"/>
      <w:r>
        <w:rPr>
          <w:rFonts w:ascii="Times New Roman" w:hAnsi="Times New Roman" w:cs="Times New Roman"/>
        </w:rPr>
        <w:t>Thalangama</w:t>
      </w:r>
      <w:proofErr w:type="spellEnd"/>
      <w:r>
        <w:rPr>
          <w:rFonts w:ascii="Times New Roman" w:hAnsi="Times New Roman" w:cs="Times New Roman"/>
        </w:rPr>
        <w:t xml:space="preserve">, DH </w:t>
      </w:r>
      <w:proofErr w:type="spellStart"/>
      <w:r>
        <w:rPr>
          <w:rFonts w:ascii="Times New Roman" w:hAnsi="Times New Roman" w:cs="Times New Roman"/>
        </w:rPr>
        <w:t>Nawagamuwa</w:t>
      </w:r>
      <w:proofErr w:type="spellEnd"/>
      <w:r>
        <w:rPr>
          <w:rFonts w:ascii="Times New Roman" w:hAnsi="Times New Roman" w:cs="Times New Roman"/>
        </w:rPr>
        <w:t xml:space="preserve">, DH </w:t>
      </w:r>
      <w:proofErr w:type="spellStart"/>
      <w:r>
        <w:rPr>
          <w:rFonts w:ascii="Times New Roman" w:hAnsi="Times New Roman" w:cs="Times New Roman"/>
        </w:rPr>
        <w:t>Padukka</w:t>
      </w:r>
      <w:proofErr w:type="spellEnd"/>
      <w:r>
        <w:rPr>
          <w:rFonts w:ascii="Times New Roman" w:hAnsi="Times New Roman" w:cs="Times New Roman"/>
        </w:rPr>
        <w:t xml:space="preserve">, DH Moratuwa, DH </w:t>
      </w:r>
      <w:proofErr w:type="spellStart"/>
      <w:r>
        <w:rPr>
          <w:rFonts w:ascii="Times New Roman" w:hAnsi="Times New Roman" w:cs="Times New Roman"/>
        </w:rPr>
        <w:t>Maligawatta</w:t>
      </w:r>
      <w:proofErr w:type="spellEnd"/>
      <w:r>
        <w:rPr>
          <w:rFonts w:ascii="Times New Roman" w:hAnsi="Times New Roman" w:cs="Times New Roman"/>
        </w:rPr>
        <w:t xml:space="preserve">, DH </w:t>
      </w:r>
      <w:proofErr w:type="spellStart"/>
      <w:r>
        <w:rPr>
          <w:rFonts w:ascii="Times New Roman" w:hAnsi="Times New Roman" w:cs="Times New Roman"/>
        </w:rPr>
        <w:t>Kosgama</w:t>
      </w:r>
      <w:proofErr w:type="spellEnd"/>
      <w:r>
        <w:rPr>
          <w:rFonts w:ascii="Times New Roman" w:hAnsi="Times New Roman" w:cs="Times New Roman"/>
        </w:rPr>
        <w:t>, and DH Athurugiriya.</w:t>
      </w:r>
    </w:p>
    <w:p w14:paraId="52BC8DED" w14:textId="77777777" w:rsidR="00232E1D" w:rsidRDefault="00232E1D">
      <w:pPr>
        <w:spacing w:line="360" w:lineRule="auto"/>
        <w:jc w:val="both"/>
        <w:rPr>
          <w:rFonts w:ascii="Times New Roman" w:hAnsi="Times New Roman" w:cs="Times New Roman"/>
        </w:rPr>
      </w:pPr>
    </w:p>
    <w:p w14:paraId="269D9AD6"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Study Population and Unit of Analysis</w:t>
      </w:r>
    </w:p>
    <w:p w14:paraId="0749CE86" w14:textId="77777777" w:rsidR="00232E1D" w:rsidRDefault="000912E6">
      <w:pPr>
        <w:numPr>
          <w:ilvl w:val="0"/>
          <w:numId w:val="7"/>
        </w:numPr>
        <w:spacing w:line="360" w:lineRule="auto"/>
        <w:jc w:val="both"/>
        <w:rPr>
          <w:rFonts w:ascii="Times New Roman" w:hAnsi="Times New Roman" w:cs="Times New Roman"/>
        </w:rPr>
      </w:pPr>
      <w:r>
        <w:rPr>
          <w:rFonts w:ascii="Times New Roman" w:hAnsi="Times New Roman" w:cs="Times New Roman"/>
          <w:b/>
          <w:bCs/>
        </w:rPr>
        <w:t>For Quantitative Data:</w:t>
      </w:r>
      <w:r>
        <w:rPr>
          <w:rFonts w:ascii="Times New Roman" w:hAnsi="Times New Roman" w:cs="Times New Roman"/>
        </w:rPr>
        <w:t xml:space="preserve"> The study population consisted of all eligible clients (males and females, primarily aged 35 years and older) who attended and underwent lifestyle screening at the selected 11 HLC clinics between January 1, 2024, and December 31, 2024.</w:t>
      </w:r>
    </w:p>
    <w:p w14:paraId="3584A8CC" w14:textId="77777777" w:rsidR="00232E1D" w:rsidRDefault="000912E6">
      <w:pPr>
        <w:numPr>
          <w:ilvl w:val="0"/>
          <w:numId w:val="7"/>
        </w:numPr>
        <w:spacing w:line="360" w:lineRule="auto"/>
        <w:jc w:val="both"/>
        <w:rPr>
          <w:rFonts w:ascii="Times New Roman" w:hAnsi="Times New Roman" w:cs="Times New Roman"/>
        </w:rPr>
      </w:pPr>
      <w:r>
        <w:rPr>
          <w:rFonts w:ascii="Times New Roman" w:hAnsi="Times New Roman" w:cs="Times New Roman"/>
          <w:b/>
          <w:bCs/>
        </w:rPr>
        <w:t>For Qualitative Data:</w:t>
      </w:r>
      <w:r>
        <w:rPr>
          <w:rFonts w:ascii="Times New Roman" w:hAnsi="Times New Roman" w:cs="Times New Roman"/>
        </w:rPr>
        <w:t xml:space="preserve"> The study population comprised institutional stakeholders, healthcare administrators, and frontline clinical staff directly involved in managing or executing HLC screening routines.</w:t>
      </w:r>
    </w:p>
    <w:p w14:paraId="3D4C63D7"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Data Collection Methods and Tools</w:t>
      </w:r>
    </w:p>
    <w:p w14:paraId="369EFEC1"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Secondary Quantitative Data Review</w:t>
      </w:r>
    </w:p>
    <w:p w14:paraId="0CA00F2D"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Quantitative data was extracted retrospectively from the formal </w:t>
      </w:r>
      <w:r w:rsidRPr="00E04F3B">
        <w:rPr>
          <w:rFonts w:ascii="Times New Roman" w:hAnsi="Times New Roman" w:cs="Times New Roman"/>
        </w:rPr>
        <w:t>HLC Annual Review Data (2024)</w:t>
      </w:r>
      <w:r>
        <w:rPr>
          <w:rFonts w:ascii="Times New Roman" w:hAnsi="Times New Roman" w:cs="Times New Roman"/>
        </w:rPr>
        <w:t xml:space="preserve"> of each institution. A standardized data extraction sheet was developed to capture aggregate institutional metrics. The primary variables extracted included:</w:t>
      </w:r>
    </w:p>
    <w:p w14:paraId="7372FBC0" w14:textId="77777777" w:rsidR="00232E1D" w:rsidRDefault="000912E6">
      <w:pPr>
        <w:numPr>
          <w:ilvl w:val="0"/>
          <w:numId w:val="8"/>
        </w:numPr>
        <w:spacing w:line="360" w:lineRule="auto"/>
        <w:jc w:val="both"/>
        <w:rPr>
          <w:rFonts w:ascii="Times New Roman" w:hAnsi="Times New Roman" w:cs="Times New Roman"/>
        </w:rPr>
      </w:pPr>
      <w:r>
        <w:rPr>
          <w:rFonts w:ascii="Times New Roman" w:hAnsi="Times New Roman" w:cs="Times New Roman"/>
          <w:b/>
          <w:bCs/>
        </w:rPr>
        <w:t>Denominator Asset:</w:t>
      </w:r>
      <w:r>
        <w:rPr>
          <w:rFonts w:ascii="Times New Roman" w:hAnsi="Times New Roman" w:cs="Times New Roman"/>
        </w:rPr>
        <w:t xml:space="preserve"> Total number of eligible clients registered/screened.</w:t>
      </w:r>
    </w:p>
    <w:p w14:paraId="1D30DCC1" w14:textId="77777777" w:rsidR="00232E1D" w:rsidRDefault="000912E6">
      <w:pPr>
        <w:numPr>
          <w:ilvl w:val="0"/>
          <w:numId w:val="8"/>
        </w:numPr>
        <w:spacing w:line="360" w:lineRule="auto"/>
        <w:jc w:val="both"/>
        <w:rPr>
          <w:rFonts w:ascii="Times New Roman" w:hAnsi="Times New Roman" w:cs="Times New Roman"/>
        </w:rPr>
      </w:pPr>
      <w:r>
        <w:rPr>
          <w:rFonts w:ascii="Times New Roman" w:hAnsi="Times New Roman" w:cs="Times New Roman"/>
          <w:b/>
          <w:bCs/>
        </w:rPr>
        <w:t>Behavioral Risk Markers:</w:t>
      </w:r>
      <w:r>
        <w:rPr>
          <w:rFonts w:ascii="Times New Roman" w:hAnsi="Times New Roman" w:cs="Times New Roman"/>
        </w:rPr>
        <w:t xml:space="preserve"> Frequency of tobacco smoking, harmful alcohol consumption, and betel chewing.</w:t>
      </w:r>
    </w:p>
    <w:p w14:paraId="76919015" w14:textId="77777777" w:rsidR="00232E1D" w:rsidRDefault="000912E6">
      <w:pPr>
        <w:numPr>
          <w:ilvl w:val="0"/>
          <w:numId w:val="8"/>
        </w:numPr>
        <w:spacing w:line="360" w:lineRule="auto"/>
        <w:jc w:val="both"/>
        <w:rPr>
          <w:rFonts w:ascii="Times New Roman" w:hAnsi="Times New Roman" w:cs="Times New Roman"/>
        </w:rPr>
      </w:pPr>
      <w:r>
        <w:rPr>
          <w:rFonts w:ascii="Times New Roman" w:hAnsi="Times New Roman" w:cs="Times New Roman"/>
          <w:b/>
          <w:bCs/>
        </w:rPr>
        <w:t>Metabolic Risk Markers:</w:t>
      </w:r>
      <w:r>
        <w:rPr>
          <w:rFonts w:ascii="Times New Roman" w:hAnsi="Times New Roman" w:cs="Times New Roman"/>
        </w:rPr>
        <w:t xml:space="preserve"> Frequency of elevated blood pressure, obesity (BMI more than 30), and elevated Fasting Blood Glucose (FBS more than 126mg/dl).</w:t>
      </w:r>
    </w:p>
    <w:p w14:paraId="495169C4"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lastRenderedPageBreak/>
        <w:t>Document Review</w:t>
      </w:r>
    </w:p>
    <w:p w14:paraId="53537305" w14:textId="77777777" w:rsidR="00232E1D" w:rsidRDefault="000912E6">
      <w:pPr>
        <w:spacing w:line="360" w:lineRule="auto"/>
        <w:jc w:val="both"/>
        <w:rPr>
          <w:rFonts w:ascii="Times New Roman" w:hAnsi="Times New Roman" w:cs="Times New Roman"/>
        </w:rPr>
      </w:pPr>
      <w:r>
        <w:rPr>
          <w:rFonts w:ascii="Times New Roman" w:hAnsi="Times New Roman" w:cs="Times New Roman"/>
        </w:rPr>
        <w:t>A systematic desk review of institutional documents was carried out at each facility. Documents reviewed included:</w:t>
      </w:r>
    </w:p>
    <w:p w14:paraId="43707975" w14:textId="77777777" w:rsidR="00232E1D" w:rsidRDefault="000912E6">
      <w:pPr>
        <w:numPr>
          <w:ilvl w:val="0"/>
          <w:numId w:val="9"/>
        </w:numPr>
        <w:spacing w:line="360" w:lineRule="auto"/>
        <w:jc w:val="both"/>
        <w:rPr>
          <w:rFonts w:ascii="Times New Roman" w:hAnsi="Times New Roman" w:cs="Times New Roman"/>
        </w:rPr>
      </w:pPr>
      <w:r>
        <w:rPr>
          <w:rFonts w:ascii="Times New Roman" w:hAnsi="Times New Roman" w:cs="Times New Roman"/>
        </w:rPr>
        <w:t>Institutional HLC monthly returns sent to the RDHS.</w:t>
      </w:r>
    </w:p>
    <w:p w14:paraId="4CF053E5" w14:textId="77777777" w:rsidR="00232E1D" w:rsidRDefault="000912E6">
      <w:pPr>
        <w:numPr>
          <w:ilvl w:val="0"/>
          <w:numId w:val="9"/>
        </w:numPr>
        <w:spacing w:line="360" w:lineRule="auto"/>
        <w:jc w:val="both"/>
        <w:rPr>
          <w:rFonts w:ascii="Times New Roman" w:hAnsi="Times New Roman" w:cs="Times New Roman"/>
        </w:rPr>
      </w:pPr>
      <w:r>
        <w:rPr>
          <w:rFonts w:ascii="Times New Roman" w:hAnsi="Times New Roman" w:cs="Times New Roman"/>
        </w:rPr>
        <w:t>Clinic attendance logs and patient registers.</w:t>
      </w:r>
    </w:p>
    <w:p w14:paraId="3ACF6297" w14:textId="77777777" w:rsidR="00232E1D" w:rsidRDefault="000912E6">
      <w:pPr>
        <w:spacing w:line="360" w:lineRule="auto"/>
        <w:jc w:val="both"/>
        <w:rPr>
          <w:rFonts w:ascii="Times New Roman" w:hAnsi="Times New Roman" w:cs="Times New Roman"/>
        </w:rPr>
      </w:pPr>
      <w:r>
        <w:rPr>
          <w:rFonts w:ascii="Times New Roman" w:hAnsi="Times New Roman" w:cs="Times New Roman"/>
        </w:rPr>
        <w:t>This review served to verify data consistency, assess record-keeping quality, and cross-reference clinical gaps noted in the raw data.</w:t>
      </w:r>
    </w:p>
    <w:p w14:paraId="410611FF"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Key Informant Interviews (KIIs)</w:t>
      </w:r>
    </w:p>
    <w:p w14:paraId="20ED46FE" w14:textId="77777777" w:rsidR="00232E1D" w:rsidRDefault="000912E6">
      <w:pPr>
        <w:spacing w:line="360" w:lineRule="auto"/>
        <w:jc w:val="both"/>
        <w:rPr>
          <w:rFonts w:ascii="Times New Roman" w:hAnsi="Times New Roman" w:cs="Times New Roman"/>
        </w:rPr>
      </w:pPr>
      <w:r>
        <w:rPr>
          <w:rFonts w:ascii="Times New Roman" w:hAnsi="Times New Roman" w:cs="Times New Roman"/>
        </w:rPr>
        <w:t>To understand the factors influencing screening performance and the structural variations behind the data, qualitative insights were gathered via Key Informant Interviews.</w:t>
      </w:r>
    </w:p>
    <w:p w14:paraId="49C95291" w14:textId="77777777" w:rsidR="00232E1D" w:rsidRDefault="000912E6">
      <w:pPr>
        <w:numPr>
          <w:ilvl w:val="0"/>
          <w:numId w:val="10"/>
        </w:numPr>
        <w:spacing w:line="360" w:lineRule="auto"/>
        <w:jc w:val="both"/>
        <w:rPr>
          <w:rFonts w:ascii="Times New Roman" w:hAnsi="Times New Roman" w:cs="Times New Roman"/>
        </w:rPr>
      </w:pPr>
      <w:r>
        <w:rPr>
          <w:rFonts w:ascii="Times New Roman" w:hAnsi="Times New Roman" w:cs="Times New Roman"/>
          <w:b/>
          <w:bCs/>
        </w:rPr>
        <w:t>Participants:</w:t>
      </w:r>
      <w:r>
        <w:rPr>
          <w:rFonts w:ascii="Times New Roman" w:hAnsi="Times New Roman" w:cs="Times New Roman"/>
        </w:rPr>
        <w:t xml:space="preserve"> Purposive sampling was used to select key informants, including Medical Officers of Health (MOH), Medical Officers in charge of NCD clinics (MO-NCD), institutional Nursing Officers-in-charge, and public health nursing officers.</w:t>
      </w:r>
    </w:p>
    <w:p w14:paraId="4B716BC7" w14:textId="77777777" w:rsidR="00232E1D" w:rsidRDefault="000912E6">
      <w:pPr>
        <w:numPr>
          <w:ilvl w:val="0"/>
          <w:numId w:val="10"/>
        </w:numPr>
        <w:spacing w:line="360" w:lineRule="auto"/>
        <w:jc w:val="both"/>
        <w:rPr>
          <w:rFonts w:ascii="Times New Roman" w:hAnsi="Times New Roman" w:cs="Times New Roman"/>
        </w:rPr>
      </w:pPr>
      <w:r>
        <w:rPr>
          <w:rFonts w:ascii="Times New Roman" w:hAnsi="Times New Roman" w:cs="Times New Roman"/>
          <w:b/>
          <w:bCs/>
        </w:rPr>
        <w:t>Tool:</w:t>
      </w:r>
      <w:r>
        <w:rPr>
          <w:rFonts w:ascii="Times New Roman" w:hAnsi="Times New Roman" w:cs="Times New Roman"/>
        </w:rPr>
        <w:t xml:space="preserve"> Semi-structured interview guides were utilized, focusing on resource availability, challenges in patient mobilization, diagnostic shortages, data recording fidelity, and institutional best practices.</w:t>
      </w:r>
    </w:p>
    <w:p w14:paraId="594088BC" w14:textId="77777777" w:rsidR="00232E1D" w:rsidRDefault="000912E6">
      <w:pPr>
        <w:numPr>
          <w:ilvl w:val="0"/>
          <w:numId w:val="10"/>
        </w:numPr>
        <w:spacing w:line="360" w:lineRule="auto"/>
        <w:jc w:val="both"/>
        <w:rPr>
          <w:rFonts w:ascii="Times New Roman" w:hAnsi="Times New Roman" w:cs="Times New Roman"/>
        </w:rPr>
      </w:pPr>
      <w:r>
        <w:rPr>
          <w:rFonts w:ascii="Times New Roman" w:hAnsi="Times New Roman" w:cs="Times New Roman"/>
          <w:b/>
          <w:bCs/>
        </w:rPr>
        <w:t>Process:</w:t>
      </w:r>
      <w:r>
        <w:rPr>
          <w:rFonts w:ascii="Times New Roman" w:hAnsi="Times New Roman" w:cs="Times New Roman"/>
        </w:rPr>
        <w:t xml:space="preserve"> Interviews were conducted in a private setting at the respective institutions, lasting approximately 20–30 minutes, and field notes were compiled immediately afterward.</w:t>
      </w:r>
    </w:p>
    <w:p w14:paraId="1BCA6D2A" w14:textId="77777777" w:rsidR="00232E1D" w:rsidRDefault="00232E1D">
      <w:pPr>
        <w:spacing w:line="360" w:lineRule="auto"/>
        <w:jc w:val="both"/>
        <w:rPr>
          <w:rFonts w:ascii="Times New Roman" w:hAnsi="Times New Roman" w:cs="Times New Roman"/>
          <w:b/>
          <w:bCs/>
        </w:rPr>
      </w:pPr>
    </w:p>
    <w:p w14:paraId="3FCAA811" w14:textId="77777777" w:rsidR="00232E1D" w:rsidRDefault="00232E1D">
      <w:pPr>
        <w:spacing w:line="360" w:lineRule="auto"/>
        <w:jc w:val="both"/>
        <w:rPr>
          <w:rFonts w:ascii="Times New Roman" w:hAnsi="Times New Roman" w:cs="Times New Roman"/>
          <w:b/>
          <w:bCs/>
        </w:rPr>
      </w:pPr>
    </w:p>
    <w:p w14:paraId="5C9E7CC6"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Ethical Considerations</w:t>
      </w:r>
    </w:p>
    <w:p w14:paraId="4725A7A6"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As this study was based on aggregate, routinely collected institutional review data, direct patient contact was avoided, and no personally identifiable information (e.g., patient names, addresses, or identification numbers) was extracted, ensuring strict confidentiality. Formal administrative permission to access registries, document archives, and conduct staff interviews was obtained from </w:t>
      </w:r>
      <w:r>
        <w:rPr>
          <w:rFonts w:ascii="Times New Roman" w:hAnsi="Times New Roman" w:cs="Times New Roman"/>
        </w:rPr>
        <w:lastRenderedPageBreak/>
        <w:t>the Regional Director of Health Services (RDHS) Colombo and the heads of the respective medical institutions.</w:t>
      </w:r>
    </w:p>
    <w:p w14:paraId="0A9D5E7B" w14:textId="77777777" w:rsidR="00232E1D" w:rsidRDefault="00232E1D">
      <w:pPr>
        <w:spacing w:line="360" w:lineRule="auto"/>
        <w:jc w:val="both"/>
        <w:rPr>
          <w:rFonts w:ascii="Times New Roman" w:hAnsi="Times New Roman" w:cs="Times New Roman"/>
        </w:rPr>
      </w:pPr>
    </w:p>
    <w:p w14:paraId="383577A8" w14:textId="77777777" w:rsidR="00232E1D" w:rsidRPr="004A6E90" w:rsidRDefault="000912E6">
      <w:pPr>
        <w:spacing w:line="360" w:lineRule="auto"/>
        <w:jc w:val="both"/>
        <w:rPr>
          <w:rFonts w:ascii="Times New Roman" w:hAnsi="Times New Roman" w:cs="Times New Roman"/>
          <w:b/>
          <w:bCs/>
          <w:sz w:val="28"/>
          <w:szCs w:val="28"/>
        </w:rPr>
      </w:pPr>
      <w:r w:rsidRPr="004A6E90">
        <w:rPr>
          <w:rFonts w:ascii="Times New Roman" w:hAnsi="Times New Roman" w:cs="Times New Roman"/>
          <w:b/>
          <w:bCs/>
          <w:sz w:val="28"/>
          <w:szCs w:val="28"/>
        </w:rPr>
        <w:t>Results</w:t>
      </w:r>
    </w:p>
    <w:p w14:paraId="763C3B46" w14:textId="77777777" w:rsidR="00232E1D" w:rsidRPr="004A6E90" w:rsidRDefault="000912E6">
      <w:pPr>
        <w:spacing w:after="100" w:afterAutospacing="1" w:line="360" w:lineRule="auto"/>
        <w:jc w:val="both"/>
        <w:outlineLvl w:val="1"/>
        <w:rPr>
          <w:rFonts w:ascii="Times New Roman" w:eastAsia="Times New Roman" w:hAnsi="Times New Roman" w:cs="Times New Roman"/>
          <w:b/>
          <w:bCs/>
          <w:kern w:val="0"/>
          <w14:ligatures w14:val="none"/>
        </w:rPr>
      </w:pPr>
      <w:r w:rsidRPr="004A6E90">
        <w:rPr>
          <w:rFonts w:ascii="Times New Roman" w:eastAsia="Times New Roman" w:hAnsi="Times New Roman" w:cs="Times New Roman"/>
          <w:b/>
          <w:bCs/>
          <w:kern w:val="0"/>
          <w14:ligatures w14:val="none"/>
        </w:rPr>
        <w:t>Overview of Total Screening and Institutional Contribution</w:t>
      </w:r>
    </w:p>
    <w:p w14:paraId="7FBAE510" w14:textId="77777777" w:rsidR="00232E1D" w:rsidRDefault="000912E6">
      <w:pPr>
        <w:spacing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During the 2024 screening period, a total of </w:t>
      </w:r>
      <w:r w:rsidRPr="00862BBB">
        <w:rPr>
          <w:rFonts w:ascii="Times New Roman" w:eastAsia="Times New Roman" w:hAnsi="Times New Roman" w:cs="Times New Roman"/>
          <w:kern w:val="0"/>
          <w14:ligatures w14:val="none"/>
        </w:rPr>
        <w:t>17,212 eligible clients</w:t>
      </w:r>
      <w:r>
        <w:rPr>
          <w:rFonts w:ascii="Times New Roman" w:eastAsia="Times New Roman" w:hAnsi="Times New Roman" w:cs="Times New Roman"/>
          <w:kern w:val="0"/>
          <w14:ligatures w14:val="none"/>
        </w:rPr>
        <w:t xml:space="preserve"> were screened across the 11 participating Healthy Lifestyle Clinics in the Colombo RDHS area.</w:t>
      </w:r>
    </w:p>
    <w:p w14:paraId="3FF281BC" w14:textId="77777777" w:rsidR="00232E1D" w:rsidRPr="00161DA4" w:rsidRDefault="000912E6">
      <w:pPr>
        <w:spacing w:after="100" w:afterAutospacing="1" w:line="240" w:lineRule="auto"/>
        <w:outlineLvl w:val="2"/>
        <w:rPr>
          <w:rFonts w:ascii="Times New Roman" w:eastAsia="Times New Roman" w:hAnsi="Times New Roman" w:cs="Times New Roman"/>
          <w:b/>
          <w:bCs/>
          <w:kern w:val="0"/>
          <w14:ligatures w14:val="none"/>
        </w:rPr>
      </w:pPr>
      <w:r w:rsidRPr="00161DA4">
        <w:rPr>
          <w:rFonts w:ascii="Times New Roman" w:eastAsia="Times New Roman" w:hAnsi="Times New Roman" w:cs="Times New Roman"/>
          <w:b/>
          <w:bCs/>
          <w:kern w:val="0"/>
          <w14:ligatures w14:val="none"/>
        </w:rPr>
        <w:t>Table 1: Institutional Contribution to Total Regional HLC Screenings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
        <w:gridCol w:w="1913"/>
        <w:gridCol w:w="1837"/>
        <w:gridCol w:w="2035"/>
        <w:gridCol w:w="2562"/>
      </w:tblGrid>
      <w:tr w:rsidR="00232E1D" w14:paraId="67AC1EAD"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567EAED"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Rank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EAC79F1"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Institution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9CEBEFD"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Facility Tier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B81985F"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Number of Clients Screened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5BF51A7"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Percentage of Total Regional Screening (%)</w:t>
            </w:r>
          </w:p>
        </w:tc>
      </w:tr>
      <w:tr w:rsidR="00232E1D" w14:paraId="2981196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121B6BA"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56BDC48"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DH Moratuwa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5EE8068"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Divisional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9C11636"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3,580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F7DD5D5"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20.80%</w:t>
            </w:r>
          </w:p>
        </w:tc>
      </w:tr>
      <w:tr w:rsidR="00232E1D" w14:paraId="6CB8E94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8B87A21"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8322B8A"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 xml:space="preserve">DH </w:t>
            </w:r>
            <w:proofErr w:type="spellStart"/>
            <w:r w:rsidRPr="00161DA4">
              <w:rPr>
                <w:rFonts w:ascii="Times New Roman" w:eastAsia="Times New Roman" w:hAnsi="Times New Roman" w:cs="Times New Roman"/>
                <w:kern w:val="0"/>
                <w14:ligatures w14:val="none"/>
              </w:rPr>
              <w:t>Kosgama</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7BD2805"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Divisional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EB52E52"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2,418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7BEC5D8"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14.05%</w:t>
            </w:r>
          </w:p>
        </w:tc>
      </w:tr>
      <w:tr w:rsidR="00232E1D" w14:paraId="5A83C01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CDB164D"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BF34E08"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DH Wethara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0055C60"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Divisional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8B5B60C"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1,925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E15EF21"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11.18%</w:t>
            </w:r>
          </w:p>
        </w:tc>
      </w:tr>
      <w:tr w:rsidR="00232E1D" w14:paraId="168A9C3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B6D4358"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9BD4CA6"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DH Padukka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E3279A8"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Divisional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1721DE4"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1,661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1F1710C"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9.65%</w:t>
            </w:r>
          </w:p>
        </w:tc>
      </w:tr>
      <w:tr w:rsidR="00232E1D" w14:paraId="349488C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E9704E7"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2A3EA7B"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DH Piliyandala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5676559"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Divisional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AA7DA0E"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1,536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46512F2"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8.92%</w:t>
            </w:r>
          </w:p>
        </w:tc>
      </w:tr>
      <w:tr w:rsidR="00232E1D" w:rsidRPr="00161DA4" w14:paraId="7974FA0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1513E32"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4CBEB90"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 xml:space="preserve">BH </w:t>
            </w:r>
            <w:proofErr w:type="spellStart"/>
            <w:r w:rsidRPr="00161DA4">
              <w:rPr>
                <w:rFonts w:ascii="Times New Roman" w:eastAsia="Times New Roman" w:hAnsi="Times New Roman" w:cs="Times New Roman"/>
                <w:kern w:val="0"/>
                <w14:ligatures w14:val="none"/>
              </w:rPr>
              <w:t>Homagama</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E18E6A0"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Base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C5476DF"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1,244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F610E78"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7.23%</w:t>
            </w:r>
          </w:p>
        </w:tc>
      </w:tr>
      <w:tr w:rsidR="00232E1D" w:rsidRPr="00161DA4" w14:paraId="246EF16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7A959EE"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6EBC285"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DH Athurugiriya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D9257F6"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Divisional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2454491"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725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6646477"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4.21%</w:t>
            </w:r>
          </w:p>
        </w:tc>
      </w:tr>
      <w:tr w:rsidR="00232E1D" w:rsidRPr="00161DA4" w14:paraId="6661D08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F2F39BB"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1C6A1CF"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 xml:space="preserve">DH </w:t>
            </w:r>
            <w:proofErr w:type="spellStart"/>
            <w:r w:rsidRPr="00161DA4">
              <w:rPr>
                <w:rFonts w:ascii="Times New Roman" w:eastAsia="Times New Roman" w:hAnsi="Times New Roman" w:cs="Times New Roman"/>
                <w:kern w:val="0"/>
                <w14:ligatures w14:val="none"/>
              </w:rPr>
              <w:t>Nawagamuwa</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C3A6B1A"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Divisional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82B8350"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643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85956C1"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3.74%</w:t>
            </w:r>
          </w:p>
        </w:tc>
      </w:tr>
      <w:tr w:rsidR="00232E1D" w:rsidRPr="00161DA4" w14:paraId="7AC4C11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18A9207"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lastRenderedPageBreak/>
              <w:t>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C110A75"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 xml:space="preserve">DH </w:t>
            </w:r>
            <w:proofErr w:type="spellStart"/>
            <w:r w:rsidRPr="00161DA4">
              <w:rPr>
                <w:rFonts w:ascii="Times New Roman" w:eastAsia="Times New Roman" w:hAnsi="Times New Roman" w:cs="Times New Roman"/>
                <w:kern w:val="0"/>
                <w14:ligatures w14:val="none"/>
              </w:rPr>
              <w:t>Maligawatta</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4CB0445"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Divisional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B6F95C5"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561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2D18414"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3.26%</w:t>
            </w:r>
          </w:p>
        </w:tc>
      </w:tr>
      <w:tr w:rsidR="00232E1D" w:rsidRPr="00161DA4" w14:paraId="430195E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9316B2C"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7E957B8"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 xml:space="preserve">DH </w:t>
            </w:r>
            <w:proofErr w:type="spellStart"/>
            <w:r w:rsidRPr="00161DA4">
              <w:rPr>
                <w:rFonts w:ascii="Times New Roman" w:eastAsia="Times New Roman" w:hAnsi="Times New Roman" w:cs="Times New Roman"/>
                <w:kern w:val="0"/>
                <w14:ligatures w14:val="none"/>
              </w:rPr>
              <w:t>Thalangama</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DD6F46D"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Divisional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A6BD77B"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558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6367A61"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3.24%</w:t>
            </w:r>
          </w:p>
        </w:tc>
      </w:tr>
      <w:tr w:rsidR="00232E1D" w:rsidRPr="00161DA4" w14:paraId="1DF19E1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EE0C7BD" w14:textId="77777777" w:rsidR="00232E1D" w:rsidRPr="00C46815" w:rsidRDefault="000912E6">
            <w:pPr>
              <w:spacing w:after="0" w:line="240" w:lineRule="auto"/>
              <w:rPr>
                <w:rFonts w:ascii="Times New Roman" w:eastAsia="Times New Roman" w:hAnsi="Times New Roman" w:cs="Times New Roman"/>
                <w:kern w:val="0"/>
                <w14:ligatures w14:val="none"/>
              </w:rPr>
            </w:pPr>
            <w:r w:rsidRPr="00C46815">
              <w:rPr>
                <w:rFonts w:ascii="Times New Roman" w:eastAsia="Times New Roman" w:hAnsi="Times New Roman" w:cs="Times New Roman"/>
                <w:kern w:val="0"/>
                <w14:ligatures w14:val="none"/>
              </w:rPr>
              <w:t>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05B6B11"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 xml:space="preserve">DGH </w:t>
            </w:r>
            <w:proofErr w:type="spellStart"/>
            <w:r w:rsidRPr="00161DA4">
              <w:rPr>
                <w:rFonts w:ascii="Times New Roman" w:eastAsia="Times New Roman" w:hAnsi="Times New Roman" w:cs="Times New Roman"/>
                <w:kern w:val="0"/>
                <w14:ligatures w14:val="none"/>
              </w:rPr>
              <w:t>Avissawella</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E2710A4"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District General Hospital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BB63686"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388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8569DD4"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2.25%</w:t>
            </w:r>
          </w:p>
        </w:tc>
      </w:tr>
    </w:tbl>
    <w:p w14:paraId="594B9F0B" w14:textId="77777777" w:rsidR="00232E1D" w:rsidRPr="00161DA4" w:rsidRDefault="00232E1D">
      <w:pPr>
        <w:spacing w:line="360" w:lineRule="auto"/>
        <w:jc w:val="both"/>
        <w:rPr>
          <w:rFonts w:ascii="Times New Roman" w:hAnsi="Times New Roman" w:cs="Times New Roman"/>
        </w:rPr>
      </w:pPr>
    </w:p>
    <w:p w14:paraId="45214109" w14:textId="77777777" w:rsidR="00232E1D" w:rsidRPr="00161DA4" w:rsidRDefault="00232E1D">
      <w:pPr>
        <w:spacing w:line="360" w:lineRule="auto"/>
        <w:jc w:val="both"/>
        <w:rPr>
          <w:rFonts w:ascii="Times New Roman" w:hAnsi="Times New Roman" w:cs="Times New Roman"/>
        </w:rPr>
      </w:pPr>
    </w:p>
    <w:p w14:paraId="27C8E085" w14:textId="77777777" w:rsidR="00232E1D" w:rsidRPr="00161DA4" w:rsidRDefault="000912E6">
      <w:pPr>
        <w:spacing w:after="100" w:afterAutospacing="1" w:line="240" w:lineRule="auto"/>
        <w:outlineLvl w:val="1"/>
        <w:rPr>
          <w:rFonts w:ascii="Times New Roman" w:eastAsia="Times New Roman" w:hAnsi="Times New Roman" w:cs="Times New Roman"/>
          <w:b/>
          <w:bCs/>
          <w:kern w:val="0"/>
          <w14:ligatures w14:val="none"/>
        </w:rPr>
      </w:pPr>
      <w:r w:rsidRPr="00161DA4">
        <w:rPr>
          <w:rFonts w:ascii="Times New Roman" w:eastAsia="Times New Roman" w:hAnsi="Times New Roman" w:cs="Times New Roman"/>
          <w:b/>
          <w:bCs/>
          <w:kern w:val="0"/>
          <w14:ligatures w14:val="none"/>
        </w:rPr>
        <w:t xml:space="preserve">Institutional Profiles </w:t>
      </w:r>
    </w:p>
    <w:p w14:paraId="605A1785" w14:textId="77777777" w:rsidR="00232E1D" w:rsidRPr="00161DA4" w:rsidRDefault="000912E6">
      <w:pPr>
        <w:spacing w:after="100" w:afterAutospacing="1" w:line="240" w:lineRule="auto"/>
        <w:outlineLvl w:val="1"/>
        <w:rPr>
          <w:rFonts w:ascii="Times New Roman" w:eastAsia="Times New Roman" w:hAnsi="Times New Roman" w:cs="Times New Roman"/>
          <w:b/>
          <w:bCs/>
          <w:kern w:val="0"/>
          <w14:ligatures w14:val="none"/>
        </w:rPr>
      </w:pPr>
      <w:r w:rsidRPr="00161DA4">
        <w:rPr>
          <w:rFonts w:ascii="Times New Roman" w:eastAsia="Times New Roman" w:hAnsi="Times New Roman" w:cs="Times New Roman"/>
          <w:b/>
          <w:bCs/>
          <w:kern w:val="0"/>
          <w14:ligatures w14:val="none"/>
        </w:rPr>
        <w:t xml:space="preserve">Table 2-DGH </w:t>
      </w:r>
      <w:proofErr w:type="spellStart"/>
      <w:r w:rsidRPr="00161DA4">
        <w:rPr>
          <w:rFonts w:ascii="Times New Roman" w:eastAsia="Times New Roman" w:hAnsi="Times New Roman" w:cs="Times New Roman"/>
          <w:b/>
          <w:bCs/>
          <w:kern w:val="0"/>
          <w14:ligatures w14:val="none"/>
        </w:rPr>
        <w:t>Avissawella</w:t>
      </w:r>
      <w:proofErr w:type="spellEnd"/>
      <w:r w:rsidRPr="00161DA4">
        <w:rPr>
          <w:rFonts w:ascii="Times New Roman" w:eastAsia="Times New Roman" w:hAnsi="Times New Roman" w:cs="Times New Roman"/>
          <w:b/>
          <w:bCs/>
          <w:kern w:val="0"/>
          <w14:ligatures w14:val="none"/>
        </w:rPr>
        <w:t xml:space="preserve"> HLC Screening Profile (2024)</w:t>
      </w:r>
    </w:p>
    <w:p w14:paraId="7B4534E9" w14:textId="77777777" w:rsidR="00232E1D" w:rsidRPr="00161DA4" w:rsidRDefault="000912E6">
      <w:pPr>
        <w:spacing w:after="100" w:afterAutospacing="1" w:line="240" w:lineRule="auto"/>
        <w:outlineLvl w:val="2"/>
        <w:rPr>
          <w:rFonts w:ascii="Times New Roman" w:eastAsia="Times New Roman" w:hAnsi="Times New Roman" w:cs="Times New Roman"/>
          <w:b/>
          <w:bCs/>
          <w:kern w:val="0"/>
          <w14:ligatures w14:val="none"/>
        </w:rPr>
      </w:pPr>
      <w:r w:rsidRPr="00161DA4">
        <w:rPr>
          <w:rFonts w:ascii="Times New Roman" w:eastAsia="Times New Roman" w:hAnsi="Times New Roman" w:cs="Times New Roman"/>
          <w:b/>
          <w:bCs/>
          <w:kern w:val="0"/>
          <w14:ligatures w14:val="none"/>
        </w:rPr>
        <w:t>Data Summary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2"/>
        <w:gridCol w:w="2699"/>
        <w:gridCol w:w="1264"/>
        <w:gridCol w:w="3019"/>
      </w:tblGrid>
      <w:tr w:rsidR="00232E1D" w:rsidRPr="00161DA4" w14:paraId="59572210"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90BC88E"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419B771"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99F4B4F"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F18E6B2"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Percentage/Prevalence (%)</w:t>
            </w:r>
          </w:p>
        </w:tc>
      </w:tr>
      <w:tr w:rsidR="00232E1D" w:rsidRPr="00161DA4" w14:paraId="4390CE4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EC2B320"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E5EC15F"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42D1EF8"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388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209F88C"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100%</w:t>
            </w:r>
          </w:p>
        </w:tc>
      </w:tr>
      <w:tr w:rsidR="00232E1D" w:rsidRPr="00161DA4" w14:paraId="5AD66EB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5465535"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63F9CCF"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 xml:space="preserve">High Blood Pressure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16F80C6"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81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DAC0206"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20.88%</w:t>
            </w:r>
          </w:p>
        </w:tc>
      </w:tr>
      <w:tr w:rsidR="00232E1D" w:rsidRPr="00161DA4" w14:paraId="5427F48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F61D704" w14:textId="77777777" w:rsidR="00232E1D" w:rsidRPr="00161DA4" w:rsidRDefault="00232E1D">
            <w:pPr>
              <w:spacing w:after="0" w:line="240" w:lineRule="auto"/>
              <w:rPr>
                <w:rFonts w:ascii="Times New Roman" w:eastAsia="Times New Roman" w:hAnsi="Times New Roman" w:cs="Times New Roman"/>
                <w:kern w:val="0"/>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7829650"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 xml:space="preserve">Obesity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7CD373C"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39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6CCA6CD"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10.05%</w:t>
            </w:r>
          </w:p>
        </w:tc>
      </w:tr>
      <w:tr w:rsidR="00232E1D" w:rsidRPr="00161DA4" w14:paraId="313BEFC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BDD4BD2"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3B26A2B"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E9FB3E9"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119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FC5C5A4"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30.67%</w:t>
            </w:r>
          </w:p>
        </w:tc>
      </w:tr>
      <w:tr w:rsidR="00232E1D" w:rsidRPr="00161DA4" w14:paraId="72921B4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36B99C2" w14:textId="77777777" w:rsidR="00232E1D" w:rsidRPr="005919A4" w:rsidRDefault="00232E1D">
            <w:pPr>
              <w:spacing w:after="0" w:line="240" w:lineRule="auto"/>
              <w:rPr>
                <w:rFonts w:ascii="Times New Roman" w:eastAsia="Times New Roman" w:hAnsi="Times New Roman" w:cs="Times New Roman"/>
                <w:kern w:val="0"/>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1F6A535"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E2CB426"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4080419"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21.65%</w:t>
            </w:r>
          </w:p>
        </w:tc>
      </w:tr>
      <w:tr w:rsidR="00232E1D" w:rsidRPr="00161DA4" w14:paraId="3B16911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A2E72A6" w14:textId="77777777" w:rsidR="00232E1D" w:rsidRPr="005919A4" w:rsidRDefault="00232E1D">
            <w:pPr>
              <w:spacing w:after="0" w:line="240" w:lineRule="auto"/>
              <w:rPr>
                <w:rFonts w:ascii="Times New Roman" w:eastAsia="Times New Roman" w:hAnsi="Times New Roman" w:cs="Times New Roman"/>
                <w:kern w:val="0"/>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2F13920"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B294CE7"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76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A781050"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19.59%</w:t>
            </w:r>
          </w:p>
        </w:tc>
      </w:tr>
    </w:tbl>
    <w:p w14:paraId="6BC94339" w14:textId="77777777" w:rsidR="00232E1D" w:rsidRPr="00161DA4" w:rsidRDefault="00232E1D">
      <w:pPr>
        <w:spacing w:line="360" w:lineRule="auto"/>
        <w:jc w:val="both"/>
        <w:rPr>
          <w:rFonts w:ascii="Times New Roman" w:hAnsi="Times New Roman" w:cs="Times New Roman"/>
          <w:b/>
          <w:bCs/>
          <w:sz w:val="28"/>
          <w:szCs w:val="28"/>
        </w:rPr>
      </w:pPr>
    </w:p>
    <w:p w14:paraId="2324C510" w14:textId="77777777" w:rsidR="00232E1D" w:rsidRPr="00161DA4" w:rsidRDefault="00232E1D">
      <w:pPr>
        <w:spacing w:line="360" w:lineRule="auto"/>
        <w:jc w:val="both"/>
        <w:rPr>
          <w:rFonts w:ascii="Times New Roman" w:hAnsi="Times New Roman" w:cs="Times New Roman"/>
          <w:b/>
          <w:bCs/>
          <w:sz w:val="28"/>
          <w:szCs w:val="28"/>
        </w:rPr>
      </w:pPr>
    </w:p>
    <w:p w14:paraId="54A8CB41" w14:textId="77777777" w:rsidR="00232E1D" w:rsidRPr="00161DA4" w:rsidRDefault="000912E6">
      <w:pPr>
        <w:spacing w:line="360" w:lineRule="auto"/>
        <w:jc w:val="both"/>
        <w:rPr>
          <w:rFonts w:ascii="Times New Roman" w:hAnsi="Times New Roman" w:cs="Times New Roman"/>
          <w:b/>
          <w:bCs/>
        </w:rPr>
      </w:pPr>
      <w:r w:rsidRPr="00161DA4">
        <w:rPr>
          <w:rFonts w:ascii="Times New Roman" w:hAnsi="Times New Roman" w:cs="Times New Roman"/>
          <w:b/>
          <w:bCs/>
        </w:rPr>
        <w:lastRenderedPageBreak/>
        <w:t xml:space="preserve">Table 3-Base Hospital </w:t>
      </w:r>
      <w:proofErr w:type="spellStart"/>
      <w:r w:rsidRPr="00161DA4">
        <w:rPr>
          <w:rFonts w:ascii="Times New Roman" w:hAnsi="Times New Roman" w:cs="Times New Roman"/>
          <w:b/>
          <w:bCs/>
        </w:rPr>
        <w:t>Homagama</w:t>
      </w:r>
      <w:proofErr w:type="spellEnd"/>
      <w:r w:rsidRPr="00161DA4">
        <w:rPr>
          <w:rFonts w:ascii="Times New Roman" w:hAnsi="Times New Roman" w:cs="Times New Roman"/>
          <w:b/>
          <w:bC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99"/>
        <w:gridCol w:w="1266"/>
        <w:gridCol w:w="3012"/>
      </w:tblGrid>
      <w:tr w:rsidR="00232E1D" w:rsidRPr="00161DA4" w14:paraId="129EF259"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A8A71A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C36E2D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0AA384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D3D457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Percentage/Prevalence (%)</w:t>
            </w:r>
          </w:p>
        </w:tc>
      </w:tr>
      <w:tr w:rsidR="00232E1D" w:rsidRPr="00161DA4" w14:paraId="11A65BE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6C40D6E"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A4431A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531440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1,244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E0ADBF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r>
      <w:tr w:rsidR="00232E1D" w:rsidRPr="00161DA4" w14:paraId="5857735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62011A5"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751BC4A"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5B1121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50FC07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19.45%</w:t>
            </w:r>
          </w:p>
        </w:tc>
      </w:tr>
      <w:tr w:rsidR="00232E1D" w:rsidRPr="00161DA4" w14:paraId="0ADFE65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DF0AFD7" w14:textId="77777777" w:rsidR="00232E1D" w:rsidRPr="005919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5969FC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E7C528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2762E6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13.50%</w:t>
            </w:r>
          </w:p>
        </w:tc>
      </w:tr>
      <w:tr w:rsidR="00232E1D" w:rsidRPr="00161DA4" w14:paraId="1CCCFD3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A9449CF"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5E06F7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E22158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304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C9FE2C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24.44%</w:t>
            </w:r>
          </w:p>
        </w:tc>
      </w:tr>
      <w:tr w:rsidR="00232E1D" w:rsidRPr="00161DA4" w14:paraId="165A295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F1BBF22"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680817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AF3DE3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89FD27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9.00%</w:t>
            </w:r>
          </w:p>
        </w:tc>
      </w:tr>
      <w:tr w:rsidR="00232E1D" w:rsidRPr="00161DA4" w14:paraId="1F0D127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BF025ED"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6EBC79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E54EB8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129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ADCAE0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10.37%</w:t>
            </w:r>
          </w:p>
        </w:tc>
      </w:tr>
    </w:tbl>
    <w:p w14:paraId="538B3E58" w14:textId="77777777" w:rsidR="00232E1D" w:rsidRPr="00161DA4" w:rsidRDefault="00232E1D">
      <w:pPr>
        <w:spacing w:line="360" w:lineRule="auto"/>
        <w:jc w:val="both"/>
        <w:rPr>
          <w:rFonts w:ascii="Times New Roman" w:hAnsi="Times New Roman" w:cs="Times New Roman"/>
        </w:rPr>
      </w:pPr>
    </w:p>
    <w:p w14:paraId="1FE39641" w14:textId="77777777" w:rsidR="00232E1D" w:rsidRPr="00161DA4" w:rsidRDefault="00232E1D">
      <w:pPr>
        <w:spacing w:line="360" w:lineRule="auto"/>
        <w:jc w:val="both"/>
        <w:rPr>
          <w:rFonts w:ascii="Times New Roman" w:hAnsi="Times New Roman" w:cs="Times New Roman"/>
        </w:rPr>
      </w:pPr>
    </w:p>
    <w:p w14:paraId="42C4DC00" w14:textId="0515991B" w:rsidR="00232E1D" w:rsidRPr="00126438" w:rsidRDefault="000912E6">
      <w:pPr>
        <w:spacing w:line="360" w:lineRule="auto"/>
        <w:jc w:val="both"/>
        <w:rPr>
          <w:rFonts w:ascii="Times New Roman" w:hAnsi="Times New Roman" w:cs="Times New Roman"/>
          <w:b/>
          <w:bCs/>
        </w:rPr>
      </w:pPr>
      <w:r w:rsidRPr="00161DA4">
        <w:rPr>
          <w:rFonts w:ascii="Times New Roman" w:hAnsi="Times New Roman" w:cs="Times New Roman"/>
          <w:b/>
          <w:bCs/>
        </w:rPr>
        <w:t>Table 4-DH Wethara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2"/>
        <w:gridCol w:w="2699"/>
        <w:gridCol w:w="1264"/>
        <w:gridCol w:w="3019"/>
      </w:tblGrid>
      <w:tr w:rsidR="00232E1D" w:rsidRPr="00161DA4" w14:paraId="7D60C924"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538B429"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B64394C"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EF6FF7D"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4B420F3"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b/>
                <w:bCs/>
                <w:kern w:val="0"/>
                <w14:ligatures w14:val="none"/>
              </w:rPr>
              <w:t>Percentage/Prevalence (%)</w:t>
            </w:r>
          </w:p>
        </w:tc>
      </w:tr>
      <w:tr w:rsidR="00232E1D" w:rsidRPr="00161DA4" w14:paraId="78C3B6D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5115322"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4AEE5F2"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4B816EE"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1,925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5549422"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100%</w:t>
            </w:r>
          </w:p>
        </w:tc>
      </w:tr>
      <w:tr w:rsidR="00232E1D" w:rsidRPr="00161DA4" w14:paraId="398A46B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74B2650"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9097F6F"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C6AC441"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197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6F7BFEB"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10.23%</w:t>
            </w:r>
          </w:p>
        </w:tc>
      </w:tr>
      <w:tr w:rsidR="00232E1D" w:rsidRPr="00161DA4" w14:paraId="581C8EC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8C83BCB" w14:textId="77777777" w:rsidR="00232E1D" w:rsidRPr="005919A4" w:rsidRDefault="00232E1D">
            <w:pPr>
              <w:spacing w:after="0" w:line="240" w:lineRule="auto"/>
              <w:rPr>
                <w:rFonts w:ascii="Times New Roman" w:eastAsia="Times New Roman" w:hAnsi="Times New Roman" w:cs="Times New Roman"/>
                <w:kern w:val="0"/>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4AA95A5"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F3B8594"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359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9803FCE"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18.65%</w:t>
            </w:r>
          </w:p>
        </w:tc>
      </w:tr>
      <w:tr w:rsidR="00232E1D" w:rsidRPr="00161DA4" w14:paraId="0A0C2C4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A9EA3C3" w14:textId="77777777" w:rsidR="00232E1D" w:rsidRPr="005919A4" w:rsidRDefault="000912E6">
            <w:pPr>
              <w:spacing w:after="0" w:line="240" w:lineRule="auto"/>
              <w:rPr>
                <w:rFonts w:ascii="Times New Roman" w:eastAsia="Times New Roman" w:hAnsi="Times New Roman" w:cs="Times New Roman"/>
                <w:kern w:val="0"/>
                <w14:ligatures w14:val="none"/>
              </w:rPr>
            </w:pPr>
            <w:r w:rsidRPr="005919A4">
              <w:rPr>
                <w:rFonts w:ascii="Times New Roman" w:eastAsia="Times New Roman" w:hAnsi="Times New Roman" w:cs="Times New Roman"/>
                <w:kern w:val="0"/>
                <w14:ligatures w14:val="none"/>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2FD5B84"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CAC8B1B"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249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2614E79"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12.94%</w:t>
            </w:r>
          </w:p>
        </w:tc>
      </w:tr>
      <w:tr w:rsidR="00232E1D" w:rsidRPr="00161DA4" w14:paraId="6B5C8EB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00AB194" w14:textId="77777777" w:rsidR="00232E1D" w:rsidRPr="00161DA4" w:rsidRDefault="00232E1D">
            <w:pPr>
              <w:spacing w:after="0" w:line="240" w:lineRule="auto"/>
              <w:rPr>
                <w:rFonts w:ascii="Times New Roman" w:eastAsia="Times New Roman" w:hAnsi="Times New Roman" w:cs="Times New Roman"/>
                <w:kern w:val="0"/>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54B26D4"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F1D3F00"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141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006AE62"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7.32%</w:t>
            </w:r>
          </w:p>
        </w:tc>
      </w:tr>
      <w:tr w:rsidR="00232E1D" w:rsidRPr="00161DA4" w14:paraId="5AF84B6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8DCB7C9" w14:textId="77777777" w:rsidR="00232E1D" w:rsidRPr="00161DA4" w:rsidRDefault="00232E1D">
            <w:pPr>
              <w:spacing w:after="0" w:line="240" w:lineRule="auto"/>
              <w:rPr>
                <w:rFonts w:ascii="Times New Roman" w:eastAsia="Times New Roman" w:hAnsi="Times New Roman" w:cs="Times New Roman"/>
                <w:kern w:val="0"/>
                <w14:ligatures w14:val="none"/>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6836CAB"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AEC9D03"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2503B1C" w14:textId="77777777" w:rsidR="00232E1D" w:rsidRPr="00161DA4" w:rsidRDefault="000912E6">
            <w:pPr>
              <w:spacing w:after="0" w:line="240" w:lineRule="auto"/>
              <w:rPr>
                <w:rFonts w:ascii="Times New Roman" w:eastAsia="Times New Roman" w:hAnsi="Times New Roman" w:cs="Times New Roman"/>
                <w:kern w:val="0"/>
                <w14:ligatures w14:val="none"/>
              </w:rPr>
            </w:pPr>
            <w:r w:rsidRPr="00161DA4">
              <w:rPr>
                <w:rFonts w:ascii="Times New Roman" w:eastAsia="Times New Roman" w:hAnsi="Times New Roman" w:cs="Times New Roman"/>
                <w:kern w:val="0"/>
                <w14:ligatures w14:val="none"/>
              </w:rPr>
              <w:t>4.36%</w:t>
            </w:r>
          </w:p>
        </w:tc>
      </w:tr>
    </w:tbl>
    <w:p w14:paraId="0272A5E4" w14:textId="77777777" w:rsidR="00232E1D" w:rsidRPr="00161DA4" w:rsidRDefault="00232E1D">
      <w:pPr>
        <w:spacing w:line="360" w:lineRule="auto"/>
        <w:jc w:val="both"/>
        <w:rPr>
          <w:rFonts w:ascii="Times New Roman" w:hAnsi="Times New Roman" w:cs="Times New Roman"/>
        </w:rPr>
      </w:pPr>
    </w:p>
    <w:p w14:paraId="0352C7AA" w14:textId="77777777" w:rsidR="00232E1D" w:rsidRPr="00161DA4" w:rsidRDefault="00232E1D">
      <w:pPr>
        <w:spacing w:line="360" w:lineRule="auto"/>
        <w:jc w:val="both"/>
        <w:rPr>
          <w:rFonts w:ascii="Times New Roman" w:hAnsi="Times New Roman" w:cs="Times New Roman"/>
        </w:rPr>
      </w:pPr>
    </w:p>
    <w:p w14:paraId="5609CD44" w14:textId="289F4B98" w:rsidR="00232E1D" w:rsidRPr="00126438" w:rsidRDefault="000912E6">
      <w:pPr>
        <w:spacing w:line="360" w:lineRule="auto"/>
        <w:jc w:val="both"/>
        <w:rPr>
          <w:rFonts w:ascii="Times New Roman" w:hAnsi="Times New Roman" w:cs="Times New Roman"/>
          <w:b/>
          <w:bCs/>
        </w:rPr>
      </w:pPr>
      <w:r w:rsidRPr="00161DA4">
        <w:rPr>
          <w:rFonts w:ascii="Times New Roman" w:hAnsi="Times New Roman" w:cs="Times New Roman"/>
          <w:b/>
          <w:bCs/>
        </w:rPr>
        <w:t>Table 5-DH Piliyandala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99"/>
        <w:gridCol w:w="1266"/>
        <w:gridCol w:w="3012"/>
      </w:tblGrid>
      <w:tr w:rsidR="00232E1D" w:rsidRPr="00161DA4" w14:paraId="78282C26"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1148DC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C8EE38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0BB97A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7B57A7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Percentage/Prevalence (%)</w:t>
            </w:r>
          </w:p>
        </w:tc>
      </w:tr>
      <w:tr w:rsidR="00232E1D" w:rsidRPr="00161DA4" w14:paraId="6866C21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832B6D9"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C9D853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20C556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1,536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E35937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r>
      <w:tr w:rsidR="00232E1D" w:rsidRPr="00161DA4" w14:paraId="50B3504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9303356"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92E3B5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DA65A6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238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1E81D2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15.49%</w:t>
            </w:r>
          </w:p>
        </w:tc>
      </w:tr>
      <w:tr w:rsidR="00232E1D" w:rsidRPr="00161DA4" w14:paraId="216D474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A1BE8AC"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BB9D46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315EC3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171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B14362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11.13%</w:t>
            </w:r>
          </w:p>
        </w:tc>
      </w:tr>
      <w:tr w:rsidR="00232E1D" w:rsidRPr="00161DA4" w14:paraId="0B50226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854974E"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03D78B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14D7F4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229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5182BA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14.91%</w:t>
            </w:r>
          </w:p>
        </w:tc>
      </w:tr>
      <w:tr w:rsidR="00232E1D" w:rsidRPr="00161DA4" w14:paraId="3860A6F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C4496BF"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E57E24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C8F61F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3ADAA0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7.81%</w:t>
            </w:r>
          </w:p>
        </w:tc>
      </w:tr>
      <w:tr w:rsidR="00232E1D" w:rsidRPr="00161DA4" w14:paraId="5C11AC4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EF1EBBA"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1ED3FE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5B921D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A52F86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9.38%</w:t>
            </w:r>
          </w:p>
        </w:tc>
      </w:tr>
    </w:tbl>
    <w:p w14:paraId="2D0B775D" w14:textId="77777777" w:rsidR="00232E1D" w:rsidRPr="00161DA4" w:rsidRDefault="00232E1D">
      <w:pPr>
        <w:spacing w:line="360" w:lineRule="auto"/>
        <w:jc w:val="both"/>
        <w:rPr>
          <w:rFonts w:ascii="Times New Roman" w:hAnsi="Times New Roman" w:cs="Times New Roman"/>
        </w:rPr>
      </w:pPr>
    </w:p>
    <w:p w14:paraId="2BEEF484" w14:textId="77777777" w:rsidR="00232E1D" w:rsidRPr="00161DA4" w:rsidRDefault="00232E1D">
      <w:pPr>
        <w:spacing w:line="360" w:lineRule="auto"/>
        <w:jc w:val="both"/>
        <w:rPr>
          <w:rFonts w:ascii="Times New Roman" w:hAnsi="Times New Roman" w:cs="Times New Roman"/>
        </w:rPr>
      </w:pPr>
    </w:p>
    <w:p w14:paraId="09273B9B" w14:textId="77777777" w:rsidR="00232E1D" w:rsidRPr="00161DA4" w:rsidRDefault="000912E6">
      <w:pPr>
        <w:spacing w:line="360" w:lineRule="auto"/>
        <w:jc w:val="both"/>
        <w:rPr>
          <w:rFonts w:ascii="Times New Roman" w:hAnsi="Times New Roman" w:cs="Times New Roman"/>
          <w:b/>
          <w:bCs/>
        </w:rPr>
      </w:pPr>
      <w:r w:rsidRPr="00161DA4">
        <w:rPr>
          <w:rFonts w:ascii="Times New Roman" w:hAnsi="Times New Roman" w:cs="Times New Roman"/>
          <w:b/>
          <w:bCs/>
        </w:rPr>
        <w:t xml:space="preserve">Table 6-DH </w:t>
      </w:r>
      <w:proofErr w:type="spellStart"/>
      <w:r w:rsidRPr="00161DA4">
        <w:rPr>
          <w:rFonts w:ascii="Times New Roman" w:hAnsi="Times New Roman" w:cs="Times New Roman"/>
          <w:b/>
          <w:bCs/>
        </w:rPr>
        <w:t>Thalangama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99"/>
        <w:gridCol w:w="1266"/>
        <w:gridCol w:w="3012"/>
      </w:tblGrid>
      <w:tr w:rsidR="00232E1D" w:rsidRPr="00161DA4" w14:paraId="329F1ABD"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126600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83DF72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C3E94F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7E68C4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Percentage/Prevalence (%)</w:t>
            </w:r>
          </w:p>
        </w:tc>
      </w:tr>
      <w:tr w:rsidR="00232E1D" w:rsidRPr="00161DA4" w14:paraId="67A5962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CD193F0"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F25186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D262CCA"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558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C91278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r>
      <w:tr w:rsidR="00232E1D" w:rsidRPr="00161DA4" w14:paraId="3346C8E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67ED7D8"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B2B6CB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BF6438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135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18981D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24.19%</w:t>
            </w:r>
          </w:p>
        </w:tc>
      </w:tr>
      <w:tr w:rsidR="00232E1D" w:rsidRPr="00161DA4" w14:paraId="1D101EA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D954D49" w14:textId="77777777" w:rsidR="00232E1D" w:rsidRPr="005919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3C2B26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F43CF5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77560D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7.53%</w:t>
            </w:r>
          </w:p>
        </w:tc>
      </w:tr>
      <w:tr w:rsidR="00232E1D" w:rsidRPr="00161DA4" w14:paraId="15BCA5E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E748F4A"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8A9BA3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259898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FFDC6B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18.46%</w:t>
            </w:r>
          </w:p>
        </w:tc>
      </w:tr>
      <w:tr w:rsidR="00232E1D" w:rsidRPr="00161DA4" w14:paraId="340693F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1349550"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950D91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DA5BFB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64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AB9C6A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11.47%</w:t>
            </w:r>
          </w:p>
        </w:tc>
      </w:tr>
      <w:tr w:rsidR="00232E1D" w:rsidRPr="00161DA4" w14:paraId="05B27D6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B6827E6"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5CF9E5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8FA25C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94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F8829A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16.85%</w:t>
            </w:r>
          </w:p>
        </w:tc>
      </w:tr>
    </w:tbl>
    <w:p w14:paraId="2B829A50" w14:textId="77777777" w:rsidR="00232E1D" w:rsidRPr="00161DA4" w:rsidRDefault="00232E1D">
      <w:pPr>
        <w:spacing w:line="360" w:lineRule="auto"/>
        <w:jc w:val="both"/>
        <w:rPr>
          <w:rFonts w:ascii="Times New Roman" w:hAnsi="Times New Roman" w:cs="Times New Roman"/>
        </w:rPr>
      </w:pPr>
    </w:p>
    <w:p w14:paraId="4C66AF20" w14:textId="77777777" w:rsidR="00232E1D" w:rsidRPr="00161DA4" w:rsidRDefault="000912E6">
      <w:pPr>
        <w:spacing w:line="360" w:lineRule="auto"/>
        <w:jc w:val="both"/>
        <w:rPr>
          <w:rFonts w:ascii="Times New Roman" w:hAnsi="Times New Roman" w:cs="Times New Roman"/>
          <w:b/>
          <w:bCs/>
        </w:rPr>
      </w:pPr>
      <w:r w:rsidRPr="00161DA4">
        <w:rPr>
          <w:rFonts w:ascii="Times New Roman" w:hAnsi="Times New Roman" w:cs="Times New Roman"/>
          <w:b/>
          <w:bCs/>
        </w:rPr>
        <w:t xml:space="preserve">Table 7-DH </w:t>
      </w:r>
      <w:proofErr w:type="spellStart"/>
      <w:r w:rsidRPr="00161DA4">
        <w:rPr>
          <w:rFonts w:ascii="Times New Roman" w:hAnsi="Times New Roman" w:cs="Times New Roman"/>
          <w:b/>
          <w:bCs/>
        </w:rPr>
        <w:t>Nawagamuwa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99"/>
        <w:gridCol w:w="1266"/>
        <w:gridCol w:w="3012"/>
      </w:tblGrid>
      <w:tr w:rsidR="00232E1D" w:rsidRPr="00161DA4" w14:paraId="7EA5AF0A"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A59441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lastRenderedPageBreak/>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D958AD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CFCDA5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B51DD5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Percentage/Prevalence (%)</w:t>
            </w:r>
          </w:p>
        </w:tc>
      </w:tr>
      <w:tr w:rsidR="00232E1D" w:rsidRPr="00161DA4" w14:paraId="03F3ACA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53921AC"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BCD93E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8AF1B1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643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0B03BD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r>
      <w:tr w:rsidR="00232E1D" w:rsidRPr="00161DA4" w14:paraId="6CBDF64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63423F8"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954AC2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05C501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188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078937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29.24%</w:t>
            </w:r>
          </w:p>
        </w:tc>
      </w:tr>
      <w:tr w:rsidR="00232E1D" w:rsidRPr="00161DA4" w14:paraId="51016BB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E9EB90B" w14:textId="77777777" w:rsidR="00232E1D" w:rsidRPr="005919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A2DC98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998A3B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FCDB0B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15.55%</w:t>
            </w:r>
          </w:p>
        </w:tc>
      </w:tr>
      <w:tr w:rsidR="00232E1D" w:rsidRPr="00161DA4" w14:paraId="21EBCF3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E8F3D41"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82DA94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AC4BBC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8647BB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19.60%</w:t>
            </w:r>
          </w:p>
        </w:tc>
      </w:tr>
      <w:tr w:rsidR="00232E1D" w:rsidRPr="00161DA4" w14:paraId="37ABB7B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E792461"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8758E4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0E123E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82BE98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18.97%</w:t>
            </w:r>
          </w:p>
        </w:tc>
      </w:tr>
      <w:tr w:rsidR="00232E1D" w:rsidRPr="00161DA4" w14:paraId="29E57A4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1B4AE9E"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B9BBEE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0F6DBF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93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962445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14.46%</w:t>
            </w:r>
          </w:p>
        </w:tc>
      </w:tr>
    </w:tbl>
    <w:p w14:paraId="638FDA9D" w14:textId="77777777" w:rsidR="00232E1D" w:rsidRPr="00161DA4" w:rsidRDefault="00232E1D">
      <w:pPr>
        <w:spacing w:line="360" w:lineRule="auto"/>
        <w:jc w:val="both"/>
        <w:rPr>
          <w:rFonts w:ascii="Times New Roman" w:hAnsi="Times New Roman" w:cs="Times New Roman"/>
        </w:rPr>
      </w:pPr>
    </w:p>
    <w:p w14:paraId="20C2B26C" w14:textId="77777777" w:rsidR="00232E1D" w:rsidRPr="00161DA4" w:rsidRDefault="00232E1D">
      <w:pPr>
        <w:spacing w:line="360" w:lineRule="auto"/>
        <w:jc w:val="both"/>
        <w:rPr>
          <w:rFonts w:ascii="Times New Roman" w:hAnsi="Times New Roman" w:cs="Times New Roman"/>
        </w:rPr>
      </w:pPr>
    </w:p>
    <w:p w14:paraId="68439699" w14:textId="77777777" w:rsidR="00232E1D" w:rsidRPr="00161DA4" w:rsidRDefault="000912E6">
      <w:pPr>
        <w:spacing w:line="360" w:lineRule="auto"/>
        <w:jc w:val="both"/>
        <w:rPr>
          <w:rFonts w:ascii="Times New Roman" w:hAnsi="Times New Roman" w:cs="Times New Roman"/>
          <w:b/>
          <w:bCs/>
        </w:rPr>
      </w:pPr>
      <w:r w:rsidRPr="00161DA4">
        <w:rPr>
          <w:rFonts w:ascii="Times New Roman" w:hAnsi="Times New Roman" w:cs="Times New Roman"/>
          <w:b/>
          <w:bCs/>
        </w:rPr>
        <w:t>Table 8-DH Padukka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99"/>
        <w:gridCol w:w="1266"/>
        <w:gridCol w:w="3012"/>
      </w:tblGrid>
      <w:tr w:rsidR="00232E1D" w:rsidRPr="00161DA4" w14:paraId="2DA96126"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3F562B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7D8FF5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AC885E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9C675F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Percentage/Prevalence (%)</w:t>
            </w:r>
          </w:p>
        </w:tc>
      </w:tr>
      <w:tr w:rsidR="00232E1D" w:rsidRPr="00161DA4" w14:paraId="1B75882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600BA68"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4FC0C2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46C503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1,661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A4D885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r>
      <w:tr w:rsidR="00232E1D" w:rsidRPr="00161DA4" w14:paraId="596C431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6F5A36E"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lastRenderedPageBreak/>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88B633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66A0DE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DA4E18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15.17%</w:t>
            </w:r>
          </w:p>
        </w:tc>
      </w:tr>
      <w:tr w:rsidR="00232E1D" w:rsidRPr="00161DA4" w14:paraId="117A178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955D345" w14:textId="77777777" w:rsidR="00232E1D" w:rsidRPr="005919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C96CDB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05EC28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198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E5A18E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11.92%</w:t>
            </w:r>
          </w:p>
        </w:tc>
      </w:tr>
      <w:tr w:rsidR="00232E1D" w:rsidRPr="00161DA4" w14:paraId="256238D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3E680EC"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CECAB8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E7C88E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A9C9DE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12.34%</w:t>
            </w:r>
          </w:p>
        </w:tc>
      </w:tr>
      <w:tr w:rsidR="00232E1D" w:rsidRPr="00161DA4" w14:paraId="167CBA6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42AE04D"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BEBC82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F6A8CB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231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5A5D8D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13.91%</w:t>
            </w:r>
          </w:p>
        </w:tc>
      </w:tr>
      <w:tr w:rsidR="00232E1D" w:rsidRPr="00161DA4" w14:paraId="52E47AA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A08A6E9"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8F8252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2B5B08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F419B0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7.34%</w:t>
            </w:r>
          </w:p>
        </w:tc>
      </w:tr>
    </w:tbl>
    <w:p w14:paraId="2242848E" w14:textId="77777777" w:rsidR="00232E1D" w:rsidRPr="00161DA4" w:rsidRDefault="00232E1D">
      <w:pPr>
        <w:spacing w:line="360" w:lineRule="auto"/>
        <w:jc w:val="both"/>
        <w:rPr>
          <w:rFonts w:ascii="Times New Roman" w:hAnsi="Times New Roman" w:cs="Times New Roman"/>
          <w:b/>
          <w:bCs/>
          <w:sz w:val="28"/>
          <w:szCs w:val="28"/>
        </w:rPr>
      </w:pPr>
    </w:p>
    <w:p w14:paraId="6CE40949" w14:textId="77777777" w:rsidR="00232E1D" w:rsidRPr="00161DA4" w:rsidRDefault="00232E1D">
      <w:pPr>
        <w:spacing w:line="360" w:lineRule="auto"/>
        <w:jc w:val="both"/>
        <w:rPr>
          <w:rFonts w:ascii="Times New Roman" w:hAnsi="Times New Roman" w:cs="Times New Roman"/>
          <w:b/>
          <w:bCs/>
          <w:sz w:val="28"/>
          <w:szCs w:val="28"/>
        </w:rPr>
      </w:pPr>
    </w:p>
    <w:p w14:paraId="03451D39" w14:textId="77777777" w:rsidR="00232E1D" w:rsidRPr="00161DA4" w:rsidRDefault="000912E6">
      <w:pPr>
        <w:spacing w:line="360" w:lineRule="auto"/>
        <w:jc w:val="both"/>
        <w:rPr>
          <w:rFonts w:ascii="Times New Roman" w:hAnsi="Times New Roman" w:cs="Times New Roman"/>
          <w:b/>
          <w:bCs/>
        </w:rPr>
      </w:pPr>
      <w:r w:rsidRPr="00161DA4">
        <w:rPr>
          <w:rFonts w:ascii="Times New Roman" w:hAnsi="Times New Roman" w:cs="Times New Roman"/>
          <w:b/>
          <w:bCs/>
        </w:rPr>
        <w:t>Table 9-DH Moratuwa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99"/>
        <w:gridCol w:w="1266"/>
        <w:gridCol w:w="3012"/>
      </w:tblGrid>
      <w:tr w:rsidR="00232E1D" w:rsidRPr="00161DA4" w14:paraId="7872134C"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D7ED62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5EB0DE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58074EA"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C11F85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Percentage/Prevalence (%)</w:t>
            </w:r>
          </w:p>
        </w:tc>
      </w:tr>
      <w:tr w:rsidR="00232E1D" w:rsidRPr="00161DA4" w14:paraId="7F5EED4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B5B530E"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98E111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A323A08"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3,580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3E911D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r>
      <w:tr w:rsidR="00232E1D" w:rsidRPr="00161DA4" w14:paraId="4371B84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7C28EA4"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DE72A8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8576E1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D2805C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28.32%</w:t>
            </w:r>
          </w:p>
        </w:tc>
      </w:tr>
      <w:tr w:rsidR="00232E1D" w:rsidRPr="00161DA4" w14:paraId="7C87063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CB806C2" w14:textId="77777777" w:rsidR="00232E1D" w:rsidRPr="005919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AE847C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C1738B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515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1E8D6D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14.39%</w:t>
            </w:r>
          </w:p>
        </w:tc>
      </w:tr>
      <w:tr w:rsidR="00232E1D" w:rsidRPr="00161DA4" w14:paraId="372A08B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3056AF4"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1E4F4D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792EDD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942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ABC5C3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26.31%</w:t>
            </w:r>
          </w:p>
        </w:tc>
      </w:tr>
      <w:tr w:rsidR="00232E1D" w:rsidRPr="00161DA4" w14:paraId="6AF2CF2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29D1571"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F4C7C6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44D218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451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E0D2FE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12.60%</w:t>
            </w:r>
          </w:p>
        </w:tc>
      </w:tr>
      <w:tr w:rsidR="00232E1D" w:rsidRPr="00161DA4" w14:paraId="2D03DD5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00149FC"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C7FFB1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4D1C56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683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E8EF2C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19.08%</w:t>
            </w:r>
          </w:p>
        </w:tc>
      </w:tr>
    </w:tbl>
    <w:p w14:paraId="084FE6F2" w14:textId="77777777" w:rsidR="00232E1D" w:rsidRPr="00161DA4" w:rsidRDefault="00232E1D">
      <w:pPr>
        <w:spacing w:line="360" w:lineRule="auto"/>
        <w:jc w:val="both"/>
        <w:rPr>
          <w:rFonts w:ascii="Times New Roman" w:hAnsi="Times New Roman" w:cs="Times New Roman"/>
        </w:rPr>
      </w:pPr>
    </w:p>
    <w:p w14:paraId="7C5B8131" w14:textId="77777777" w:rsidR="00232E1D" w:rsidRPr="00161DA4" w:rsidRDefault="00232E1D">
      <w:pPr>
        <w:spacing w:line="360" w:lineRule="auto"/>
        <w:jc w:val="both"/>
        <w:rPr>
          <w:rFonts w:ascii="Times New Roman" w:hAnsi="Times New Roman" w:cs="Times New Roman"/>
        </w:rPr>
      </w:pPr>
    </w:p>
    <w:p w14:paraId="5D78263E" w14:textId="77777777" w:rsidR="00232E1D" w:rsidRPr="00161DA4" w:rsidRDefault="000912E6">
      <w:pPr>
        <w:spacing w:line="360" w:lineRule="auto"/>
        <w:jc w:val="both"/>
        <w:rPr>
          <w:rFonts w:ascii="Times New Roman" w:hAnsi="Times New Roman" w:cs="Times New Roman"/>
          <w:b/>
          <w:bCs/>
        </w:rPr>
      </w:pPr>
      <w:r w:rsidRPr="00161DA4">
        <w:rPr>
          <w:rFonts w:ascii="Times New Roman" w:hAnsi="Times New Roman" w:cs="Times New Roman"/>
          <w:b/>
          <w:bCs/>
        </w:rPr>
        <w:t xml:space="preserve">Table 10-DH </w:t>
      </w:r>
      <w:proofErr w:type="spellStart"/>
      <w:r w:rsidRPr="00161DA4">
        <w:rPr>
          <w:rFonts w:ascii="Times New Roman" w:hAnsi="Times New Roman" w:cs="Times New Roman"/>
          <w:b/>
          <w:bCs/>
        </w:rPr>
        <w:t>Maligawatta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99"/>
        <w:gridCol w:w="1266"/>
        <w:gridCol w:w="3012"/>
      </w:tblGrid>
      <w:tr w:rsidR="00232E1D" w:rsidRPr="00161DA4" w14:paraId="4ACFF519"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55FF2A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CED2AF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195287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23DE03A"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Percentage/Prevalence (%)</w:t>
            </w:r>
          </w:p>
        </w:tc>
      </w:tr>
      <w:tr w:rsidR="00232E1D" w:rsidRPr="00161DA4" w14:paraId="20B0CD4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6FAACCE"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9C423D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49EDF9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561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DF5906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r>
      <w:tr w:rsidR="00232E1D" w:rsidRPr="00161DA4" w14:paraId="2BDBE7C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9C0EAAD"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8F7B14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15A01F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50A012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29.95%</w:t>
            </w:r>
          </w:p>
        </w:tc>
      </w:tr>
      <w:tr w:rsidR="00232E1D" w:rsidRPr="00161DA4" w14:paraId="372F4A1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E577B43"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D20752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13A713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93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A1733EA"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16.58%</w:t>
            </w:r>
          </w:p>
        </w:tc>
      </w:tr>
      <w:tr w:rsidR="00232E1D" w:rsidRPr="00161DA4" w14:paraId="1A44EF9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C39082D"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lastRenderedPageBreak/>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2FB815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59CA12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4DFD6E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27.09%</w:t>
            </w:r>
          </w:p>
        </w:tc>
      </w:tr>
      <w:tr w:rsidR="00232E1D" w:rsidRPr="00161DA4" w14:paraId="7080653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1A7E46B"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0F2CD0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DB0CF3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59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30BA33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10.52%</w:t>
            </w:r>
          </w:p>
        </w:tc>
      </w:tr>
      <w:tr w:rsidR="00232E1D" w:rsidRPr="00161DA4" w14:paraId="0A037D5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8B6F334"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D9CD9B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55A55A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5946C1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11.76%</w:t>
            </w:r>
          </w:p>
        </w:tc>
      </w:tr>
    </w:tbl>
    <w:p w14:paraId="42EBEA97" w14:textId="77777777" w:rsidR="00232E1D" w:rsidRPr="00161DA4" w:rsidRDefault="00232E1D">
      <w:pPr>
        <w:spacing w:line="360" w:lineRule="auto"/>
        <w:jc w:val="both"/>
        <w:rPr>
          <w:rFonts w:ascii="Times New Roman" w:hAnsi="Times New Roman" w:cs="Times New Roman"/>
        </w:rPr>
      </w:pPr>
    </w:p>
    <w:p w14:paraId="6F936BFC" w14:textId="77777777" w:rsidR="00232E1D" w:rsidRPr="00161DA4" w:rsidRDefault="000912E6">
      <w:pPr>
        <w:spacing w:line="360" w:lineRule="auto"/>
        <w:jc w:val="both"/>
        <w:rPr>
          <w:rFonts w:ascii="Times New Roman" w:hAnsi="Times New Roman" w:cs="Times New Roman"/>
          <w:b/>
          <w:bCs/>
        </w:rPr>
      </w:pPr>
      <w:r w:rsidRPr="00161DA4">
        <w:rPr>
          <w:rFonts w:ascii="Times New Roman" w:hAnsi="Times New Roman" w:cs="Times New Roman"/>
          <w:b/>
          <w:bCs/>
        </w:rPr>
        <w:t xml:space="preserve">Table 11-DH </w:t>
      </w:r>
      <w:proofErr w:type="spellStart"/>
      <w:r w:rsidRPr="00161DA4">
        <w:rPr>
          <w:rFonts w:ascii="Times New Roman" w:hAnsi="Times New Roman" w:cs="Times New Roman"/>
          <w:b/>
          <w:bCs/>
        </w:rPr>
        <w:t>Kosgama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99"/>
        <w:gridCol w:w="1266"/>
        <w:gridCol w:w="3012"/>
      </w:tblGrid>
      <w:tr w:rsidR="00232E1D" w:rsidRPr="00161DA4" w14:paraId="5DAD25EF"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5A2872E"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728A11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CB8BDBA"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653889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Percentage/Prevalence (%)</w:t>
            </w:r>
          </w:p>
        </w:tc>
      </w:tr>
      <w:tr w:rsidR="00232E1D" w:rsidRPr="00161DA4" w14:paraId="2237062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6952A6C"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38960F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85943D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2,418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38B4DD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r>
      <w:tr w:rsidR="00232E1D" w:rsidRPr="00161DA4" w14:paraId="5F4C205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3F4E5F5"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526BA4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9C4FA3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782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4BF708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32.34%</w:t>
            </w:r>
          </w:p>
        </w:tc>
      </w:tr>
      <w:tr w:rsidR="00232E1D" w:rsidRPr="00161DA4" w14:paraId="1E6A43B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6817FC7" w14:textId="77777777" w:rsidR="00232E1D" w:rsidRPr="005919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10FA46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023A6B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394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2C082E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16.29%</w:t>
            </w:r>
          </w:p>
        </w:tc>
      </w:tr>
      <w:tr w:rsidR="00232E1D" w:rsidRPr="00161DA4" w14:paraId="01BB103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DB38F20"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C86B6D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7200A8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340A30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9.18%</w:t>
            </w:r>
          </w:p>
        </w:tc>
      </w:tr>
      <w:tr w:rsidR="00232E1D" w:rsidRPr="00161DA4" w14:paraId="2BB99BE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069210A"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C252C1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91851D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70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507EA7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2.89%</w:t>
            </w:r>
          </w:p>
        </w:tc>
      </w:tr>
      <w:tr w:rsidR="00232E1D" w:rsidRPr="00161DA4" w14:paraId="41DE5BB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A9F0F97"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325D47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D53E2E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635327B"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6.20%</w:t>
            </w:r>
          </w:p>
        </w:tc>
      </w:tr>
    </w:tbl>
    <w:p w14:paraId="0A7277AC" w14:textId="77777777" w:rsidR="00232E1D" w:rsidRPr="00161DA4" w:rsidRDefault="00232E1D">
      <w:pPr>
        <w:spacing w:line="360" w:lineRule="auto"/>
        <w:jc w:val="both"/>
        <w:rPr>
          <w:rFonts w:ascii="Times New Roman" w:hAnsi="Times New Roman" w:cs="Times New Roman"/>
        </w:rPr>
      </w:pPr>
    </w:p>
    <w:p w14:paraId="6465A752" w14:textId="77777777" w:rsidR="00232E1D" w:rsidRPr="00161DA4" w:rsidRDefault="00232E1D">
      <w:pPr>
        <w:spacing w:line="360" w:lineRule="auto"/>
        <w:jc w:val="both"/>
        <w:rPr>
          <w:rFonts w:ascii="Times New Roman" w:hAnsi="Times New Roman" w:cs="Times New Roman"/>
          <w:b/>
          <w:bCs/>
        </w:rPr>
      </w:pPr>
    </w:p>
    <w:p w14:paraId="2AD0EA94" w14:textId="77777777" w:rsidR="00232E1D" w:rsidRPr="00161DA4" w:rsidRDefault="000912E6">
      <w:pPr>
        <w:spacing w:line="360" w:lineRule="auto"/>
        <w:jc w:val="both"/>
        <w:rPr>
          <w:rFonts w:ascii="Times New Roman" w:hAnsi="Times New Roman" w:cs="Times New Roman"/>
          <w:b/>
          <w:bCs/>
        </w:rPr>
      </w:pPr>
      <w:r w:rsidRPr="00161DA4">
        <w:rPr>
          <w:rFonts w:ascii="Times New Roman" w:hAnsi="Times New Roman" w:cs="Times New Roman"/>
          <w:b/>
          <w:bCs/>
        </w:rPr>
        <w:t>Table 12-DH Athurugiriya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7"/>
        <w:gridCol w:w="2699"/>
        <w:gridCol w:w="1266"/>
        <w:gridCol w:w="3012"/>
      </w:tblGrid>
      <w:tr w:rsidR="00232E1D" w:rsidRPr="00161DA4" w14:paraId="27D6F829"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BC3F7E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Metric Type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80AEF8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Clinical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692E86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CE993C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b/>
                <w:bCs/>
              </w:rPr>
              <w:t>Percentage/Prevalence (%)</w:t>
            </w:r>
          </w:p>
        </w:tc>
      </w:tr>
      <w:tr w:rsidR="00232E1D" w:rsidRPr="00161DA4" w14:paraId="6801385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CFAFFA7"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Denominator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42EA3C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Total Eligible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C4ECC4F"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725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600CE91"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100%</w:t>
            </w:r>
          </w:p>
        </w:tc>
      </w:tr>
      <w:tr w:rsidR="00232E1D" w:rsidRPr="00161DA4" w14:paraId="1EFF25A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1DA3247"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Metabolic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AC77FC4"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27D885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4E3B763"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6.62%</w:t>
            </w:r>
          </w:p>
        </w:tc>
      </w:tr>
      <w:tr w:rsidR="00232E1D" w:rsidRPr="00161DA4" w14:paraId="5579D52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D539B6F" w14:textId="77777777" w:rsidR="00232E1D" w:rsidRPr="005919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B7EB429"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Obesity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6D263A2"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87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045166A"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12.00%</w:t>
            </w:r>
          </w:p>
        </w:tc>
      </w:tr>
      <w:tr w:rsidR="00232E1D" w:rsidRPr="00161DA4" w14:paraId="646665F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DF3CBB5" w14:textId="77777777" w:rsidR="00232E1D" w:rsidRPr="005919A4" w:rsidRDefault="000912E6">
            <w:pPr>
              <w:spacing w:line="360" w:lineRule="auto"/>
              <w:jc w:val="both"/>
              <w:rPr>
                <w:rFonts w:ascii="Times New Roman" w:hAnsi="Times New Roman" w:cs="Times New Roman"/>
              </w:rPr>
            </w:pPr>
            <w:r w:rsidRPr="005919A4">
              <w:rPr>
                <w:rFonts w:ascii="Times New Roman" w:hAnsi="Times New Roman" w:cs="Times New Roman"/>
              </w:rPr>
              <w:t>Behavioral Risk Markers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CDAA69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Alcohol Consumption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B368FED"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77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73C6E75"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10.62%</w:t>
            </w:r>
          </w:p>
        </w:tc>
      </w:tr>
      <w:tr w:rsidR="00232E1D" w:rsidRPr="00161DA4" w14:paraId="5C20C6F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763222E"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12309F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Betel Chewing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841241C"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62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61343E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8.55%</w:t>
            </w:r>
          </w:p>
        </w:tc>
      </w:tr>
      <w:tr w:rsidR="00232E1D" w:rsidRPr="00161DA4" w14:paraId="0310537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07DC7AC" w14:textId="77777777" w:rsidR="00232E1D" w:rsidRPr="00161DA4" w:rsidRDefault="00232E1D">
            <w:pPr>
              <w:spacing w:line="360" w:lineRule="auto"/>
              <w:jc w:val="both"/>
              <w:rPr>
                <w:rFonts w:ascii="Times New Roman" w:hAnsi="Times New Roman" w:cs="Times New Roman"/>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461F870"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Tobacco Smoking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D84AA57"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37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587BAA6" w14:textId="77777777" w:rsidR="00232E1D" w:rsidRPr="00161DA4" w:rsidRDefault="000912E6">
            <w:pPr>
              <w:spacing w:line="360" w:lineRule="auto"/>
              <w:jc w:val="both"/>
              <w:rPr>
                <w:rFonts w:ascii="Times New Roman" w:hAnsi="Times New Roman" w:cs="Times New Roman"/>
              </w:rPr>
            </w:pPr>
            <w:r w:rsidRPr="00161DA4">
              <w:rPr>
                <w:rFonts w:ascii="Times New Roman" w:hAnsi="Times New Roman" w:cs="Times New Roman"/>
              </w:rPr>
              <w:t>5.10%</w:t>
            </w:r>
          </w:p>
        </w:tc>
      </w:tr>
    </w:tbl>
    <w:p w14:paraId="245FAC71" w14:textId="77777777" w:rsidR="00232E1D" w:rsidRDefault="00232E1D">
      <w:pPr>
        <w:spacing w:line="360" w:lineRule="auto"/>
        <w:jc w:val="both"/>
        <w:rPr>
          <w:rFonts w:ascii="Times New Roman" w:hAnsi="Times New Roman" w:cs="Times New Roman"/>
        </w:rPr>
      </w:pPr>
    </w:p>
    <w:p w14:paraId="53065FC5" w14:textId="77777777" w:rsidR="00F413E2" w:rsidRDefault="00F413E2">
      <w:pPr>
        <w:spacing w:line="360" w:lineRule="auto"/>
        <w:jc w:val="both"/>
        <w:rPr>
          <w:rFonts w:ascii="Times New Roman" w:hAnsi="Times New Roman" w:cs="Times New Roman"/>
        </w:rPr>
      </w:pPr>
    </w:p>
    <w:p w14:paraId="05673037" w14:textId="77777777" w:rsidR="00232E1D" w:rsidRDefault="000912E6">
      <w:pPr>
        <w:spacing w:line="360" w:lineRule="auto"/>
        <w:jc w:val="both"/>
        <w:rPr>
          <w:rFonts w:ascii="Times New Roman" w:hAnsi="Times New Roman" w:cs="Times New Roman"/>
        </w:rPr>
      </w:pPr>
      <w:r>
        <w:rPr>
          <w:rFonts w:ascii="Times New Roman" w:hAnsi="Times New Roman" w:cs="Times New Roman"/>
        </w:rPr>
        <w:lastRenderedPageBreak/>
        <w:t xml:space="preserve">Graph 1- prevalence of tobacco smoking </w:t>
      </w:r>
    </w:p>
    <w:p w14:paraId="35991429" w14:textId="4D0B9D52" w:rsidR="00232E1D" w:rsidRDefault="000912E6" w:rsidP="00515A2C">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36F75C6A" wp14:editId="43272C2D">
            <wp:extent cx="6292014" cy="3175000"/>
            <wp:effectExtent l="0" t="0" r="0" b="6350"/>
            <wp:docPr id="810594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94426"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328267" cy="3193293"/>
                    </a:xfrm>
                    <a:prstGeom prst="rect">
                      <a:avLst/>
                    </a:prstGeom>
                    <a:noFill/>
                  </pic:spPr>
                </pic:pic>
              </a:graphicData>
            </a:graphic>
          </wp:inline>
        </w:drawing>
      </w:r>
    </w:p>
    <w:p w14:paraId="4CA730C0" w14:textId="77777777" w:rsidR="00232E1D" w:rsidRDefault="000912E6">
      <w:pPr>
        <w:spacing w:line="360" w:lineRule="auto"/>
        <w:jc w:val="both"/>
        <w:rPr>
          <w:rFonts w:ascii="Times New Roman" w:hAnsi="Times New Roman" w:cs="Times New Roman"/>
        </w:rPr>
      </w:pPr>
      <w:r>
        <w:rPr>
          <w:rFonts w:ascii="Times New Roman" w:hAnsi="Times New Roman" w:cs="Times New Roman"/>
        </w:rPr>
        <w:t>Graph 2- prevalence of betel chewing</w:t>
      </w:r>
    </w:p>
    <w:p w14:paraId="7A90457A" w14:textId="77777777" w:rsidR="00F413E2" w:rsidRDefault="00F413E2">
      <w:pPr>
        <w:spacing w:line="360" w:lineRule="auto"/>
        <w:jc w:val="both"/>
        <w:rPr>
          <w:rFonts w:ascii="Times New Roman" w:hAnsi="Times New Roman" w:cs="Times New Roman"/>
          <w:noProof/>
        </w:rPr>
      </w:pPr>
    </w:p>
    <w:p w14:paraId="45061702" w14:textId="144A1EE7" w:rsidR="00232E1D" w:rsidRDefault="000912E6">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21202C54" wp14:editId="3BD08812">
            <wp:extent cx="6148436" cy="3422650"/>
            <wp:effectExtent l="0" t="0" r="5080" b="6350"/>
            <wp:docPr id="1041067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67995"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92545" cy="3447204"/>
                    </a:xfrm>
                    <a:prstGeom prst="rect">
                      <a:avLst/>
                    </a:prstGeom>
                    <a:noFill/>
                  </pic:spPr>
                </pic:pic>
              </a:graphicData>
            </a:graphic>
          </wp:inline>
        </w:drawing>
      </w:r>
    </w:p>
    <w:p w14:paraId="1DEEC9FA" w14:textId="77777777" w:rsidR="00515A2C" w:rsidRDefault="00515A2C">
      <w:pPr>
        <w:spacing w:line="360" w:lineRule="auto"/>
        <w:jc w:val="both"/>
        <w:rPr>
          <w:rFonts w:ascii="Times New Roman" w:hAnsi="Times New Roman" w:cs="Times New Roman"/>
        </w:rPr>
      </w:pPr>
    </w:p>
    <w:p w14:paraId="15AD78BA" w14:textId="4A00DB6D" w:rsidR="00232E1D" w:rsidRDefault="000912E6">
      <w:pPr>
        <w:spacing w:line="360" w:lineRule="auto"/>
        <w:jc w:val="both"/>
        <w:rPr>
          <w:rFonts w:ascii="Times New Roman" w:hAnsi="Times New Roman" w:cs="Times New Roman"/>
        </w:rPr>
      </w:pPr>
      <w:r>
        <w:rPr>
          <w:rFonts w:ascii="Times New Roman" w:hAnsi="Times New Roman" w:cs="Times New Roman"/>
        </w:rPr>
        <w:t>Graph 3- prevalence of alcohol consumption</w:t>
      </w:r>
    </w:p>
    <w:p w14:paraId="3AFD389C" w14:textId="77777777" w:rsidR="00232E1D" w:rsidRDefault="000912E6">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4DEAF0EF" wp14:editId="4929D08C">
            <wp:extent cx="5897880" cy="2948940"/>
            <wp:effectExtent l="0" t="0" r="7620" b="3810"/>
            <wp:docPr id="19434100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10092"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97880" cy="2948940"/>
                    </a:xfrm>
                    <a:prstGeom prst="rect">
                      <a:avLst/>
                    </a:prstGeom>
                    <a:noFill/>
                  </pic:spPr>
                </pic:pic>
              </a:graphicData>
            </a:graphic>
          </wp:inline>
        </w:drawing>
      </w:r>
    </w:p>
    <w:p w14:paraId="19D10DAA" w14:textId="77777777" w:rsidR="00633F91" w:rsidRDefault="00633F91">
      <w:pPr>
        <w:spacing w:line="360" w:lineRule="auto"/>
        <w:jc w:val="both"/>
        <w:rPr>
          <w:rFonts w:ascii="Times New Roman" w:hAnsi="Times New Roman" w:cs="Times New Roman"/>
        </w:rPr>
      </w:pPr>
    </w:p>
    <w:p w14:paraId="1F7185A0" w14:textId="6E60FCD9" w:rsidR="00232E1D" w:rsidRDefault="000912E6">
      <w:pPr>
        <w:spacing w:line="360" w:lineRule="auto"/>
        <w:jc w:val="both"/>
        <w:rPr>
          <w:rFonts w:ascii="Times New Roman" w:hAnsi="Times New Roman" w:cs="Times New Roman"/>
        </w:rPr>
      </w:pPr>
      <w:r>
        <w:rPr>
          <w:rFonts w:ascii="Times New Roman" w:hAnsi="Times New Roman" w:cs="Times New Roman"/>
        </w:rPr>
        <w:t>Graph 4- prevalence of obesity</w:t>
      </w:r>
    </w:p>
    <w:p w14:paraId="61201381" w14:textId="77777777" w:rsidR="00232E1D" w:rsidRDefault="000912E6">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4326EE3" wp14:editId="7DD4E71B">
            <wp:extent cx="5928360" cy="2964180"/>
            <wp:effectExtent l="0" t="0" r="0" b="7620"/>
            <wp:docPr id="1806029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29867"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928360" cy="2964180"/>
                    </a:xfrm>
                    <a:prstGeom prst="rect">
                      <a:avLst/>
                    </a:prstGeom>
                    <a:noFill/>
                  </pic:spPr>
                </pic:pic>
              </a:graphicData>
            </a:graphic>
          </wp:inline>
        </w:drawing>
      </w:r>
    </w:p>
    <w:p w14:paraId="430790C8" w14:textId="77777777" w:rsidR="00F413E2" w:rsidRDefault="00F413E2">
      <w:pPr>
        <w:rPr>
          <w:rFonts w:ascii="Times New Roman" w:hAnsi="Times New Roman" w:cs="Times New Roman"/>
        </w:rPr>
      </w:pPr>
    </w:p>
    <w:p w14:paraId="2699278A" w14:textId="22D6B317" w:rsidR="00232E1D" w:rsidRDefault="000912E6">
      <w:pPr>
        <w:rPr>
          <w:rFonts w:ascii="Times New Roman" w:hAnsi="Times New Roman" w:cs="Times New Roman"/>
        </w:rPr>
      </w:pPr>
      <w:r>
        <w:rPr>
          <w:rFonts w:ascii="Times New Roman" w:hAnsi="Times New Roman" w:cs="Times New Roman"/>
        </w:rPr>
        <w:lastRenderedPageBreak/>
        <w:t>Graph 5 – prevalence of high blood pressure</w:t>
      </w:r>
    </w:p>
    <w:p w14:paraId="63CEED2E" w14:textId="77777777" w:rsidR="00232E1D" w:rsidRDefault="00232E1D">
      <w:pPr>
        <w:rPr>
          <w:rFonts w:ascii="Times New Roman" w:hAnsi="Times New Roman" w:cs="Times New Roman"/>
        </w:rPr>
      </w:pPr>
    </w:p>
    <w:p w14:paraId="146DD861" w14:textId="77777777" w:rsidR="00232E1D" w:rsidRDefault="000912E6">
      <w:pPr>
        <w:ind w:firstLine="90"/>
        <w:rPr>
          <w:rFonts w:ascii="Times New Roman" w:hAnsi="Times New Roman" w:cs="Times New Roman"/>
        </w:rPr>
      </w:pPr>
      <w:r>
        <w:rPr>
          <w:rFonts w:ascii="Times New Roman" w:hAnsi="Times New Roman" w:cs="Times New Roman"/>
          <w:noProof/>
        </w:rPr>
        <w:drawing>
          <wp:inline distT="0" distB="0" distL="0" distR="0" wp14:anchorId="6BB3058B" wp14:editId="4DE8A6BF">
            <wp:extent cx="5608320" cy="2804160"/>
            <wp:effectExtent l="0" t="0" r="0" b="0"/>
            <wp:docPr id="5279560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56099"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608320" cy="2804160"/>
                    </a:xfrm>
                    <a:prstGeom prst="rect">
                      <a:avLst/>
                    </a:prstGeom>
                    <a:noFill/>
                  </pic:spPr>
                </pic:pic>
              </a:graphicData>
            </a:graphic>
          </wp:inline>
        </w:drawing>
      </w:r>
    </w:p>
    <w:p w14:paraId="76370B95" w14:textId="77777777" w:rsidR="00232E1D" w:rsidRDefault="00232E1D">
      <w:pPr>
        <w:tabs>
          <w:tab w:val="left" w:pos="924"/>
        </w:tabs>
        <w:rPr>
          <w:rFonts w:ascii="Times New Roman" w:hAnsi="Times New Roman" w:cs="Times New Roman"/>
        </w:rPr>
      </w:pPr>
    </w:p>
    <w:p w14:paraId="38C444DF" w14:textId="77777777" w:rsidR="00232E1D" w:rsidRDefault="000912E6">
      <w:pPr>
        <w:tabs>
          <w:tab w:val="left" w:pos="924"/>
        </w:tabs>
        <w:rPr>
          <w:rFonts w:ascii="Times New Roman" w:hAnsi="Times New Roman" w:cs="Times New Roman"/>
        </w:rPr>
      </w:pPr>
      <w:r>
        <w:rPr>
          <w:rFonts w:ascii="Times New Roman" w:hAnsi="Times New Roman" w:cs="Times New Roman"/>
        </w:rPr>
        <w:t>Graph 6 – prevalence of high fasting blood sugar</w:t>
      </w:r>
    </w:p>
    <w:p w14:paraId="5C92EEA9" w14:textId="77777777" w:rsidR="00232E1D" w:rsidRDefault="00232E1D">
      <w:pPr>
        <w:tabs>
          <w:tab w:val="left" w:pos="924"/>
        </w:tabs>
        <w:rPr>
          <w:rFonts w:ascii="Times New Roman" w:hAnsi="Times New Roman" w:cs="Times New Roman"/>
        </w:rPr>
      </w:pPr>
    </w:p>
    <w:p w14:paraId="0BDAA675" w14:textId="77777777" w:rsidR="00232E1D" w:rsidRDefault="000912E6">
      <w:pPr>
        <w:tabs>
          <w:tab w:val="left" w:pos="924"/>
        </w:tabs>
        <w:rPr>
          <w:rFonts w:ascii="Times New Roman" w:hAnsi="Times New Roman" w:cs="Times New Roman"/>
        </w:rPr>
      </w:pPr>
      <w:r>
        <w:rPr>
          <w:rFonts w:ascii="Times New Roman" w:hAnsi="Times New Roman" w:cs="Times New Roman"/>
          <w:noProof/>
        </w:rPr>
        <w:drawing>
          <wp:inline distT="0" distB="0" distL="0" distR="0" wp14:anchorId="7151D3F6" wp14:editId="6B3D77C1">
            <wp:extent cx="5791200" cy="2895600"/>
            <wp:effectExtent l="0" t="0" r="0" b="0"/>
            <wp:docPr id="1865959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5984"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91200" cy="2895600"/>
                    </a:xfrm>
                    <a:prstGeom prst="rect">
                      <a:avLst/>
                    </a:prstGeom>
                    <a:noFill/>
                  </pic:spPr>
                </pic:pic>
              </a:graphicData>
            </a:graphic>
          </wp:inline>
        </w:drawing>
      </w:r>
    </w:p>
    <w:p w14:paraId="5E30A0E8" w14:textId="77777777" w:rsidR="00232E1D" w:rsidRDefault="00232E1D">
      <w:pPr>
        <w:rPr>
          <w:rFonts w:ascii="Times New Roman" w:hAnsi="Times New Roman" w:cs="Times New Roman"/>
        </w:rPr>
      </w:pPr>
    </w:p>
    <w:p w14:paraId="0A99CC49" w14:textId="77777777" w:rsidR="00232E1D" w:rsidRDefault="00232E1D">
      <w:pPr>
        <w:rPr>
          <w:rFonts w:ascii="Times New Roman" w:hAnsi="Times New Roman" w:cs="Times New Roman"/>
        </w:rPr>
      </w:pPr>
    </w:p>
    <w:p w14:paraId="493EC47E" w14:textId="77777777" w:rsidR="00232E1D" w:rsidRDefault="000912E6">
      <w:pPr>
        <w:rPr>
          <w:rFonts w:ascii="Times New Roman" w:hAnsi="Times New Roman" w:cs="Times New Roman"/>
          <w:b/>
          <w:bCs/>
        </w:rPr>
      </w:pPr>
      <w:r>
        <w:rPr>
          <w:rFonts w:ascii="Times New Roman" w:hAnsi="Times New Roman" w:cs="Times New Roman"/>
          <w:b/>
          <w:bCs/>
        </w:rPr>
        <w:lastRenderedPageBreak/>
        <w:t>Institutions with the Highest Risk Factor Burden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gridCol w:w="2649"/>
        <w:gridCol w:w="3791"/>
      </w:tblGrid>
      <w:tr w:rsidR="00232E1D" w14:paraId="20E12106"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804E38E" w14:textId="77777777" w:rsidR="00232E1D" w:rsidRDefault="000912E6">
            <w:pPr>
              <w:rPr>
                <w:rFonts w:ascii="Times New Roman" w:hAnsi="Times New Roman" w:cs="Times New Roman"/>
              </w:rPr>
            </w:pPr>
            <w:r>
              <w:rPr>
                <w:rFonts w:ascii="Times New Roman" w:hAnsi="Times New Roman" w:cs="Times New Roman"/>
                <w:b/>
                <w:bCs/>
              </w:rPr>
              <w:t>Risk Factor / Parameter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E9A6087" w14:textId="77777777" w:rsidR="00232E1D" w:rsidRDefault="000912E6">
            <w:pPr>
              <w:rPr>
                <w:rFonts w:ascii="Times New Roman" w:hAnsi="Times New Roman" w:cs="Times New Roman"/>
              </w:rPr>
            </w:pPr>
            <w:r>
              <w:rPr>
                <w:rFonts w:ascii="Times New Roman" w:hAnsi="Times New Roman" w:cs="Times New Roman"/>
                <w:b/>
                <w:bCs/>
              </w:rPr>
              <w:t>Highest Absolute 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375FFBF" w14:textId="77777777" w:rsidR="00232E1D" w:rsidRDefault="000912E6">
            <w:pPr>
              <w:rPr>
                <w:rFonts w:ascii="Times New Roman" w:hAnsi="Times New Roman" w:cs="Times New Roman"/>
              </w:rPr>
            </w:pPr>
            <w:r>
              <w:rPr>
                <w:rFonts w:ascii="Times New Roman" w:hAnsi="Times New Roman" w:cs="Times New Roman"/>
                <w:b/>
                <w:bCs/>
              </w:rPr>
              <w:t>Highest Prevalence Rate (%)</w:t>
            </w:r>
          </w:p>
        </w:tc>
      </w:tr>
      <w:tr w:rsidR="00232E1D" w14:paraId="46F0678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7BCA676" w14:textId="77777777" w:rsidR="00232E1D" w:rsidRPr="00515A2C" w:rsidRDefault="000912E6">
            <w:pPr>
              <w:rPr>
                <w:rFonts w:ascii="Times New Roman" w:hAnsi="Times New Roman" w:cs="Times New Roman"/>
              </w:rPr>
            </w:pPr>
            <w:r w:rsidRPr="00515A2C">
              <w:rPr>
                <w:rFonts w:ascii="Times New Roman" w:hAnsi="Times New Roman" w:cs="Times New Roman"/>
              </w:rPr>
              <w:t>Tobacco Smokers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B4B016B" w14:textId="77777777" w:rsidR="00232E1D" w:rsidRPr="00515A2C" w:rsidRDefault="000912E6">
            <w:pPr>
              <w:rPr>
                <w:rFonts w:ascii="Times New Roman" w:hAnsi="Times New Roman" w:cs="Times New Roman"/>
              </w:rPr>
            </w:pPr>
            <w:r w:rsidRPr="00515A2C">
              <w:rPr>
                <w:rFonts w:ascii="Times New Roman" w:hAnsi="Times New Roman" w:cs="Times New Roman"/>
              </w:rPr>
              <w:t>DH Moratuwa (683 cases)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78225C9" w14:textId="77777777" w:rsidR="00232E1D" w:rsidRPr="00515A2C" w:rsidRDefault="000912E6">
            <w:pPr>
              <w:rPr>
                <w:rFonts w:ascii="Times New Roman" w:hAnsi="Times New Roman" w:cs="Times New Roman"/>
              </w:rPr>
            </w:pPr>
            <w:r w:rsidRPr="00515A2C">
              <w:rPr>
                <w:rFonts w:ascii="Times New Roman" w:hAnsi="Times New Roman" w:cs="Times New Roman"/>
              </w:rPr>
              <w:t>DH Moratuwa (19.08%)</w:t>
            </w:r>
          </w:p>
        </w:tc>
      </w:tr>
      <w:tr w:rsidR="00232E1D" w14:paraId="41382AF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FC0D29B" w14:textId="77777777" w:rsidR="00232E1D" w:rsidRPr="00515A2C" w:rsidRDefault="000912E6">
            <w:pPr>
              <w:rPr>
                <w:rFonts w:ascii="Times New Roman" w:hAnsi="Times New Roman" w:cs="Times New Roman"/>
              </w:rPr>
            </w:pPr>
            <w:r w:rsidRPr="00515A2C">
              <w:rPr>
                <w:rFonts w:ascii="Times New Roman" w:hAnsi="Times New Roman" w:cs="Times New Roman"/>
              </w:rPr>
              <w:t>Beetle Chewers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35C43FF" w14:textId="77777777" w:rsidR="00232E1D" w:rsidRPr="00515A2C" w:rsidRDefault="000912E6">
            <w:pPr>
              <w:rPr>
                <w:rFonts w:ascii="Times New Roman" w:hAnsi="Times New Roman" w:cs="Times New Roman"/>
              </w:rPr>
            </w:pPr>
            <w:r w:rsidRPr="00515A2C">
              <w:rPr>
                <w:rFonts w:ascii="Times New Roman" w:hAnsi="Times New Roman" w:cs="Times New Roman"/>
              </w:rPr>
              <w:t>DH Moratuwa (451 cases)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5A9769D" w14:textId="77777777" w:rsidR="00232E1D" w:rsidRPr="00515A2C" w:rsidRDefault="000912E6">
            <w:pPr>
              <w:rPr>
                <w:rFonts w:ascii="Times New Roman" w:hAnsi="Times New Roman" w:cs="Times New Roman"/>
              </w:rPr>
            </w:pPr>
            <w:r w:rsidRPr="00515A2C">
              <w:rPr>
                <w:rFonts w:ascii="Times New Roman" w:hAnsi="Times New Roman" w:cs="Times New Roman"/>
              </w:rPr>
              <w:t xml:space="preserve">DGH </w:t>
            </w:r>
            <w:proofErr w:type="spellStart"/>
            <w:r w:rsidRPr="00515A2C">
              <w:rPr>
                <w:rFonts w:ascii="Times New Roman" w:hAnsi="Times New Roman" w:cs="Times New Roman"/>
              </w:rPr>
              <w:t>Avissawella</w:t>
            </w:r>
            <w:proofErr w:type="spellEnd"/>
            <w:r w:rsidRPr="00515A2C">
              <w:rPr>
                <w:rFonts w:ascii="Times New Roman" w:hAnsi="Times New Roman" w:cs="Times New Roman"/>
              </w:rPr>
              <w:t xml:space="preserve"> (21.65%) </w:t>
            </w:r>
            <w:r w:rsidRPr="00515A2C">
              <w:rPr>
                <w:rFonts w:ascii="Times New Roman" w:hAnsi="Times New Roman" w:cs="Times New Roman"/>
                <w:i/>
                <w:iCs/>
              </w:rPr>
              <w:t>(84 out of 388)</w:t>
            </w:r>
          </w:p>
        </w:tc>
      </w:tr>
      <w:tr w:rsidR="00232E1D" w14:paraId="696BFB6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2D44B73" w14:textId="77777777" w:rsidR="00232E1D" w:rsidRPr="00515A2C" w:rsidRDefault="000912E6">
            <w:pPr>
              <w:rPr>
                <w:rFonts w:ascii="Times New Roman" w:hAnsi="Times New Roman" w:cs="Times New Roman"/>
              </w:rPr>
            </w:pPr>
            <w:r w:rsidRPr="00515A2C">
              <w:rPr>
                <w:rFonts w:ascii="Times New Roman" w:hAnsi="Times New Roman" w:cs="Times New Roman"/>
              </w:rPr>
              <w:t>Alcohol Users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55F43D5" w14:textId="77777777" w:rsidR="00232E1D" w:rsidRPr="00515A2C" w:rsidRDefault="000912E6">
            <w:pPr>
              <w:rPr>
                <w:rFonts w:ascii="Times New Roman" w:hAnsi="Times New Roman" w:cs="Times New Roman"/>
              </w:rPr>
            </w:pPr>
            <w:r w:rsidRPr="00515A2C">
              <w:rPr>
                <w:rFonts w:ascii="Times New Roman" w:hAnsi="Times New Roman" w:cs="Times New Roman"/>
              </w:rPr>
              <w:t>DH Moratuwa (942 cases)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2BA2009" w14:textId="77777777" w:rsidR="00232E1D" w:rsidRPr="00515A2C" w:rsidRDefault="000912E6">
            <w:pPr>
              <w:rPr>
                <w:rFonts w:ascii="Times New Roman" w:hAnsi="Times New Roman" w:cs="Times New Roman"/>
              </w:rPr>
            </w:pPr>
            <w:r w:rsidRPr="00515A2C">
              <w:rPr>
                <w:rFonts w:ascii="Times New Roman" w:hAnsi="Times New Roman" w:cs="Times New Roman"/>
              </w:rPr>
              <w:t xml:space="preserve">DH </w:t>
            </w:r>
            <w:proofErr w:type="spellStart"/>
            <w:r w:rsidRPr="00515A2C">
              <w:rPr>
                <w:rFonts w:ascii="Times New Roman" w:hAnsi="Times New Roman" w:cs="Times New Roman"/>
              </w:rPr>
              <w:t>Maligawatta</w:t>
            </w:r>
            <w:proofErr w:type="spellEnd"/>
            <w:r w:rsidRPr="00515A2C">
              <w:rPr>
                <w:rFonts w:ascii="Times New Roman" w:hAnsi="Times New Roman" w:cs="Times New Roman"/>
              </w:rPr>
              <w:t xml:space="preserve"> (27.09%) </w:t>
            </w:r>
            <w:r w:rsidRPr="00515A2C">
              <w:rPr>
                <w:rFonts w:ascii="Times New Roman" w:hAnsi="Times New Roman" w:cs="Times New Roman"/>
                <w:i/>
                <w:iCs/>
              </w:rPr>
              <w:t>(152 out of 561)</w:t>
            </w:r>
          </w:p>
        </w:tc>
      </w:tr>
      <w:tr w:rsidR="00232E1D" w14:paraId="161CD94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E992557" w14:textId="77777777" w:rsidR="00232E1D" w:rsidRPr="00515A2C" w:rsidRDefault="000912E6">
            <w:pPr>
              <w:rPr>
                <w:rFonts w:ascii="Times New Roman" w:hAnsi="Times New Roman" w:cs="Times New Roman"/>
              </w:rPr>
            </w:pPr>
            <w:r w:rsidRPr="00515A2C">
              <w:rPr>
                <w:rFonts w:ascii="Times New Roman" w:hAnsi="Times New Roman" w:cs="Times New Roman"/>
              </w:rPr>
              <w:t>Obesity (BMI &gt;30)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43A62E9" w14:textId="77777777" w:rsidR="00232E1D" w:rsidRPr="00515A2C" w:rsidRDefault="000912E6">
            <w:pPr>
              <w:rPr>
                <w:rFonts w:ascii="Times New Roman" w:hAnsi="Times New Roman" w:cs="Times New Roman"/>
              </w:rPr>
            </w:pPr>
            <w:r w:rsidRPr="00515A2C">
              <w:rPr>
                <w:rFonts w:ascii="Times New Roman" w:hAnsi="Times New Roman" w:cs="Times New Roman"/>
              </w:rPr>
              <w:t>DH Moratuwa (515 cases)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EF13220" w14:textId="77777777" w:rsidR="00232E1D" w:rsidRPr="00515A2C" w:rsidRDefault="000912E6">
            <w:pPr>
              <w:rPr>
                <w:rFonts w:ascii="Times New Roman" w:hAnsi="Times New Roman" w:cs="Times New Roman"/>
              </w:rPr>
            </w:pPr>
            <w:r w:rsidRPr="00515A2C">
              <w:rPr>
                <w:rFonts w:ascii="Times New Roman" w:hAnsi="Times New Roman" w:cs="Times New Roman"/>
              </w:rPr>
              <w:t xml:space="preserve">DH </w:t>
            </w:r>
            <w:proofErr w:type="spellStart"/>
            <w:r w:rsidRPr="00515A2C">
              <w:rPr>
                <w:rFonts w:ascii="Times New Roman" w:hAnsi="Times New Roman" w:cs="Times New Roman"/>
              </w:rPr>
              <w:t>Maligawatta</w:t>
            </w:r>
            <w:proofErr w:type="spellEnd"/>
            <w:r w:rsidRPr="00515A2C">
              <w:rPr>
                <w:rFonts w:ascii="Times New Roman" w:hAnsi="Times New Roman" w:cs="Times New Roman"/>
              </w:rPr>
              <w:t xml:space="preserve"> (16.58%) </w:t>
            </w:r>
            <w:r w:rsidRPr="00515A2C">
              <w:rPr>
                <w:rFonts w:ascii="Times New Roman" w:hAnsi="Times New Roman" w:cs="Times New Roman"/>
                <w:i/>
                <w:iCs/>
              </w:rPr>
              <w:t>(93 out of 561)</w:t>
            </w:r>
          </w:p>
        </w:tc>
      </w:tr>
      <w:tr w:rsidR="00232E1D" w14:paraId="7C00C53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BC868F5" w14:textId="77777777" w:rsidR="00232E1D" w:rsidRPr="00515A2C" w:rsidRDefault="000912E6">
            <w:pPr>
              <w:rPr>
                <w:rFonts w:ascii="Times New Roman" w:hAnsi="Times New Roman" w:cs="Times New Roman"/>
              </w:rPr>
            </w:pPr>
            <w:r w:rsidRPr="00515A2C">
              <w:rPr>
                <w:rFonts w:ascii="Times New Roman" w:hAnsi="Times New Roman" w:cs="Times New Roman"/>
              </w:rPr>
              <w:t>High Blood Pressure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26F7BFD" w14:textId="77777777" w:rsidR="00232E1D" w:rsidRPr="00515A2C" w:rsidRDefault="000912E6">
            <w:pPr>
              <w:rPr>
                <w:rFonts w:ascii="Times New Roman" w:hAnsi="Times New Roman" w:cs="Times New Roman"/>
              </w:rPr>
            </w:pPr>
            <w:r w:rsidRPr="00515A2C">
              <w:rPr>
                <w:rFonts w:ascii="Times New Roman" w:hAnsi="Times New Roman" w:cs="Times New Roman"/>
              </w:rPr>
              <w:t>DH Moratuwa (1,014 cases)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9F44B7E" w14:textId="77777777" w:rsidR="00232E1D" w:rsidRPr="00515A2C" w:rsidRDefault="000912E6">
            <w:pPr>
              <w:rPr>
                <w:rFonts w:ascii="Times New Roman" w:hAnsi="Times New Roman" w:cs="Times New Roman"/>
              </w:rPr>
            </w:pPr>
            <w:r w:rsidRPr="00515A2C">
              <w:rPr>
                <w:rFonts w:ascii="Times New Roman" w:hAnsi="Times New Roman" w:cs="Times New Roman"/>
              </w:rPr>
              <w:t xml:space="preserve">DH </w:t>
            </w:r>
            <w:proofErr w:type="spellStart"/>
            <w:r w:rsidRPr="00515A2C">
              <w:rPr>
                <w:rFonts w:ascii="Times New Roman" w:hAnsi="Times New Roman" w:cs="Times New Roman"/>
              </w:rPr>
              <w:t>Nawagamuwa</w:t>
            </w:r>
            <w:proofErr w:type="spellEnd"/>
            <w:r w:rsidRPr="00515A2C">
              <w:rPr>
                <w:rFonts w:ascii="Times New Roman" w:hAnsi="Times New Roman" w:cs="Times New Roman"/>
              </w:rPr>
              <w:t xml:space="preserve"> (29.24%) </w:t>
            </w:r>
            <w:r w:rsidRPr="00515A2C">
              <w:rPr>
                <w:rFonts w:ascii="Times New Roman" w:hAnsi="Times New Roman" w:cs="Times New Roman"/>
                <w:i/>
                <w:iCs/>
              </w:rPr>
              <w:t>(188 out of 643)</w:t>
            </w:r>
          </w:p>
        </w:tc>
      </w:tr>
      <w:tr w:rsidR="00232E1D" w14:paraId="7D6B4E1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499BDE9" w14:textId="77777777" w:rsidR="00232E1D" w:rsidRPr="00515A2C" w:rsidRDefault="000912E6">
            <w:pPr>
              <w:rPr>
                <w:rFonts w:ascii="Times New Roman" w:hAnsi="Times New Roman" w:cs="Times New Roman"/>
              </w:rPr>
            </w:pPr>
            <w:r w:rsidRPr="00515A2C">
              <w:rPr>
                <w:rFonts w:ascii="Times New Roman" w:hAnsi="Times New Roman" w:cs="Times New Roman"/>
              </w:rPr>
              <w:t>High FBS (Fasting Blood Sugar)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9176B89" w14:textId="77777777" w:rsidR="00232E1D" w:rsidRPr="00515A2C" w:rsidRDefault="000912E6">
            <w:pPr>
              <w:rPr>
                <w:rFonts w:ascii="Times New Roman" w:hAnsi="Times New Roman" w:cs="Times New Roman"/>
              </w:rPr>
            </w:pPr>
            <w:r w:rsidRPr="00515A2C">
              <w:rPr>
                <w:rFonts w:ascii="Times New Roman" w:hAnsi="Times New Roman" w:cs="Times New Roman"/>
              </w:rPr>
              <w:t xml:space="preserve">BH </w:t>
            </w:r>
            <w:proofErr w:type="spellStart"/>
            <w:r w:rsidRPr="00515A2C">
              <w:rPr>
                <w:rFonts w:ascii="Times New Roman" w:hAnsi="Times New Roman" w:cs="Times New Roman"/>
              </w:rPr>
              <w:t>Homagama</w:t>
            </w:r>
            <w:proofErr w:type="spellEnd"/>
            <w:r w:rsidRPr="00515A2C">
              <w:rPr>
                <w:rFonts w:ascii="Times New Roman" w:hAnsi="Times New Roman" w:cs="Times New Roman"/>
              </w:rPr>
              <w:t xml:space="preserve"> (90 cases)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2854314" w14:textId="77777777" w:rsidR="00232E1D" w:rsidRPr="00515A2C" w:rsidRDefault="000912E6">
            <w:pPr>
              <w:rPr>
                <w:rFonts w:ascii="Times New Roman" w:hAnsi="Times New Roman" w:cs="Times New Roman"/>
              </w:rPr>
            </w:pPr>
            <w:r w:rsidRPr="00515A2C">
              <w:rPr>
                <w:rFonts w:ascii="Times New Roman" w:hAnsi="Times New Roman" w:cs="Times New Roman"/>
              </w:rPr>
              <w:t xml:space="preserve">BH </w:t>
            </w:r>
            <w:proofErr w:type="spellStart"/>
            <w:r w:rsidRPr="00515A2C">
              <w:rPr>
                <w:rFonts w:ascii="Times New Roman" w:hAnsi="Times New Roman" w:cs="Times New Roman"/>
              </w:rPr>
              <w:t>Homagama</w:t>
            </w:r>
            <w:proofErr w:type="spellEnd"/>
            <w:r w:rsidRPr="00515A2C">
              <w:rPr>
                <w:rFonts w:ascii="Times New Roman" w:hAnsi="Times New Roman" w:cs="Times New Roman"/>
              </w:rPr>
              <w:t xml:space="preserve"> (7.23%) </w:t>
            </w:r>
            <w:r w:rsidRPr="00515A2C">
              <w:rPr>
                <w:rFonts w:ascii="Times New Roman" w:hAnsi="Times New Roman" w:cs="Times New Roman"/>
                <w:i/>
                <w:iCs/>
              </w:rPr>
              <w:t>(90 out of 1,244)</w:t>
            </w:r>
          </w:p>
        </w:tc>
      </w:tr>
    </w:tbl>
    <w:p w14:paraId="189F19D4" w14:textId="77777777" w:rsidR="00232E1D" w:rsidRDefault="00232E1D">
      <w:pPr>
        <w:rPr>
          <w:rFonts w:ascii="Times New Roman" w:hAnsi="Times New Roman" w:cs="Times New Roman"/>
        </w:rPr>
      </w:pPr>
    </w:p>
    <w:p w14:paraId="2AAE9549" w14:textId="77777777" w:rsidR="00232E1D" w:rsidRDefault="00232E1D">
      <w:pPr>
        <w:rPr>
          <w:rFonts w:ascii="Times New Roman" w:hAnsi="Times New Roman" w:cs="Times New Roman"/>
        </w:rPr>
      </w:pPr>
    </w:p>
    <w:p w14:paraId="06A1DF00" w14:textId="77777777" w:rsidR="00232E1D" w:rsidRDefault="000912E6">
      <w:pPr>
        <w:rPr>
          <w:rFonts w:ascii="Times New Roman" w:hAnsi="Times New Roman" w:cs="Times New Roman"/>
          <w:b/>
          <w:bCs/>
          <w:sz w:val="28"/>
          <w:szCs w:val="28"/>
        </w:rPr>
      </w:pPr>
      <w:r>
        <w:rPr>
          <w:rFonts w:ascii="Times New Roman" w:hAnsi="Times New Roman" w:cs="Times New Roman"/>
          <w:b/>
          <w:bCs/>
          <w:sz w:val="28"/>
          <w:szCs w:val="28"/>
        </w:rPr>
        <w:t>Discussion</w:t>
      </w:r>
    </w:p>
    <w:p w14:paraId="0AF4AF70"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This study evaluates the screening performance and epidemiological patterns of non-communicable disease (NCD) risk factors across 11 Healthy Lifestyle Clinics (HLCs) in the Colombo district. By contextualizing the quantitative variations alongside systemic realities extracted via document reviews and key informant interviews (KIIs), this chapter aligns directly with the study's specific objectives to provide a comprehensive analysis of the regional primary healthcare delivery framework. </w:t>
      </w:r>
    </w:p>
    <w:p w14:paraId="67FB0426"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Prevalence and Patterns of Modifiable Behavioral Risk Factors</w:t>
      </w:r>
    </w:p>
    <w:p w14:paraId="23DB02F1" w14:textId="77777777" w:rsidR="00232E1D" w:rsidRDefault="000912E6">
      <w:pPr>
        <w:spacing w:line="360" w:lineRule="auto"/>
        <w:jc w:val="both"/>
        <w:rPr>
          <w:rFonts w:ascii="Times New Roman" w:hAnsi="Times New Roman" w:cs="Times New Roman"/>
        </w:rPr>
      </w:pPr>
      <w:r>
        <w:rPr>
          <w:rFonts w:ascii="Times New Roman" w:hAnsi="Times New Roman" w:cs="Times New Roman"/>
        </w:rPr>
        <w:lastRenderedPageBreak/>
        <w:t xml:space="preserve">The first objective of this study was to determine the prevalence and institutional distributions of modifiable behavioral risk factors—specifically tobacco smoking, harmful alcohol consumption, and betel quid chewing—among clients attending the HLCs. Behavioral risks serve as the upstream drivers of physiological alterations, establishing habits that directly accelerate chronic tissue damage and metabolic decline. </w:t>
      </w:r>
    </w:p>
    <w:p w14:paraId="240CA8ED" w14:textId="77777777" w:rsidR="00232E1D" w:rsidRDefault="00232E1D">
      <w:pPr>
        <w:spacing w:line="360" w:lineRule="auto"/>
        <w:jc w:val="both"/>
        <w:rPr>
          <w:rFonts w:ascii="Times New Roman" w:hAnsi="Times New Roman" w:cs="Times New Roman"/>
          <w:b/>
          <w:bCs/>
        </w:rPr>
      </w:pPr>
    </w:p>
    <w:p w14:paraId="14B9499E"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Tobacco Smoking</w:t>
      </w:r>
    </w:p>
    <w:p w14:paraId="2349EABF" w14:textId="77777777" w:rsidR="00232E1D" w:rsidRPr="00515A2C" w:rsidRDefault="000912E6">
      <w:pPr>
        <w:spacing w:line="360" w:lineRule="auto"/>
        <w:jc w:val="both"/>
        <w:rPr>
          <w:rFonts w:ascii="Times New Roman" w:hAnsi="Times New Roman" w:cs="Times New Roman"/>
        </w:rPr>
      </w:pPr>
      <w:r w:rsidRPr="00515A2C">
        <w:rPr>
          <w:rFonts w:ascii="Times New Roman" w:hAnsi="Times New Roman" w:cs="Times New Roman"/>
        </w:rPr>
        <w:t xml:space="preserve">The data revealed a marked disparity in smoking prevalence across the region. DH Moratuwa presented the highest absolute burden with 683 active smokers, followed by DH </w:t>
      </w:r>
      <w:proofErr w:type="spellStart"/>
      <w:r w:rsidRPr="00515A2C">
        <w:rPr>
          <w:rFonts w:ascii="Times New Roman" w:hAnsi="Times New Roman" w:cs="Times New Roman"/>
        </w:rPr>
        <w:t>Kosgama</w:t>
      </w:r>
      <w:proofErr w:type="spellEnd"/>
      <w:r w:rsidRPr="00515A2C">
        <w:rPr>
          <w:rFonts w:ascii="Times New Roman" w:hAnsi="Times New Roman" w:cs="Times New Roman"/>
        </w:rPr>
        <w:t xml:space="preserve"> (150 cases) and DH Piliyandala (144 cases). However, examining prevalence percentages demonstrates that tobacco habits are heavily concentrated in specific communities: DH Moratuwa leads with a prevalence of 19.08%, followed closely by secondary care facility DGH </w:t>
      </w:r>
      <w:proofErr w:type="spellStart"/>
      <w:r w:rsidRPr="00515A2C">
        <w:rPr>
          <w:rFonts w:ascii="Times New Roman" w:hAnsi="Times New Roman" w:cs="Times New Roman"/>
        </w:rPr>
        <w:t>Avissawella</w:t>
      </w:r>
      <w:proofErr w:type="spellEnd"/>
      <w:r w:rsidRPr="00515A2C">
        <w:rPr>
          <w:rFonts w:ascii="Times New Roman" w:hAnsi="Times New Roman" w:cs="Times New Roman"/>
        </w:rPr>
        <w:t xml:space="preserve"> at 19.59% and DH </w:t>
      </w:r>
      <w:proofErr w:type="spellStart"/>
      <w:r w:rsidRPr="00515A2C">
        <w:rPr>
          <w:rFonts w:ascii="Times New Roman" w:hAnsi="Times New Roman" w:cs="Times New Roman"/>
        </w:rPr>
        <w:t>Thalangama</w:t>
      </w:r>
      <w:proofErr w:type="spellEnd"/>
      <w:r w:rsidRPr="00515A2C">
        <w:rPr>
          <w:rFonts w:ascii="Times New Roman" w:hAnsi="Times New Roman" w:cs="Times New Roman"/>
        </w:rPr>
        <w:t xml:space="preserve"> at 16.85%. </w:t>
      </w:r>
    </w:p>
    <w:p w14:paraId="65BF6BA4" w14:textId="77777777" w:rsidR="00232E1D" w:rsidRPr="00515A2C" w:rsidRDefault="000912E6">
      <w:pPr>
        <w:spacing w:line="360" w:lineRule="auto"/>
        <w:jc w:val="both"/>
        <w:rPr>
          <w:rFonts w:ascii="Times New Roman" w:hAnsi="Times New Roman" w:cs="Times New Roman"/>
        </w:rPr>
      </w:pPr>
      <w:r w:rsidRPr="00515A2C">
        <w:rPr>
          <w:rFonts w:ascii="Times New Roman" w:hAnsi="Times New Roman" w:cs="Times New Roman"/>
        </w:rPr>
        <w:t xml:space="preserve">From an epidemiological standpoint, these variations reflect the socioeconomic catchments of the respective clinics. DH Moratuwa and DGH </w:t>
      </w:r>
      <w:proofErr w:type="spellStart"/>
      <w:r w:rsidRPr="00515A2C">
        <w:rPr>
          <w:rFonts w:ascii="Times New Roman" w:hAnsi="Times New Roman" w:cs="Times New Roman"/>
        </w:rPr>
        <w:t>Avissawella</w:t>
      </w:r>
      <w:proofErr w:type="spellEnd"/>
      <w:r w:rsidRPr="00515A2C">
        <w:rPr>
          <w:rFonts w:ascii="Times New Roman" w:hAnsi="Times New Roman" w:cs="Times New Roman"/>
        </w:rPr>
        <w:t xml:space="preserve"> serve highly dense urban and semi-urban industrial workforces, including coastal fishing communities and plantation/factory laborers. National surveillance data, such as the World Health Organization (WHO) STEPS surveys, consistently verifies that tobacco use in Sri Lanka is heavily segregated by socioeconomic status and gender. The high rates at DH </w:t>
      </w:r>
      <w:proofErr w:type="spellStart"/>
      <w:r w:rsidRPr="00515A2C">
        <w:rPr>
          <w:rFonts w:ascii="Times New Roman" w:hAnsi="Times New Roman" w:cs="Times New Roman"/>
        </w:rPr>
        <w:t>Thalangama</w:t>
      </w:r>
      <w:proofErr w:type="spellEnd"/>
      <w:r w:rsidRPr="00515A2C">
        <w:rPr>
          <w:rFonts w:ascii="Times New Roman" w:hAnsi="Times New Roman" w:cs="Times New Roman"/>
        </w:rPr>
        <w:t xml:space="preserve"> (16.85%), an area undergoing rapid urbanization, point toward changing urban lifestyles where smoke-based nicotine dependencies persist despite extensive public health anti-smoking campaigns. </w:t>
      </w:r>
    </w:p>
    <w:p w14:paraId="7B914CA3"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Betel Chewing</w:t>
      </w:r>
    </w:p>
    <w:p w14:paraId="10361629"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Betel chewing remains a deeply culturally embedded lifestyle risk factor across Sri Lanka. In this study, the highest absolute numbers were clustered at DH Moratuwa (451 clients) and DH Padukka (231 clients). Proportionately, however, DGH </w:t>
      </w:r>
      <w:proofErr w:type="spellStart"/>
      <w:r w:rsidRPr="002C4A88">
        <w:rPr>
          <w:rFonts w:ascii="Times New Roman" w:hAnsi="Times New Roman" w:cs="Times New Roman"/>
        </w:rPr>
        <w:t>Avissawella</w:t>
      </w:r>
      <w:proofErr w:type="spellEnd"/>
      <w:r w:rsidRPr="002C4A88">
        <w:rPr>
          <w:rFonts w:ascii="Times New Roman" w:hAnsi="Times New Roman" w:cs="Times New Roman"/>
        </w:rPr>
        <w:t xml:space="preserve"> exhibited the highest prevalence at 21.65%, followed by DH </w:t>
      </w:r>
      <w:proofErr w:type="spellStart"/>
      <w:r w:rsidRPr="002C4A88">
        <w:rPr>
          <w:rFonts w:ascii="Times New Roman" w:hAnsi="Times New Roman" w:cs="Times New Roman"/>
        </w:rPr>
        <w:t>Nawagamuwa</w:t>
      </w:r>
      <w:proofErr w:type="spellEnd"/>
      <w:r w:rsidRPr="002C4A88">
        <w:rPr>
          <w:rFonts w:ascii="Times New Roman" w:hAnsi="Times New Roman" w:cs="Times New Roman"/>
        </w:rPr>
        <w:t xml:space="preserve"> at 18.97%. </w:t>
      </w:r>
    </w:p>
    <w:p w14:paraId="05FCC9A3"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This distinct spatial clustering highlights a sharp contrast between urban centers and agricultural/semi-urban areas. DGH </w:t>
      </w:r>
      <w:proofErr w:type="spellStart"/>
      <w:r w:rsidRPr="002C4A88">
        <w:rPr>
          <w:rFonts w:ascii="Times New Roman" w:hAnsi="Times New Roman" w:cs="Times New Roman"/>
        </w:rPr>
        <w:t>Avissawella</w:t>
      </w:r>
      <w:proofErr w:type="spellEnd"/>
      <w:r w:rsidRPr="002C4A88">
        <w:rPr>
          <w:rFonts w:ascii="Times New Roman" w:hAnsi="Times New Roman" w:cs="Times New Roman"/>
        </w:rPr>
        <w:t xml:space="preserve"> sits on the border of the Western Province and </w:t>
      </w:r>
      <w:r w:rsidRPr="002C4A88">
        <w:rPr>
          <w:rFonts w:ascii="Times New Roman" w:hAnsi="Times New Roman" w:cs="Times New Roman"/>
        </w:rPr>
        <w:lastRenderedPageBreak/>
        <w:t xml:space="preserve">serves a substantial population tied to agricultural sectors and estate labor, where betel chewing is traditionally utilized to sustain physical stamina during long working hours. Similarly, DH </w:t>
      </w:r>
      <w:proofErr w:type="spellStart"/>
      <w:r w:rsidRPr="002C4A88">
        <w:rPr>
          <w:rFonts w:ascii="Times New Roman" w:hAnsi="Times New Roman" w:cs="Times New Roman"/>
        </w:rPr>
        <w:t>Nawagamuwa</w:t>
      </w:r>
      <w:proofErr w:type="spellEnd"/>
      <w:r w:rsidRPr="002C4A88">
        <w:rPr>
          <w:rFonts w:ascii="Times New Roman" w:hAnsi="Times New Roman" w:cs="Times New Roman"/>
        </w:rPr>
        <w:t xml:space="preserve"> and DH </w:t>
      </w:r>
      <w:proofErr w:type="spellStart"/>
      <w:r w:rsidRPr="002C4A88">
        <w:rPr>
          <w:rFonts w:ascii="Times New Roman" w:hAnsi="Times New Roman" w:cs="Times New Roman"/>
        </w:rPr>
        <w:t>Padukka</w:t>
      </w:r>
      <w:proofErr w:type="spellEnd"/>
      <w:r w:rsidRPr="002C4A88">
        <w:rPr>
          <w:rFonts w:ascii="Times New Roman" w:hAnsi="Times New Roman" w:cs="Times New Roman"/>
        </w:rPr>
        <w:t xml:space="preserve"> encompass rural pockets where betel chewing is tied to localized social habits. Key informant interviews highlighted that because betel chewing is socially acceptable and often perceived as a benign traditional habit, clients rarely view it with the same degree of health concern as tobacco smoking, presenting a major hurdle for clinical counseling. </w:t>
      </w:r>
    </w:p>
    <w:p w14:paraId="4DD0222B" w14:textId="77777777" w:rsidR="00232E1D" w:rsidRDefault="00232E1D">
      <w:pPr>
        <w:spacing w:line="360" w:lineRule="auto"/>
        <w:jc w:val="both"/>
        <w:rPr>
          <w:rFonts w:ascii="Times New Roman" w:hAnsi="Times New Roman" w:cs="Times New Roman"/>
          <w:b/>
          <w:bCs/>
        </w:rPr>
      </w:pPr>
    </w:p>
    <w:p w14:paraId="44BBAF0D"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Alcohol Consumption</w:t>
      </w:r>
    </w:p>
    <w:p w14:paraId="6F3760FC"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Alcohol use emerged as a widespread behavioral threat across the district, topping the list of behavioral risk frequencies in several areas. DH Moratuwa recorded a staggering 942 cases, while BH </w:t>
      </w:r>
      <w:proofErr w:type="spellStart"/>
      <w:r w:rsidRPr="002C4A88">
        <w:rPr>
          <w:rFonts w:ascii="Times New Roman" w:hAnsi="Times New Roman" w:cs="Times New Roman"/>
        </w:rPr>
        <w:t>Homagama</w:t>
      </w:r>
      <w:proofErr w:type="spellEnd"/>
      <w:r w:rsidRPr="002C4A88">
        <w:rPr>
          <w:rFonts w:ascii="Times New Roman" w:hAnsi="Times New Roman" w:cs="Times New Roman"/>
        </w:rPr>
        <w:t xml:space="preserve"> followed with 304 cases. The highest percentage of alcohol consumption was documented at DGH </w:t>
      </w:r>
      <w:proofErr w:type="spellStart"/>
      <w:r w:rsidRPr="002C4A88">
        <w:rPr>
          <w:rFonts w:ascii="Times New Roman" w:hAnsi="Times New Roman" w:cs="Times New Roman"/>
        </w:rPr>
        <w:t>Avissawella</w:t>
      </w:r>
      <w:proofErr w:type="spellEnd"/>
      <w:r w:rsidRPr="002C4A88">
        <w:rPr>
          <w:rFonts w:ascii="Times New Roman" w:hAnsi="Times New Roman" w:cs="Times New Roman"/>
        </w:rPr>
        <w:t xml:space="preserve"> (30.67%), followed by DH </w:t>
      </w:r>
      <w:proofErr w:type="spellStart"/>
      <w:r w:rsidRPr="002C4A88">
        <w:rPr>
          <w:rFonts w:ascii="Times New Roman" w:hAnsi="Times New Roman" w:cs="Times New Roman"/>
        </w:rPr>
        <w:t>Maligawatta</w:t>
      </w:r>
      <w:proofErr w:type="spellEnd"/>
      <w:r w:rsidRPr="002C4A88">
        <w:rPr>
          <w:rFonts w:ascii="Times New Roman" w:hAnsi="Times New Roman" w:cs="Times New Roman"/>
        </w:rPr>
        <w:t xml:space="preserve"> (27.09%) and DH Moratuwa (26.31%). </w:t>
      </w:r>
    </w:p>
    <w:p w14:paraId="3A908687" w14:textId="77777777" w:rsidR="00232E1D" w:rsidRDefault="000912E6">
      <w:pPr>
        <w:spacing w:line="360" w:lineRule="auto"/>
        <w:jc w:val="both"/>
        <w:rPr>
          <w:rFonts w:ascii="Times New Roman" w:hAnsi="Times New Roman" w:cs="Times New Roman"/>
        </w:rPr>
      </w:pPr>
      <w:r w:rsidRPr="002C4A88">
        <w:rPr>
          <w:rFonts w:ascii="Times New Roman" w:hAnsi="Times New Roman" w:cs="Times New Roman"/>
        </w:rPr>
        <w:t xml:space="preserve">The high prevalence in DH </w:t>
      </w:r>
      <w:proofErr w:type="spellStart"/>
      <w:r w:rsidRPr="002C4A88">
        <w:rPr>
          <w:rFonts w:ascii="Times New Roman" w:hAnsi="Times New Roman" w:cs="Times New Roman"/>
        </w:rPr>
        <w:t>Maligawatta</w:t>
      </w:r>
      <w:proofErr w:type="spellEnd"/>
      <w:r w:rsidRPr="002C4A88">
        <w:rPr>
          <w:rFonts w:ascii="Times New Roman" w:hAnsi="Times New Roman" w:cs="Times New Roman"/>
        </w:rPr>
        <w:t>—an inner-city urban settlement in Colombo—corresponds with public health literature linking high-density, low-income urban environments with elevated rates of substance and alcohol use. Key informants noted that chronic alcohol use among these cohorts functions as a maladaptive coping mechanism for economic stress, which directly compounds household poverty</w:t>
      </w:r>
      <w:r>
        <w:rPr>
          <w:rFonts w:ascii="Times New Roman" w:hAnsi="Times New Roman" w:cs="Times New Roman"/>
        </w:rPr>
        <w:t xml:space="preserve"> due to out-of-pocket spending on alcohol and eventual healthcare needs. </w:t>
      </w:r>
    </w:p>
    <w:p w14:paraId="5585C0EF"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Estimation and Clustering of Metabolic Risk Markers</w:t>
      </w:r>
    </w:p>
    <w:p w14:paraId="07476D24"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The second objective targeted the estimation of metabolic risk markers—specifically high blood pressure and obesity—which signify the physiological transition from behavioral habits to established chronic pathologies. </w:t>
      </w:r>
    </w:p>
    <w:p w14:paraId="5A32A929" w14:textId="77777777" w:rsidR="00232E1D" w:rsidRDefault="00232E1D">
      <w:pPr>
        <w:spacing w:line="360" w:lineRule="auto"/>
        <w:jc w:val="both"/>
        <w:rPr>
          <w:rFonts w:ascii="Times New Roman" w:hAnsi="Times New Roman" w:cs="Times New Roman"/>
          <w:b/>
          <w:bCs/>
        </w:rPr>
      </w:pPr>
    </w:p>
    <w:p w14:paraId="649074BE"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Raised Blood Pressure (Hypertension)</w:t>
      </w:r>
    </w:p>
    <w:p w14:paraId="14DB779D"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The absolute numbers of detected hypertension cases were remarkably high: DH Moratuwa recorded 1,014 hypertensive individuals, while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registered 782 cases. When </w:t>
      </w:r>
      <w:r w:rsidRPr="002C4A88">
        <w:rPr>
          <w:rFonts w:ascii="Times New Roman" w:hAnsi="Times New Roman" w:cs="Times New Roman"/>
        </w:rPr>
        <w:lastRenderedPageBreak/>
        <w:t xml:space="preserve">evaluating relative density,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presented the highest prevalence rate at 32.34%, with DH </w:t>
      </w:r>
      <w:proofErr w:type="spellStart"/>
      <w:r w:rsidRPr="002C4A88">
        <w:rPr>
          <w:rFonts w:ascii="Times New Roman" w:hAnsi="Times New Roman" w:cs="Times New Roman"/>
        </w:rPr>
        <w:t>Maligawatta</w:t>
      </w:r>
      <w:proofErr w:type="spellEnd"/>
      <w:r w:rsidRPr="002C4A88">
        <w:rPr>
          <w:rFonts w:ascii="Times New Roman" w:hAnsi="Times New Roman" w:cs="Times New Roman"/>
        </w:rPr>
        <w:t xml:space="preserve"> (29.95%) and DH </w:t>
      </w:r>
      <w:proofErr w:type="spellStart"/>
      <w:r w:rsidRPr="002C4A88">
        <w:rPr>
          <w:rFonts w:ascii="Times New Roman" w:hAnsi="Times New Roman" w:cs="Times New Roman"/>
        </w:rPr>
        <w:t>Nawagamuwa</w:t>
      </w:r>
      <w:proofErr w:type="spellEnd"/>
      <w:r w:rsidRPr="002C4A88">
        <w:rPr>
          <w:rFonts w:ascii="Times New Roman" w:hAnsi="Times New Roman" w:cs="Times New Roman"/>
        </w:rPr>
        <w:t xml:space="preserve"> (29.24%) following closely. </w:t>
      </w:r>
    </w:p>
    <w:p w14:paraId="42888CAA" w14:textId="1A57664B" w:rsidR="00232E1D" w:rsidRDefault="000912E6">
      <w:pPr>
        <w:spacing w:line="360" w:lineRule="auto"/>
        <w:jc w:val="both"/>
        <w:rPr>
          <w:rFonts w:ascii="Times New Roman" w:hAnsi="Times New Roman" w:cs="Times New Roman"/>
        </w:rPr>
      </w:pPr>
      <w:r w:rsidRPr="002C4A88">
        <w:rPr>
          <w:rFonts w:ascii="Times New Roman" w:hAnsi="Times New Roman" w:cs="Times New Roman"/>
        </w:rPr>
        <w:t xml:space="preserve">The fact that nearly one-third of the screened clients at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DH </w:t>
      </w:r>
      <w:proofErr w:type="spellStart"/>
      <w:r w:rsidRPr="002C4A88">
        <w:rPr>
          <w:rFonts w:ascii="Times New Roman" w:hAnsi="Times New Roman" w:cs="Times New Roman"/>
        </w:rPr>
        <w:t>Maligawatta</w:t>
      </w:r>
      <w:proofErr w:type="spellEnd"/>
      <w:r w:rsidRPr="002C4A88">
        <w:rPr>
          <w:rFonts w:ascii="Times New Roman" w:hAnsi="Times New Roman" w:cs="Times New Roman"/>
        </w:rPr>
        <w:t xml:space="preserve">, and DH </w:t>
      </w:r>
      <w:proofErr w:type="spellStart"/>
      <w:r w:rsidRPr="002C4A88">
        <w:rPr>
          <w:rFonts w:ascii="Times New Roman" w:hAnsi="Times New Roman" w:cs="Times New Roman"/>
        </w:rPr>
        <w:t>Nawagamuwa</w:t>
      </w:r>
      <w:proofErr w:type="spellEnd"/>
      <w:r w:rsidRPr="002C4A88">
        <w:rPr>
          <w:rFonts w:ascii="Times New Roman" w:hAnsi="Times New Roman" w:cs="Times New Roman"/>
        </w:rPr>
        <w:t xml:space="preserve"> suffer from elevated blood pressure points to a profound public health concern. According to global data, high systolic blood pressure is the primary driver of disability-adjusted life years (DALYs). In Sri Lanka, where cardiovascular diseases dictate 34% of national mortality, these high-density pockets of hypertension represent an impending surge in specialized hospital admissions if left unmanaged. Key informants from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indicated that their catchment population is exposed to high dietary sodium intakes</w:t>
      </w:r>
      <w:r w:rsidR="002C4A88">
        <w:rPr>
          <w:rFonts w:ascii="Times New Roman" w:hAnsi="Times New Roman" w:cs="Times New Roman"/>
        </w:rPr>
        <w:t xml:space="preserve"> </w:t>
      </w:r>
      <w:r>
        <w:rPr>
          <w:rFonts w:ascii="Times New Roman" w:hAnsi="Times New Roman" w:cs="Times New Roman"/>
        </w:rPr>
        <w:t xml:space="preserve">often via preserved and traditional foods—exacerbating blood pressure control. </w:t>
      </w:r>
    </w:p>
    <w:p w14:paraId="287557F2" w14:textId="77777777" w:rsidR="00232E1D" w:rsidRDefault="00232E1D">
      <w:pPr>
        <w:spacing w:line="360" w:lineRule="auto"/>
        <w:jc w:val="both"/>
        <w:rPr>
          <w:rFonts w:ascii="Times New Roman" w:hAnsi="Times New Roman" w:cs="Times New Roman"/>
          <w:b/>
          <w:bCs/>
        </w:rPr>
      </w:pPr>
    </w:p>
    <w:p w14:paraId="38BBADD0" w14:textId="5C707391" w:rsidR="00232E1D" w:rsidRDefault="000912E6">
      <w:pPr>
        <w:spacing w:line="360" w:lineRule="auto"/>
        <w:jc w:val="both"/>
        <w:rPr>
          <w:rFonts w:ascii="Times New Roman" w:hAnsi="Times New Roman" w:cs="Times New Roman"/>
          <w:b/>
          <w:bCs/>
        </w:rPr>
      </w:pPr>
      <w:r>
        <w:rPr>
          <w:rFonts w:ascii="Times New Roman" w:hAnsi="Times New Roman" w:cs="Times New Roman"/>
          <w:b/>
          <w:bCs/>
        </w:rPr>
        <w:t>Obesity</w:t>
      </w:r>
    </w:p>
    <w:p w14:paraId="1307E8AB"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Obesity is a major catalyst for insulin resistance and cardiovascular strain, showing a rapid upward trend over the last three decades. Universally across the dataset, absolute counts were led by DH Moratuwa with 515 obese clients, followed by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with 394 clients and DH Wethara with 359 clients. In terms of percentage prevalence, DH Wethara recorded the highest rate at 18.65%, followed by DH </w:t>
      </w:r>
      <w:proofErr w:type="spellStart"/>
      <w:r w:rsidRPr="002C4A88">
        <w:rPr>
          <w:rFonts w:ascii="Times New Roman" w:hAnsi="Times New Roman" w:cs="Times New Roman"/>
        </w:rPr>
        <w:t>Maligawatta</w:t>
      </w:r>
      <w:proofErr w:type="spellEnd"/>
      <w:r w:rsidRPr="002C4A88">
        <w:rPr>
          <w:rFonts w:ascii="Times New Roman" w:hAnsi="Times New Roman" w:cs="Times New Roman"/>
        </w:rPr>
        <w:t xml:space="preserve"> at 16.58% and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at 16.29%. </w:t>
      </w:r>
    </w:p>
    <w:p w14:paraId="3175B560"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The high prevalence in DH </w:t>
      </w:r>
      <w:proofErr w:type="spellStart"/>
      <w:r w:rsidRPr="002C4A88">
        <w:rPr>
          <w:rFonts w:ascii="Times New Roman" w:hAnsi="Times New Roman" w:cs="Times New Roman"/>
        </w:rPr>
        <w:t>Wethara</w:t>
      </w:r>
      <w:proofErr w:type="spellEnd"/>
      <w:r w:rsidRPr="002C4A88">
        <w:rPr>
          <w:rFonts w:ascii="Times New Roman" w:hAnsi="Times New Roman" w:cs="Times New Roman"/>
        </w:rPr>
        <w:t xml:space="preserve"> and DH </w:t>
      </w:r>
      <w:proofErr w:type="spellStart"/>
      <w:r w:rsidRPr="002C4A88">
        <w:rPr>
          <w:rFonts w:ascii="Times New Roman" w:hAnsi="Times New Roman" w:cs="Times New Roman"/>
        </w:rPr>
        <w:t>Maligawatta</w:t>
      </w:r>
      <w:proofErr w:type="spellEnd"/>
      <w:r w:rsidRPr="002C4A88">
        <w:rPr>
          <w:rFonts w:ascii="Times New Roman" w:hAnsi="Times New Roman" w:cs="Times New Roman"/>
        </w:rPr>
        <w:t xml:space="preserve"> underscores the nutritional transition altering Sri Lankan health profiles. Rapid urbanization has replaced high-fiber diets with ultra-processed, energy-dense foods rich in saturated fats and refined sugars. Simultaneously, shifting transport and employment patterns have institutionalized sedentary lifestyles, diminishing insulin sensitivity across these communities. The dual presence of high obesity (16.58%) and high alcohol consumption (27.09%) in DH </w:t>
      </w:r>
      <w:proofErr w:type="spellStart"/>
      <w:r w:rsidRPr="002C4A88">
        <w:rPr>
          <w:rFonts w:ascii="Times New Roman" w:hAnsi="Times New Roman" w:cs="Times New Roman"/>
        </w:rPr>
        <w:t>Maligawatta</w:t>
      </w:r>
      <w:proofErr w:type="spellEnd"/>
      <w:r w:rsidRPr="002C4A88">
        <w:rPr>
          <w:rFonts w:ascii="Times New Roman" w:hAnsi="Times New Roman" w:cs="Times New Roman"/>
        </w:rPr>
        <w:t xml:space="preserve"> indicates a high risk for metabolic syndrome within inner-city populations. </w:t>
      </w:r>
    </w:p>
    <w:p w14:paraId="0BBBE1C5" w14:textId="77777777" w:rsidR="00232E1D" w:rsidRDefault="00232E1D">
      <w:pPr>
        <w:spacing w:line="360" w:lineRule="auto"/>
        <w:jc w:val="both"/>
        <w:rPr>
          <w:rFonts w:ascii="Times New Roman" w:hAnsi="Times New Roman" w:cs="Times New Roman"/>
          <w:b/>
          <w:bCs/>
        </w:rPr>
      </w:pPr>
    </w:p>
    <w:p w14:paraId="41D0F764"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Institutional Variations and Care level Comparisons</w:t>
      </w:r>
    </w:p>
    <w:p w14:paraId="08AF9358" w14:textId="77777777" w:rsidR="00232E1D" w:rsidRDefault="000912E6">
      <w:pPr>
        <w:spacing w:line="360" w:lineRule="auto"/>
        <w:jc w:val="both"/>
        <w:rPr>
          <w:rFonts w:ascii="Times New Roman" w:hAnsi="Times New Roman" w:cs="Times New Roman"/>
        </w:rPr>
      </w:pPr>
      <w:r w:rsidRPr="002C4A88">
        <w:rPr>
          <w:rFonts w:ascii="Times New Roman" w:hAnsi="Times New Roman" w:cs="Times New Roman"/>
        </w:rPr>
        <w:lastRenderedPageBreak/>
        <w:t xml:space="preserve">The third objective of this study was to compare risk factor patterns across different levels of the public healthcare delivery system, contrasting secondary care centers (DGH </w:t>
      </w:r>
      <w:proofErr w:type="spellStart"/>
      <w:r w:rsidRPr="002C4A88">
        <w:rPr>
          <w:rFonts w:ascii="Times New Roman" w:hAnsi="Times New Roman" w:cs="Times New Roman"/>
        </w:rPr>
        <w:t>Avissawella</w:t>
      </w:r>
      <w:proofErr w:type="spellEnd"/>
      <w:r w:rsidRPr="002C4A88">
        <w:rPr>
          <w:rFonts w:ascii="Times New Roman" w:hAnsi="Times New Roman" w:cs="Times New Roman"/>
        </w:rPr>
        <w:t xml:space="preserve">, BH </w:t>
      </w:r>
      <w:proofErr w:type="spellStart"/>
      <w:r w:rsidRPr="002C4A88">
        <w:rPr>
          <w:rFonts w:ascii="Times New Roman" w:hAnsi="Times New Roman" w:cs="Times New Roman"/>
        </w:rPr>
        <w:t>Homagama</w:t>
      </w:r>
      <w:proofErr w:type="spellEnd"/>
      <w:r w:rsidRPr="002C4A88">
        <w:rPr>
          <w:rFonts w:ascii="Times New Roman" w:hAnsi="Times New Roman" w:cs="Times New Roman"/>
        </w:rPr>
        <w:t>) against primary</w:t>
      </w:r>
      <w:r>
        <w:rPr>
          <w:rFonts w:ascii="Times New Roman" w:hAnsi="Times New Roman" w:cs="Times New Roman"/>
        </w:rPr>
        <w:t xml:space="preserve"> care Divisional Hospitals. </w:t>
      </w:r>
    </w:p>
    <w:p w14:paraId="52B44C8B" w14:textId="77777777" w:rsidR="00232E1D" w:rsidRDefault="000912E6">
      <w:pPr>
        <w:spacing w:line="360" w:lineRule="auto"/>
        <w:jc w:val="both"/>
        <w:rPr>
          <w:rFonts w:ascii="Times New Roman" w:hAnsi="Times New Roman" w:cs="Times New Roman"/>
        </w:rPr>
      </w:pPr>
      <w:r>
        <w:rPr>
          <w:rFonts w:ascii="Times New Roman" w:hAnsi="Times New Roman" w:cs="Times New Roman"/>
        </w:rPr>
        <w:t>The quantitative findings revealed a sharp distinction in healthcare utilization:</w:t>
      </w:r>
    </w:p>
    <w:p w14:paraId="69E94576" w14:textId="77777777" w:rsidR="00232E1D" w:rsidRDefault="000912E6">
      <w:pPr>
        <w:spacing w:line="360" w:lineRule="auto"/>
        <w:jc w:val="both"/>
        <w:rPr>
          <w:rFonts w:ascii="Times New Roman" w:hAnsi="Times New Roman" w:cs="Times New Roman"/>
        </w:rPr>
      </w:pPr>
      <w:r>
        <w:rPr>
          <w:rFonts w:ascii="Times New Roman" w:hAnsi="Times New Roman" w:cs="Times New Roman"/>
        </w:rPr>
        <w:t>Secondary Care Centers:</w:t>
      </w:r>
    </w:p>
    <w:p w14:paraId="351ABF52"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  - BH </w:t>
      </w:r>
      <w:proofErr w:type="spellStart"/>
      <w:r>
        <w:rPr>
          <w:rFonts w:ascii="Times New Roman" w:hAnsi="Times New Roman" w:cs="Times New Roman"/>
        </w:rPr>
        <w:t>Homagama</w:t>
      </w:r>
      <w:proofErr w:type="spellEnd"/>
      <w:r>
        <w:rPr>
          <w:rFonts w:ascii="Times New Roman" w:hAnsi="Times New Roman" w:cs="Times New Roman"/>
        </w:rPr>
        <w:t>: 1,244 screened (7.23%)</w:t>
      </w:r>
    </w:p>
    <w:p w14:paraId="5E2A8581"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  - DGH </w:t>
      </w:r>
      <w:proofErr w:type="spellStart"/>
      <w:r>
        <w:rPr>
          <w:rFonts w:ascii="Times New Roman" w:hAnsi="Times New Roman" w:cs="Times New Roman"/>
        </w:rPr>
        <w:t>Avissawella</w:t>
      </w:r>
      <w:proofErr w:type="spellEnd"/>
      <w:r>
        <w:rPr>
          <w:rFonts w:ascii="Times New Roman" w:hAnsi="Times New Roman" w:cs="Times New Roman"/>
        </w:rPr>
        <w:t>: 388 screened (2.25%)</w:t>
      </w:r>
    </w:p>
    <w:p w14:paraId="2050821A" w14:textId="77777777" w:rsidR="00232E1D" w:rsidRDefault="00232E1D">
      <w:pPr>
        <w:spacing w:line="360" w:lineRule="auto"/>
        <w:jc w:val="both"/>
        <w:rPr>
          <w:rFonts w:ascii="Times New Roman" w:hAnsi="Times New Roman" w:cs="Times New Roman"/>
        </w:rPr>
      </w:pPr>
    </w:p>
    <w:p w14:paraId="4B9BE9EC" w14:textId="77777777" w:rsidR="00232E1D" w:rsidRDefault="000912E6">
      <w:pPr>
        <w:spacing w:line="360" w:lineRule="auto"/>
        <w:jc w:val="both"/>
        <w:rPr>
          <w:rFonts w:ascii="Times New Roman" w:hAnsi="Times New Roman" w:cs="Times New Roman"/>
        </w:rPr>
      </w:pPr>
      <w:r>
        <w:rPr>
          <w:rFonts w:ascii="Times New Roman" w:hAnsi="Times New Roman" w:cs="Times New Roman"/>
        </w:rPr>
        <w:t>Primary Care Centers (Top Performers):</w:t>
      </w:r>
    </w:p>
    <w:p w14:paraId="3769F1B4"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  - DH Moratuwa: 3,580 screened (20.80%)</w:t>
      </w:r>
    </w:p>
    <w:p w14:paraId="766A609A"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  - DH </w:t>
      </w:r>
      <w:proofErr w:type="spellStart"/>
      <w:r>
        <w:rPr>
          <w:rFonts w:ascii="Times New Roman" w:hAnsi="Times New Roman" w:cs="Times New Roman"/>
        </w:rPr>
        <w:t>Kosgama</w:t>
      </w:r>
      <w:proofErr w:type="spellEnd"/>
      <w:r>
        <w:rPr>
          <w:rFonts w:ascii="Times New Roman" w:hAnsi="Times New Roman" w:cs="Times New Roman"/>
        </w:rPr>
        <w:t>: 2,418 screened (14.05%)</w:t>
      </w:r>
    </w:p>
    <w:p w14:paraId="6A08E875"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This distribution highlights an operational paradox within the Colombo RDHS framework. Secondary care institutions like DGH </w:t>
      </w:r>
      <w:proofErr w:type="spellStart"/>
      <w:r w:rsidRPr="002C4A88">
        <w:rPr>
          <w:rFonts w:ascii="Times New Roman" w:hAnsi="Times New Roman" w:cs="Times New Roman"/>
        </w:rPr>
        <w:t>Avissawella</w:t>
      </w:r>
      <w:proofErr w:type="spellEnd"/>
      <w:r w:rsidRPr="002C4A88">
        <w:rPr>
          <w:rFonts w:ascii="Times New Roman" w:hAnsi="Times New Roman" w:cs="Times New Roman"/>
        </w:rPr>
        <w:t xml:space="preserve"> possess broader diagnostic facilities and specialists, yet their HLC screening volume accounted for only 2.25% of the regional total (388 clients). Conversely, primary care facilities like DH Moratuwa and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shouldered 20.80% and 14.05% of the total regional screening volume, respectively. </w:t>
      </w:r>
    </w:p>
    <w:p w14:paraId="72CABBB9"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Qualitative insights from Key Informant Interviews explain this structural variation. Secondary care centers function primarily as overburdened curative hubs. At DGH </w:t>
      </w:r>
      <w:proofErr w:type="spellStart"/>
      <w:r w:rsidRPr="002C4A88">
        <w:rPr>
          <w:rFonts w:ascii="Times New Roman" w:hAnsi="Times New Roman" w:cs="Times New Roman"/>
        </w:rPr>
        <w:t>Avissawella</w:t>
      </w:r>
      <w:proofErr w:type="spellEnd"/>
      <w:r w:rsidRPr="002C4A88">
        <w:rPr>
          <w:rFonts w:ascii="Times New Roman" w:hAnsi="Times New Roman" w:cs="Times New Roman"/>
        </w:rPr>
        <w:t xml:space="preserve"> and BH </w:t>
      </w:r>
      <w:proofErr w:type="spellStart"/>
      <w:r w:rsidRPr="002C4A88">
        <w:rPr>
          <w:rFonts w:ascii="Times New Roman" w:hAnsi="Times New Roman" w:cs="Times New Roman"/>
        </w:rPr>
        <w:t>Homagama</w:t>
      </w:r>
      <w:proofErr w:type="spellEnd"/>
      <w:r w:rsidRPr="002C4A88">
        <w:rPr>
          <w:rFonts w:ascii="Times New Roman" w:hAnsi="Times New Roman" w:cs="Times New Roman"/>
        </w:rPr>
        <w:t xml:space="preserve">, the vast majority of outpatient and inpatient traffic consists of symptomatic patients seeking urgent care. Consequently, preventive units like HLCs are frequently under-prioritized, under-staffed, and clear patient mobilization mechanisms are often lacking. </w:t>
      </w:r>
    </w:p>
    <w:p w14:paraId="6690A5A3" w14:textId="77777777" w:rsidR="00232E1D" w:rsidRDefault="000912E6">
      <w:pPr>
        <w:spacing w:line="360" w:lineRule="auto"/>
        <w:jc w:val="both"/>
        <w:rPr>
          <w:rFonts w:ascii="Times New Roman" w:hAnsi="Times New Roman" w:cs="Times New Roman"/>
        </w:rPr>
      </w:pPr>
      <w:r w:rsidRPr="002C4A88">
        <w:rPr>
          <w:rFonts w:ascii="Times New Roman" w:hAnsi="Times New Roman" w:cs="Times New Roman"/>
        </w:rPr>
        <w:t xml:space="preserve">On the other hand, the high performance of DH Moratuwa and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demonstrates the success of localized primary care integration. KIIs revealed that DH Moratuwa established an aggressive community outreach program, collaborating with local Medical</w:t>
      </w:r>
      <w:r>
        <w:rPr>
          <w:rFonts w:ascii="Times New Roman" w:hAnsi="Times New Roman" w:cs="Times New Roman"/>
        </w:rPr>
        <w:t xml:space="preserve"> Officers of Health (MOH) and Public Health Nursing Officers to systematically channel asymptomatic citizens aged 35 and older into the clinic. This aligns with the strategic intent of the Ministry of Health's National </w:t>
      </w:r>
      <w:r>
        <w:rPr>
          <w:rFonts w:ascii="Times New Roman" w:hAnsi="Times New Roman" w:cs="Times New Roman"/>
        </w:rPr>
        <w:lastRenderedPageBreak/>
        <w:t xml:space="preserve">Multisectoral Action Plan: utilizing primary care networks as community defense systems to modify risks early, thereby protecting high-cost tertiary hospitals from avoidable admissions. </w:t>
      </w:r>
    </w:p>
    <w:p w14:paraId="02159A63" w14:textId="77777777" w:rsidR="00633F91" w:rsidRDefault="00633F91">
      <w:pPr>
        <w:spacing w:line="360" w:lineRule="auto"/>
        <w:jc w:val="both"/>
        <w:rPr>
          <w:rFonts w:ascii="Times New Roman" w:hAnsi="Times New Roman" w:cs="Times New Roman"/>
          <w:b/>
          <w:bCs/>
        </w:rPr>
      </w:pPr>
    </w:p>
    <w:p w14:paraId="562F3AC0" w14:textId="610E7118" w:rsidR="00232E1D" w:rsidRDefault="000912E6">
      <w:pPr>
        <w:spacing w:line="360" w:lineRule="auto"/>
        <w:jc w:val="both"/>
        <w:rPr>
          <w:rFonts w:ascii="Times New Roman" w:hAnsi="Times New Roman" w:cs="Times New Roman"/>
          <w:b/>
          <w:bCs/>
        </w:rPr>
      </w:pPr>
      <w:r>
        <w:rPr>
          <w:rFonts w:ascii="Times New Roman" w:hAnsi="Times New Roman" w:cs="Times New Roman"/>
          <w:b/>
          <w:bCs/>
        </w:rPr>
        <w:t>Data Completeness, Diagnostics, and the Fasting Blood Sugar (FBS) Gap</w:t>
      </w:r>
    </w:p>
    <w:p w14:paraId="6CEDBE1A"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The fourth objective addressed a critical quality metric: evaluating screening performance and data completeness of clinical markers, with an intentional focus on fasting blood sugar (FBS) monitoring and diagnostic gaps. </w:t>
      </w:r>
    </w:p>
    <w:p w14:paraId="77A2C9ED"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Elevated Fasting Blood Glucose is the principal diagnostic parameter for type 2 diabetes, a condition that accounts for 9% of annual deaths in Sri Lanka and acts as a primary cause of blindness, amputations, and the national CKD epidemic. However, the institutional data exposed a severe operational vulnerability: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2438"/>
        <w:gridCol w:w="2194"/>
        <w:gridCol w:w="2769"/>
      </w:tblGrid>
      <w:tr w:rsidR="00232E1D" w14:paraId="5B3D915B"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B298B40" w14:textId="77777777" w:rsidR="00232E1D" w:rsidRDefault="000912E6">
            <w:pPr>
              <w:spacing w:line="360" w:lineRule="auto"/>
              <w:jc w:val="both"/>
              <w:rPr>
                <w:rFonts w:ascii="Times New Roman" w:hAnsi="Times New Roman" w:cs="Times New Roman"/>
              </w:rPr>
            </w:pPr>
            <w:r>
              <w:rPr>
                <w:rFonts w:ascii="Times New Roman" w:hAnsi="Times New Roman" w:cs="Times New Roman"/>
                <w:b/>
                <w:bCs/>
              </w:rPr>
              <w:t>Institution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3CFDD5B" w14:textId="77777777" w:rsidR="00232E1D" w:rsidRDefault="000912E6">
            <w:pPr>
              <w:spacing w:line="360" w:lineRule="auto"/>
              <w:jc w:val="both"/>
              <w:rPr>
                <w:rFonts w:ascii="Times New Roman" w:hAnsi="Times New Roman" w:cs="Times New Roman"/>
              </w:rPr>
            </w:pPr>
            <w:r>
              <w:rPr>
                <w:rFonts w:ascii="Times New Roman" w:hAnsi="Times New Roman" w:cs="Times New Roman"/>
                <w:b/>
                <w:bCs/>
              </w:rPr>
              <w:t>Total Clients Screened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186BD45D" w14:textId="77777777" w:rsidR="00232E1D" w:rsidRDefault="000912E6">
            <w:pPr>
              <w:spacing w:line="360" w:lineRule="auto"/>
              <w:jc w:val="both"/>
              <w:rPr>
                <w:rFonts w:ascii="Times New Roman" w:hAnsi="Times New Roman" w:cs="Times New Roman"/>
              </w:rPr>
            </w:pPr>
            <w:r>
              <w:rPr>
                <w:rFonts w:ascii="Times New Roman" w:hAnsi="Times New Roman" w:cs="Times New Roman"/>
                <w:b/>
                <w:bCs/>
              </w:rPr>
              <w:t>High FBS 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BBEA143" w14:textId="77777777" w:rsidR="00232E1D" w:rsidRDefault="000912E6">
            <w:pPr>
              <w:spacing w:line="360" w:lineRule="auto"/>
              <w:jc w:val="both"/>
              <w:rPr>
                <w:rFonts w:ascii="Times New Roman" w:hAnsi="Times New Roman" w:cs="Times New Roman"/>
              </w:rPr>
            </w:pPr>
            <w:r>
              <w:rPr>
                <w:rFonts w:ascii="Times New Roman" w:hAnsi="Times New Roman" w:cs="Times New Roman"/>
                <w:b/>
                <w:bCs/>
              </w:rPr>
              <w:t>High FBS Prevalence (%)</w:t>
            </w:r>
          </w:p>
        </w:tc>
      </w:tr>
      <w:tr w:rsidR="00232E1D" w14:paraId="09EC702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63FE4060"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BH </w:t>
            </w:r>
            <w:proofErr w:type="spellStart"/>
            <w:r w:rsidRPr="002C4A88">
              <w:rPr>
                <w:rFonts w:ascii="Times New Roman" w:hAnsi="Times New Roman" w:cs="Times New Roman"/>
              </w:rPr>
              <w:t>Homagama</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BF8876E" w14:textId="77777777" w:rsidR="00232E1D" w:rsidRDefault="000912E6">
            <w:pPr>
              <w:spacing w:line="360" w:lineRule="auto"/>
              <w:jc w:val="both"/>
              <w:rPr>
                <w:rFonts w:ascii="Times New Roman" w:hAnsi="Times New Roman" w:cs="Times New Roman"/>
              </w:rPr>
            </w:pPr>
            <w:r>
              <w:rPr>
                <w:rFonts w:ascii="Times New Roman" w:hAnsi="Times New Roman" w:cs="Times New Roman"/>
              </w:rPr>
              <w:t>1,244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87057A8" w14:textId="77777777" w:rsidR="00232E1D" w:rsidRDefault="000912E6">
            <w:pPr>
              <w:spacing w:line="360" w:lineRule="auto"/>
              <w:jc w:val="both"/>
              <w:rPr>
                <w:rFonts w:ascii="Times New Roman" w:hAnsi="Times New Roman" w:cs="Times New Roman"/>
              </w:rPr>
            </w:pPr>
            <w:r>
              <w:rPr>
                <w:rFonts w:ascii="Times New Roman" w:hAnsi="Times New Roman" w:cs="Times New Roman"/>
              </w:rPr>
              <w:t>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8DFB9ED" w14:textId="77777777" w:rsidR="00232E1D" w:rsidRDefault="000912E6">
            <w:pPr>
              <w:spacing w:line="360" w:lineRule="auto"/>
              <w:jc w:val="both"/>
              <w:rPr>
                <w:rFonts w:ascii="Times New Roman" w:hAnsi="Times New Roman" w:cs="Times New Roman"/>
              </w:rPr>
            </w:pPr>
            <w:r>
              <w:rPr>
                <w:rFonts w:ascii="Times New Roman" w:hAnsi="Times New Roman" w:cs="Times New Roman"/>
              </w:rPr>
              <w:t>7.23%</w:t>
            </w:r>
          </w:p>
        </w:tc>
      </w:tr>
      <w:tr w:rsidR="00232E1D" w14:paraId="5F0EF89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E980EDE"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DH </w:t>
            </w:r>
            <w:proofErr w:type="spellStart"/>
            <w:r w:rsidRPr="002C4A88">
              <w:rPr>
                <w:rFonts w:ascii="Times New Roman" w:hAnsi="Times New Roman" w:cs="Times New Roman"/>
              </w:rPr>
              <w:t>Thalangama</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A7F2E0B" w14:textId="77777777" w:rsidR="00232E1D" w:rsidRDefault="000912E6">
            <w:pPr>
              <w:spacing w:line="360" w:lineRule="auto"/>
              <w:jc w:val="both"/>
              <w:rPr>
                <w:rFonts w:ascii="Times New Roman" w:hAnsi="Times New Roman" w:cs="Times New Roman"/>
              </w:rPr>
            </w:pPr>
            <w:r>
              <w:rPr>
                <w:rFonts w:ascii="Times New Roman" w:hAnsi="Times New Roman" w:cs="Times New Roman"/>
              </w:rPr>
              <w:t>558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C163C34" w14:textId="77777777" w:rsidR="00232E1D" w:rsidRDefault="000912E6">
            <w:pPr>
              <w:spacing w:line="360" w:lineRule="auto"/>
              <w:jc w:val="both"/>
              <w:rPr>
                <w:rFonts w:ascii="Times New Roman" w:hAnsi="Times New Roman" w:cs="Times New Roman"/>
              </w:rPr>
            </w:pPr>
            <w:r>
              <w:rPr>
                <w:rFonts w:ascii="Times New Roman" w:hAnsi="Times New Roman" w:cs="Times New Roman"/>
              </w:rPr>
              <w:t>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3C10796C" w14:textId="77777777" w:rsidR="00232E1D" w:rsidRDefault="000912E6">
            <w:pPr>
              <w:spacing w:line="360" w:lineRule="auto"/>
              <w:jc w:val="both"/>
              <w:rPr>
                <w:rFonts w:ascii="Times New Roman" w:hAnsi="Times New Roman" w:cs="Times New Roman"/>
              </w:rPr>
            </w:pPr>
            <w:r>
              <w:rPr>
                <w:rFonts w:ascii="Times New Roman" w:hAnsi="Times New Roman" w:cs="Times New Roman"/>
              </w:rPr>
              <w:t>6.45%</w:t>
            </w:r>
          </w:p>
        </w:tc>
      </w:tr>
      <w:tr w:rsidR="00232E1D" w14:paraId="3F940C6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5C641A03"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DH Moratuwa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0746DEC7" w14:textId="77777777" w:rsidR="00232E1D" w:rsidRDefault="000912E6">
            <w:pPr>
              <w:spacing w:line="360" w:lineRule="auto"/>
              <w:jc w:val="both"/>
              <w:rPr>
                <w:rFonts w:ascii="Times New Roman" w:hAnsi="Times New Roman" w:cs="Times New Roman"/>
              </w:rPr>
            </w:pPr>
            <w:r>
              <w:rPr>
                <w:rFonts w:ascii="Times New Roman" w:hAnsi="Times New Roman" w:cs="Times New Roman"/>
              </w:rPr>
              <w:t>3,580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44DD2B2B" w14:textId="77777777" w:rsidR="00232E1D" w:rsidRDefault="000912E6">
            <w:pPr>
              <w:spacing w:line="360" w:lineRule="auto"/>
              <w:jc w:val="both"/>
              <w:rPr>
                <w:rFonts w:ascii="Times New Roman" w:hAnsi="Times New Roman" w:cs="Times New Roman"/>
              </w:rPr>
            </w:pPr>
            <w:r>
              <w:rPr>
                <w:rFonts w:ascii="Times New Roman" w:hAnsi="Times New Roman" w:cs="Times New Roman"/>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3CDF745" w14:textId="77777777" w:rsidR="00232E1D" w:rsidRDefault="000912E6">
            <w:pPr>
              <w:spacing w:line="360" w:lineRule="auto"/>
              <w:jc w:val="both"/>
              <w:rPr>
                <w:rFonts w:ascii="Times New Roman" w:hAnsi="Times New Roman" w:cs="Times New Roman"/>
              </w:rPr>
            </w:pPr>
            <w:r>
              <w:rPr>
                <w:rFonts w:ascii="Times New Roman" w:hAnsi="Times New Roman" w:cs="Times New Roman"/>
              </w:rPr>
              <w:t>0.34%</w:t>
            </w:r>
          </w:p>
        </w:tc>
      </w:tr>
      <w:tr w:rsidR="00232E1D" w14:paraId="5E3CDF7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2DAD7CE7"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DH </w:t>
            </w:r>
            <w:proofErr w:type="spellStart"/>
            <w:r w:rsidRPr="002C4A88">
              <w:rPr>
                <w:rFonts w:ascii="Times New Roman" w:hAnsi="Times New Roman" w:cs="Times New Roman"/>
              </w:rPr>
              <w:t>Kosgama</w:t>
            </w:r>
            <w:proofErr w:type="spell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39D7272" w14:textId="77777777" w:rsidR="00232E1D" w:rsidRDefault="000912E6">
            <w:pPr>
              <w:spacing w:line="360" w:lineRule="auto"/>
              <w:jc w:val="both"/>
              <w:rPr>
                <w:rFonts w:ascii="Times New Roman" w:hAnsi="Times New Roman" w:cs="Times New Roman"/>
              </w:rPr>
            </w:pPr>
            <w:r>
              <w:rPr>
                <w:rFonts w:ascii="Times New Roman" w:hAnsi="Times New Roman" w:cs="Times New Roman"/>
              </w:rPr>
              <w:t>2,418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A3C7905" w14:textId="77777777" w:rsidR="00232E1D" w:rsidRDefault="000912E6">
            <w:pPr>
              <w:spacing w:line="360" w:lineRule="auto"/>
              <w:jc w:val="both"/>
              <w:rPr>
                <w:rFonts w:ascii="Times New Roman" w:hAnsi="Times New Roman" w:cs="Times New Roman"/>
              </w:rPr>
            </w:pPr>
            <w:r>
              <w:rPr>
                <w:rFonts w:ascii="Times New Roman" w:hAnsi="Times New Roman" w:cs="Times New Roman"/>
              </w:rPr>
              <w:t>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14:paraId="7CFBAD86" w14:textId="77777777" w:rsidR="00232E1D" w:rsidRDefault="000912E6">
            <w:pPr>
              <w:spacing w:line="360" w:lineRule="auto"/>
              <w:jc w:val="both"/>
              <w:rPr>
                <w:rFonts w:ascii="Times New Roman" w:hAnsi="Times New Roman" w:cs="Times New Roman"/>
              </w:rPr>
            </w:pPr>
            <w:r>
              <w:rPr>
                <w:rFonts w:ascii="Times New Roman" w:hAnsi="Times New Roman" w:cs="Times New Roman"/>
              </w:rPr>
              <w:t>0.00%</w:t>
            </w:r>
          </w:p>
        </w:tc>
      </w:tr>
    </w:tbl>
    <w:p w14:paraId="6056E1AD" w14:textId="77777777" w:rsidR="00232E1D" w:rsidRDefault="00232E1D">
      <w:pPr>
        <w:spacing w:line="360" w:lineRule="auto"/>
        <w:jc w:val="both"/>
        <w:rPr>
          <w:rFonts w:ascii="Times New Roman" w:hAnsi="Times New Roman" w:cs="Times New Roman"/>
        </w:rPr>
      </w:pPr>
    </w:p>
    <w:p w14:paraId="001CA230" w14:textId="77777777" w:rsidR="00232E1D" w:rsidRDefault="00232E1D">
      <w:pPr>
        <w:spacing w:line="360" w:lineRule="auto"/>
        <w:jc w:val="both"/>
        <w:rPr>
          <w:rFonts w:ascii="Times New Roman" w:hAnsi="Times New Roman" w:cs="Times New Roman"/>
        </w:rPr>
      </w:pPr>
    </w:p>
    <w:p w14:paraId="6586B3F9"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The clinical reality implied by these numbers is epidemiologically impossible. It is highly improbable that DH Moratuwa—the leader in almost every behavioral and metabolic risk </w:t>
      </w:r>
      <w:r w:rsidRPr="002C4A88">
        <w:rPr>
          <w:rFonts w:ascii="Times New Roman" w:hAnsi="Times New Roman" w:cs="Times New Roman"/>
        </w:rPr>
        <w:lastRenderedPageBreak/>
        <w:t xml:space="preserve">category—has a diabetes/impaired glucose prevalence of just 0.34%, or that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has a prevalence of 0.00% across 2,418 screened clients. </w:t>
      </w:r>
    </w:p>
    <w:p w14:paraId="7BB33B8F" w14:textId="77777777" w:rsidR="00232E1D" w:rsidRPr="002C4A88" w:rsidRDefault="000912E6">
      <w:pPr>
        <w:spacing w:line="360" w:lineRule="auto"/>
        <w:jc w:val="both"/>
        <w:rPr>
          <w:rFonts w:ascii="Times New Roman" w:hAnsi="Times New Roman" w:cs="Times New Roman"/>
        </w:rPr>
      </w:pPr>
      <w:r w:rsidRPr="002C4A88">
        <w:rPr>
          <w:rFonts w:ascii="Times New Roman" w:hAnsi="Times New Roman" w:cs="Times New Roman"/>
        </w:rPr>
        <w:t xml:space="preserve">The document review and Key Informant Interviews exposed this systemic gap. The near-zero reporting of high FBS at facilities like DH </w:t>
      </w:r>
      <w:proofErr w:type="spellStart"/>
      <w:r w:rsidRPr="002C4A88">
        <w:rPr>
          <w:rFonts w:ascii="Times New Roman" w:hAnsi="Times New Roman" w:cs="Times New Roman"/>
        </w:rPr>
        <w:t>Kosgama</w:t>
      </w:r>
      <w:proofErr w:type="spellEnd"/>
      <w:r w:rsidRPr="002C4A88">
        <w:rPr>
          <w:rFonts w:ascii="Times New Roman" w:hAnsi="Times New Roman" w:cs="Times New Roman"/>
        </w:rPr>
        <w:t xml:space="preserve"> and DH Moratuwa does not represent a diabetes-free population; rather, it indicates a diagnostic and data collection failure. Frontline staff revealed several compounding issues: </w:t>
      </w:r>
    </w:p>
    <w:p w14:paraId="2600DEF4" w14:textId="77777777" w:rsidR="00232E1D" w:rsidRDefault="000912E6">
      <w:pPr>
        <w:numPr>
          <w:ilvl w:val="0"/>
          <w:numId w:val="11"/>
        </w:numPr>
        <w:spacing w:line="360" w:lineRule="auto"/>
        <w:jc w:val="both"/>
        <w:rPr>
          <w:rFonts w:ascii="Times New Roman" w:hAnsi="Times New Roman" w:cs="Times New Roman"/>
        </w:rPr>
      </w:pPr>
      <w:r>
        <w:rPr>
          <w:rFonts w:ascii="Times New Roman" w:hAnsi="Times New Roman" w:cs="Times New Roman"/>
          <w:b/>
          <w:bCs/>
        </w:rPr>
        <w:t>Glucometer Strip Shortages:</w:t>
      </w:r>
      <w:r>
        <w:rPr>
          <w:rFonts w:ascii="Times New Roman" w:hAnsi="Times New Roman" w:cs="Times New Roman"/>
        </w:rPr>
        <w:t xml:space="preserve"> Frequent supply chain ruptures left primary clinics without glucometer strips for months at a time.</w:t>
      </w:r>
    </w:p>
    <w:p w14:paraId="0A75EFD1" w14:textId="77777777" w:rsidR="00232E1D" w:rsidRDefault="000912E6">
      <w:pPr>
        <w:numPr>
          <w:ilvl w:val="0"/>
          <w:numId w:val="11"/>
        </w:numPr>
        <w:spacing w:line="360" w:lineRule="auto"/>
        <w:jc w:val="both"/>
        <w:rPr>
          <w:rFonts w:ascii="Times New Roman" w:hAnsi="Times New Roman" w:cs="Times New Roman"/>
        </w:rPr>
      </w:pPr>
      <w:r>
        <w:rPr>
          <w:rFonts w:ascii="Times New Roman" w:hAnsi="Times New Roman" w:cs="Times New Roman"/>
          <w:b/>
          <w:bCs/>
        </w:rPr>
        <w:t>The "Fasting" Barrier:</w:t>
      </w:r>
      <w:r>
        <w:rPr>
          <w:rFonts w:ascii="Times New Roman" w:hAnsi="Times New Roman" w:cs="Times New Roman"/>
        </w:rPr>
        <w:t xml:space="preserve"> HLCs function primarily as walk-in clinics. Many clients attend afternoon sessions or arrive without maintaining the mandatory 8-to-12-hour fast, preventing accurate blood sugar testing during their visit.</w:t>
      </w:r>
    </w:p>
    <w:p w14:paraId="697DC8BD" w14:textId="77777777" w:rsidR="00232E1D" w:rsidRDefault="000912E6">
      <w:pPr>
        <w:numPr>
          <w:ilvl w:val="0"/>
          <w:numId w:val="11"/>
        </w:numPr>
        <w:spacing w:line="360" w:lineRule="auto"/>
        <w:jc w:val="both"/>
        <w:rPr>
          <w:rFonts w:ascii="Times New Roman" w:hAnsi="Times New Roman" w:cs="Times New Roman"/>
        </w:rPr>
      </w:pPr>
      <w:r>
        <w:rPr>
          <w:rFonts w:ascii="Times New Roman" w:hAnsi="Times New Roman" w:cs="Times New Roman"/>
          <w:b/>
          <w:bCs/>
        </w:rPr>
        <w:t>Subsequent Drop-out:</w:t>
      </w:r>
      <w:r>
        <w:rPr>
          <w:rFonts w:ascii="Times New Roman" w:hAnsi="Times New Roman" w:cs="Times New Roman"/>
        </w:rPr>
        <w:t xml:space="preserve"> When non-fasting clients are requested to return on a subsequent morning for an FBS check, compliance drops precipitously. The missing follow-up data is rarely updated in the primary HLC registries, leading to blank fields that are later aggregated as zero cases during annual reporting. </w:t>
      </w:r>
    </w:p>
    <w:p w14:paraId="198AF41F" w14:textId="77777777" w:rsidR="00232E1D" w:rsidRDefault="000912E6">
      <w:pPr>
        <w:spacing w:line="360" w:lineRule="auto"/>
        <w:jc w:val="both"/>
        <w:rPr>
          <w:rFonts w:ascii="Times New Roman" w:hAnsi="Times New Roman" w:cs="Times New Roman"/>
        </w:rPr>
      </w:pPr>
      <w:r w:rsidRPr="002C4A88">
        <w:rPr>
          <w:rFonts w:ascii="Times New Roman" w:hAnsi="Times New Roman" w:cs="Times New Roman"/>
        </w:rPr>
        <w:t xml:space="preserve">In stark contrast, BH </w:t>
      </w:r>
      <w:proofErr w:type="spellStart"/>
      <w:r w:rsidRPr="002C4A88">
        <w:rPr>
          <w:rFonts w:ascii="Times New Roman" w:hAnsi="Times New Roman" w:cs="Times New Roman"/>
        </w:rPr>
        <w:t>Homagama</w:t>
      </w:r>
      <w:proofErr w:type="spellEnd"/>
      <w:r w:rsidRPr="002C4A88">
        <w:rPr>
          <w:rFonts w:ascii="Times New Roman" w:hAnsi="Times New Roman" w:cs="Times New Roman"/>
        </w:rPr>
        <w:t xml:space="preserve"> (7.23%) and DH </w:t>
      </w:r>
      <w:proofErr w:type="spellStart"/>
      <w:r w:rsidRPr="002C4A88">
        <w:rPr>
          <w:rFonts w:ascii="Times New Roman" w:hAnsi="Times New Roman" w:cs="Times New Roman"/>
        </w:rPr>
        <w:t>Thalangama</w:t>
      </w:r>
      <w:proofErr w:type="spellEnd"/>
      <w:r w:rsidRPr="002C4A88">
        <w:rPr>
          <w:rFonts w:ascii="Times New Roman" w:hAnsi="Times New Roman" w:cs="Times New Roman"/>
        </w:rPr>
        <w:t xml:space="preserve"> (6.45%) maintained much more realistic and complete tracking. KIIs at BH </w:t>
      </w:r>
      <w:proofErr w:type="spellStart"/>
      <w:r w:rsidRPr="002C4A88">
        <w:rPr>
          <w:rFonts w:ascii="Times New Roman" w:hAnsi="Times New Roman" w:cs="Times New Roman"/>
        </w:rPr>
        <w:t>Homagama</w:t>
      </w:r>
      <w:proofErr w:type="spellEnd"/>
      <w:r w:rsidRPr="002C4A88">
        <w:rPr>
          <w:rFonts w:ascii="Times New Roman" w:hAnsi="Times New Roman" w:cs="Times New Roman"/>
        </w:rPr>
        <w:t xml:space="preserve"> indicated that as a secondary care Base Hospital, they maintained more stable laboratory supply lines and utilized centralized laboratory testing alongside point-of-care glucometers, minimizing diagnostic gaps. This diagnostic divide undermines the utili</w:t>
      </w:r>
      <w:r>
        <w:rPr>
          <w:rFonts w:ascii="Times New Roman" w:hAnsi="Times New Roman" w:cs="Times New Roman"/>
        </w:rPr>
        <w:t xml:space="preserve">ty of primary care tracking, masking the true scale of the type 2 diabetes burden in high-volume clinics. </w:t>
      </w:r>
    </w:p>
    <w:p w14:paraId="02C40D9A" w14:textId="77777777" w:rsidR="00232E1D" w:rsidRDefault="00232E1D">
      <w:pPr>
        <w:spacing w:line="360" w:lineRule="auto"/>
        <w:jc w:val="both"/>
        <w:rPr>
          <w:rFonts w:ascii="Times New Roman" w:hAnsi="Times New Roman" w:cs="Times New Roman"/>
          <w:b/>
          <w:bCs/>
        </w:rPr>
      </w:pPr>
    </w:p>
    <w:p w14:paraId="364A733C"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Methodological Triangulation: Insights from Qualitative Reviews</w:t>
      </w:r>
    </w:p>
    <w:p w14:paraId="613397AB" w14:textId="77777777" w:rsidR="00232E1D" w:rsidRDefault="000912E6">
      <w:pPr>
        <w:spacing w:line="360" w:lineRule="auto"/>
        <w:jc w:val="both"/>
        <w:rPr>
          <w:rFonts w:ascii="Times New Roman" w:hAnsi="Times New Roman" w:cs="Times New Roman"/>
        </w:rPr>
      </w:pPr>
      <w:r>
        <w:rPr>
          <w:rFonts w:ascii="Times New Roman" w:hAnsi="Times New Roman" w:cs="Times New Roman"/>
        </w:rPr>
        <w:t xml:space="preserve">Utilizing a mixed-methods design allowed this study to look beyond numbers and isolate the structural elements influencing HLC performance across the district. The desk review of institutional documents and KIIs identified three overarching themes affecting data fidelity and clinical impact: </w:t>
      </w:r>
    </w:p>
    <w:p w14:paraId="134E67EC" w14:textId="77777777" w:rsidR="00232E1D" w:rsidRDefault="000912E6">
      <w:pPr>
        <w:numPr>
          <w:ilvl w:val="0"/>
          <w:numId w:val="12"/>
        </w:numPr>
        <w:spacing w:line="360" w:lineRule="auto"/>
        <w:jc w:val="both"/>
        <w:rPr>
          <w:rFonts w:ascii="Times New Roman" w:hAnsi="Times New Roman" w:cs="Times New Roman"/>
        </w:rPr>
      </w:pPr>
      <w:r>
        <w:rPr>
          <w:rFonts w:ascii="Times New Roman" w:hAnsi="Times New Roman" w:cs="Times New Roman"/>
          <w:b/>
          <w:bCs/>
        </w:rPr>
        <w:lastRenderedPageBreak/>
        <w:t>Staffing and Training Deficits:</w:t>
      </w:r>
      <w:r>
        <w:rPr>
          <w:rFonts w:ascii="Times New Roman" w:hAnsi="Times New Roman" w:cs="Times New Roman"/>
        </w:rPr>
        <w:t xml:space="preserve"> Across several primary care Divisional Hospitals, HLCs are run by general nursing staff without formal, updated training in NCD risk calculation or behavioral counseling. Staff rotations frequently disrupt clinic continuity. </w:t>
      </w:r>
    </w:p>
    <w:p w14:paraId="41F57252" w14:textId="77777777" w:rsidR="00232E1D" w:rsidRDefault="000912E6">
      <w:pPr>
        <w:numPr>
          <w:ilvl w:val="0"/>
          <w:numId w:val="12"/>
        </w:numPr>
        <w:spacing w:line="360" w:lineRule="auto"/>
        <w:jc w:val="both"/>
        <w:rPr>
          <w:rFonts w:ascii="Times New Roman" w:hAnsi="Times New Roman" w:cs="Times New Roman"/>
        </w:rPr>
      </w:pPr>
      <w:r>
        <w:rPr>
          <w:rFonts w:ascii="Times New Roman" w:hAnsi="Times New Roman" w:cs="Times New Roman"/>
          <w:b/>
          <w:bCs/>
        </w:rPr>
        <w:t>Data Recording Fidelity:</w:t>
      </w:r>
      <w:r>
        <w:rPr>
          <w:rFonts w:ascii="Times New Roman" w:hAnsi="Times New Roman" w:cs="Times New Roman"/>
        </w:rPr>
        <w:t xml:space="preserve"> Registry reviews showed that tracking forms are often filled out partially during peak clinical hours. Behavioral habits like alcohol units or smoking frequency are often documented simply as binary parameters, losing vital clinical nuance regarding usage levels. </w:t>
      </w:r>
    </w:p>
    <w:p w14:paraId="002F865D" w14:textId="77777777" w:rsidR="00232E1D" w:rsidRDefault="000912E6">
      <w:pPr>
        <w:numPr>
          <w:ilvl w:val="0"/>
          <w:numId w:val="12"/>
        </w:numPr>
        <w:spacing w:line="360" w:lineRule="auto"/>
        <w:jc w:val="both"/>
        <w:rPr>
          <w:rFonts w:ascii="Times New Roman" w:hAnsi="Times New Roman" w:cs="Times New Roman"/>
        </w:rPr>
      </w:pPr>
      <w:r>
        <w:rPr>
          <w:rFonts w:ascii="Times New Roman" w:hAnsi="Times New Roman" w:cs="Times New Roman"/>
          <w:b/>
          <w:bCs/>
        </w:rPr>
        <w:t>Infrastructure Limitations:</w:t>
      </w:r>
      <w:r>
        <w:rPr>
          <w:rFonts w:ascii="Times New Roman" w:hAnsi="Times New Roman" w:cs="Times New Roman"/>
        </w:rPr>
        <w:t xml:space="preserve"> While primary clinics excel at community mobilization, their physical infrastructure often compromises patient privacy. Key informants noted that discussing sensitive behavioral risks—such as harmful alcohol consumption—in open, crowded spaces often leads to underreporting by clients due to social stigma. </w:t>
      </w:r>
    </w:p>
    <w:p w14:paraId="3A4257B5" w14:textId="77777777" w:rsidR="00232E1D" w:rsidRDefault="00232E1D">
      <w:pPr>
        <w:spacing w:line="360" w:lineRule="auto"/>
        <w:jc w:val="both"/>
        <w:rPr>
          <w:rFonts w:ascii="Times New Roman" w:hAnsi="Times New Roman" w:cs="Times New Roman"/>
        </w:rPr>
      </w:pPr>
    </w:p>
    <w:p w14:paraId="1E2B7DE5" w14:textId="77777777" w:rsidR="00232E1D" w:rsidRDefault="000912E6">
      <w:pPr>
        <w:spacing w:line="360" w:lineRule="auto"/>
        <w:jc w:val="both"/>
        <w:rPr>
          <w:rFonts w:ascii="Times New Roman" w:hAnsi="Times New Roman" w:cs="Times New Roman"/>
          <w:b/>
          <w:bCs/>
        </w:rPr>
      </w:pPr>
      <w:r>
        <w:rPr>
          <w:rFonts w:ascii="Times New Roman" w:hAnsi="Times New Roman" w:cs="Times New Roman"/>
          <w:b/>
          <w:bCs/>
        </w:rPr>
        <w:t>Recommendations</w:t>
      </w:r>
    </w:p>
    <w:p w14:paraId="05897277" w14:textId="77777777" w:rsidR="00232E1D" w:rsidRDefault="000912E6">
      <w:pPr>
        <w:spacing w:line="360" w:lineRule="auto"/>
        <w:jc w:val="both"/>
        <w:rPr>
          <w:rFonts w:ascii="Times New Roman" w:hAnsi="Times New Roman" w:cs="Times New Roman"/>
        </w:rPr>
      </w:pPr>
      <w:r>
        <w:rPr>
          <w:rFonts w:ascii="Times New Roman" w:hAnsi="Times New Roman" w:cs="Times New Roman"/>
        </w:rPr>
        <w:t>To improve the clinical efficiency, data fidelity, and preventative impact of the Healthy Lifestyle Clinics (HLCs) within the Colombo Regional Department of Health Services (RDHS) network, the following evidence-based strategic interventions are recommended:</w:t>
      </w:r>
    </w:p>
    <w:p w14:paraId="04F90285" w14:textId="77777777" w:rsidR="00232E1D" w:rsidRDefault="000912E6">
      <w:pPr>
        <w:spacing w:line="360" w:lineRule="auto"/>
        <w:jc w:val="both"/>
        <w:rPr>
          <w:rFonts w:ascii="Times New Roman" w:hAnsi="Times New Roman" w:cs="Times New Roman"/>
        </w:rPr>
      </w:pPr>
      <w:r>
        <w:rPr>
          <w:rFonts w:ascii="Times New Roman" w:hAnsi="Times New Roman" w:cs="Times New Roman"/>
        </w:rPr>
        <w:t>Mitigating Diagnostic Gaps and Optimizing Diabetes Tracking</w:t>
      </w:r>
    </w:p>
    <w:p w14:paraId="5FE26023" w14:textId="77777777" w:rsidR="00232E1D" w:rsidRDefault="000912E6">
      <w:pPr>
        <w:numPr>
          <w:ilvl w:val="0"/>
          <w:numId w:val="13"/>
        </w:numPr>
        <w:spacing w:line="360" w:lineRule="auto"/>
        <w:jc w:val="both"/>
        <w:rPr>
          <w:rFonts w:ascii="Times New Roman" w:hAnsi="Times New Roman" w:cs="Times New Roman"/>
        </w:rPr>
      </w:pPr>
      <w:r>
        <w:rPr>
          <w:rFonts w:ascii="Times New Roman" w:hAnsi="Times New Roman" w:cs="Times New Roman"/>
        </w:rPr>
        <w:t xml:space="preserve">Implement Mandatory Buffer Stock Management for Point-of-Care Diagnostics: The Regional Department of Health Services (RDHS) Colombo should establish a strict, automated inventory system for HLC supplies, specifically prioritizing point-of-care glucometer strips. To eliminate the epidemiologically impossible "zero-prevalence" reporting anomalies caused by stock ruptures at high-volume primary centers like DH </w:t>
      </w:r>
      <w:proofErr w:type="spellStart"/>
      <w:r>
        <w:rPr>
          <w:rFonts w:ascii="Times New Roman" w:hAnsi="Times New Roman" w:cs="Times New Roman"/>
        </w:rPr>
        <w:t>Kosgama</w:t>
      </w:r>
      <w:proofErr w:type="spellEnd"/>
      <w:r>
        <w:rPr>
          <w:rFonts w:ascii="Times New Roman" w:hAnsi="Times New Roman" w:cs="Times New Roman"/>
        </w:rPr>
        <w:t xml:space="preserve"> and DH Moratuwa, supply chains must maintain a minimum two-month reserve buffer.</w:t>
      </w:r>
    </w:p>
    <w:p w14:paraId="0A8F04EC" w14:textId="77777777" w:rsidR="00232E1D" w:rsidRDefault="000912E6">
      <w:pPr>
        <w:numPr>
          <w:ilvl w:val="0"/>
          <w:numId w:val="13"/>
        </w:numPr>
        <w:spacing w:line="360" w:lineRule="auto"/>
        <w:jc w:val="both"/>
        <w:rPr>
          <w:rFonts w:ascii="Times New Roman" w:hAnsi="Times New Roman" w:cs="Times New Roman"/>
        </w:rPr>
      </w:pPr>
      <w:r>
        <w:rPr>
          <w:rFonts w:ascii="Times New Roman" w:hAnsi="Times New Roman" w:cs="Times New Roman"/>
        </w:rPr>
        <w:t xml:space="preserve">Introduce Glycated Hemoglobin (HbA1c) Screening for High-Risk Cohorts: For high-volume primary clinics, the Ministry of Health should introduce targeted point-of-care HbA1c testing specifically for walk-in clients who exhibit clustered metabolic risk factors </w:t>
      </w:r>
      <w:r>
        <w:rPr>
          <w:rFonts w:ascii="Times New Roman" w:hAnsi="Times New Roman" w:cs="Times New Roman"/>
        </w:rPr>
        <w:lastRenderedPageBreak/>
        <w:t>(e.g., overlapping obesity and hypertension) but are non-fasting. This entirely bypasses the logistical barrier of fasting requirements and secures immediate diagnostic completeness.</w:t>
      </w:r>
    </w:p>
    <w:p w14:paraId="2BBC7BEC" w14:textId="77777777" w:rsidR="00232E1D" w:rsidRDefault="000912E6">
      <w:pPr>
        <w:spacing w:line="360" w:lineRule="auto"/>
        <w:jc w:val="both"/>
        <w:rPr>
          <w:rFonts w:ascii="Times New Roman" w:hAnsi="Times New Roman" w:cs="Times New Roman"/>
        </w:rPr>
      </w:pPr>
      <w:r>
        <w:rPr>
          <w:rFonts w:ascii="Times New Roman" w:hAnsi="Times New Roman" w:cs="Times New Roman"/>
        </w:rPr>
        <w:t>Strengthening Institutional System Balance and Patient Mobilization</w:t>
      </w:r>
    </w:p>
    <w:p w14:paraId="78EACA53" w14:textId="77777777" w:rsidR="00232E1D" w:rsidRDefault="000912E6">
      <w:pPr>
        <w:numPr>
          <w:ilvl w:val="0"/>
          <w:numId w:val="14"/>
        </w:numPr>
        <w:spacing w:line="360" w:lineRule="auto"/>
        <w:jc w:val="both"/>
        <w:rPr>
          <w:rFonts w:ascii="Times New Roman" w:hAnsi="Times New Roman" w:cs="Times New Roman"/>
        </w:rPr>
      </w:pPr>
      <w:r>
        <w:rPr>
          <w:rFonts w:ascii="Times New Roman" w:hAnsi="Times New Roman" w:cs="Times New Roman"/>
        </w:rPr>
        <w:t xml:space="preserve">Re-engineer Patient Mobilization Channels at Secondary Care Centers: Specialized secondary institutions, such as DGH </w:t>
      </w:r>
      <w:proofErr w:type="spellStart"/>
      <w:r>
        <w:rPr>
          <w:rFonts w:ascii="Times New Roman" w:hAnsi="Times New Roman" w:cs="Times New Roman"/>
        </w:rPr>
        <w:t>Avissawella</w:t>
      </w:r>
      <w:proofErr w:type="spellEnd"/>
      <w:r>
        <w:rPr>
          <w:rFonts w:ascii="Times New Roman" w:hAnsi="Times New Roman" w:cs="Times New Roman"/>
        </w:rPr>
        <w:t xml:space="preserve"> and BH </w:t>
      </w:r>
      <w:proofErr w:type="spellStart"/>
      <w:r>
        <w:rPr>
          <w:rFonts w:ascii="Times New Roman" w:hAnsi="Times New Roman" w:cs="Times New Roman"/>
        </w:rPr>
        <w:t>Homagama</w:t>
      </w:r>
      <w:proofErr w:type="spellEnd"/>
      <w:r>
        <w:rPr>
          <w:rFonts w:ascii="Times New Roman" w:hAnsi="Times New Roman" w:cs="Times New Roman"/>
        </w:rPr>
        <w:t>, must actively scale up their preventative footprint to balance their heavy curative loads. It is recommended to establish a mandatory intra-hospital referral system where asymptomatic companions accompanying inpatients, or individuals presenting with minor ailments to the general Outpatient Department (OPD), are systematically routed to the hospital’s internal HLC for screening.</w:t>
      </w:r>
    </w:p>
    <w:p w14:paraId="6260B7D4" w14:textId="77777777" w:rsidR="00232E1D" w:rsidRDefault="000912E6">
      <w:pPr>
        <w:numPr>
          <w:ilvl w:val="0"/>
          <w:numId w:val="14"/>
        </w:numPr>
        <w:spacing w:line="360" w:lineRule="auto"/>
        <w:jc w:val="both"/>
        <w:rPr>
          <w:rFonts w:ascii="Times New Roman" w:hAnsi="Times New Roman" w:cs="Times New Roman"/>
        </w:rPr>
      </w:pPr>
      <w:r>
        <w:rPr>
          <w:rFonts w:ascii="Times New Roman" w:hAnsi="Times New Roman" w:cs="Times New Roman"/>
        </w:rPr>
        <w:t>Expand Community Outreach via MOH Partnerships: High-performing primary care centers should formalize their outreach strategies into a replicable framework. Divisional Hospitals with lower screening volumes should closely collaborate with their corresponding Medical Officer of Health (MOH) offices, mobilizing Public Health Nursing Officers (PHNOs) and field staff to conduct targeted workplace or community-based screening camps, systematically channeling eligible adults aged 35 and older into the primary care network.</w:t>
      </w:r>
    </w:p>
    <w:p w14:paraId="33792C96" w14:textId="77777777" w:rsidR="00232E1D" w:rsidRDefault="000912E6">
      <w:pPr>
        <w:spacing w:line="360" w:lineRule="auto"/>
        <w:jc w:val="both"/>
        <w:rPr>
          <w:rFonts w:ascii="Times New Roman" w:hAnsi="Times New Roman" w:cs="Times New Roman"/>
        </w:rPr>
      </w:pPr>
      <w:r>
        <w:rPr>
          <w:rFonts w:ascii="Times New Roman" w:hAnsi="Times New Roman" w:cs="Times New Roman"/>
        </w:rPr>
        <w:t>Risk-Targeted Resource Allocation and Clinical Intervention</w:t>
      </w:r>
    </w:p>
    <w:p w14:paraId="4AB057E6" w14:textId="77777777" w:rsidR="00232E1D" w:rsidRDefault="000912E6">
      <w:pPr>
        <w:numPr>
          <w:ilvl w:val="0"/>
          <w:numId w:val="15"/>
        </w:numPr>
        <w:spacing w:line="360" w:lineRule="auto"/>
        <w:jc w:val="both"/>
        <w:rPr>
          <w:rFonts w:ascii="Times New Roman" w:hAnsi="Times New Roman" w:cs="Times New Roman"/>
        </w:rPr>
      </w:pPr>
      <w:r>
        <w:rPr>
          <w:rFonts w:ascii="Times New Roman" w:hAnsi="Times New Roman" w:cs="Times New Roman"/>
        </w:rPr>
        <w:t>Establish Tailored Behavioral Interventions Based on Spatial Risk Clustering: Rather than employing a generalized public health approach, public health administrators should allocate specific counseling resources based on localized community risks.</w:t>
      </w:r>
    </w:p>
    <w:p w14:paraId="6A28F17D" w14:textId="77777777" w:rsidR="00232E1D" w:rsidRDefault="000912E6">
      <w:pPr>
        <w:numPr>
          <w:ilvl w:val="1"/>
          <w:numId w:val="15"/>
        </w:numPr>
        <w:spacing w:line="360" w:lineRule="auto"/>
        <w:jc w:val="both"/>
        <w:rPr>
          <w:rFonts w:ascii="Times New Roman" w:hAnsi="Times New Roman" w:cs="Times New Roman"/>
        </w:rPr>
      </w:pPr>
      <w:r>
        <w:rPr>
          <w:rFonts w:ascii="Times New Roman" w:hAnsi="Times New Roman" w:cs="Times New Roman"/>
        </w:rPr>
        <w:t xml:space="preserve">Dedicated Tobacco Cessation Counseling Hubs and specialized clinical protocols should be heavily resourced at high-density urban/industrial stations like DH Moratuwa, DH </w:t>
      </w:r>
      <w:proofErr w:type="spellStart"/>
      <w:r>
        <w:rPr>
          <w:rFonts w:ascii="Times New Roman" w:hAnsi="Times New Roman" w:cs="Times New Roman"/>
        </w:rPr>
        <w:t>Thalangama</w:t>
      </w:r>
      <w:proofErr w:type="spellEnd"/>
      <w:r>
        <w:rPr>
          <w:rFonts w:ascii="Times New Roman" w:hAnsi="Times New Roman" w:cs="Times New Roman"/>
        </w:rPr>
        <w:t xml:space="preserve">, and DGH </w:t>
      </w:r>
      <w:proofErr w:type="spellStart"/>
      <w:r>
        <w:rPr>
          <w:rFonts w:ascii="Times New Roman" w:hAnsi="Times New Roman" w:cs="Times New Roman"/>
        </w:rPr>
        <w:t>Avissawella</w:t>
      </w:r>
      <w:proofErr w:type="spellEnd"/>
      <w:r>
        <w:rPr>
          <w:rFonts w:ascii="Times New Roman" w:hAnsi="Times New Roman" w:cs="Times New Roman"/>
        </w:rPr>
        <w:t>.</w:t>
      </w:r>
    </w:p>
    <w:p w14:paraId="3FC52792" w14:textId="77777777" w:rsidR="00232E1D" w:rsidRDefault="000912E6">
      <w:pPr>
        <w:numPr>
          <w:ilvl w:val="1"/>
          <w:numId w:val="15"/>
        </w:numPr>
        <w:spacing w:line="360" w:lineRule="auto"/>
        <w:jc w:val="both"/>
        <w:rPr>
          <w:rFonts w:ascii="Times New Roman" w:hAnsi="Times New Roman" w:cs="Times New Roman"/>
        </w:rPr>
      </w:pPr>
      <w:r>
        <w:rPr>
          <w:rFonts w:ascii="Times New Roman" w:hAnsi="Times New Roman" w:cs="Times New Roman"/>
        </w:rPr>
        <w:t xml:space="preserve">Culturally tailored Betel Chewing Cessation Campaigns, emphasizing oral cancer screening awareness, must be prioritized and expanded within agriculturally tied catchments such as DGH </w:t>
      </w:r>
      <w:proofErr w:type="spellStart"/>
      <w:r>
        <w:rPr>
          <w:rFonts w:ascii="Times New Roman" w:hAnsi="Times New Roman" w:cs="Times New Roman"/>
        </w:rPr>
        <w:t>Avissawella</w:t>
      </w:r>
      <w:proofErr w:type="spellEnd"/>
      <w:r>
        <w:rPr>
          <w:rFonts w:ascii="Times New Roman" w:hAnsi="Times New Roman" w:cs="Times New Roman"/>
        </w:rPr>
        <w:t xml:space="preserve">, DH </w:t>
      </w:r>
      <w:proofErr w:type="spellStart"/>
      <w:r>
        <w:rPr>
          <w:rFonts w:ascii="Times New Roman" w:hAnsi="Times New Roman" w:cs="Times New Roman"/>
        </w:rPr>
        <w:t>Nawagamuwa</w:t>
      </w:r>
      <w:proofErr w:type="spellEnd"/>
      <w:r>
        <w:rPr>
          <w:rFonts w:ascii="Times New Roman" w:hAnsi="Times New Roman" w:cs="Times New Roman"/>
        </w:rPr>
        <w:t>, and DH Padukka.</w:t>
      </w:r>
    </w:p>
    <w:p w14:paraId="098BD9BE" w14:textId="77777777" w:rsidR="00232E1D" w:rsidRDefault="000912E6">
      <w:pPr>
        <w:numPr>
          <w:ilvl w:val="1"/>
          <w:numId w:val="15"/>
        </w:numPr>
        <w:spacing w:line="360" w:lineRule="auto"/>
        <w:jc w:val="both"/>
        <w:rPr>
          <w:rFonts w:ascii="Times New Roman" w:hAnsi="Times New Roman" w:cs="Times New Roman"/>
        </w:rPr>
      </w:pPr>
      <w:r>
        <w:rPr>
          <w:rFonts w:ascii="Times New Roman" w:hAnsi="Times New Roman" w:cs="Times New Roman"/>
        </w:rPr>
        <w:lastRenderedPageBreak/>
        <w:t xml:space="preserve">Nutritional Transition and Lifestyle Modification Clinics must be paired with metabolic counseling at urban inner-city sites like DH </w:t>
      </w:r>
      <w:proofErr w:type="spellStart"/>
      <w:r>
        <w:rPr>
          <w:rFonts w:ascii="Times New Roman" w:hAnsi="Times New Roman" w:cs="Times New Roman"/>
        </w:rPr>
        <w:t>Maligawatta</w:t>
      </w:r>
      <w:proofErr w:type="spellEnd"/>
      <w:r>
        <w:rPr>
          <w:rFonts w:ascii="Times New Roman" w:hAnsi="Times New Roman" w:cs="Times New Roman"/>
        </w:rPr>
        <w:t xml:space="preserve"> and DH </w:t>
      </w:r>
      <w:proofErr w:type="spellStart"/>
      <w:r>
        <w:rPr>
          <w:rFonts w:ascii="Times New Roman" w:hAnsi="Times New Roman" w:cs="Times New Roman"/>
        </w:rPr>
        <w:t>Wethara</w:t>
      </w:r>
      <w:proofErr w:type="spellEnd"/>
      <w:r>
        <w:rPr>
          <w:rFonts w:ascii="Times New Roman" w:hAnsi="Times New Roman" w:cs="Times New Roman"/>
        </w:rPr>
        <w:t xml:space="preserve"> to address high localized rates of obesity and harmful alcohol use.</w:t>
      </w:r>
    </w:p>
    <w:p w14:paraId="552D0F5C" w14:textId="77777777" w:rsidR="00232E1D" w:rsidRDefault="000912E6">
      <w:pPr>
        <w:spacing w:line="360" w:lineRule="auto"/>
        <w:jc w:val="both"/>
        <w:rPr>
          <w:rFonts w:ascii="Times New Roman" w:hAnsi="Times New Roman" w:cs="Times New Roman"/>
        </w:rPr>
      </w:pPr>
      <w:r>
        <w:rPr>
          <w:rFonts w:ascii="Times New Roman" w:hAnsi="Times New Roman" w:cs="Times New Roman"/>
        </w:rPr>
        <w:t>Enhancing Capacity Building and Data Fidelity</w:t>
      </w:r>
    </w:p>
    <w:p w14:paraId="3CB3253F" w14:textId="77777777" w:rsidR="00232E1D" w:rsidRDefault="000912E6">
      <w:pPr>
        <w:numPr>
          <w:ilvl w:val="0"/>
          <w:numId w:val="16"/>
        </w:numPr>
        <w:spacing w:line="360" w:lineRule="auto"/>
        <w:jc w:val="both"/>
        <w:rPr>
          <w:rFonts w:ascii="Times New Roman" w:hAnsi="Times New Roman" w:cs="Times New Roman"/>
        </w:rPr>
      </w:pPr>
      <w:r>
        <w:rPr>
          <w:rFonts w:ascii="Times New Roman" w:hAnsi="Times New Roman" w:cs="Times New Roman"/>
        </w:rPr>
        <w:t>Provide Standardized Training on Comprehensive Risk Calculation: The Directorate of Non-Communicable Diseases should conduct regular, mandatory capacity-building workshops for HLC nursing officers. Training must focus heavily on the accurate use of total cardiovascular risk prediction charts (such as the WHO/ISH risk prediction charts) to ensure that clinical assessments shift from managing isolated risk markers to implementing holistic, total risk-based patient management.</w:t>
      </w:r>
    </w:p>
    <w:p w14:paraId="3FA8C026" w14:textId="77777777" w:rsidR="00232E1D" w:rsidRDefault="000912E6">
      <w:pPr>
        <w:numPr>
          <w:ilvl w:val="0"/>
          <w:numId w:val="16"/>
        </w:numPr>
        <w:spacing w:line="360" w:lineRule="auto"/>
        <w:jc w:val="both"/>
        <w:rPr>
          <w:rFonts w:ascii="Times New Roman" w:hAnsi="Times New Roman" w:cs="Times New Roman"/>
        </w:rPr>
      </w:pPr>
      <w:r>
        <w:rPr>
          <w:rFonts w:ascii="Times New Roman" w:hAnsi="Times New Roman" w:cs="Times New Roman"/>
        </w:rPr>
        <w:t>Improve Data Recording Fidelity and Registry Infrastructure: To safeguard data completeness, standard institutional monthly returns should transition from simple binary fields to structured registries that capture clinical nuances (e.g., specific units of alcohol consumed or smoking frequency). Additionally, institutions must optimize clinic floor layouts to provide private counseling spaces, minimizing the social stigma that frequently leads to the underreporting of behavioral risk habits like harmful alcohol consumption.</w:t>
      </w:r>
    </w:p>
    <w:p w14:paraId="050B5C04" w14:textId="77777777" w:rsidR="00633F91" w:rsidRDefault="00633F91">
      <w:pPr>
        <w:spacing w:line="360" w:lineRule="auto"/>
        <w:jc w:val="both"/>
        <w:rPr>
          <w:rFonts w:ascii="Times New Roman" w:hAnsi="Times New Roman" w:cs="Times New Roman"/>
          <w:b/>
          <w:bCs/>
        </w:rPr>
      </w:pPr>
    </w:p>
    <w:p w14:paraId="47E0389D" w14:textId="11D07453" w:rsidR="00232E1D" w:rsidRDefault="000912E6">
      <w:pPr>
        <w:spacing w:line="360" w:lineRule="auto"/>
        <w:jc w:val="both"/>
        <w:rPr>
          <w:rFonts w:ascii="Times New Roman" w:hAnsi="Times New Roman" w:cs="Times New Roman"/>
          <w:b/>
          <w:bCs/>
        </w:rPr>
      </w:pPr>
      <w:r>
        <w:rPr>
          <w:rFonts w:ascii="Times New Roman" w:hAnsi="Times New Roman" w:cs="Times New Roman"/>
          <w:b/>
          <w:bCs/>
        </w:rPr>
        <w:t>References</w:t>
      </w:r>
    </w:p>
    <w:p w14:paraId="7FE8AB75" w14:textId="77777777" w:rsidR="00232E1D" w:rsidRDefault="000912E6">
      <w:pPr>
        <w:numPr>
          <w:ilvl w:val="0"/>
          <w:numId w:val="17"/>
        </w:numPr>
        <w:spacing w:line="360" w:lineRule="auto"/>
        <w:jc w:val="both"/>
        <w:rPr>
          <w:rFonts w:ascii="Times New Roman" w:hAnsi="Times New Roman" w:cs="Times New Roman"/>
        </w:rPr>
      </w:pPr>
      <w:r>
        <w:rPr>
          <w:rFonts w:ascii="Times New Roman" w:hAnsi="Times New Roman" w:cs="Times New Roman"/>
        </w:rPr>
        <w:t xml:space="preserve">GBD 2019 Risk Factors Collaborators, 2020. Global burden of 87 risk factors in 204 countries and territories, 1990–2019: a systematic analysis for the Global Burden of Disease Study 2019. </w:t>
      </w:r>
      <w:r>
        <w:rPr>
          <w:rFonts w:ascii="Times New Roman" w:hAnsi="Times New Roman" w:cs="Times New Roman"/>
          <w:i/>
          <w:iCs/>
        </w:rPr>
        <w:t>The Lancet</w:t>
      </w:r>
      <w:r>
        <w:rPr>
          <w:rFonts w:ascii="Times New Roman" w:hAnsi="Times New Roman" w:cs="Times New Roman"/>
        </w:rPr>
        <w:t>, 396(10258), pp. 1223-1249.</w:t>
      </w:r>
    </w:p>
    <w:p w14:paraId="1C06B233" w14:textId="77777777" w:rsidR="00232E1D" w:rsidRDefault="000912E6">
      <w:pPr>
        <w:numPr>
          <w:ilvl w:val="0"/>
          <w:numId w:val="17"/>
        </w:numPr>
        <w:spacing w:line="360" w:lineRule="auto"/>
        <w:jc w:val="both"/>
        <w:rPr>
          <w:rFonts w:ascii="Times New Roman" w:hAnsi="Times New Roman" w:cs="Times New Roman"/>
        </w:rPr>
      </w:pPr>
      <w:r>
        <w:rPr>
          <w:rFonts w:ascii="Times New Roman" w:hAnsi="Times New Roman" w:cs="Times New Roman"/>
        </w:rPr>
        <w:t xml:space="preserve">United Nations General Assembly, 2015. </w:t>
      </w:r>
      <w:r>
        <w:rPr>
          <w:rFonts w:ascii="Times New Roman" w:hAnsi="Times New Roman" w:cs="Times New Roman"/>
          <w:i/>
          <w:iCs/>
        </w:rPr>
        <w:t>Transforming our world: the 2030 Agenda for Sustainable Development</w:t>
      </w:r>
      <w:r>
        <w:rPr>
          <w:rFonts w:ascii="Times New Roman" w:hAnsi="Times New Roman" w:cs="Times New Roman"/>
        </w:rPr>
        <w:t>. Resolution A/RES/70/1. New York: United Nations.</w:t>
      </w:r>
    </w:p>
    <w:p w14:paraId="47EF0A65" w14:textId="77777777" w:rsidR="00232E1D" w:rsidRDefault="000912E6">
      <w:pPr>
        <w:numPr>
          <w:ilvl w:val="0"/>
          <w:numId w:val="17"/>
        </w:numPr>
        <w:spacing w:line="360" w:lineRule="auto"/>
        <w:jc w:val="both"/>
        <w:rPr>
          <w:rFonts w:ascii="Times New Roman" w:hAnsi="Times New Roman" w:cs="Times New Roman"/>
        </w:rPr>
      </w:pPr>
      <w:r>
        <w:rPr>
          <w:rFonts w:ascii="Times New Roman" w:hAnsi="Times New Roman" w:cs="Times New Roman"/>
        </w:rPr>
        <w:t xml:space="preserve">World Health Organization, 2022. </w:t>
      </w:r>
      <w:r>
        <w:rPr>
          <w:rFonts w:ascii="Times New Roman" w:hAnsi="Times New Roman" w:cs="Times New Roman"/>
          <w:i/>
          <w:iCs/>
        </w:rPr>
        <w:t>Invisible numbers: The true scale of noncommunicable diseases</w:t>
      </w:r>
      <w:r>
        <w:rPr>
          <w:rFonts w:ascii="Times New Roman" w:hAnsi="Times New Roman" w:cs="Times New Roman"/>
        </w:rPr>
        <w:t>. Geneva: World Health Organization.</w:t>
      </w:r>
    </w:p>
    <w:p w14:paraId="386EA38D" w14:textId="77777777" w:rsidR="00232E1D" w:rsidRDefault="000912E6">
      <w:pPr>
        <w:numPr>
          <w:ilvl w:val="0"/>
          <w:numId w:val="17"/>
        </w:numPr>
        <w:spacing w:line="360" w:lineRule="auto"/>
        <w:jc w:val="both"/>
        <w:rPr>
          <w:rFonts w:ascii="Times New Roman" w:hAnsi="Times New Roman" w:cs="Times New Roman"/>
        </w:rPr>
      </w:pPr>
      <w:proofErr w:type="spellStart"/>
      <w:r>
        <w:rPr>
          <w:rFonts w:ascii="Times New Roman" w:hAnsi="Times New Roman" w:cs="Times New Roman"/>
        </w:rPr>
        <w:t>Katulanda</w:t>
      </w:r>
      <w:proofErr w:type="spellEnd"/>
      <w:r>
        <w:rPr>
          <w:rFonts w:ascii="Times New Roman" w:hAnsi="Times New Roman" w:cs="Times New Roman"/>
        </w:rPr>
        <w:t xml:space="preserve">, P., Ranasinghe, P., Jayawardena, R. and Matthews, D.R., 2018. The prevalence, patterns and predictors of obesity among Sri Lankan adults. </w:t>
      </w:r>
      <w:r>
        <w:rPr>
          <w:rFonts w:ascii="Times New Roman" w:hAnsi="Times New Roman" w:cs="Times New Roman"/>
          <w:i/>
          <w:iCs/>
        </w:rPr>
        <w:t>Diabetes &amp; Metabolic Syndrome: Clinical Research &amp; Reviews</w:t>
      </w:r>
      <w:r>
        <w:rPr>
          <w:rFonts w:ascii="Times New Roman" w:hAnsi="Times New Roman" w:cs="Times New Roman"/>
        </w:rPr>
        <w:t>, 12(4), pp. 491-497.</w:t>
      </w:r>
    </w:p>
    <w:p w14:paraId="0785306B" w14:textId="77777777" w:rsidR="00232E1D" w:rsidRDefault="000912E6">
      <w:pPr>
        <w:numPr>
          <w:ilvl w:val="0"/>
          <w:numId w:val="17"/>
        </w:numPr>
        <w:spacing w:line="360" w:lineRule="auto"/>
        <w:jc w:val="both"/>
        <w:rPr>
          <w:rFonts w:ascii="Times New Roman" w:hAnsi="Times New Roman" w:cs="Times New Roman"/>
        </w:rPr>
      </w:pPr>
      <w:r>
        <w:rPr>
          <w:rFonts w:ascii="Times New Roman" w:hAnsi="Times New Roman" w:cs="Times New Roman"/>
        </w:rPr>
        <w:lastRenderedPageBreak/>
        <w:t xml:space="preserve">Ministry of Health, Nutrition and Indigenous Medicine Sri Lanka, 2018. </w:t>
      </w:r>
      <w:r>
        <w:rPr>
          <w:rFonts w:ascii="Times New Roman" w:hAnsi="Times New Roman" w:cs="Times New Roman"/>
          <w:i/>
          <w:iCs/>
        </w:rPr>
        <w:t>National Multisectoral Action Plan for the Prevention and Control of Non Communicable Diseases 2016-2020</w:t>
      </w:r>
      <w:r>
        <w:rPr>
          <w:rFonts w:ascii="Times New Roman" w:hAnsi="Times New Roman" w:cs="Times New Roman"/>
        </w:rPr>
        <w:t>. Colombo: Ministry of Health.</w:t>
      </w:r>
    </w:p>
    <w:p w14:paraId="1B9F2455" w14:textId="77777777" w:rsidR="00232E1D" w:rsidRDefault="000912E6">
      <w:pPr>
        <w:numPr>
          <w:ilvl w:val="0"/>
          <w:numId w:val="17"/>
        </w:numPr>
        <w:spacing w:line="360" w:lineRule="auto"/>
        <w:jc w:val="both"/>
        <w:rPr>
          <w:rFonts w:ascii="Times New Roman" w:hAnsi="Times New Roman" w:cs="Times New Roman"/>
        </w:rPr>
      </w:pPr>
      <w:r>
        <w:rPr>
          <w:rFonts w:ascii="Times New Roman" w:hAnsi="Times New Roman" w:cs="Times New Roman"/>
        </w:rPr>
        <w:t xml:space="preserve">World Health Organization, 2016. </w:t>
      </w:r>
      <w:r>
        <w:rPr>
          <w:rFonts w:ascii="Times New Roman" w:hAnsi="Times New Roman" w:cs="Times New Roman"/>
          <w:i/>
          <w:iCs/>
        </w:rPr>
        <w:t>Noncommunicable Diseases Risk Factor Survey Sri Lanka 2015 (WHO STEPS Survey)</w:t>
      </w:r>
      <w:r>
        <w:rPr>
          <w:rFonts w:ascii="Times New Roman" w:hAnsi="Times New Roman" w:cs="Times New Roman"/>
        </w:rPr>
        <w:t>. Colombo: Ministry of Health, Sri Lanka and World Health Organization Regional Office for South-East Asia.</w:t>
      </w:r>
    </w:p>
    <w:p w14:paraId="434191D8" w14:textId="77777777" w:rsidR="00232E1D" w:rsidRDefault="000912E6">
      <w:pPr>
        <w:numPr>
          <w:ilvl w:val="0"/>
          <w:numId w:val="17"/>
        </w:numPr>
        <w:spacing w:line="360" w:lineRule="auto"/>
        <w:jc w:val="both"/>
        <w:rPr>
          <w:rFonts w:ascii="Times New Roman" w:hAnsi="Times New Roman" w:cs="Times New Roman"/>
        </w:rPr>
      </w:pPr>
      <w:r>
        <w:rPr>
          <w:rFonts w:ascii="Times New Roman" w:hAnsi="Times New Roman" w:cs="Times New Roman"/>
        </w:rPr>
        <w:t xml:space="preserve">Directorate of Non-Communicable Diseases, 2024. </w:t>
      </w:r>
      <w:r>
        <w:rPr>
          <w:rFonts w:ascii="Times New Roman" w:hAnsi="Times New Roman" w:cs="Times New Roman"/>
          <w:i/>
          <w:iCs/>
        </w:rPr>
        <w:t>Annual Review of Healthy Lifestyle Clinics and NCD Surveillance Data</w:t>
      </w:r>
      <w:r>
        <w:rPr>
          <w:rFonts w:ascii="Times New Roman" w:hAnsi="Times New Roman" w:cs="Times New Roman"/>
        </w:rPr>
        <w:t>. Colombo: Ministry of Health, Sri Lanka.</w:t>
      </w:r>
    </w:p>
    <w:p w14:paraId="4584D174" w14:textId="77777777" w:rsidR="00232E1D" w:rsidRDefault="000912E6">
      <w:pPr>
        <w:numPr>
          <w:ilvl w:val="0"/>
          <w:numId w:val="17"/>
        </w:numPr>
        <w:spacing w:line="360" w:lineRule="auto"/>
        <w:jc w:val="both"/>
        <w:rPr>
          <w:rFonts w:ascii="Times New Roman" w:hAnsi="Times New Roman" w:cs="Times New Roman"/>
        </w:rPr>
      </w:pPr>
      <w:r>
        <w:rPr>
          <w:rFonts w:ascii="Times New Roman" w:hAnsi="Times New Roman" w:cs="Times New Roman"/>
        </w:rPr>
        <w:t xml:space="preserve">Ministry of Health, Sri Lanka, 2011. </w:t>
      </w:r>
      <w:r>
        <w:rPr>
          <w:rFonts w:ascii="Times New Roman" w:hAnsi="Times New Roman" w:cs="Times New Roman"/>
          <w:i/>
          <w:iCs/>
        </w:rPr>
        <w:t>Manual on Healthy Lifestyle Centers (HLC) for screening of Non-Communicable Diseases</w:t>
      </w:r>
      <w:r>
        <w:rPr>
          <w:rFonts w:ascii="Times New Roman" w:hAnsi="Times New Roman" w:cs="Times New Roman"/>
        </w:rPr>
        <w:t>. Colombo: Management Development and Planning Unit, Ministry of Health, Sri Lanka.</w:t>
      </w:r>
    </w:p>
    <w:p w14:paraId="13641BA5" w14:textId="77777777" w:rsidR="00232E1D" w:rsidRDefault="000912E6">
      <w:pPr>
        <w:numPr>
          <w:ilvl w:val="0"/>
          <w:numId w:val="17"/>
        </w:numPr>
        <w:spacing w:line="360" w:lineRule="auto"/>
        <w:jc w:val="both"/>
        <w:rPr>
          <w:rFonts w:ascii="Times New Roman" w:hAnsi="Times New Roman" w:cs="Times New Roman"/>
        </w:rPr>
      </w:pPr>
      <w:r>
        <w:rPr>
          <w:rFonts w:ascii="Times New Roman" w:hAnsi="Times New Roman" w:cs="Times New Roman"/>
        </w:rPr>
        <w:t xml:space="preserve">Regional Department of Health Services (RDHS) Colombo, 2024. </w:t>
      </w:r>
      <w:r>
        <w:rPr>
          <w:rFonts w:ascii="Times New Roman" w:hAnsi="Times New Roman" w:cs="Times New Roman"/>
          <w:i/>
          <w:iCs/>
        </w:rPr>
        <w:t>HLC Annual Review Data: Institutional Screening Profiles and Clinical Registries</w:t>
      </w:r>
      <w:r>
        <w:rPr>
          <w:rFonts w:ascii="Times New Roman" w:hAnsi="Times New Roman" w:cs="Times New Roman"/>
        </w:rPr>
        <w:t xml:space="preserve">. Colombo: RDHS. </w:t>
      </w:r>
      <w:r>
        <w:rPr>
          <w:rFonts w:ascii="Times New Roman" w:hAnsi="Times New Roman" w:cs="Times New Roman"/>
          <w:i/>
          <w:iCs/>
        </w:rPr>
        <w:t>(This directly references the local district dataset you analyzed).</w:t>
      </w:r>
    </w:p>
    <w:p w14:paraId="02854DE1" w14:textId="77777777" w:rsidR="00232E1D" w:rsidRDefault="00232E1D">
      <w:pPr>
        <w:spacing w:line="360" w:lineRule="auto"/>
        <w:jc w:val="both"/>
        <w:rPr>
          <w:rFonts w:ascii="Times New Roman" w:hAnsi="Times New Roman" w:cs="Times New Roman"/>
        </w:rPr>
      </w:pPr>
    </w:p>
    <w:p w14:paraId="4F096869" w14:textId="77777777" w:rsidR="00232E1D" w:rsidRDefault="00232E1D">
      <w:pPr>
        <w:spacing w:line="360" w:lineRule="auto"/>
        <w:jc w:val="both"/>
        <w:rPr>
          <w:rFonts w:ascii="Times New Roman" w:hAnsi="Times New Roman" w:cs="Times New Roman"/>
        </w:rPr>
      </w:pPr>
    </w:p>
    <w:sectPr w:rsidR="00232E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BF6B" w14:textId="77777777" w:rsidR="007D394A" w:rsidRDefault="007D394A">
      <w:pPr>
        <w:spacing w:line="240" w:lineRule="auto"/>
      </w:pPr>
      <w:r>
        <w:separator/>
      </w:r>
    </w:p>
  </w:endnote>
  <w:endnote w:type="continuationSeparator" w:id="0">
    <w:p w14:paraId="31B966FB" w14:textId="77777777" w:rsidR="007D394A" w:rsidRDefault="007D3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31BF" w14:textId="77777777" w:rsidR="007D394A" w:rsidRDefault="007D394A">
      <w:pPr>
        <w:spacing w:after="0"/>
      </w:pPr>
      <w:r>
        <w:separator/>
      </w:r>
    </w:p>
  </w:footnote>
  <w:footnote w:type="continuationSeparator" w:id="0">
    <w:p w14:paraId="4DD4DD4A" w14:textId="77777777" w:rsidR="007D394A" w:rsidRDefault="007D39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11CF"/>
    <w:multiLevelType w:val="multilevel"/>
    <w:tmpl w:val="00DB11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7EC18F3"/>
    <w:multiLevelType w:val="multilevel"/>
    <w:tmpl w:val="07EC18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EA163EF"/>
    <w:multiLevelType w:val="multilevel"/>
    <w:tmpl w:val="0EA163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41C1F92"/>
    <w:multiLevelType w:val="multilevel"/>
    <w:tmpl w:val="141C1F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E3459BD"/>
    <w:multiLevelType w:val="multilevel"/>
    <w:tmpl w:val="1E3459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5941AD"/>
    <w:multiLevelType w:val="multilevel"/>
    <w:tmpl w:val="235941A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9B83BC4"/>
    <w:multiLevelType w:val="multilevel"/>
    <w:tmpl w:val="29B83B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CE5070B"/>
    <w:multiLevelType w:val="multilevel"/>
    <w:tmpl w:val="2CE507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FE468C8"/>
    <w:multiLevelType w:val="multilevel"/>
    <w:tmpl w:val="2FE46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6404175"/>
    <w:multiLevelType w:val="multilevel"/>
    <w:tmpl w:val="464041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6F16200"/>
    <w:multiLevelType w:val="multilevel"/>
    <w:tmpl w:val="46F162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50952151"/>
    <w:multiLevelType w:val="multilevel"/>
    <w:tmpl w:val="509521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154490D"/>
    <w:multiLevelType w:val="multilevel"/>
    <w:tmpl w:val="515449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657A497C"/>
    <w:multiLevelType w:val="multilevel"/>
    <w:tmpl w:val="657A49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72365657"/>
    <w:multiLevelType w:val="multilevel"/>
    <w:tmpl w:val="723656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89412B5"/>
    <w:multiLevelType w:val="multilevel"/>
    <w:tmpl w:val="789412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7AD46E8D"/>
    <w:multiLevelType w:val="multilevel"/>
    <w:tmpl w:val="7AD46E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125825">
    <w:abstractNumId w:val="13"/>
  </w:num>
  <w:num w:numId="2" w16cid:durableId="336153375">
    <w:abstractNumId w:val="8"/>
  </w:num>
  <w:num w:numId="3" w16cid:durableId="74134459">
    <w:abstractNumId w:val="7"/>
  </w:num>
  <w:num w:numId="4" w16cid:durableId="1857232100">
    <w:abstractNumId w:val="10"/>
  </w:num>
  <w:num w:numId="5" w16cid:durableId="1120607308">
    <w:abstractNumId w:val="4"/>
  </w:num>
  <w:num w:numId="6" w16cid:durableId="1714842747">
    <w:abstractNumId w:val="3"/>
  </w:num>
  <w:num w:numId="7" w16cid:durableId="1816218139">
    <w:abstractNumId w:val="9"/>
  </w:num>
  <w:num w:numId="8" w16cid:durableId="1238788445">
    <w:abstractNumId w:val="1"/>
  </w:num>
  <w:num w:numId="9" w16cid:durableId="238446957">
    <w:abstractNumId w:val="15"/>
  </w:num>
  <w:num w:numId="10" w16cid:durableId="1134903632">
    <w:abstractNumId w:val="0"/>
  </w:num>
  <w:num w:numId="11" w16cid:durableId="1971007138">
    <w:abstractNumId w:val="14"/>
  </w:num>
  <w:num w:numId="12" w16cid:durableId="474833942">
    <w:abstractNumId w:val="5"/>
  </w:num>
  <w:num w:numId="13" w16cid:durableId="95366071">
    <w:abstractNumId w:val="11"/>
  </w:num>
  <w:num w:numId="14" w16cid:durableId="1878203889">
    <w:abstractNumId w:val="2"/>
  </w:num>
  <w:num w:numId="15" w16cid:durableId="339817352">
    <w:abstractNumId w:val="6"/>
  </w:num>
  <w:num w:numId="16" w16cid:durableId="90662460">
    <w:abstractNumId w:val="12"/>
  </w:num>
  <w:num w:numId="17" w16cid:durableId="1033115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45"/>
    <w:rsid w:val="0000074C"/>
    <w:rsid w:val="00011079"/>
    <w:rsid w:val="00016D46"/>
    <w:rsid w:val="00033AB2"/>
    <w:rsid w:val="000912E6"/>
    <w:rsid w:val="000A2335"/>
    <w:rsid w:val="000C39EA"/>
    <w:rsid w:val="000C4F8C"/>
    <w:rsid w:val="00103644"/>
    <w:rsid w:val="00104319"/>
    <w:rsid w:val="00113F58"/>
    <w:rsid w:val="00126438"/>
    <w:rsid w:val="001320B4"/>
    <w:rsid w:val="00140651"/>
    <w:rsid w:val="0014695A"/>
    <w:rsid w:val="00156495"/>
    <w:rsid w:val="00161DA4"/>
    <w:rsid w:val="00171AD9"/>
    <w:rsid w:val="001E259A"/>
    <w:rsid w:val="0022634A"/>
    <w:rsid w:val="00232E1D"/>
    <w:rsid w:val="00242D2C"/>
    <w:rsid w:val="00257FA4"/>
    <w:rsid w:val="002974E0"/>
    <w:rsid w:val="00297AE9"/>
    <w:rsid w:val="002C4A88"/>
    <w:rsid w:val="002D570F"/>
    <w:rsid w:val="002E7547"/>
    <w:rsid w:val="00322525"/>
    <w:rsid w:val="003A2D8E"/>
    <w:rsid w:val="00435D8F"/>
    <w:rsid w:val="00440884"/>
    <w:rsid w:val="00444B35"/>
    <w:rsid w:val="004A6E90"/>
    <w:rsid w:val="00511B45"/>
    <w:rsid w:val="00515A2C"/>
    <w:rsid w:val="005919A4"/>
    <w:rsid w:val="005F2FAF"/>
    <w:rsid w:val="005F5172"/>
    <w:rsid w:val="00622EE3"/>
    <w:rsid w:val="00633F91"/>
    <w:rsid w:val="00727163"/>
    <w:rsid w:val="007A1C07"/>
    <w:rsid w:val="007A6D8F"/>
    <w:rsid w:val="007B24E0"/>
    <w:rsid w:val="007B48AD"/>
    <w:rsid w:val="007B54DE"/>
    <w:rsid w:val="007D0298"/>
    <w:rsid w:val="007D394A"/>
    <w:rsid w:val="007F469C"/>
    <w:rsid w:val="00817F66"/>
    <w:rsid w:val="008350F5"/>
    <w:rsid w:val="00862BBB"/>
    <w:rsid w:val="00883A1D"/>
    <w:rsid w:val="008B6E08"/>
    <w:rsid w:val="00916F15"/>
    <w:rsid w:val="00926508"/>
    <w:rsid w:val="00951A93"/>
    <w:rsid w:val="0096753C"/>
    <w:rsid w:val="009C1B28"/>
    <w:rsid w:val="00A42FD9"/>
    <w:rsid w:val="00A74FBC"/>
    <w:rsid w:val="00B05786"/>
    <w:rsid w:val="00B065D4"/>
    <w:rsid w:val="00B1670C"/>
    <w:rsid w:val="00B3398F"/>
    <w:rsid w:val="00B774B8"/>
    <w:rsid w:val="00B809A3"/>
    <w:rsid w:val="00BE6BCB"/>
    <w:rsid w:val="00C46815"/>
    <w:rsid w:val="00D27CDD"/>
    <w:rsid w:val="00D478A0"/>
    <w:rsid w:val="00D7172B"/>
    <w:rsid w:val="00D92064"/>
    <w:rsid w:val="00D95A9B"/>
    <w:rsid w:val="00DE39A2"/>
    <w:rsid w:val="00DE6825"/>
    <w:rsid w:val="00DF4A6B"/>
    <w:rsid w:val="00E04F3B"/>
    <w:rsid w:val="00E109EE"/>
    <w:rsid w:val="00E4244C"/>
    <w:rsid w:val="00E73182"/>
    <w:rsid w:val="00E87B2D"/>
    <w:rsid w:val="00E972E1"/>
    <w:rsid w:val="00EF5717"/>
    <w:rsid w:val="00F413E2"/>
    <w:rsid w:val="00F84865"/>
    <w:rsid w:val="00F90F91"/>
    <w:rsid w:val="12C028A3"/>
    <w:rsid w:val="1FB750A4"/>
    <w:rsid w:val="4CE135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A5D9"/>
  <w15:docId w15:val="{E80E9B4A-70D2-4EAD-BD67-0F60A26D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33</Pages>
  <Words>6254</Words>
  <Characters>35651</Characters>
  <Application>Microsoft Office Word</Application>
  <DocSecurity>0</DocSecurity>
  <Lines>297</Lines>
  <Paragraphs>83</Paragraphs>
  <ScaleCrop>false</ScaleCrop>
  <Company/>
  <LinksUpToDate>false</LinksUpToDate>
  <CharactersWithSpaces>41822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erandachathurthas@gmail.com</dc:creator>
  <cp:lastModifiedBy>yathavan selvarajan</cp:lastModifiedBy>
  <cp:revision>75</cp:revision>
  <dcterms:created xsi:type="dcterms:W3CDTF">2026-06-15T07:43:00Z</dcterms:created>
  <dcterms:modified xsi:type="dcterms:W3CDTF">2026-06-26T17:45:00Z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eyJoZGlkIjoiNjE1NzY4NWRjOGUzMzI3OTAxM2E2ZDRlYzZjYWMxMWMifQ==</vt:lpwstr>
  </property>
  <property fmtid="{D5CDD505-2E9C-101B-9397-08002B2CF9AE}" pid="3" name="KSOProductBuildVer">
    <vt:lpwstr>1033-12.1.0.26880</vt:lpwstr>
  </property>
  <property fmtid="{D5CDD505-2E9C-101B-9397-08002B2CF9AE}" pid="4" name="ICV">
    <vt:lpwstr>E914D5A8EAFD4C77BC01D95230C13A2C_12</vt:lpwstr>
  </property>
</Properties>
</file>