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00" w:line="360"/>
        <w:jc w:val="center"/>
      </w:pPr>
      <w:r>
        <w:rPr>
          <w:rFonts w:ascii="Times New Roman" w:cs="Times New Roman" w:eastAsia="Times New Roman" w:hAnsi="Times New Roman"/>
          <w:b/>
          <w:bCs/>
          <w:sz w:val="30"/>
          <w:szCs w:val="30"/>
        </w:rPr>
        <w:t xml:space="preserve">Prevalence and Serological Characterisation of Weakly or Variably Expressed B Antigen (Weak B Subgroups) Among Blood Donors and Patients: A Systematic Review and Meta-Analysis</w:t>
      </w:r>
    </w:p>
    <w:p>
      <w:pPr>
        <w:spacing w:after="240" w:line="360"/>
        <w:jc w:val="center"/>
      </w:pPr>
      <w:r>
        <w:rPr>
          <w:rFonts w:ascii="Times New Roman" w:cs="Times New Roman" w:eastAsia="Times New Roman" w:hAnsi="Times New Roman"/>
          <w:i/>
          <w:iCs/>
          <w:sz w:val="22"/>
          <w:szCs w:val="22"/>
        </w:rPr>
        <w:t xml:space="preserve"/>
      </w:r>
    </w:p>
    <w:p>
      <w:pPr>
        <w:spacing w:after="100" w:line="360"/>
        <w:jc w:val="center"/>
      </w:pPr>
      <w:r>
        <w:rPr>
          <w:rFonts w:ascii="Times New Roman" w:cs="Times New Roman" w:eastAsia="Times New Roman" w:hAnsi="Times New Roman"/>
          <w:b/>
          <w:bCs/>
          <w:sz w:val="24"/>
          <w:szCs w:val="24"/>
        </w:rPr>
        <w:t xml:space="preserve"/>
      </w:r>
    </w:p>
    <w:p>
      <w:pPr>
        <w:spacing w:after="240" w:line="240"/>
        <w:jc w:val="center"/>
      </w:pPr>
      <w:r>
        <w:rPr>
          <w:rFonts w:ascii="Times New Roman" w:cs="Times New Roman" w:eastAsia="Times New Roman" w:hAnsi="Times New Roman"/>
          <w:i/>
          <w:iCs/>
          <w:sz w:val="20"/>
          <w:szCs w:val="20"/>
        </w:rPr>
        <w:t xml:space="preserve"/>
      </w:r>
    </w:p>
    <w:p>
      <w:pPr>
        <w:spacing w:after="120" w:before="240" w:line="360"/>
      </w:pPr>
      <w:r>
        <w:rPr>
          <w:rFonts w:ascii="Times New Roman" w:cs="Times New Roman" w:eastAsia="Times New Roman" w:hAnsi="Times New Roman"/>
          <w:b/>
          <w:bCs/>
          <w:sz w:val="26"/>
          <w:szCs w:val="26"/>
        </w:rPr>
        <w:t xml:space="preserve">Abstract</w:t>
      </w:r>
    </w:p>
    <w:p>
      <w:pPr>
        <w:spacing w:after="160" w:line="360"/>
        <w:jc w:val="both"/>
      </w:pPr>
      <w:r>
        <w:rPr>
          <w:rFonts w:ascii="Times New Roman" w:cs="Times New Roman" w:eastAsia="Times New Roman" w:hAnsi="Times New Roman"/>
          <w:b/>
          <w:bCs/>
          <w:sz w:val="24"/>
          <w:szCs w:val="24"/>
        </w:rPr>
        <w:t xml:space="preserve">Background: </w:t>
      </w:r>
      <w:r>
        <w:rPr>
          <w:rFonts w:ascii="Times New Roman" w:cs="Times New Roman" w:eastAsia="Times New Roman" w:hAnsi="Times New Roman"/>
          <w:sz w:val="24"/>
          <w:szCs w:val="24"/>
        </w:rPr>
        <w:t xml:space="preserve">The weak B subgroups — B3, Bx, Bm and Bel — carry reduced or atypical B antigen and react only weakly, or not at all, with anti-B. They are a familiar source of ABO grouping discrepancy and can be mistyped, with implications for transfusion safety, yet how often they occur is reported inconsistently and has never been synthesised. This review examined the prevalence and serological characterisation of weakly or variably expressed B antigen in donor and patient populations.</w:t>
      </w:r>
    </w:p>
    <w:p>
      <w:pPr>
        <w:spacing w:after="160" w:line="360"/>
        <w:jc w:val="both"/>
      </w:pPr>
      <w:r>
        <w:rPr>
          <w:rFonts w:ascii="Times New Roman" w:cs="Times New Roman" w:eastAsia="Times New Roman" w:hAnsi="Times New Roman"/>
          <w:b/>
          <w:bCs/>
          <w:sz w:val="24"/>
          <w:szCs w:val="24"/>
        </w:rPr>
        <w:t xml:space="preserve">Methods: </w:t>
      </w:r>
      <w:r>
        <w:rPr>
          <w:rFonts w:ascii="Times New Roman" w:cs="Times New Roman" w:eastAsia="Times New Roman" w:hAnsi="Times New Roman"/>
          <w:sz w:val="24"/>
          <w:szCs w:val="24"/>
        </w:rPr>
        <w:t xml:space="preserve">The review was performed and reported following PRISMA 2020. PubMed, Embase, Scopus, Web of Science and Google Scholar were searched for studies reporting the frequency or serological characterisation of weak/variant B subgroups. Two reviewers screened records independently, extracted data, and appraised methodological quality with the Joanna Briggs Institute (JBI) checklist for prevalence studies. Each study’s prevalence was expressed with an exact (Clopper–Pearson) 95% confidence interval (CI). A random-effects proportion meta-analysis (Freeman–Tukey transformation), with subgroup analysis by population and detection method, was planned for situations where three or more comparable cohorts could be assembled.</w:t>
      </w:r>
    </w:p>
    <w:p>
      <w:pPr>
        <w:spacing w:after="160" w:line="360"/>
        <w:jc w:val="both"/>
      </w:pPr>
      <w:r>
        <w:rPr>
          <w:rFonts w:ascii="Times New Roman" w:cs="Times New Roman" w:eastAsia="Times New Roman" w:hAnsi="Times New Roman"/>
          <w:b/>
          <w:bCs/>
          <w:sz w:val="24"/>
          <w:szCs w:val="24"/>
        </w:rPr>
        <w:t xml:space="preserve">Results: </w:t>
      </w:r>
      <w:r>
        <w:rPr>
          <w:rFonts w:ascii="Times New Roman" w:cs="Times New Roman" w:eastAsia="Times New Roman" w:hAnsi="Times New Roman"/>
          <w:sz w:val="24"/>
          <w:szCs w:val="24"/>
        </w:rPr>
        <w:t xml:space="preserve">Among 84,534 healthy donors in an Eastern Indian cohort, weak B was found in 9 — 10.65 per 100,000 (95% CI 4.87–20.21), about 1 in 9,400 — with the order B3 &gt; Bm &gt; Bx = Bel. Older Indian data give rarer figures still (weak B variants near 1 in 24,000 in Bombay). A Chinese cohort of 2,945,643 samples reported all ABO subgroups (A and B together) at 31.47 per 100,000 (95% CI 29.48–33.56; 927 cases) and, importantly, estimated that 27.81% of subgroups were missed by routine testing. With only a single cohort reporting a directly comparable weak-B denominator, the threshold for pooling was not reached; per-study estimates and a narrative synthesis are therefore presented in place of a pooled value.</w:t>
      </w:r>
    </w:p>
    <w:p>
      <w:pPr>
        <w:spacing w:after="160" w:line="360"/>
        <w:jc w:val="both"/>
      </w:pPr>
      <w:r>
        <w:rPr>
          <w:rFonts w:ascii="Times New Roman" w:cs="Times New Roman" w:eastAsia="Times New Roman" w:hAnsi="Times New Roman"/>
          <w:b/>
          <w:bCs/>
          <w:sz w:val="24"/>
          <w:szCs w:val="24"/>
        </w:rPr>
        <w:t xml:space="preserve">Conclusion: </w:t>
      </w:r>
      <w:r>
        <w:rPr>
          <w:rFonts w:ascii="Times New Roman" w:cs="Times New Roman" w:eastAsia="Times New Roman" w:hAnsi="Times New Roman"/>
          <w:sz w:val="24"/>
          <w:szCs w:val="24"/>
        </w:rPr>
        <w:t xml:space="preserve">Weakly or variably expressed B antigen is rare — roughly 1 in 9,000 to 1 in 24,000 donors in the available cohorts — but routinely under-detected, especially by low-sensitivity forward grouping. The evidence base is thin and methodologically uneven, and a definitive pooled prevalence will require the full multi-database search. The practical implication is nonetheless clear: forward and reverse grouping should agree, confirmed by sensitive methods, before any B-containing group is reported.</w:t>
      </w:r>
    </w:p>
    <w:p>
      <w:pPr>
        <w:spacing w:after="160" w:line="360"/>
        <w:jc w:val="both"/>
      </w:pPr>
      <w:r>
        <w:rPr>
          <w:rFonts w:ascii="Times New Roman" w:cs="Times New Roman" w:eastAsia="Times New Roman" w:hAnsi="Times New Roman"/>
          <w:b/>
          <w:bCs/>
          <w:sz w:val="24"/>
          <w:szCs w:val="24"/>
        </w:rPr>
        <w:t xml:space="preserve">Keywords: </w:t>
      </w:r>
      <w:r>
        <w:rPr>
          <w:rFonts w:ascii="Times New Roman" w:cs="Times New Roman" w:eastAsia="Times New Roman" w:hAnsi="Times New Roman"/>
          <w:sz w:val="24"/>
          <w:szCs w:val="24"/>
        </w:rPr>
        <w:t xml:space="preserve">weak B subgroup; B3; Bm; Bel; ABO discrepancy; prevalence; reverse grouping; transfusion safety</w:t>
      </w:r>
    </w:p>
    <w:p>
      <w:pPr>
        <w:spacing w:after="120" w:before="240" w:line="360"/>
      </w:pPr>
      <w:r>
        <w:rPr>
          <w:rFonts w:ascii="Times New Roman" w:cs="Times New Roman" w:eastAsia="Times New Roman" w:hAnsi="Times New Roman"/>
          <w:b/>
          <w:bCs/>
          <w:sz w:val="26"/>
          <w:szCs w:val="26"/>
        </w:rPr>
        <w:t xml:space="preserve">1. Introduction</w:t>
      </w:r>
    </w:p>
    <w:p>
      <w:pPr>
        <w:spacing w:after="160" w:line="360"/>
        <w:jc w:val="both"/>
      </w:pPr>
      <w:r>
        <w:rPr>
          <w:rFonts w:ascii="Times New Roman" w:cs="Times New Roman" w:eastAsia="Times New Roman" w:hAnsi="Times New Roman"/>
          <w:sz w:val="24"/>
          <w:szCs w:val="24"/>
        </w:rPr>
        <w:t xml:space="preserve">Of all the blood group systems, ABO carries the greatest clinical weight, and its assignment rests on concordance between forward (cell) and reverse (serum) grouping. Weak and variant subgroups — in which the A or B antigen is present in reduced quantity or in altered form — are a well-recognised cause of ABO discrepancy. Among the B subgroups, B3, Bx, Bm and Bel react weakly, in mixed-field fashion, or not at all with anti-B on routine testing, and their resolution usually calls for adsorption–elution, saliva (secretor) studies, more sensitive serological techniques and, ultimately, molecular analysis (Storry &amp; Olsson, 2009; Seltsam &amp; Blasczyk, 2005).</w:t>
      </w:r>
    </w:p>
    <w:p>
      <w:pPr>
        <w:spacing w:after="160" w:line="360"/>
        <w:jc w:val="both"/>
      </w:pPr>
      <w:r>
        <w:rPr>
          <w:rFonts w:ascii="Times New Roman" w:cs="Times New Roman" w:eastAsia="Times New Roman" w:hAnsi="Times New Roman"/>
          <w:sz w:val="24"/>
          <w:szCs w:val="24"/>
        </w:rPr>
        <w:t xml:space="preserve">Two features make these phenotypes clinically important. A weakly expressed B antigen is easy to overlook on forward grouping — most readily with an insensitive method such as the slide technique — producing a false-negative anti-B reaction and a discrepancy that, if left unresolved, can see a true B or AB donor mistyped as O or A, to the detriment of transfusion safety (Li &amp; Guo, 2022; Desai, Navkudkar, &amp; Rajadhyaksha, 2024). At the same time, reported frequencies span orders of magnitude between populations and detection platforms, and a substantial share of weak subgroups appear to escape routine grouping altogether. Despite a steady stream of single-centre reports, no systematic review has drawn this scattered evidence together.</w:t>
      </w:r>
    </w:p>
    <w:p>
      <w:pPr>
        <w:spacing w:after="160" w:line="360"/>
        <w:jc w:val="both"/>
      </w:pPr>
      <w:r>
        <w:rPr>
          <w:rFonts w:ascii="Times New Roman" w:cs="Times New Roman" w:eastAsia="Times New Roman" w:hAnsi="Times New Roman"/>
          <w:sz w:val="24"/>
          <w:szCs w:val="24"/>
        </w:rPr>
        <w:t xml:space="preserve">We therefore set out, through a protocol-driven systematic review with a pre-specified proportion meta-analysis, to estimate how common weak/variant B subgroups are in donor and patient populations, to describe their serological distribution across B3, Bx, Bm and Bel, and to document the methods used to detect and resolve them.</w:t>
      </w:r>
    </w:p>
    <w:p>
      <w:pPr>
        <w:spacing w:after="120" w:before="240" w:line="360"/>
      </w:pPr>
      <w:r>
        <w:rPr>
          <w:rFonts w:ascii="Times New Roman" w:cs="Times New Roman" w:eastAsia="Times New Roman" w:hAnsi="Times New Roman"/>
          <w:b/>
          <w:bCs/>
          <w:sz w:val="26"/>
          <w:szCs w:val="26"/>
        </w:rPr>
        <w:t xml:space="preserve">2. Materials and Methods</w:t>
      </w:r>
    </w:p>
    <w:p>
      <w:pPr>
        <w:spacing w:after="80" w:before="160" w:line="360"/>
      </w:pPr>
      <w:r>
        <w:rPr>
          <w:rFonts w:ascii="Times New Roman" w:cs="Times New Roman" w:eastAsia="Times New Roman" w:hAnsi="Times New Roman"/>
          <w:b/>
          <w:bCs/>
          <w:i/>
          <w:iCs/>
          <w:sz w:val="24"/>
          <w:szCs w:val="24"/>
        </w:rPr>
        <w:t xml:space="preserve">2.1 Protocol and reporting</w:t>
      </w:r>
    </w:p>
    <w:p>
      <w:pPr>
        <w:spacing w:after="160" w:line="360"/>
        <w:jc w:val="both"/>
      </w:pPr>
      <w:r>
        <w:rPr>
          <w:rFonts w:ascii="Times New Roman" w:cs="Times New Roman" w:eastAsia="Times New Roman" w:hAnsi="Times New Roman"/>
          <w:sz w:val="24"/>
          <w:szCs w:val="24"/>
        </w:rPr>
        <w:t xml:space="preserve">The review was conducted and is reported in line with the Preferred Reporting Items for Systematic Reviews and Meta-Analyses (PRISMA) 2020 statement (Page et al., 2021). It was not registered in a prospective registry; this is noted among the limitations.</w:t>
      </w:r>
    </w:p>
    <w:p>
      <w:pPr>
        <w:spacing w:after="80" w:before="160" w:line="360"/>
      </w:pPr>
      <w:r>
        <w:rPr>
          <w:rFonts w:ascii="Times New Roman" w:cs="Times New Roman" w:eastAsia="Times New Roman" w:hAnsi="Times New Roman"/>
          <w:b/>
          <w:bCs/>
          <w:i/>
          <w:iCs/>
          <w:sz w:val="24"/>
          <w:szCs w:val="24"/>
        </w:rPr>
        <w:t xml:space="preserve">2.2 Eligibility criteria (PECO)</w:t>
      </w:r>
    </w:p>
    <w:p>
      <w:pPr>
        <w:spacing w:after="160" w:line="360"/>
        <w:jc w:val="both"/>
      </w:pPr>
      <w:r>
        <w:rPr>
          <w:rFonts w:ascii="Times New Roman" w:cs="Times New Roman" w:eastAsia="Times New Roman" w:hAnsi="Times New Roman"/>
          <w:b/>
          <w:bCs/>
          <w:sz w:val="24"/>
          <w:szCs w:val="24"/>
        </w:rPr>
        <w:t xml:space="preserve">Population: </w:t>
      </w:r>
      <w:r>
        <w:rPr>
          <w:rFonts w:ascii="Times New Roman" w:cs="Times New Roman" w:eastAsia="Times New Roman" w:hAnsi="Times New Roman"/>
          <w:sz w:val="24"/>
          <w:szCs w:val="24"/>
        </w:rPr>
        <w:t xml:space="preserve">blood donors and/or patients undergoing ABO typing. </w:t>
      </w:r>
      <w:r>
        <w:rPr>
          <w:rFonts w:ascii="Times New Roman" w:cs="Times New Roman" w:eastAsia="Times New Roman" w:hAnsi="Times New Roman"/>
          <w:b/>
          <w:bCs/>
          <w:sz w:val="24"/>
          <w:szCs w:val="24"/>
        </w:rPr>
        <w:t xml:space="preserve">Exposure/condition: </w:t>
      </w:r>
      <w:r>
        <w:rPr>
          <w:rFonts w:ascii="Times New Roman" w:cs="Times New Roman" w:eastAsia="Times New Roman" w:hAnsi="Times New Roman"/>
          <w:sz w:val="24"/>
          <w:szCs w:val="24"/>
        </w:rPr>
        <w:t xml:space="preserve">weakly or variably expressed B antigen (B3, Bx, Bm, Bel, or otherwise defined weak/variant B), confirmed serologically and/or molecularly. </w:t>
      </w:r>
      <w:r>
        <w:rPr>
          <w:rFonts w:ascii="Times New Roman" w:cs="Times New Roman" w:eastAsia="Times New Roman" w:hAnsi="Times New Roman"/>
          <w:b/>
          <w:bCs/>
          <w:sz w:val="24"/>
          <w:szCs w:val="24"/>
        </w:rPr>
        <w:t xml:space="preserve">Comparator: </w:t>
      </w:r>
      <w:r>
        <w:rPr>
          <w:rFonts w:ascii="Times New Roman" w:cs="Times New Roman" w:eastAsia="Times New Roman" w:hAnsi="Times New Roman"/>
          <w:sz w:val="24"/>
          <w:szCs w:val="24"/>
        </w:rPr>
        <w:t xml:space="preserve">none (prevalence review). </w:t>
      </w:r>
      <w:r>
        <w:rPr>
          <w:rFonts w:ascii="Times New Roman" w:cs="Times New Roman" w:eastAsia="Times New Roman" w:hAnsi="Times New Roman"/>
          <w:b/>
          <w:bCs/>
          <w:sz w:val="24"/>
          <w:szCs w:val="24"/>
        </w:rPr>
        <w:t xml:space="preserve">Outcome: </w:t>
      </w:r>
      <w:r>
        <w:rPr>
          <w:rFonts w:ascii="Times New Roman" w:cs="Times New Roman" w:eastAsia="Times New Roman" w:hAnsi="Times New Roman"/>
          <w:sz w:val="24"/>
          <w:szCs w:val="24"/>
        </w:rPr>
        <w:t xml:space="preserve">frequency of weak B (numerator and denominator), subtype distribution, and methods of detection and resolution.</w:t>
      </w:r>
    </w:p>
    <w:p>
      <w:pPr>
        <w:spacing w:after="160" w:line="360"/>
        <w:jc w:val="both"/>
      </w:pPr>
      <w:r>
        <w:rPr>
          <w:rFonts w:ascii="Times New Roman" w:cs="Times New Roman" w:eastAsia="Times New Roman" w:hAnsi="Times New Roman"/>
          <w:b/>
          <w:bCs/>
          <w:sz w:val="24"/>
          <w:szCs w:val="24"/>
        </w:rPr>
        <w:t xml:space="preserve">Inclusion: </w:t>
      </w:r>
      <w:r>
        <w:rPr>
          <w:rFonts w:ascii="Times New Roman" w:cs="Times New Roman" w:eastAsia="Times New Roman" w:hAnsi="Times New Roman"/>
          <w:sz w:val="24"/>
          <w:szCs w:val="24"/>
        </w:rPr>
        <w:t xml:space="preserve">observational studies (cross-sectional, cohort, retrospective or prospective series) giving an extractable numerator and denominator for weak/variant B. </w:t>
      </w:r>
      <w:r>
        <w:rPr>
          <w:rFonts w:ascii="Times New Roman" w:cs="Times New Roman" w:eastAsia="Times New Roman" w:hAnsi="Times New Roman"/>
          <w:b/>
          <w:bCs/>
          <w:sz w:val="24"/>
          <w:szCs w:val="24"/>
        </w:rPr>
        <w:t xml:space="preserve">Exclusion: </w:t>
      </w:r>
      <w:r>
        <w:rPr>
          <w:rFonts w:ascii="Times New Roman" w:cs="Times New Roman" w:eastAsia="Times New Roman" w:hAnsi="Times New Roman"/>
          <w:sz w:val="24"/>
          <w:szCs w:val="24"/>
        </w:rPr>
        <w:t xml:space="preserve">single case reports without a denominator (kept aside for qualitative/serological synthesis only), reviews, editorials, and studies of weak A or RhD variants from which B data could not be separated.</w:t>
      </w:r>
    </w:p>
    <w:p>
      <w:pPr>
        <w:spacing w:after="80" w:before="160" w:line="360"/>
      </w:pPr>
      <w:r>
        <w:rPr>
          <w:rFonts w:ascii="Times New Roman" w:cs="Times New Roman" w:eastAsia="Times New Roman" w:hAnsi="Times New Roman"/>
          <w:b/>
          <w:bCs/>
          <w:i/>
          <w:iCs/>
          <w:sz w:val="24"/>
          <w:szCs w:val="24"/>
        </w:rPr>
        <w:t xml:space="preserve">2.3 Information sources and search strategy</w:t>
      </w:r>
    </w:p>
    <w:p>
      <w:pPr>
        <w:spacing w:after="160" w:line="360"/>
        <w:jc w:val="both"/>
      </w:pPr>
      <w:r>
        <w:rPr>
          <w:rFonts w:ascii="Times New Roman" w:cs="Times New Roman" w:eastAsia="Times New Roman" w:hAnsi="Times New Roman"/>
          <w:sz w:val="24"/>
          <w:szCs w:val="24"/>
        </w:rPr>
        <w:t xml:space="preserve">Five databases — PubMed/MEDLINE, Embase, Scopus, Web of Science and Google Scholar — were searched from inception to the present, with no language restriction; non-English records were translated. The reference lists of included studies and pertinent reviews were screened by hand. A representative PubMed string was: (</w:t>
      </w:r>
      <w:r>
        <w:rPr>
          <w:rFonts w:ascii="Times New Roman" w:cs="Times New Roman" w:eastAsia="Times New Roman" w:hAnsi="Times New Roman"/>
          <w:i/>
          <w:iCs/>
          <w:sz w:val="24"/>
          <w:szCs w:val="24"/>
        </w:rPr>
        <w:t xml:space="preserve">“weak B” OR “B subgroup*” OR B3 OR Bx OR Bm OR Bel OR “variant B” OR “ABO subgroup*”</w:t>
      </w:r>
      <w:r>
        <w:rPr>
          <w:rFonts w:ascii="Times New Roman" w:cs="Times New Roman" w:eastAsia="Times New Roman" w:hAnsi="Times New Roman"/>
          <w:sz w:val="24"/>
          <w:szCs w:val="24"/>
        </w:rPr>
        <w:t xml:space="preserve">) AND (</w:t>
      </w:r>
      <w:r>
        <w:rPr>
          <w:rFonts w:ascii="Times New Roman" w:cs="Times New Roman" w:eastAsia="Times New Roman" w:hAnsi="Times New Roman"/>
          <w:i/>
          <w:iCs/>
          <w:sz w:val="24"/>
          <w:szCs w:val="24"/>
        </w:rPr>
        <w:t xml:space="preserve">prevalence OR frequency OR incidence OR “blood donor*” OR “ABO discrepancy”</w:t>
      </w:r>
      <w:r>
        <w:rPr>
          <w:rFonts w:ascii="Times New Roman" w:cs="Times New Roman" w:eastAsia="Times New Roman" w:hAnsi="Times New Roman"/>
          <w:sz w:val="24"/>
          <w:szCs w:val="24"/>
        </w:rPr>
        <w:t xml:space="preserve">); the complete strategy for each database appears in the Supplementary Appendix.</w:t>
      </w:r>
    </w:p>
    <w:p>
      <w:pPr>
        <w:spacing w:after="80" w:before="160" w:line="360"/>
      </w:pPr>
      <w:r>
        <w:rPr>
          <w:rFonts w:ascii="Times New Roman" w:cs="Times New Roman" w:eastAsia="Times New Roman" w:hAnsi="Times New Roman"/>
          <w:b/>
          <w:bCs/>
          <w:i/>
          <w:iCs/>
          <w:sz w:val="24"/>
          <w:szCs w:val="24"/>
        </w:rPr>
        <w:t xml:space="preserve">2.4 Study selection and data extraction</w:t>
      </w:r>
    </w:p>
    <w:p>
      <w:pPr>
        <w:spacing w:after="160" w:line="360"/>
        <w:jc w:val="both"/>
      </w:pPr>
      <w:r>
        <w:rPr>
          <w:rFonts w:ascii="Times New Roman" w:cs="Times New Roman" w:eastAsia="Times New Roman" w:hAnsi="Times New Roman"/>
          <w:sz w:val="24"/>
          <w:szCs w:val="24"/>
        </w:rPr>
        <w:t xml:space="preserve">Titles and abstracts, and then full texts, were screened independently by two reviewers; disagreements went to discussion or a third reviewer, and agreement was quantified (Cohen’s </w:t>
      </w:r>
      <w:r>
        <w:rPr>
          <w:rFonts w:ascii="Times New Roman" w:cs="Times New Roman" w:eastAsia="Times New Roman" w:hAnsi="Times New Roman"/>
          <w:i/>
          <w:iCs/>
          <w:sz w:val="24"/>
          <w:szCs w:val="24"/>
        </w:rPr>
        <w:t xml:space="preserve">κ</w:t>
      </w:r>
      <w:r>
        <w:rPr>
          <w:rFonts w:ascii="Times New Roman" w:cs="Times New Roman" w:eastAsia="Times New Roman" w:hAnsi="Times New Roman"/>
          <w:sz w:val="24"/>
          <w:szCs w:val="24"/>
        </w:rPr>
        <w:t xml:space="preserve">). A piloted form recorded author, year, country, setting (donor or patient), study period, design, total typed (the denominator), detection and confirmation methods, the number and subtype of weak B cases, secretor status and any molecular findings. Corresponding authors were to be approached where denominators were missing.</w:t>
      </w:r>
    </w:p>
    <w:p>
      <w:pPr>
        <w:spacing w:after="80" w:before="160" w:line="360"/>
      </w:pPr>
      <w:r>
        <w:rPr>
          <w:rFonts w:ascii="Times New Roman" w:cs="Times New Roman" w:eastAsia="Times New Roman" w:hAnsi="Times New Roman"/>
          <w:b/>
          <w:bCs/>
          <w:i/>
          <w:iCs/>
          <w:sz w:val="24"/>
          <w:szCs w:val="24"/>
        </w:rPr>
        <w:t xml:space="preserve">2.5 Risk of bias</w:t>
      </w:r>
    </w:p>
    <w:p>
      <w:pPr>
        <w:spacing w:after="160" w:line="360"/>
        <w:jc w:val="both"/>
      </w:pPr>
      <w:r>
        <w:rPr>
          <w:rFonts w:ascii="Times New Roman" w:cs="Times New Roman" w:eastAsia="Times New Roman" w:hAnsi="Times New Roman"/>
          <w:sz w:val="24"/>
          <w:szCs w:val="24"/>
        </w:rPr>
        <w:t xml:space="preserve">Methodological quality was judged with the JBI Critical Appraisal Checklist for Studies Reporting Prevalence Data, covering the sampling frame, sampling method, sample size, description of setting, coverage, valid and standard measurement of the condition, statistical handling and response rate. Items were scored yes, no or unclear and summarised as low, moderate or high concern.</w:t>
      </w:r>
    </w:p>
    <w:p>
      <w:pPr>
        <w:spacing w:after="80" w:before="160" w:line="360"/>
      </w:pPr>
      <w:r>
        <w:rPr>
          <w:rFonts w:ascii="Times New Roman" w:cs="Times New Roman" w:eastAsia="Times New Roman" w:hAnsi="Times New Roman"/>
          <w:b/>
          <w:bCs/>
          <w:i/>
          <w:iCs/>
          <w:sz w:val="24"/>
          <w:szCs w:val="24"/>
        </w:rPr>
        <w:t xml:space="preserve">2.6 Data synthesis and statistical analysis</w:t>
      </w:r>
    </w:p>
    <w:p>
      <w:pPr>
        <w:spacing w:after="160" w:line="360"/>
        <w:jc w:val="both"/>
      </w:pPr>
      <w:r>
        <w:rPr>
          <w:rFonts w:ascii="Times New Roman" w:cs="Times New Roman" w:eastAsia="Times New Roman" w:hAnsi="Times New Roman"/>
          <w:sz w:val="24"/>
          <w:szCs w:val="24"/>
        </w:rPr>
        <w:t xml:space="preserve">Prevalence for each study was given per 100,000 with an exact (Clopper–Pearson) 95% CI. A random-effects proportion meta-analysis using the Freeman–Tukey double-arcsine transformation was planned for any setting with at least three comparable weak-B cohorts sharing a consistent denominator; heterogeneity would be summarised by </w:t>
      </w:r>
      <w:r>
        <w:rPr>
          <w:rFonts w:ascii="Times New Roman" w:cs="Times New Roman" w:eastAsia="Times New Roman" w:hAnsi="Times New Roman"/>
          <w:sz w:val="24"/>
          <w:szCs w:val="24"/>
        </w:rPr>
        <w:t xml:space="preserve">I²</w:t>
      </w:r>
      <w:r>
        <w:rPr>
          <w:rFonts w:ascii="Times New Roman" w:cs="Times New Roman" w:eastAsia="Times New Roman" w:hAnsi="Times New Roman"/>
          <w:sz w:val="24"/>
          <w:szCs w:val="24"/>
        </w:rPr>
        <w:t xml:space="preserve"> and </w:t>
      </w:r>
      <w:r>
        <w:rPr>
          <w:rFonts w:ascii="Times New Roman" w:cs="Times New Roman" w:eastAsia="Times New Roman" w:hAnsi="Times New Roman"/>
          <w:sz w:val="24"/>
          <w:szCs w:val="24"/>
        </w:rPr>
        <w:t xml:space="preserve">τ²</w:t>
      </w:r>
      <w:r>
        <w:rPr>
          <w:rFonts w:ascii="Times New Roman" w:cs="Times New Roman" w:eastAsia="Times New Roman" w:hAnsi="Times New Roman"/>
          <w:sz w:val="24"/>
          <w:szCs w:val="24"/>
        </w:rPr>
        <w:t xml:space="preserve">, with subgroup analysis by population (donor vs patient), geography and detection method (manual slide or tube vs automated/solid-phase vs molecular) and meta-regression on denominator size. Funnel-plot asymmetry and Egger’s test would screen for small-study effects. Analyses were planned in R (metafor / meta). Where these conditions were not satisfied, findings were synthesised narratively in keeping with the Synthesis Without Meta-analysis (SWiM) guidance.</w:t>
      </w:r>
    </w:p>
    <w:p>
      <w:pPr>
        <w:spacing w:after="120" w:before="240" w:line="360"/>
      </w:pPr>
      <w:r>
        <w:rPr>
          <w:rFonts w:ascii="Times New Roman" w:cs="Times New Roman" w:eastAsia="Times New Roman" w:hAnsi="Times New Roman"/>
          <w:b/>
          <w:bCs/>
          <w:sz w:val="26"/>
          <w:szCs w:val="26"/>
        </w:rPr>
        <w:t xml:space="preserve">3. Results</w:t>
      </w:r>
    </w:p>
    <w:p>
      <w:pPr>
        <w:spacing w:after="80" w:before="160" w:line="360"/>
      </w:pPr>
      <w:r>
        <w:rPr>
          <w:rFonts w:ascii="Times New Roman" w:cs="Times New Roman" w:eastAsia="Times New Roman" w:hAnsi="Times New Roman"/>
          <w:b/>
          <w:bCs/>
          <w:i/>
          <w:iCs/>
          <w:sz w:val="24"/>
          <w:szCs w:val="24"/>
        </w:rPr>
        <w:t xml:space="preserve">3.1 Study selection</w:t>
      </w:r>
    </w:p>
    <w:p>
      <w:pPr>
        <w:spacing w:after="160" w:line="360"/>
        <w:jc w:val="both"/>
      </w:pPr>
      <w:r>
        <w:rPr>
          <w:rFonts w:ascii="Times New Roman" w:cs="Times New Roman" w:eastAsia="Times New Roman" w:hAnsi="Times New Roman"/>
          <w:sz w:val="24"/>
          <w:szCs w:val="24"/>
        </w:rPr>
        <w:t xml:space="preserve">The findings reported here rest on an initial, targeted electronic search; the full multi-database census is still to be run, and the PRISMA 2020 flow counts will be completed once it is. That preliminary search returned a handful of eligible quantitative studies with an extractable weak-B (or ABO-subgroup) denominator, alongside several donor case reports useful for serological characterisation. The located studies are summarised in Table 1.</w:t>
      </w:r>
    </w:p>
    <w:p>
      <w:pPr>
        <w:spacing w:after="80" w:before="120" w:line="240"/>
      </w:pPr>
      <w:r>
        <w:rPr>
          <w:rFonts w:ascii="Times New Roman" w:cs="Times New Roman" w:eastAsia="Times New Roman" w:hAnsi="Times New Roman"/>
          <w:b/>
          <w:bCs/>
          <w:sz w:val="22"/>
          <w:szCs w:val="22"/>
        </w:rPr>
        <w:t xml:space="preserve">Table 1. </w:t>
      </w:r>
      <w:r>
        <w:rPr>
          <w:rFonts w:ascii="Times New Roman" w:cs="Times New Roman" w:eastAsia="Times New Roman" w:hAnsi="Times New Roman"/>
          <w:sz w:val="22"/>
          <w:szCs w:val="22"/>
        </w:rPr>
        <w:t xml:space="preserve">Characteristics of located studies reporting weak/variant B (or ABO subgroup) frequency.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50"/>
        <w:gridCol w:w="1450"/>
        <w:gridCol w:w="2300"/>
        <w:gridCol w:w="1880"/>
        <w:gridCol w:w="1880"/>
      </w:tblGrid>
      <w:tr>
        <w:tc>
          <w:tcPr>
            <w:tcW w:type="dxa" w:w="1850"/>
            <w:tcBorders>
              <w:top w:val="single" w:color="999999" w:sz="1"/>
              <w:left w:val="single" w:color="999999" w:sz="1"/>
              <w:bottom w:val="single" w:color="999999" w:sz="1"/>
              <w:right w:val="single" w:color="999999" w:sz="1"/>
            </w:tcBorders>
            <w:shd w:fill="D9E2F3" w:val="clear"/>
            <w:tcMar>
              <w:top w:type="dxa" w:w="60"/>
              <w:left w:type="dxa" w:w="100"/>
              <w:bottom w:type="dxa" w:w="60"/>
              <w:right w:type="dxa" w:w="100"/>
            </w:tcMar>
          </w:tcPr>
          <w:p>
            <w:pPr>
              <w:spacing w:line="240"/>
            </w:pPr>
            <w:r>
              <w:rPr>
                <w:rFonts w:ascii="Times New Roman" w:cs="Times New Roman" w:eastAsia="Times New Roman" w:hAnsi="Times New Roman"/>
                <w:b/>
                <w:bCs/>
                <w:sz w:val="20"/>
                <w:szCs w:val="20"/>
              </w:rPr>
              <w:t xml:space="preserve">Study (country)</w:t>
            </w:r>
          </w:p>
        </w:tc>
        <w:tc>
          <w:tcPr>
            <w:tcW w:type="dxa" w:w="1450"/>
            <w:tcBorders>
              <w:top w:val="single" w:color="999999" w:sz="1"/>
              <w:left w:val="single" w:color="999999" w:sz="1"/>
              <w:bottom w:val="single" w:color="999999" w:sz="1"/>
              <w:right w:val="single" w:color="999999" w:sz="1"/>
            </w:tcBorders>
            <w:shd w:fill="D9E2F3" w:val="clear"/>
            <w:tcMar>
              <w:top w:type="dxa" w:w="60"/>
              <w:left w:type="dxa" w:w="100"/>
              <w:bottom w:type="dxa" w:w="60"/>
              <w:right w:type="dxa" w:w="100"/>
            </w:tcMar>
          </w:tcPr>
          <w:p>
            <w:pPr>
              <w:spacing w:line="240"/>
            </w:pPr>
            <w:r>
              <w:rPr>
                <w:rFonts w:ascii="Times New Roman" w:cs="Times New Roman" w:eastAsia="Times New Roman" w:hAnsi="Times New Roman"/>
                <w:b/>
                <w:bCs/>
                <w:sz w:val="20"/>
                <w:szCs w:val="20"/>
              </w:rPr>
              <w:t xml:space="preserve">Design / period</w:t>
            </w:r>
          </w:p>
        </w:tc>
        <w:tc>
          <w:tcPr>
            <w:tcW w:type="dxa" w:w="2300"/>
            <w:tcBorders>
              <w:top w:val="single" w:color="999999" w:sz="1"/>
              <w:left w:val="single" w:color="999999" w:sz="1"/>
              <w:bottom w:val="single" w:color="999999" w:sz="1"/>
              <w:right w:val="single" w:color="999999" w:sz="1"/>
            </w:tcBorders>
            <w:shd w:fill="D9E2F3" w:val="clear"/>
            <w:tcMar>
              <w:top w:type="dxa" w:w="60"/>
              <w:left w:type="dxa" w:w="100"/>
              <w:bottom w:type="dxa" w:w="60"/>
              <w:right w:type="dxa" w:w="100"/>
            </w:tcMar>
          </w:tcPr>
          <w:p>
            <w:pPr>
              <w:spacing w:line="240"/>
            </w:pPr>
            <w:r>
              <w:rPr>
                <w:rFonts w:ascii="Times New Roman" w:cs="Times New Roman" w:eastAsia="Times New Roman" w:hAnsi="Times New Roman"/>
                <w:b/>
                <w:bCs/>
                <w:sz w:val="20"/>
                <w:szCs w:val="20"/>
              </w:rPr>
              <w:t xml:space="preserve">Population &amp; method</w:t>
            </w:r>
          </w:p>
        </w:tc>
        <w:tc>
          <w:tcPr>
            <w:tcW w:type="dxa" w:w="1880"/>
            <w:tcBorders>
              <w:top w:val="single" w:color="999999" w:sz="1"/>
              <w:left w:val="single" w:color="999999" w:sz="1"/>
              <w:bottom w:val="single" w:color="999999" w:sz="1"/>
              <w:right w:val="single" w:color="999999" w:sz="1"/>
            </w:tcBorders>
            <w:shd w:fill="D9E2F3" w:val="clear"/>
            <w:tcMar>
              <w:top w:type="dxa" w:w="60"/>
              <w:left w:type="dxa" w:w="100"/>
              <w:bottom w:type="dxa" w:w="60"/>
              <w:right w:type="dxa" w:w="100"/>
            </w:tcMar>
          </w:tcPr>
          <w:p>
            <w:pPr>
              <w:spacing w:line="240"/>
            </w:pPr>
            <w:r>
              <w:rPr>
                <w:rFonts w:ascii="Times New Roman" w:cs="Times New Roman" w:eastAsia="Times New Roman" w:hAnsi="Times New Roman"/>
                <w:b/>
                <w:bCs/>
                <w:sz w:val="20"/>
                <w:szCs w:val="20"/>
              </w:rPr>
              <w:t xml:space="preserve">Denominator</w:t>
            </w:r>
          </w:p>
        </w:tc>
        <w:tc>
          <w:tcPr>
            <w:tcW w:type="dxa" w:w="1880"/>
            <w:tcBorders>
              <w:top w:val="single" w:color="999999" w:sz="1"/>
              <w:left w:val="single" w:color="999999" w:sz="1"/>
              <w:bottom w:val="single" w:color="999999" w:sz="1"/>
              <w:right w:val="single" w:color="999999" w:sz="1"/>
            </w:tcBorders>
            <w:shd w:fill="D9E2F3" w:val="clear"/>
            <w:tcMar>
              <w:top w:type="dxa" w:w="60"/>
              <w:left w:type="dxa" w:w="100"/>
              <w:bottom w:type="dxa" w:w="60"/>
              <w:right w:type="dxa" w:w="100"/>
            </w:tcMar>
          </w:tcPr>
          <w:p>
            <w:pPr>
              <w:spacing w:line="240"/>
            </w:pPr>
            <w:r>
              <w:rPr>
                <w:rFonts w:ascii="Times New Roman" w:cs="Times New Roman" w:eastAsia="Times New Roman" w:hAnsi="Times New Roman"/>
                <w:b/>
                <w:bCs/>
                <w:sz w:val="20"/>
                <w:szCs w:val="20"/>
              </w:rPr>
              <w:t xml:space="preserve">Weak-B / subgroup finding</w:t>
            </w:r>
          </w:p>
        </w:tc>
      </w:tr>
      <w:tr>
        <w:tc>
          <w:tcPr>
            <w:tcW w:type="dxa" w:w="1850"/>
            <w:tcBorders>
              <w:top w:val="single" w:color="999999" w:sz="1"/>
              <w:left w:val="single" w:color="999999" w:sz="1"/>
              <w:bottom w:val="single" w:color="999999" w:sz="1"/>
              <w:right w:val="single" w:color="999999" w:sz="1"/>
            </w:tcBorders>
            <w:tcMar>
              <w:top w:type="dxa" w:w="60"/>
              <w:left w:type="dxa" w:w="100"/>
              <w:bottom w:type="dxa" w:w="60"/>
              <w:right w:type="dxa" w:w="100"/>
            </w:tcMar>
          </w:tcPr>
          <w:p>
            <w:pPr>
              <w:spacing w:line="240"/>
            </w:pPr>
            <w:r>
              <w:rPr>
                <w:rFonts w:ascii="Times New Roman" w:cs="Times New Roman" w:eastAsia="Times New Roman" w:hAnsi="Times New Roman"/>
                <w:sz w:val="24"/>
                <w:szCs w:val="24"/>
              </w:rPr>
              <w:t xml:space="preserve">Eastern India cohort, 2024 (AJTS 18[2]:225–229)</w:t>
            </w:r>
          </w:p>
        </w:tc>
        <w:tc>
          <w:tcPr>
            <w:tcW w:type="dxa" w:w="1450"/>
            <w:tcBorders>
              <w:top w:val="single" w:color="999999" w:sz="1"/>
              <w:left w:val="single" w:color="999999" w:sz="1"/>
              <w:bottom w:val="single" w:color="999999" w:sz="1"/>
              <w:right w:val="single" w:color="999999" w:sz="1"/>
            </w:tcBorders>
            <w:tcMar>
              <w:top w:type="dxa" w:w="60"/>
              <w:left w:type="dxa" w:w="100"/>
              <w:bottom w:type="dxa" w:w="60"/>
              <w:right w:type="dxa" w:w="100"/>
            </w:tcMar>
          </w:tcPr>
          <w:p>
            <w:pPr>
              <w:spacing w:line="240"/>
            </w:pPr>
            <w:r>
              <w:rPr>
                <w:rFonts w:ascii="Times New Roman" w:cs="Times New Roman" w:eastAsia="Times New Roman" w:hAnsi="Times New Roman"/>
                <w:b w:val="false"/>
                <w:bCs w:val="false"/>
                <w:sz w:val="20"/>
                <w:szCs w:val="20"/>
              </w:rPr>
              <w:t xml:space="preserve">Prospective; Jan 2013–Dec 2021</w:t>
            </w:r>
          </w:p>
        </w:tc>
        <w:tc>
          <w:tcPr>
            <w:tcW w:type="dxa" w:w="2300"/>
            <w:tcBorders>
              <w:top w:val="single" w:color="999999" w:sz="1"/>
              <w:left w:val="single" w:color="999999" w:sz="1"/>
              <w:bottom w:val="single" w:color="999999" w:sz="1"/>
              <w:right w:val="single" w:color="999999" w:sz="1"/>
            </w:tcBorders>
            <w:tcMar>
              <w:top w:type="dxa" w:w="60"/>
              <w:left w:type="dxa" w:w="100"/>
              <w:bottom w:type="dxa" w:w="60"/>
              <w:right w:type="dxa" w:w="100"/>
            </w:tcMar>
          </w:tcPr>
          <w:p>
            <w:pPr>
              <w:spacing w:line="240"/>
            </w:pPr>
            <w:r>
              <w:rPr>
                <w:rFonts w:ascii="Times New Roman" w:cs="Times New Roman" w:eastAsia="Times New Roman" w:hAnsi="Times New Roman"/>
                <w:b w:val="false"/>
                <w:bCs w:val="false"/>
                <w:sz w:val="20"/>
                <w:szCs w:val="20"/>
              </w:rPr>
              <w:t xml:space="preserve">Healthy donors; automated solid-phase (NEO Iris), adsorption–elution, saliva</w:t>
            </w:r>
          </w:p>
        </w:tc>
        <w:tc>
          <w:tcPr>
            <w:tcW w:type="dxa" w:w="1880"/>
            <w:tcBorders>
              <w:top w:val="single" w:color="999999" w:sz="1"/>
              <w:left w:val="single" w:color="999999" w:sz="1"/>
              <w:bottom w:val="single" w:color="999999" w:sz="1"/>
              <w:right w:val="single" w:color="999999" w:sz="1"/>
            </w:tcBorders>
            <w:tcMar>
              <w:top w:type="dxa" w:w="60"/>
              <w:left w:type="dxa" w:w="100"/>
              <w:bottom w:type="dxa" w:w="60"/>
              <w:right w:type="dxa" w:w="100"/>
            </w:tcMar>
          </w:tcPr>
          <w:p>
            <w:pPr>
              <w:spacing w:line="240"/>
            </w:pPr>
            <w:r>
              <w:rPr>
                <w:rFonts w:ascii="Times New Roman" w:cs="Times New Roman" w:eastAsia="Times New Roman" w:hAnsi="Times New Roman"/>
                <w:b w:val="false"/>
                <w:bCs w:val="false"/>
                <w:sz w:val="20"/>
                <w:szCs w:val="20"/>
              </w:rPr>
              <w:t xml:space="preserve">84,534 donors (B = 29,190)</w:t>
            </w:r>
          </w:p>
        </w:tc>
        <w:tc>
          <w:tcPr>
            <w:tcW w:type="dxa" w:w="1880"/>
            <w:tcBorders>
              <w:top w:val="single" w:color="999999" w:sz="1"/>
              <w:left w:val="single" w:color="999999" w:sz="1"/>
              <w:bottom w:val="single" w:color="999999" w:sz="1"/>
              <w:right w:val="single" w:color="999999" w:sz="1"/>
            </w:tcBorders>
            <w:tcMar>
              <w:top w:type="dxa" w:w="60"/>
              <w:left w:type="dxa" w:w="100"/>
              <w:bottom w:type="dxa" w:w="60"/>
              <w:right w:type="dxa" w:w="100"/>
            </w:tcMar>
          </w:tcPr>
          <w:p>
            <w:pPr>
              <w:spacing w:line="240"/>
            </w:pPr>
            <w:r>
              <w:rPr>
                <w:rFonts w:ascii="Times New Roman" w:cs="Times New Roman" w:eastAsia="Times New Roman" w:hAnsi="Times New Roman"/>
                <w:b w:val="false"/>
                <w:bCs w:val="false"/>
                <w:sz w:val="20"/>
                <w:szCs w:val="20"/>
              </w:rPr>
              <w:t xml:space="preserve">9 weak B (B3 4, Bm 3, Bx 1, Bel 1)</w:t>
            </w:r>
          </w:p>
        </w:tc>
      </w:tr>
      <w:tr>
        <w:tc>
          <w:tcPr>
            <w:tcW w:type="dxa" w:w="1850"/>
            <w:tcBorders>
              <w:top w:val="single" w:color="999999" w:sz="1"/>
              <w:left w:val="single" w:color="999999" w:sz="1"/>
              <w:bottom w:val="single" w:color="999999" w:sz="1"/>
              <w:right w:val="single" w:color="999999" w:sz="1"/>
            </w:tcBorders>
            <w:tcMar>
              <w:top w:type="dxa" w:w="60"/>
              <w:left w:type="dxa" w:w="100"/>
              <w:bottom w:type="dxa" w:w="60"/>
              <w:right w:type="dxa" w:w="100"/>
            </w:tcMar>
          </w:tcPr>
          <w:p>
            <w:pPr>
              <w:spacing w:line="240"/>
            </w:pPr>
            <w:r>
              <w:rPr>
                <w:rFonts w:ascii="Times New Roman" w:cs="Times New Roman" w:eastAsia="Times New Roman" w:hAnsi="Times New Roman"/>
                <w:sz w:val="24"/>
                <w:szCs w:val="24"/>
              </w:rPr>
              <w:t xml:space="preserve">Wang et al., 2024 (Shanghai, China; HTCT)</w:t>
            </w:r>
          </w:p>
        </w:tc>
        <w:tc>
          <w:tcPr>
            <w:tcW w:type="dxa" w:w="1450"/>
            <w:tcBorders>
              <w:top w:val="single" w:color="999999" w:sz="1"/>
              <w:left w:val="single" w:color="999999" w:sz="1"/>
              <w:bottom w:val="single" w:color="999999" w:sz="1"/>
              <w:right w:val="single" w:color="999999" w:sz="1"/>
            </w:tcBorders>
            <w:tcMar>
              <w:top w:type="dxa" w:w="60"/>
              <w:left w:type="dxa" w:w="100"/>
              <w:bottom w:type="dxa" w:w="60"/>
              <w:right w:type="dxa" w:w="100"/>
            </w:tcMar>
          </w:tcPr>
          <w:p>
            <w:pPr>
              <w:spacing w:line="240"/>
            </w:pPr>
            <w:r>
              <w:rPr>
                <w:rFonts w:ascii="Times New Roman" w:cs="Times New Roman" w:eastAsia="Times New Roman" w:hAnsi="Times New Roman"/>
                <w:b w:val="false"/>
                <w:bCs w:val="false"/>
                <w:sz w:val="20"/>
                <w:szCs w:val="20"/>
              </w:rPr>
              <w:t xml:space="preserve">Donor cohort; Jan 2009–Dec 2017</w:t>
            </w:r>
          </w:p>
        </w:tc>
        <w:tc>
          <w:tcPr>
            <w:tcW w:type="dxa" w:w="2300"/>
            <w:tcBorders>
              <w:top w:val="single" w:color="999999" w:sz="1"/>
              <w:left w:val="single" w:color="999999" w:sz="1"/>
              <w:bottom w:val="single" w:color="999999" w:sz="1"/>
              <w:right w:val="single" w:color="999999" w:sz="1"/>
            </w:tcBorders>
            <w:tcMar>
              <w:top w:type="dxa" w:w="60"/>
              <w:left w:type="dxa" w:w="100"/>
              <w:bottom w:type="dxa" w:w="60"/>
              <w:right w:type="dxa" w:w="100"/>
            </w:tcMar>
          </w:tcPr>
          <w:p>
            <w:pPr>
              <w:spacing w:line="240"/>
            </w:pPr>
            <w:r>
              <w:rPr>
                <w:rFonts w:ascii="Times New Roman" w:cs="Times New Roman" w:eastAsia="Times New Roman" w:hAnsi="Times New Roman"/>
                <w:b w:val="false"/>
                <w:bCs w:val="false"/>
                <w:sz w:val="20"/>
                <w:szCs w:val="20"/>
              </w:rPr>
              <w:t xml:space="preserve">Donors; automated microplate + DNA sequencing</w:t>
            </w:r>
          </w:p>
        </w:tc>
        <w:tc>
          <w:tcPr>
            <w:tcW w:type="dxa" w:w="1880"/>
            <w:tcBorders>
              <w:top w:val="single" w:color="999999" w:sz="1"/>
              <w:left w:val="single" w:color="999999" w:sz="1"/>
              <w:bottom w:val="single" w:color="999999" w:sz="1"/>
              <w:right w:val="single" w:color="999999" w:sz="1"/>
            </w:tcBorders>
            <w:tcMar>
              <w:top w:type="dxa" w:w="60"/>
              <w:left w:type="dxa" w:w="100"/>
              <w:bottom w:type="dxa" w:w="60"/>
              <w:right w:type="dxa" w:w="100"/>
            </w:tcMar>
          </w:tcPr>
          <w:p>
            <w:pPr>
              <w:spacing w:line="240"/>
            </w:pPr>
            <w:r>
              <w:rPr>
                <w:rFonts w:ascii="Times New Roman" w:cs="Times New Roman" w:eastAsia="Times New Roman" w:hAnsi="Times New Roman"/>
                <w:b w:val="false"/>
                <w:bCs w:val="false"/>
                <w:sz w:val="20"/>
                <w:szCs w:val="20"/>
              </w:rPr>
              <w:t xml:space="preserve">2,945,643 samples</w:t>
            </w:r>
          </w:p>
        </w:tc>
        <w:tc>
          <w:tcPr>
            <w:tcW w:type="dxa" w:w="1880"/>
            <w:tcBorders>
              <w:top w:val="single" w:color="999999" w:sz="1"/>
              <w:left w:val="single" w:color="999999" w:sz="1"/>
              <w:bottom w:val="single" w:color="999999" w:sz="1"/>
              <w:right w:val="single" w:color="999999" w:sz="1"/>
            </w:tcBorders>
            <w:tcMar>
              <w:top w:type="dxa" w:w="60"/>
              <w:left w:type="dxa" w:w="100"/>
              <w:bottom w:type="dxa" w:w="60"/>
              <w:right w:type="dxa" w:w="100"/>
            </w:tcMar>
          </w:tcPr>
          <w:p>
            <w:pPr>
              <w:spacing w:line="240"/>
            </w:pPr>
            <w:r>
              <w:rPr>
                <w:rFonts w:ascii="Times New Roman" w:cs="Times New Roman" w:eastAsia="Times New Roman" w:hAnsi="Times New Roman"/>
                <w:b w:val="false"/>
                <w:bCs w:val="false"/>
                <w:sz w:val="20"/>
                <w:szCs w:val="20"/>
              </w:rPr>
              <w:t xml:space="preserve">927 ABO subgroups (A+B); MDR 27.81%</w:t>
            </w:r>
          </w:p>
        </w:tc>
      </w:tr>
      <w:tr>
        <w:tc>
          <w:tcPr>
            <w:tcW w:type="dxa" w:w="1850"/>
            <w:tcBorders>
              <w:top w:val="single" w:color="999999" w:sz="1"/>
              <w:left w:val="single" w:color="999999" w:sz="1"/>
              <w:bottom w:val="single" w:color="999999" w:sz="1"/>
              <w:right w:val="single" w:color="999999" w:sz="1"/>
            </w:tcBorders>
            <w:tcMar>
              <w:top w:type="dxa" w:w="60"/>
              <w:left w:type="dxa" w:w="100"/>
              <w:bottom w:type="dxa" w:w="60"/>
              <w:right w:type="dxa" w:w="100"/>
            </w:tcMar>
          </w:tcPr>
          <w:p>
            <w:pPr>
              <w:spacing w:line="240"/>
            </w:pPr>
            <w:r>
              <w:rPr>
                <w:rFonts w:ascii="Times New Roman" w:cs="Times New Roman" w:eastAsia="Times New Roman" w:hAnsi="Times New Roman"/>
                <w:sz w:val="24"/>
                <w:szCs w:val="24"/>
              </w:rPr>
              <w:t xml:space="preserve">Bhatia &amp; Sathe, 1974 (Bombay, India)</w:t>
            </w:r>
          </w:p>
        </w:tc>
        <w:tc>
          <w:tcPr>
            <w:tcW w:type="dxa" w:w="1450"/>
            <w:tcBorders>
              <w:top w:val="single" w:color="999999" w:sz="1"/>
              <w:left w:val="single" w:color="999999" w:sz="1"/>
              <w:bottom w:val="single" w:color="999999" w:sz="1"/>
              <w:right w:val="single" w:color="999999" w:sz="1"/>
            </w:tcBorders>
            <w:tcMar>
              <w:top w:type="dxa" w:w="60"/>
              <w:left w:type="dxa" w:w="100"/>
              <w:bottom w:type="dxa" w:w="60"/>
              <w:right w:type="dxa" w:w="100"/>
            </w:tcMar>
          </w:tcPr>
          <w:p>
            <w:pPr>
              <w:spacing w:line="240"/>
            </w:pPr>
            <w:r>
              <w:rPr>
                <w:rFonts w:ascii="Times New Roman" w:cs="Times New Roman" w:eastAsia="Times New Roman" w:hAnsi="Times New Roman"/>
                <w:b w:val="false"/>
                <w:bCs w:val="false"/>
                <w:sz w:val="20"/>
                <w:szCs w:val="20"/>
              </w:rPr>
              <w:t xml:space="preserve">Donor/population series</w:t>
            </w:r>
          </w:p>
        </w:tc>
        <w:tc>
          <w:tcPr>
            <w:tcW w:type="dxa" w:w="2300"/>
            <w:tcBorders>
              <w:top w:val="single" w:color="999999" w:sz="1"/>
              <w:left w:val="single" w:color="999999" w:sz="1"/>
              <w:bottom w:val="single" w:color="999999" w:sz="1"/>
              <w:right w:val="single" w:color="999999" w:sz="1"/>
            </w:tcBorders>
            <w:tcMar>
              <w:top w:type="dxa" w:w="60"/>
              <w:left w:type="dxa" w:w="100"/>
              <w:bottom w:type="dxa" w:w="60"/>
              <w:right w:type="dxa" w:w="100"/>
            </w:tcMar>
          </w:tcPr>
          <w:p>
            <w:pPr>
              <w:spacing w:line="240"/>
            </w:pPr>
            <w:r>
              <w:rPr>
                <w:rFonts w:ascii="Times New Roman" w:cs="Times New Roman" w:eastAsia="Times New Roman" w:hAnsi="Times New Roman"/>
                <w:b w:val="false"/>
                <w:bCs w:val="false"/>
                <w:sz w:val="20"/>
                <w:szCs w:val="20"/>
              </w:rPr>
              <w:t xml:space="preserve">Serological (incl. saliva, secretor)</w:t>
            </w:r>
          </w:p>
        </w:tc>
        <w:tc>
          <w:tcPr>
            <w:tcW w:type="dxa" w:w="1880"/>
            <w:tcBorders>
              <w:top w:val="single" w:color="999999" w:sz="1"/>
              <w:left w:val="single" w:color="999999" w:sz="1"/>
              <w:bottom w:val="single" w:color="999999" w:sz="1"/>
              <w:right w:val="single" w:color="999999" w:sz="1"/>
            </w:tcBorders>
            <w:tcMar>
              <w:top w:type="dxa" w:w="60"/>
              <w:left w:type="dxa" w:w="100"/>
              <w:bottom w:type="dxa" w:w="60"/>
              <w:right w:type="dxa" w:w="100"/>
            </w:tcMar>
          </w:tcPr>
          <w:p>
            <w:pPr>
              <w:spacing w:line="240"/>
            </w:pPr>
            <w:r>
              <w:rPr>
                <w:rFonts w:ascii="Times New Roman" w:cs="Times New Roman" w:eastAsia="Times New Roman" w:hAnsi="Times New Roman"/>
                <w:b w:val="false"/>
                <w:bCs w:val="false"/>
                <w:sz w:val="20"/>
                <w:szCs w:val="20"/>
              </w:rPr>
              <w:t xml:space="preserve">Large Bombay series</w:t>
            </w:r>
          </w:p>
        </w:tc>
        <w:tc>
          <w:tcPr>
            <w:tcW w:type="dxa" w:w="1880"/>
            <w:tcBorders>
              <w:top w:val="single" w:color="999999" w:sz="1"/>
              <w:left w:val="single" w:color="999999" w:sz="1"/>
              <w:bottom w:val="single" w:color="999999" w:sz="1"/>
              <w:right w:val="single" w:color="999999" w:sz="1"/>
            </w:tcBorders>
            <w:tcMar>
              <w:top w:type="dxa" w:w="60"/>
              <w:left w:type="dxa" w:w="100"/>
              <w:bottom w:type="dxa" w:w="60"/>
              <w:right w:type="dxa" w:w="100"/>
            </w:tcMar>
          </w:tcPr>
          <w:p>
            <w:pPr>
              <w:spacing w:line="240"/>
            </w:pPr>
            <w:r>
              <w:rPr>
                <w:rFonts w:ascii="Times New Roman" w:cs="Times New Roman" w:eastAsia="Times New Roman" w:hAnsi="Times New Roman"/>
                <w:b w:val="false"/>
                <w:bCs w:val="false"/>
                <w:sz w:val="20"/>
                <w:szCs w:val="20"/>
              </w:rPr>
              <w:t xml:space="preserve">Weak B variants ~1:24,000 (weak A ~1:16,700)</w:t>
            </w:r>
          </w:p>
        </w:tc>
      </w:tr>
      <w:tr>
        <w:tc>
          <w:tcPr>
            <w:tcW w:type="dxa" w:w="1850"/>
            <w:tcBorders>
              <w:top w:val="single" w:color="999999" w:sz="1"/>
              <w:left w:val="single" w:color="999999" w:sz="1"/>
              <w:bottom w:val="single" w:color="999999" w:sz="1"/>
              <w:right w:val="single" w:color="999999" w:sz="1"/>
            </w:tcBorders>
            <w:tcMar>
              <w:top w:type="dxa" w:w="60"/>
              <w:left w:type="dxa" w:w="100"/>
              <w:bottom w:type="dxa" w:w="60"/>
              <w:right w:type="dxa" w:w="100"/>
            </w:tcMar>
          </w:tcPr>
          <w:p>
            <w:pPr>
              <w:spacing w:line="240"/>
            </w:pPr>
            <w:r>
              <w:rPr>
                <w:rFonts w:ascii="Times New Roman" w:cs="Times New Roman" w:eastAsia="Times New Roman" w:hAnsi="Times New Roman"/>
                <w:sz w:val="24"/>
                <w:szCs w:val="24"/>
              </w:rPr>
              <w:t xml:space="preserve">Banerjee et al., 2021 (S. India)</w:t>
            </w:r>
          </w:p>
        </w:tc>
        <w:tc>
          <w:tcPr>
            <w:tcW w:type="dxa" w:w="1450"/>
            <w:tcBorders>
              <w:top w:val="single" w:color="999999" w:sz="1"/>
              <w:left w:val="single" w:color="999999" w:sz="1"/>
              <w:bottom w:val="single" w:color="999999" w:sz="1"/>
              <w:right w:val="single" w:color="999999" w:sz="1"/>
            </w:tcBorders>
            <w:tcMar>
              <w:top w:type="dxa" w:w="60"/>
              <w:left w:type="dxa" w:w="100"/>
              <w:bottom w:type="dxa" w:w="60"/>
              <w:right w:type="dxa" w:w="100"/>
            </w:tcMar>
          </w:tcPr>
          <w:p>
            <w:pPr>
              <w:spacing w:line="240"/>
            </w:pPr>
            <w:r>
              <w:rPr>
                <w:rFonts w:ascii="Times New Roman" w:cs="Times New Roman" w:eastAsia="Times New Roman" w:hAnsi="Times New Roman"/>
                <w:b w:val="false"/>
                <w:bCs w:val="false"/>
                <w:sz w:val="20"/>
                <w:szCs w:val="20"/>
              </w:rPr>
              <w:t xml:space="preserve">Case series</w:t>
            </w:r>
          </w:p>
        </w:tc>
        <w:tc>
          <w:tcPr>
            <w:tcW w:type="dxa" w:w="2300"/>
            <w:tcBorders>
              <w:top w:val="single" w:color="999999" w:sz="1"/>
              <w:left w:val="single" w:color="999999" w:sz="1"/>
              <w:bottom w:val="single" w:color="999999" w:sz="1"/>
              <w:right w:val="single" w:color="999999" w:sz="1"/>
            </w:tcBorders>
            <w:tcMar>
              <w:top w:type="dxa" w:w="60"/>
              <w:left w:type="dxa" w:w="100"/>
              <w:bottom w:type="dxa" w:w="60"/>
              <w:right w:type="dxa" w:w="100"/>
            </w:tcMar>
          </w:tcPr>
          <w:p>
            <w:pPr>
              <w:spacing w:line="240"/>
            </w:pPr>
            <w:r>
              <w:rPr>
                <w:rFonts w:ascii="Times New Roman" w:cs="Times New Roman" w:eastAsia="Times New Roman" w:hAnsi="Times New Roman"/>
                <w:b w:val="false"/>
                <w:bCs w:val="false"/>
                <w:sz w:val="20"/>
                <w:szCs w:val="20"/>
              </w:rPr>
              <w:t xml:space="preserve">Forward/reverse + adsorption–elution + saliva</w:t>
            </w:r>
          </w:p>
        </w:tc>
        <w:tc>
          <w:tcPr>
            <w:tcW w:type="dxa" w:w="1880"/>
            <w:tcBorders>
              <w:top w:val="single" w:color="999999" w:sz="1"/>
              <w:left w:val="single" w:color="999999" w:sz="1"/>
              <w:bottom w:val="single" w:color="999999" w:sz="1"/>
              <w:right w:val="single" w:color="999999" w:sz="1"/>
            </w:tcBorders>
            <w:tcMar>
              <w:top w:type="dxa" w:w="60"/>
              <w:left w:type="dxa" w:w="100"/>
              <w:bottom w:type="dxa" w:w="60"/>
              <w:right w:type="dxa" w:w="100"/>
            </w:tcMar>
          </w:tcPr>
          <w:p>
            <w:pPr>
              <w:spacing w:line="240"/>
            </w:pPr>
            <w:r>
              <w:rPr>
                <w:rFonts w:ascii="Times New Roman" w:cs="Times New Roman" w:eastAsia="Times New Roman" w:hAnsi="Times New Roman"/>
                <w:b w:val="false"/>
                <w:bCs w:val="false"/>
                <w:sz w:val="20"/>
                <w:szCs w:val="20"/>
              </w:rPr>
              <w:t xml:space="preserve">— (no denominator)</w:t>
            </w:r>
          </w:p>
        </w:tc>
        <w:tc>
          <w:tcPr>
            <w:tcW w:type="dxa" w:w="1880"/>
            <w:tcBorders>
              <w:top w:val="single" w:color="999999" w:sz="1"/>
              <w:left w:val="single" w:color="999999" w:sz="1"/>
              <w:bottom w:val="single" w:color="999999" w:sz="1"/>
              <w:right w:val="single" w:color="999999" w:sz="1"/>
            </w:tcBorders>
            <w:tcMar>
              <w:top w:type="dxa" w:w="60"/>
              <w:left w:type="dxa" w:w="100"/>
              <w:bottom w:type="dxa" w:w="60"/>
              <w:right w:type="dxa" w:w="100"/>
            </w:tcMar>
          </w:tcPr>
          <w:p>
            <w:pPr>
              <w:spacing w:line="240"/>
            </w:pPr>
            <w:r>
              <w:rPr>
                <w:rFonts w:ascii="Times New Roman" w:cs="Times New Roman" w:eastAsia="Times New Roman" w:hAnsi="Times New Roman"/>
                <w:b w:val="false"/>
                <w:bCs w:val="false"/>
                <w:sz w:val="20"/>
                <w:szCs w:val="20"/>
              </w:rPr>
              <w:t xml:space="preserve">Weak B / para-Bombay B cases (qualitative)</w:t>
            </w:r>
          </w:p>
        </w:tc>
      </w:tr>
      <w:tr>
        <w:tc>
          <w:tcPr>
            <w:tcW w:type="dxa" w:w="1850"/>
            <w:tcBorders>
              <w:top w:val="single" w:color="999999" w:sz="1"/>
              <w:left w:val="single" w:color="999999" w:sz="1"/>
              <w:bottom w:val="single" w:color="999999" w:sz="1"/>
              <w:right w:val="single" w:color="999999" w:sz="1"/>
            </w:tcBorders>
            <w:tcMar>
              <w:top w:type="dxa" w:w="60"/>
              <w:left w:type="dxa" w:w="100"/>
              <w:bottom w:type="dxa" w:w="60"/>
              <w:right w:type="dxa" w:w="100"/>
            </w:tcMar>
          </w:tcPr>
          <w:p>
            <w:pPr>
              <w:spacing w:line="240"/>
            </w:pPr>
            <w:r>
              <w:rPr>
                <w:rFonts w:ascii="Times New Roman" w:cs="Times New Roman" w:eastAsia="Times New Roman" w:hAnsi="Times New Roman"/>
                <w:sz w:val="24"/>
                <w:szCs w:val="24"/>
              </w:rPr>
              <w:t xml:space="preserve">Prasanth et al., 2025 (Uttarakhand)</w:t>
            </w:r>
          </w:p>
        </w:tc>
        <w:tc>
          <w:tcPr>
            <w:tcW w:type="dxa" w:w="1450"/>
            <w:tcBorders>
              <w:top w:val="single" w:color="999999" w:sz="1"/>
              <w:left w:val="single" w:color="999999" w:sz="1"/>
              <w:bottom w:val="single" w:color="999999" w:sz="1"/>
              <w:right w:val="single" w:color="999999" w:sz="1"/>
            </w:tcBorders>
            <w:tcMar>
              <w:top w:type="dxa" w:w="60"/>
              <w:left w:type="dxa" w:w="100"/>
              <w:bottom w:type="dxa" w:w="60"/>
              <w:right w:type="dxa" w:w="100"/>
            </w:tcMar>
          </w:tcPr>
          <w:p>
            <w:pPr>
              <w:spacing w:line="240"/>
            </w:pPr>
            <w:r>
              <w:rPr>
                <w:rFonts w:ascii="Times New Roman" w:cs="Times New Roman" w:eastAsia="Times New Roman" w:hAnsi="Times New Roman"/>
                <w:b w:val="false"/>
                <w:bCs w:val="false"/>
                <w:sz w:val="20"/>
                <w:szCs w:val="20"/>
              </w:rPr>
              <w:t xml:space="preserve">Case series (2)</w:t>
            </w:r>
          </w:p>
        </w:tc>
        <w:tc>
          <w:tcPr>
            <w:tcW w:type="dxa" w:w="2300"/>
            <w:tcBorders>
              <w:top w:val="single" w:color="999999" w:sz="1"/>
              <w:left w:val="single" w:color="999999" w:sz="1"/>
              <w:bottom w:val="single" w:color="999999" w:sz="1"/>
              <w:right w:val="single" w:color="999999" w:sz="1"/>
            </w:tcBorders>
            <w:tcMar>
              <w:top w:type="dxa" w:w="60"/>
              <w:left w:type="dxa" w:w="100"/>
              <w:bottom w:type="dxa" w:w="60"/>
              <w:right w:type="dxa" w:w="100"/>
            </w:tcMar>
          </w:tcPr>
          <w:p>
            <w:pPr>
              <w:spacing w:line="240"/>
            </w:pPr>
            <w:r>
              <w:rPr>
                <w:rFonts w:ascii="Times New Roman" w:cs="Times New Roman" w:eastAsia="Times New Roman" w:hAnsi="Times New Roman"/>
                <w:b w:val="false"/>
                <w:bCs w:val="false"/>
                <w:sz w:val="20"/>
                <w:szCs w:val="20"/>
              </w:rPr>
              <w:t xml:space="preserve">Donors; adsorption–elution + saliva</w:t>
            </w:r>
          </w:p>
        </w:tc>
        <w:tc>
          <w:tcPr>
            <w:tcW w:type="dxa" w:w="1880"/>
            <w:tcBorders>
              <w:top w:val="single" w:color="999999" w:sz="1"/>
              <w:left w:val="single" w:color="999999" w:sz="1"/>
              <w:bottom w:val="single" w:color="999999" w:sz="1"/>
              <w:right w:val="single" w:color="999999" w:sz="1"/>
            </w:tcBorders>
            <w:tcMar>
              <w:top w:type="dxa" w:w="60"/>
              <w:left w:type="dxa" w:w="100"/>
              <w:bottom w:type="dxa" w:w="60"/>
              <w:right w:type="dxa" w:w="100"/>
            </w:tcMar>
          </w:tcPr>
          <w:p>
            <w:pPr>
              <w:spacing w:line="240"/>
            </w:pPr>
            <w:r>
              <w:rPr>
                <w:rFonts w:ascii="Times New Roman" w:cs="Times New Roman" w:eastAsia="Times New Roman" w:hAnsi="Times New Roman"/>
                <w:b w:val="false"/>
                <w:bCs w:val="false"/>
                <w:sz w:val="20"/>
                <w:szCs w:val="20"/>
              </w:rPr>
              <w:t xml:space="preserve">— (no denominator)</w:t>
            </w:r>
          </w:p>
        </w:tc>
        <w:tc>
          <w:tcPr>
            <w:tcW w:type="dxa" w:w="1880"/>
            <w:tcBorders>
              <w:top w:val="single" w:color="999999" w:sz="1"/>
              <w:left w:val="single" w:color="999999" w:sz="1"/>
              <w:bottom w:val="single" w:color="999999" w:sz="1"/>
              <w:right w:val="single" w:color="999999" w:sz="1"/>
            </w:tcBorders>
            <w:tcMar>
              <w:top w:type="dxa" w:w="60"/>
              <w:left w:type="dxa" w:w="100"/>
              <w:bottom w:type="dxa" w:w="60"/>
              <w:right w:type="dxa" w:w="100"/>
            </w:tcMar>
          </w:tcPr>
          <w:p>
            <w:pPr>
              <w:spacing w:line="240"/>
            </w:pPr>
            <w:r>
              <w:rPr>
                <w:rFonts w:ascii="Times New Roman" w:cs="Times New Roman" w:eastAsia="Times New Roman" w:hAnsi="Times New Roman"/>
                <w:b w:val="false"/>
                <w:bCs w:val="false"/>
                <w:sz w:val="20"/>
                <w:szCs w:val="20"/>
              </w:rPr>
              <w:t xml:space="preserve">2 ABel donors (qualitative)</w:t>
            </w:r>
          </w:p>
        </w:tc>
      </w:tr>
    </w:tbl>
    <w:p>
      <w:pPr>
        <w:spacing w:after="160" w:line="240"/>
      </w:pPr>
      <w:r>
        <w:rPr>
          <w:rFonts w:ascii="Times New Roman" w:cs="Times New Roman" w:eastAsia="Times New Roman" w:hAnsi="Times New Roman"/>
          <w:i/>
          <w:iCs/>
          <w:sz w:val="18"/>
          <w:szCs w:val="18"/>
        </w:rPr>
        <w:t xml:space="preserve">AJTS, Asian Journal of Transfusion Science; HTCT, Hematology, Transfusion and Cell Therapy; MDR, missed-detection rate.</w:t>
      </w:r>
    </w:p>
    <w:p>
      <w:pPr>
        <w:spacing w:after="80" w:before="160" w:line="360"/>
      </w:pPr>
      <w:r>
        <w:rPr>
          <w:rFonts w:ascii="Times New Roman" w:cs="Times New Roman" w:eastAsia="Times New Roman" w:hAnsi="Times New Roman"/>
          <w:b/>
          <w:bCs/>
          <w:i/>
          <w:iCs/>
          <w:sz w:val="24"/>
          <w:szCs w:val="24"/>
        </w:rPr>
        <w:t xml:space="preserve">3.2 Risk of bias</w:t>
      </w:r>
    </w:p>
    <w:p>
      <w:pPr>
        <w:spacing w:after="160" w:line="360"/>
        <w:jc w:val="both"/>
      </w:pPr>
      <w:r>
        <w:rPr>
          <w:rFonts w:ascii="Times New Roman" w:cs="Times New Roman" w:eastAsia="Times New Roman" w:hAnsi="Times New Roman"/>
          <w:sz w:val="24"/>
          <w:szCs w:val="24"/>
        </w:rPr>
        <w:t xml:space="preserve">A full JBI appraisal will follow once study selection is complete. The two large donor cohorts (Eastern India and Shanghai) relied on standardised automated measurement with serological and molecular confirmation, which supports valid case ascertainment; the dominant bias concern across this field is the opposite — under-ascertainment, as weak subgroups slip through routine testing. The Shanghai cohort put a figure on this, a 27.81% missed-detection rate, which pulls routine-method prevalence estimates downward.</w:t>
      </w:r>
    </w:p>
    <w:p>
      <w:pPr>
        <w:spacing w:after="80" w:before="160" w:line="360"/>
      </w:pPr>
      <w:r>
        <w:rPr>
          <w:rFonts w:ascii="Times New Roman" w:cs="Times New Roman" w:eastAsia="Times New Roman" w:hAnsi="Times New Roman"/>
          <w:b/>
          <w:bCs/>
          <w:i/>
          <w:iCs/>
          <w:sz w:val="24"/>
          <w:szCs w:val="24"/>
        </w:rPr>
        <w:t xml:space="preserve">3.3 Prevalence of weakly/variably expressed B antigen</w:t>
      </w:r>
    </w:p>
    <w:p>
      <w:pPr>
        <w:spacing w:after="160" w:line="360"/>
        <w:jc w:val="both"/>
      </w:pPr>
      <w:r>
        <w:rPr>
          <w:rFonts w:ascii="Times New Roman" w:cs="Times New Roman" w:eastAsia="Times New Roman" w:hAnsi="Times New Roman"/>
          <w:sz w:val="24"/>
          <w:szCs w:val="24"/>
        </w:rPr>
        <w:t xml:space="preserve">Study-level estimates with exact 95% CIs appear in Table 2. In the Eastern Indian cohort, weak B occurred in 9 of 84,534 donors — </w:t>
      </w:r>
      <w:r>
        <w:rPr>
          <w:rFonts w:ascii="Times New Roman" w:cs="Times New Roman" w:eastAsia="Times New Roman" w:hAnsi="Times New Roman"/>
          <w:b/>
          <w:bCs/>
          <w:sz w:val="24"/>
          <w:szCs w:val="24"/>
        </w:rPr>
        <w:t xml:space="preserve">10.65 per 100,000</w:t>
      </w:r>
      <w:r>
        <w:rPr>
          <w:rFonts w:ascii="Times New Roman" w:cs="Times New Roman" w:eastAsia="Times New Roman" w:hAnsi="Times New Roman"/>
          <w:sz w:val="24"/>
          <w:szCs w:val="24"/>
        </w:rPr>
        <w:t xml:space="preserve"> (95% CI 4.87–20.21), about 1 in 9,400 donors, or 0.031% of B-group donors. By way of context, all ABO subgroups (A and B) in the Chinese cohort ran at 31.47 per 100,000 (95% CI 29.48–33.56). Since only one cohort offered a weak-B denominator in directly comparable form, the pre-set requirement for pooling — three or more cohorts — was not met, and no pooled estimate was produced; deriving one from a single study, or by mixing weak-B-specific and all-subgroup denominators, would not be sound. A defensible pooled value awaits the completed search.</w:t>
      </w:r>
    </w:p>
    <w:p>
      <w:pPr>
        <w:spacing w:after="80" w:before="120" w:line="240"/>
      </w:pPr>
      <w:r>
        <w:rPr>
          <w:rFonts w:ascii="Times New Roman" w:cs="Times New Roman" w:eastAsia="Times New Roman" w:hAnsi="Times New Roman"/>
          <w:b/>
          <w:bCs/>
          <w:sz w:val="22"/>
          <w:szCs w:val="22"/>
        </w:rPr>
        <w:t xml:space="preserve">Table 2. </w:t>
      </w:r>
      <w:r>
        <w:rPr>
          <w:rFonts w:ascii="Times New Roman" w:cs="Times New Roman" w:eastAsia="Times New Roman" w:hAnsi="Times New Roman"/>
          <w:sz w:val="22"/>
          <w:szCs w:val="22"/>
        </w:rPr>
        <w:t xml:space="preserve">Study-level prevalence of weak B (and ABO subgroups) with exact 95% confidence intervals.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000"/>
        <w:gridCol w:w="1700"/>
        <w:gridCol w:w="1700"/>
        <w:gridCol w:w="2960"/>
      </w:tblGrid>
      <w:tr>
        <w:tc>
          <w:tcPr>
            <w:tcW w:type="dxa" w:w="3000"/>
            <w:tcBorders>
              <w:top w:val="single" w:color="999999" w:sz="1"/>
              <w:left w:val="single" w:color="999999" w:sz="1"/>
              <w:bottom w:val="single" w:color="999999" w:sz="1"/>
              <w:right w:val="single" w:color="999999" w:sz="1"/>
            </w:tcBorders>
            <w:shd w:fill="D9E2F3" w:val="clear"/>
            <w:tcMar>
              <w:top w:type="dxa" w:w="60"/>
              <w:left w:type="dxa" w:w="100"/>
              <w:bottom w:type="dxa" w:w="60"/>
              <w:right w:type="dxa" w:w="100"/>
            </w:tcMar>
          </w:tcPr>
          <w:p>
            <w:pPr>
              <w:spacing w:line="240"/>
            </w:pPr>
            <w:r>
              <w:rPr>
                <w:rFonts w:ascii="Times New Roman" w:cs="Times New Roman" w:eastAsia="Times New Roman" w:hAnsi="Times New Roman"/>
                <w:b/>
                <w:bCs/>
                <w:sz w:val="20"/>
                <w:szCs w:val="20"/>
              </w:rPr>
              <w:t xml:space="preserve">Phenotype (cohort)</w:t>
            </w:r>
          </w:p>
        </w:tc>
        <w:tc>
          <w:tcPr>
            <w:tcW w:type="dxa" w:w="1700"/>
            <w:tcBorders>
              <w:top w:val="single" w:color="999999" w:sz="1"/>
              <w:left w:val="single" w:color="999999" w:sz="1"/>
              <w:bottom w:val="single" w:color="999999" w:sz="1"/>
              <w:right w:val="single" w:color="999999" w:sz="1"/>
            </w:tcBorders>
            <w:shd w:fill="D9E2F3" w:val="clear"/>
            <w:tcMar>
              <w:top w:type="dxa" w:w="60"/>
              <w:left w:type="dxa" w:w="100"/>
              <w:bottom w:type="dxa" w:w="60"/>
              <w:right w:type="dxa" w:w="100"/>
            </w:tcMar>
          </w:tcPr>
          <w:p>
            <w:pPr>
              <w:spacing w:line="240"/>
            </w:pPr>
            <w:r>
              <w:rPr>
                <w:rFonts w:ascii="Times New Roman" w:cs="Times New Roman" w:eastAsia="Times New Roman" w:hAnsi="Times New Roman"/>
                <w:b/>
                <w:bCs/>
                <w:sz w:val="20"/>
                <w:szCs w:val="20"/>
              </w:rPr>
              <w:t xml:space="preserve">Cases / N</w:t>
            </w:r>
          </w:p>
        </w:tc>
        <w:tc>
          <w:tcPr>
            <w:tcW w:type="dxa" w:w="1700"/>
            <w:tcBorders>
              <w:top w:val="single" w:color="999999" w:sz="1"/>
              <w:left w:val="single" w:color="999999" w:sz="1"/>
              <w:bottom w:val="single" w:color="999999" w:sz="1"/>
              <w:right w:val="single" w:color="999999" w:sz="1"/>
            </w:tcBorders>
            <w:shd w:fill="D9E2F3" w:val="clear"/>
            <w:tcMar>
              <w:top w:type="dxa" w:w="60"/>
              <w:left w:type="dxa" w:w="100"/>
              <w:bottom w:type="dxa" w:w="60"/>
              <w:right w:type="dxa" w:w="100"/>
            </w:tcMar>
          </w:tcPr>
          <w:p>
            <w:pPr>
              <w:spacing w:line="240"/>
            </w:pPr>
            <w:r>
              <w:rPr>
                <w:rFonts w:ascii="Times New Roman" w:cs="Times New Roman" w:eastAsia="Times New Roman" w:hAnsi="Times New Roman"/>
                <w:b/>
                <w:bCs/>
                <w:sz w:val="20"/>
                <w:szCs w:val="20"/>
              </w:rPr>
              <w:t xml:space="preserve">Per 100,000</w:t>
            </w:r>
          </w:p>
        </w:tc>
        <w:tc>
          <w:tcPr>
            <w:tcW w:type="dxa" w:w="2960"/>
            <w:tcBorders>
              <w:top w:val="single" w:color="999999" w:sz="1"/>
              <w:left w:val="single" w:color="999999" w:sz="1"/>
              <w:bottom w:val="single" w:color="999999" w:sz="1"/>
              <w:right w:val="single" w:color="999999" w:sz="1"/>
            </w:tcBorders>
            <w:shd w:fill="D9E2F3" w:val="clear"/>
            <w:tcMar>
              <w:top w:type="dxa" w:w="60"/>
              <w:left w:type="dxa" w:w="100"/>
              <w:bottom w:type="dxa" w:w="60"/>
              <w:right w:type="dxa" w:w="100"/>
            </w:tcMar>
          </w:tcPr>
          <w:p>
            <w:pPr>
              <w:spacing w:line="240"/>
            </w:pPr>
            <w:r>
              <w:rPr>
                <w:rFonts w:ascii="Times New Roman" w:cs="Times New Roman" w:eastAsia="Times New Roman" w:hAnsi="Times New Roman"/>
                <w:b/>
                <w:bCs/>
                <w:sz w:val="20"/>
                <w:szCs w:val="20"/>
              </w:rPr>
              <w:t xml:space="preserve">95% CI (per 100,000)</w:t>
            </w:r>
          </w:p>
        </w:tc>
      </w:tr>
      <w:tr>
        <w:tc>
          <w:tcPr>
            <w:tcW w:type="dxa" w:w="3000"/>
            <w:tcBorders>
              <w:top w:val="single" w:color="999999" w:sz="1"/>
              <w:left w:val="single" w:color="999999" w:sz="1"/>
              <w:bottom w:val="single" w:color="999999" w:sz="1"/>
              <w:right w:val="single" w:color="999999" w:sz="1"/>
            </w:tcBorders>
            <w:tcMar>
              <w:top w:type="dxa" w:w="60"/>
              <w:left w:type="dxa" w:w="100"/>
              <w:bottom w:type="dxa" w:w="60"/>
              <w:right w:type="dxa" w:w="100"/>
            </w:tcMar>
          </w:tcPr>
          <w:p>
            <w:pPr>
              <w:spacing w:line="240"/>
            </w:pPr>
            <w:r>
              <w:rPr>
                <w:rFonts w:ascii="Times New Roman" w:cs="Times New Roman" w:eastAsia="Times New Roman" w:hAnsi="Times New Roman"/>
                <w:b w:val="false"/>
                <w:bCs w:val="false"/>
                <w:sz w:val="20"/>
                <w:szCs w:val="20"/>
              </w:rPr>
              <w:t xml:space="preserve">Weak B, overall (E. India)</w:t>
            </w:r>
          </w:p>
        </w:tc>
        <w:tc>
          <w:tcPr>
            <w:tcW w:type="dxa" w:w="1700"/>
            <w:tcBorders>
              <w:top w:val="single" w:color="999999" w:sz="1"/>
              <w:left w:val="single" w:color="999999" w:sz="1"/>
              <w:bottom w:val="single" w:color="999999" w:sz="1"/>
              <w:right w:val="single" w:color="999999" w:sz="1"/>
            </w:tcBorders>
            <w:tcMar>
              <w:top w:type="dxa" w:w="60"/>
              <w:left w:type="dxa" w:w="100"/>
              <w:bottom w:type="dxa" w:w="60"/>
              <w:right w:type="dxa" w:w="100"/>
            </w:tcMar>
          </w:tcPr>
          <w:p>
            <w:pPr>
              <w:spacing w:line="240"/>
            </w:pPr>
            <w:r>
              <w:rPr>
                <w:rFonts w:ascii="Times New Roman" w:cs="Times New Roman" w:eastAsia="Times New Roman" w:hAnsi="Times New Roman"/>
                <w:b w:val="false"/>
                <w:bCs w:val="false"/>
                <w:sz w:val="20"/>
                <w:szCs w:val="20"/>
              </w:rPr>
              <w:t xml:space="preserve">9 / 84,534</w:t>
            </w:r>
          </w:p>
        </w:tc>
        <w:tc>
          <w:tcPr>
            <w:tcW w:type="dxa" w:w="1700"/>
            <w:tcBorders>
              <w:top w:val="single" w:color="999999" w:sz="1"/>
              <w:left w:val="single" w:color="999999" w:sz="1"/>
              <w:bottom w:val="single" w:color="999999" w:sz="1"/>
              <w:right w:val="single" w:color="999999" w:sz="1"/>
            </w:tcBorders>
            <w:tcMar>
              <w:top w:type="dxa" w:w="60"/>
              <w:left w:type="dxa" w:w="100"/>
              <w:bottom w:type="dxa" w:w="60"/>
              <w:right w:type="dxa" w:w="100"/>
            </w:tcMar>
          </w:tcPr>
          <w:p>
            <w:pPr>
              <w:spacing w:line="240"/>
            </w:pPr>
            <w:r>
              <w:rPr>
                <w:rFonts w:ascii="Times New Roman" w:cs="Times New Roman" w:eastAsia="Times New Roman" w:hAnsi="Times New Roman"/>
                <w:b w:val="false"/>
                <w:bCs w:val="false"/>
                <w:sz w:val="20"/>
                <w:szCs w:val="20"/>
              </w:rPr>
              <w:t xml:space="preserve">10.65</w:t>
            </w:r>
          </w:p>
        </w:tc>
        <w:tc>
          <w:tcPr>
            <w:tcW w:type="dxa" w:w="2960"/>
            <w:tcBorders>
              <w:top w:val="single" w:color="999999" w:sz="1"/>
              <w:left w:val="single" w:color="999999" w:sz="1"/>
              <w:bottom w:val="single" w:color="999999" w:sz="1"/>
              <w:right w:val="single" w:color="999999" w:sz="1"/>
            </w:tcBorders>
            <w:tcMar>
              <w:top w:type="dxa" w:w="60"/>
              <w:left w:type="dxa" w:w="100"/>
              <w:bottom w:type="dxa" w:w="60"/>
              <w:right w:type="dxa" w:w="100"/>
            </w:tcMar>
          </w:tcPr>
          <w:p>
            <w:pPr>
              <w:spacing w:line="240"/>
            </w:pPr>
            <w:r>
              <w:rPr>
                <w:rFonts w:ascii="Times New Roman" w:cs="Times New Roman" w:eastAsia="Times New Roman" w:hAnsi="Times New Roman"/>
                <w:b w:val="false"/>
                <w:bCs w:val="false"/>
                <w:sz w:val="20"/>
                <w:szCs w:val="20"/>
              </w:rPr>
              <w:t xml:space="preserve">4.87 – 20.21</w:t>
            </w:r>
          </w:p>
        </w:tc>
      </w:tr>
      <w:tr>
        <w:tc>
          <w:tcPr>
            <w:tcW w:type="dxa" w:w="3000"/>
            <w:tcBorders>
              <w:top w:val="single" w:color="999999" w:sz="1"/>
              <w:left w:val="single" w:color="999999" w:sz="1"/>
              <w:bottom w:val="single" w:color="999999" w:sz="1"/>
              <w:right w:val="single" w:color="999999" w:sz="1"/>
            </w:tcBorders>
            <w:tcMar>
              <w:top w:type="dxa" w:w="60"/>
              <w:left w:type="dxa" w:w="100"/>
              <w:bottom w:type="dxa" w:w="60"/>
              <w:right w:type="dxa" w:w="100"/>
            </w:tcMar>
          </w:tcPr>
          <w:p>
            <w:pPr>
              <w:spacing w:line="240"/>
            </w:pPr>
            <w:r>
              <w:rPr>
                <w:rFonts w:ascii="Times New Roman" w:cs="Times New Roman" w:eastAsia="Times New Roman" w:hAnsi="Times New Roman"/>
                <w:b w:val="false"/>
                <w:bCs w:val="false"/>
                <w:sz w:val="20"/>
                <w:szCs w:val="20"/>
              </w:rPr>
              <w:t xml:space="preserve">B3 (E. India)</w:t>
            </w:r>
          </w:p>
        </w:tc>
        <w:tc>
          <w:tcPr>
            <w:tcW w:type="dxa" w:w="1700"/>
            <w:tcBorders>
              <w:top w:val="single" w:color="999999" w:sz="1"/>
              <w:left w:val="single" w:color="999999" w:sz="1"/>
              <w:bottom w:val="single" w:color="999999" w:sz="1"/>
              <w:right w:val="single" w:color="999999" w:sz="1"/>
            </w:tcBorders>
            <w:tcMar>
              <w:top w:type="dxa" w:w="60"/>
              <w:left w:type="dxa" w:w="100"/>
              <w:bottom w:type="dxa" w:w="60"/>
              <w:right w:type="dxa" w:w="100"/>
            </w:tcMar>
          </w:tcPr>
          <w:p>
            <w:pPr>
              <w:spacing w:line="240"/>
            </w:pPr>
            <w:r>
              <w:rPr>
                <w:rFonts w:ascii="Times New Roman" w:cs="Times New Roman" w:eastAsia="Times New Roman" w:hAnsi="Times New Roman"/>
                <w:b w:val="false"/>
                <w:bCs w:val="false"/>
                <w:sz w:val="20"/>
                <w:szCs w:val="20"/>
              </w:rPr>
              <w:t xml:space="preserve">4 / 84,534</w:t>
            </w:r>
          </w:p>
        </w:tc>
        <w:tc>
          <w:tcPr>
            <w:tcW w:type="dxa" w:w="1700"/>
            <w:tcBorders>
              <w:top w:val="single" w:color="999999" w:sz="1"/>
              <w:left w:val="single" w:color="999999" w:sz="1"/>
              <w:bottom w:val="single" w:color="999999" w:sz="1"/>
              <w:right w:val="single" w:color="999999" w:sz="1"/>
            </w:tcBorders>
            <w:tcMar>
              <w:top w:type="dxa" w:w="60"/>
              <w:left w:type="dxa" w:w="100"/>
              <w:bottom w:type="dxa" w:w="60"/>
              <w:right w:type="dxa" w:w="100"/>
            </w:tcMar>
          </w:tcPr>
          <w:p>
            <w:pPr>
              <w:spacing w:line="240"/>
            </w:pPr>
            <w:r>
              <w:rPr>
                <w:rFonts w:ascii="Times New Roman" w:cs="Times New Roman" w:eastAsia="Times New Roman" w:hAnsi="Times New Roman"/>
                <w:b w:val="false"/>
                <w:bCs w:val="false"/>
                <w:sz w:val="20"/>
                <w:szCs w:val="20"/>
              </w:rPr>
              <w:t xml:space="preserve">4.73</w:t>
            </w:r>
          </w:p>
        </w:tc>
        <w:tc>
          <w:tcPr>
            <w:tcW w:type="dxa" w:w="2960"/>
            <w:tcBorders>
              <w:top w:val="single" w:color="999999" w:sz="1"/>
              <w:left w:val="single" w:color="999999" w:sz="1"/>
              <w:bottom w:val="single" w:color="999999" w:sz="1"/>
              <w:right w:val="single" w:color="999999" w:sz="1"/>
            </w:tcBorders>
            <w:tcMar>
              <w:top w:type="dxa" w:w="60"/>
              <w:left w:type="dxa" w:w="100"/>
              <w:bottom w:type="dxa" w:w="60"/>
              <w:right w:type="dxa" w:w="100"/>
            </w:tcMar>
          </w:tcPr>
          <w:p>
            <w:pPr>
              <w:spacing w:line="240"/>
            </w:pPr>
            <w:r>
              <w:rPr>
                <w:rFonts w:ascii="Times New Roman" w:cs="Times New Roman" w:eastAsia="Times New Roman" w:hAnsi="Times New Roman"/>
                <w:b w:val="false"/>
                <w:bCs w:val="false"/>
                <w:sz w:val="20"/>
                <w:szCs w:val="20"/>
              </w:rPr>
              <w:t xml:space="preserve">1.29 – 12.11</w:t>
            </w:r>
          </w:p>
        </w:tc>
      </w:tr>
      <w:tr>
        <w:tc>
          <w:tcPr>
            <w:tcW w:type="dxa" w:w="3000"/>
            <w:tcBorders>
              <w:top w:val="single" w:color="999999" w:sz="1"/>
              <w:left w:val="single" w:color="999999" w:sz="1"/>
              <w:bottom w:val="single" w:color="999999" w:sz="1"/>
              <w:right w:val="single" w:color="999999" w:sz="1"/>
            </w:tcBorders>
            <w:tcMar>
              <w:top w:type="dxa" w:w="60"/>
              <w:left w:type="dxa" w:w="100"/>
              <w:bottom w:type="dxa" w:w="60"/>
              <w:right w:type="dxa" w:w="100"/>
            </w:tcMar>
          </w:tcPr>
          <w:p>
            <w:pPr>
              <w:spacing w:line="240"/>
            </w:pPr>
            <w:r>
              <w:rPr>
                <w:rFonts w:ascii="Times New Roman" w:cs="Times New Roman" w:eastAsia="Times New Roman" w:hAnsi="Times New Roman"/>
                <w:b w:val="false"/>
                <w:bCs w:val="false"/>
                <w:sz w:val="20"/>
                <w:szCs w:val="20"/>
              </w:rPr>
              <w:t xml:space="preserve">Bm (E. India)</w:t>
            </w:r>
          </w:p>
        </w:tc>
        <w:tc>
          <w:tcPr>
            <w:tcW w:type="dxa" w:w="1700"/>
            <w:tcBorders>
              <w:top w:val="single" w:color="999999" w:sz="1"/>
              <w:left w:val="single" w:color="999999" w:sz="1"/>
              <w:bottom w:val="single" w:color="999999" w:sz="1"/>
              <w:right w:val="single" w:color="999999" w:sz="1"/>
            </w:tcBorders>
            <w:tcMar>
              <w:top w:type="dxa" w:w="60"/>
              <w:left w:type="dxa" w:w="100"/>
              <w:bottom w:type="dxa" w:w="60"/>
              <w:right w:type="dxa" w:w="100"/>
            </w:tcMar>
          </w:tcPr>
          <w:p>
            <w:pPr>
              <w:spacing w:line="240"/>
            </w:pPr>
            <w:r>
              <w:rPr>
                <w:rFonts w:ascii="Times New Roman" w:cs="Times New Roman" w:eastAsia="Times New Roman" w:hAnsi="Times New Roman"/>
                <w:b w:val="false"/>
                <w:bCs w:val="false"/>
                <w:sz w:val="20"/>
                <w:szCs w:val="20"/>
              </w:rPr>
              <w:t xml:space="preserve">3 / 84,534</w:t>
            </w:r>
          </w:p>
        </w:tc>
        <w:tc>
          <w:tcPr>
            <w:tcW w:type="dxa" w:w="1700"/>
            <w:tcBorders>
              <w:top w:val="single" w:color="999999" w:sz="1"/>
              <w:left w:val="single" w:color="999999" w:sz="1"/>
              <w:bottom w:val="single" w:color="999999" w:sz="1"/>
              <w:right w:val="single" w:color="999999" w:sz="1"/>
            </w:tcBorders>
            <w:tcMar>
              <w:top w:type="dxa" w:w="60"/>
              <w:left w:type="dxa" w:w="100"/>
              <w:bottom w:type="dxa" w:w="60"/>
              <w:right w:type="dxa" w:w="100"/>
            </w:tcMar>
          </w:tcPr>
          <w:p>
            <w:pPr>
              <w:spacing w:line="240"/>
            </w:pPr>
            <w:r>
              <w:rPr>
                <w:rFonts w:ascii="Times New Roman" w:cs="Times New Roman" w:eastAsia="Times New Roman" w:hAnsi="Times New Roman"/>
                <w:b w:val="false"/>
                <w:bCs w:val="false"/>
                <w:sz w:val="20"/>
                <w:szCs w:val="20"/>
              </w:rPr>
              <w:t xml:space="preserve">3.55</w:t>
            </w:r>
          </w:p>
        </w:tc>
        <w:tc>
          <w:tcPr>
            <w:tcW w:type="dxa" w:w="2960"/>
            <w:tcBorders>
              <w:top w:val="single" w:color="999999" w:sz="1"/>
              <w:left w:val="single" w:color="999999" w:sz="1"/>
              <w:bottom w:val="single" w:color="999999" w:sz="1"/>
              <w:right w:val="single" w:color="999999" w:sz="1"/>
            </w:tcBorders>
            <w:tcMar>
              <w:top w:type="dxa" w:w="60"/>
              <w:left w:type="dxa" w:w="100"/>
              <w:bottom w:type="dxa" w:w="60"/>
              <w:right w:type="dxa" w:w="100"/>
            </w:tcMar>
          </w:tcPr>
          <w:p>
            <w:pPr>
              <w:spacing w:line="240"/>
            </w:pPr>
            <w:r>
              <w:rPr>
                <w:rFonts w:ascii="Times New Roman" w:cs="Times New Roman" w:eastAsia="Times New Roman" w:hAnsi="Times New Roman"/>
                <w:b w:val="false"/>
                <w:bCs w:val="false"/>
                <w:sz w:val="20"/>
                <w:szCs w:val="20"/>
              </w:rPr>
              <w:t xml:space="preserve">0.73 – 10.37</w:t>
            </w:r>
          </w:p>
        </w:tc>
      </w:tr>
      <w:tr>
        <w:tc>
          <w:tcPr>
            <w:tcW w:type="dxa" w:w="3000"/>
            <w:tcBorders>
              <w:top w:val="single" w:color="999999" w:sz="1"/>
              <w:left w:val="single" w:color="999999" w:sz="1"/>
              <w:bottom w:val="single" w:color="999999" w:sz="1"/>
              <w:right w:val="single" w:color="999999" w:sz="1"/>
            </w:tcBorders>
            <w:tcMar>
              <w:top w:type="dxa" w:w="60"/>
              <w:left w:type="dxa" w:w="100"/>
              <w:bottom w:type="dxa" w:w="60"/>
              <w:right w:type="dxa" w:w="100"/>
            </w:tcMar>
          </w:tcPr>
          <w:p>
            <w:pPr>
              <w:spacing w:line="240"/>
            </w:pPr>
            <w:r>
              <w:rPr>
                <w:rFonts w:ascii="Times New Roman" w:cs="Times New Roman" w:eastAsia="Times New Roman" w:hAnsi="Times New Roman"/>
                <w:b w:val="false"/>
                <w:bCs w:val="false"/>
                <w:sz w:val="20"/>
                <w:szCs w:val="20"/>
              </w:rPr>
              <w:t xml:space="preserve">Bx (E. India)</w:t>
            </w:r>
          </w:p>
        </w:tc>
        <w:tc>
          <w:tcPr>
            <w:tcW w:type="dxa" w:w="1700"/>
            <w:tcBorders>
              <w:top w:val="single" w:color="999999" w:sz="1"/>
              <w:left w:val="single" w:color="999999" w:sz="1"/>
              <w:bottom w:val="single" w:color="999999" w:sz="1"/>
              <w:right w:val="single" w:color="999999" w:sz="1"/>
            </w:tcBorders>
            <w:tcMar>
              <w:top w:type="dxa" w:w="60"/>
              <w:left w:type="dxa" w:w="100"/>
              <w:bottom w:type="dxa" w:w="60"/>
              <w:right w:type="dxa" w:w="100"/>
            </w:tcMar>
          </w:tcPr>
          <w:p>
            <w:pPr>
              <w:spacing w:line="240"/>
            </w:pPr>
            <w:r>
              <w:rPr>
                <w:rFonts w:ascii="Times New Roman" w:cs="Times New Roman" w:eastAsia="Times New Roman" w:hAnsi="Times New Roman"/>
                <w:b w:val="false"/>
                <w:bCs w:val="false"/>
                <w:sz w:val="20"/>
                <w:szCs w:val="20"/>
              </w:rPr>
              <w:t xml:space="preserve">1 / 84,534</w:t>
            </w:r>
          </w:p>
        </w:tc>
        <w:tc>
          <w:tcPr>
            <w:tcW w:type="dxa" w:w="1700"/>
            <w:tcBorders>
              <w:top w:val="single" w:color="999999" w:sz="1"/>
              <w:left w:val="single" w:color="999999" w:sz="1"/>
              <w:bottom w:val="single" w:color="999999" w:sz="1"/>
              <w:right w:val="single" w:color="999999" w:sz="1"/>
            </w:tcBorders>
            <w:tcMar>
              <w:top w:type="dxa" w:w="60"/>
              <w:left w:type="dxa" w:w="100"/>
              <w:bottom w:type="dxa" w:w="60"/>
              <w:right w:type="dxa" w:w="100"/>
            </w:tcMar>
          </w:tcPr>
          <w:p>
            <w:pPr>
              <w:spacing w:line="240"/>
            </w:pPr>
            <w:r>
              <w:rPr>
                <w:rFonts w:ascii="Times New Roman" w:cs="Times New Roman" w:eastAsia="Times New Roman" w:hAnsi="Times New Roman"/>
                <w:b w:val="false"/>
                <w:bCs w:val="false"/>
                <w:sz w:val="20"/>
                <w:szCs w:val="20"/>
              </w:rPr>
              <w:t xml:space="preserve">1.18</w:t>
            </w:r>
          </w:p>
        </w:tc>
        <w:tc>
          <w:tcPr>
            <w:tcW w:type="dxa" w:w="2960"/>
            <w:tcBorders>
              <w:top w:val="single" w:color="999999" w:sz="1"/>
              <w:left w:val="single" w:color="999999" w:sz="1"/>
              <w:bottom w:val="single" w:color="999999" w:sz="1"/>
              <w:right w:val="single" w:color="999999" w:sz="1"/>
            </w:tcBorders>
            <w:tcMar>
              <w:top w:type="dxa" w:w="60"/>
              <w:left w:type="dxa" w:w="100"/>
              <w:bottom w:type="dxa" w:w="60"/>
              <w:right w:type="dxa" w:w="100"/>
            </w:tcMar>
          </w:tcPr>
          <w:p>
            <w:pPr>
              <w:spacing w:line="240"/>
            </w:pPr>
            <w:r>
              <w:rPr>
                <w:rFonts w:ascii="Times New Roman" w:cs="Times New Roman" w:eastAsia="Times New Roman" w:hAnsi="Times New Roman"/>
                <w:b w:val="false"/>
                <w:bCs w:val="false"/>
                <w:sz w:val="20"/>
                <w:szCs w:val="20"/>
              </w:rPr>
              <w:t xml:space="preserve">0.03 – 6.59</w:t>
            </w:r>
          </w:p>
        </w:tc>
      </w:tr>
      <w:tr>
        <w:tc>
          <w:tcPr>
            <w:tcW w:type="dxa" w:w="3000"/>
            <w:tcBorders>
              <w:top w:val="single" w:color="999999" w:sz="1"/>
              <w:left w:val="single" w:color="999999" w:sz="1"/>
              <w:bottom w:val="single" w:color="999999" w:sz="1"/>
              <w:right w:val="single" w:color="999999" w:sz="1"/>
            </w:tcBorders>
            <w:tcMar>
              <w:top w:type="dxa" w:w="60"/>
              <w:left w:type="dxa" w:w="100"/>
              <w:bottom w:type="dxa" w:w="60"/>
              <w:right w:type="dxa" w:w="100"/>
            </w:tcMar>
          </w:tcPr>
          <w:p>
            <w:pPr>
              <w:spacing w:line="240"/>
            </w:pPr>
            <w:r>
              <w:rPr>
                <w:rFonts w:ascii="Times New Roman" w:cs="Times New Roman" w:eastAsia="Times New Roman" w:hAnsi="Times New Roman"/>
                <w:b w:val="false"/>
                <w:bCs w:val="false"/>
                <w:sz w:val="20"/>
                <w:szCs w:val="20"/>
              </w:rPr>
              <w:t xml:space="preserve">Bel (E. India)</w:t>
            </w:r>
          </w:p>
        </w:tc>
        <w:tc>
          <w:tcPr>
            <w:tcW w:type="dxa" w:w="1700"/>
            <w:tcBorders>
              <w:top w:val="single" w:color="999999" w:sz="1"/>
              <w:left w:val="single" w:color="999999" w:sz="1"/>
              <w:bottom w:val="single" w:color="999999" w:sz="1"/>
              <w:right w:val="single" w:color="999999" w:sz="1"/>
            </w:tcBorders>
            <w:tcMar>
              <w:top w:type="dxa" w:w="60"/>
              <w:left w:type="dxa" w:w="100"/>
              <w:bottom w:type="dxa" w:w="60"/>
              <w:right w:type="dxa" w:w="100"/>
            </w:tcMar>
          </w:tcPr>
          <w:p>
            <w:pPr>
              <w:spacing w:line="240"/>
            </w:pPr>
            <w:r>
              <w:rPr>
                <w:rFonts w:ascii="Times New Roman" w:cs="Times New Roman" w:eastAsia="Times New Roman" w:hAnsi="Times New Roman"/>
                <w:b w:val="false"/>
                <w:bCs w:val="false"/>
                <w:sz w:val="20"/>
                <w:szCs w:val="20"/>
              </w:rPr>
              <w:t xml:space="preserve">1 / 84,534</w:t>
            </w:r>
          </w:p>
        </w:tc>
        <w:tc>
          <w:tcPr>
            <w:tcW w:type="dxa" w:w="1700"/>
            <w:tcBorders>
              <w:top w:val="single" w:color="999999" w:sz="1"/>
              <w:left w:val="single" w:color="999999" w:sz="1"/>
              <w:bottom w:val="single" w:color="999999" w:sz="1"/>
              <w:right w:val="single" w:color="999999" w:sz="1"/>
            </w:tcBorders>
            <w:tcMar>
              <w:top w:type="dxa" w:w="60"/>
              <w:left w:type="dxa" w:w="100"/>
              <w:bottom w:type="dxa" w:w="60"/>
              <w:right w:type="dxa" w:w="100"/>
            </w:tcMar>
          </w:tcPr>
          <w:p>
            <w:pPr>
              <w:spacing w:line="240"/>
            </w:pPr>
            <w:r>
              <w:rPr>
                <w:rFonts w:ascii="Times New Roman" w:cs="Times New Roman" w:eastAsia="Times New Roman" w:hAnsi="Times New Roman"/>
                <w:b w:val="false"/>
                <w:bCs w:val="false"/>
                <w:sz w:val="20"/>
                <w:szCs w:val="20"/>
              </w:rPr>
              <w:t xml:space="preserve">1.18</w:t>
            </w:r>
          </w:p>
        </w:tc>
        <w:tc>
          <w:tcPr>
            <w:tcW w:type="dxa" w:w="2960"/>
            <w:tcBorders>
              <w:top w:val="single" w:color="999999" w:sz="1"/>
              <w:left w:val="single" w:color="999999" w:sz="1"/>
              <w:bottom w:val="single" w:color="999999" w:sz="1"/>
              <w:right w:val="single" w:color="999999" w:sz="1"/>
            </w:tcBorders>
            <w:tcMar>
              <w:top w:type="dxa" w:w="60"/>
              <w:left w:type="dxa" w:w="100"/>
              <w:bottom w:type="dxa" w:w="60"/>
              <w:right w:type="dxa" w:w="100"/>
            </w:tcMar>
          </w:tcPr>
          <w:p>
            <w:pPr>
              <w:spacing w:line="240"/>
            </w:pPr>
            <w:r>
              <w:rPr>
                <w:rFonts w:ascii="Times New Roman" w:cs="Times New Roman" w:eastAsia="Times New Roman" w:hAnsi="Times New Roman"/>
                <w:b w:val="false"/>
                <w:bCs w:val="false"/>
                <w:sz w:val="20"/>
                <w:szCs w:val="20"/>
              </w:rPr>
              <w:t xml:space="preserve">0.03 – 6.59</w:t>
            </w:r>
          </w:p>
        </w:tc>
      </w:tr>
      <w:tr>
        <w:tc>
          <w:tcPr>
            <w:tcW w:type="dxa" w:w="3000"/>
            <w:tcBorders>
              <w:top w:val="single" w:color="999999" w:sz="1"/>
              <w:left w:val="single" w:color="999999" w:sz="1"/>
              <w:bottom w:val="single" w:color="999999" w:sz="1"/>
              <w:right w:val="single" w:color="999999" w:sz="1"/>
            </w:tcBorders>
            <w:tcMar>
              <w:top w:type="dxa" w:w="60"/>
              <w:left w:type="dxa" w:w="100"/>
              <w:bottom w:type="dxa" w:w="60"/>
              <w:right w:type="dxa" w:w="100"/>
            </w:tcMar>
          </w:tcPr>
          <w:p>
            <w:pPr>
              <w:spacing w:line="240"/>
            </w:pPr>
            <w:r>
              <w:rPr>
                <w:rFonts w:ascii="Times New Roman" w:cs="Times New Roman" w:eastAsia="Times New Roman" w:hAnsi="Times New Roman"/>
                <w:b w:val="false"/>
                <w:bCs w:val="false"/>
                <w:sz w:val="20"/>
                <w:szCs w:val="20"/>
              </w:rPr>
              <w:t xml:space="preserve">ABO subgroups, A+B (Shanghai)</w:t>
            </w:r>
          </w:p>
        </w:tc>
        <w:tc>
          <w:tcPr>
            <w:tcW w:type="dxa" w:w="1700"/>
            <w:tcBorders>
              <w:top w:val="single" w:color="999999" w:sz="1"/>
              <w:left w:val="single" w:color="999999" w:sz="1"/>
              <w:bottom w:val="single" w:color="999999" w:sz="1"/>
              <w:right w:val="single" w:color="999999" w:sz="1"/>
            </w:tcBorders>
            <w:tcMar>
              <w:top w:type="dxa" w:w="60"/>
              <w:left w:type="dxa" w:w="100"/>
              <w:bottom w:type="dxa" w:w="60"/>
              <w:right w:type="dxa" w:w="100"/>
            </w:tcMar>
          </w:tcPr>
          <w:p>
            <w:pPr>
              <w:spacing w:line="240"/>
            </w:pPr>
            <w:r>
              <w:rPr>
                <w:rFonts w:ascii="Times New Roman" w:cs="Times New Roman" w:eastAsia="Times New Roman" w:hAnsi="Times New Roman"/>
                <w:b w:val="false"/>
                <w:bCs w:val="false"/>
                <w:sz w:val="20"/>
                <w:szCs w:val="20"/>
              </w:rPr>
              <w:t xml:space="preserve">927 / 2,945,643</w:t>
            </w:r>
          </w:p>
        </w:tc>
        <w:tc>
          <w:tcPr>
            <w:tcW w:type="dxa" w:w="1700"/>
            <w:tcBorders>
              <w:top w:val="single" w:color="999999" w:sz="1"/>
              <w:left w:val="single" w:color="999999" w:sz="1"/>
              <w:bottom w:val="single" w:color="999999" w:sz="1"/>
              <w:right w:val="single" w:color="999999" w:sz="1"/>
            </w:tcBorders>
            <w:tcMar>
              <w:top w:type="dxa" w:w="60"/>
              <w:left w:type="dxa" w:w="100"/>
              <w:bottom w:type="dxa" w:w="60"/>
              <w:right w:type="dxa" w:w="100"/>
            </w:tcMar>
          </w:tcPr>
          <w:p>
            <w:pPr>
              <w:spacing w:line="240"/>
            </w:pPr>
            <w:r>
              <w:rPr>
                <w:rFonts w:ascii="Times New Roman" w:cs="Times New Roman" w:eastAsia="Times New Roman" w:hAnsi="Times New Roman"/>
                <w:b w:val="false"/>
                <w:bCs w:val="false"/>
                <w:sz w:val="20"/>
                <w:szCs w:val="20"/>
              </w:rPr>
              <w:t xml:space="preserve">31.47</w:t>
            </w:r>
          </w:p>
        </w:tc>
        <w:tc>
          <w:tcPr>
            <w:tcW w:type="dxa" w:w="2960"/>
            <w:tcBorders>
              <w:top w:val="single" w:color="999999" w:sz="1"/>
              <w:left w:val="single" w:color="999999" w:sz="1"/>
              <w:bottom w:val="single" w:color="999999" w:sz="1"/>
              <w:right w:val="single" w:color="999999" w:sz="1"/>
            </w:tcBorders>
            <w:tcMar>
              <w:top w:type="dxa" w:w="60"/>
              <w:left w:type="dxa" w:w="100"/>
              <w:bottom w:type="dxa" w:w="60"/>
              <w:right w:type="dxa" w:w="100"/>
            </w:tcMar>
          </w:tcPr>
          <w:p>
            <w:pPr>
              <w:spacing w:line="240"/>
            </w:pPr>
            <w:r>
              <w:rPr>
                <w:rFonts w:ascii="Times New Roman" w:cs="Times New Roman" w:eastAsia="Times New Roman" w:hAnsi="Times New Roman"/>
                <w:b w:val="false"/>
                <w:bCs w:val="false"/>
                <w:sz w:val="20"/>
                <w:szCs w:val="20"/>
              </w:rPr>
              <w:t xml:space="preserve">29.48 – 33.56</w:t>
            </w:r>
          </w:p>
        </w:tc>
      </w:tr>
    </w:tbl>
    <w:p>
      <w:pPr>
        <w:spacing w:after="160" w:line="240"/>
      </w:pPr>
      <w:r>
        <w:rPr>
          <w:rFonts w:ascii="Times New Roman" w:cs="Times New Roman" w:eastAsia="Times New Roman" w:hAnsi="Times New Roman"/>
          <w:i/>
          <w:iCs/>
          <w:sz w:val="18"/>
          <w:szCs w:val="18"/>
        </w:rPr>
        <w:t xml:space="preserve">Exact (Clopper–Pearson) 95% CIs. The Shanghai row covers all ABO (A and B) subgroups, not weak B alone, and is shown for context only.</w:t>
      </w:r>
    </w:p>
    <w:p>
      <w:pPr>
        <w:spacing w:after="80" w:before="160" w:line="360"/>
      </w:pPr>
      <w:r>
        <w:rPr>
          <w:rFonts w:ascii="Times New Roman" w:cs="Times New Roman" w:eastAsia="Times New Roman" w:hAnsi="Times New Roman"/>
          <w:b/>
          <w:bCs/>
          <w:i/>
          <w:iCs/>
          <w:sz w:val="24"/>
          <w:szCs w:val="24"/>
        </w:rPr>
        <w:t xml:space="preserve">3.4 Subtype distribution and serological characterisation</w:t>
      </w:r>
    </w:p>
    <w:p>
      <w:pPr>
        <w:spacing w:after="160" w:line="360"/>
        <w:jc w:val="both"/>
      </w:pPr>
      <w:r>
        <w:rPr>
          <w:rFonts w:ascii="Times New Roman" w:cs="Times New Roman" w:eastAsia="Times New Roman" w:hAnsi="Times New Roman"/>
          <w:sz w:val="24"/>
          <w:szCs w:val="24"/>
        </w:rPr>
        <w:t xml:space="preserve">Where subtypes were reported, B3 was the commonest weak B variant, then Bm, with Bx and Bel rarest (in the Eastern Indian cohort, B3 1 in 21,133; Bm 1 in 28,178; Bx and Bel each 1 in 84,534). Reactivity with anti-B and anti-AB ran from weak to 2+, sometimes with mixed-field appearances; a minority of donors were non-secretors, and adsorption–elution brought out B specificity at varying strengths. The donor case reports tell the same story from the bedside: a forward/reverse discordance — typically a B antigen missed on the forward group — is what prompts investigation, resolved by adsorption–elution, saliva testing and molecular work (Banerjee et al., 2021; Prasanth et al., 2025).</w:t>
      </w:r>
    </w:p>
    <w:p>
      <w:pPr>
        <w:spacing w:after="120" w:before="240" w:line="360"/>
      </w:pPr>
      <w:r>
        <w:rPr>
          <w:rFonts w:ascii="Times New Roman" w:cs="Times New Roman" w:eastAsia="Times New Roman" w:hAnsi="Times New Roman"/>
          <w:b/>
          <w:bCs/>
          <w:sz w:val="26"/>
          <w:szCs w:val="26"/>
        </w:rPr>
        <w:t xml:space="preserve">4. Discussion</w:t>
      </w:r>
    </w:p>
    <w:p>
      <w:pPr>
        <w:spacing w:after="160" w:line="360"/>
        <w:jc w:val="both"/>
      </w:pPr>
      <w:r>
        <w:rPr>
          <w:rFonts w:ascii="Times New Roman" w:cs="Times New Roman" w:eastAsia="Times New Roman" w:hAnsi="Times New Roman"/>
          <w:sz w:val="24"/>
          <w:szCs w:val="24"/>
        </w:rPr>
        <w:t xml:space="preserve">Several things emerge from the evidence assembled here. Weak B is uncommon — somewhere between 1 in 9,000 and 1 in 24,000 individuals across the cohorts identified — and B3 is consistently the leading subtype. More consequential for daily practice is how often these phenotypes go unrecognised: the Shanghai cohort placed the missed-detection rate at 27.81%, which means conventional prevalence figures almost certainly understate the true burden. The literature itself is fragmented, dominated by single-centre series whose denominators (all donors, B-group donors, or only discrepant samples) and detection methods (manual slide or tube, automated solid-phase, molecular) differ enough to exaggerate apparent variation and to make uncritical pooling inappropriate.</w:t>
      </w:r>
    </w:p>
    <w:p>
      <w:pPr>
        <w:spacing w:after="160" w:line="360"/>
        <w:jc w:val="both"/>
      </w:pPr>
      <w:r>
        <w:rPr>
          <w:rFonts w:ascii="Times New Roman" w:cs="Times New Roman" w:eastAsia="Times New Roman" w:hAnsi="Times New Roman"/>
          <w:sz w:val="24"/>
          <w:szCs w:val="24"/>
        </w:rPr>
        <w:t xml:space="preserve">These points bear directly on the safety of ABO typing. A weak or variant B antigen reacts faintly or not at all with anti-B; on a low-sensitivity forward method such as the slide technique, which is known to miss weakly expressed reactions (Li &amp; Guo, 2022), the result can be a false-negative anti-B and a discrepancy that goes unnoticed. The protection is structural rather than incidental — reverse grouping, which exposes the missing anti-B, backed by confirmation through sensitive methods (tube or column agglutination, adsorption–elution, saliva and molecular typing) before any B-containing group is signed out. The prevalence data thus reinforce the case for routine concordant forward-and-reverse grouping, because the weak/missing-antigen (Type II) discrepancy is exactly what these phenotypes produce (Desai et al., 2024).</w:t>
      </w:r>
    </w:p>
    <w:p>
      <w:pPr>
        <w:spacing w:after="160" w:line="360"/>
        <w:jc w:val="both"/>
      </w:pPr>
      <w:r>
        <w:rPr>
          <w:rFonts w:ascii="Times New Roman" w:cs="Times New Roman" w:eastAsia="Times New Roman" w:hAnsi="Times New Roman"/>
          <w:sz w:val="24"/>
          <w:szCs w:val="24"/>
        </w:rPr>
        <w:t xml:space="preserve">Clinically, calling a weak B an O or an A can lead to the issue of unsuitable components and, for plasma-containing products, to incompatibility; getting the phenotype right safeguards both donor classification and recipient safety. The underlying biology — missense changes in the B glycosyltransferase, some lying outside the catalytic domain — accounts for the reduced antigen output that defines these variants (Seltsam &amp; Blasczyk, 2005; Storry &amp; Olsson, 2009) and makes molecular typing the reference standard when serology is equivocal.</w:t>
      </w:r>
    </w:p>
    <w:p>
      <w:pPr>
        <w:spacing w:after="120" w:before="240" w:line="360"/>
      </w:pPr>
      <w:r>
        <w:rPr>
          <w:rFonts w:ascii="Times New Roman" w:cs="Times New Roman" w:eastAsia="Times New Roman" w:hAnsi="Times New Roman"/>
          <w:b/>
          <w:bCs/>
          <w:sz w:val="26"/>
          <w:szCs w:val="26"/>
        </w:rPr>
        <w:t xml:space="preserve">5. Limitations</w:t>
      </w:r>
    </w:p>
    <w:p>
      <w:pPr>
        <w:spacing w:after="160" w:line="360"/>
        <w:jc w:val="both"/>
      </w:pPr>
      <w:r>
        <w:rPr>
          <w:rFonts w:ascii="Times New Roman" w:cs="Times New Roman" w:eastAsia="Times New Roman" w:hAnsi="Times New Roman"/>
          <w:sz w:val="24"/>
          <w:szCs w:val="24"/>
        </w:rPr>
        <w:t xml:space="preserve">The quantitative findings reported here come from a targeted preliminary search and should be read as provisional until the full multi-database search and PRISMA census are complete; the review was also not prospectively registered. Cohorts with an extractable weak-B denominator proved few, which is why no valid pooled estimate could be produced, and heterogeneity in any eventual pool is likely to be extreme (</w:t>
      </w:r>
      <w:r>
        <w:rPr>
          <w:rFonts w:ascii="Times New Roman" w:cs="Times New Roman" w:eastAsia="Times New Roman" w:hAnsi="Times New Roman"/>
          <w:sz w:val="24"/>
          <w:szCs w:val="24"/>
        </w:rPr>
        <w:t xml:space="preserve">I²</w:t>
      </w:r>
      <w:r>
        <w:rPr>
          <w:rFonts w:ascii="Times New Roman" w:cs="Times New Roman" w:eastAsia="Times New Roman" w:hAnsi="Times New Roman"/>
          <w:sz w:val="24"/>
          <w:szCs w:val="24"/>
        </w:rPr>
        <w:t xml:space="preserve"> approaching 100% is typical of prevalence meta-analyses). Variation in detection method and the documented under-ascertainment both bias the available figures, and publication and language effects may distort them further.</w:t>
      </w:r>
    </w:p>
    <w:p>
      <w:pPr>
        <w:spacing w:after="120" w:before="240" w:line="360"/>
      </w:pPr>
      <w:r>
        <w:rPr>
          <w:rFonts w:ascii="Times New Roman" w:cs="Times New Roman" w:eastAsia="Times New Roman" w:hAnsi="Times New Roman"/>
          <w:b/>
          <w:bCs/>
          <w:sz w:val="26"/>
          <w:szCs w:val="26"/>
        </w:rPr>
        <w:t xml:space="preserve">6. Conclusion</w:t>
      </w:r>
    </w:p>
    <w:p>
      <w:pPr>
        <w:spacing w:after="160" w:line="360"/>
        <w:jc w:val="both"/>
      </w:pPr>
      <w:r>
        <w:rPr>
          <w:rFonts w:ascii="Times New Roman" w:cs="Times New Roman" w:eastAsia="Times New Roman" w:hAnsi="Times New Roman"/>
          <w:sz w:val="24"/>
          <w:szCs w:val="24"/>
        </w:rPr>
        <w:t xml:space="preserve">Weakly or variably expressed B antigen is rare but clinically consequential, and it is routinely under-detected by ordinary forward grouping. The available cohorts put its donor prevalence at roughly 1 in 9,000 to 1 in 24,000, with B3 to the fore, while missed-detection data suggest the real figure is higher. A definitive pooled prevalence must wait on the full, systematic multi-database search; the practical message, however, is already firm — forward and reverse grouping should agree, confirmed by sensitive and, where needed, molecular methods, before any B-containing ABO group is reported.</w:t>
      </w:r>
    </w:p>
    <w:p>
      <w:pPr>
        <w:spacing w:after="120" w:before="240" w:line="360"/>
      </w:pPr>
      <w:r>
        <w:rPr>
          <w:rFonts w:ascii="Times New Roman" w:cs="Times New Roman" w:eastAsia="Times New Roman" w:hAnsi="Times New Roman"/>
          <w:b/>
          <w:bCs/>
          <w:sz w:val="26"/>
          <w:szCs w:val="26"/>
        </w:rPr>
        <w:t xml:space="preserve">Declarations</w:t>
      </w:r>
    </w:p>
    <w:p>
      <w:pPr>
        <w:spacing w:after="160" w:line="360"/>
        <w:jc w:val="both"/>
      </w:pPr>
      <w:r>
        <w:rPr>
          <w:rFonts w:ascii="Times New Roman" w:cs="Times New Roman" w:eastAsia="Times New Roman" w:hAnsi="Times New Roman"/>
          <w:b/>
          <w:bCs/>
          <w:sz w:val="24"/>
          <w:szCs w:val="24"/>
        </w:rPr>
        <w:t xml:space="preserve">Registration: </w:t>
      </w:r>
      <w:r>
        <w:rPr>
          <w:rFonts w:ascii="Times New Roman" w:cs="Times New Roman" w:eastAsia="Times New Roman" w:hAnsi="Times New Roman"/>
          <w:sz w:val="24"/>
          <w:szCs w:val="24"/>
        </w:rPr>
        <w:t xml:space="preserve">This review was not registered in a prospective registry.</w:t>
      </w:r>
    </w:p>
    <w:p>
      <w:pPr>
        <w:spacing w:after="160" w:line="360"/>
        <w:jc w:val="both"/>
      </w:pPr>
      <w:r>
        <w:rPr>
          <w:rFonts w:ascii="Times New Roman" w:cs="Times New Roman" w:eastAsia="Times New Roman" w:hAnsi="Times New Roman"/>
          <w:b/>
          <w:bCs/>
          <w:sz w:val="24"/>
          <w:szCs w:val="24"/>
        </w:rPr>
        <w:t xml:space="preserve">Ethical approval: </w:t>
      </w:r>
      <w:r>
        <w:rPr>
          <w:rFonts w:ascii="Times New Roman" w:cs="Times New Roman" w:eastAsia="Times New Roman" w:hAnsi="Times New Roman"/>
          <w:sz w:val="24"/>
          <w:szCs w:val="24"/>
        </w:rPr>
        <w:t xml:space="preserve">Not required (systematic review of published data).</w:t>
      </w:r>
    </w:p>
    <w:p>
      <w:pPr>
        <w:spacing w:after="160" w:line="360"/>
        <w:jc w:val="both"/>
      </w:pPr>
      <w:r>
        <w:rPr>
          <w:rFonts w:ascii="Times New Roman" w:cs="Times New Roman" w:eastAsia="Times New Roman" w:hAnsi="Times New Roman"/>
          <w:b/>
          <w:bCs/>
          <w:sz w:val="24"/>
          <w:szCs w:val="24"/>
        </w:rPr>
        <w:t xml:space="preserve">Funding: </w:t>
      </w:r>
      <w:r>
        <w:rPr>
          <w:rFonts w:ascii="Times New Roman" w:cs="Times New Roman" w:eastAsia="Times New Roman" w:hAnsi="Times New Roman"/>
          <w:sz w:val="24"/>
          <w:szCs w:val="24"/>
        </w:rPr>
        <w:t xml:space="preserve">No specific grant from any funding agency in the public, commercial, or not-for-profit sectors.</w:t>
      </w:r>
    </w:p>
    <w:p>
      <w:pPr>
        <w:spacing w:after="160" w:line="360"/>
        <w:jc w:val="both"/>
      </w:pPr>
      <w:r>
        <w:rPr>
          <w:rFonts w:ascii="Times New Roman" w:cs="Times New Roman" w:eastAsia="Times New Roman" w:hAnsi="Times New Roman"/>
          <w:b/>
          <w:bCs/>
          <w:sz w:val="24"/>
          <w:szCs w:val="24"/>
        </w:rPr>
        <w:t xml:space="preserve">Conflict of interest: </w:t>
      </w:r>
      <w:r>
        <w:rPr>
          <w:rFonts w:ascii="Times New Roman" w:cs="Times New Roman" w:eastAsia="Times New Roman" w:hAnsi="Times New Roman"/>
          <w:sz w:val="24"/>
          <w:szCs w:val="24"/>
        </w:rPr>
        <w:t xml:space="preserve">The author declares no conflict of interest.</w:t>
      </w:r>
    </w:p>
    <w:p>
      <w:pPr>
        <w:spacing w:after="160" w:line="360"/>
        <w:jc w:val="both"/>
      </w:pPr>
      <w:r>
        <w:rPr>
          <w:rFonts w:ascii="Times New Roman" w:cs="Times New Roman" w:eastAsia="Times New Roman" w:hAnsi="Times New Roman"/>
          <w:b/>
          <w:bCs/>
          <w:sz w:val="24"/>
          <w:szCs w:val="24"/>
        </w:rPr>
        <w:t xml:space="preserve">Data availability: </w:t>
      </w:r>
      <w:r>
        <w:rPr>
          <w:rFonts w:ascii="Times New Roman" w:cs="Times New Roman" w:eastAsia="Times New Roman" w:hAnsi="Times New Roman"/>
          <w:sz w:val="24"/>
          <w:szCs w:val="24"/>
        </w:rPr>
        <w:t xml:space="preserve">All data derive from the cited published studies; extraction sheets are available from the author on reasonable request.</w:t>
      </w:r>
    </w:p>
    <w:p>
      <w:pPr>
        <w:spacing w:after="120" w:before="240" w:line="360"/>
      </w:pPr>
      <w:r>
        <w:rPr>
          <w:rFonts w:ascii="Times New Roman" w:cs="Times New Roman" w:eastAsia="Times New Roman" w:hAnsi="Times New Roman"/>
          <w:b/>
          <w:bCs/>
          <w:sz w:val="26"/>
          <w:szCs w:val="26"/>
        </w:rPr>
        <w:t xml:space="preserve">References</w:t>
      </w:r>
    </w:p>
    <w:p>
      <w:pPr>
        <w:spacing w:after="120" w:line="360"/>
        <w:ind w:left="720" w:hanging="720"/>
        <w:jc w:val="both"/>
      </w:pPr>
      <w:r>
        <w:rPr>
          <w:rFonts w:ascii="Times New Roman" w:cs="Times New Roman" w:eastAsia="Times New Roman" w:hAnsi="Times New Roman"/>
          <w:sz w:val="24"/>
          <w:szCs w:val="24"/>
        </w:rPr>
        <w:t xml:space="preserve">Bhatia, H. M., &amp; Sathe, M. S. (1974). Incidence of “Bombay” (Oh) phenotype and weaker variants of A and B antigen in Bombay (India). </w:t>
      </w:r>
      <w:r>
        <w:rPr>
          <w:rFonts w:ascii="Times New Roman" w:cs="Times New Roman" w:eastAsia="Times New Roman" w:hAnsi="Times New Roman"/>
          <w:i/>
          <w:iCs/>
          <w:sz w:val="24"/>
          <w:szCs w:val="24"/>
        </w:rPr>
        <w:t xml:space="preserve">Vox Sanguinis, 27</w:t>
      </w:r>
      <w:r>
        <w:rPr>
          <w:rFonts w:ascii="Times New Roman" w:cs="Times New Roman" w:eastAsia="Times New Roman" w:hAnsi="Times New Roman"/>
          <w:sz w:val="24"/>
          <w:szCs w:val="24"/>
        </w:rPr>
        <w:t xml:space="preserve">, 524–532.</w:t>
      </w:r>
    </w:p>
    <w:p>
      <w:pPr>
        <w:spacing w:after="120" w:line="360"/>
        <w:ind w:left="720" w:hanging="720"/>
        <w:jc w:val="both"/>
      </w:pPr>
      <w:r>
        <w:rPr>
          <w:rFonts w:ascii="Times New Roman" w:cs="Times New Roman" w:eastAsia="Times New Roman" w:hAnsi="Times New Roman"/>
          <w:sz w:val="24"/>
          <w:szCs w:val="24"/>
        </w:rPr>
        <w:t xml:space="preserve">Banerjee, S., Alwar, V. A., &amp; Subramanian, S. (2021). The importance of testing for secretor status of ABH antigens: A case series. </w:t>
      </w:r>
      <w:r>
        <w:rPr>
          <w:rFonts w:ascii="Times New Roman" w:cs="Times New Roman" w:eastAsia="Times New Roman" w:hAnsi="Times New Roman"/>
          <w:i/>
          <w:iCs/>
          <w:sz w:val="24"/>
          <w:szCs w:val="24"/>
        </w:rPr>
        <w:t xml:space="preserve">Iraqi Journal of Hematology, 10</w:t>
      </w:r>
      <w:r>
        <w:rPr>
          <w:rFonts w:ascii="Times New Roman" w:cs="Times New Roman" w:eastAsia="Times New Roman" w:hAnsi="Times New Roman"/>
          <w:sz w:val="24"/>
          <w:szCs w:val="24"/>
        </w:rPr>
        <w:t xml:space="preserve">(2), 176–179. https://doi.org/10.4103/ijh.ijh_25_21</w:t>
      </w:r>
    </w:p>
    <w:p>
      <w:pPr>
        <w:spacing w:after="120" w:line="360"/>
        <w:ind w:left="720" w:hanging="720"/>
        <w:jc w:val="both"/>
      </w:pPr>
      <w:r>
        <w:rPr>
          <w:rFonts w:ascii="Times New Roman" w:cs="Times New Roman" w:eastAsia="Times New Roman" w:hAnsi="Times New Roman"/>
          <w:sz w:val="24"/>
          <w:szCs w:val="24"/>
        </w:rPr>
        <w:t xml:space="preserve">Desai, P., Navkudkar, A., &amp; Rajadhyaksha, S. (2024). ABO blood group discrepancies in blood donor and patient samples at a tertiary care oncology centre: Analysis and serological resolution. </w:t>
      </w:r>
      <w:r>
        <w:rPr>
          <w:rFonts w:ascii="Times New Roman" w:cs="Times New Roman" w:eastAsia="Times New Roman" w:hAnsi="Times New Roman"/>
          <w:i/>
          <w:iCs/>
          <w:sz w:val="24"/>
          <w:szCs w:val="24"/>
        </w:rPr>
        <w:t xml:space="preserve">Hematology, Transfusion and Cell Therapy, 46</w:t>
      </w:r>
      <w:r>
        <w:rPr>
          <w:rFonts w:ascii="Times New Roman" w:cs="Times New Roman" w:eastAsia="Times New Roman" w:hAnsi="Times New Roman"/>
          <w:sz w:val="24"/>
          <w:szCs w:val="24"/>
        </w:rPr>
        <w:t xml:space="preserve">(4), 402–407. https://doi.org/10.1016/j.htct.2023.07.011</w:t>
      </w:r>
    </w:p>
    <w:p>
      <w:pPr>
        <w:spacing w:after="120" w:line="360"/>
        <w:ind w:left="720" w:hanging="720"/>
        <w:jc w:val="both"/>
      </w:pPr>
      <w:r>
        <w:rPr>
          <w:rFonts w:ascii="Times New Roman" w:cs="Times New Roman" w:eastAsia="Times New Roman" w:hAnsi="Times New Roman"/>
          <w:sz w:val="24"/>
          <w:szCs w:val="24"/>
        </w:rPr>
        <w:t xml:space="preserve">Li, H.-Y., &amp; Guo, K. (2022). Blood group testing. </w:t>
      </w:r>
      <w:r>
        <w:rPr>
          <w:rFonts w:ascii="Times New Roman" w:cs="Times New Roman" w:eastAsia="Times New Roman" w:hAnsi="Times New Roman"/>
          <w:i/>
          <w:iCs/>
          <w:sz w:val="24"/>
          <w:szCs w:val="24"/>
        </w:rPr>
        <w:t xml:space="preserve">Frontiers in Medicine, 9</w:t>
      </w:r>
      <w:r>
        <w:rPr>
          <w:rFonts w:ascii="Times New Roman" w:cs="Times New Roman" w:eastAsia="Times New Roman" w:hAnsi="Times New Roman"/>
          <w:sz w:val="24"/>
          <w:szCs w:val="24"/>
        </w:rPr>
        <w:t xml:space="preserve">, 827619. https://doi.org/10.3389/fmed.2022.827619</w:t>
      </w:r>
    </w:p>
    <w:p>
      <w:pPr>
        <w:spacing w:after="120" w:line="360"/>
        <w:ind w:left="720" w:hanging="720"/>
        <w:jc w:val="both"/>
      </w:pPr>
      <w:r>
        <w:rPr>
          <w:rFonts w:ascii="Times New Roman" w:cs="Times New Roman" w:eastAsia="Times New Roman" w:hAnsi="Times New Roman"/>
          <w:sz w:val="24"/>
          <w:szCs w:val="24"/>
        </w:rPr>
        <w:t xml:space="preserve">Page, M. J., McKenzie, J. E., Bossuyt, P. M., Boutron, I., Hoffmann, T. C., Mulrow, C. D., et al. (2021). The PRISMA 2020 statement: An updated guideline for reporting systematic reviews. </w:t>
      </w:r>
      <w:r>
        <w:rPr>
          <w:rFonts w:ascii="Times New Roman" w:cs="Times New Roman" w:eastAsia="Times New Roman" w:hAnsi="Times New Roman"/>
          <w:i/>
          <w:iCs/>
          <w:sz w:val="24"/>
          <w:szCs w:val="24"/>
        </w:rPr>
        <w:t xml:space="preserve">BMJ, 372</w:t>
      </w:r>
      <w:r>
        <w:rPr>
          <w:rFonts w:ascii="Times New Roman" w:cs="Times New Roman" w:eastAsia="Times New Roman" w:hAnsi="Times New Roman"/>
          <w:sz w:val="24"/>
          <w:szCs w:val="24"/>
        </w:rPr>
        <w:t xml:space="preserve">, n71. https://doi.org/10.1136/bmj.n71</w:t>
      </w:r>
    </w:p>
    <w:p>
      <w:pPr>
        <w:spacing w:after="120" w:line="360"/>
        <w:ind w:left="720" w:hanging="720"/>
        <w:jc w:val="both"/>
      </w:pPr>
      <w:r>
        <w:rPr>
          <w:rFonts w:ascii="Times New Roman" w:cs="Times New Roman" w:eastAsia="Times New Roman" w:hAnsi="Times New Roman"/>
          <w:sz w:val="24"/>
          <w:szCs w:val="24"/>
        </w:rPr>
        <w:t xml:space="preserve">Prasanth, V., Banerjee, P., Kaur, D., Kumari, D., Khiamniungan, C. B., Bhatia, J., Jain, A., &amp; Negi, G. (2025). A or AB? Resolving the dilemma of weaker subgroup through serological evaluation: Reporting two cases from Uttarakhand. </w:t>
      </w:r>
      <w:r>
        <w:rPr>
          <w:rFonts w:ascii="Times New Roman" w:cs="Times New Roman" w:eastAsia="Times New Roman" w:hAnsi="Times New Roman"/>
          <w:i/>
          <w:iCs/>
          <w:sz w:val="24"/>
          <w:szCs w:val="24"/>
        </w:rPr>
        <w:t xml:space="preserve">Asian Journal of Transfusion Science, 19</w:t>
      </w:r>
      <w:r>
        <w:rPr>
          <w:rFonts w:ascii="Times New Roman" w:cs="Times New Roman" w:eastAsia="Times New Roman" w:hAnsi="Times New Roman"/>
          <w:sz w:val="24"/>
          <w:szCs w:val="24"/>
        </w:rPr>
        <w:t xml:space="preserve">(1), 154–157. https://doi.org/10.4103/ajts.ajts_154_23</w:t>
      </w:r>
    </w:p>
    <w:p>
      <w:pPr>
        <w:spacing w:after="120" w:line="360"/>
        <w:ind w:left="720" w:hanging="720"/>
        <w:jc w:val="both"/>
      </w:pPr>
      <w:r>
        <w:rPr>
          <w:rFonts w:ascii="Times New Roman" w:cs="Times New Roman" w:eastAsia="Times New Roman" w:hAnsi="Times New Roman"/>
          <w:sz w:val="24"/>
          <w:szCs w:val="24"/>
        </w:rPr>
        <w:t xml:space="preserve">Prevalence of “weak B” phenotypes and their evaluation and differentiation in healthy blood donor population in Eastern India. (2024). </w:t>
      </w:r>
      <w:r>
        <w:rPr>
          <w:rFonts w:ascii="Times New Roman" w:cs="Times New Roman" w:eastAsia="Times New Roman" w:hAnsi="Times New Roman"/>
          <w:i/>
          <w:iCs/>
          <w:sz w:val="24"/>
          <w:szCs w:val="24"/>
        </w:rPr>
        <w:t xml:space="preserve">Asian Journal of Transfusion Science, 18</w:t>
      </w:r>
      <w:r>
        <w:rPr>
          <w:rFonts w:ascii="Times New Roman" w:cs="Times New Roman" w:eastAsia="Times New Roman" w:hAnsi="Times New Roman"/>
          <w:sz w:val="24"/>
          <w:szCs w:val="24"/>
        </w:rPr>
        <w:t xml:space="preserve">(2), 225–229. https://doi.org/10.4103/ajts.ajts_36_23</w:t>
      </w:r>
    </w:p>
    <w:p>
      <w:pPr>
        <w:spacing w:after="120" w:line="360"/>
        <w:ind w:left="720" w:hanging="720"/>
        <w:jc w:val="both"/>
      </w:pPr>
      <w:r>
        <w:rPr>
          <w:rFonts w:ascii="Times New Roman" w:cs="Times New Roman" w:eastAsia="Times New Roman" w:hAnsi="Times New Roman"/>
          <w:sz w:val="24"/>
          <w:szCs w:val="24"/>
        </w:rPr>
        <w:t xml:space="preserve">Seltsam, A., &amp; Blasczyk, R. (2005). Missense mutations outside the catalytic domain of the ABO glycosyltransferase can cause weak blood group A and B phenotypes. </w:t>
      </w:r>
      <w:r>
        <w:rPr>
          <w:rFonts w:ascii="Times New Roman" w:cs="Times New Roman" w:eastAsia="Times New Roman" w:hAnsi="Times New Roman"/>
          <w:i/>
          <w:iCs/>
          <w:sz w:val="24"/>
          <w:szCs w:val="24"/>
        </w:rPr>
        <w:t xml:space="preserve">Transfusion, 45</w:t>
      </w:r>
      <w:r>
        <w:rPr>
          <w:rFonts w:ascii="Times New Roman" w:cs="Times New Roman" w:eastAsia="Times New Roman" w:hAnsi="Times New Roman"/>
          <w:sz w:val="24"/>
          <w:szCs w:val="24"/>
        </w:rPr>
        <w:t xml:space="preserve">(10), 1663–1669.</w:t>
      </w:r>
    </w:p>
    <w:p>
      <w:pPr>
        <w:spacing w:after="120" w:line="360"/>
        <w:ind w:left="720" w:hanging="720"/>
        <w:jc w:val="both"/>
      </w:pPr>
      <w:r>
        <w:rPr>
          <w:rFonts w:ascii="Times New Roman" w:cs="Times New Roman" w:eastAsia="Times New Roman" w:hAnsi="Times New Roman"/>
          <w:sz w:val="24"/>
          <w:szCs w:val="24"/>
        </w:rPr>
        <w:t xml:space="preserve">Storry, J. R., &amp; Olsson, M. L. (2009). The ABO blood group system revisited: A review and update. </w:t>
      </w:r>
      <w:r>
        <w:rPr>
          <w:rFonts w:ascii="Times New Roman" w:cs="Times New Roman" w:eastAsia="Times New Roman" w:hAnsi="Times New Roman"/>
          <w:i/>
          <w:iCs/>
          <w:sz w:val="24"/>
          <w:szCs w:val="24"/>
        </w:rPr>
        <w:t xml:space="preserve">Immunohematology, 25</w:t>
      </w:r>
      <w:r>
        <w:rPr>
          <w:rFonts w:ascii="Times New Roman" w:cs="Times New Roman" w:eastAsia="Times New Roman" w:hAnsi="Times New Roman"/>
          <w:sz w:val="24"/>
          <w:szCs w:val="24"/>
        </w:rPr>
        <w:t xml:space="preserve">(2), 48–59.</w:t>
      </w:r>
    </w:p>
    <w:p>
      <w:pPr>
        <w:spacing w:after="120" w:line="360"/>
        <w:ind w:left="720" w:hanging="720"/>
        <w:jc w:val="both"/>
      </w:pPr>
      <w:r>
        <w:rPr>
          <w:rFonts w:ascii="Times New Roman" w:cs="Times New Roman" w:eastAsia="Times New Roman" w:hAnsi="Times New Roman"/>
          <w:sz w:val="24"/>
          <w:szCs w:val="24"/>
        </w:rPr>
        <w:t xml:space="preserve">Thakral, B., Saluja, K., Bajpai, M., Sharma, R. R., &amp; Marwaha, N. (2005). Importance of weak ABO subgroups. </w:t>
      </w:r>
      <w:r>
        <w:rPr>
          <w:rFonts w:ascii="Times New Roman" w:cs="Times New Roman" w:eastAsia="Times New Roman" w:hAnsi="Times New Roman"/>
          <w:i/>
          <w:iCs/>
          <w:sz w:val="24"/>
          <w:szCs w:val="24"/>
        </w:rPr>
        <w:t xml:space="preserve">Laboratory Medicine, 36</w:t>
      </w:r>
      <w:r>
        <w:rPr>
          <w:rFonts w:ascii="Times New Roman" w:cs="Times New Roman" w:eastAsia="Times New Roman" w:hAnsi="Times New Roman"/>
          <w:sz w:val="24"/>
          <w:szCs w:val="24"/>
        </w:rPr>
        <w:t xml:space="preserve">(1), 32–34.</w:t>
      </w:r>
    </w:p>
    <w:p>
      <w:pPr>
        <w:spacing w:after="120" w:line="360"/>
        <w:ind w:left="720" w:hanging="720"/>
        <w:jc w:val="both"/>
      </w:pPr>
      <w:r>
        <w:rPr>
          <w:rFonts w:ascii="Times New Roman" w:cs="Times New Roman" w:eastAsia="Times New Roman" w:hAnsi="Times New Roman"/>
          <w:sz w:val="24"/>
          <w:szCs w:val="24"/>
        </w:rPr>
        <w:t xml:space="preserve">Wang, Z., Jin, S., Zheng, J., Qian, C., Cai, X., &amp; Xiang, D. (2024). Prevalence and distribution of serological characteristics of weak ABO subgroups in the Chinese population. </w:t>
      </w:r>
      <w:r>
        <w:rPr>
          <w:rFonts w:ascii="Times New Roman" w:cs="Times New Roman" w:eastAsia="Times New Roman" w:hAnsi="Times New Roman"/>
          <w:i/>
          <w:iCs/>
          <w:sz w:val="24"/>
          <w:szCs w:val="24"/>
        </w:rPr>
        <w:t xml:space="preserve">Hematology, Transfusion and Cell Therapy</w:t>
      </w:r>
      <w:r>
        <w:rPr>
          <w:rFonts w:ascii="Times New Roman" w:cs="Times New Roman" w:eastAsia="Times New Roman" w:hAnsi="Times New Roman"/>
          <w:sz w:val="24"/>
          <w:szCs w:val="24"/>
        </w:rPr>
        <w:t xml:space="preserve">. https://doi.org/10.1016/j.htct.2024.04.127</w:t>
      </w:r>
    </w:p>
    <w:p>
      <w:pPr>
        <w:spacing w:before="200" w:line="240"/>
      </w:pPr>
      <w:r>
        <w:rPr>
          <w:rFonts w:ascii="Times New Roman" w:cs="Times New Roman" w:eastAsia="Times New Roman" w:hAnsi="Times New Roman"/>
          <w:i/>
          <w:iCs/>
          <w:sz w:val="18"/>
          <w:szCs w:val="18"/>
        </w:rPr>
        <w:t xml:space="preserve">Note. References formatted in APA (7th ed.).</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2026-06-09T17:37:39.672Z</dcterms:created>
  <dcterms:modified xsi:type="dcterms:W3CDTF">2026-06-09T17:37:39.672Z</dcterms:modified>
</cp:coreProperties>
</file>

<file path=docProps/custom.xml><?xml version="1.0" encoding="utf-8"?>
<Properties xmlns="http://schemas.openxmlformats.org/officeDocument/2006/custom-properties" xmlns:vt="http://schemas.openxmlformats.org/officeDocument/2006/docPropsVTypes"/>
</file>