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B3B78" w14:textId="4882B8F9" w:rsidR="00DD314C" w:rsidRPr="008E6122" w:rsidRDefault="00DD314C" w:rsidP="005448A7">
      <w:pPr>
        <w:spacing w:after="200" w:line="240" w:lineRule="auto"/>
        <w:jc w:val="center"/>
        <w:rPr>
          <w:rFonts w:ascii="Times New Roman" w:hAnsi="Times New Roman" w:cs="Times New Roman"/>
          <w:b/>
          <w:bCs/>
          <w:noProof/>
        </w:rPr>
      </w:pPr>
      <w:r w:rsidRPr="008E6122">
        <w:rPr>
          <w:rFonts w:ascii="Times New Roman" w:hAnsi="Times New Roman" w:cs="Times New Roman"/>
          <w:b/>
          <w:bCs/>
          <w:noProof/>
        </w:rPr>
        <w:t xml:space="preserve">An </w:t>
      </w:r>
      <w:r w:rsidR="002829E6" w:rsidRPr="008E6122">
        <w:rPr>
          <w:rFonts w:ascii="Times New Roman" w:hAnsi="Times New Roman" w:cs="Times New Roman"/>
          <w:b/>
          <w:bCs/>
          <w:noProof/>
        </w:rPr>
        <w:t>I</w:t>
      </w:r>
      <w:r w:rsidRPr="008E6122">
        <w:rPr>
          <w:rFonts w:ascii="Times New Roman" w:hAnsi="Times New Roman" w:cs="Times New Roman"/>
          <w:b/>
          <w:bCs/>
          <w:noProof/>
        </w:rPr>
        <w:t xml:space="preserve">dentification of  </w:t>
      </w:r>
      <w:r w:rsidR="002829E6" w:rsidRPr="008E6122">
        <w:rPr>
          <w:rFonts w:ascii="Times New Roman" w:hAnsi="Times New Roman" w:cs="Times New Roman"/>
          <w:b/>
          <w:bCs/>
          <w:noProof/>
        </w:rPr>
        <w:t>C</w:t>
      </w:r>
      <w:r w:rsidRPr="008E6122">
        <w:rPr>
          <w:rFonts w:ascii="Times New Roman" w:hAnsi="Times New Roman" w:cs="Times New Roman"/>
          <w:b/>
          <w:bCs/>
          <w:noProof/>
        </w:rPr>
        <w:t xml:space="preserve">hallenges that </w:t>
      </w:r>
      <w:r w:rsidR="002829E6" w:rsidRPr="008E6122">
        <w:rPr>
          <w:rFonts w:ascii="Times New Roman" w:hAnsi="Times New Roman" w:cs="Times New Roman"/>
          <w:b/>
          <w:bCs/>
          <w:noProof/>
        </w:rPr>
        <w:t>H</w:t>
      </w:r>
      <w:r w:rsidRPr="008E6122">
        <w:rPr>
          <w:rFonts w:ascii="Times New Roman" w:hAnsi="Times New Roman" w:cs="Times New Roman"/>
          <w:b/>
          <w:bCs/>
          <w:noProof/>
        </w:rPr>
        <w:t xml:space="preserve">inder Marketeers </w:t>
      </w:r>
      <w:r w:rsidR="002829E6" w:rsidRPr="008E6122">
        <w:rPr>
          <w:rFonts w:ascii="Times New Roman" w:hAnsi="Times New Roman" w:cs="Times New Roman"/>
          <w:b/>
          <w:bCs/>
          <w:noProof/>
        </w:rPr>
        <w:t>P</w:t>
      </w:r>
      <w:r w:rsidRPr="008E6122">
        <w:rPr>
          <w:rFonts w:ascii="Times New Roman" w:hAnsi="Times New Roman" w:cs="Times New Roman"/>
          <w:b/>
          <w:bCs/>
          <w:noProof/>
        </w:rPr>
        <w:t>articipation in NHIMA:</w:t>
      </w:r>
      <w:r w:rsidR="007634A9" w:rsidRPr="008E6122">
        <w:rPr>
          <w:rFonts w:ascii="Times New Roman" w:hAnsi="Times New Roman" w:cs="Times New Roman"/>
          <w:b/>
          <w:bCs/>
          <w:noProof/>
        </w:rPr>
        <w:t xml:space="preserve"> </w:t>
      </w:r>
      <w:r w:rsidRPr="008E6122">
        <w:rPr>
          <w:rFonts w:ascii="Times New Roman" w:hAnsi="Times New Roman" w:cs="Times New Roman"/>
          <w:b/>
          <w:bCs/>
          <w:noProof/>
        </w:rPr>
        <w:t xml:space="preserve">A </w:t>
      </w:r>
      <w:r w:rsidR="007634A9" w:rsidRPr="008E6122">
        <w:rPr>
          <w:rFonts w:ascii="Times New Roman" w:hAnsi="Times New Roman" w:cs="Times New Roman"/>
          <w:b/>
          <w:bCs/>
          <w:noProof/>
        </w:rPr>
        <w:t>C</w:t>
      </w:r>
      <w:r w:rsidRPr="008E6122">
        <w:rPr>
          <w:rFonts w:ascii="Times New Roman" w:hAnsi="Times New Roman" w:cs="Times New Roman"/>
          <w:b/>
          <w:bCs/>
          <w:noProof/>
        </w:rPr>
        <w:t xml:space="preserve">ase </w:t>
      </w:r>
      <w:r w:rsidR="00C11F02" w:rsidRPr="008E6122">
        <w:rPr>
          <w:rFonts w:ascii="Times New Roman" w:hAnsi="Times New Roman" w:cs="Times New Roman"/>
          <w:b/>
          <w:bCs/>
          <w:noProof/>
        </w:rPr>
        <w:t>Study</w:t>
      </w:r>
      <w:r w:rsidRPr="008E6122">
        <w:rPr>
          <w:rFonts w:ascii="Times New Roman" w:hAnsi="Times New Roman" w:cs="Times New Roman"/>
          <w:b/>
          <w:bCs/>
          <w:noProof/>
        </w:rPr>
        <w:t xml:space="preserve"> of Kabwe District,</w:t>
      </w:r>
      <w:r w:rsidR="007634A9" w:rsidRPr="008E6122">
        <w:rPr>
          <w:rFonts w:ascii="Times New Roman" w:hAnsi="Times New Roman" w:cs="Times New Roman"/>
          <w:b/>
          <w:bCs/>
          <w:noProof/>
        </w:rPr>
        <w:t xml:space="preserve">  </w:t>
      </w:r>
      <w:r w:rsidRPr="008E6122">
        <w:rPr>
          <w:rFonts w:ascii="Times New Roman" w:hAnsi="Times New Roman" w:cs="Times New Roman"/>
          <w:b/>
          <w:bCs/>
          <w:noProof/>
        </w:rPr>
        <w:t>Zambia</w:t>
      </w:r>
    </w:p>
    <w:p w14:paraId="31C7B7C6" w14:textId="77777777" w:rsidR="00AB5989" w:rsidRPr="008E6122" w:rsidRDefault="00AB5989" w:rsidP="005448A7">
      <w:pPr>
        <w:spacing w:after="200" w:line="240" w:lineRule="auto"/>
        <w:jc w:val="center"/>
        <w:rPr>
          <w:rFonts w:ascii="Times New Roman" w:hAnsi="Times New Roman" w:cs="Times New Roman"/>
          <w:b/>
          <w:bCs/>
          <w:noProof/>
        </w:rPr>
      </w:pPr>
    </w:p>
    <w:p w14:paraId="293D1604" w14:textId="268DF3DB" w:rsidR="00B44C84" w:rsidRPr="008E6122" w:rsidRDefault="007634A9" w:rsidP="005448A7">
      <w:pPr>
        <w:spacing w:after="200" w:line="240" w:lineRule="auto"/>
        <w:rPr>
          <w:rFonts w:ascii="Times New Roman" w:hAnsi="Times New Roman" w:cs="Times New Roman"/>
          <w:b/>
          <w:bCs/>
          <w:noProof/>
        </w:rPr>
      </w:pPr>
      <w:r w:rsidRPr="008E6122">
        <w:rPr>
          <w:rFonts w:ascii="Times New Roman" w:hAnsi="Times New Roman" w:cs="Times New Roman"/>
          <w:b/>
          <w:bCs/>
          <w:noProof/>
        </w:rPr>
        <w:t/>
      </w:r>
      <w:r w:rsidR="00AB5989" w:rsidRPr="008E6122">
        <w:rPr>
          <w:rFonts w:ascii="Times New Roman" w:hAnsi="Times New Roman" w:cs="Times New Roman"/>
          <w:b/>
          <w:bCs/>
          <w:noProof/>
          <w:vertAlign w:val="superscript"/>
        </w:rPr>
        <w:t/>
      </w:r>
      <w:r w:rsidR="00057F26" w:rsidRPr="008E6122">
        <w:rPr>
          <w:rFonts w:ascii="Times New Roman" w:hAnsi="Times New Roman" w:cs="Times New Roman"/>
          <w:b/>
          <w:bCs/>
          <w:noProof/>
        </w:rPr>
        <w:t/>
      </w:r>
      <w:r w:rsidR="00B44C84" w:rsidRPr="008E6122">
        <w:rPr>
          <w:rFonts w:ascii="Times New Roman" w:hAnsi="Times New Roman" w:cs="Times New Roman"/>
          <w:b/>
          <w:bCs/>
          <w:noProof/>
        </w:rPr>
        <w:t xml:space="preserve"/>
      </w:r>
      <w:hyperlink r:id="rId8" w:history="1">
        <w:r w:rsidR="003B39F9" w:rsidRPr="008E6122">
          <w:rPr>
            <w:rStyle w:val="Hyperlink"/>
            <w:rFonts w:ascii="Times New Roman" w:hAnsi="Times New Roman" w:cs="Times New Roman"/>
            <w:b/>
            <w:bCs/>
            <w:noProof/>
          </w:rPr>
          <w:t/>
        </w:r>
      </w:hyperlink>
      <w:r w:rsidR="00B44C84" w:rsidRPr="008E6122">
        <w:rPr>
          <w:rFonts w:ascii="Times New Roman" w:hAnsi="Times New Roman" w:cs="Times New Roman"/>
          <w:b/>
          <w:bCs/>
          <w:noProof/>
        </w:rPr>
        <w:t xml:space="preserve"/>
      </w:r>
    </w:p>
    <w:p w14:paraId="6C97EFB7" w14:textId="77777777" w:rsidR="00057F26" w:rsidRPr="008E6122" w:rsidRDefault="00057F26" w:rsidP="00057F26">
      <w:pPr>
        <w:autoSpaceDE w:val="0"/>
        <w:autoSpaceDN w:val="0"/>
        <w:adjustRightInd w:val="0"/>
        <w:spacing w:line="360" w:lineRule="auto"/>
        <w:jc w:val="both"/>
        <w:rPr>
          <w:rFonts w:ascii="Times New Roman" w:hAnsi="Times New Roman" w:cs="Times New Roman"/>
          <w:bCs/>
        </w:rPr>
      </w:pPr>
      <w:r w:rsidRPr="008E6122">
        <w:rPr>
          <w:rFonts w:ascii="Times New Roman" w:hAnsi="Times New Roman" w:cs="Times New Roman"/>
          <w:bCs/>
          <w:vertAlign w:val="superscript"/>
        </w:rPr>
        <w:t/>
      </w:r>
      <w:r w:rsidRPr="008E6122">
        <w:rPr>
          <w:rFonts w:ascii="Times New Roman" w:hAnsi="Times New Roman" w:cs="Times New Roman"/>
          <w:bCs/>
        </w:rPr>
        <w:t/>
      </w:r>
    </w:p>
    <w:p w14:paraId="2BA6CEAF" w14:textId="77777777" w:rsidR="00057F26" w:rsidRDefault="00057F26" w:rsidP="005448A7">
      <w:pPr>
        <w:spacing w:after="200" w:line="240" w:lineRule="auto"/>
        <w:rPr>
          <w:rFonts w:ascii="Times New Roman" w:hAnsi="Times New Roman" w:cs="Times New Roman"/>
          <w:b/>
          <w:bCs/>
          <w:noProof/>
          <w:sz w:val="22"/>
          <w:szCs w:val="22"/>
        </w:rPr>
      </w:pPr>
    </w:p>
    <w:p w14:paraId="065A2DDE" w14:textId="77777777" w:rsidR="00C018C8" w:rsidRPr="007634A9" w:rsidRDefault="00C018C8" w:rsidP="005448A7">
      <w:pPr>
        <w:spacing w:after="0" w:line="240" w:lineRule="auto"/>
        <w:ind w:left="709" w:right="27"/>
        <w:contextualSpacing/>
        <w:jc w:val="center"/>
        <w:rPr>
          <w:rFonts w:ascii="Times New Roman" w:hAnsi="Times New Roman" w:cs="Times New Roman"/>
          <w:b/>
          <w:bCs/>
          <w:spacing w:val="2"/>
          <w:kern w:val="24"/>
          <w:sz w:val="22"/>
          <w:szCs w:val="22"/>
          <w:lang w:val="en-GB"/>
        </w:rPr>
      </w:pPr>
    </w:p>
    <w:p w14:paraId="4C9E61E8" w14:textId="77777777" w:rsidR="00C018C8" w:rsidRPr="007634A9" w:rsidRDefault="00C018C8" w:rsidP="008C3324">
      <w:pPr>
        <w:spacing w:after="0" w:line="240" w:lineRule="auto"/>
        <w:ind w:left="709" w:right="27"/>
        <w:contextualSpacing/>
        <w:jc w:val="center"/>
        <w:rPr>
          <w:rFonts w:ascii="Times New Roman" w:hAnsi="Times New Roman" w:cs="Times New Roman"/>
          <w:b/>
          <w:bCs/>
          <w:spacing w:val="2"/>
          <w:kern w:val="24"/>
          <w:sz w:val="22"/>
          <w:szCs w:val="22"/>
          <w:lang w:val="en-GB"/>
        </w:rPr>
      </w:pPr>
    </w:p>
    <w:p w14:paraId="731EED53" w14:textId="77777777" w:rsidR="00C018C8" w:rsidRPr="007634A9" w:rsidRDefault="00C018C8" w:rsidP="008C3324">
      <w:pPr>
        <w:spacing w:line="240" w:lineRule="auto"/>
        <w:ind w:left="14"/>
        <w:jc w:val="center"/>
        <w:rPr>
          <w:rFonts w:ascii="Times New Roman" w:eastAsiaTheme="majorEastAsia" w:hAnsi="Times New Roman" w:cs="Times New Roman"/>
          <w:b/>
          <w:bCs/>
          <w:sz w:val="22"/>
          <w:szCs w:val="22"/>
          <w:lang w:val="en-GB"/>
        </w:rPr>
      </w:pPr>
      <w:r w:rsidRPr="007634A9">
        <w:rPr>
          <w:rFonts w:ascii="Times New Roman" w:eastAsiaTheme="majorEastAsia" w:hAnsi="Times New Roman" w:cs="Times New Roman"/>
          <w:b/>
          <w:bCs/>
          <w:sz w:val="22"/>
          <w:szCs w:val="22"/>
          <w:lang w:val="en-GB"/>
        </w:rPr>
        <w:t>ABSTRACT</w:t>
      </w:r>
    </w:p>
    <w:p w14:paraId="24BEDADE" w14:textId="3F5B9BC9" w:rsidR="00DD314C" w:rsidRDefault="00C018C8" w:rsidP="008C3324">
      <w:pPr>
        <w:spacing w:line="360" w:lineRule="auto"/>
        <w:jc w:val="both"/>
        <w:rPr>
          <w:rFonts w:ascii="Times New Roman" w:eastAsia="Times New Roman" w:hAnsi="Times New Roman" w:cs="Times New Roman"/>
          <w:kern w:val="0"/>
          <w14:ligatures w14:val="none"/>
        </w:rPr>
      </w:pPr>
      <w:r w:rsidRPr="00040C6B">
        <w:rPr>
          <w:rFonts w:ascii="Times New Roman" w:eastAsia="Times New Roman" w:hAnsi="Times New Roman" w:cs="Times New Roman"/>
          <w:kern w:val="0"/>
          <w14:ligatures w14:val="none"/>
        </w:rPr>
        <w:t>Affordable healthcare remains one of the most critical issues for low- and middle-income nations aiming to realize Universal Health Coverage (UHC). In Zambia, the policy to implement the National Health Insurance Scheme (NHIMA) in 2019 was expected to increase equitable access to healthcare and lower out-of-pocket costs.</w:t>
      </w:r>
      <w:r w:rsidRPr="00040C6B">
        <w:rPr>
          <w:rFonts w:ascii="Times New Roman" w:eastAsia="Times New Roman" w:hAnsi="Times New Roman" w:cs="Times New Roman"/>
        </w:rPr>
        <w:t xml:space="preserve"> However, informal sector workers have not been participating in large numbers, as most of the </w:t>
      </w:r>
      <w:r w:rsidR="00B51443" w:rsidRPr="00040C6B">
        <w:rPr>
          <w:rFonts w:ascii="Times New Roman" w:eastAsia="Times New Roman" w:hAnsi="Times New Roman" w:cs="Times New Roman"/>
        </w:rPr>
        <w:t>country's workforce, which also makes up the majority, has expressed concerns about inclusiveness, affordability, and the scheme's sustainability</w:t>
      </w:r>
      <w:r w:rsidRPr="00040C6B">
        <w:rPr>
          <w:rFonts w:ascii="Times New Roman" w:eastAsia="Times New Roman" w:hAnsi="Times New Roman" w:cs="Times New Roman"/>
        </w:rPr>
        <w:t>. Th</w:t>
      </w:r>
      <w:r w:rsidR="00D676D4" w:rsidRPr="00040C6B">
        <w:rPr>
          <w:rFonts w:ascii="Times New Roman" w:eastAsia="Times New Roman" w:hAnsi="Times New Roman" w:cs="Times New Roman"/>
        </w:rPr>
        <w:t>is</w:t>
      </w:r>
      <w:r w:rsidRPr="00040C6B">
        <w:rPr>
          <w:rFonts w:ascii="Times New Roman" w:eastAsia="Times New Roman" w:hAnsi="Times New Roman" w:cs="Times New Roman"/>
        </w:rPr>
        <w:t xml:space="preserve"> research was motivated by the persistent challenge of low enrolment among informal workers despite NHIMA's mandate to provide universal health coverage. Guided by Andersen's </w:t>
      </w:r>
      <w:r w:rsidR="00B51443" w:rsidRPr="00040C6B">
        <w:rPr>
          <w:rFonts w:ascii="Times New Roman" w:eastAsia="Times New Roman" w:hAnsi="Times New Roman" w:cs="Times New Roman"/>
        </w:rPr>
        <w:t>Behavioral</w:t>
      </w:r>
      <w:r w:rsidRPr="00040C6B">
        <w:rPr>
          <w:rFonts w:ascii="Times New Roman" w:eastAsia="Times New Roman" w:hAnsi="Times New Roman" w:cs="Times New Roman"/>
        </w:rPr>
        <w:t xml:space="preserve"> Model of Health Services Use and the Health Belief Model (HBM), the study employed a mixed-methods design. Quantitative data were collected from 159 market</w:t>
      </w:r>
      <w:r w:rsidR="006547D9" w:rsidRPr="00040C6B">
        <w:rPr>
          <w:rFonts w:ascii="Times New Roman" w:eastAsia="Times New Roman" w:hAnsi="Times New Roman" w:cs="Times New Roman"/>
        </w:rPr>
        <w:t>e</w:t>
      </w:r>
      <w:r w:rsidRPr="00040C6B">
        <w:rPr>
          <w:rFonts w:ascii="Times New Roman" w:eastAsia="Times New Roman" w:hAnsi="Times New Roman" w:cs="Times New Roman"/>
        </w:rPr>
        <w:t xml:space="preserve">ers using structured questionnaires, while qualitative data were gathered through three Focus Group Discussions and ten Key Informant </w:t>
      </w:r>
      <w:r w:rsidR="00DD314C" w:rsidRPr="00040C6B">
        <w:rPr>
          <w:rFonts w:ascii="Times New Roman" w:eastAsia="Times New Roman" w:hAnsi="Times New Roman" w:cs="Times New Roman"/>
        </w:rPr>
        <w:t>Interviews. The study revealed that</w:t>
      </w:r>
      <w:r w:rsidR="00B51443" w:rsidRPr="00040C6B">
        <w:rPr>
          <w:rFonts w:ascii="Times New Roman" w:eastAsia="Times New Roman" w:hAnsi="Times New Roman" w:cs="Times New Roman"/>
        </w:rPr>
        <w:t xml:space="preserve"> informal</w:t>
      </w:r>
      <w:r w:rsidR="00DD314C" w:rsidRPr="00040C6B">
        <w:rPr>
          <w:rFonts w:ascii="Times New Roman" w:eastAsia="Times New Roman" w:hAnsi="Times New Roman" w:cs="Times New Roman"/>
          <w:kern w:val="0"/>
          <w14:ligatures w14:val="none"/>
        </w:rPr>
        <w:t xml:space="preserve"> sector workers face significant challenges in registering for NHIMA </w:t>
      </w:r>
      <w:r w:rsidR="00B51443" w:rsidRPr="00040C6B">
        <w:rPr>
          <w:rFonts w:ascii="Times New Roman" w:eastAsia="Times New Roman" w:hAnsi="Times New Roman" w:cs="Times New Roman"/>
          <w:kern w:val="0"/>
          <w14:ligatures w14:val="none"/>
        </w:rPr>
        <w:t>due to low, unstable, and seasonal incomes</w:t>
      </w:r>
      <w:r w:rsidR="00DD314C" w:rsidRPr="00040C6B">
        <w:rPr>
          <w:rFonts w:ascii="Times New Roman" w:eastAsia="Times New Roman" w:hAnsi="Times New Roman" w:cs="Times New Roman"/>
          <w:kern w:val="0"/>
          <w14:ligatures w14:val="none"/>
        </w:rPr>
        <w:t xml:space="preserve">. The flat-rate premium is often perceived as unaffordable, leading to irregular contributions and delayed registration. Many workers only seek enrolment when they are already ill and require healthcare services. The study further disclosed that registration is constrained by operational challenges, including the 2022 system upgrade backlog that left over 21,000 registrations pending approval. In addition, limited digital infrastructure, inadequate access to registration </w:t>
      </w:r>
      <w:r w:rsidR="00B51443" w:rsidRPr="00040C6B">
        <w:rPr>
          <w:rFonts w:ascii="Times New Roman" w:eastAsia="Times New Roman" w:hAnsi="Times New Roman" w:cs="Times New Roman"/>
          <w:kern w:val="0"/>
          <w14:ligatures w14:val="none"/>
        </w:rPr>
        <w:t>centers</w:t>
      </w:r>
      <w:r w:rsidR="00DD314C" w:rsidRPr="00040C6B">
        <w:rPr>
          <w:rFonts w:ascii="Times New Roman" w:eastAsia="Times New Roman" w:hAnsi="Times New Roman" w:cs="Times New Roman"/>
          <w:kern w:val="0"/>
          <w14:ligatures w14:val="none"/>
        </w:rPr>
        <w:t>, low computer literacy, and poor awareness of registration procedures reduce enrolment, particularly in rural areas.</w:t>
      </w:r>
    </w:p>
    <w:p w14:paraId="1CA8D54A" w14:textId="77777777" w:rsidR="003B39F9" w:rsidRDefault="003B39F9" w:rsidP="0023068B">
      <w:pPr>
        <w:spacing w:line="240" w:lineRule="auto"/>
        <w:jc w:val="both"/>
        <w:rPr>
          <w:rFonts w:ascii="Times New Roman" w:eastAsia="Times New Roman" w:hAnsi="Times New Roman" w:cs="Times New Roman"/>
          <w:kern w:val="0"/>
          <w14:ligatures w14:val="none"/>
        </w:rPr>
      </w:pPr>
    </w:p>
    <w:p w14:paraId="7F7E8848" w14:textId="77777777" w:rsidR="006D620C" w:rsidRDefault="006D620C" w:rsidP="0023068B">
      <w:pPr>
        <w:spacing w:line="240" w:lineRule="auto"/>
        <w:jc w:val="both"/>
        <w:rPr>
          <w:rFonts w:ascii="Times New Roman" w:eastAsia="Times New Roman" w:hAnsi="Times New Roman" w:cs="Times New Roman"/>
          <w:kern w:val="0"/>
          <w14:ligatures w14:val="none"/>
        </w:rPr>
      </w:pPr>
    </w:p>
    <w:p w14:paraId="0C48F190" w14:textId="77777777" w:rsidR="003B39F9" w:rsidRPr="00040C6B" w:rsidRDefault="003B39F9" w:rsidP="0023068B">
      <w:pPr>
        <w:spacing w:line="240" w:lineRule="auto"/>
        <w:jc w:val="both"/>
        <w:rPr>
          <w:rFonts w:ascii="Times New Roman" w:eastAsia="Times New Roman" w:hAnsi="Times New Roman" w:cs="Times New Roman"/>
          <w:kern w:val="0"/>
          <w14:ligatures w14:val="none"/>
        </w:rPr>
      </w:pPr>
    </w:p>
    <w:p w14:paraId="6BD41F69" w14:textId="22E047C0" w:rsidR="00A56242" w:rsidRPr="00040C6B" w:rsidRDefault="00A56242" w:rsidP="002C14A6">
      <w:pPr>
        <w:spacing w:after="0" w:line="360" w:lineRule="auto"/>
        <w:jc w:val="both"/>
        <w:rPr>
          <w:rFonts w:ascii="Times New Roman" w:hAnsi="Times New Roman" w:cs="Times New Roman"/>
          <w:b/>
          <w:bCs/>
          <w:iCs/>
          <w:lang w:val="en-GB"/>
        </w:rPr>
      </w:pPr>
      <w:r w:rsidRPr="00040C6B">
        <w:rPr>
          <w:rFonts w:ascii="Times New Roman" w:hAnsi="Times New Roman" w:cs="Times New Roman"/>
          <w:b/>
          <w:bCs/>
          <w:iCs/>
          <w:lang w:val="en-GB"/>
        </w:rPr>
        <w:lastRenderedPageBreak/>
        <w:t>Study Objective</w:t>
      </w:r>
    </w:p>
    <w:p w14:paraId="43C5FBC0" w14:textId="5B4D4BA3" w:rsidR="00A56242" w:rsidRPr="00040C6B" w:rsidRDefault="00A56242" w:rsidP="002C14A6">
      <w:pPr>
        <w:spacing w:after="0" w:line="360" w:lineRule="auto"/>
        <w:jc w:val="both"/>
        <w:rPr>
          <w:rFonts w:ascii="Times New Roman" w:hAnsi="Times New Roman" w:cs="Times New Roman"/>
          <w:noProof/>
        </w:rPr>
      </w:pPr>
      <w:r w:rsidRPr="00040C6B">
        <w:rPr>
          <w:rFonts w:ascii="Times New Roman" w:hAnsi="Times New Roman" w:cs="Times New Roman"/>
          <w:noProof/>
        </w:rPr>
        <w:t xml:space="preserve">The study objective was to identify challenges that hinder Marketeers participation in </w:t>
      </w:r>
      <w:r w:rsidR="00B51443" w:rsidRPr="00040C6B">
        <w:rPr>
          <w:rFonts w:ascii="Times New Roman" w:hAnsi="Times New Roman" w:cs="Times New Roman"/>
          <w:noProof/>
        </w:rPr>
        <w:t xml:space="preserve">the </w:t>
      </w:r>
      <w:r w:rsidRPr="00040C6B">
        <w:rPr>
          <w:rFonts w:ascii="Times New Roman" w:hAnsi="Times New Roman" w:cs="Times New Roman"/>
          <w:noProof/>
        </w:rPr>
        <w:t>National Health Insurance Management Authority (NHIMA)</w:t>
      </w:r>
      <w:r w:rsidR="006547D9" w:rsidRPr="00040C6B">
        <w:rPr>
          <w:rFonts w:ascii="Times New Roman" w:hAnsi="Times New Roman" w:cs="Times New Roman"/>
          <w:noProof/>
        </w:rPr>
        <w:t xml:space="preserve"> in Kabwe District.</w:t>
      </w:r>
    </w:p>
    <w:p w14:paraId="1D57D14A" w14:textId="77777777" w:rsidR="00A56242" w:rsidRPr="00040C6B" w:rsidRDefault="00A56242" w:rsidP="002C14A6">
      <w:pPr>
        <w:spacing w:after="0" w:line="360" w:lineRule="auto"/>
        <w:jc w:val="both"/>
        <w:rPr>
          <w:rFonts w:ascii="Times New Roman" w:hAnsi="Times New Roman" w:cs="Times New Roman"/>
          <w:noProof/>
        </w:rPr>
      </w:pPr>
    </w:p>
    <w:p w14:paraId="39C85250" w14:textId="77777777" w:rsidR="00A56242" w:rsidRPr="00040C6B" w:rsidRDefault="00A56242" w:rsidP="002C14A6">
      <w:pPr>
        <w:spacing w:after="0" w:line="360" w:lineRule="auto"/>
        <w:jc w:val="both"/>
        <w:rPr>
          <w:rFonts w:ascii="Times New Roman" w:hAnsi="Times New Roman" w:cs="Times New Roman"/>
          <w:b/>
          <w:bCs/>
          <w:noProof/>
        </w:rPr>
      </w:pPr>
      <w:r w:rsidRPr="00040C6B">
        <w:rPr>
          <w:rFonts w:ascii="Times New Roman" w:hAnsi="Times New Roman" w:cs="Times New Roman"/>
          <w:b/>
          <w:bCs/>
          <w:noProof/>
        </w:rPr>
        <w:t>Methods</w:t>
      </w:r>
    </w:p>
    <w:p w14:paraId="22F41374" w14:textId="1623BA61" w:rsidR="00A56242" w:rsidRPr="00040C6B" w:rsidRDefault="00A56242" w:rsidP="002C14A6">
      <w:pPr>
        <w:spacing w:after="0" w:line="360" w:lineRule="auto"/>
        <w:jc w:val="both"/>
        <w:rPr>
          <w:rFonts w:ascii="Times New Roman" w:hAnsi="Times New Roman" w:cs="Times New Roman"/>
          <w:noProof/>
        </w:rPr>
      </w:pPr>
      <w:r w:rsidRPr="00040C6B">
        <w:rPr>
          <w:rFonts w:ascii="Times New Roman" w:eastAsia="Times New Roman" w:hAnsi="Times New Roman" w:cs="Times New Roman"/>
        </w:rPr>
        <w:t xml:space="preserve">Guided by Andersen's </w:t>
      </w:r>
      <w:r w:rsidR="00B51443" w:rsidRPr="00040C6B">
        <w:rPr>
          <w:rFonts w:ascii="Times New Roman" w:eastAsia="Times New Roman" w:hAnsi="Times New Roman" w:cs="Times New Roman"/>
        </w:rPr>
        <w:t>Behavioral</w:t>
      </w:r>
      <w:r w:rsidRPr="00040C6B">
        <w:rPr>
          <w:rFonts w:ascii="Times New Roman" w:eastAsia="Times New Roman" w:hAnsi="Times New Roman" w:cs="Times New Roman"/>
        </w:rPr>
        <w:t xml:space="preserve"> Model of Health Services Use and the Health Belief Model (HBM).</w:t>
      </w:r>
      <w:r w:rsidRPr="00040C6B">
        <w:rPr>
          <w:rFonts w:ascii="Times New Roman" w:hAnsi="Times New Roman" w:cs="Times New Roman"/>
          <w:noProof/>
        </w:rPr>
        <w:t xml:space="preserve"> A concurrent mixed-methods cross-sectional study was conducted among marketeers operating in Green Market, Railway Market</w:t>
      </w:r>
      <w:r w:rsidR="00B51443" w:rsidRPr="00040C6B">
        <w:rPr>
          <w:rFonts w:ascii="Times New Roman" w:hAnsi="Times New Roman" w:cs="Times New Roman"/>
          <w:noProof/>
        </w:rPr>
        <w:t>,</w:t>
      </w:r>
      <w:r w:rsidRPr="00040C6B">
        <w:rPr>
          <w:rFonts w:ascii="Times New Roman" w:hAnsi="Times New Roman" w:cs="Times New Roman"/>
          <w:noProof/>
        </w:rPr>
        <w:t xml:space="preserve"> and New Market in Kabwe District. Quantitative data were collected from 159 respondents selected using multistage sampling</w:t>
      </w:r>
      <w:r w:rsidR="007F67F3" w:rsidRPr="00040C6B">
        <w:rPr>
          <w:rFonts w:ascii="Times New Roman" w:hAnsi="Times New Roman" w:cs="Times New Roman"/>
          <w:noProof/>
        </w:rPr>
        <w:t>. In contrast, qualitative data were obtained through ten key informant interviews and three focus group discussions. Quantitative data were analyzed using SPSS</w:t>
      </w:r>
      <w:r w:rsidR="00B51443" w:rsidRPr="00040C6B">
        <w:rPr>
          <w:rFonts w:ascii="Times New Roman" w:hAnsi="Times New Roman" w:cs="Times New Roman"/>
          <w:noProof/>
        </w:rPr>
        <w:t xml:space="preserve">, employing descriptive and </w:t>
      </w:r>
      <w:r w:rsidR="007F67F3" w:rsidRPr="00040C6B">
        <w:rPr>
          <w:rFonts w:ascii="Times New Roman" w:hAnsi="Times New Roman" w:cs="Times New Roman"/>
          <w:noProof/>
        </w:rPr>
        <w:t>inferential statistics. In contrast, qualitative</w:t>
      </w:r>
      <w:r w:rsidRPr="00040C6B">
        <w:rPr>
          <w:rFonts w:ascii="Times New Roman" w:hAnsi="Times New Roman" w:cs="Times New Roman"/>
          <w:noProof/>
        </w:rPr>
        <w:t xml:space="preserve"> data were analysed using thematic analysis. </w:t>
      </w:r>
    </w:p>
    <w:p w14:paraId="6B6B756A" w14:textId="77777777" w:rsidR="00F3463A" w:rsidRPr="00040C6B" w:rsidRDefault="00F3463A" w:rsidP="002C14A6">
      <w:pPr>
        <w:spacing w:after="0" w:line="360" w:lineRule="auto"/>
        <w:jc w:val="both"/>
        <w:rPr>
          <w:rFonts w:ascii="Times New Roman" w:hAnsi="Times New Roman" w:cs="Times New Roman"/>
          <w:b/>
          <w:bCs/>
          <w:noProof/>
        </w:rPr>
      </w:pPr>
    </w:p>
    <w:p w14:paraId="31ECFD2A" w14:textId="7D7C328D" w:rsidR="00F3463A" w:rsidRPr="00040C6B" w:rsidRDefault="00F3463A" w:rsidP="002C14A6">
      <w:pPr>
        <w:spacing w:after="0" w:line="360" w:lineRule="auto"/>
        <w:jc w:val="both"/>
        <w:rPr>
          <w:rFonts w:ascii="Times New Roman" w:hAnsi="Times New Roman" w:cs="Times New Roman"/>
          <w:b/>
          <w:bCs/>
          <w:noProof/>
        </w:rPr>
      </w:pPr>
      <w:r w:rsidRPr="00040C6B">
        <w:rPr>
          <w:rFonts w:ascii="Times New Roman" w:hAnsi="Times New Roman" w:cs="Times New Roman"/>
          <w:b/>
          <w:bCs/>
          <w:noProof/>
        </w:rPr>
        <w:t>Results</w:t>
      </w:r>
    </w:p>
    <w:p w14:paraId="173B0815" w14:textId="112D51F1" w:rsidR="00B51443" w:rsidRPr="00040C6B" w:rsidRDefault="00F3463A" w:rsidP="002C14A6">
      <w:pPr>
        <w:spacing w:after="100" w:afterAutospacing="1" w:line="360" w:lineRule="auto"/>
        <w:jc w:val="both"/>
        <w:outlineLvl w:val="2"/>
        <w:rPr>
          <w:rFonts w:ascii="Times New Roman" w:eastAsia="Times New Roman" w:hAnsi="Times New Roman" w:cs="Times New Roman"/>
          <w:b/>
          <w:bCs/>
          <w:kern w:val="0"/>
          <w14:ligatures w14:val="none"/>
        </w:rPr>
      </w:pPr>
      <w:r w:rsidRPr="00040C6B">
        <w:rPr>
          <w:rFonts w:ascii="Times New Roman" w:eastAsia="Times New Roman" w:hAnsi="Times New Roman" w:cs="Times New Roman"/>
          <w:kern w:val="0"/>
          <w14:ligatures w14:val="none"/>
        </w:rPr>
        <w:t xml:space="preserve">The study found that several connected challenges limited participation in NHIMA among marketeers. The main barriers were irregular income, </w:t>
      </w:r>
      <w:r w:rsidR="007F67F3" w:rsidRPr="00040C6B">
        <w:rPr>
          <w:rFonts w:ascii="Times New Roman" w:eastAsia="Times New Roman" w:hAnsi="Times New Roman" w:cs="Times New Roman"/>
          <w:kern w:val="0"/>
          <w14:ligatures w14:val="none"/>
        </w:rPr>
        <w:t>inability to afford monthly payments, low awareness of NHIMA procedures and benefits, complicated registration, limited access to registration services, and concerns</w:t>
      </w:r>
      <w:r w:rsidRPr="00040C6B">
        <w:rPr>
          <w:rFonts w:ascii="Times New Roman" w:eastAsia="Times New Roman" w:hAnsi="Times New Roman" w:cs="Times New Roman"/>
          <w:kern w:val="0"/>
          <w14:ligatures w14:val="none"/>
        </w:rPr>
        <w:t xml:space="preserve"> about healthcare quality. Qualitative results supported these findings, as participants said the current contribution model does not fit well with the realities of informal work.</w:t>
      </w:r>
      <w:r w:rsidR="00B51443" w:rsidRPr="00040C6B">
        <w:rPr>
          <w:rFonts w:ascii="Times New Roman" w:eastAsia="Times New Roman" w:hAnsi="Times New Roman" w:cs="Times New Roman"/>
          <w:b/>
          <w:bCs/>
          <w:kern w:val="0"/>
          <w14:ligatures w14:val="none"/>
        </w:rPr>
        <w:t xml:space="preserve"> </w:t>
      </w:r>
    </w:p>
    <w:p w14:paraId="7175F3CD" w14:textId="54B3F7EC" w:rsidR="00B51443" w:rsidRPr="00040C6B" w:rsidRDefault="00B51443" w:rsidP="002C14A6">
      <w:pPr>
        <w:spacing w:after="0" w:line="360" w:lineRule="auto"/>
        <w:jc w:val="both"/>
        <w:outlineLvl w:val="2"/>
        <w:rPr>
          <w:rFonts w:ascii="Times New Roman" w:eastAsia="Times New Roman" w:hAnsi="Times New Roman" w:cs="Times New Roman"/>
          <w:b/>
          <w:bCs/>
          <w:kern w:val="0"/>
          <w14:ligatures w14:val="none"/>
        </w:rPr>
      </w:pPr>
      <w:r w:rsidRPr="00040C6B">
        <w:rPr>
          <w:rFonts w:ascii="Times New Roman" w:eastAsia="Times New Roman" w:hAnsi="Times New Roman" w:cs="Times New Roman"/>
          <w:b/>
          <w:bCs/>
          <w:kern w:val="0"/>
          <w14:ligatures w14:val="none"/>
        </w:rPr>
        <w:t>Conclusion</w:t>
      </w:r>
    </w:p>
    <w:p w14:paraId="165858E8" w14:textId="49D48194" w:rsidR="00C018C8" w:rsidRDefault="00B51443" w:rsidP="002C14A6">
      <w:pPr>
        <w:spacing w:after="0" w:line="360" w:lineRule="auto"/>
        <w:jc w:val="both"/>
        <w:rPr>
          <w:rFonts w:ascii="Times New Roman" w:eastAsia="Times New Roman" w:hAnsi="Times New Roman" w:cs="Times New Roman"/>
          <w:kern w:val="0"/>
          <w14:ligatures w14:val="none"/>
        </w:rPr>
      </w:pPr>
      <w:r w:rsidRPr="00040C6B">
        <w:rPr>
          <w:rFonts w:ascii="Times New Roman" w:eastAsia="Times New Roman" w:hAnsi="Times New Roman" w:cs="Times New Roman"/>
          <w:kern w:val="0"/>
          <w14:ligatures w14:val="none"/>
        </w:rPr>
        <w:t>Participation in NHIMA among informal sector workers is shaped by economic, institutional, and behavioral factors. Improving enrolment will require flexible contribution mechanisms, simplified registration procedures, sustained community engagement, and strengthened confidence in the scheme. These findings provide evidence for policymakers seeking to improve inclusion in the informal sector and accelerate progress toward Universal Health Coverage in Zambia.</w:t>
      </w:r>
    </w:p>
    <w:p w14:paraId="576DE428" w14:textId="77777777" w:rsidR="002C14A6" w:rsidRPr="00040C6B" w:rsidRDefault="002C14A6" w:rsidP="002C14A6">
      <w:pPr>
        <w:spacing w:after="0" w:line="360" w:lineRule="auto"/>
        <w:jc w:val="both"/>
        <w:rPr>
          <w:rFonts w:ascii="Times New Roman" w:eastAsia="Times New Roman" w:hAnsi="Times New Roman" w:cs="Times New Roman"/>
          <w:kern w:val="0"/>
          <w14:ligatures w14:val="none"/>
        </w:rPr>
      </w:pPr>
    </w:p>
    <w:p w14:paraId="1B018491" w14:textId="04DC791C" w:rsidR="00C018C8" w:rsidRPr="00040C6B" w:rsidRDefault="00C018C8" w:rsidP="002C14A6">
      <w:pPr>
        <w:spacing w:after="0" w:line="360" w:lineRule="auto"/>
        <w:jc w:val="both"/>
        <w:rPr>
          <w:rFonts w:ascii="Times New Roman" w:eastAsia="Times New Roman" w:hAnsi="Times New Roman" w:cs="Times New Roman"/>
          <w:i/>
          <w:iCs/>
        </w:rPr>
      </w:pPr>
      <w:r w:rsidRPr="00040C6B">
        <w:rPr>
          <w:rFonts w:ascii="Times New Roman" w:eastAsia="Times New Roman" w:hAnsi="Times New Roman" w:cs="Times New Roman"/>
          <w:b/>
          <w:bCs/>
        </w:rPr>
        <w:t>Keywords:</w:t>
      </w:r>
      <w:r w:rsidR="00DD314C" w:rsidRPr="00040C6B">
        <w:rPr>
          <w:rFonts w:ascii="Times New Roman" w:eastAsia="Times New Roman" w:hAnsi="Times New Roman" w:cs="Times New Roman"/>
          <w:b/>
          <w:bCs/>
        </w:rPr>
        <w:t xml:space="preserve"> </w:t>
      </w:r>
      <w:r w:rsidR="00DD314C" w:rsidRPr="00040C6B">
        <w:rPr>
          <w:rFonts w:ascii="Times New Roman" w:eastAsia="Times New Roman" w:hAnsi="Times New Roman" w:cs="Times New Roman"/>
          <w:i/>
          <w:iCs/>
        </w:rPr>
        <w:t>Challenges,</w:t>
      </w:r>
      <w:r w:rsidR="00B51443" w:rsidRPr="00040C6B">
        <w:rPr>
          <w:rFonts w:ascii="Times New Roman" w:eastAsia="Times New Roman" w:hAnsi="Times New Roman" w:cs="Times New Roman"/>
          <w:i/>
          <w:iCs/>
        </w:rPr>
        <w:t xml:space="preserve"> </w:t>
      </w:r>
      <w:r w:rsidR="00DD314C" w:rsidRPr="00040C6B">
        <w:rPr>
          <w:rFonts w:ascii="Times New Roman" w:eastAsia="Times New Roman" w:hAnsi="Times New Roman" w:cs="Times New Roman"/>
          <w:i/>
          <w:iCs/>
        </w:rPr>
        <w:t>Markete</w:t>
      </w:r>
      <w:r w:rsidR="00B51443" w:rsidRPr="00040C6B">
        <w:rPr>
          <w:rFonts w:ascii="Times New Roman" w:eastAsia="Times New Roman" w:hAnsi="Times New Roman" w:cs="Times New Roman"/>
          <w:i/>
          <w:iCs/>
        </w:rPr>
        <w:t>e</w:t>
      </w:r>
      <w:r w:rsidR="00DD314C" w:rsidRPr="00040C6B">
        <w:rPr>
          <w:rFonts w:ascii="Times New Roman" w:eastAsia="Times New Roman" w:hAnsi="Times New Roman" w:cs="Times New Roman"/>
          <w:i/>
          <w:iCs/>
        </w:rPr>
        <w:t>rs</w:t>
      </w:r>
      <w:r w:rsidR="00B51443" w:rsidRPr="00040C6B">
        <w:rPr>
          <w:rFonts w:ascii="Times New Roman" w:eastAsia="Times New Roman" w:hAnsi="Times New Roman" w:cs="Times New Roman"/>
          <w:i/>
          <w:iCs/>
        </w:rPr>
        <w:t xml:space="preserve">, </w:t>
      </w:r>
      <w:r w:rsidR="00DD314C" w:rsidRPr="00040C6B">
        <w:rPr>
          <w:rFonts w:ascii="Times New Roman" w:eastAsia="Times New Roman" w:hAnsi="Times New Roman" w:cs="Times New Roman"/>
          <w:i/>
          <w:iCs/>
        </w:rPr>
        <w:t>Participation,</w:t>
      </w:r>
      <w:r w:rsidR="00B51443" w:rsidRPr="00040C6B">
        <w:rPr>
          <w:rFonts w:ascii="Times New Roman" w:eastAsia="Times New Roman" w:hAnsi="Times New Roman" w:cs="Times New Roman"/>
          <w:i/>
          <w:iCs/>
        </w:rPr>
        <w:t xml:space="preserve"> </w:t>
      </w:r>
      <w:r w:rsidRPr="00040C6B">
        <w:rPr>
          <w:rFonts w:ascii="Times New Roman" w:eastAsia="Times New Roman" w:hAnsi="Times New Roman" w:cs="Times New Roman"/>
          <w:i/>
          <w:iCs/>
        </w:rPr>
        <w:t>Informal Sector Workers, National Health Insurance</w:t>
      </w:r>
      <w:r w:rsidR="00B51443" w:rsidRPr="00040C6B">
        <w:rPr>
          <w:rFonts w:ascii="Times New Roman" w:eastAsia="Times New Roman" w:hAnsi="Times New Roman" w:cs="Times New Roman"/>
          <w:i/>
          <w:iCs/>
        </w:rPr>
        <w:t>, Universal Health Coverage, Zambia</w:t>
      </w:r>
    </w:p>
    <w:p w14:paraId="70EC69CC" w14:textId="77777777" w:rsidR="00C018C8" w:rsidRPr="00040C6B" w:rsidRDefault="00C018C8" w:rsidP="002C14A6">
      <w:pPr>
        <w:spacing w:after="0" w:line="240" w:lineRule="auto"/>
        <w:ind w:left="14"/>
        <w:jc w:val="both"/>
        <w:rPr>
          <w:rFonts w:ascii="Times New Roman" w:hAnsi="Times New Roman" w:cs="Times New Roman"/>
          <w:lang w:val="en-GB"/>
        </w:rPr>
      </w:pPr>
    </w:p>
    <w:p w14:paraId="5251C5F9" w14:textId="77777777" w:rsidR="00B51443" w:rsidRPr="008C4E70" w:rsidRDefault="00C018C8" w:rsidP="002838A3">
      <w:pPr>
        <w:keepNext/>
        <w:keepLines/>
        <w:numPr>
          <w:ilvl w:val="0"/>
          <w:numId w:val="4"/>
        </w:numPr>
        <w:spacing w:after="0" w:line="360" w:lineRule="auto"/>
        <w:jc w:val="both"/>
        <w:outlineLvl w:val="0"/>
        <w:rPr>
          <w:rFonts w:ascii="Times New Roman" w:eastAsiaTheme="majorEastAsia" w:hAnsi="Times New Roman" w:cs="Times New Roman"/>
          <w:b/>
          <w:bCs/>
          <w:lang w:val="en-GB"/>
        </w:rPr>
      </w:pPr>
      <w:bookmarkStart w:id="0" w:name="_Toc215132389"/>
      <w:r w:rsidRPr="008C4E70">
        <w:rPr>
          <w:rFonts w:ascii="Times New Roman" w:eastAsiaTheme="majorEastAsia" w:hAnsi="Times New Roman" w:cs="Times New Roman"/>
          <w:b/>
          <w:bCs/>
          <w:lang w:val="en-GB"/>
        </w:rPr>
        <w:lastRenderedPageBreak/>
        <w:t>Introduction</w:t>
      </w:r>
      <w:bookmarkEnd w:id="0"/>
    </w:p>
    <w:p w14:paraId="309059BF" w14:textId="77777777" w:rsidR="004E0647" w:rsidRPr="008C4E70" w:rsidRDefault="004E0647" w:rsidP="002838A3">
      <w:pPr>
        <w:keepNext/>
        <w:keepLines/>
        <w:spacing w:after="0" w:line="360" w:lineRule="auto"/>
        <w:ind w:left="10"/>
        <w:jc w:val="both"/>
        <w:outlineLvl w:val="0"/>
        <w:rPr>
          <w:rFonts w:ascii="Times New Roman" w:eastAsiaTheme="majorEastAsia" w:hAnsi="Times New Roman" w:cs="Times New Roman"/>
          <w:b/>
          <w:bCs/>
          <w:lang w:val="en-GB"/>
        </w:rPr>
      </w:pPr>
    </w:p>
    <w:p w14:paraId="2447672C" w14:textId="02CA93AF" w:rsidR="00C018C8" w:rsidRPr="008C4E70" w:rsidRDefault="00B51443" w:rsidP="002838A3">
      <w:pPr>
        <w:keepNext/>
        <w:keepLines/>
        <w:spacing w:line="360" w:lineRule="auto"/>
        <w:ind w:left="10"/>
        <w:jc w:val="both"/>
        <w:outlineLvl w:val="0"/>
        <w:rPr>
          <w:rFonts w:ascii="Times New Roman" w:eastAsiaTheme="majorEastAsia" w:hAnsi="Times New Roman" w:cs="Times New Roman"/>
          <w:b/>
          <w:bCs/>
          <w:lang w:val="en-GB"/>
        </w:rPr>
      </w:pPr>
      <w:r w:rsidRPr="008C4E70">
        <w:rPr>
          <w:rFonts w:ascii="Times New Roman" w:eastAsiaTheme="majorEastAsia" w:hAnsi="Times New Roman" w:cs="Times New Roman"/>
          <w:b/>
          <w:bCs/>
          <w:lang w:val="en-GB"/>
        </w:rPr>
        <w:t>Background</w:t>
      </w:r>
      <w:r w:rsidR="00C018C8" w:rsidRPr="008C4E70">
        <w:rPr>
          <w:rFonts w:ascii="Times New Roman" w:eastAsiaTheme="majorEastAsia" w:hAnsi="Times New Roman" w:cs="Times New Roman"/>
          <w:b/>
          <w:bCs/>
          <w:lang w:val="en-GB"/>
        </w:rPr>
        <w:t xml:space="preserve"> </w:t>
      </w:r>
    </w:p>
    <w:p w14:paraId="15B6B8E4" w14:textId="155F70CB" w:rsidR="00C018C8" w:rsidRPr="008C4E70" w:rsidRDefault="00C018C8" w:rsidP="002838A3">
      <w:pPr>
        <w:spacing w:line="360" w:lineRule="auto"/>
        <w:jc w:val="both"/>
        <w:rPr>
          <w:rFonts w:ascii="Times New Roman" w:hAnsi="Times New Roman" w:cs="Times New Roman"/>
          <w:lang w:val="en-GB"/>
        </w:rPr>
      </w:pPr>
      <w:r w:rsidRPr="008C4E70">
        <w:rPr>
          <w:rFonts w:ascii="Times New Roman" w:hAnsi="Times New Roman" w:cs="Times New Roman"/>
          <w:lang w:val="en-GB"/>
        </w:rPr>
        <w:t xml:space="preserve">Universal Health Coverage (UHC) is now a global priority, aiming to ensure everyone can access quality healthcare without financial difficulties. Sustainable Development Goal (SDG) 3.8 highlights the importance of financial protection and fair access to healthcare through mechanisms such as social health insurance (United Nations, 2015). The World Health Organization (WHO, 2023) reports that countries </w:t>
      </w:r>
      <w:r w:rsidR="007F67F3" w:rsidRPr="008C4E70">
        <w:rPr>
          <w:rFonts w:ascii="Times New Roman" w:hAnsi="Times New Roman" w:cs="Times New Roman"/>
          <w:lang w:val="en-GB"/>
        </w:rPr>
        <w:t>that have expanded health insurance have reduced</w:t>
      </w:r>
      <w:r w:rsidRPr="008C4E70">
        <w:rPr>
          <w:rFonts w:ascii="Times New Roman" w:hAnsi="Times New Roman" w:cs="Times New Roman"/>
          <w:lang w:val="en-GB"/>
        </w:rPr>
        <w:t xml:space="preserve"> catastrophic health costs and improved healthcare use among vulnerable groups.</w:t>
      </w:r>
    </w:p>
    <w:p w14:paraId="1DDFC990" w14:textId="2CCABCF6" w:rsidR="00C018C8" w:rsidRPr="008C4E70" w:rsidRDefault="00C018C8" w:rsidP="002838A3">
      <w:pPr>
        <w:spacing w:after="0" w:line="360" w:lineRule="auto"/>
        <w:jc w:val="both"/>
        <w:rPr>
          <w:rFonts w:ascii="Times New Roman" w:hAnsi="Times New Roman" w:cs="Times New Roman"/>
          <w:lang w:val="en-GB"/>
        </w:rPr>
      </w:pPr>
      <w:r w:rsidRPr="008C4E70">
        <w:rPr>
          <w:rFonts w:ascii="Times New Roman" w:hAnsi="Times New Roman" w:cs="Times New Roman"/>
          <w:lang w:val="en-GB"/>
        </w:rPr>
        <w:t xml:space="preserve">In many low- and middle-income countries, extending health insurance coverage to informal-sector workers remains difficult. The </w:t>
      </w:r>
      <w:r w:rsidR="007F67F3" w:rsidRPr="008C4E70">
        <w:rPr>
          <w:rFonts w:ascii="Times New Roman" w:hAnsi="Times New Roman" w:cs="Times New Roman"/>
          <w:lang w:val="en-GB"/>
        </w:rPr>
        <w:t>International Labor Organization (</w:t>
      </w:r>
      <w:r w:rsidRPr="008C4E70">
        <w:rPr>
          <w:rFonts w:ascii="Times New Roman" w:hAnsi="Times New Roman" w:cs="Times New Roman"/>
          <w:lang w:val="en-GB"/>
        </w:rPr>
        <w:t>2021) reports that informal workers make up over 60% of the global workforce and are often excluded from formal social protection. The ILO also notes that these workers are very vulnerable to financial problems from illness because they usually lack health insurance and rely on irregular income. Research in Ghana, Kenya, and Rwanda shows that informal workers’ enrolment in national health insurance depends on their awareness, ability to afford premiums, perceptions of service quality, and trust in the institutions that run the schemes (Agyepong et al., 2016; Chemouni, 2018).</w:t>
      </w:r>
    </w:p>
    <w:p w14:paraId="277D5F01" w14:textId="77777777" w:rsidR="002C695B" w:rsidRPr="008C4E70" w:rsidRDefault="00C018C8" w:rsidP="002838A3">
      <w:pPr>
        <w:spacing w:line="360" w:lineRule="auto"/>
        <w:jc w:val="both"/>
        <w:rPr>
          <w:rFonts w:ascii="Times New Roman" w:eastAsia="Times New Roman" w:hAnsi="Times New Roman" w:cs="Times New Roman"/>
          <w:kern w:val="0"/>
          <w14:ligatures w14:val="none"/>
        </w:rPr>
      </w:pPr>
      <w:r w:rsidRPr="008C4E70">
        <w:rPr>
          <w:rFonts w:ascii="Times New Roman" w:hAnsi="Times New Roman" w:cs="Times New Roman"/>
          <w:lang w:val="en-GB"/>
        </w:rPr>
        <w:t xml:space="preserve">In Zambia, the National Health Insurance Scheme (NHIS) was established under the National Health Insurance Act No. 2 of 2018 and is managed by the National Health Insurance Management Authority (NHIMA). The scheme aims to improve access to healthcare and reduce out-of-pocket payments. However, few informal-sector workers have been included so far. The Zambia Statistics Agency </w:t>
      </w:r>
      <w:r w:rsidR="0012393B" w:rsidRPr="008C4E70">
        <w:rPr>
          <w:rFonts w:ascii="Times New Roman" w:hAnsi="Times New Roman" w:cs="Times New Roman"/>
          <w:lang w:val="en-GB"/>
        </w:rPr>
        <w:t>(</w:t>
      </w:r>
      <w:r w:rsidRPr="008C4E70">
        <w:rPr>
          <w:rFonts w:ascii="Times New Roman" w:hAnsi="Times New Roman" w:cs="Times New Roman"/>
          <w:lang w:val="en-GB"/>
        </w:rPr>
        <w:t>2022) estimates that over 70% of employed Zambians work in the informal sector, underscoring its importance to NHIMA’s long-term success. Still, NHIMA reports show that enrolment among informal workers is much lower than among formal employees, whose contributions are taken directly from their pay (National Health Insurance Management Authority Annual Report, 2023).</w:t>
      </w:r>
      <w:r w:rsidR="002C695B" w:rsidRPr="008C4E70">
        <w:rPr>
          <w:rFonts w:ascii="Times New Roman" w:eastAsia="Times New Roman" w:hAnsi="Times New Roman" w:cs="Times New Roman"/>
          <w:kern w:val="0"/>
          <w14:ligatures w14:val="none"/>
        </w:rPr>
        <w:t xml:space="preserve"> </w:t>
      </w:r>
    </w:p>
    <w:p w14:paraId="3D6A50AC" w14:textId="6B80FBE0" w:rsidR="002C695B" w:rsidRPr="00DD346B" w:rsidRDefault="002C695B" w:rsidP="002838A3">
      <w:pPr>
        <w:spacing w:line="360" w:lineRule="auto"/>
        <w:jc w:val="both"/>
        <w:rPr>
          <w:rFonts w:ascii="Times New Roman" w:eastAsia="Times New Roman" w:hAnsi="Times New Roman" w:cs="Times New Roman"/>
          <w:kern w:val="0"/>
          <w:sz w:val="22"/>
          <w:szCs w:val="22"/>
          <w14:ligatures w14:val="none"/>
        </w:rPr>
      </w:pPr>
      <w:r w:rsidRPr="008C4E70">
        <w:rPr>
          <w:rFonts w:ascii="Times New Roman" w:eastAsia="Times New Roman" w:hAnsi="Times New Roman" w:cs="Times New Roman"/>
          <w:kern w:val="0"/>
          <w14:ligatures w14:val="none"/>
        </w:rPr>
        <w:t xml:space="preserve">NHIMA is an important step forward in Zambia's health financing reforms, but enrolment among informal workers is still lower than expected. Studies show that factors such as affordability, awareness, administrative barriers, and perceptions of healthcare quality can affect participation. However, there is little research on these barriers at the district level, </w:t>
      </w:r>
      <w:r w:rsidRPr="008C4E70">
        <w:rPr>
          <w:rFonts w:ascii="Times New Roman" w:eastAsia="Times New Roman" w:hAnsi="Times New Roman" w:cs="Times New Roman"/>
          <w:kern w:val="0"/>
          <w14:ligatures w14:val="none"/>
        </w:rPr>
        <w:lastRenderedPageBreak/>
        <w:t xml:space="preserve">especially for marketeers, who are </w:t>
      </w:r>
      <w:r w:rsidR="00DD346B" w:rsidRPr="008C4E70">
        <w:rPr>
          <w:rFonts w:ascii="Times New Roman" w:eastAsia="Times New Roman" w:hAnsi="Times New Roman" w:cs="Times New Roman"/>
          <w:kern w:val="0"/>
          <w14:ligatures w14:val="none"/>
        </w:rPr>
        <w:t>among</w:t>
      </w:r>
      <w:r w:rsidRPr="008C4E70">
        <w:rPr>
          <w:rFonts w:ascii="Times New Roman" w:eastAsia="Times New Roman" w:hAnsi="Times New Roman" w:cs="Times New Roman"/>
          <w:kern w:val="0"/>
          <w14:ligatures w14:val="none"/>
        </w:rPr>
        <w:t xml:space="preserve"> the largest organized groups in Zambia's informal economy</w:t>
      </w:r>
      <w:r w:rsidRPr="00DD346B">
        <w:rPr>
          <w:rFonts w:ascii="Times New Roman" w:eastAsia="Times New Roman" w:hAnsi="Times New Roman" w:cs="Times New Roman"/>
          <w:kern w:val="0"/>
          <w:sz w:val="22"/>
          <w:szCs w:val="22"/>
          <w14:ligatures w14:val="none"/>
        </w:rPr>
        <w:t>.</w:t>
      </w:r>
    </w:p>
    <w:p w14:paraId="6042F51E" w14:textId="4105E86B" w:rsidR="002C695B" w:rsidRPr="00A34133" w:rsidRDefault="002C695B" w:rsidP="002838A3">
      <w:pPr>
        <w:spacing w:after="0" w:line="360" w:lineRule="auto"/>
        <w:jc w:val="both"/>
        <w:rPr>
          <w:rFonts w:ascii="Times New Roman" w:eastAsia="Times New Roman" w:hAnsi="Times New Roman" w:cs="Times New Roman"/>
          <w:kern w:val="0"/>
          <w:sz w:val="22"/>
          <w:szCs w:val="22"/>
          <w14:ligatures w14:val="none"/>
        </w:rPr>
      </w:pPr>
      <w:r w:rsidRPr="00DD346B">
        <w:rPr>
          <w:rFonts w:ascii="Times New Roman" w:eastAsia="Times New Roman" w:hAnsi="Times New Roman" w:cs="Times New Roman"/>
          <w:kern w:val="0"/>
          <w:sz w:val="22"/>
          <w:szCs w:val="22"/>
          <w14:ligatures w14:val="none"/>
        </w:rPr>
        <w:t xml:space="preserve">It is important to understand these challenges because expanding NHIMA among informal workers is key to Zambia reaching Universal Health Coverage. This study </w:t>
      </w:r>
      <w:r w:rsidR="00A34133">
        <w:rPr>
          <w:rFonts w:ascii="Times New Roman" w:eastAsia="Times New Roman" w:hAnsi="Times New Roman" w:cs="Times New Roman"/>
          <w:kern w:val="0"/>
          <w:sz w:val="22"/>
          <w:szCs w:val="22"/>
          <w14:ligatures w14:val="none"/>
        </w:rPr>
        <w:t>examined the factors that affect marketeers'</w:t>
      </w:r>
      <w:r w:rsidRPr="00DD346B">
        <w:rPr>
          <w:rFonts w:ascii="Times New Roman" w:eastAsia="Times New Roman" w:hAnsi="Times New Roman" w:cs="Times New Roman"/>
          <w:kern w:val="0"/>
          <w:sz w:val="22"/>
          <w:szCs w:val="22"/>
          <w14:ligatures w14:val="none"/>
        </w:rPr>
        <w:t xml:space="preserve"> participation in NHIMA in Kabwe District.</w:t>
      </w:r>
    </w:p>
    <w:p w14:paraId="5446BED2" w14:textId="77777777" w:rsidR="002C695B" w:rsidRPr="00DD346B" w:rsidRDefault="002C695B" w:rsidP="002838A3">
      <w:pPr>
        <w:spacing w:after="0" w:line="360" w:lineRule="auto"/>
        <w:jc w:val="both"/>
        <w:rPr>
          <w:rFonts w:ascii="Times New Roman" w:hAnsi="Times New Roman" w:cs="Times New Roman"/>
          <w:sz w:val="22"/>
          <w:szCs w:val="22"/>
          <w:lang w:val="en-GB"/>
        </w:rPr>
      </w:pPr>
    </w:p>
    <w:p w14:paraId="35E83429" w14:textId="6D11DEAE" w:rsidR="00C018C8" w:rsidRPr="002C20BD" w:rsidRDefault="00C018C8" w:rsidP="00DB77CD">
      <w:pPr>
        <w:pStyle w:val="ListParagraph"/>
        <w:numPr>
          <w:ilvl w:val="1"/>
          <w:numId w:val="4"/>
        </w:numPr>
        <w:spacing w:line="360" w:lineRule="auto"/>
        <w:ind w:left="426" w:hanging="426"/>
        <w:jc w:val="both"/>
        <w:rPr>
          <w:rFonts w:ascii="Times New Roman" w:hAnsi="Times New Roman" w:cs="Times New Roman"/>
          <w:b/>
          <w:bCs/>
          <w:lang w:val="en-GB"/>
        </w:rPr>
      </w:pPr>
      <w:r w:rsidRPr="002C20BD">
        <w:rPr>
          <w:rFonts w:ascii="Times New Roman" w:hAnsi="Times New Roman" w:cs="Times New Roman"/>
          <w:b/>
          <w:bCs/>
          <w:lang w:val="en-GB"/>
        </w:rPr>
        <w:t>Statement of the Problem</w:t>
      </w:r>
    </w:p>
    <w:p w14:paraId="482E1B55" w14:textId="1ACA601D" w:rsidR="00327CA4" w:rsidRPr="002C20BD" w:rsidRDefault="00327CA4" w:rsidP="00DB77CD">
      <w:pPr>
        <w:spacing w:line="360" w:lineRule="auto"/>
        <w:jc w:val="both"/>
        <w:rPr>
          <w:rFonts w:ascii="Times New Roman" w:hAnsi="Times New Roman" w:cs="Times New Roman"/>
          <w:lang w:val="en-GB"/>
        </w:rPr>
      </w:pPr>
      <w:r w:rsidRPr="002C20BD">
        <w:rPr>
          <w:rFonts w:ascii="Times New Roman" w:hAnsi="Times New Roman" w:cs="Times New Roman"/>
          <w:lang w:val="en-GB"/>
        </w:rPr>
        <w:t xml:space="preserve">The National Health Insurance Management Authority (NHIMA) was established to promote universal health coverage in Zambia by improving access to quality healthcare services and providing financial protection against health-related costs. Despite this objective, participation among workers in the informal sector remains a challenge, </w:t>
      </w:r>
      <w:r w:rsidR="00B51443" w:rsidRPr="002C20BD">
        <w:rPr>
          <w:rFonts w:ascii="Times New Roman" w:hAnsi="Times New Roman" w:cs="Times New Roman"/>
          <w:lang w:val="en-GB"/>
        </w:rPr>
        <w:t>even though it</w:t>
      </w:r>
      <w:r w:rsidRPr="002C20BD">
        <w:rPr>
          <w:rFonts w:ascii="Times New Roman" w:hAnsi="Times New Roman" w:cs="Times New Roman"/>
          <w:lang w:val="en-GB"/>
        </w:rPr>
        <w:t xml:space="preserve"> constitutes a significant proportion of Zambia's workforce. Achieving universal health coverage</w:t>
      </w:r>
      <w:r w:rsidR="00B51443" w:rsidRPr="002C20BD">
        <w:rPr>
          <w:rFonts w:ascii="Times New Roman" w:hAnsi="Times New Roman" w:cs="Times New Roman"/>
          <w:lang w:val="en-GB"/>
        </w:rPr>
        <w:t>, therefore,</w:t>
      </w:r>
      <w:r w:rsidRPr="002C20BD">
        <w:rPr>
          <w:rFonts w:ascii="Times New Roman" w:hAnsi="Times New Roman" w:cs="Times New Roman"/>
          <w:lang w:val="en-GB"/>
        </w:rPr>
        <w:t xml:space="preserve"> requires effective inclusion of this population.</w:t>
      </w:r>
    </w:p>
    <w:p w14:paraId="2561BFF6" w14:textId="5BE458BB" w:rsidR="00F87A8C" w:rsidRPr="002C20BD" w:rsidRDefault="00972E86" w:rsidP="002C20BD">
      <w:pPr>
        <w:spacing w:line="360" w:lineRule="auto"/>
        <w:jc w:val="both"/>
        <w:rPr>
          <w:rFonts w:ascii="Times New Roman" w:hAnsi="Times New Roman" w:cs="Times New Roman"/>
          <w:lang w:val="en-GB"/>
        </w:rPr>
      </w:pPr>
      <w:r w:rsidRPr="002C20BD">
        <w:rPr>
          <w:rFonts w:ascii="Times New Roman" w:hAnsi="Times New Roman" w:cs="Times New Roman"/>
          <w:lang w:val="en-GB"/>
        </w:rPr>
        <w:t>Previous studies have</w:t>
      </w:r>
      <w:r w:rsidR="00327CA4" w:rsidRPr="002C20BD">
        <w:rPr>
          <w:rFonts w:ascii="Times New Roman" w:hAnsi="Times New Roman" w:cs="Times New Roman"/>
          <w:lang w:val="en-GB"/>
        </w:rPr>
        <w:t xml:space="preserve"> largely focused on the legal, financial, and administrative dimensions of NHIMA</w:t>
      </w:r>
      <w:r w:rsidR="005F1FD9" w:rsidRPr="002C20BD">
        <w:rPr>
          <w:rFonts w:ascii="Times New Roman" w:hAnsi="Times New Roman" w:cs="Times New Roman"/>
          <w:lang w:val="en-GB"/>
        </w:rPr>
        <w:t>, which have identified affordability, limited awareness, administrative inefficiencies, and trust in government-run</w:t>
      </w:r>
      <w:r w:rsidR="00F87A8C" w:rsidRPr="002C20BD">
        <w:rPr>
          <w:rFonts w:ascii="Times New Roman" w:hAnsi="Times New Roman" w:cs="Times New Roman"/>
          <w:lang w:val="en-GB"/>
        </w:rPr>
        <w:t xml:space="preserve"> institutions as determinants of health insurance participation. </w:t>
      </w:r>
    </w:p>
    <w:p w14:paraId="5C7F88CB" w14:textId="77777777" w:rsidR="00411C63" w:rsidRPr="002C20BD" w:rsidRDefault="00327CA4" w:rsidP="002C20BD">
      <w:pPr>
        <w:spacing w:line="360" w:lineRule="auto"/>
        <w:jc w:val="both"/>
        <w:rPr>
          <w:rFonts w:ascii="Times New Roman" w:eastAsia="Times New Roman" w:hAnsi="Times New Roman" w:cs="Times New Roman"/>
          <w:kern w:val="0"/>
          <w14:ligatures w14:val="none"/>
        </w:rPr>
      </w:pPr>
      <w:r w:rsidRPr="002C20BD">
        <w:rPr>
          <w:rFonts w:ascii="Times New Roman" w:hAnsi="Times New Roman" w:cs="Times New Roman"/>
          <w:lang w:val="en-GB"/>
        </w:rPr>
        <w:t xml:space="preserve">While NHIMA aims to provide universal health coverage, the informal sector faces significant hurdles in accessing and participating in the scheme. Efforts to improve compliance, increase awareness, and address socio-economic barriers are crucial for ensuring equitable access to healthcare for all Zambians. Preliminary reports suggest a glaring lack of understanding of NHIMA among informal workers, with many unaware of its benefits, registration processes, and costs involved (NHIMA Annual Report, 2021). </w:t>
      </w:r>
    </w:p>
    <w:p w14:paraId="69796245" w14:textId="1E94D08F" w:rsidR="006547D9" w:rsidRPr="002C20BD" w:rsidRDefault="00411C63" w:rsidP="00EF21C3">
      <w:pPr>
        <w:spacing w:line="360" w:lineRule="auto"/>
        <w:jc w:val="both"/>
        <w:rPr>
          <w:rFonts w:ascii="Times New Roman" w:eastAsia="Times New Roman" w:hAnsi="Times New Roman" w:cs="Times New Roman"/>
          <w:kern w:val="0"/>
          <w14:ligatures w14:val="none"/>
        </w:rPr>
      </w:pPr>
      <w:r w:rsidRPr="002C20BD">
        <w:rPr>
          <w:rFonts w:ascii="Times New Roman" w:eastAsia="Times New Roman" w:hAnsi="Times New Roman" w:cs="Times New Roman"/>
          <w:kern w:val="0"/>
          <w14:ligatures w14:val="none"/>
        </w:rPr>
        <w:t>Relatively few</w:t>
      </w:r>
      <w:r w:rsidR="00F87A8C" w:rsidRPr="002C20BD">
        <w:rPr>
          <w:rFonts w:ascii="Times New Roman" w:eastAsia="Times New Roman" w:hAnsi="Times New Roman" w:cs="Times New Roman"/>
          <w:kern w:val="0"/>
          <w14:ligatures w14:val="none"/>
        </w:rPr>
        <w:t xml:space="preserve"> studies have comprehensively examined how these factors interact within the Zambian context using mixed-methods approaches. Furthermore, district-level evidence on market traders' experiences remains scarce.</w:t>
      </w:r>
      <w:r w:rsidR="00EF21C3">
        <w:rPr>
          <w:rFonts w:ascii="Times New Roman" w:eastAsia="Times New Roman" w:hAnsi="Times New Roman" w:cs="Times New Roman"/>
          <w:kern w:val="0"/>
          <w14:ligatures w14:val="none"/>
        </w:rPr>
        <w:t xml:space="preserve"> </w:t>
      </w:r>
      <w:r w:rsidR="00F87A8C" w:rsidRPr="002C20BD">
        <w:rPr>
          <w:rFonts w:ascii="Times New Roman" w:eastAsia="Times New Roman" w:hAnsi="Times New Roman" w:cs="Times New Roman"/>
          <w:kern w:val="0"/>
          <w14:ligatures w14:val="none"/>
        </w:rPr>
        <w:t xml:space="preserve">Without empirical evidence identifying the specific challenges faced by informal workers, policy interventions aimed at increasing enrolment risk being inadequately targeted. This study addresses this knowledge gap by </w:t>
      </w:r>
      <w:r w:rsidRPr="002C20BD">
        <w:rPr>
          <w:rFonts w:ascii="Times New Roman" w:eastAsia="Times New Roman" w:hAnsi="Times New Roman" w:cs="Times New Roman"/>
          <w:kern w:val="0"/>
          <w14:ligatures w14:val="none"/>
        </w:rPr>
        <w:t>examining</w:t>
      </w:r>
      <w:r w:rsidR="00F87A8C" w:rsidRPr="002C20BD">
        <w:rPr>
          <w:rFonts w:ascii="Times New Roman" w:eastAsia="Times New Roman" w:hAnsi="Times New Roman" w:cs="Times New Roman"/>
          <w:kern w:val="0"/>
          <w14:ligatures w14:val="none"/>
        </w:rPr>
        <w:t xml:space="preserve"> the challenges influencing participation among marketeers in Kabwe District.</w:t>
      </w:r>
    </w:p>
    <w:p w14:paraId="72271823" w14:textId="5F838FFE" w:rsidR="006547D9" w:rsidRPr="00EF21C3" w:rsidRDefault="00505928" w:rsidP="00EF21C3">
      <w:pPr>
        <w:spacing w:line="36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1.2 </w:t>
      </w:r>
      <w:r w:rsidR="006547D9" w:rsidRPr="00EF21C3">
        <w:rPr>
          <w:rFonts w:ascii="Times New Roman" w:eastAsia="Times New Roman" w:hAnsi="Times New Roman" w:cs="Times New Roman"/>
          <w:b/>
          <w:bCs/>
          <w:kern w:val="0"/>
          <w14:ligatures w14:val="none"/>
        </w:rPr>
        <w:t>Research Question</w:t>
      </w:r>
    </w:p>
    <w:p w14:paraId="65C19DF7" w14:textId="33EDC135" w:rsidR="00262606" w:rsidRPr="00EF21C3" w:rsidRDefault="006547D9" w:rsidP="00EF21C3">
      <w:pPr>
        <w:spacing w:line="360" w:lineRule="auto"/>
        <w:jc w:val="both"/>
        <w:rPr>
          <w:rFonts w:ascii="Times New Roman" w:eastAsia="Times New Roman" w:hAnsi="Times New Roman" w:cs="Times New Roman"/>
          <w:kern w:val="0"/>
          <w14:ligatures w14:val="none"/>
        </w:rPr>
      </w:pPr>
      <w:r w:rsidRPr="00EF21C3">
        <w:rPr>
          <w:rFonts w:ascii="Times New Roman" w:eastAsia="Times New Roman" w:hAnsi="Times New Roman" w:cs="Times New Roman"/>
          <w:kern w:val="0"/>
          <w14:ligatures w14:val="none"/>
        </w:rPr>
        <w:t>What challenges hinder marketeers from participating in the National Health Insurance Management Authority among informal sector workers in Kabwe District?</w:t>
      </w:r>
    </w:p>
    <w:p w14:paraId="2BDB7228" w14:textId="5B8D269A" w:rsidR="00327CA4" w:rsidRPr="004A74FC" w:rsidRDefault="00505928" w:rsidP="004A74FC">
      <w:pPr>
        <w:spacing w:after="0" w:line="36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 xml:space="preserve">1.3 </w:t>
      </w:r>
      <w:r w:rsidR="00262606" w:rsidRPr="004A74FC">
        <w:rPr>
          <w:rFonts w:ascii="Times New Roman" w:eastAsia="Times New Roman" w:hAnsi="Times New Roman" w:cs="Times New Roman"/>
          <w:b/>
          <w:bCs/>
          <w:kern w:val="0"/>
          <w14:ligatures w14:val="none"/>
        </w:rPr>
        <w:t xml:space="preserve">Research Hypothesis </w:t>
      </w:r>
    </w:p>
    <w:p w14:paraId="3EA76356" w14:textId="4C8434CC" w:rsidR="00262606" w:rsidRPr="004A74FC" w:rsidRDefault="00505928" w:rsidP="004A74FC">
      <w:pPr>
        <w:spacing w:before="100" w:beforeAutospacing="1"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1.3.1 </w:t>
      </w:r>
      <w:r w:rsidR="00262606" w:rsidRPr="004A74FC">
        <w:rPr>
          <w:rFonts w:ascii="Times New Roman" w:eastAsia="Times New Roman" w:hAnsi="Times New Roman" w:cs="Times New Roman"/>
          <w:b/>
          <w:bCs/>
          <w:kern w:val="0"/>
          <w14:ligatures w14:val="none"/>
        </w:rPr>
        <w:t>Null hypothesis (H₀):</w:t>
      </w:r>
    </w:p>
    <w:p w14:paraId="69B8E741" w14:textId="4559D2B9" w:rsidR="00262606" w:rsidRPr="004A74FC" w:rsidRDefault="00262606" w:rsidP="004A74FC">
      <w:pPr>
        <w:spacing w:before="100" w:beforeAutospacing="1" w:after="0" w:line="360" w:lineRule="auto"/>
        <w:jc w:val="both"/>
        <w:rPr>
          <w:rFonts w:ascii="Times New Roman" w:eastAsia="Times New Roman" w:hAnsi="Times New Roman" w:cs="Times New Roman"/>
          <w:kern w:val="0"/>
          <w14:ligatures w14:val="none"/>
        </w:rPr>
      </w:pPr>
      <w:r w:rsidRPr="004A74FC">
        <w:rPr>
          <w:rFonts w:ascii="Times New Roman" w:eastAsia="Times New Roman" w:hAnsi="Times New Roman" w:cs="Times New Roman"/>
          <w:kern w:val="0"/>
          <w14:ligatures w14:val="none"/>
        </w:rPr>
        <w:t>There is no statistically significant relationship between perceived challenges and participation in NHIMA among informal sector workers in Kabwe District.</w:t>
      </w:r>
    </w:p>
    <w:p w14:paraId="758C8F69" w14:textId="24D1845B" w:rsidR="00262606" w:rsidRPr="004A74FC" w:rsidRDefault="00505928" w:rsidP="004A74FC">
      <w:pPr>
        <w:pStyle w:val="isselectedend"/>
        <w:spacing w:after="0" w:afterAutospacing="0" w:line="360" w:lineRule="auto"/>
        <w:jc w:val="both"/>
        <w:rPr>
          <w:b/>
          <w:bCs/>
        </w:rPr>
      </w:pPr>
      <w:r>
        <w:rPr>
          <w:b/>
          <w:bCs/>
        </w:rPr>
        <w:t xml:space="preserve">1.3.2 </w:t>
      </w:r>
      <w:r w:rsidR="00262606" w:rsidRPr="004A74FC">
        <w:rPr>
          <w:b/>
          <w:bCs/>
        </w:rPr>
        <w:t>Alternative hypothesis (H₁):</w:t>
      </w:r>
    </w:p>
    <w:p w14:paraId="7B62F294" w14:textId="2C66B771" w:rsidR="00262606" w:rsidRPr="004A74FC" w:rsidRDefault="00262606" w:rsidP="004A74FC">
      <w:pPr>
        <w:spacing w:before="100" w:beforeAutospacing="1" w:after="0" w:line="360" w:lineRule="auto"/>
        <w:jc w:val="both"/>
        <w:rPr>
          <w:rFonts w:ascii="Times New Roman" w:eastAsia="Times New Roman" w:hAnsi="Times New Roman" w:cs="Times New Roman"/>
          <w:kern w:val="0"/>
          <w14:ligatures w14:val="none"/>
        </w:rPr>
      </w:pPr>
      <w:r w:rsidRPr="004A74FC">
        <w:rPr>
          <w:rFonts w:ascii="Times New Roman" w:hAnsi="Times New Roman" w:cs="Times New Roman"/>
        </w:rPr>
        <w:t>Perceived challenges are significantly associated with participation in NHIMA among informal sector workers in Kabwe District</w:t>
      </w:r>
    </w:p>
    <w:p w14:paraId="2A775D0D" w14:textId="77777777" w:rsidR="00262606" w:rsidRPr="00262606" w:rsidRDefault="00262606" w:rsidP="005448A7">
      <w:pPr>
        <w:spacing w:after="0" w:line="240" w:lineRule="auto"/>
        <w:jc w:val="both"/>
        <w:rPr>
          <w:rFonts w:ascii="Times New Roman" w:eastAsia="Times New Roman" w:hAnsi="Times New Roman" w:cs="Times New Roman"/>
          <w:b/>
          <w:bCs/>
          <w:kern w:val="0"/>
          <w14:ligatures w14:val="none"/>
        </w:rPr>
      </w:pPr>
    </w:p>
    <w:p w14:paraId="58F44722" w14:textId="730E9189" w:rsidR="00C018C8" w:rsidRPr="00505928" w:rsidRDefault="00C018C8" w:rsidP="00DB0338">
      <w:pPr>
        <w:spacing w:line="360" w:lineRule="auto"/>
        <w:jc w:val="both"/>
        <w:rPr>
          <w:rFonts w:ascii="Times New Roman" w:hAnsi="Times New Roman" w:cs="Times New Roman"/>
          <w:b/>
          <w:bCs/>
          <w:lang w:val="en-GB"/>
        </w:rPr>
      </w:pPr>
      <w:r w:rsidRPr="00505928">
        <w:rPr>
          <w:rFonts w:ascii="Times New Roman" w:hAnsi="Times New Roman" w:cs="Times New Roman"/>
          <w:b/>
          <w:bCs/>
          <w:lang w:val="en-GB"/>
        </w:rPr>
        <w:t>1.</w:t>
      </w:r>
      <w:r w:rsidR="00505928" w:rsidRPr="00505928">
        <w:rPr>
          <w:rFonts w:ascii="Times New Roman" w:hAnsi="Times New Roman" w:cs="Times New Roman"/>
          <w:b/>
          <w:bCs/>
          <w:lang w:val="en-GB"/>
        </w:rPr>
        <w:t>4</w:t>
      </w:r>
      <w:r w:rsidRPr="00505928">
        <w:rPr>
          <w:rFonts w:ascii="Times New Roman" w:hAnsi="Times New Roman" w:cs="Times New Roman"/>
          <w:b/>
          <w:bCs/>
          <w:lang w:val="en-GB"/>
        </w:rPr>
        <w:t xml:space="preserve"> Significance of the Study</w:t>
      </w:r>
    </w:p>
    <w:p w14:paraId="68FC8CC5" w14:textId="24EDF0FF" w:rsidR="00C733E0" w:rsidRPr="00505928" w:rsidRDefault="00C018C8" w:rsidP="00F26D58">
      <w:pPr>
        <w:spacing w:line="360" w:lineRule="auto"/>
        <w:jc w:val="both"/>
        <w:rPr>
          <w:rFonts w:ascii="Times New Roman" w:eastAsia="Times New Roman" w:hAnsi="Times New Roman" w:cs="Times New Roman"/>
        </w:rPr>
      </w:pPr>
      <w:r w:rsidRPr="00505928">
        <w:rPr>
          <w:rFonts w:ascii="Times New Roman" w:eastAsia="Times New Roman" w:hAnsi="Times New Roman" w:cs="Times New Roman"/>
        </w:rPr>
        <w:t xml:space="preserve">This study is vital on multiple fronts. First, it will fill the knowledge gap regarding informal sector engagement with NHIMA, providing much-needed empirical data in a largely under-researched area. Second, the findings will support the Ministry of Health and NHIMA in designing targeted communication strategies and inclusive policies that address the specific concerns and needs of informal workers (World Health Organisation, 2021). Academically, the study contributes to the literature on public health policy, social protection, and </w:t>
      </w:r>
      <w:r w:rsidR="00B51443" w:rsidRPr="00505928">
        <w:rPr>
          <w:rFonts w:ascii="Times New Roman" w:eastAsia="Times New Roman" w:hAnsi="Times New Roman" w:cs="Times New Roman"/>
        </w:rPr>
        <w:t>the informal sector</w:t>
      </w:r>
      <w:r w:rsidRPr="00505928">
        <w:rPr>
          <w:rFonts w:ascii="Times New Roman" w:eastAsia="Times New Roman" w:hAnsi="Times New Roman" w:cs="Times New Roman"/>
        </w:rPr>
        <w:t>. Practically, it empowers NGOs, local authorities, and community leaders with actionable insights to advocate for and facilitate the inclusion of marginalized groups in national health programs.</w:t>
      </w:r>
    </w:p>
    <w:p w14:paraId="571A2C7E" w14:textId="68F68AD4" w:rsidR="00C733E0" w:rsidRPr="00505928" w:rsidRDefault="00876E66" w:rsidP="00DB0338">
      <w:pPr>
        <w:spacing w:after="0" w:line="36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1.5 </w:t>
      </w:r>
      <w:r w:rsidR="00C733E0" w:rsidRPr="00505928">
        <w:rPr>
          <w:rFonts w:ascii="Times New Roman" w:eastAsia="Times New Roman" w:hAnsi="Times New Roman" w:cs="Times New Roman"/>
          <w:b/>
          <w:bCs/>
        </w:rPr>
        <w:t>Literature Review</w:t>
      </w:r>
    </w:p>
    <w:p w14:paraId="2FDE3E99" w14:textId="2CB2A54D" w:rsidR="00390160" w:rsidRPr="00505928" w:rsidRDefault="00390160" w:rsidP="00DB0338">
      <w:pPr>
        <w:spacing w:after="0" w:line="360" w:lineRule="auto"/>
        <w:jc w:val="both"/>
        <w:rPr>
          <w:rFonts w:ascii="Times New Roman" w:eastAsia="Times New Roman" w:hAnsi="Times New Roman" w:cs="Times New Roman"/>
        </w:rPr>
      </w:pPr>
      <w:r w:rsidRPr="00505928">
        <w:rPr>
          <w:rFonts w:ascii="Times New Roman" w:eastAsia="Times New Roman" w:hAnsi="Times New Roman" w:cs="Times New Roman"/>
        </w:rPr>
        <w:t>Traditionally, participation in voluntary health insurance was defined from economic, institutional, and behavioral perspectives. In the economic framework, individuals are supposed to balance the perceived benefits of health services against the cost of health insurance before deciding whether to participate in an insurance scheme. Therefore, affordability becomes one of the most important determinants of participation, particularly among households with unstable incomes.</w:t>
      </w:r>
    </w:p>
    <w:p w14:paraId="7C143E35" w14:textId="4FE159AE" w:rsidR="00390160" w:rsidRPr="00505928" w:rsidRDefault="00390160" w:rsidP="00DB0338">
      <w:pPr>
        <w:spacing w:after="0" w:line="360" w:lineRule="auto"/>
        <w:jc w:val="both"/>
        <w:rPr>
          <w:rFonts w:ascii="Times New Roman" w:eastAsia="Times New Roman" w:hAnsi="Times New Roman" w:cs="Times New Roman"/>
        </w:rPr>
      </w:pPr>
      <w:r w:rsidRPr="00505928">
        <w:rPr>
          <w:rFonts w:ascii="Times New Roman" w:eastAsia="Times New Roman" w:hAnsi="Times New Roman" w:cs="Times New Roman"/>
        </w:rPr>
        <w:t>Some studies in Ghana show that premium affordability is a predictor of participation in insurance schemes; households with low incomes are less willing to participate. This finding is supported by studies in Kenya, Uganda, and Tanzania. Low household incomes make regular insurance payments problematic; flexible payment schemes and premium subsidies have been proposed to increase insurance coverage among disadvantaged people.</w:t>
      </w:r>
    </w:p>
    <w:p w14:paraId="2FA37429" w14:textId="24A2A70B" w:rsidR="00390160" w:rsidRPr="00390160" w:rsidRDefault="00390160" w:rsidP="00DB0338">
      <w:pPr>
        <w:spacing w:after="0" w:line="360" w:lineRule="auto"/>
        <w:jc w:val="both"/>
        <w:rPr>
          <w:rFonts w:ascii="Times New Roman" w:eastAsia="Times New Roman" w:hAnsi="Times New Roman" w:cs="Times New Roman"/>
          <w:sz w:val="22"/>
          <w:szCs w:val="22"/>
        </w:rPr>
      </w:pPr>
      <w:r w:rsidRPr="00505928">
        <w:rPr>
          <w:rFonts w:ascii="Times New Roman" w:eastAsia="Times New Roman" w:hAnsi="Times New Roman" w:cs="Times New Roman"/>
        </w:rPr>
        <w:lastRenderedPageBreak/>
        <w:t>Health awareness and insurance literacy are key components in determining voluntary participation. Some studies show that individuals who understand the benefits of health insurance, the registration process, and eligibility criteria are more likely to enroll in the programs. On the other hand, misinformation about contribution levels and benefits hinders participation</w:t>
      </w:r>
      <w:r w:rsidRPr="00390160">
        <w:rPr>
          <w:rFonts w:ascii="Times New Roman" w:eastAsia="Times New Roman" w:hAnsi="Times New Roman" w:cs="Times New Roman"/>
          <w:sz w:val="22"/>
          <w:szCs w:val="22"/>
        </w:rPr>
        <w:t>.</w:t>
      </w:r>
    </w:p>
    <w:p w14:paraId="2CAC1AF1" w14:textId="11C447F8" w:rsidR="00390160" w:rsidRPr="00660E83" w:rsidRDefault="00390160" w:rsidP="00DB0338">
      <w:pPr>
        <w:spacing w:after="0" w:line="360" w:lineRule="auto"/>
        <w:jc w:val="both"/>
        <w:rPr>
          <w:rFonts w:ascii="Times New Roman" w:eastAsia="Times New Roman" w:hAnsi="Times New Roman" w:cs="Times New Roman"/>
        </w:rPr>
      </w:pPr>
      <w:r w:rsidRPr="00660E83">
        <w:rPr>
          <w:rFonts w:ascii="Times New Roman" w:eastAsia="Times New Roman" w:hAnsi="Times New Roman" w:cs="Times New Roman"/>
        </w:rPr>
        <w:t xml:space="preserve">Furthermore, institutional aspects of health financing become increasingly recognized. A complex registration process, few registration centers, lengthy registration procedures, and poor communication strategies were shown to reduce enrollment of informal workers. Decentralizing registration centers and facilitating the administrative process </w:t>
      </w:r>
      <w:proofErr w:type="gramStart"/>
      <w:r w:rsidRPr="00660E83">
        <w:rPr>
          <w:rFonts w:ascii="Times New Roman" w:eastAsia="Times New Roman" w:hAnsi="Times New Roman" w:cs="Times New Roman"/>
        </w:rPr>
        <w:t>lead</w:t>
      </w:r>
      <w:proofErr w:type="gramEnd"/>
      <w:r w:rsidRPr="00660E83">
        <w:rPr>
          <w:rFonts w:ascii="Times New Roman" w:eastAsia="Times New Roman" w:hAnsi="Times New Roman" w:cs="Times New Roman"/>
        </w:rPr>
        <w:t xml:space="preserve"> to higher participation rates.</w:t>
      </w:r>
    </w:p>
    <w:p w14:paraId="6192656B" w14:textId="54D7F130" w:rsidR="00390160" w:rsidRPr="00660E83" w:rsidRDefault="00390160" w:rsidP="00DB0338">
      <w:pPr>
        <w:spacing w:after="0" w:line="360" w:lineRule="auto"/>
        <w:jc w:val="both"/>
        <w:rPr>
          <w:rFonts w:ascii="Times New Roman" w:eastAsia="Times New Roman" w:hAnsi="Times New Roman" w:cs="Times New Roman"/>
        </w:rPr>
      </w:pPr>
      <w:r w:rsidRPr="00660E83">
        <w:rPr>
          <w:rFonts w:ascii="Times New Roman" w:eastAsia="Times New Roman" w:hAnsi="Times New Roman" w:cs="Times New Roman"/>
        </w:rPr>
        <w:t>Trust in governmental institutions becomes another determinant of voluntary insurance participation. Individuals who consider governmental institutions reliable, credible, and capable of providing promised services are more likely to participate in social health insurance programs. Perceptions of corruption, low quality of service, and unavailability of medicines may reduce the participation rate.</w:t>
      </w:r>
    </w:p>
    <w:p w14:paraId="08E9ED26" w14:textId="77777777" w:rsidR="00A67FA9" w:rsidRPr="00660E83" w:rsidRDefault="00A67FA9" w:rsidP="00390160">
      <w:pPr>
        <w:spacing w:after="0" w:line="240" w:lineRule="auto"/>
        <w:jc w:val="both"/>
        <w:rPr>
          <w:rFonts w:ascii="Times New Roman" w:eastAsia="Times New Roman" w:hAnsi="Times New Roman" w:cs="Times New Roman"/>
        </w:rPr>
      </w:pPr>
    </w:p>
    <w:p w14:paraId="39B1969D" w14:textId="27B057B9" w:rsidR="00A67FA9" w:rsidRPr="00660E83" w:rsidRDefault="00876E66" w:rsidP="00A67FA9">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2</w:t>
      </w:r>
      <w:r w:rsidR="00A67FA9" w:rsidRPr="00660E83">
        <w:rPr>
          <w:rFonts w:ascii="Times New Roman" w:eastAsia="Times New Roman" w:hAnsi="Times New Roman" w:cs="Times New Roman"/>
          <w:b/>
          <w:bCs/>
        </w:rPr>
        <w:t>.</w:t>
      </w:r>
      <w:r>
        <w:rPr>
          <w:rFonts w:ascii="Times New Roman" w:eastAsia="Times New Roman" w:hAnsi="Times New Roman" w:cs="Times New Roman"/>
          <w:b/>
          <w:bCs/>
        </w:rPr>
        <w:t>0</w:t>
      </w:r>
      <w:r w:rsidR="00A67FA9" w:rsidRPr="00660E83">
        <w:rPr>
          <w:rFonts w:ascii="Times New Roman" w:eastAsia="Times New Roman" w:hAnsi="Times New Roman" w:cs="Times New Roman"/>
          <w:b/>
          <w:bCs/>
        </w:rPr>
        <w:t xml:space="preserve"> Policy</w:t>
      </w:r>
      <w:r w:rsidR="0096041C">
        <w:rPr>
          <w:rFonts w:ascii="Times New Roman" w:eastAsia="Times New Roman" w:hAnsi="Times New Roman" w:cs="Times New Roman"/>
          <w:b/>
          <w:bCs/>
        </w:rPr>
        <w:t xml:space="preserve"> an</w:t>
      </w:r>
      <w:r w:rsidR="008A24A4">
        <w:rPr>
          <w:rFonts w:ascii="Times New Roman" w:eastAsia="Times New Roman" w:hAnsi="Times New Roman" w:cs="Times New Roman"/>
          <w:b/>
          <w:bCs/>
        </w:rPr>
        <w:t xml:space="preserve">d </w:t>
      </w:r>
      <w:r w:rsidR="00A67FA9" w:rsidRPr="00660E83">
        <w:rPr>
          <w:rFonts w:ascii="Times New Roman" w:eastAsia="Times New Roman" w:hAnsi="Times New Roman" w:cs="Times New Roman"/>
          <w:b/>
          <w:bCs/>
        </w:rPr>
        <w:t>Theoretical Frameworks</w:t>
      </w:r>
    </w:p>
    <w:p w14:paraId="31853399" w14:textId="77777777" w:rsidR="005655FF" w:rsidRPr="00660E83" w:rsidRDefault="005655FF" w:rsidP="00A67FA9">
      <w:pPr>
        <w:spacing w:after="0" w:line="240" w:lineRule="auto"/>
        <w:jc w:val="both"/>
        <w:rPr>
          <w:rFonts w:ascii="Times New Roman" w:eastAsia="Times New Roman" w:hAnsi="Times New Roman" w:cs="Times New Roman"/>
          <w:b/>
          <w:bCs/>
        </w:rPr>
      </w:pPr>
    </w:p>
    <w:p w14:paraId="07648AA4" w14:textId="4088603A" w:rsidR="005655FF" w:rsidRPr="00660E83" w:rsidRDefault="005655FF" w:rsidP="005655FF">
      <w:pPr>
        <w:spacing w:after="0" w:line="360" w:lineRule="auto"/>
        <w:jc w:val="both"/>
        <w:rPr>
          <w:rFonts w:ascii="Times New Roman" w:eastAsia="Times New Roman" w:hAnsi="Times New Roman" w:cs="Times New Roman"/>
        </w:rPr>
      </w:pPr>
      <w:r w:rsidRPr="00660E83">
        <w:rPr>
          <w:rFonts w:ascii="Times New Roman" w:eastAsia="Times New Roman" w:hAnsi="Times New Roman" w:cs="Times New Roman"/>
        </w:rPr>
        <w:t xml:space="preserve">This research is grounded </w:t>
      </w:r>
      <w:r w:rsidR="00C410A4" w:rsidRPr="00660E83">
        <w:rPr>
          <w:rFonts w:ascii="Times New Roman" w:eastAsia="Times New Roman" w:hAnsi="Times New Roman" w:cs="Times New Roman"/>
        </w:rPr>
        <w:t>in</w:t>
      </w:r>
      <w:r w:rsidRPr="00660E83">
        <w:rPr>
          <w:rFonts w:ascii="Times New Roman" w:eastAsia="Times New Roman" w:hAnsi="Times New Roman" w:cs="Times New Roman"/>
        </w:rPr>
        <w:t xml:space="preserve"> Andersen's Behavioral Model of Health Services Use and the Health Belief Model. The Andersen's model states that utilization of health services depends on predisposing characteristics, enabling resources, and needs. The Health Belief Model states that health-related behavior is affected by perceptions of susceptibility, benefit, and barriers.</w:t>
      </w:r>
    </w:p>
    <w:p w14:paraId="2A00547D" w14:textId="77777777" w:rsidR="005655FF" w:rsidRPr="00660E83" w:rsidRDefault="005655FF" w:rsidP="00A67FA9">
      <w:pPr>
        <w:spacing w:after="0" w:line="240" w:lineRule="auto"/>
        <w:jc w:val="both"/>
        <w:rPr>
          <w:rFonts w:ascii="Times New Roman" w:eastAsia="Times New Roman" w:hAnsi="Times New Roman" w:cs="Times New Roman"/>
          <w:b/>
          <w:bCs/>
        </w:rPr>
      </w:pPr>
    </w:p>
    <w:p w14:paraId="6CEBE936" w14:textId="436E12A9" w:rsidR="00A67FA9" w:rsidRPr="00660E83" w:rsidRDefault="00D968C3" w:rsidP="005655FF">
      <w:pPr>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2.1 </w:t>
      </w:r>
      <w:r w:rsidR="00A67FA9" w:rsidRPr="00660E83">
        <w:rPr>
          <w:rFonts w:ascii="Times New Roman" w:eastAsia="Times New Roman" w:hAnsi="Times New Roman" w:cs="Times New Roman"/>
          <w:b/>
          <w:bCs/>
        </w:rPr>
        <w:t>Policy Framework</w:t>
      </w:r>
    </w:p>
    <w:p w14:paraId="315EB733" w14:textId="7F7D00E7" w:rsidR="00A67FA9" w:rsidRPr="00660E83" w:rsidRDefault="00A67FA9" w:rsidP="005655FF">
      <w:pPr>
        <w:spacing w:line="360" w:lineRule="auto"/>
        <w:jc w:val="both"/>
        <w:rPr>
          <w:rFonts w:ascii="Times New Roman" w:eastAsia="Times New Roman" w:hAnsi="Times New Roman" w:cs="Times New Roman"/>
        </w:rPr>
      </w:pPr>
      <w:r w:rsidRPr="00660E83">
        <w:rPr>
          <w:rFonts w:ascii="Times New Roman" w:eastAsia="Times New Roman" w:hAnsi="Times New Roman" w:cs="Times New Roman"/>
        </w:rPr>
        <w:t>The policy framework of NHIMA revolves around the National Health Insurance Act No. 2 of 2018, which seeks to provide health services to all Zambians under the NHIMA. This Act creates the National Health Insurance Management Authority, whose role is to collect contributions and deliver services to the contributors. However, the policy framework provides little on the means of engaging the informal sector (Ministry of Health, 2018).</w:t>
      </w:r>
    </w:p>
    <w:p w14:paraId="19A6FFAA" w14:textId="216865BE" w:rsidR="00A67FA9" w:rsidRPr="00660E83" w:rsidRDefault="00D968C3" w:rsidP="005655FF">
      <w:pPr>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2.2 </w:t>
      </w:r>
      <w:r w:rsidR="00A67FA9" w:rsidRPr="00660E83">
        <w:rPr>
          <w:rFonts w:ascii="Times New Roman" w:eastAsia="Times New Roman" w:hAnsi="Times New Roman" w:cs="Times New Roman"/>
          <w:b/>
          <w:bCs/>
        </w:rPr>
        <w:t>Theoretical Framework</w:t>
      </w:r>
    </w:p>
    <w:p w14:paraId="36AAD1F5" w14:textId="63B32588" w:rsidR="00A67FA9" w:rsidRPr="00660E83" w:rsidRDefault="00A67FA9" w:rsidP="005655FF">
      <w:pPr>
        <w:spacing w:line="360" w:lineRule="auto"/>
        <w:jc w:val="both"/>
        <w:rPr>
          <w:rFonts w:ascii="Times New Roman" w:eastAsia="Times New Roman" w:hAnsi="Times New Roman" w:cs="Times New Roman"/>
        </w:rPr>
      </w:pPr>
      <w:r w:rsidRPr="00660E83">
        <w:rPr>
          <w:rFonts w:ascii="Times New Roman" w:eastAsia="Times New Roman" w:hAnsi="Times New Roman" w:cs="Times New Roman"/>
        </w:rPr>
        <w:t xml:space="preserve">To understand the socio-economic, behavioral, and perceptual aspects of the marketers’ engagement in the NHIMA, this study uses Andersen's Behavioral Model of Health Services Use and the Health Belief Model (HBM). The two theories complement each other: Andersen's </w:t>
      </w:r>
      <w:r w:rsidRPr="00660E83">
        <w:rPr>
          <w:rFonts w:ascii="Times New Roman" w:eastAsia="Times New Roman" w:hAnsi="Times New Roman" w:cs="Times New Roman"/>
        </w:rPr>
        <w:lastRenderedPageBreak/>
        <w:t>Model describes the structural and enabling factors affecting access to health services, whereas HBM explains the cognitive and behavioral aspects of the enrollment process.</w:t>
      </w:r>
    </w:p>
    <w:p w14:paraId="52457C7E" w14:textId="1C372DDE" w:rsidR="00A67FA9" w:rsidRPr="00660E83" w:rsidRDefault="00BC4047" w:rsidP="005655FF">
      <w:pPr>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2.2.1 </w:t>
      </w:r>
      <w:r w:rsidR="00A67FA9" w:rsidRPr="00660E83">
        <w:rPr>
          <w:rFonts w:ascii="Times New Roman" w:eastAsia="Times New Roman" w:hAnsi="Times New Roman" w:cs="Times New Roman"/>
          <w:b/>
          <w:bCs/>
        </w:rPr>
        <w:t>The Andersen's Behavioral Model of Health Services Use</w:t>
      </w:r>
    </w:p>
    <w:p w14:paraId="4EC5DB78" w14:textId="5AF11EFC" w:rsidR="00A67FA9" w:rsidRPr="00660E83" w:rsidRDefault="00A67FA9" w:rsidP="005655FF">
      <w:pPr>
        <w:spacing w:line="360" w:lineRule="auto"/>
        <w:jc w:val="both"/>
        <w:rPr>
          <w:rFonts w:ascii="Times New Roman" w:eastAsia="Times New Roman" w:hAnsi="Times New Roman" w:cs="Times New Roman"/>
        </w:rPr>
      </w:pPr>
      <w:r w:rsidRPr="00660E83">
        <w:rPr>
          <w:rFonts w:ascii="Times New Roman" w:eastAsia="Times New Roman" w:hAnsi="Times New Roman" w:cs="Times New Roman"/>
        </w:rPr>
        <w:t>According to Andersen's Behavioral Model of Health Services Use, need factors, enabling resources, and predisposing characteristics determine utilization of health services. Predisposing factors are demographic and socio-economic characteristics, beliefs and attitudes; enabling factors are financial resources and availability, and need factors are health conditions (Andersen, 1995). Applied to the NHIMA, the model can help explain the impact of informal workers' demographic and socio-economic characteristics, their insurance beliefs, and their financial capacity to enroll in the NHIMA. Essentially, where services are available, attitudes, perceptions, and awareness are critical determinants of utilization.</w:t>
      </w:r>
    </w:p>
    <w:p w14:paraId="17816170" w14:textId="3622DDB2" w:rsidR="00A67FA9" w:rsidRPr="00660E83" w:rsidRDefault="00BC4047" w:rsidP="005655FF">
      <w:pPr>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2.2.2 </w:t>
      </w:r>
      <w:r w:rsidR="00A67FA9" w:rsidRPr="00660E83">
        <w:rPr>
          <w:rFonts w:ascii="Times New Roman" w:eastAsia="Times New Roman" w:hAnsi="Times New Roman" w:cs="Times New Roman"/>
          <w:b/>
          <w:bCs/>
        </w:rPr>
        <w:t>The Health Belief Model (HBM)</w:t>
      </w:r>
    </w:p>
    <w:p w14:paraId="5983CD2B" w14:textId="775F15E5" w:rsidR="00A67FA9" w:rsidRPr="00660E83" w:rsidRDefault="00A67FA9" w:rsidP="005655FF">
      <w:pPr>
        <w:spacing w:line="360" w:lineRule="auto"/>
        <w:jc w:val="both"/>
        <w:rPr>
          <w:rFonts w:ascii="Times New Roman" w:eastAsia="Times New Roman" w:hAnsi="Times New Roman" w:cs="Times New Roman"/>
        </w:rPr>
      </w:pPr>
      <w:r w:rsidRPr="00660E83">
        <w:rPr>
          <w:rFonts w:ascii="Times New Roman" w:eastAsia="Times New Roman" w:hAnsi="Times New Roman" w:cs="Times New Roman"/>
        </w:rPr>
        <w:t xml:space="preserve">The Health Belief Model (HBM) is the other theoretical foundation for voluntary insurance enrolment in this study. Developed originally by Rosenstock (1974), the model postulates that an individual's decision to take a health action is based on a cognitive cost-benefit evaluation, in which one weighs the threat of disease against barriers to action. Clearly, this implies that the decision to join the NHIMA or any other insurance scheme is not automatic but involves a deliberate cost-benefit calculation. </w:t>
      </w:r>
    </w:p>
    <w:p w14:paraId="3062CF67" w14:textId="3353D7B4" w:rsidR="00A67FA9" w:rsidRPr="00660E83" w:rsidRDefault="00A67FA9" w:rsidP="005655FF">
      <w:pPr>
        <w:spacing w:line="360" w:lineRule="auto"/>
        <w:jc w:val="both"/>
        <w:rPr>
          <w:rFonts w:ascii="Times New Roman" w:eastAsia="Times New Roman" w:hAnsi="Times New Roman" w:cs="Times New Roman"/>
        </w:rPr>
      </w:pPr>
      <w:r w:rsidRPr="00660E83">
        <w:rPr>
          <w:rFonts w:ascii="Times New Roman" w:eastAsia="Times New Roman" w:hAnsi="Times New Roman" w:cs="Times New Roman"/>
        </w:rPr>
        <w:t>Additionally, Jones (2014) states that for a behavior to change, the psychological pull of the benefits must outweigh the push of the barriers. Apparently, this suggests that for the informal sector, merely providing health insurance will not be enough; the perception value must exceed the tangible cost of registration.</w:t>
      </w:r>
    </w:p>
    <w:p w14:paraId="59BB61A8" w14:textId="1304AADD" w:rsidR="00A67FA9" w:rsidRPr="00660E83" w:rsidRDefault="00A67FA9" w:rsidP="00EF098D">
      <w:pPr>
        <w:spacing w:after="0" w:line="360" w:lineRule="auto"/>
        <w:jc w:val="both"/>
        <w:rPr>
          <w:rFonts w:ascii="Times New Roman" w:eastAsia="Times New Roman" w:hAnsi="Times New Roman" w:cs="Times New Roman"/>
        </w:rPr>
      </w:pPr>
      <w:r w:rsidRPr="00660E83">
        <w:rPr>
          <w:rFonts w:ascii="Times New Roman" w:eastAsia="Times New Roman" w:hAnsi="Times New Roman" w:cs="Times New Roman"/>
        </w:rPr>
        <w:t xml:space="preserve">The Health Belief Model works through four constructs: perceived susceptibility, perceived severity, perceived benefits, and perceived barriers (StatPearls, 2024). In the context of this study, a trader must perceive that he or she is vulnerable to illness (susceptibility) and that the illness will be financially disastrous (severity) in order to consider the insurance. However, Janz and Becker (1984) expanded the HBM model by incorporating modifying factors such as demographics and cues to action, which trigger the decision-making. Apparently, this modification is important in the Kabwe case because cues to action are directly connected to NHIMA's marketing strategies. On the contrary, where the cues are weak or barriers to </w:t>
      </w:r>
      <w:r w:rsidRPr="00660E83">
        <w:rPr>
          <w:rFonts w:ascii="Times New Roman" w:eastAsia="Times New Roman" w:hAnsi="Times New Roman" w:cs="Times New Roman"/>
        </w:rPr>
        <w:lastRenderedPageBreak/>
        <w:t>enrollment are high, even a trader who perceives himself or herself as susceptible to diseases may not enroll in the scheme.</w:t>
      </w:r>
    </w:p>
    <w:p w14:paraId="049E4F90" w14:textId="385E27D3" w:rsidR="00A67FA9" w:rsidRPr="00EF098D" w:rsidRDefault="00A67FA9" w:rsidP="00EF098D">
      <w:pPr>
        <w:spacing w:after="0" w:line="360" w:lineRule="auto"/>
        <w:jc w:val="both"/>
        <w:rPr>
          <w:rFonts w:ascii="Times New Roman" w:eastAsia="Times New Roman" w:hAnsi="Times New Roman" w:cs="Times New Roman"/>
        </w:rPr>
      </w:pPr>
      <w:r w:rsidRPr="00660E83">
        <w:rPr>
          <w:rFonts w:ascii="Times New Roman" w:eastAsia="Times New Roman" w:hAnsi="Times New Roman" w:cs="Times New Roman"/>
        </w:rPr>
        <w:t xml:space="preserve">In recent years, the efficacy of the HBM has been empirically verified. Research conducted by Kebede et al. (2024) and Hussien et al. (2021) confirms that the perceived barriers, especially the premium affordability and administrative complexity, are the strongest determinants of low enrollment. Clearly, this empirical finding reflects the reality of the informal economy, in which complex procedures and paperwork result in a loss of trading time. Furthermore, </w:t>
      </w:r>
      <w:r w:rsidR="00EF098D" w:rsidRPr="00660E83">
        <w:rPr>
          <w:rFonts w:ascii="Times New Roman" w:eastAsia="Times New Roman" w:hAnsi="Times New Roman" w:cs="Times New Roman"/>
        </w:rPr>
        <w:t>(</w:t>
      </w:r>
      <w:r w:rsidRPr="00660E83">
        <w:rPr>
          <w:rFonts w:ascii="Times New Roman" w:eastAsia="Times New Roman" w:hAnsi="Times New Roman" w:cs="Times New Roman"/>
        </w:rPr>
        <w:t>Salehe</w:t>
      </w:r>
      <w:r w:rsidR="00EF098D" w:rsidRPr="00660E83">
        <w:rPr>
          <w:rFonts w:ascii="Times New Roman" w:eastAsia="Times New Roman" w:hAnsi="Times New Roman" w:cs="Times New Roman"/>
        </w:rPr>
        <w:t xml:space="preserve">, </w:t>
      </w:r>
      <w:r w:rsidRPr="00660E83">
        <w:rPr>
          <w:rFonts w:ascii="Times New Roman" w:eastAsia="Times New Roman" w:hAnsi="Times New Roman" w:cs="Times New Roman"/>
        </w:rPr>
        <w:t xml:space="preserve">2025) shows that </w:t>
      </w:r>
      <w:r w:rsidR="00EB603E" w:rsidRPr="00660E83">
        <w:rPr>
          <w:rFonts w:ascii="Times New Roman" w:eastAsia="Times New Roman" w:hAnsi="Times New Roman" w:cs="Times New Roman"/>
        </w:rPr>
        <w:t>an effective communication strategy strengthens perceived benefits</w:t>
      </w:r>
      <w:r w:rsidRPr="00EF098D">
        <w:rPr>
          <w:rFonts w:ascii="Times New Roman" w:eastAsia="Times New Roman" w:hAnsi="Times New Roman" w:cs="Times New Roman"/>
        </w:rPr>
        <w:t>, thereby increasing enrolment intentions. Clearly, this empirical observation suggests that the reason for low enrollment in the informal sector may not be the lack of funds but ineffective communication that makes perceived barriers to overshadow benefits.</w:t>
      </w:r>
    </w:p>
    <w:p w14:paraId="4A25B1AC" w14:textId="315E7BB8" w:rsidR="00A67FA9" w:rsidRDefault="00A67FA9" w:rsidP="00EF098D">
      <w:pPr>
        <w:spacing w:after="0" w:line="360" w:lineRule="auto"/>
        <w:jc w:val="both"/>
        <w:rPr>
          <w:rFonts w:ascii="Times New Roman" w:eastAsia="Times New Roman" w:hAnsi="Times New Roman" w:cs="Times New Roman"/>
        </w:rPr>
      </w:pPr>
      <w:r w:rsidRPr="00EF098D">
        <w:rPr>
          <w:rFonts w:ascii="Times New Roman" w:eastAsia="Times New Roman" w:hAnsi="Times New Roman" w:cs="Times New Roman"/>
        </w:rPr>
        <w:t>The Health Belief Model provides the necessary framework for studying the attitudes of Kabwe's informal sector towards NHIMA. This theory assumes that the informal sector will make voluntary contributions to NHIMA only if they perceive that falling ill would cause a financial risk to their livelihood. Therefore, this study assumes that attitude can be measured in terms of these beliefs: where the scheme is perceived as complicated (barrier), or the service is not good (perceived low benefits), the attitude is negative. By incorporating these constructs into the survey instrument, the study will be able to determine whether cost or process is the major obstacle for marketeers in Kabwe District</w:t>
      </w:r>
    </w:p>
    <w:p w14:paraId="40C226EC" w14:textId="77777777" w:rsidR="004A5943" w:rsidRPr="00EF098D" w:rsidRDefault="004A5943" w:rsidP="00EF098D">
      <w:pPr>
        <w:spacing w:after="0" w:line="360" w:lineRule="auto"/>
        <w:jc w:val="both"/>
        <w:rPr>
          <w:rFonts w:ascii="Times New Roman" w:eastAsia="Times New Roman" w:hAnsi="Times New Roman" w:cs="Times New Roman"/>
        </w:rPr>
      </w:pPr>
    </w:p>
    <w:p w14:paraId="24924530" w14:textId="77777777" w:rsidR="00C018C8" w:rsidRPr="0093437B" w:rsidRDefault="00C018C8" w:rsidP="0093437B">
      <w:pPr>
        <w:spacing w:line="360" w:lineRule="auto"/>
        <w:jc w:val="both"/>
        <w:rPr>
          <w:rFonts w:ascii="Times New Roman" w:hAnsi="Times New Roman" w:cs="Times New Roman"/>
          <w:b/>
          <w:bCs/>
          <w:lang w:val="en-GB"/>
        </w:rPr>
      </w:pPr>
      <w:bookmarkStart w:id="1" w:name="_Hlk217805438"/>
      <w:r w:rsidRPr="0093437B">
        <w:rPr>
          <w:rFonts w:ascii="Times New Roman" w:hAnsi="Times New Roman" w:cs="Times New Roman"/>
          <w:b/>
          <w:bCs/>
          <w:lang w:val="en-GB"/>
        </w:rPr>
        <w:t>3.0 Study Methodology</w:t>
      </w:r>
      <w:bookmarkStart w:id="2" w:name="_Hlk217805982"/>
      <w:bookmarkStart w:id="3" w:name="_Toc215132390"/>
      <w:bookmarkEnd w:id="1"/>
    </w:p>
    <w:p w14:paraId="30226184" w14:textId="32229FD8" w:rsidR="00327CA4" w:rsidRPr="0093437B" w:rsidRDefault="00327CA4" w:rsidP="0093437B">
      <w:pPr>
        <w:pStyle w:val="Heading2"/>
        <w:spacing w:before="0" w:after="160" w:line="360" w:lineRule="auto"/>
        <w:jc w:val="both"/>
        <w:rPr>
          <w:rFonts w:ascii="Times New Roman" w:eastAsiaTheme="minorHAnsi" w:hAnsi="Times New Roman" w:cs="Times New Roman"/>
          <w:b/>
          <w:bCs/>
          <w:color w:val="auto"/>
          <w:sz w:val="24"/>
          <w:szCs w:val="24"/>
        </w:rPr>
      </w:pPr>
      <w:bookmarkStart w:id="4" w:name="_Toc226672712"/>
      <w:bookmarkStart w:id="5" w:name="_Toc233147403"/>
      <w:r w:rsidRPr="0093437B">
        <w:rPr>
          <w:rFonts w:ascii="Times New Roman" w:eastAsiaTheme="minorHAnsi" w:hAnsi="Times New Roman" w:cs="Times New Roman"/>
          <w:b/>
          <w:bCs/>
          <w:color w:val="auto"/>
          <w:sz w:val="24"/>
          <w:szCs w:val="24"/>
        </w:rPr>
        <w:t>3.</w:t>
      </w:r>
      <w:r w:rsidR="00150085" w:rsidRPr="0093437B">
        <w:rPr>
          <w:rFonts w:ascii="Times New Roman" w:eastAsiaTheme="minorHAnsi" w:hAnsi="Times New Roman" w:cs="Times New Roman"/>
          <w:b/>
          <w:bCs/>
          <w:color w:val="auto"/>
          <w:sz w:val="24"/>
          <w:szCs w:val="24"/>
        </w:rPr>
        <w:t>1</w:t>
      </w:r>
      <w:r w:rsidRPr="0093437B">
        <w:rPr>
          <w:rFonts w:ascii="Times New Roman" w:eastAsiaTheme="minorHAnsi" w:hAnsi="Times New Roman" w:cs="Times New Roman"/>
          <w:b/>
          <w:bCs/>
          <w:color w:val="auto"/>
          <w:sz w:val="24"/>
          <w:szCs w:val="24"/>
        </w:rPr>
        <w:t xml:space="preserve"> Research Design</w:t>
      </w:r>
      <w:bookmarkEnd w:id="4"/>
      <w:bookmarkEnd w:id="5"/>
    </w:p>
    <w:p w14:paraId="6998841B" w14:textId="77777777" w:rsidR="003F0199" w:rsidRPr="0093437B" w:rsidRDefault="0012393B" w:rsidP="0093437B">
      <w:pPr>
        <w:spacing w:line="360" w:lineRule="auto"/>
        <w:jc w:val="both"/>
        <w:rPr>
          <w:rFonts w:ascii="Times New Roman" w:eastAsia="Times New Roman" w:hAnsi="Times New Roman" w:cs="Times New Roman"/>
          <w:kern w:val="0"/>
          <w14:ligatures w14:val="none"/>
        </w:rPr>
      </w:pPr>
      <w:bookmarkStart w:id="6" w:name="_Toc226672713"/>
      <w:bookmarkStart w:id="7" w:name="_Toc233147404"/>
      <w:r w:rsidRPr="0093437B">
        <w:rPr>
          <w:rFonts w:ascii="Times New Roman" w:eastAsia="Times New Roman" w:hAnsi="Times New Roman" w:cs="Times New Roman"/>
        </w:rPr>
        <w:t xml:space="preserve">The </w:t>
      </w:r>
      <w:r w:rsidR="00150085" w:rsidRPr="0093437B">
        <w:rPr>
          <w:rFonts w:ascii="Times New Roman" w:eastAsia="Times New Roman" w:hAnsi="Times New Roman" w:cs="Times New Roman"/>
        </w:rPr>
        <w:t>study</w:t>
      </w:r>
      <w:r w:rsidRPr="0093437B">
        <w:rPr>
          <w:rFonts w:ascii="Times New Roman" w:eastAsia="Times New Roman" w:hAnsi="Times New Roman" w:cs="Times New Roman"/>
        </w:rPr>
        <w:t xml:space="preserve"> adopted a concurrent </w:t>
      </w:r>
      <w:r w:rsidR="00150085" w:rsidRPr="0093437B">
        <w:rPr>
          <w:rFonts w:ascii="Times New Roman" w:eastAsia="Times New Roman" w:hAnsi="Times New Roman" w:cs="Times New Roman"/>
        </w:rPr>
        <w:t>mixed-methods</w:t>
      </w:r>
      <w:r w:rsidRPr="0093437B">
        <w:rPr>
          <w:rFonts w:ascii="Times New Roman" w:eastAsia="Times New Roman" w:hAnsi="Times New Roman" w:cs="Times New Roman"/>
        </w:rPr>
        <w:t xml:space="preserve"> </w:t>
      </w:r>
      <w:r w:rsidR="00150085" w:rsidRPr="0093437B">
        <w:rPr>
          <w:rFonts w:ascii="Times New Roman" w:eastAsia="Times New Roman" w:hAnsi="Times New Roman" w:cs="Times New Roman"/>
        </w:rPr>
        <w:t xml:space="preserve">cross-sectional design to identify and examine the challenges hindering participation </w:t>
      </w:r>
      <w:r w:rsidR="00350B38" w:rsidRPr="0093437B">
        <w:rPr>
          <w:rFonts w:ascii="Times New Roman" w:eastAsia="Times New Roman" w:hAnsi="Times New Roman" w:cs="Times New Roman"/>
        </w:rPr>
        <w:t xml:space="preserve">of marketeers in </w:t>
      </w:r>
      <w:r w:rsidR="00350B38" w:rsidRPr="0093437B">
        <w:rPr>
          <w:rFonts w:ascii="Times New Roman" w:eastAsia="Times New Roman" w:hAnsi="Times New Roman" w:cs="Times New Roman"/>
          <w:kern w:val="0"/>
          <w14:ligatures w14:val="none"/>
        </w:rPr>
        <w:t xml:space="preserve">the National Health Insurance Management Authority (NHIMA) among informal sector workers in Kabwe District, Zambia. </w:t>
      </w:r>
    </w:p>
    <w:p w14:paraId="284E9C78" w14:textId="735BF2FD" w:rsidR="003F0199" w:rsidRPr="004A5943" w:rsidRDefault="003F0199" w:rsidP="004A5943">
      <w:pPr>
        <w:spacing w:line="360" w:lineRule="auto"/>
        <w:jc w:val="both"/>
        <w:rPr>
          <w:rFonts w:ascii="Times New Roman" w:eastAsia="Times New Roman" w:hAnsi="Times New Roman" w:cs="Times New Roman"/>
          <w:kern w:val="0"/>
          <w14:ligatures w14:val="none"/>
        </w:rPr>
      </w:pPr>
      <w:r w:rsidRPr="0093437B">
        <w:rPr>
          <w:rFonts w:ascii="Times New Roman" w:eastAsia="Times New Roman" w:hAnsi="Times New Roman" w:cs="Times New Roman"/>
          <w:kern w:val="0"/>
          <w14:ligatures w14:val="none"/>
        </w:rPr>
        <w:t xml:space="preserve">This research design enabled the </w:t>
      </w:r>
      <w:r w:rsidR="00531484" w:rsidRPr="0093437B">
        <w:rPr>
          <w:rFonts w:ascii="Times New Roman" w:eastAsia="Times New Roman" w:hAnsi="Times New Roman" w:cs="Times New Roman"/>
          <w:kern w:val="0"/>
          <w14:ligatures w14:val="none"/>
        </w:rPr>
        <w:t>integration of qualitative and quantitative data to provide a comprehensive picture of the obstacles to marketeers'</w:t>
      </w:r>
      <w:r w:rsidRPr="0093437B">
        <w:rPr>
          <w:rFonts w:ascii="Times New Roman" w:eastAsia="Times New Roman" w:hAnsi="Times New Roman" w:cs="Times New Roman"/>
          <w:kern w:val="0"/>
          <w14:ligatures w14:val="none"/>
        </w:rPr>
        <w:t xml:space="preserve"> participation. While quantitative data helped to reveal the number of those who faced these problems, the qualitative data explained more about their nature.</w:t>
      </w:r>
    </w:p>
    <w:p w14:paraId="57817AB2" w14:textId="6275E956" w:rsidR="00327CA4" w:rsidRPr="0093437B" w:rsidRDefault="00327CA4" w:rsidP="0093437B">
      <w:pPr>
        <w:pStyle w:val="Heading2"/>
        <w:spacing w:before="0" w:after="160" w:line="360" w:lineRule="auto"/>
        <w:jc w:val="both"/>
        <w:rPr>
          <w:rFonts w:ascii="Times New Roman" w:eastAsiaTheme="minorHAnsi" w:hAnsi="Times New Roman" w:cs="Times New Roman"/>
          <w:b/>
          <w:bCs/>
          <w:color w:val="auto"/>
          <w:sz w:val="24"/>
          <w:szCs w:val="24"/>
        </w:rPr>
      </w:pPr>
      <w:r w:rsidRPr="0093437B">
        <w:rPr>
          <w:rFonts w:ascii="Times New Roman" w:eastAsiaTheme="minorHAnsi" w:hAnsi="Times New Roman" w:cs="Times New Roman"/>
          <w:b/>
          <w:bCs/>
          <w:color w:val="auto"/>
          <w:sz w:val="24"/>
          <w:szCs w:val="24"/>
        </w:rPr>
        <w:lastRenderedPageBreak/>
        <w:t>3.</w:t>
      </w:r>
      <w:r w:rsidR="008A24A4">
        <w:rPr>
          <w:rFonts w:ascii="Times New Roman" w:eastAsiaTheme="minorHAnsi" w:hAnsi="Times New Roman" w:cs="Times New Roman"/>
          <w:b/>
          <w:bCs/>
          <w:color w:val="auto"/>
          <w:sz w:val="24"/>
          <w:szCs w:val="24"/>
        </w:rPr>
        <w:t>2</w:t>
      </w:r>
      <w:r w:rsidRPr="0093437B">
        <w:rPr>
          <w:rFonts w:ascii="Times New Roman" w:eastAsiaTheme="minorHAnsi" w:hAnsi="Times New Roman" w:cs="Times New Roman"/>
          <w:b/>
          <w:bCs/>
          <w:color w:val="auto"/>
          <w:sz w:val="24"/>
          <w:szCs w:val="24"/>
        </w:rPr>
        <w:t xml:space="preserve"> </w:t>
      </w:r>
      <w:bookmarkEnd w:id="6"/>
      <w:bookmarkEnd w:id="7"/>
      <w:r w:rsidR="00E40413" w:rsidRPr="0093437B">
        <w:rPr>
          <w:rFonts w:ascii="Times New Roman" w:eastAsiaTheme="minorHAnsi" w:hAnsi="Times New Roman" w:cs="Times New Roman"/>
          <w:b/>
          <w:bCs/>
          <w:color w:val="auto"/>
          <w:sz w:val="24"/>
          <w:szCs w:val="24"/>
        </w:rPr>
        <w:t>Study Setting</w:t>
      </w:r>
    </w:p>
    <w:p w14:paraId="29F7C912" w14:textId="56EEE778" w:rsidR="00327CA4" w:rsidRPr="0093437B" w:rsidRDefault="00531484" w:rsidP="0093437B">
      <w:pPr>
        <w:spacing w:before="100" w:beforeAutospacing="1" w:line="360" w:lineRule="auto"/>
        <w:jc w:val="both"/>
        <w:rPr>
          <w:rFonts w:ascii="Times New Roman" w:eastAsia="Times New Roman" w:hAnsi="Times New Roman" w:cs="Times New Roman"/>
          <w:kern w:val="0"/>
          <w14:ligatures w14:val="none"/>
        </w:rPr>
      </w:pPr>
      <w:r w:rsidRPr="0093437B">
        <w:rPr>
          <w:rFonts w:ascii="Times New Roman" w:eastAsia="Times New Roman" w:hAnsi="Times New Roman" w:cs="Times New Roman"/>
          <w:kern w:val="0"/>
          <w14:ligatures w14:val="none"/>
        </w:rPr>
        <w:t xml:space="preserve">The study was conducted in the Kabwe District of Central Province, Zambia, specifically at the Green Market, Railway Market, and New Market. These markets were purposively selected because they are the largest trading centers in the district and host a diverse population of informal-sector workers whose livelihoods depend primarily on daily trading activities. The markets also serve as important locations where NHIMA sensitization activities have </w:t>
      </w:r>
      <w:r w:rsidR="00F136AF" w:rsidRPr="0093437B">
        <w:rPr>
          <w:rFonts w:ascii="Times New Roman" w:eastAsia="Times New Roman" w:hAnsi="Times New Roman" w:cs="Times New Roman"/>
          <w:kern w:val="0"/>
          <w14:ligatures w14:val="none"/>
        </w:rPr>
        <w:t>previously been conducted</w:t>
      </w:r>
      <w:r w:rsidRPr="0093437B">
        <w:rPr>
          <w:rFonts w:ascii="Times New Roman" w:eastAsia="Times New Roman" w:hAnsi="Times New Roman" w:cs="Times New Roman"/>
          <w:kern w:val="0"/>
          <w14:ligatures w14:val="none"/>
        </w:rPr>
        <w:t>, making them suitable settings for assessing participation challenges.</w:t>
      </w:r>
    </w:p>
    <w:p w14:paraId="21E97103" w14:textId="7C57C006" w:rsidR="00327CA4" w:rsidRPr="0093437B" w:rsidRDefault="00327CA4" w:rsidP="0093437B">
      <w:pPr>
        <w:pStyle w:val="Heading2"/>
        <w:spacing w:before="0" w:after="160" w:line="360" w:lineRule="auto"/>
        <w:jc w:val="both"/>
        <w:rPr>
          <w:rFonts w:ascii="Times New Roman" w:eastAsiaTheme="minorHAnsi" w:hAnsi="Times New Roman" w:cs="Times New Roman"/>
          <w:b/>
          <w:bCs/>
          <w:color w:val="auto"/>
          <w:sz w:val="24"/>
          <w:szCs w:val="24"/>
        </w:rPr>
      </w:pPr>
      <w:bookmarkStart w:id="8" w:name="_Toc226672714"/>
      <w:bookmarkStart w:id="9" w:name="_Toc233147405"/>
      <w:r w:rsidRPr="0093437B">
        <w:rPr>
          <w:rFonts w:ascii="Times New Roman" w:eastAsiaTheme="minorHAnsi" w:hAnsi="Times New Roman" w:cs="Times New Roman"/>
          <w:b/>
          <w:bCs/>
          <w:color w:val="auto"/>
          <w:sz w:val="24"/>
          <w:szCs w:val="24"/>
        </w:rPr>
        <w:t>3.</w:t>
      </w:r>
      <w:r w:rsidR="008A24A4">
        <w:rPr>
          <w:rFonts w:ascii="Times New Roman" w:eastAsiaTheme="minorHAnsi" w:hAnsi="Times New Roman" w:cs="Times New Roman"/>
          <w:b/>
          <w:bCs/>
          <w:color w:val="auto"/>
          <w:sz w:val="24"/>
          <w:szCs w:val="24"/>
        </w:rPr>
        <w:t>3</w:t>
      </w:r>
      <w:r w:rsidRPr="0093437B">
        <w:rPr>
          <w:rFonts w:ascii="Times New Roman" w:eastAsiaTheme="minorHAnsi" w:hAnsi="Times New Roman" w:cs="Times New Roman"/>
          <w:b/>
          <w:bCs/>
          <w:color w:val="auto"/>
          <w:sz w:val="24"/>
          <w:szCs w:val="24"/>
        </w:rPr>
        <w:t xml:space="preserve"> Study Population</w:t>
      </w:r>
      <w:bookmarkEnd w:id="8"/>
      <w:bookmarkEnd w:id="9"/>
    </w:p>
    <w:p w14:paraId="002F4636" w14:textId="00F0DFE5" w:rsidR="00F514EB" w:rsidRPr="0093437B" w:rsidRDefault="00327CA4" w:rsidP="0093437B">
      <w:pPr>
        <w:spacing w:line="360" w:lineRule="auto"/>
        <w:jc w:val="both"/>
        <w:rPr>
          <w:rFonts w:ascii="Times New Roman" w:eastAsia="Times New Roman" w:hAnsi="Times New Roman" w:cs="Times New Roman"/>
        </w:rPr>
      </w:pPr>
      <w:r w:rsidRPr="0093437B">
        <w:rPr>
          <w:rFonts w:ascii="Times New Roman" w:eastAsia="Times New Roman" w:hAnsi="Times New Roman" w:cs="Times New Roman"/>
        </w:rPr>
        <w:t>The target population for this study comprised marketers from Green, Railway, and New Markets in Kabwe.</w:t>
      </w:r>
      <w:r w:rsidR="001F1E87" w:rsidRPr="0093437B">
        <w:rPr>
          <w:rFonts w:ascii="Times New Roman" w:eastAsia="Times New Roman" w:hAnsi="Times New Roman" w:cs="Times New Roman"/>
        </w:rPr>
        <w:t xml:space="preserve"> Participants included market traders involved in selling agricultural produce, clothing, groceries, household goods and other commodities. </w:t>
      </w:r>
      <w:r w:rsidRPr="0093437B">
        <w:rPr>
          <w:rFonts w:ascii="Times New Roman" w:eastAsia="Times New Roman" w:hAnsi="Times New Roman" w:cs="Times New Roman"/>
        </w:rPr>
        <w:t xml:space="preserve"> </w:t>
      </w:r>
      <w:r w:rsidR="001F1E87" w:rsidRPr="0093437B">
        <w:rPr>
          <w:rFonts w:ascii="Times New Roman" w:eastAsia="Times New Roman" w:hAnsi="Times New Roman" w:cs="Times New Roman"/>
        </w:rPr>
        <w:t>I</w:t>
      </w:r>
      <w:r w:rsidRPr="0093437B">
        <w:rPr>
          <w:rFonts w:ascii="Times New Roman" w:eastAsia="Times New Roman" w:hAnsi="Times New Roman" w:cs="Times New Roman"/>
        </w:rPr>
        <w:t>n addition to the marketeers, key informants, such as NHIMA district officers, market association leaders, and local health administrators, were involved to provide institutional perspectives on NHIMA implementation.</w:t>
      </w:r>
    </w:p>
    <w:p w14:paraId="3DE24576" w14:textId="294AEB6A" w:rsidR="00F514EB" w:rsidRPr="0093437B" w:rsidRDefault="00F514EB" w:rsidP="0093437B">
      <w:pPr>
        <w:pStyle w:val="Heading2"/>
        <w:spacing w:after="160" w:line="360" w:lineRule="auto"/>
        <w:jc w:val="both"/>
        <w:rPr>
          <w:rFonts w:ascii="Times New Roman" w:hAnsi="Times New Roman" w:cs="Times New Roman"/>
          <w:b/>
          <w:bCs/>
          <w:color w:val="auto"/>
          <w:sz w:val="24"/>
          <w:szCs w:val="24"/>
        </w:rPr>
      </w:pPr>
      <w:bookmarkStart w:id="10" w:name="_Toc233147407"/>
      <w:r w:rsidRPr="0093437B">
        <w:rPr>
          <w:rFonts w:ascii="Times New Roman" w:hAnsi="Times New Roman" w:cs="Times New Roman"/>
          <w:b/>
          <w:bCs/>
          <w:color w:val="auto"/>
          <w:sz w:val="24"/>
          <w:szCs w:val="24"/>
        </w:rPr>
        <w:t>3.</w:t>
      </w:r>
      <w:r w:rsidR="008A24A4">
        <w:rPr>
          <w:rFonts w:ascii="Times New Roman" w:hAnsi="Times New Roman" w:cs="Times New Roman"/>
          <w:b/>
          <w:bCs/>
          <w:color w:val="auto"/>
          <w:sz w:val="24"/>
          <w:szCs w:val="24"/>
        </w:rPr>
        <w:t>4</w:t>
      </w:r>
      <w:r w:rsidRPr="0093437B">
        <w:rPr>
          <w:rFonts w:ascii="Times New Roman" w:hAnsi="Times New Roman" w:cs="Times New Roman"/>
          <w:b/>
          <w:bCs/>
          <w:color w:val="auto"/>
          <w:sz w:val="24"/>
          <w:szCs w:val="24"/>
        </w:rPr>
        <w:t xml:space="preserve"> Sample Size</w:t>
      </w:r>
      <w:bookmarkEnd w:id="10"/>
    </w:p>
    <w:p w14:paraId="5DD724E5" w14:textId="08D16937" w:rsidR="00224C8D" w:rsidRPr="0093437B" w:rsidRDefault="0092186C" w:rsidP="0093437B">
      <w:pPr>
        <w:spacing w:line="360" w:lineRule="auto"/>
        <w:jc w:val="both"/>
        <w:rPr>
          <w:rFonts w:ascii="Times New Roman" w:eastAsia="Times New Roman" w:hAnsi="Times New Roman" w:cs="Times New Roman"/>
        </w:rPr>
      </w:pPr>
      <w:r w:rsidRPr="0093437B">
        <w:rPr>
          <w:rFonts w:ascii="Times New Roman" w:eastAsia="Times New Roman" w:hAnsi="Times New Roman" w:cs="Times New Roman"/>
        </w:rPr>
        <w:t>A total of 159 marketers formed the sample used for quantitative data collection. Sample size determination was performed using Cochran’s formula</w:t>
      </w:r>
      <w:r w:rsidR="00224C8D" w:rsidRPr="0093437B">
        <w:rPr>
          <w:rFonts w:ascii="Times New Roman" w:eastAsia="Times New Roman" w:hAnsi="Times New Roman" w:cs="Times New Roman"/>
        </w:rPr>
        <w:t xml:space="preserve">, </w:t>
      </w:r>
      <w:r w:rsidRPr="0093437B">
        <w:rPr>
          <w:rFonts w:ascii="Times New Roman" w:eastAsia="Times New Roman" w:hAnsi="Times New Roman" w:cs="Times New Roman"/>
        </w:rPr>
        <w:t xml:space="preserve">which </w:t>
      </w:r>
      <w:r w:rsidR="00224C8D" w:rsidRPr="0093437B">
        <w:rPr>
          <w:rFonts w:ascii="Times New Roman" w:eastAsia="Times New Roman" w:hAnsi="Times New Roman" w:cs="Times New Roman"/>
        </w:rPr>
        <w:t xml:space="preserve">is commonly </w:t>
      </w:r>
      <w:r w:rsidR="003E4097" w:rsidRPr="0093437B">
        <w:rPr>
          <w:rFonts w:ascii="Times New Roman" w:eastAsia="Times New Roman" w:hAnsi="Times New Roman" w:cs="Times New Roman"/>
        </w:rPr>
        <w:t>used to estimate sample sizes for large or</w:t>
      </w:r>
      <w:r w:rsidR="00224C8D" w:rsidRPr="0093437B">
        <w:rPr>
          <w:rFonts w:ascii="Times New Roman" w:eastAsia="Times New Roman" w:hAnsi="Times New Roman" w:cs="Times New Roman"/>
        </w:rPr>
        <w:t xml:space="preserve"> unknown populations. Cochran’s formula calculates the minimum sample required to achieve a specified confidence level and margin of error when estimating population proportions (Cochran, 1977). For this study, a 95 percent confidence level, an assumed population proportion of 0.5 when unknown, and a margin of error of 0.08 were used.</w:t>
      </w:r>
    </w:p>
    <w:p w14:paraId="05E0DC3C" w14:textId="2985CA26" w:rsidR="00F514EB" w:rsidRPr="004A5943" w:rsidRDefault="00091B1E" w:rsidP="004A5943">
      <w:pPr>
        <w:spacing w:line="360" w:lineRule="auto"/>
        <w:jc w:val="both"/>
        <w:rPr>
          <w:rFonts w:ascii="Times New Roman" w:eastAsia="Times New Roman" w:hAnsi="Times New Roman" w:cs="Times New Roman"/>
        </w:rPr>
      </w:pPr>
      <w:r w:rsidRPr="0093437B">
        <w:rPr>
          <w:rFonts w:ascii="Times New Roman" w:eastAsia="Times New Roman" w:hAnsi="Times New Roman" w:cs="Times New Roman"/>
        </w:rPr>
        <w:t>For the qualitative component, ten key informant interviews and three focus group discussions</w:t>
      </w:r>
      <w:r w:rsidR="00224C8D" w:rsidRPr="0093437B">
        <w:rPr>
          <w:rFonts w:ascii="Times New Roman" w:eastAsia="Times New Roman" w:hAnsi="Times New Roman" w:cs="Times New Roman"/>
        </w:rPr>
        <w:t>, each comprising eight participants,</w:t>
      </w:r>
      <w:r w:rsidRPr="0093437B">
        <w:rPr>
          <w:rFonts w:ascii="Times New Roman" w:eastAsia="Times New Roman" w:hAnsi="Times New Roman" w:cs="Times New Roman"/>
        </w:rPr>
        <w:t xml:space="preserve"> were conducted using purposive sampling. Participants were selected based on their knowledge and experience regarding NHIMA implementation and informal sector participation.</w:t>
      </w:r>
    </w:p>
    <w:p w14:paraId="173E3291" w14:textId="193BBE92" w:rsidR="00327CA4" w:rsidRPr="004A5943" w:rsidRDefault="00327CA4" w:rsidP="004A5943">
      <w:pPr>
        <w:pStyle w:val="Heading2"/>
        <w:spacing w:line="360" w:lineRule="auto"/>
        <w:jc w:val="both"/>
        <w:rPr>
          <w:rFonts w:ascii="Times New Roman" w:hAnsi="Times New Roman" w:cs="Times New Roman"/>
          <w:b/>
          <w:bCs/>
          <w:color w:val="auto"/>
          <w:sz w:val="24"/>
          <w:szCs w:val="24"/>
        </w:rPr>
      </w:pPr>
      <w:bookmarkStart w:id="11" w:name="_Toc226672717"/>
      <w:bookmarkStart w:id="12" w:name="_Toc233147408"/>
      <w:r w:rsidRPr="004A5943">
        <w:rPr>
          <w:rFonts w:ascii="Times New Roman" w:hAnsi="Times New Roman" w:cs="Times New Roman"/>
          <w:b/>
          <w:bCs/>
          <w:color w:val="auto"/>
          <w:sz w:val="24"/>
          <w:szCs w:val="24"/>
        </w:rPr>
        <w:t>3.</w:t>
      </w:r>
      <w:r w:rsidR="008A24A4">
        <w:rPr>
          <w:rFonts w:ascii="Times New Roman" w:hAnsi="Times New Roman" w:cs="Times New Roman"/>
          <w:b/>
          <w:bCs/>
          <w:color w:val="auto"/>
          <w:sz w:val="24"/>
          <w:szCs w:val="24"/>
        </w:rPr>
        <w:t xml:space="preserve">5 </w:t>
      </w:r>
      <w:r w:rsidRPr="004A5943">
        <w:rPr>
          <w:rFonts w:ascii="Times New Roman" w:hAnsi="Times New Roman" w:cs="Times New Roman"/>
          <w:b/>
          <w:bCs/>
          <w:color w:val="auto"/>
          <w:sz w:val="24"/>
          <w:szCs w:val="24"/>
        </w:rPr>
        <w:t xml:space="preserve">Data Collection </w:t>
      </w:r>
      <w:bookmarkEnd w:id="11"/>
      <w:r w:rsidRPr="004A5943">
        <w:rPr>
          <w:rFonts w:ascii="Times New Roman" w:hAnsi="Times New Roman" w:cs="Times New Roman"/>
          <w:b/>
          <w:bCs/>
          <w:color w:val="auto"/>
          <w:sz w:val="24"/>
          <w:szCs w:val="24"/>
        </w:rPr>
        <w:t>Methods</w:t>
      </w:r>
      <w:bookmarkEnd w:id="12"/>
    </w:p>
    <w:p w14:paraId="48269E98" w14:textId="6F6B624B" w:rsidR="00327CA4" w:rsidRPr="004A5943" w:rsidRDefault="00327CA4" w:rsidP="004A5943">
      <w:pPr>
        <w:spacing w:after="80" w:line="360" w:lineRule="auto"/>
        <w:jc w:val="both"/>
        <w:rPr>
          <w:rFonts w:ascii="Times New Roman" w:eastAsia="Times New Roman" w:hAnsi="Times New Roman" w:cs="Times New Roman"/>
        </w:rPr>
      </w:pPr>
      <w:r w:rsidRPr="004A5943">
        <w:rPr>
          <w:rFonts w:ascii="Times New Roman" w:eastAsia="Times New Roman" w:hAnsi="Times New Roman" w:cs="Times New Roman"/>
        </w:rPr>
        <w:t xml:space="preserve">Data collection for this study was strategically operationalized through a parallel mixed-methods approach to ensure empirical breadth and deep contextual validation. </w:t>
      </w:r>
      <w:r w:rsidR="004B31AD" w:rsidRPr="004A5943">
        <w:rPr>
          <w:rFonts w:ascii="Times New Roman" w:eastAsia="Times New Roman" w:hAnsi="Times New Roman" w:cs="Times New Roman"/>
        </w:rPr>
        <w:t>The</w:t>
      </w:r>
      <w:r w:rsidRPr="004A5943">
        <w:rPr>
          <w:rFonts w:ascii="Times New Roman" w:eastAsia="Times New Roman" w:hAnsi="Times New Roman" w:cs="Times New Roman"/>
        </w:rPr>
        <w:t xml:space="preserve"> process began with the standardized deployment of a closed-ended questionnaire, distributed by the </w:t>
      </w:r>
      <w:r w:rsidRPr="004A5943">
        <w:rPr>
          <w:rFonts w:ascii="Times New Roman" w:eastAsia="Times New Roman" w:hAnsi="Times New Roman" w:cs="Times New Roman"/>
        </w:rPr>
        <w:lastRenderedPageBreak/>
        <w:t>sample market traders. Simultaneously, semi-structured Key Informant Interviews (KIIs) and Focus Group Discussions (FGDs) were conducted with institutional officials and community leaders to elicit narratives underlying the qualitative and quantitative patterns.</w:t>
      </w:r>
    </w:p>
    <w:p w14:paraId="0C9F16B9" w14:textId="5E96B9B3" w:rsidR="00327CA4" w:rsidRPr="004A5943" w:rsidRDefault="00327CA4" w:rsidP="004A5943">
      <w:pPr>
        <w:numPr>
          <w:ilvl w:val="1"/>
          <w:numId w:val="7"/>
        </w:numPr>
        <w:tabs>
          <w:tab w:val="left" w:pos="1080"/>
        </w:tabs>
        <w:spacing w:before="240" w:after="80" w:line="360" w:lineRule="auto"/>
        <w:ind w:left="284" w:hanging="284"/>
        <w:jc w:val="both"/>
        <w:rPr>
          <w:rFonts w:ascii="Times New Roman" w:eastAsia="Times New Roman" w:hAnsi="Times New Roman" w:cs="Times New Roman"/>
        </w:rPr>
      </w:pPr>
      <w:r w:rsidRPr="004A5943">
        <w:rPr>
          <w:rFonts w:ascii="Times New Roman" w:eastAsia="Times New Roman" w:hAnsi="Times New Roman" w:cs="Times New Roman"/>
          <w:i/>
          <w:iCs/>
        </w:rPr>
        <w:t>Structured Questionnaire</w:t>
      </w:r>
      <w:r w:rsidRPr="004A5943">
        <w:rPr>
          <w:rFonts w:ascii="Times New Roman" w:eastAsia="Times New Roman" w:hAnsi="Times New Roman" w:cs="Times New Roman"/>
        </w:rPr>
        <w:t xml:space="preserve"> </w:t>
      </w:r>
      <w:r w:rsidR="00C71135" w:rsidRPr="004A5943">
        <w:rPr>
          <w:rFonts w:ascii="Times New Roman" w:eastAsia="Times New Roman" w:hAnsi="Times New Roman" w:cs="Times New Roman"/>
        </w:rPr>
        <w:t>-</w:t>
      </w:r>
      <w:r w:rsidR="007634A9" w:rsidRPr="004A5943">
        <w:rPr>
          <w:rFonts w:ascii="Times New Roman" w:eastAsia="Times New Roman" w:hAnsi="Times New Roman" w:cs="Times New Roman"/>
        </w:rPr>
        <w:t xml:space="preserve"> </w:t>
      </w:r>
      <w:r w:rsidRPr="004A5943">
        <w:rPr>
          <w:rFonts w:ascii="Times New Roman" w:eastAsia="Times New Roman" w:hAnsi="Times New Roman" w:cs="Times New Roman"/>
        </w:rPr>
        <w:t xml:space="preserve">Quantitative data from informal sector workers were collected using a self-administered structured questionnaire. </w:t>
      </w:r>
      <w:r w:rsidR="004B31AD" w:rsidRPr="004A5943">
        <w:rPr>
          <w:rFonts w:ascii="Times New Roman" w:eastAsia="Times New Roman" w:hAnsi="Times New Roman" w:cs="Times New Roman"/>
        </w:rPr>
        <w:t xml:space="preserve">The instrument consisted mainly of five-point Likert-scale items ranging from "Strongly Disagree" to "Strongly Agree." </w:t>
      </w:r>
    </w:p>
    <w:p w14:paraId="4E376117" w14:textId="16951EE1" w:rsidR="00327CA4" w:rsidRPr="004A5943" w:rsidRDefault="00327CA4" w:rsidP="004A5943">
      <w:pPr>
        <w:numPr>
          <w:ilvl w:val="1"/>
          <w:numId w:val="7"/>
        </w:numPr>
        <w:tabs>
          <w:tab w:val="left" w:pos="1080"/>
        </w:tabs>
        <w:spacing w:before="120" w:after="80" w:line="360" w:lineRule="auto"/>
        <w:ind w:left="284" w:hanging="284"/>
        <w:jc w:val="both"/>
        <w:rPr>
          <w:rFonts w:ascii="Times New Roman" w:eastAsia="Times New Roman" w:hAnsi="Times New Roman" w:cs="Times New Roman"/>
        </w:rPr>
      </w:pPr>
      <w:r w:rsidRPr="004A5943">
        <w:rPr>
          <w:rFonts w:ascii="Times New Roman" w:eastAsia="Times New Roman" w:hAnsi="Times New Roman" w:cs="Times New Roman"/>
          <w:i/>
          <w:iCs/>
        </w:rPr>
        <w:t>Interview Guide</w:t>
      </w:r>
      <w:r w:rsidRPr="004A5943">
        <w:rPr>
          <w:rFonts w:ascii="Times New Roman" w:eastAsia="Times New Roman" w:hAnsi="Times New Roman" w:cs="Times New Roman"/>
        </w:rPr>
        <w:t xml:space="preserve"> </w:t>
      </w:r>
      <w:r w:rsidR="00C71135" w:rsidRPr="004A5943">
        <w:rPr>
          <w:rFonts w:ascii="Times New Roman" w:eastAsia="Times New Roman" w:hAnsi="Times New Roman" w:cs="Times New Roman"/>
        </w:rPr>
        <w:t>-</w:t>
      </w:r>
      <w:r w:rsidRPr="004A5943">
        <w:rPr>
          <w:rFonts w:ascii="Times New Roman" w:eastAsia="Times New Roman" w:hAnsi="Times New Roman" w:cs="Times New Roman"/>
        </w:rPr>
        <w:t>The key informant interviews (KIIs) were conducted using a semi-structured interview guide developed with NHIMA officers, the leaders of the market associations, and the administrators of healthcare facilities. This guide consisted of open-ended questions on perceptions of policy implementation, obstacles to enrolment in the health scheme for the informal sector, and strategies to improve enrolment.</w:t>
      </w:r>
    </w:p>
    <w:p w14:paraId="372DF516" w14:textId="1E431CBC" w:rsidR="007A2809" w:rsidRPr="003C2624" w:rsidRDefault="00327CA4" w:rsidP="003C2624">
      <w:pPr>
        <w:numPr>
          <w:ilvl w:val="1"/>
          <w:numId w:val="7"/>
        </w:numPr>
        <w:tabs>
          <w:tab w:val="left" w:pos="1080"/>
        </w:tabs>
        <w:spacing w:before="120" w:after="80" w:line="360" w:lineRule="auto"/>
        <w:ind w:left="284" w:hanging="284"/>
        <w:jc w:val="both"/>
        <w:rPr>
          <w:rFonts w:ascii="Times New Roman" w:eastAsia="Times New Roman" w:hAnsi="Times New Roman" w:cs="Times New Roman"/>
        </w:rPr>
      </w:pPr>
      <w:r w:rsidRPr="004A5943">
        <w:rPr>
          <w:rFonts w:ascii="Times New Roman" w:eastAsia="Times New Roman" w:hAnsi="Times New Roman" w:cs="Times New Roman"/>
          <w:i/>
          <w:iCs/>
        </w:rPr>
        <w:t>Focus Group Discussion (FGD</w:t>
      </w:r>
      <w:r w:rsidRPr="004A5943">
        <w:rPr>
          <w:rFonts w:ascii="Times New Roman" w:eastAsia="Times New Roman" w:hAnsi="Times New Roman" w:cs="Times New Roman"/>
        </w:rPr>
        <w:t>)</w:t>
      </w:r>
      <w:r w:rsidR="00C71135" w:rsidRPr="004A5943">
        <w:rPr>
          <w:rFonts w:ascii="Times New Roman" w:eastAsia="Times New Roman" w:hAnsi="Times New Roman" w:cs="Times New Roman"/>
        </w:rPr>
        <w:t>-</w:t>
      </w:r>
      <w:r w:rsidRPr="004A5943">
        <w:rPr>
          <w:rFonts w:ascii="Times New Roman" w:eastAsia="Times New Roman" w:hAnsi="Times New Roman" w:cs="Times New Roman"/>
        </w:rPr>
        <w:t xml:space="preserve">The focus group discussions with informal workers were conducted using a discussion guide. The FGD guide </w:t>
      </w:r>
      <w:r w:rsidR="00E27201" w:rsidRPr="004A5943">
        <w:rPr>
          <w:rFonts w:ascii="Times New Roman" w:eastAsia="Times New Roman" w:hAnsi="Times New Roman" w:cs="Times New Roman"/>
        </w:rPr>
        <w:t>captured shared experiences, community perceptions, and attitudes that might not emerge in</w:t>
      </w:r>
      <w:r w:rsidRPr="004A5943">
        <w:rPr>
          <w:rFonts w:ascii="Times New Roman" w:eastAsia="Times New Roman" w:hAnsi="Times New Roman" w:cs="Times New Roman"/>
        </w:rPr>
        <w:t xml:space="preserve"> structured surveys.</w:t>
      </w:r>
    </w:p>
    <w:p w14:paraId="539D9636" w14:textId="50687A76" w:rsidR="00F931ED" w:rsidRPr="00A539C6" w:rsidRDefault="00327CA4" w:rsidP="00EA19DF">
      <w:pPr>
        <w:spacing w:before="240" w:after="0" w:line="360" w:lineRule="auto"/>
        <w:jc w:val="both"/>
        <w:rPr>
          <w:rFonts w:ascii="Times New Roman" w:hAnsi="Times New Roman" w:cs="Times New Roman"/>
          <w:b/>
        </w:rPr>
      </w:pPr>
      <w:r w:rsidRPr="004A5943">
        <w:rPr>
          <w:rFonts w:ascii="Times New Roman" w:eastAsia="Times New Roman" w:hAnsi="Times New Roman" w:cs="Times New Roman"/>
        </w:rPr>
        <w:t xml:space="preserve">By initiating these distinct instruments within the same fieldwork timeframe, the study minimized temporal bias, established a strong foundation for subsequent data triangulation, and produced a highly verifiable dataset capable of answering the core research questions. All instruments were developed in English, translated into Bemba for fieldwork, and explained to ensure clarity and accessibility for participants with limited English proficiency before they appended their thumbprints or signatures. These multiple instruments were chosen to </w:t>
      </w:r>
      <w:r w:rsidR="00AC0A16" w:rsidRPr="004A5943">
        <w:rPr>
          <w:rFonts w:ascii="Times New Roman" w:eastAsia="Times New Roman" w:hAnsi="Times New Roman" w:cs="Times New Roman"/>
        </w:rPr>
        <w:t>deepen and increase the reliability of the data through</w:t>
      </w:r>
      <w:r w:rsidRPr="004A5943">
        <w:rPr>
          <w:rFonts w:ascii="Times New Roman" w:eastAsia="Times New Roman" w:hAnsi="Times New Roman" w:cs="Times New Roman"/>
        </w:rPr>
        <w:t xml:space="preserve"> methodological triangulation (Creswell and </w:t>
      </w:r>
      <w:r w:rsidRPr="00A539C6">
        <w:rPr>
          <w:rFonts w:ascii="Times New Roman" w:eastAsia="Times New Roman" w:hAnsi="Times New Roman" w:cs="Times New Roman"/>
        </w:rPr>
        <w:t>Plano Clark, 2018)</w:t>
      </w:r>
      <w:r w:rsidR="00C71135" w:rsidRPr="00A539C6">
        <w:rPr>
          <w:rFonts w:ascii="Times New Roman" w:eastAsia="Times New Roman" w:hAnsi="Times New Roman" w:cs="Times New Roman"/>
        </w:rPr>
        <w:t>.</w:t>
      </w:r>
      <w:r w:rsidR="00F931ED" w:rsidRPr="00A539C6">
        <w:rPr>
          <w:rFonts w:ascii="Times New Roman" w:hAnsi="Times New Roman" w:cs="Times New Roman"/>
          <w:b/>
        </w:rPr>
        <w:t xml:space="preserve"> </w:t>
      </w:r>
    </w:p>
    <w:p w14:paraId="4BC3382A" w14:textId="79FD50DC" w:rsidR="00F931ED" w:rsidRPr="00A539C6" w:rsidRDefault="008A24A4" w:rsidP="00EA19DF">
      <w:pPr>
        <w:spacing w:before="240" w:after="0" w:line="360" w:lineRule="auto"/>
        <w:jc w:val="both"/>
        <w:rPr>
          <w:rFonts w:ascii="Times New Roman" w:eastAsia="Times New Roman" w:hAnsi="Times New Roman" w:cs="Times New Roman"/>
        </w:rPr>
      </w:pPr>
      <w:r>
        <w:rPr>
          <w:rFonts w:ascii="Times New Roman" w:hAnsi="Times New Roman" w:cs="Times New Roman"/>
          <w:b/>
        </w:rPr>
        <w:t xml:space="preserve">3.6 </w:t>
      </w:r>
      <w:r w:rsidR="00F931ED" w:rsidRPr="00A539C6">
        <w:rPr>
          <w:rFonts w:ascii="Times New Roman" w:hAnsi="Times New Roman" w:cs="Times New Roman"/>
          <w:b/>
        </w:rPr>
        <w:t xml:space="preserve">Data Analysis </w:t>
      </w:r>
    </w:p>
    <w:p w14:paraId="0BFEEB00" w14:textId="56818E46" w:rsidR="003438F7" w:rsidRPr="00A539C6" w:rsidRDefault="003438F7" w:rsidP="00CE20E0">
      <w:pPr>
        <w:spacing w:before="240" w:after="0" w:line="360" w:lineRule="auto"/>
        <w:jc w:val="both"/>
        <w:rPr>
          <w:rFonts w:ascii="Times New Roman" w:eastAsia="Times New Roman" w:hAnsi="Times New Roman" w:cs="Times New Roman"/>
        </w:rPr>
      </w:pPr>
      <w:r w:rsidRPr="00A539C6">
        <w:rPr>
          <w:rFonts w:ascii="Times New Roman" w:eastAsia="Times New Roman" w:hAnsi="Times New Roman" w:cs="Times New Roman"/>
        </w:rPr>
        <w:t>The quantitative data were coded in SPSS version 27 for analysis. The descriptive statistics, such as frequency, percentage, mean, and standard deviation, were generated to determine respondents' perceptions of the difficulties affecting participation in NHIMA. These findings were reported through tables and narratives.</w:t>
      </w:r>
    </w:p>
    <w:p w14:paraId="2EBFE722" w14:textId="58285226" w:rsidR="00F931ED" w:rsidRPr="00A539C6" w:rsidRDefault="003438F7" w:rsidP="00A539C6">
      <w:pPr>
        <w:spacing w:after="0" w:line="360" w:lineRule="auto"/>
        <w:jc w:val="both"/>
        <w:rPr>
          <w:rFonts w:ascii="Times New Roman" w:eastAsia="Times New Roman" w:hAnsi="Times New Roman" w:cs="Times New Roman"/>
        </w:rPr>
      </w:pPr>
      <w:r w:rsidRPr="00A539C6">
        <w:rPr>
          <w:rFonts w:ascii="Times New Roman" w:eastAsia="Times New Roman" w:hAnsi="Times New Roman" w:cs="Times New Roman"/>
        </w:rPr>
        <w:t>On the other hand, the qualitative data were recorded and transcribed verbatim to undergo thematic analysis. The transcription process involved reading the data several times before coding. Similar codes were grouped into categories, and the themes emerged. This integration of both quantitative and qualitative data was done during the interpretation process.</w:t>
      </w:r>
    </w:p>
    <w:p w14:paraId="1F4926C0" w14:textId="0FE7A03D" w:rsidR="00C71135" w:rsidRPr="00A539C6" w:rsidRDefault="006D72DE" w:rsidP="00A539C6">
      <w:pPr>
        <w:pStyle w:val="Heading2"/>
        <w:spacing w:after="0" w:line="360" w:lineRule="auto"/>
        <w:jc w:val="both"/>
        <w:rPr>
          <w:rFonts w:ascii="Times New Roman" w:hAnsi="Times New Roman" w:cs="Times New Roman"/>
          <w:b/>
          <w:bCs/>
          <w:color w:val="auto"/>
          <w:sz w:val="24"/>
          <w:szCs w:val="24"/>
        </w:rPr>
      </w:pPr>
      <w:bookmarkStart w:id="13" w:name="_Toc226672721"/>
      <w:bookmarkStart w:id="14" w:name="_Toc233147412"/>
      <w:r>
        <w:rPr>
          <w:rFonts w:ascii="Times New Roman" w:hAnsi="Times New Roman" w:cs="Times New Roman"/>
          <w:b/>
          <w:bCs/>
          <w:color w:val="auto"/>
          <w:sz w:val="24"/>
          <w:szCs w:val="24"/>
        </w:rPr>
        <w:lastRenderedPageBreak/>
        <w:t xml:space="preserve">3.7 </w:t>
      </w:r>
      <w:r w:rsidR="00C71135" w:rsidRPr="00A539C6">
        <w:rPr>
          <w:rFonts w:ascii="Times New Roman" w:hAnsi="Times New Roman" w:cs="Times New Roman"/>
          <w:b/>
          <w:bCs/>
          <w:color w:val="auto"/>
          <w:sz w:val="24"/>
          <w:szCs w:val="24"/>
        </w:rPr>
        <w:t>Ethical Considerations</w:t>
      </w:r>
      <w:bookmarkEnd w:id="13"/>
      <w:bookmarkEnd w:id="14"/>
    </w:p>
    <w:p w14:paraId="2BFE6B78" w14:textId="72B0CCC4" w:rsidR="001E61BC" w:rsidRDefault="00C71135" w:rsidP="00DF34E5">
      <w:pPr>
        <w:spacing w:after="0" w:line="360" w:lineRule="auto"/>
        <w:jc w:val="both"/>
        <w:rPr>
          <w:rFonts w:ascii="Times New Roman" w:hAnsi="Times New Roman" w:cs="Times New Roman"/>
        </w:rPr>
      </w:pPr>
      <w:r w:rsidRPr="00A539C6">
        <w:rPr>
          <w:rFonts w:ascii="Times New Roman" w:hAnsi="Times New Roman" w:cs="Times New Roman"/>
        </w:rPr>
        <w:t xml:space="preserve">This study adhered to both national and international ethical research standards, guided by </w:t>
      </w:r>
      <w:r w:rsidR="002A5FFA" w:rsidRPr="00A539C6">
        <w:rPr>
          <w:rFonts w:ascii="Times New Roman" w:hAnsi="Times New Roman" w:cs="Times New Roman"/>
        </w:rPr>
        <w:t>the principles of respect for persons, beneficence, and justice as outlined in the Belmont Report (</w:t>
      </w:r>
      <w:r w:rsidRPr="00A539C6">
        <w:rPr>
          <w:rFonts w:ascii="Times New Roman" w:hAnsi="Times New Roman" w:cs="Times New Roman"/>
        </w:rPr>
        <w:t xml:space="preserve">2024). </w:t>
      </w:r>
      <w:r w:rsidR="001E61BC" w:rsidRPr="00A539C6">
        <w:rPr>
          <w:rFonts w:ascii="Times New Roman" w:hAnsi="Times New Roman" w:cs="Times New Roman"/>
        </w:rPr>
        <w:t>The researchers ensured that ethical principles of social research were upheld. The main ethical issues addressed in the course of the research were</w:t>
      </w:r>
      <w:r w:rsidR="002A5FFA" w:rsidRPr="00A539C6">
        <w:rPr>
          <w:rFonts w:ascii="Times New Roman" w:hAnsi="Times New Roman" w:cs="Times New Roman"/>
        </w:rPr>
        <w:t>: approval, permission, access and acceptance, informed consent, confidentiality, the right to privacy and anonymity, the right to withdraw, beneficence, justice,</w:t>
      </w:r>
      <w:r w:rsidR="001E61BC" w:rsidRPr="00A539C6">
        <w:rPr>
          <w:rFonts w:ascii="Times New Roman" w:hAnsi="Times New Roman" w:cs="Times New Roman"/>
        </w:rPr>
        <w:t xml:space="preserve"> and fairness. The ethical approval number for the study is </w:t>
      </w:r>
      <w:r w:rsidR="002A5FFA" w:rsidRPr="00A539C6">
        <w:rPr>
          <w:rFonts w:ascii="Times New Roman" w:hAnsi="Times New Roman" w:cs="Times New Roman"/>
        </w:rPr>
        <w:t>MU/DRI/REC/2026/006.</w:t>
      </w:r>
    </w:p>
    <w:p w14:paraId="0818D85C" w14:textId="77777777" w:rsidR="00DF34E5" w:rsidRPr="00CE20E0" w:rsidRDefault="00DF34E5" w:rsidP="00DF34E5">
      <w:pPr>
        <w:spacing w:after="0" w:line="360" w:lineRule="auto"/>
        <w:jc w:val="both"/>
        <w:rPr>
          <w:rFonts w:ascii="Times New Roman" w:hAnsi="Times New Roman" w:cs="Times New Roman"/>
        </w:rPr>
      </w:pPr>
    </w:p>
    <w:p w14:paraId="206694EF" w14:textId="0D73DFF8" w:rsidR="00C018C8" w:rsidRPr="00CE20E0" w:rsidRDefault="006D72DE" w:rsidP="00CE20E0">
      <w:pPr>
        <w:spacing w:line="360" w:lineRule="auto"/>
        <w:jc w:val="both"/>
        <w:rPr>
          <w:rFonts w:ascii="Times New Roman" w:hAnsi="Times New Roman" w:cs="Times New Roman"/>
          <w:b/>
          <w:bCs/>
          <w:lang w:val="en-GB"/>
        </w:rPr>
      </w:pPr>
      <w:r>
        <w:rPr>
          <w:rFonts w:ascii="Times New Roman" w:hAnsi="Times New Roman" w:cs="Times New Roman"/>
          <w:b/>
          <w:bCs/>
          <w:lang w:val="en-GB"/>
        </w:rPr>
        <w:t>4</w:t>
      </w:r>
      <w:r w:rsidR="00310635" w:rsidRPr="00CE20E0">
        <w:rPr>
          <w:rFonts w:ascii="Times New Roman" w:hAnsi="Times New Roman" w:cs="Times New Roman"/>
          <w:b/>
          <w:bCs/>
          <w:lang w:val="en-GB"/>
        </w:rPr>
        <w:t xml:space="preserve">.0 </w:t>
      </w:r>
      <w:r w:rsidR="00C018C8" w:rsidRPr="00CE20E0">
        <w:rPr>
          <w:rFonts w:ascii="Times New Roman" w:hAnsi="Times New Roman" w:cs="Times New Roman"/>
          <w:b/>
          <w:bCs/>
          <w:lang w:val="en-GB"/>
        </w:rPr>
        <w:t xml:space="preserve">Results </w:t>
      </w:r>
    </w:p>
    <w:p w14:paraId="6A2749E6" w14:textId="5FE1B041" w:rsidR="00344534" w:rsidRPr="00CE20E0" w:rsidRDefault="006D72DE" w:rsidP="00CE20E0">
      <w:pPr>
        <w:spacing w:line="360" w:lineRule="auto"/>
        <w:jc w:val="both"/>
        <w:rPr>
          <w:rFonts w:ascii="Times New Roman" w:hAnsi="Times New Roman" w:cs="Times New Roman"/>
          <w:b/>
          <w:bCs/>
          <w:lang w:val="en-GB"/>
        </w:rPr>
      </w:pPr>
      <w:r>
        <w:rPr>
          <w:rFonts w:ascii="Times New Roman" w:hAnsi="Times New Roman" w:cs="Times New Roman"/>
          <w:b/>
          <w:bCs/>
          <w:lang w:val="en-GB"/>
        </w:rPr>
        <w:t>4</w:t>
      </w:r>
      <w:r w:rsidR="00310635" w:rsidRPr="00CE20E0">
        <w:rPr>
          <w:rFonts w:ascii="Times New Roman" w:hAnsi="Times New Roman" w:cs="Times New Roman"/>
          <w:b/>
          <w:bCs/>
          <w:lang w:val="en-GB"/>
        </w:rPr>
        <w:t xml:space="preserve">.1 </w:t>
      </w:r>
      <w:r w:rsidR="00344534" w:rsidRPr="00CE20E0">
        <w:rPr>
          <w:rFonts w:ascii="Times New Roman" w:hAnsi="Times New Roman" w:cs="Times New Roman"/>
          <w:b/>
          <w:bCs/>
          <w:lang w:val="en-GB"/>
        </w:rPr>
        <w:t>Introduction</w:t>
      </w:r>
    </w:p>
    <w:p w14:paraId="0696A770" w14:textId="457BA636" w:rsidR="00344534" w:rsidRPr="00CE20E0" w:rsidRDefault="002F5CAC" w:rsidP="00CE20E0">
      <w:pPr>
        <w:spacing w:line="360" w:lineRule="auto"/>
        <w:jc w:val="both"/>
        <w:rPr>
          <w:rFonts w:ascii="Times New Roman" w:hAnsi="Times New Roman" w:cs="Times New Roman"/>
          <w:lang w:val="en-GB"/>
        </w:rPr>
      </w:pPr>
      <w:r w:rsidRPr="00CE20E0">
        <w:rPr>
          <w:rFonts w:ascii="Times New Roman" w:hAnsi="Times New Roman" w:cs="Times New Roman"/>
          <w:lang w:val="en-GB"/>
        </w:rPr>
        <w:t xml:space="preserve">In this section, findings are presented on the challenges hindering </w:t>
      </w:r>
      <w:r w:rsidR="009240C0" w:rsidRPr="00CE20E0">
        <w:rPr>
          <w:rFonts w:ascii="Times New Roman" w:hAnsi="Times New Roman" w:cs="Times New Roman"/>
          <w:lang w:val="en-GB"/>
        </w:rPr>
        <w:t>marketeers' participation in the NHIMA program in</w:t>
      </w:r>
      <w:r w:rsidRPr="00CE20E0">
        <w:rPr>
          <w:rFonts w:ascii="Times New Roman" w:hAnsi="Times New Roman" w:cs="Times New Roman"/>
          <w:lang w:val="en-GB"/>
        </w:rPr>
        <w:t xml:space="preserve"> Kabwe District, Zambia. In this chapter, the findings will be discussed systematically in line with the research objective set out in this study, specifically concerning participation challenges. The findings will be presented in line with the research objectives and will draw on qualitative and quantitative data collected from the questionnaire (n=159), </w:t>
      </w:r>
      <w:r w:rsidR="009240C0" w:rsidRPr="00CE20E0">
        <w:rPr>
          <w:rFonts w:ascii="Times New Roman" w:hAnsi="Times New Roman" w:cs="Times New Roman"/>
          <w:lang w:val="en-GB"/>
        </w:rPr>
        <w:t xml:space="preserve">Focus Group Discussions (FGDs), and Key Informant Interviews (KIIs). </w:t>
      </w:r>
      <w:r w:rsidRPr="00CE20E0">
        <w:rPr>
          <w:rFonts w:ascii="Times New Roman" w:hAnsi="Times New Roman" w:cs="Times New Roman"/>
          <w:lang w:val="en-GB"/>
        </w:rPr>
        <w:t xml:space="preserve"> Quantitative data will include descriptive analyses of frequencies, while qualitative data will help interpret the findings on challenges to participation in NHIMA.</w:t>
      </w:r>
    </w:p>
    <w:p w14:paraId="5A5C020C" w14:textId="410E6CDC" w:rsidR="0040477C" w:rsidRPr="0073107B" w:rsidRDefault="0040477C" w:rsidP="0040477C">
      <w:pPr>
        <w:pStyle w:val="Caption"/>
        <w:keepNext/>
        <w:spacing w:after="0" w:line="360" w:lineRule="auto"/>
        <w:jc w:val="both"/>
        <w:rPr>
          <w:rFonts w:ascii="Times New Roman" w:hAnsi="Times New Roman" w:cs="Times New Roman"/>
          <w:b/>
          <w:i w:val="0"/>
          <w:iCs w:val="0"/>
          <w:color w:val="auto"/>
        </w:rPr>
      </w:pPr>
      <w:bookmarkStart w:id="15" w:name="_Toc233380550"/>
      <w:r w:rsidRPr="0073107B">
        <w:rPr>
          <w:rFonts w:ascii="Times New Roman" w:hAnsi="Times New Roman" w:cs="Times New Roman"/>
          <w:b/>
          <w:bCs/>
          <w:i w:val="0"/>
          <w:iCs w:val="0"/>
          <w:color w:val="auto"/>
          <w:sz w:val="22"/>
          <w:szCs w:val="22"/>
        </w:rPr>
        <w:t>Demographic Characteristics of Respondents</w:t>
      </w:r>
      <w:bookmarkStart w:id="16" w:name="_Toc228457824"/>
      <w:bookmarkStart w:id="17" w:name="_Toc233380579"/>
      <w:bookmarkEnd w:id="15"/>
      <w:r w:rsidRPr="0073107B">
        <w:rPr>
          <w:rFonts w:ascii="Times New Roman" w:hAnsi="Times New Roman" w:cs="Times New Roman"/>
          <w:b/>
          <w:i w:val="0"/>
          <w:iCs w:val="0"/>
          <w:color w:val="auto"/>
        </w:rPr>
        <w:t xml:space="preserve"> </w:t>
      </w:r>
    </w:p>
    <w:p w14:paraId="1656404C" w14:textId="061D5FB9" w:rsidR="0040477C" w:rsidRPr="0073107B" w:rsidRDefault="0040477C" w:rsidP="0040477C">
      <w:pPr>
        <w:pStyle w:val="Caption"/>
        <w:keepNext/>
        <w:spacing w:after="0" w:line="360" w:lineRule="auto"/>
        <w:jc w:val="both"/>
        <w:rPr>
          <w:rFonts w:ascii="Times New Roman" w:hAnsi="Times New Roman" w:cs="Times New Roman"/>
          <w:b/>
          <w:color w:val="auto"/>
          <w:sz w:val="22"/>
          <w:szCs w:val="22"/>
        </w:rPr>
      </w:pPr>
      <w:r w:rsidRPr="0073107B">
        <w:rPr>
          <w:rFonts w:ascii="Times New Roman" w:hAnsi="Times New Roman" w:cs="Times New Roman"/>
          <w:b/>
          <w:color w:val="auto"/>
          <w:sz w:val="22"/>
          <w:szCs w:val="22"/>
        </w:rPr>
        <w:t xml:space="preserve">Table </w:t>
      </w:r>
      <w:r w:rsidRPr="0073107B">
        <w:rPr>
          <w:rFonts w:ascii="Times New Roman" w:hAnsi="Times New Roman" w:cs="Times New Roman"/>
          <w:b/>
          <w:color w:val="auto"/>
          <w:sz w:val="22"/>
          <w:szCs w:val="22"/>
        </w:rPr>
        <w:fldChar w:fldCharType="begin"/>
      </w:r>
      <w:r w:rsidRPr="0073107B">
        <w:rPr>
          <w:rFonts w:ascii="Times New Roman" w:hAnsi="Times New Roman" w:cs="Times New Roman"/>
          <w:b/>
          <w:color w:val="auto"/>
          <w:sz w:val="22"/>
          <w:szCs w:val="22"/>
        </w:rPr>
        <w:instrText xml:space="preserve"> SEQ Table \* ARABIC </w:instrText>
      </w:r>
      <w:r w:rsidRPr="0073107B">
        <w:rPr>
          <w:rFonts w:ascii="Times New Roman" w:hAnsi="Times New Roman" w:cs="Times New Roman"/>
          <w:b/>
          <w:color w:val="auto"/>
          <w:sz w:val="22"/>
          <w:szCs w:val="22"/>
        </w:rPr>
        <w:fldChar w:fldCharType="separate"/>
      </w:r>
      <w:r w:rsidRPr="0073107B">
        <w:rPr>
          <w:rFonts w:ascii="Times New Roman" w:hAnsi="Times New Roman" w:cs="Times New Roman"/>
          <w:b/>
          <w:noProof/>
          <w:color w:val="auto"/>
          <w:sz w:val="22"/>
          <w:szCs w:val="22"/>
        </w:rPr>
        <w:t>1</w:t>
      </w:r>
      <w:r w:rsidRPr="0073107B">
        <w:rPr>
          <w:rFonts w:ascii="Times New Roman" w:hAnsi="Times New Roman" w:cs="Times New Roman"/>
          <w:b/>
          <w:noProof/>
          <w:color w:val="auto"/>
          <w:sz w:val="22"/>
          <w:szCs w:val="22"/>
        </w:rPr>
        <w:fldChar w:fldCharType="end"/>
      </w:r>
      <w:r w:rsidR="009A5D3B">
        <w:rPr>
          <w:rFonts w:ascii="Times New Roman" w:hAnsi="Times New Roman" w:cs="Times New Roman"/>
          <w:b/>
          <w:color w:val="auto"/>
          <w:sz w:val="22"/>
          <w:szCs w:val="22"/>
        </w:rPr>
        <w:t xml:space="preserve">: </w:t>
      </w:r>
      <w:r w:rsidRPr="0073107B">
        <w:rPr>
          <w:rFonts w:ascii="Times New Roman" w:hAnsi="Times New Roman" w:cs="Times New Roman"/>
          <w:b/>
          <w:color w:val="auto"/>
          <w:sz w:val="22"/>
          <w:szCs w:val="22"/>
        </w:rPr>
        <w:t>Distribution of Respondents by Sex</w:t>
      </w:r>
      <w:bookmarkEnd w:id="16"/>
      <w:bookmarkEnd w:id="17"/>
      <w:r w:rsidRPr="0073107B">
        <w:rPr>
          <w:rFonts w:ascii="Times New Roman" w:hAnsi="Times New Roman" w:cs="Times New Roman"/>
          <w:b/>
          <w:color w:val="auto"/>
          <w:sz w:val="22"/>
          <w:szCs w:val="22"/>
        </w:rPr>
        <w:t xml:space="preserve"> </w:t>
      </w:r>
    </w:p>
    <w:tbl>
      <w:tblPr>
        <w:tblStyle w:val="TableGrid"/>
        <w:tblW w:w="5000" w:type="pct"/>
        <w:tblLook w:val="04A0" w:firstRow="1" w:lastRow="0" w:firstColumn="1" w:lastColumn="0" w:noHBand="0" w:noVBand="1"/>
      </w:tblPr>
      <w:tblGrid>
        <w:gridCol w:w="2865"/>
        <w:gridCol w:w="3008"/>
        <w:gridCol w:w="3143"/>
      </w:tblGrid>
      <w:tr w:rsidR="0040477C" w:rsidRPr="00492A38" w14:paraId="04F1414B" w14:textId="77777777" w:rsidTr="00A62496">
        <w:tc>
          <w:tcPr>
            <w:tcW w:w="1589" w:type="pct"/>
            <w:hideMark/>
          </w:tcPr>
          <w:p w14:paraId="6F47883F" w14:textId="77777777" w:rsidR="0040477C" w:rsidRPr="00492A38" w:rsidRDefault="0040477C" w:rsidP="00A62496">
            <w:pPr>
              <w:spacing w:line="360" w:lineRule="auto"/>
              <w:jc w:val="both"/>
              <w:rPr>
                <w:rFonts w:ascii="Times New Roman" w:hAnsi="Times New Roman" w:cs="Times New Roman"/>
                <w:b/>
              </w:rPr>
            </w:pPr>
            <w:r w:rsidRPr="00492A38">
              <w:rPr>
                <w:rFonts w:ascii="Times New Roman" w:hAnsi="Times New Roman" w:cs="Times New Roman"/>
                <w:b/>
              </w:rPr>
              <w:t>Sex</w:t>
            </w:r>
          </w:p>
        </w:tc>
        <w:tc>
          <w:tcPr>
            <w:tcW w:w="1668" w:type="pct"/>
            <w:hideMark/>
          </w:tcPr>
          <w:p w14:paraId="2642BEB7" w14:textId="77777777" w:rsidR="0040477C" w:rsidRPr="00492A38" w:rsidRDefault="0040477C" w:rsidP="00A62496">
            <w:pPr>
              <w:spacing w:line="360" w:lineRule="auto"/>
              <w:jc w:val="both"/>
              <w:rPr>
                <w:rFonts w:ascii="Times New Roman" w:hAnsi="Times New Roman" w:cs="Times New Roman"/>
                <w:b/>
              </w:rPr>
            </w:pPr>
            <w:r w:rsidRPr="00492A38">
              <w:rPr>
                <w:rFonts w:ascii="Times New Roman" w:hAnsi="Times New Roman" w:cs="Times New Roman"/>
                <w:b/>
              </w:rPr>
              <w:t>Frequency(n)</w:t>
            </w:r>
          </w:p>
        </w:tc>
        <w:tc>
          <w:tcPr>
            <w:tcW w:w="1743" w:type="pct"/>
          </w:tcPr>
          <w:p w14:paraId="699B469F" w14:textId="77777777" w:rsidR="0040477C" w:rsidRPr="00492A38" w:rsidRDefault="0040477C" w:rsidP="00A62496">
            <w:pPr>
              <w:spacing w:line="360" w:lineRule="auto"/>
              <w:jc w:val="both"/>
              <w:rPr>
                <w:rFonts w:ascii="Times New Roman" w:hAnsi="Times New Roman" w:cs="Times New Roman"/>
                <w:b/>
              </w:rPr>
            </w:pPr>
            <w:r w:rsidRPr="00492A38">
              <w:rPr>
                <w:rFonts w:ascii="Times New Roman" w:hAnsi="Times New Roman" w:cs="Times New Roman"/>
                <w:b/>
              </w:rPr>
              <w:t>Percentage (%)</w:t>
            </w:r>
          </w:p>
        </w:tc>
      </w:tr>
      <w:tr w:rsidR="0040477C" w:rsidRPr="00492A38" w14:paraId="618DF81A" w14:textId="77777777" w:rsidTr="00A62496">
        <w:tc>
          <w:tcPr>
            <w:tcW w:w="1589" w:type="pct"/>
            <w:hideMark/>
          </w:tcPr>
          <w:p w14:paraId="36629391" w14:textId="77777777" w:rsidR="0040477C" w:rsidRPr="00492A38" w:rsidRDefault="0040477C" w:rsidP="00A62496">
            <w:pPr>
              <w:spacing w:line="360" w:lineRule="auto"/>
              <w:jc w:val="both"/>
              <w:rPr>
                <w:rFonts w:ascii="Times New Roman" w:hAnsi="Times New Roman" w:cs="Times New Roman"/>
              </w:rPr>
            </w:pPr>
            <w:r w:rsidRPr="00492A38">
              <w:rPr>
                <w:rFonts w:ascii="Times New Roman" w:hAnsi="Times New Roman" w:cs="Times New Roman"/>
              </w:rPr>
              <w:t>Female</w:t>
            </w:r>
          </w:p>
        </w:tc>
        <w:tc>
          <w:tcPr>
            <w:tcW w:w="1668" w:type="pct"/>
            <w:hideMark/>
          </w:tcPr>
          <w:p w14:paraId="7EC3F9CA" w14:textId="77777777" w:rsidR="0040477C" w:rsidRPr="00492A38" w:rsidRDefault="0040477C" w:rsidP="00A62496">
            <w:pPr>
              <w:spacing w:line="360" w:lineRule="auto"/>
              <w:jc w:val="both"/>
              <w:rPr>
                <w:rFonts w:ascii="Times New Roman" w:hAnsi="Times New Roman" w:cs="Times New Roman"/>
              </w:rPr>
            </w:pPr>
            <w:r w:rsidRPr="00492A38">
              <w:rPr>
                <w:rFonts w:ascii="Times New Roman" w:hAnsi="Times New Roman" w:cs="Times New Roman"/>
              </w:rPr>
              <w:t>85</w:t>
            </w:r>
          </w:p>
        </w:tc>
        <w:tc>
          <w:tcPr>
            <w:tcW w:w="1743" w:type="pct"/>
          </w:tcPr>
          <w:p w14:paraId="3F52AB9A" w14:textId="77777777" w:rsidR="0040477C" w:rsidRPr="00492A38" w:rsidRDefault="0040477C" w:rsidP="00A62496">
            <w:pPr>
              <w:spacing w:line="360" w:lineRule="auto"/>
              <w:jc w:val="both"/>
              <w:rPr>
                <w:rFonts w:ascii="Times New Roman" w:hAnsi="Times New Roman" w:cs="Times New Roman"/>
              </w:rPr>
            </w:pPr>
            <w:r w:rsidRPr="00492A38">
              <w:rPr>
                <w:rFonts w:ascii="Times New Roman" w:hAnsi="Times New Roman" w:cs="Times New Roman"/>
              </w:rPr>
              <w:t xml:space="preserve">   53</w:t>
            </w:r>
          </w:p>
        </w:tc>
      </w:tr>
      <w:tr w:rsidR="0040477C" w:rsidRPr="00492A38" w14:paraId="1CA96BF5" w14:textId="77777777" w:rsidTr="00A62496">
        <w:tc>
          <w:tcPr>
            <w:tcW w:w="1589" w:type="pct"/>
            <w:hideMark/>
          </w:tcPr>
          <w:p w14:paraId="1E73F063" w14:textId="77777777" w:rsidR="0040477C" w:rsidRPr="00492A38" w:rsidRDefault="0040477C" w:rsidP="00A62496">
            <w:pPr>
              <w:spacing w:line="360" w:lineRule="auto"/>
              <w:jc w:val="both"/>
              <w:rPr>
                <w:rFonts w:ascii="Times New Roman" w:hAnsi="Times New Roman" w:cs="Times New Roman"/>
              </w:rPr>
            </w:pPr>
            <w:r w:rsidRPr="00492A38">
              <w:rPr>
                <w:rFonts w:ascii="Times New Roman" w:hAnsi="Times New Roman" w:cs="Times New Roman"/>
              </w:rPr>
              <w:t>Male</w:t>
            </w:r>
          </w:p>
        </w:tc>
        <w:tc>
          <w:tcPr>
            <w:tcW w:w="1668" w:type="pct"/>
            <w:hideMark/>
          </w:tcPr>
          <w:p w14:paraId="60D9D1DE" w14:textId="77777777" w:rsidR="0040477C" w:rsidRPr="00492A38" w:rsidRDefault="0040477C" w:rsidP="00A62496">
            <w:pPr>
              <w:spacing w:line="360" w:lineRule="auto"/>
              <w:jc w:val="both"/>
              <w:rPr>
                <w:rFonts w:ascii="Times New Roman" w:hAnsi="Times New Roman" w:cs="Times New Roman"/>
              </w:rPr>
            </w:pPr>
            <w:r w:rsidRPr="00492A38">
              <w:rPr>
                <w:rFonts w:ascii="Times New Roman" w:hAnsi="Times New Roman" w:cs="Times New Roman"/>
              </w:rPr>
              <w:t>74</w:t>
            </w:r>
          </w:p>
        </w:tc>
        <w:tc>
          <w:tcPr>
            <w:tcW w:w="1743" w:type="pct"/>
          </w:tcPr>
          <w:p w14:paraId="1F550B91" w14:textId="77777777" w:rsidR="0040477C" w:rsidRPr="00492A38" w:rsidRDefault="0040477C" w:rsidP="00A62496">
            <w:pPr>
              <w:spacing w:line="360" w:lineRule="auto"/>
              <w:jc w:val="both"/>
              <w:rPr>
                <w:rFonts w:ascii="Times New Roman" w:hAnsi="Times New Roman" w:cs="Times New Roman"/>
              </w:rPr>
            </w:pPr>
            <w:r w:rsidRPr="00492A38">
              <w:rPr>
                <w:rFonts w:ascii="Times New Roman" w:hAnsi="Times New Roman" w:cs="Times New Roman"/>
              </w:rPr>
              <w:t xml:space="preserve">   47</w:t>
            </w:r>
          </w:p>
        </w:tc>
      </w:tr>
      <w:tr w:rsidR="0040477C" w:rsidRPr="00492A38" w14:paraId="27E3A6A3" w14:textId="77777777" w:rsidTr="00A62496">
        <w:tc>
          <w:tcPr>
            <w:tcW w:w="1589" w:type="pct"/>
            <w:hideMark/>
          </w:tcPr>
          <w:p w14:paraId="2A9F44E9" w14:textId="77777777" w:rsidR="0040477C" w:rsidRPr="00492A38" w:rsidRDefault="0040477C" w:rsidP="00A62496">
            <w:pPr>
              <w:spacing w:line="360" w:lineRule="auto"/>
              <w:jc w:val="both"/>
              <w:rPr>
                <w:rFonts w:ascii="Times New Roman" w:hAnsi="Times New Roman" w:cs="Times New Roman"/>
                <w:b/>
                <w:bCs/>
              </w:rPr>
            </w:pPr>
            <w:r w:rsidRPr="00492A38">
              <w:rPr>
                <w:rFonts w:ascii="Times New Roman" w:hAnsi="Times New Roman" w:cs="Times New Roman"/>
                <w:b/>
                <w:bCs/>
              </w:rPr>
              <w:t>Total</w:t>
            </w:r>
          </w:p>
        </w:tc>
        <w:tc>
          <w:tcPr>
            <w:tcW w:w="1668" w:type="pct"/>
            <w:hideMark/>
          </w:tcPr>
          <w:p w14:paraId="3B236D3F" w14:textId="77777777" w:rsidR="0040477C" w:rsidRPr="00492A38" w:rsidRDefault="0040477C" w:rsidP="00A62496">
            <w:pPr>
              <w:spacing w:line="360" w:lineRule="auto"/>
              <w:jc w:val="both"/>
              <w:rPr>
                <w:rFonts w:ascii="Times New Roman" w:hAnsi="Times New Roman" w:cs="Times New Roman"/>
                <w:b/>
                <w:bCs/>
              </w:rPr>
            </w:pPr>
            <w:r w:rsidRPr="00492A38">
              <w:rPr>
                <w:rFonts w:ascii="Times New Roman" w:hAnsi="Times New Roman" w:cs="Times New Roman"/>
                <w:b/>
                <w:bCs/>
              </w:rPr>
              <w:t>159</w:t>
            </w:r>
          </w:p>
        </w:tc>
        <w:tc>
          <w:tcPr>
            <w:tcW w:w="1743" w:type="pct"/>
          </w:tcPr>
          <w:p w14:paraId="5922D21E" w14:textId="77777777" w:rsidR="0040477C" w:rsidRPr="00492A38" w:rsidRDefault="0040477C" w:rsidP="00A62496">
            <w:pPr>
              <w:spacing w:line="360" w:lineRule="auto"/>
              <w:jc w:val="both"/>
              <w:rPr>
                <w:rFonts w:ascii="Times New Roman" w:hAnsi="Times New Roman" w:cs="Times New Roman"/>
                <w:b/>
                <w:bCs/>
              </w:rPr>
            </w:pPr>
            <w:r w:rsidRPr="00492A38">
              <w:rPr>
                <w:rFonts w:ascii="Times New Roman" w:hAnsi="Times New Roman" w:cs="Times New Roman"/>
                <w:b/>
                <w:bCs/>
              </w:rPr>
              <w:t xml:space="preserve"> 100</w:t>
            </w:r>
          </w:p>
        </w:tc>
      </w:tr>
    </w:tbl>
    <w:p w14:paraId="51BF6285" w14:textId="50CDBDCB" w:rsidR="00157692" w:rsidRDefault="00157692" w:rsidP="00157692">
      <w:pPr>
        <w:spacing w:before="240" w:after="0" w:line="360" w:lineRule="auto"/>
        <w:jc w:val="both"/>
        <w:rPr>
          <w:rFonts w:ascii="Times New Roman" w:hAnsi="Times New Roman" w:cs="Times New Roman"/>
        </w:rPr>
      </w:pPr>
      <w:r w:rsidRPr="00492A38">
        <w:rPr>
          <w:rFonts w:ascii="Times New Roman" w:hAnsi="Times New Roman" w:cs="Times New Roman"/>
        </w:rPr>
        <w:t xml:space="preserve">Table 1 shows that the majority of respondents were female (n=85), while males constituted (n=74). </w:t>
      </w:r>
    </w:p>
    <w:p w14:paraId="79E4CD1F" w14:textId="77777777" w:rsidR="006D72DE" w:rsidRDefault="006D72DE" w:rsidP="00157692">
      <w:pPr>
        <w:spacing w:before="240" w:after="0" w:line="360" w:lineRule="auto"/>
        <w:jc w:val="both"/>
        <w:rPr>
          <w:rFonts w:ascii="Times New Roman" w:hAnsi="Times New Roman" w:cs="Times New Roman"/>
        </w:rPr>
      </w:pPr>
    </w:p>
    <w:p w14:paraId="20B61BFB" w14:textId="77777777" w:rsidR="006D72DE" w:rsidRDefault="006D72DE" w:rsidP="00157692">
      <w:pPr>
        <w:spacing w:before="240" w:after="0" w:line="360" w:lineRule="auto"/>
        <w:jc w:val="both"/>
        <w:rPr>
          <w:rFonts w:ascii="Times New Roman" w:eastAsia="Times New Roman" w:hAnsi="Times New Roman" w:cs="Times New Roman"/>
        </w:rPr>
      </w:pPr>
    </w:p>
    <w:p w14:paraId="61B91E10" w14:textId="77777777" w:rsidR="002B0D14" w:rsidRDefault="002B0D14" w:rsidP="00157692">
      <w:pPr>
        <w:spacing w:before="240" w:after="0" w:line="360" w:lineRule="auto"/>
        <w:jc w:val="both"/>
        <w:rPr>
          <w:rFonts w:ascii="Times New Roman" w:eastAsia="Times New Roman" w:hAnsi="Times New Roman" w:cs="Times New Roman"/>
        </w:rPr>
      </w:pPr>
    </w:p>
    <w:p w14:paraId="3C1CD8FB" w14:textId="5DDE9C3A" w:rsidR="009460B0" w:rsidRPr="0073107B" w:rsidRDefault="009460B0" w:rsidP="009460B0">
      <w:pPr>
        <w:pStyle w:val="Caption"/>
        <w:spacing w:after="0" w:line="360" w:lineRule="auto"/>
        <w:jc w:val="both"/>
        <w:rPr>
          <w:rFonts w:ascii="Times New Roman" w:hAnsi="Times New Roman" w:cs="Times New Roman"/>
          <w:i w:val="0"/>
          <w:iCs w:val="0"/>
          <w:color w:val="auto"/>
          <w:sz w:val="22"/>
          <w:szCs w:val="22"/>
        </w:rPr>
      </w:pPr>
      <w:r w:rsidRPr="0073107B">
        <w:rPr>
          <w:rFonts w:ascii="Times New Roman" w:hAnsi="Times New Roman" w:cs="Times New Roman"/>
          <w:b/>
          <w:bCs/>
          <w:i w:val="0"/>
          <w:iCs w:val="0"/>
          <w:color w:val="auto"/>
          <w:sz w:val="22"/>
          <w:szCs w:val="22"/>
        </w:rPr>
        <w:lastRenderedPageBreak/>
        <w:t xml:space="preserve">Distribution of Respondents by Age Group  </w:t>
      </w:r>
    </w:p>
    <w:p w14:paraId="6A1C03B4" w14:textId="0B092A6B" w:rsidR="009460B0" w:rsidRPr="009460B0" w:rsidRDefault="009460B0" w:rsidP="009460B0">
      <w:pPr>
        <w:pStyle w:val="Caption"/>
        <w:keepNext/>
        <w:spacing w:after="0" w:line="360" w:lineRule="auto"/>
        <w:jc w:val="both"/>
        <w:rPr>
          <w:rFonts w:ascii="Times New Roman" w:hAnsi="Times New Roman" w:cs="Times New Roman"/>
          <w:b/>
          <w:color w:val="auto"/>
          <w:sz w:val="22"/>
          <w:szCs w:val="22"/>
        </w:rPr>
      </w:pPr>
      <w:bookmarkStart w:id="18" w:name="_Toc228457825"/>
      <w:bookmarkStart w:id="19" w:name="_Toc233380580"/>
      <w:r w:rsidRPr="009460B0">
        <w:rPr>
          <w:rFonts w:ascii="Times New Roman" w:hAnsi="Times New Roman" w:cs="Times New Roman"/>
          <w:b/>
          <w:color w:val="auto"/>
          <w:sz w:val="22"/>
          <w:szCs w:val="22"/>
        </w:rPr>
        <w:t xml:space="preserve">Table </w:t>
      </w:r>
      <w:r w:rsidRPr="009460B0">
        <w:rPr>
          <w:rFonts w:ascii="Times New Roman" w:hAnsi="Times New Roman" w:cs="Times New Roman"/>
          <w:b/>
          <w:color w:val="auto"/>
          <w:sz w:val="22"/>
          <w:szCs w:val="22"/>
        </w:rPr>
        <w:fldChar w:fldCharType="begin"/>
      </w:r>
      <w:r w:rsidRPr="009460B0">
        <w:rPr>
          <w:rFonts w:ascii="Times New Roman" w:hAnsi="Times New Roman" w:cs="Times New Roman"/>
          <w:b/>
          <w:color w:val="auto"/>
          <w:sz w:val="22"/>
          <w:szCs w:val="22"/>
        </w:rPr>
        <w:instrText xml:space="preserve"> SEQ Table \* ARABIC </w:instrText>
      </w:r>
      <w:r w:rsidRPr="009460B0">
        <w:rPr>
          <w:rFonts w:ascii="Times New Roman" w:hAnsi="Times New Roman" w:cs="Times New Roman"/>
          <w:b/>
          <w:color w:val="auto"/>
          <w:sz w:val="22"/>
          <w:szCs w:val="22"/>
        </w:rPr>
        <w:fldChar w:fldCharType="separate"/>
      </w:r>
      <w:r w:rsidRPr="009460B0">
        <w:rPr>
          <w:rFonts w:ascii="Times New Roman" w:hAnsi="Times New Roman" w:cs="Times New Roman"/>
          <w:b/>
          <w:noProof/>
          <w:color w:val="auto"/>
          <w:sz w:val="22"/>
          <w:szCs w:val="22"/>
        </w:rPr>
        <w:t>2</w:t>
      </w:r>
      <w:r w:rsidRPr="009460B0">
        <w:rPr>
          <w:rFonts w:ascii="Times New Roman" w:hAnsi="Times New Roman" w:cs="Times New Roman"/>
          <w:b/>
          <w:noProof/>
          <w:color w:val="auto"/>
          <w:sz w:val="22"/>
          <w:szCs w:val="22"/>
        </w:rPr>
        <w:fldChar w:fldCharType="end"/>
      </w:r>
      <w:r w:rsidR="009A5D3B">
        <w:rPr>
          <w:rFonts w:ascii="Times New Roman" w:hAnsi="Times New Roman" w:cs="Times New Roman"/>
          <w:b/>
          <w:noProof/>
          <w:color w:val="auto"/>
          <w:sz w:val="22"/>
          <w:szCs w:val="22"/>
        </w:rPr>
        <w:t>:</w:t>
      </w:r>
      <w:r w:rsidRPr="009460B0">
        <w:rPr>
          <w:rFonts w:ascii="Times New Roman" w:hAnsi="Times New Roman" w:cs="Times New Roman"/>
          <w:b/>
          <w:color w:val="auto"/>
          <w:sz w:val="22"/>
          <w:szCs w:val="22"/>
        </w:rPr>
        <w:t xml:space="preserve"> Distribution of Respondents by Age Group</w:t>
      </w:r>
      <w:bookmarkEnd w:id="18"/>
      <w:bookmarkEnd w:id="19"/>
    </w:p>
    <w:tbl>
      <w:tblPr>
        <w:tblStyle w:val="TableGrid"/>
        <w:tblW w:w="5000" w:type="pct"/>
        <w:jc w:val="center"/>
        <w:tblLook w:val="04A0" w:firstRow="1" w:lastRow="0" w:firstColumn="1" w:lastColumn="0" w:noHBand="0" w:noVBand="1"/>
      </w:tblPr>
      <w:tblGrid>
        <w:gridCol w:w="3003"/>
        <w:gridCol w:w="2872"/>
        <w:gridCol w:w="3141"/>
      </w:tblGrid>
      <w:tr w:rsidR="009460B0" w:rsidRPr="009460B0" w14:paraId="15DF2D4D" w14:textId="77777777" w:rsidTr="00A62496">
        <w:trPr>
          <w:jc w:val="center"/>
        </w:trPr>
        <w:tc>
          <w:tcPr>
            <w:tcW w:w="1665" w:type="pct"/>
            <w:hideMark/>
          </w:tcPr>
          <w:p w14:paraId="4FC6FE62" w14:textId="77777777" w:rsidR="009460B0" w:rsidRPr="009460B0" w:rsidRDefault="009460B0" w:rsidP="00A62496">
            <w:pPr>
              <w:spacing w:line="360" w:lineRule="auto"/>
              <w:jc w:val="both"/>
              <w:rPr>
                <w:rFonts w:ascii="Times New Roman" w:hAnsi="Times New Roman" w:cs="Times New Roman"/>
                <w:b/>
                <w:sz w:val="22"/>
                <w:szCs w:val="22"/>
              </w:rPr>
            </w:pPr>
            <w:r w:rsidRPr="009460B0">
              <w:rPr>
                <w:rFonts w:ascii="Times New Roman" w:hAnsi="Times New Roman" w:cs="Times New Roman"/>
                <w:b/>
                <w:sz w:val="22"/>
                <w:szCs w:val="22"/>
              </w:rPr>
              <w:t>Age Group (Years)</w:t>
            </w:r>
          </w:p>
        </w:tc>
        <w:tc>
          <w:tcPr>
            <w:tcW w:w="1593" w:type="pct"/>
            <w:hideMark/>
          </w:tcPr>
          <w:p w14:paraId="2019E852" w14:textId="77777777" w:rsidR="009460B0" w:rsidRPr="009460B0" w:rsidRDefault="009460B0" w:rsidP="00A62496">
            <w:pPr>
              <w:spacing w:line="360" w:lineRule="auto"/>
              <w:jc w:val="center"/>
              <w:rPr>
                <w:rFonts w:ascii="Times New Roman" w:hAnsi="Times New Roman" w:cs="Times New Roman"/>
                <w:b/>
                <w:sz w:val="22"/>
                <w:szCs w:val="22"/>
              </w:rPr>
            </w:pPr>
            <w:r w:rsidRPr="009460B0">
              <w:rPr>
                <w:rFonts w:ascii="Times New Roman" w:hAnsi="Times New Roman" w:cs="Times New Roman"/>
                <w:b/>
                <w:sz w:val="22"/>
                <w:szCs w:val="22"/>
              </w:rPr>
              <w:t>Frequency (n)</w:t>
            </w:r>
          </w:p>
        </w:tc>
        <w:tc>
          <w:tcPr>
            <w:tcW w:w="1742" w:type="pct"/>
          </w:tcPr>
          <w:p w14:paraId="1CF248CA" w14:textId="77777777" w:rsidR="009460B0" w:rsidRPr="009460B0" w:rsidRDefault="009460B0" w:rsidP="00A62496">
            <w:pPr>
              <w:spacing w:line="360" w:lineRule="auto"/>
              <w:jc w:val="center"/>
              <w:rPr>
                <w:rFonts w:ascii="Times New Roman" w:hAnsi="Times New Roman" w:cs="Times New Roman"/>
                <w:b/>
                <w:sz w:val="22"/>
                <w:szCs w:val="22"/>
              </w:rPr>
            </w:pPr>
            <w:r w:rsidRPr="009460B0">
              <w:rPr>
                <w:rFonts w:ascii="Times New Roman" w:hAnsi="Times New Roman" w:cs="Times New Roman"/>
                <w:b/>
                <w:sz w:val="22"/>
                <w:szCs w:val="22"/>
              </w:rPr>
              <w:t>Percentages (%)</w:t>
            </w:r>
          </w:p>
        </w:tc>
      </w:tr>
      <w:tr w:rsidR="009460B0" w:rsidRPr="009460B0" w14:paraId="37824D90" w14:textId="77777777" w:rsidTr="00A62496">
        <w:trPr>
          <w:jc w:val="center"/>
        </w:trPr>
        <w:tc>
          <w:tcPr>
            <w:tcW w:w="1665" w:type="pct"/>
            <w:hideMark/>
          </w:tcPr>
          <w:p w14:paraId="2DD99421" w14:textId="77777777" w:rsidR="009460B0" w:rsidRPr="009460B0" w:rsidRDefault="009460B0" w:rsidP="00A62496">
            <w:pPr>
              <w:spacing w:line="360" w:lineRule="auto"/>
              <w:jc w:val="both"/>
              <w:rPr>
                <w:rFonts w:ascii="Times New Roman" w:hAnsi="Times New Roman" w:cs="Times New Roman"/>
                <w:sz w:val="22"/>
                <w:szCs w:val="22"/>
              </w:rPr>
            </w:pPr>
            <w:r w:rsidRPr="009460B0">
              <w:rPr>
                <w:rFonts w:ascii="Times New Roman" w:hAnsi="Times New Roman" w:cs="Times New Roman"/>
                <w:sz w:val="22"/>
                <w:szCs w:val="22"/>
              </w:rPr>
              <w:t>18-25</w:t>
            </w:r>
          </w:p>
        </w:tc>
        <w:tc>
          <w:tcPr>
            <w:tcW w:w="1593" w:type="pct"/>
            <w:hideMark/>
          </w:tcPr>
          <w:p w14:paraId="0F146F76" w14:textId="77777777" w:rsidR="009460B0" w:rsidRPr="009460B0" w:rsidRDefault="009460B0" w:rsidP="00A62496">
            <w:pPr>
              <w:spacing w:line="360" w:lineRule="auto"/>
              <w:jc w:val="center"/>
              <w:rPr>
                <w:rFonts w:ascii="Times New Roman" w:hAnsi="Times New Roman" w:cs="Times New Roman"/>
                <w:sz w:val="22"/>
                <w:szCs w:val="22"/>
              </w:rPr>
            </w:pPr>
            <w:r w:rsidRPr="009460B0">
              <w:rPr>
                <w:rFonts w:ascii="Times New Roman" w:hAnsi="Times New Roman" w:cs="Times New Roman"/>
                <w:sz w:val="22"/>
                <w:szCs w:val="22"/>
              </w:rPr>
              <w:t>17</w:t>
            </w:r>
          </w:p>
        </w:tc>
        <w:tc>
          <w:tcPr>
            <w:tcW w:w="1742" w:type="pct"/>
          </w:tcPr>
          <w:p w14:paraId="1E04C18F" w14:textId="77777777" w:rsidR="009460B0" w:rsidRPr="009460B0" w:rsidRDefault="009460B0" w:rsidP="00A62496">
            <w:pPr>
              <w:spacing w:line="360" w:lineRule="auto"/>
              <w:jc w:val="center"/>
              <w:rPr>
                <w:rFonts w:ascii="Times New Roman" w:hAnsi="Times New Roman" w:cs="Times New Roman"/>
                <w:sz w:val="22"/>
                <w:szCs w:val="22"/>
              </w:rPr>
            </w:pPr>
            <w:r w:rsidRPr="009460B0">
              <w:rPr>
                <w:rFonts w:ascii="Times New Roman" w:hAnsi="Times New Roman" w:cs="Times New Roman"/>
                <w:sz w:val="22"/>
                <w:szCs w:val="22"/>
              </w:rPr>
              <w:t>11</w:t>
            </w:r>
          </w:p>
        </w:tc>
      </w:tr>
      <w:tr w:rsidR="009460B0" w:rsidRPr="009460B0" w14:paraId="4FD11139" w14:textId="77777777" w:rsidTr="00A62496">
        <w:trPr>
          <w:jc w:val="center"/>
        </w:trPr>
        <w:tc>
          <w:tcPr>
            <w:tcW w:w="1665" w:type="pct"/>
            <w:hideMark/>
          </w:tcPr>
          <w:p w14:paraId="1CE65326" w14:textId="77777777" w:rsidR="009460B0" w:rsidRPr="009460B0" w:rsidRDefault="009460B0" w:rsidP="00A62496">
            <w:pPr>
              <w:spacing w:line="360" w:lineRule="auto"/>
              <w:jc w:val="both"/>
              <w:rPr>
                <w:rFonts w:ascii="Times New Roman" w:hAnsi="Times New Roman" w:cs="Times New Roman"/>
                <w:sz w:val="22"/>
                <w:szCs w:val="22"/>
              </w:rPr>
            </w:pPr>
            <w:r w:rsidRPr="009460B0">
              <w:rPr>
                <w:rFonts w:ascii="Times New Roman" w:hAnsi="Times New Roman" w:cs="Times New Roman"/>
                <w:sz w:val="22"/>
                <w:szCs w:val="22"/>
              </w:rPr>
              <w:t>26-35</w:t>
            </w:r>
          </w:p>
        </w:tc>
        <w:tc>
          <w:tcPr>
            <w:tcW w:w="1593" w:type="pct"/>
            <w:hideMark/>
          </w:tcPr>
          <w:p w14:paraId="4B10975F" w14:textId="77777777" w:rsidR="009460B0" w:rsidRPr="009460B0" w:rsidRDefault="009460B0" w:rsidP="00A62496">
            <w:pPr>
              <w:spacing w:line="360" w:lineRule="auto"/>
              <w:jc w:val="center"/>
              <w:rPr>
                <w:rFonts w:ascii="Times New Roman" w:hAnsi="Times New Roman" w:cs="Times New Roman"/>
                <w:sz w:val="22"/>
                <w:szCs w:val="22"/>
              </w:rPr>
            </w:pPr>
            <w:r w:rsidRPr="009460B0">
              <w:rPr>
                <w:rFonts w:ascii="Times New Roman" w:hAnsi="Times New Roman" w:cs="Times New Roman"/>
                <w:sz w:val="22"/>
                <w:szCs w:val="22"/>
              </w:rPr>
              <w:t>43</w:t>
            </w:r>
          </w:p>
        </w:tc>
        <w:tc>
          <w:tcPr>
            <w:tcW w:w="1742" w:type="pct"/>
          </w:tcPr>
          <w:p w14:paraId="568BE4B0" w14:textId="77777777" w:rsidR="009460B0" w:rsidRPr="009460B0" w:rsidRDefault="009460B0" w:rsidP="00A62496">
            <w:pPr>
              <w:spacing w:line="360" w:lineRule="auto"/>
              <w:jc w:val="center"/>
              <w:rPr>
                <w:rFonts w:ascii="Times New Roman" w:hAnsi="Times New Roman" w:cs="Times New Roman"/>
                <w:sz w:val="22"/>
                <w:szCs w:val="22"/>
              </w:rPr>
            </w:pPr>
            <w:r w:rsidRPr="009460B0">
              <w:rPr>
                <w:rFonts w:ascii="Times New Roman" w:hAnsi="Times New Roman" w:cs="Times New Roman"/>
                <w:sz w:val="22"/>
                <w:szCs w:val="22"/>
              </w:rPr>
              <w:t>27</w:t>
            </w:r>
          </w:p>
        </w:tc>
      </w:tr>
      <w:tr w:rsidR="009460B0" w:rsidRPr="009460B0" w14:paraId="5BD25223" w14:textId="77777777" w:rsidTr="00A62496">
        <w:trPr>
          <w:jc w:val="center"/>
        </w:trPr>
        <w:tc>
          <w:tcPr>
            <w:tcW w:w="1665" w:type="pct"/>
            <w:hideMark/>
          </w:tcPr>
          <w:p w14:paraId="228E9705" w14:textId="77777777" w:rsidR="009460B0" w:rsidRPr="009460B0" w:rsidRDefault="009460B0" w:rsidP="00A62496">
            <w:pPr>
              <w:spacing w:line="360" w:lineRule="auto"/>
              <w:jc w:val="both"/>
              <w:rPr>
                <w:rFonts w:ascii="Times New Roman" w:hAnsi="Times New Roman" w:cs="Times New Roman"/>
                <w:sz w:val="22"/>
                <w:szCs w:val="22"/>
              </w:rPr>
            </w:pPr>
            <w:r w:rsidRPr="009460B0">
              <w:rPr>
                <w:rFonts w:ascii="Times New Roman" w:hAnsi="Times New Roman" w:cs="Times New Roman"/>
                <w:sz w:val="22"/>
                <w:szCs w:val="22"/>
              </w:rPr>
              <w:t>36-45</w:t>
            </w:r>
          </w:p>
        </w:tc>
        <w:tc>
          <w:tcPr>
            <w:tcW w:w="1593" w:type="pct"/>
            <w:hideMark/>
          </w:tcPr>
          <w:p w14:paraId="53445017" w14:textId="77777777" w:rsidR="009460B0" w:rsidRPr="009460B0" w:rsidRDefault="009460B0" w:rsidP="00A62496">
            <w:pPr>
              <w:spacing w:line="360" w:lineRule="auto"/>
              <w:jc w:val="center"/>
              <w:rPr>
                <w:rFonts w:ascii="Times New Roman" w:hAnsi="Times New Roman" w:cs="Times New Roman"/>
                <w:sz w:val="22"/>
                <w:szCs w:val="22"/>
              </w:rPr>
            </w:pPr>
            <w:r w:rsidRPr="009460B0">
              <w:rPr>
                <w:rFonts w:ascii="Times New Roman" w:hAnsi="Times New Roman" w:cs="Times New Roman"/>
                <w:sz w:val="22"/>
                <w:szCs w:val="22"/>
              </w:rPr>
              <w:t>58</w:t>
            </w:r>
          </w:p>
        </w:tc>
        <w:tc>
          <w:tcPr>
            <w:tcW w:w="1742" w:type="pct"/>
          </w:tcPr>
          <w:p w14:paraId="7EC161D0" w14:textId="77777777" w:rsidR="009460B0" w:rsidRPr="009460B0" w:rsidRDefault="009460B0" w:rsidP="00A62496">
            <w:pPr>
              <w:spacing w:line="360" w:lineRule="auto"/>
              <w:jc w:val="center"/>
              <w:rPr>
                <w:rFonts w:ascii="Times New Roman" w:hAnsi="Times New Roman" w:cs="Times New Roman"/>
                <w:sz w:val="22"/>
                <w:szCs w:val="22"/>
              </w:rPr>
            </w:pPr>
            <w:r w:rsidRPr="009460B0">
              <w:rPr>
                <w:rFonts w:ascii="Times New Roman" w:hAnsi="Times New Roman" w:cs="Times New Roman"/>
                <w:sz w:val="22"/>
                <w:szCs w:val="22"/>
              </w:rPr>
              <w:t>36</w:t>
            </w:r>
          </w:p>
        </w:tc>
      </w:tr>
      <w:tr w:rsidR="009460B0" w:rsidRPr="009460B0" w14:paraId="4B50F17B" w14:textId="77777777" w:rsidTr="00A62496">
        <w:trPr>
          <w:jc w:val="center"/>
        </w:trPr>
        <w:tc>
          <w:tcPr>
            <w:tcW w:w="1665" w:type="pct"/>
            <w:hideMark/>
          </w:tcPr>
          <w:p w14:paraId="2EA5E002" w14:textId="77777777" w:rsidR="009460B0" w:rsidRPr="009460B0" w:rsidRDefault="009460B0" w:rsidP="00A62496">
            <w:pPr>
              <w:spacing w:line="360" w:lineRule="auto"/>
              <w:jc w:val="both"/>
              <w:rPr>
                <w:rFonts w:ascii="Times New Roman" w:hAnsi="Times New Roman" w:cs="Times New Roman"/>
                <w:sz w:val="22"/>
                <w:szCs w:val="22"/>
              </w:rPr>
            </w:pPr>
            <w:r w:rsidRPr="009460B0">
              <w:rPr>
                <w:rFonts w:ascii="Times New Roman" w:hAnsi="Times New Roman" w:cs="Times New Roman"/>
                <w:sz w:val="22"/>
                <w:szCs w:val="22"/>
              </w:rPr>
              <w:t>46-55</w:t>
            </w:r>
          </w:p>
        </w:tc>
        <w:tc>
          <w:tcPr>
            <w:tcW w:w="1593" w:type="pct"/>
            <w:hideMark/>
          </w:tcPr>
          <w:p w14:paraId="2C8F77A8" w14:textId="77777777" w:rsidR="009460B0" w:rsidRPr="009460B0" w:rsidRDefault="009460B0" w:rsidP="00A62496">
            <w:pPr>
              <w:spacing w:line="360" w:lineRule="auto"/>
              <w:jc w:val="center"/>
              <w:rPr>
                <w:rFonts w:ascii="Times New Roman" w:hAnsi="Times New Roman" w:cs="Times New Roman"/>
                <w:sz w:val="22"/>
                <w:szCs w:val="22"/>
              </w:rPr>
            </w:pPr>
            <w:r w:rsidRPr="009460B0">
              <w:rPr>
                <w:rFonts w:ascii="Times New Roman" w:hAnsi="Times New Roman" w:cs="Times New Roman"/>
                <w:sz w:val="22"/>
                <w:szCs w:val="22"/>
              </w:rPr>
              <w:t>29</w:t>
            </w:r>
          </w:p>
        </w:tc>
        <w:tc>
          <w:tcPr>
            <w:tcW w:w="1742" w:type="pct"/>
          </w:tcPr>
          <w:p w14:paraId="16EE3416" w14:textId="77777777" w:rsidR="009460B0" w:rsidRPr="009460B0" w:rsidRDefault="009460B0" w:rsidP="00A62496">
            <w:pPr>
              <w:spacing w:line="360" w:lineRule="auto"/>
              <w:jc w:val="center"/>
              <w:rPr>
                <w:rFonts w:ascii="Times New Roman" w:hAnsi="Times New Roman" w:cs="Times New Roman"/>
                <w:sz w:val="22"/>
                <w:szCs w:val="22"/>
              </w:rPr>
            </w:pPr>
            <w:r w:rsidRPr="009460B0">
              <w:rPr>
                <w:rFonts w:ascii="Times New Roman" w:hAnsi="Times New Roman" w:cs="Times New Roman"/>
                <w:sz w:val="22"/>
                <w:szCs w:val="22"/>
              </w:rPr>
              <w:t>18</w:t>
            </w:r>
          </w:p>
        </w:tc>
      </w:tr>
      <w:tr w:rsidR="009460B0" w:rsidRPr="009460B0" w14:paraId="6B609DAB" w14:textId="77777777" w:rsidTr="00A62496">
        <w:trPr>
          <w:jc w:val="center"/>
        </w:trPr>
        <w:tc>
          <w:tcPr>
            <w:tcW w:w="1665" w:type="pct"/>
            <w:hideMark/>
          </w:tcPr>
          <w:p w14:paraId="7B4CCC14" w14:textId="77777777" w:rsidR="009460B0" w:rsidRPr="009460B0" w:rsidRDefault="009460B0" w:rsidP="00A62496">
            <w:pPr>
              <w:spacing w:line="360" w:lineRule="auto"/>
              <w:jc w:val="both"/>
              <w:rPr>
                <w:rFonts w:ascii="Times New Roman" w:hAnsi="Times New Roman" w:cs="Times New Roman"/>
                <w:sz w:val="22"/>
                <w:szCs w:val="22"/>
              </w:rPr>
            </w:pPr>
            <w:r w:rsidRPr="009460B0">
              <w:rPr>
                <w:rFonts w:ascii="Times New Roman" w:hAnsi="Times New Roman" w:cs="Times New Roman"/>
                <w:sz w:val="22"/>
                <w:szCs w:val="22"/>
              </w:rPr>
              <w:t>55 and above</w:t>
            </w:r>
          </w:p>
        </w:tc>
        <w:tc>
          <w:tcPr>
            <w:tcW w:w="1593" w:type="pct"/>
            <w:hideMark/>
          </w:tcPr>
          <w:p w14:paraId="4C3E17A5" w14:textId="77777777" w:rsidR="009460B0" w:rsidRPr="009460B0" w:rsidRDefault="009460B0" w:rsidP="00A62496">
            <w:pPr>
              <w:spacing w:line="360" w:lineRule="auto"/>
              <w:jc w:val="center"/>
              <w:rPr>
                <w:rFonts w:ascii="Times New Roman" w:hAnsi="Times New Roman" w:cs="Times New Roman"/>
                <w:sz w:val="22"/>
                <w:szCs w:val="22"/>
              </w:rPr>
            </w:pPr>
            <w:r w:rsidRPr="009460B0">
              <w:rPr>
                <w:rFonts w:ascii="Times New Roman" w:hAnsi="Times New Roman" w:cs="Times New Roman"/>
                <w:sz w:val="22"/>
                <w:szCs w:val="22"/>
              </w:rPr>
              <w:t>12</w:t>
            </w:r>
          </w:p>
        </w:tc>
        <w:tc>
          <w:tcPr>
            <w:tcW w:w="1742" w:type="pct"/>
          </w:tcPr>
          <w:p w14:paraId="051E02DD" w14:textId="77777777" w:rsidR="009460B0" w:rsidRPr="009460B0" w:rsidRDefault="009460B0" w:rsidP="00A62496">
            <w:pPr>
              <w:spacing w:line="360" w:lineRule="auto"/>
              <w:jc w:val="center"/>
              <w:rPr>
                <w:rFonts w:ascii="Times New Roman" w:hAnsi="Times New Roman" w:cs="Times New Roman"/>
                <w:sz w:val="22"/>
                <w:szCs w:val="22"/>
              </w:rPr>
            </w:pPr>
            <w:r w:rsidRPr="009460B0">
              <w:rPr>
                <w:rFonts w:ascii="Times New Roman" w:hAnsi="Times New Roman" w:cs="Times New Roman"/>
                <w:sz w:val="22"/>
                <w:szCs w:val="22"/>
              </w:rPr>
              <w:t>8</w:t>
            </w:r>
          </w:p>
        </w:tc>
      </w:tr>
      <w:tr w:rsidR="009460B0" w:rsidRPr="009460B0" w14:paraId="62B438EC" w14:textId="77777777" w:rsidTr="00A62496">
        <w:trPr>
          <w:jc w:val="center"/>
        </w:trPr>
        <w:tc>
          <w:tcPr>
            <w:tcW w:w="1665" w:type="pct"/>
            <w:hideMark/>
          </w:tcPr>
          <w:p w14:paraId="748D8A9A" w14:textId="77777777" w:rsidR="009460B0" w:rsidRPr="009460B0" w:rsidRDefault="009460B0" w:rsidP="00A62496">
            <w:pPr>
              <w:spacing w:line="360" w:lineRule="auto"/>
              <w:jc w:val="both"/>
              <w:rPr>
                <w:rFonts w:ascii="Times New Roman" w:hAnsi="Times New Roman" w:cs="Times New Roman"/>
                <w:b/>
                <w:bCs/>
                <w:sz w:val="22"/>
                <w:szCs w:val="22"/>
              </w:rPr>
            </w:pPr>
            <w:r w:rsidRPr="009460B0">
              <w:rPr>
                <w:rFonts w:ascii="Times New Roman" w:hAnsi="Times New Roman" w:cs="Times New Roman"/>
                <w:b/>
                <w:bCs/>
                <w:sz w:val="22"/>
                <w:szCs w:val="22"/>
              </w:rPr>
              <w:t>Total</w:t>
            </w:r>
          </w:p>
        </w:tc>
        <w:tc>
          <w:tcPr>
            <w:tcW w:w="1593" w:type="pct"/>
            <w:hideMark/>
          </w:tcPr>
          <w:p w14:paraId="750B1BEB" w14:textId="77777777" w:rsidR="009460B0" w:rsidRPr="009460B0" w:rsidRDefault="009460B0" w:rsidP="00A62496">
            <w:pPr>
              <w:spacing w:line="360" w:lineRule="auto"/>
              <w:jc w:val="center"/>
              <w:rPr>
                <w:rFonts w:ascii="Times New Roman" w:hAnsi="Times New Roman" w:cs="Times New Roman"/>
                <w:b/>
                <w:bCs/>
                <w:sz w:val="22"/>
                <w:szCs w:val="22"/>
              </w:rPr>
            </w:pPr>
            <w:r w:rsidRPr="009460B0">
              <w:rPr>
                <w:rFonts w:ascii="Times New Roman" w:hAnsi="Times New Roman" w:cs="Times New Roman"/>
                <w:b/>
                <w:bCs/>
                <w:sz w:val="22"/>
                <w:szCs w:val="22"/>
              </w:rPr>
              <w:t>159</w:t>
            </w:r>
          </w:p>
        </w:tc>
        <w:tc>
          <w:tcPr>
            <w:tcW w:w="1742" w:type="pct"/>
          </w:tcPr>
          <w:p w14:paraId="463B0ED1" w14:textId="77777777" w:rsidR="009460B0" w:rsidRPr="009460B0" w:rsidRDefault="009460B0" w:rsidP="00A62496">
            <w:pPr>
              <w:spacing w:line="360" w:lineRule="auto"/>
              <w:jc w:val="center"/>
              <w:rPr>
                <w:rFonts w:ascii="Times New Roman" w:hAnsi="Times New Roman" w:cs="Times New Roman"/>
                <w:b/>
                <w:bCs/>
                <w:sz w:val="22"/>
                <w:szCs w:val="22"/>
              </w:rPr>
            </w:pPr>
            <w:r w:rsidRPr="009460B0">
              <w:rPr>
                <w:rFonts w:ascii="Times New Roman" w:hAnsi="Times New Roman" w:cs="Times New Roman"/>
                <w:b/>
                <w:bCs/>
                <w:sz w:val="22"/>
                <w:szCs w:val="22"/>
              </w:rPr>
              <w:t>100</w:t>
            </w:r>
          </w:p>
        </w:tc>
      </w:tr>
    </w:tbl>
    <w:p w14:paraId="36F89D23" w14:textId="1A8F6CD2" w:rsidR="009460B0" w:rsidRDefault="009460B0" w:rsidP="009460B0">
      <w:pPr>
        <w:spacing w:line="360" w:lineRule="auto"/>
        <w:jc w:val="both"/>
        <w:rPr>
          <w:rFonts w:ascii="Times New Roman" w:hAnsi="Times New Roman" w:cs="Times New Roman"/>
          <w:sz w:val="22"/>
          <w:szCs w:val="22"/>
        </w:rPr>
      </w:pPr>
      <w:r w:rsidRPr="00A26A20">
        <w:rPr>
          <w:rFonts w:ascii="Times New Roman" w:hAnsi="Times New Roman" w:cs="Times New Roman"/>
          <w:sz w:val="22"/>
          <w:szCs w:val="22"/>
        </w:rPr>
        <w:t>As shown in Table 2, the largest age group among respondents was the age </w:t>
      </w:r>
      <w:r w:rsidRPr="00A26A20">
        <w:rPr>
          <w:rFonts w:ascii="Times New Roman" w:hAnsi="Times New Roman" w:cs="Times New Roman"/>
          <w:bCs/>
          <w:sz w:val="22"/>
          <w:szCs w:val="22"/>
        </w:rPr>
        <w:t>36-45 years</w:t>
      </w:r>
      <w:r w:rsidRPr="00A26A20">
        <w:rPr>
          <w:rFonts w:ascii="Times New Roman" w:hAnsi="Times New Roman" w:cs="Times New Roman"/>
          <w:sz w:val="22"/>
          <w:szCs w:val="22"/>
        </w:rPr>
        <w:t>, accounting for (n=58) of the sample. This was followed by the </w:t>
      </w:r>
      <w:r w:rsidRPr="00A26A20">
        <w:rPr>
          <w:rFonts w:ascii="Times New Roman" w:hAnsi="Times New Roman" w:cs="Times New Roman"/>
          <w:bCs/>
          <w:sz w:val="22"/>
          <w:szCs w:val="22"/>
        </w:rPr>
        <w:t>26-35 years</w:t>
      </w:r>
      <w:r w:rsidRPr="00A26A20">
        <w:rPr>
          <w:rFonts w:ascii="Times New Roman" w:hAnsi="Times New Roman" w:cs="Times New Roman"/>
          <w:sz w:val="22"/>
          <w:szCs w:val="22"/>
        </w:rPr>
        <w:t> age group (n=43), and the </w:t>
      </w:r>
      <w:r w:rsidRPr="00A26A20">
        <w:rPr>
          <w:rFonts w:ascii="Times New Roman" w:hAnsi="Times New Roman" w:cs="Times New Roman"/>
          <w:bCs/>
          <w:sz w:val="22"/>
          <w:szCs w:val="22"/>
        </w:rPr>
        <w:t>46–55 years</w:t>
      </w:r>
      <w:r w:rsidRPr="00A26A20">
        <w:rPr>
          <w:rFonts w:ascii="Times New Roman" w:hAnsi="Times New Roman" w:cs="Times New Roman"/>
          <w:sz w:val="22"/>
          <w:szCs w:val="22"/>
        </w:rPr>
        <w:t> age group (n=29). The </w:t>
      </w:r>
      <w:r w:rsidRPr="00A26A20">
        <w:rPr>
          <w:rFonts w:ascii="Times New Roman" w:hAnsi="Times New Roman" w:cs="Times New Roman"/>
          <w:bCs/>
          <w:sz w:val="22"/>
          <w:szCs w:val="22"/>
        </w:rPr>
        <w:t>18–25 years</w:t>
      </w:r>
      <w:r w:rsidRPr="00A26A20">
        <w:rPr>
          <w:rFonts w:ascii="Times New Roman" w:hAnsi="Times New Roman" w:cs="Times New Roman"/>
          <w:sz w:val="22"/>
          <w:szCs w:val="22"/>
        </w:rPr>
        <w:t> age group constituted (n=17), while the smallest proportion was the </w:t>
      </w:r>
      <w:r w:rsidRPr="00A26A20">
        <w:rPr>
          <w:rFonts w:ascii="Times New Roman" w:hAnsi="Times New Roman" w:cs="Times New Roman"/>
          <w:bCs/>
          <w:sz w:val="22"/>
          <w:szCs w:val="22"/>
        </w:rPr>
        <w:t>55 years and above</w:t>
      </w:r>
      <w:r w:rsidRPr="00A26A20">
        <w:rPr>
          <w:rFonts w:ascii="Times New Roman" w:hAnsi="Times New Roman" w:cs="Times New Roman"/>
          <w:sz w:val="22"/>
          <w:szCs w:val="22"/>
        </w:rPr>
        <w:t> age group at (n=12).</w:t>
      </w:r>
    </w:p>
    <w:p w14:paraId="2FF6F1EE" w14:textId="5AABFA6F" w:rsidR="0073107B" w:rsidRPr="00442FF9" w:rsidRDefault="0073107B" w:rsidP="0073107B">
      <w:pPr>
        <w:spacing w:after="0"/>
        <w:rPr>
          <w:rFonts w:ascii="Times New Roman" w:hAnsi="Times New Roman" w:cs="Times New Roman"/>
          <w:b/>
          <w:bCs/>
          <w:sz w:val="22"/>
          <w:szCs w:val="22"/>
        </w:rPr>
      </w:pPr>
      <w:r w:rsidRPr="00442FF9">
        <w:rPr>
          <w:rFonts w:ascii="Times New Roman" w:hAnsi="Times New Roman" w:cs="Times New Roman"/>
          <w:b/>
          <w:bCs/>
          <w:sz w:val="22"/>
          <w:szCs w:val="22"/>
        </w:rPr>
        <w:t>Educational Level of Respondents</w:t>
      </w:r>
    </w:p>
    <w:p w14:paraId="7762A5AB" w14:textId="14408A5F" w:rsidR="0073107B" w:rsidRPr="00442FF9" w:rsidRDefault="0073107B" w:rsidP="0073107B">
      <w:pPr>
        <w:pStyle w:val="Caption"/>
        <w:keepNext/>
        <w:spacing w:after="0"/>
        <w:rPr>
          <w:rFonts w:ascii="Times New Roman" w:hAnsi="Times New Roman" w:cs="Times New Roman"/>
          <w:b/>
          <w:color w:val="auto"/>
          <w:sz w:val="22"/>
          <w:szCs w:val="22"/>
        </w:rPr>
      </w:pPr>
      <w:bookmarkStart w:id="20" w:name="_Toc233380581"/>
      <w:r w:rsidRPr="00442FF9">
        <w:rPr>
          <w:rFonts w:ascii="Times New Roman" w:hAnsi="Times New Roman" w:cs="Times New Roman"/>
          <w:b/>
          <w:color w:val="auto"/>
          <w:sz w:val="22"/>
          <w:szCs w:val="22"/>
        </w:rPr>
        <w:t xml:space="preserve">Table </w:t>
      </w:r>
      <w:r w:rsidRPr="00442FF9">
        <w:rPr>
          <w:rFonts w:ascii="Times New Roman" w:hAnsi="Times New Roman" w:cs="Times New Roman"/>
          <w:b/>
          <w:color w:val="auto"/>
          <w:sz w:val="22"/>
          <w:szCs w:val="22"/>
        </w:rPr>
        <w:fldChar w:fldCharType="begin"/>
      </w:r>
      <w:r w:rsidRPr="00442FF9">
        <w:rPr>
          <w:rFonts w:ascii="Times New Roman" w:hAnsi="Times New Roman" w:cs="Times New Roman"/>
          <w:b/>
          <w:color w:val="auto"/>
          <w:sz w:val="22"/>
          <w:szCs w:val="22"/>
        </w:rPr>
        <w:instrText xml:space="preserve"> SEQ Table \* ARABIC </w:instrText>
      </w:r>
      <w:r w:rsidRPr="00442FF9">
        <w:rPr>
          <w:rFonts w:ascii="Times New Roman" w:hAnsi="Times New Roman" w:cs="Times New Roman"/>
          <w:b/>
          <w:color w:val="auto"/>
          <w:sz w:val="22"/>
          <w:szCs w:val="22"/>
        </w:rPr>
        <w:fldChar w:fldCharType="separate"/>
      </w:r>
      <w:r w:rsidRPr="00442FF9">
        <w:rPr>
          <w:rFonts w:ascii="Times New Roman" w:hAnsi="Times New Roman" w:cs="Times New Roman"/>
          <w:b/>
          <w:noProof/>
          <w:color w:val="auto"/>
          <w:sz w:val="22"/>
          <w:szCs w:val="22"/>
        </w:rPr>
        <w:t>3</w:t>
      </w:r>
      <w:r w:rsidRPr="00442FF9">
        <w:rPr>
          <w:rFonts w:ascii="Times New Roman" w:hAnsi="Times New Roman" w:cs="Times New Roman"/>
          <w:b/>
          <w:noProof/>
          <w:color w:val="auto"/>
          <w:sz w:val="22"/>
          <w:szCs w:val="22"/>
        </w:rPr>
        <w:fldChar w:fldCharType="end"/>
      </w:r>
      <w:r w:rsidR="009A5D3B">
        <w:rPr>
          <w:rFonts w:ascii="Times New Roman" w:hAnsi="Times New Roman" w:cs="Times New Roman"/>
          <w:b/>
          <w:noProof/>
          <w:color w:val="auto"/>
          <w:sz w:val="22"/>
          <w:szCs w:val="22"/>
        </w:rPr>
        <w:t xml:space="preserve">: </w:t>
      </w:r>
      <w:r w:rsidRPr="00442FF9">
        <w:rPr>
          <w:rFonts w:ascii="Times New Roman" w:hAnsi="Times New Roman" w:cs="Times New Roman"/>
          <w:b/>
          <w:color w:val="auto"/>
          <w:sz w:val="22"/>
          <w:szCs w:val="22"/>
        </w:rPr>
        <w:t>Distribution of Respondents by Educational Level (n = 159)</w:t>
      </w:r>
      <w:bookmarkEnd w:id="20"/>
    </w:p>
    <w:tbl>
      <w:tblPr>
        <w:tblStyle w:val="TableGrid"/>
        <w:tblW w:w="4878" w:type="pct"/>
        <w:tblLook w:val="04A0" w:firstRow="1" w:lastRow="0" w:firstColumn="1" w:lastColumn="0" w:noHBand="0" w:noVBand="1"/>
      </w:tblPr>
      <w:tblGrid>
        <w:gridCol w:w="3350"/>
        <w:gridCol w:w="2723"/>
        <w:gridCol w:w="2723"/>
      </w:tblGrid>
      <w:tr w:rsidR="0073107B" w:rsidRPr="009A5D3B" w14:paraId="2CE28824" w14:textId="77777777" w:rsidTr="00A62496">
        <w:tc>
          <w:tcPr>
            <w:tcW w:w="1904" w:type="pct"/>
            <w:hideMark/>
          </w:tcPr>
          <w:p w14:paraId="1E7A7ED2" w14:textId="77777777" w:rsidR="0073107B" w:rsidRPr="009A5D3B" w:rsidRDefault="0073107B" w:rsidP="00A62496">
            <w:pPr>
              <w:spacing w:line="360" w:lineRule="auto"/>
              <w:jc w:val="both"/>
              <w:rPr>
                <w:rFonts w:ascii="Times New Roman" w:hAnsi="Times New Roman" w:cs="Times New Roman"/>
                <w:b/>
                <w:bCs/>
                <w:sz w:val="22"/>
                <w:szCs w:val="22"/>
              </w:rPr>
            </w:pPr>
            <w:r w:rsidRPr="009A5D3B">
              <w:rPr>
                <w:rFonts w:ascii="Times New Roman" w:hAnsi="Times New Roman" w:cs="Times New Roman"/>
                <w:b/>
                <w:bCs/>
                <w:sz w:val="22"/>
                <w:szCs w:val="22"/>
              </w:rPr>
              <w:t>Educational Level</w:t>
            </w:r>
          </w:p>
        </w:tc>
        <w:tc>
          <w:tcPr>
            <w:tcW w:w="1548" w:type="pct"/>
            <w:hideMark/>
          </w:tcPr>
          <w:p w14:paraId="5C5FEEC4" w14:textId="77777777" w:rsidR="0073107B" w:rsidRPr="009A5D3B" w:rsidRDefault="0073107B" w:rsidP="00A62496">
            <w:pPr>
              <w:spacing w:line="360" w:lineRule="auto"/>
              <w:jc w:val="center"/>
              <w:rPr>
                <w:rFonts w:ascii="Times New Roman" w:hAnsi="Times New Roman" w:cs="Times New Roman"/>
                <w:b/>
                <w:bCs/>
                <w:sz w:val="22"/>
                <w:szCs w:val="22"/>
              </w:rPr>
            </w:pPr>
            <w:r w:rsidRPr="009A5D3B">
              <w:rPr>
                <w:rFonts w:ascii="Times New Roman" w:hAnsi="Times New Roman" w:cs="Times New Roman"/>
                <w:b/>
                <w:bCs/>
                <w:sz w:val="22"/>
                <w:szCs w:val="22"/>
              </w:rPr>
              <w:t>Frequency (n)</w:t>
            </w:r>
          </w:p>
        </w:tc>
        <w:tc>
          <w:tcPr>
            <w:tcW w:w="1548" w:type="pct"/>
          </w:tcPr>
          <w:p w14:paraId="6757C30C" w14:textId="77777777" w:rsidR="0073107B" w:rsidRPr="009A5D3B" w:rsidRDefault="0073107B" w:rsidP="00A62496">
            <w:pPr>
              <w:spacing w:line="360" w:lineRule="auto"/>
              <w:jc w:val="center"/>
              <w:rPr>
                <w:rFonts w:ascii="Times New Roman" w:hAnsi="Times New Roman" w:cs="Times New Roman"/>
                <w:b/>
                <w:bCs/>
                <w:sz w:val="22"/>
                <w:szCs w:val="22"/>
              </w:rPr>
            </w:pPr>
            <w:r w:rsidRPr="009A5D3B">
              <w:rPr>
                <w:rFonts w:ascii="Times New Roman" w:hAnsi="Times New Roman" w:cs="Times New Roman"/>
                <w:b/>
                <w:bCs/>
                <w:sz w:val="22"/>
                <w:szCs w:val="22"/>
              </w:rPr>
              <w:t>Percentage (%)</w:t>
            </w:r>
          </w:p>
        </w:tc>
      </w:tr>
      <w:tr w:rsidR="0073107B" w:rsidRPr="009A5D3B" w14:paraId="3536DE35" w14:textId="77777777" w:rsidTr="00A62496">
        <w:tc>
          <w:tcPr>
            <w:tcW w:w="1904" w:type="pct"/>
            <w:hideMark/>
          </w:tcPr>
          <w:p w14:paraId="098D8C52" w14:textId="77777777" w:rsidR="0073107B" w:rsidRPr="009A5D3B" w:rsidRDefault="0073107B" w:rsidP="00A62496">
            <w:pPr>
              <w:spacing w:line="360" w:lineRule="auto"/>
              <w:jc w:val="both"/>
              <w:rPr>
                <w:rFonts w:ascii="Times New Roman" w:hAnsi="Times New Roman" w:cs="Times New Roman"/>
                <w:sz w:val="22"/>
                <w:szCs w:val="22"/>
              </w:rPr>
            </w:pPr>
            <w:r w:rsidRPr="009A5D3B">
              <w:rPr>
                <w:rFonts w:ascii="Times New Roman" w:hAnsi="Times New Roman" w:cs="Times New Roman"/>
                <w:sz w:val="22"/>
                <w:szCs w:val="22"/>
              </w:rPr>
              <w:t>None</w:t>
            </w:r>
          </w:p>
        </w:tc>
        <w:tc>
          <w:tcPr>
            <w:tcW w:w="1548" w:type="pct"/>
            <w:hideMark/>
          </w:tcPr>
          <w:p w14:paraId="164CE4F5" w14:textId="77777777" w:rsidR="0073107B" w:rsidRPr="009A5D3B" w:rsidRDefault="0073107B" w:rsidP="00A62496">
            <w:pPr>
              <w:spacing w:line="360" w:lineRule="auto"/>
              <w:jc w:val="center"/>
              <w:rPr>
                <w:rFonts w:ascii="Times New Roman" w:hAnsi="Times New Roman" w:cs="Times New Roman"/>
                <w:sz w:val="22"/>
                <w:szCs w:val="22"/>
              </w:rPr>
            </w:pPr>
            <w:r w:rsidRPr="009A5D3B">
              <w:rPr>
                <w:rFonts w:ascii="Times New Roman" w:hAnsi="Times New Roman" w:cs="Times New Roman"/>
                <w:sz w:val="22"/>
                <w:szCs w:val="22"/>
              </w:rPr>
              <w:t>47</w:t>
            </w:r>
          </w:p>
        </w:tc>
        <w:tc>
          <w:tcPr>
            <w:tcW w:w="1548" w:type="pct"/>
          </w:tcPr>
          <w:p w14:paraId="1EF84334" w14:textId="77777777" w:rsidR="0073107B" w:rsidRPr="009A5D3B" w:rsidRDefault="0073107B" w:rsidP="00A62496">
            <w:pPr>
              <w:spacing w:line="360" w:lineRule="auto"/>
              <w:jc w:val="center"/>
              <w:rPr>
                <w:rFonts w:ascii="Times New Roman" w:hAnsi="Times New Roman" w:cs="Times New Roman"/>
                <w:sz w:val="22"/>
                <w:szCs w:val="22"/>
              </w:rPr>
            </w:pPr>
            <w:r w:rsidRPr="009A5D3B">
              <w:rPr>
                <w:rFonts w:ascii="Times New Roman" w:hAnsi="Times New Roman" w:cs="Times New Roman"/>
                <w:sz w:val="22"/>
                <w:szCs w:val="22"/>
              </w:rPr>
              <w:t>30</w:t>
            </w:r>
          </w:p>
        </w:tc>
      </w:tr>
      <w:tr w:rsidR="0073107B" w:rsidRPr="009A5D3B" w14:paraId="5AD49821" w14:textId="77777777" w:rsidTr="00A62496">
        <w:tc>
          <w:tcPr>
            <w:tcW w:w="1904" w:type="pct"/>
            <w:hideMark/>
          </w:tcPr>
          <w:p w14:paraId="14F77990" w14:textId="77777777" w:rsidR="0073107B" w:rsidRPr="009A5D3B" w:rsidRDefault="0073107B" w:rsidP="00A62496">
            <w:pPr>
              <w:spacing w:line="360" w:lineRule="auto"/>
              <w:jc w:val="both"/>
              <w:rPr>
                <w:rFonts w:ascii="Times New Roman" w:hAnsi="Times New Roman" w:cs="Times New Roman"/>
                <w:sz w:val="22"/>
                <w:szCs w:val="22"/>
              </w:rPr>
            </w:pPr>
            <w:r w:rsidRPr="009A5D3B">
              <w:rPr>
                <w:rFonts w:ascii="Times New Roman" w:hAnsi="Times New Roman" w:cs="Times New Roman"/>
                <w:sz w:val="22"/>
                <w:szCs w:val="22"/>
              </w:rPr>
              <w:t>Primary</w:t>
            </w:r>
          </w:p>
        </w:tc>
        <w:tc>
          <w:tcPr>
            <w:tcW w:w="1548" w:type="pct"/>
            <w:hideMark/>
          </w:tcPr>
          <w:p w14:paraId="74FF48C6" w14:textId="77777777" w:rsidR="0073107B" w:rsidRPr="009A5D3B" w:rsidRDefault="0073107B" w:rsidP="00A62496">
            <w:pPr>
              <w:spacing w:line="360" w:lineRule="auto"/>
              <w:jc w:val="center"/>
              <w:rPr>
                <w:rFonts w:ascii="Times New Roman" w:hAnsi="Times New Roman" w:cs="Times New Roman"/>
                <w:sz w:val="22"/>
                <w:szCs w:val="22"/>
              </w:rPr>
            </w:pPr>
            <w:r w:rsidRPr="009A5D3B">
              <w:rPr>
                <w:rFonts w:ascii="Times New Roman" w:hAnsi="Times New Roman" w:cs="Times New Roman"/>
                <w:sz w:val="22"/>
                <w:szCs w:val="22"/>
              </w:rPr>
              <w:t>79</w:t>
            </w:r>
          </w:p>
        </w:tc>
        <w:tc>
          <w:tcPr>
            <w:tcW w:w="1548" w:type="pct"/>
          </w:tcPr>
          <w:p w14:paraId="0097CE5E" w14:textId="77777777" w:rsidR="0073107B" w:rsidRPr="009A5D3B" w:rsidRDefault="0073107B" w:rsidP="00A62496">
            <w:pPr>
              <w:spacing w:line="360" w:lineRule="auto"/>
              <w:jc w:val="center"/>
              <w:rPr>
                <w:rFonts w:ascii="Times New Roman" w:hAnsi="Times New Roman" w:cs="Times New Roman"/>
                <w:sz w:val="22"/>
                <w:szCs w:val="22"/>
              </w:rPr>
            </w:pPr>
            <w:r w:rsidRPr="009A5D3B">
              <w:rPr>
                <w:rFonts w:ascii="Times New Roman" w:hAnsi="Times New Roman" w:cs="Times New Roman"/>
                <w:sz w:val="22"/>
                <w:szCs w:val="22"/>
              </w:rPr>
              <w:t>50</w:t>
            </w:r>
          </w:p>
        </w:tc>
      </w:tr>
      <w:tr w:rsidR="0073107B" w:rsidRPr="009A5D3B" w14:paraId="696528B1" w14:textId="77777777" w:rsidTr="00A62496">
        <w:tc>
          <w:tcPr>
            <w:tcW w:w="1904" w:type="pct"/>
            <w:hideMark/>
          </w:tcPr>
          <w:p w14:paraId="28DD1BBB" w14:textId="77777777" w:rsidR="0073107B" w:rsidRPr="009A5D3B" w:rsidRDefault="0073107B" w:rsidP="00A62496">
            <w:pPr>
              <w:spacing w:line="360" w:lineRule="auto"/>
              <w:jc w:val="both"/>
              <w:rPr>
                <w:rFonts w:ascii="Times New Roman" w:hAnsi="Times New Roman" w:cs="Times New Roman"/>
                <w:sz w:val="22"/>
                <w:szCs w:val="22"/>
              </w:rPr>
            </w:pPr>
            <w:r w:rsidRPr="009A5D3B">
              <w:rPr>
                <w:rFonts w:ascii="Times New Roman" w:hAnsi="Times New Roman" w:cs="Times New Roman"/>
                <w:sz w:val="22"/>
                <w:szCs w:val="22"/>
              </w:rPr>
              <w:t>Secondary</w:t>
            </w:r>
          </w:p>
        </w:tc>
        <w:tc>
          <w:tcPr>
            <w:tcW w:w="1548" w:type="pct"/>
            <w:hideMark/>
          </w:tcPr>
          <w:p w14:paraId="457DAFE6" w14:textId="77777777" w:rsidR="0073107B" w:rsidRPr="009A5D3B" w:rsidRDefault="0073107B" w:rsidP="00A62496">
            <w:pPr>
              <w:spacing w:line="360" w:lineRule="auto"/>
              <w:jc w:val="center"/>
              <w:rPr>
                <w:rFonts w:ascii="Times New Roman" w:hAnsi="Times New Roman" w:cs="Times New Roman"/>
                <w:sz w:val="22"/>
                <w:szCs w:val="22"/>
              </w:rPr>
            </w:pPr>
            <w:r w:rsidRPr="009A5D3B">
              <w:rPr>
                <w:rFonts w:ascii="Times New Roman" w:hAnsi="Times New Roman" w:cs="Times New Roman"/>
                <w:sz w:val="22"/>
                <w:szCs w:val="22"/>
              </w:rPr>
              <w:t>29</w:t>
            </w:r>
          </w:p>
        </w:tc>
        <w:tc>
          <w:tcPr>
            <w:tcW w:w="1548" w:type="pct"/>
          </w:tcPr>
          <w:p w14:paraId="01D1D1AA" w14:textId="77777777" w:rsidR="0073107B" w:rsidRPr="009A5D3B" w:rsidRDefault="0073107B" w:rsidP="00A62496">
            <w:pPr>
              <w:spacing w:line="360" w:lineRule="auto"/>
              <w:jc w:val="center"/>
              <w:rPr>
                <w:rFonts w:ascii="Times New Roman" w:hAnsi="Times New Roman" w:cs="Times New Roman"/>
                <w:sz w:val="22"/>
                <w:szCs w:val="22"/>
              </w:rPr>
            </w:pPr>
            <w:r w:rsidRPr="009A5D3B">
              <w:rPr>
                <w:rFonts w:ascii="Times New Roman" w:hAnsi="Times New Roman" w:cs="Times New Roman"/>
                <w:sz w:val="22"/>
                <w:szCs w:val="22"/>
              </w:rPr>
              <w:t>18</w:t>
            </w:r>
          </w:p>
        </w:tc>
      </w:tr>
      <w:tr w:rsidR="0073107B" w:rsidRPr="009A5D3B" w14:paraId="1CA03856" w14:textId="77777777" w:rsidTr="00A62496">
        <w:tc>
          <w:tcPr>
            <w:tcW w:w="1904" w:type="pct"/>
            <w:hideMark/>
          </w:tcPr>
          <w:p w14:paraId="68D70882" w14:textId="77777777" w:rsidR="0073107B" w:rsidRPr="009A5D3B" w:rsidRDefault="0073107B" w:rsidP="00A62496">
            <w:pPr>
              <w:spacing w:line="360" w:lineRule="auto"/>
              <w:jc w:val="both"/>
              <w:rPr>
                <w:rFonts w:ascii="Times New Roman" w:hAnsi="Times New Roman" w:cs="Times New Roman"/>
                <w:sz w:val="22"/>
                <w:szCs w:val="22"/>
              </w:rPr>
            </w:pPr>
            <w:r w:rsidRPr="009A5D3B">
              <w:rPr>
                <w:rFonts w:ascii="Times New Roman" w:hAnsi="Times New Roman" w:cs="Times New Roman"/>
                <w:sz w:val="22"/>
                <w:szCs w:val="22"/>
              </w:rPr>
              <w:t>Tertiary</w:t>
            </w:r>
          </w:p>
        </w:tc>
        <w:tc>
          <w:tcPr>
            <w:tcW w:w="1548" w:type="pct"/>
            <w:hideMark/>
          </w:tcPr>
          <w:p w14:paraId="1C6E5DE3" w14:textId="77777777" w:rsidR="0073107B" w:rsidRPr="009A5D3B" w:rsidRDefault="0073107B" w:rsidP="00A62496">
            <w:pPr>
              <w:spacing w:line="360" w:lineRule="auto"/>
              <w:jc w:val="center"/>
              <w:rPr>
                <w:rFonts w:ascii="Times New Roman" w:hAnsi="Times New Roman" w:cs="Times New Roman"/>
                <w:sz w:val="22"/>
                <w:szCs w:val="22"/>
              </w:rPr>
            </w:pPr>
            <w:r w:rsidRPr="009A5D3B">
              <w:rPr>
                <w:rFonts w:ascii="Times New Roman" w:hAnsi="Times New Roman" w:cs="Times New Roman"/>
                <w:sz w:val="22"/>
                <w:szCs w:val="22"/>
              </w:rPr>
              <w:t>4</w:t>
            </w:r>
          </w:p>
        </w:tc>
        <w:tc>
          <w:tcPr>
            <w:tcW w:w="1548" w:type="pct"/>
          </w:tcPr>
          <w:p w14:paraId="51148E34" w14:textId="77777777" w:rsidR="0073107B" w:rsidRPr="009A5D3B" w:rsidRDefault="0073107B" w:rsidP="00A62496">
            <w:pPr>
              <w:spacing w:line="360" w:lineRule="auto"/>
              <w:jc w:val="center"/>
              <w:rPr>
                <w:rFonts w:ascii="Times New Roman" w:hAnsi="Times New Roman" w:cs="Times New Roman"/>
                <w:sz w:val="22"/>
                <w:szCs w:val="22"/>
              </w:rPr>
            </w:pPr>
            <w:r w:rsidRPr="009A5D3B">
              <w:rPr>
                <w:rFonts w:ascii="Times New Roman" w:hAnsi="Times New Roman" w:cs="Times New Roman"/>
                <w:sz w:val="22"/>
                <w:szCs w:val="22"/>
              </w:rPr>
              <w:t>2</w:t>
            </w:r>
          </w:p>
        </w:tc>
      </w:tr>
      <w:tr w:rsidR="0073107B" w:rsidRPr="009A5D3B" w14:paraId="5F8A928E" w14:textId="77777777" w:rsidTr="00A62496">
        <w:tc>
          <w:tcPr>
            <w:tcW w:w="1904" w:type="pct"/>
            <w:hideMark/>
          </w:tcPr>
          <w:p w14:paraId="499DEDBE" w14:textId="77777777" w:rsidR="0073107B" w:rsidRPr="009A5D3B" w:rsidRDefault="0073107B" w:rsidP="00A62496">
            <w:pPr>
              <w:spacing w:line="360" w:lineRule="auto"/>
              <w:jc w:val="both"/>
              <w:rPr>
                <w:rFonts w:ascii="Times New Roman" w:hAnsi="Times New Roman" w:cs="Times New Roman"/>
                <w:b/>
                <w:bCs/>
                <w:sz w:val="22"/>
                <w:szCs w:val="22"/>
              </w:rPr>
            </w:pPr>
            <w:r w:rsidRPr="009A5D3B">
              <w:rPr>
                <w:rFonts w:ascii="Times New Roman" w:hAnsi="Times New Roman" w:cs="Times New Roman"/>
                <w:b/>
                <w:bCs/>
                <w:sz w:val="22"/>
                <w:szCs w:val="22"/>
              </w:rPr>
              <w:t>Total</w:t>
            </w:r>
          </w:p>
        </w:tc>
        <w:tc>
          <w:tcPr>
            <w:tcW w:w="1548" w:type="pct"/>
            <w:hideMark/>
          </w:tcPr>
          <w:p w14:paraId="4AB67C32" w14:textId="77777777" w:rsidR="0073107B" w:rsidRPr="009A5D3B" w:rsidRDefault="0073107B" w:rsidP="00A62496">
            <w:pPr>
              <w:spacing w:line="360" w:lineRule="auto"/>
              <w:jc w:val="center"/>
              <w:rPr>
                <w:rFonts w:ascii="Times New Roman" w:hAnsi="Times New Roman" w:cs="Times New Roman"/>
                <w:b/>
                <w:bCs/>
                <w:sz w:val="22"/>
                <w:szCs w:val="22"/>
              </w:rPr>
            </w:pPr>
            <w:r w:rsidRPr="009A5D3B">
              <w:rPr>
                <w:rFonts w:ascii="Times New Roman" w:hAnsi="Times New Roman" w:cs="Times New Roman"/>
                <w:b/>
                <w:bCs/>
                <w:sz w:val="22"/>
                <w:szCs w:val="22"/>
              </w:rPr>
              <w:t>159</w:t>
            </w:r>
          </w:p>
        </w:tc>
        <w:tc>
          <w:tcPr>
            <w:tcW w:w="1548" w:type="pct"/>
          </w:tcPr>
          <w:p w14:paraId="55C772C3" w14:textId="77777777" w:rsidR="0073107B" w:rsidRPr="009A5D3B" w:rsidRDefault="0073107B" w:rsidP="00A62496">
            <w:pPr>
              <w:spacing w:line="360" w:lineRule="auto"/>
              <w:jc w:val="center"/>
              <w:rPr>
                <w:rFonts w:ascii="Times New Roman" w:hAnsi="Times New Roman" w:cs="Times New Roman"/>
                <w:b/>
                <w:bCs/>
                <w:sz w:val="22"/>
                <w:szCs w:val="22"/>
              </w:rPr>
            </w:pPr>
            <w:r w:rsidRPr="009A5D3B">
              <w:rPr>
                <w:rFonts w:ascii="Times New Roman" w:hAnsi="Times New Roman" w:cs="Times New Roman"/>
                <w:b/>
                <w:bCs/>
                <w:sz w:val="22"/>
                <w:szCs w:val="22"/>
              </w:rPr>
              <w:t>100</w:t>
            </w:r>
          </w:p>
        </w:tc>
      </w:tr>
    </w:tbl>
    <w:p w14:paraId="65C26AFB" w14:textId="6E8F1019" w:rsidR="009A5D3B" w:rsidRDefault="0073107B" w:rsidP="0073107B">
      <w:pPr>
        <w:spacing w:after="0" w:line="360" w:lineRule="auto"/>
        <w:jc w:val="both"/>
        <w:rPr>
          <w:rFonts w:ascii="Times New Roman" w:eastAsia="Times New Roman" w:hAnsi="Times New Roman" w:cs="Times New Roman"/>
          <w:sz w:val="22"/>
          <w:szCs w:val="22"/>
        </w:rPr>
      </w:pPr>
      <w:r w:rsidRPr="000344FF">
        <w:rPr>
          <w:rFonts w:ascii="Times New Roman" w:eastAsia="Times New Roman" w:hAnsi="Times New Roman" w:cs="Times New Roman"/>
          <w:sz w:val="22"/>
          <w:szCs w:val="22"/>
        </w:rPr>
        <w:t xml:space="preserve">Table 3 indicates that the majority of respondents (50%; n = 79) attained primary education. This was followed by </w:t>
      </w:r>
      <w:r w:rsidR="000344FF">
        <w:rPr>
          <w:rFonts w:ascii="Times New Roman" w:eastAsia="Times New Roman" w:hAnsi="Times New Roman" w:cs="Times New Roman"/>
          <w:sz w:val="22"/>
          <w:szCs w:val="22"/>
        </w:rPr>
        <w:t>an uncompleted education level,</w:t>
      </w:r>
      <w:r w:rsidRPr="000344FF">
        <w:rPr>
          <w:rFonts w:ascii="Times New Roman" w:eastAsia="Times New Roman" w:hAnsi="Times New Roman" w:cs="Times New Roman"/>
          <w:sz w:val="22"/>
          <w:szCs w:val="22"/>
        </w:rPr>
        <w:t xml:space="preserve"> representing 30% (n = 47). Respondents with secondary education constituted 18% (n = 29), and only a very small proportion had attained tertiary education.</w:t>
      </w:r>
    </w:p>
    <w:p w14:paraId="11A44D53" w14:textId="77777777" w:rsidR="00440F11" w:rsidRPr="000344FF" w:rsidRDefault="00440F11" w:rsidP="0073107B">
      <w:pPr>
        <w:spacing w:after="0" w:line="360" w:lineRule="auto"/>
        <w:jc w:val="both"/>
        <w:rPr>
          <w:rFonts w:ascii="Times New Roman" w:eastAsia="Times New Roman" w:hAnsi="Times New Roman" w:cs="Times New Roman"/>
          <w:sz w:val="22"/>
          <w:szCs w:val="22"/>
        </w:rPr>
      </w:pPr>
    </w:p>
    <w:p w14:paraId="4DEC7E58" w14:textId="56E8698B" w:rsidR="009A5D3B" w:rsidRPr="009A5D3B" w:rsidRDefault="009A5D3B" w:rsidP="009A5D3B">
      <w:pPr>
        <w:spacing w:after="0" w:line="360" w:lineRule="auto"/>
        <w:rPr>
          <w:rFonts w:ascii="Times New Roman" w:hAnsi="Times New Roman" w:cs="Times New Roman"/>
          <w:b/>
          <w:bCs/>
          <w:sz w:val="22"/>
          <w:szCs w:val="22"/>
        </w:rPr>
      </w:pPr>
      <w:r w:rsidRPr="009A5D3B">
        <w:rPr>
          <w:rFonts w:ascii="Times New Roman" w:hAnsi="Times New Roman" w:cs="Times New Roman"/>
          <w:b/>
          <w:bCs/>
          <w:sz w:val="22"/>
          <w:szCs w:val="22"/>
        </w:rPr>
        <w:t>Monthly Income Distribution of Respondents</w:t>
      </w:r>
    </w:p>
    <w:p w14:paraId="1D3E4C42" w14:textId="45A62986" w:rsidR="009A5D3B" w:rsidRPr="009A5D3B" w:rsidRDefault="009A5D3B" w:rsidP="009A5D3B">
      <w:pPr>
        <w:pStyle w:val="Caption"/>
        <w:keepNext/>
        <w:spacing w:after="0" w:line="360" w:lineRule="auto"/>
        <w:jc w:val="both"/>
        <w:rPr>
          <w:rFonts w:ascii="Times New Roman" w:hAnsi="Times New Roman" w:cs="Times New Roman"/>
          <w:b/>
          <w:color w:val="auto"/>
          <w:sz w:val="22"/>
          <w:szCs w:val="22"/>
        </w:rPr>
      </w:pPr>
      <w:bookmarkStart w:id="21" w:name="_Toc228457829"/>
      <w:bookmarkStart w:id="22" w:name="_Toc233380583"/>
      <w:r w:rsidRPr="009A5D3B">
        <w:rPr>
          <w:rFonts w:ascii="Times New Roman" w:hAnsi="Times New Roman" w:cs="Times New Roman"/>
          <w:b/>
          <w:color w:val="auto"/>
          <w:sz w:val="22"/>
          <w:szCs w:val="22"/>
        </w:rPr>
        <w:t xml:space="preserve">Table </w:t>
      </w:r>
      <w:r>
        <w:rPr>
          <w:rFonts w:ascii="Times New Roman" w:hAnsi="Times New Roman" w:cs="Times New Roman"/>
          <w:b/>
          <w:color w:val="auto"/>
          <w:sz w:val="22"/>
          <w:szCs w:val="22"/>
        </w:rPr>
        <w:t>4: Distribution</w:t>
      </w:r>
      <w:r w:rsidRPr="009A5D3B">
        <w:rPr>
          <w:rFonts w:ascii="Times New Roman" w:hAnsi="Times New Roman" w:cs="Times New Roman"/>
          <w:b/>
          <w:color w:val="auto"/>
          <w:sz w:val="22"/>
          <w:szCs w:val="22"/>
        </w:rPr>
        <w:t xml:space="preserve"> of Respondents by Monthly Income (ZMW) (n=159)</w:t>
      </w:r>
      <w:bookmarkEnd w:id="21"/>
      <w:bookmarkEnd w:id="22"/>
    </w:p>
    <w:tbl>
      <w:tblPr>
        <w:tblStyle w:val="TableGridLight"/>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8"/>
        <w:gridCol w:w="2402"/>
        <w:gridCol w:w="2402"/>
      </w:tblGrid>
      <w:tr w:rsidR="009A5D3B" w:rsidRPr="009A5D3B" w14:paraId="49521529" w14:textId="77777777" w:rsidTr="00A62496">
        <w:tc>
          <w:tcPr>
            <w:tcW w:w="2280" w:type="pct"/>
            <w:hideMark/>
          </w:tcPr>
          <w:p w14:paraId="7A00425C" w14:textId="77777777" w:rsidR="009A5D3B" w:rsidRPr="009A5D3B" w:rsidRDefault="009A5D3B" w:rsidP="00A62496">
            <w:pPr>
              <w:spacing w:line="360" w:lineRule="auto"/>
              <w:jc w:val="both"/>
              <w:rPr>
                <w:rFonts w:ascii="Times New Roman" w:hAnsi="Times New Roman" w:cs="Times New Roman"/>
                <w:b/>
              </w:rPr>
            </w:pPr>
            <w:r w:rsidRPr="009A5D3B">
              <w:rPr>
                <w:rFonts w:ascii="Times New Roman" w:hAnsi="Times New Roman" w:cs="Times New Roman"/>
                <w:b/>
              </w:rPr>
              <w:t>Monthly Income (ZMW)</w:t>
            </w:r>
          </w:p>
        </w:tc>
        <w:tc>
          <w:tcPr>
            <w:tcW w:w="1360" w:type="pct"/>
            <w:hideMark/>
          </w:tcPr>
          <w:p w14:paraId="76FEC113" w14:textId="77777777" w:rsidR="009A5D3B" w:rsidRPr="009A5D3B" w:rsidRDefault="009A5D3B" w:rsidP="00A62496">
            <w:pPr>
              <w:spacing w:line="360" w:lineRule="auto"/>
              <w:jc w:val="center"/>
              <w:rPr>
                <w:rFonts w:ascii="Times New Roman" w:hAnsi="Times New Roman" w:cs="Times New Roman"/>
                <w:b/>
              </w:rPr>
            </w:pPr>
            <w:r w:rsidRPr="009A5D3B">
              <w:rPr>
                <w:rFonts w:ascii="Times New Roman" w:hAnsi="Times New Roman" w:cs="Times New Roman"/>
                <w:b/>
              </w:rPr>
              <w:t>Frequency (n)</w:t>
            </w:r>
          </w:p>
        </w:tc>
        <w:tc>
          <w:tcPr>
            <w:tcW w:w="1360" w:type="pct"/>
          </w:tcPr>
          <w:p w14:paraId="2641E745" w14:textId="77777777" w:rsidR="009A5D3B" w:rsidRPr="009A5D3B" w:rsidRDefault="009A5D3B" w:rsidP="00A62496">
            <w:pPr>
              <w:spacing w:line="360" w:lineRule="auto"/>
              <w:jc w:val="center"/>
              <w:rPr>
                <w:rFonts w:ascii="Times New Roman" w:hAnsi="Times New Roman" w:cs="Times New Roman"/>
                <w:b/>
              </w:rPr>
            </w:pPr>
            <w:r w:rsidRPr="009A5D3B">
              <w:rPr>
                <w:rFonts w:ascii="Times New Roman" w:hAnsi="Times New Roman" w:cs="Times New Roman"/>
                <w:b/>
              </w:rPr>
              <w:t>Percentages (%)</w:t>
            </w:r>
          </w:p>
        </w:tc>
      </w:tr>
      <w:tr w:rsidR="009A5D3B" w:rsidRPr="009A5D3B" w14:paraId="620E97C3" w14:textId="77777777" w:rsidTr="00A62496">
        <w:tc>
          <w:tcPr>
            <w:tcW w:w="2280" w:type="pct"/>
            <w:hideMark/>
          </w:tcPr>
          <w:p w14:paraId="6D02B097" w14:textId="77777777" w:rsidR="009A5D3B" w:rsidRPr="009A5D3B" w:rsidRDefault="009A5D3B" w:rsidP="00A62496">
            <w:pPr>
              <w:spacing w:line="360" w:lineRule="auto"/>
              <w:jc w:val="both"/>
              <w:rPr>
                <w:rFonts w:ascii="Times New Roman" w:hAnsi="Times New Roman" w:cs="Times New Roman"/>
              </w:rPr>
            </w:pPr>
            <w:r w:rsidRPr="009A5D3B">
              <w:rPr>
                <w:rFonts w:ascii="Times New Roman" w:hAnsi="Times New Roman" w:cs="Times New Roman"/>
              </w:rPr>
              <w:t>Less than 1,000</w:t>
            </w:r>
          </w:p>
        </w:tc>
        <w:tc>
          <w:tcPr>
            <w:tcW w:w="1360" w:type="pct"/>
            <w:hideMark/>
          </w:tcPr>
          <w:p w14:paraId="1B3D83DF" w14:textId="77777777" w:rsidR="009A5D3B" w:rsidRPr="009A5D3B" w:rsidRDefault="009A5D3B" w:rsidP="00A62496">
            <w:pPr>
              <w:spacing w:line="360" w:lineRule="auto"/>
              <w:jc w:val="center"/>
              <w:rPr>
                <w:rFonts w:ascii="Times New Roman" w:hAnsi="Times New Roman" w:cs="Times New Roman"/>
              </w:rPr>
            </w:pPr>
            <w:r w:rsidRPr="009A5D3B">
              <w:rPr>
                <w:rFonts w:ascii="Times New Roman" w:hAnsi="Times New Roman" w:cs="Times New Roman"/>
              </w:rPr>
              <w:t>58</w:t>
            </w:r>
          </w:p>
        </w:tc>
        <w:tc>
          <w:tcPr>
            <w:tcW w:w="1360" w:type="pct"/>
          </w:tcPr>
          <w:p w14:paraId="21F8D4F6" w14:textId="77777777" w:rsidR="009A5D3B" w:rsidRPr="009A5D3B" w:rsidRDefault="009A5D3B" w:rsidP="00A62496">
            <w:pPr>
              <w:spacing w:line="360" w:lineRule="auto"/>
              <w:jc w:val="center"/>
              <w:rPr>
                <w:rFonts w:ascii="Times New Roman" w:hAnsi="Times New Roman" w:cs="Times New Roman"/>
              </w:rPr>
            </w:pPr>
            <w:r w:rsidRPr="009A5D3B">
              <w:rPr>
                <w:rFonts w:ascii="Times New Roman" w:hAnsi="Times New Roman" w:cs="Times New Roman"/>
              </w:rPr>
              <w:t>37</w:t>
            </w:r>
          </w:p>
        </w:tc>
      </w:tr>
      <w:tr w:rsidR="009A5D3B" w:rsidRPr="009A5D3B" w14:paraId="559F8A6E" w14:textId="77777777" w:rsidTr="00A62496">
        <w:tc>
          <w:tcPr>
            <w:tcW w:w="2280" w:type="pct"/>
            <w:hideMark/>
          </w:tcPr>
          <w:p w14:paraId="64E10F18" w14:textId="77777777" w:rsidR="009A5D3B" w:rsidRPr="009A5D3B" w:rsidRDefault="009A5D3B" w:rsidP="00A62496">
            <w:pPr>
              <w:spacing w:line="360" w:lineRule="auto"/>
              <w:jc w:val="both"/>
              <w:rPr>
                <w:rFonts w:ascii="Times New Roman" w:hAnsi="Times New Roman" w:cs="Times New Roman"/>
              </w:rPr>
            </w:pPr>
            <w:r w:rsidRPr="009A5D3B">
              <w:rPr>
                <w:rFonts w:ascii="Times New Roman" w:hAnsi="Times New Roman" w:cs="Times New Roman"/>
              </w:rPr>
              <w:t>1,000-2,500</w:t>
            </w:r>
          </w:p>
        </w:tc>
        <w:tc>
          <w:tcPr>
            <w:tcW w:w="1360" w:type="pct"/>
            <w:hideMark/>
          </w:tcPr>
          <w:p w14:paraId="290D0435" w14:textId="77777777" w:rsidR="009A5D3B" w:rsidRPr="009A5D3B" w:rsidRDefault="009A5D3B" w:rsidP="00A62496">
            <w:pPr>
              <w:spacing w:line="360" w:lineRule="auto"/>
              <w:jc w:val="center"/>
              <w:rPr>
                <w:rFonts w:ascii="Times New Roman" w:hAnsi="Times New Roman" w:cs="Times New Roman"/>
              </w:rPr>
            </w:pPr>
            <w:r w:rsidRPr="009A5D3B">
              <w:rPr>
                <w:rFonts w:ascii="Times New Roman" w:hAnsi="Times New Roman" w:cs="Times New Roman"/>
              </w:rPr>
              <w:t>40</w:t>
            </w:r>
          </w:p>
        </w:tc>
        <w:tc>
          <w:tcPr>
            <w:tcW w:w="1360" w:type="pct"/>
          </w:tcPr>
          <w:p w14:paraId="73671BB9" w14:textId="77777777" w:rsidR="009A5D3B" w:rsidRPr="009A5D3B" w:rsidRDefault="009A5D3B" w:rsidP="00A62496">
            <w:pPr>
              <w:spacing w:line="360" w:lineRule="auto"/>
              <w:jc w:val="center"/>
              <w:rPr>
                <w:rFonts w:ascii="Times New Roman" w:hAnsi="Times New Roman" w:cs="Times New Roman"/>
              </w:rPr>
            </w:pPr>
            <w:r w:rsidRPr="009A5D3B">
              <w:rPr>
                <w:rFonts w:ascii="Times New Roman" w:hAnsi="Times New Roman" w:cs="Times New Roman"/>
              </w:rPr>
              <w:t>25</w:t>
            </w:r>
          </w:p>
        </w:tc>
      </w:tr>
      <w:tr w:rsidR="009A5D3B" w:rsidRPr="009A5D3B" w14:paraId="0AA442CB" w14:textId="77777777" w:rsidTr="00A62496">
        <w:tc>
          <w:tcPr>
            <w:tcW w:w="2280" w:type="pct"/>
            <w:hideMark/>
          </w:tcPr>
          <w:p w14:paraId="648E9279" w14:textId="77777777" w:rsidR="009A5D3B" w:rsidRPr="009A5D3B" w:rsidRDefault="009A5D3B" w:rsidP="00A62496">
            <w:pPr>
              <w:spacing w:line="360" w:lineRule="auto"/>
              <w:jc w:val="both"/>
              <w:rPr>
                <w:rFonts w:ascii="Times New Roman" w:hAnsi="Times New Roman" w:cs="Times New Roman"/>
              </w:rPr>
            </w:pPr>
            <w:r w:rsidRPr="009A5D3B">
              <w:rPr>
                <w:rFonts w:ascii="Times New Roman" w:hAnsi="Times New Roman" w:cs="Times New Roman"/>
              </w:rPr>
              <w:t>2,500-5,000</w:t>
            </w:r>
          </w:p>
        </w:tc>
        <w:tc>
          <w:tcPr>
            <w:tcW w:w="1360" w:type="pct"/>
            <w:hideMark/>
          </w:tcPr>
          <w:p w14:paraId="4C96171B" w14:textId="77777777" w:rsidR="009A5D3B" w:rsidRPr="009A5D3B" w:rsidRDefault="009A5D3B" w:rsidP="00A62496">
            <w:pPr>
              <w:spacing w:line="360" w:lineRule="auto"/>
              <w:jc w:val="center"/>
              <w:rPr>
                <w:rFonts w:ascii="Times New Roman" w:hAnsi="Times New Roman" w:cs="Times New Roman"/>
              </w:rPr>
            </w:pPr>
            <w:r w:rsidRPr="009A5D3B">
              <w:rPr>
                <w:rFonts w:ascii="Times New Roman" w:hAnsi="Times New Roman" w:cs="Times New Roman"/>
              </w:rPr>
              <w:t>38</w:t>
            </w:r>
          </w:p>
        </w:tc>
        <w:tc>
          <w:tcPr>
            <w:tcW w:w="1360" w:type="pct"/>
          </w:tcPr>
          <w:p w14:paraId="350136E8" w14:textId="77777777" w:rsidR="009A5D3B" w:rsidRPr="009A5D3B" w:rsidRDefault="009A5D3B" w:rsidP="00A62496">
            <w:pPr>
              <w:spacing w:line="360" w:lineRule="auto"/>
              <w:jc w:val="center"/>
              <w:rPr>
                <w:rFonts w:ascii="Times New Roman" w:hAnsi="Times New Roman" w:cs="Times New Roman"/>
              </w:rPr>
            </w:pPr>
            <w:r w:rsidRPr="009A5D3B">
              <w:rPr>
                <w:rFonts w:ascii="Times New Roman" w:hAnsi="Times New Roman" w:cs="Times New Roman"/>
              </w:rPr>
              <w:t>24</w:t>
            </w:r>
          </w:p>
        </w:tc>
      </w:tr>
      <w:tr w:rsidR="009A5D3B" w:rsidRPr="009A5D3B" w14:paraId="2DE4BCD9" w14:textId="77777777" w:rsidTr="00A62496">
        <w:tc>
          <w:tcPr>
            <w:tcW w:w="2280" w:type="pct"/>
            <w:hideMark/>
          </w:tcPr>
          <w:p w14:paraId="5AA3176C" w14:textId="77777777" w:rsidR="009A5D3B" w:rsidRPr="009A5D3B" w:rsidRDefault="009A5D3B" w:rsidP="00A62496">
            <w:pPr>
              <w:spacing w:line="360" w:lineRule="auto"/>
              <w:jc w:val="both"/>
              <w:rPr>
                <w:rFonts w:ascii="Times New Roman" w:hAnsi="Times New Roman" w:cs="Times New Roman"/>
              </w:rPr>
            </w:pPr>
            <w:r w:rsidRPr="009A5D3B">
              <w:rPr>
                <w:rFonts w:ascii="Times New Roman" w:hAnsi="Times New Roman" w:cs="Times New Roman"/>
              </w:rPr>
              <w:t>5,000+</w:t>
            </w:r>
          </w:p>
        </w:tc>
        <w:tc>
          <w:tcPr>
            <w:tcW w:w="1360" w:type="pct"/>
            <w:hideMark/>
          </w:tcPr>
          <w:p w14:paraId="3DC6747C" w14:textId="77777777" w:rsidR="009A5D3B" w:rsidRPr="009A5D3B" w:rsidRDefault="009A5D3B" w:rsidP="00A62496">
            <w:pPr>
              <w:spacing w:line="360" w:lineRule="auto"/>
              <w:jc w:val="center"/>
              <w:rPr>
                <w:rFonts w:ascii="Times New Roman" w:hAnsi="Times New Roman" w:cs="Times New Roman"/>
              </w:rPr>
            </w:pPr>
            <w:r w:rsidRPr="009A5D3B">
              <w:rPr>
                <w:rFonts w:ascii="Times New Roman" w:hAnsi="Times New Roman" w:cs="Times New Roman"/>
              </w:rPr>
              <w:t>23</w:t>
            </w:r>
          </w:p>
        </w:tc>
        <w:tc>
          <w:tcPr>
            <w:tcW w:w="1360" w:type="pct"/>
          </w:tcPr>
          <w:p w14:paraId="016F8242" w14:textId="77777777" w:rsidR="009A5D3B" w:rsidRPr="009A5D3B" w:rsidRDefault="009A5D3B" w:rsidP="00A62496">
            <w:pPr>
              <w:spacing w:line="360" w:lineRule="auto"/>
              <w:jc w:val="center"/>
              <w:rPr>
                <w:rFonts w:ascii="Times New Roman" w:hAnsi="Times New Roman" w:cs="Times New Roman"/>
              </w:rPr>
            </w:pPr>
            <w:r w:rsidRPr="009A5D3B">
              <w:rPr>
                <w:rFonts w:ascii="Times New Roman" w:hAnsi="Times New Roman" w:cs="Times New Roman"/>
              </w:rPr>
              <w:t>14</w:t>
            </w:r>
          </w:p>
        </w:tc>
      </w:tr>
      <w:tr w:rsidR="009A5D3B" w:rsidRPr="009A5D3B" w14:paraId="7158AE35" w14:textId="77777777" w:rsidTr="00A62496">
        <w:tc>
          <w:tcPr>
            <w:tcW w:w="2280" w:type="pct"/>
            <w:hideMark/>
          </w:tcPr>
          <w:p w14:paraId="3B2DA461" w14:textId="77777777" w:rsidR="009A5D3B" w:rsidRPr="009A5D3B" w:rsidRDefault="009A5D3B" w:rsidP="00A62496">
            <w:pPr>
              <w:spacing w:line="360" w:lineRule="auto"/>
              <w:jc w:val="both"/>
              <w:rPr>
                <w:rFonts w:ascii="Times New Roman" w:hAnsi="Times New Roman" w:cs="Times New Roman"/>
                <w:b/>
                <w:bCs/>
              </w:rPr>
            </w:pPr>
            <w:r w:rsidRPr="009A5D3B">
              <w:rPr>
                <w:rFonts w:ascii="Times New Roman" w:hAnsi="Times New Roman" w:cs="Times New Roman"/>
                <w:b/>
                <w:bCs/>
              </w:rPr>
              <w:t>Total</w:t>
            </w:r>
          </w:p>
        </w:tc>
        <w:tc>
          <w:tcPr>
            <w:tcW w:w="1360" w:type="pct"/>
            <w:hideMark/>
          </w:tcPr>
          <w:p w14:paraId="6107F085" w14:textId="77777777" w:rsidR="009A5D3B" w:rsidRPr="009A5D3B" w:rsidRDefault="009A5D3B" w:rsidP="00A62496">
            <w:pPr>
              <w:spacing w:line="360" w:lineRule="auto"/>
              <w:jc w:val="center"/>
              <w:rPr>
                <w:rFonts w:ascii="Times New Roman" w:hAnsi="Times New Roman" w:cs="Times New Roman"/>
                <w:b/>
                <w:bCs/>
              </w:rPr>
            </w:pPr>
            <w:r w:rsidRPr="009A5D3B">
              <w:rPr>
                <w:rFonts w:ascii="Times New Roman" w:hAnsi="Times New Roman" w:cs="Times New Roman"/>
                <w:b/>
                <w:bCs/>
              </w:rPr>
              <w:t>159</w:t>
            </w:r>
          </w:p>
        </w:tc>
        <w:tc>
          <w:tcPr>
            <w:tcW w:w="1360" w:type="pct"/>
          </w:tcPr>
          <w:p w14:paraId="08A30738" w14:textId="77777777" w:rsidR="009A5D3B" w:rsidRPr="009A5D3B" w:rsidRDefault="009A5D3B" w:rsidP="00A62496">
            <w:pPr>
              <w:spacing w:line="360" w:lineRule="auto"/>
              <w:jc w:val="center"/>
              <w:rPr>
                <w:rFonts w:ascii="Times New Roman" w:hAnsi="Times New Roman" w:cs="Times New Roman"/>
                <w:b/>
                <w:bCs/>
              </w:rPr>
            </w:pPr>
            <w:r w:rsidRPr="009A5D3B">
              <w:rPr>
                <w:rFonts w:ascii="Times New Roman" w:hAnsi="Times New Roman" w:cs="Times New Roman"/>
                <w:b/>
                <w:bCs/>
              </w:rPr>
              <w:t>100</w:t>
            </w:r>
          </w:p>
        </w:tc>
      </w:tr>
    </w:tbl>
    <w:p w14:paraId="7220104D" w14:textId="77777777" w:rsidR="009A5D3B" w:rsidRPr="009A5D3B" w:rsidRDefault="009A5D3B" w:rsidP="009A5D3B">
      <w:pPr>
        <w:spacing w:before="240" w:after="0" w:line="360" w:lineRule="auto"/>
        <w:jc w:val="both"/>
        <w:rPr>
          <w:rFonts w:ascii="Times New Roman" w:eastAsia="Times New Roman" w:hAnsi="Times New Roman" w:cs="Times New Roman"/>
          <w:sz w:val="22"/>
          <w:szCs w:val="22"/>
        </w:rPr>
      </w:pPr>
      <w:r w:rsidRPr="009A5D3B">
        <w:rPr>
          <w:rFonts w:ascii="Times New Roman" w:eastAsia="Times New Roman" w:hAnsi="Times New Roman" w:cs="Times New Roman"/>
          <w:sz w:val="22"/>
          <w:szCs w:val="22"/>
        </w:rPr>
        <w:t>Table 5 shows that the largest proportion of respondents (37%, n=58) reported a monthly income of less than 1,000 ZMW; 25% (n=40) for those in the 1,000-2,500 category, 24% (n=38). For those in the 2,501-5,000 ZMW range. Those earning above ZMW 5,000 constituted 14% (n = 23).</w:t>
      </w:r>
    </w:p>
    <w:p w14:paraId="75F04571" w14:textId="24BF24DF" w:rsidR="009A5D3B" w:rsidRPr="009A5D3B" w:rsidRDefault="009A5D3B" w:rsidP="009A5D3B">
      <w:pPr>
        <w:pStyle w:val="Heading2"/>
        <w:rPr>
          <w:rFonts w:ascii="Times New Roman" w:hAnsi="Times New Roman" w:cs="Times New Roman"/>
          <w:b/>
          <w:bCs/>
          <w:color w:val="auto"/>
          <w:sz w:val="22"/>
          <w:szCs w:val="22"/>
        </w:rPr>
      </w:pPr>
      <w:bookmarkStart w:id="23" w:name="_Toc233380551"/>
      <w:r w:rsidRPr="009A5D3B">
        <w:rPr>
          <w:rFonts w:ascii="Times New Roman" w:hAnsi="Times New Roman" w:cs="Times New Roman"/>
          <w:b/>
          <w:bCs/>
          <w:color w:val="auto"/>
          <w:sz w:val="22"/>
          <w:szCs w:val="22"/>
        </w:rPr>
        <w:lastRenderedPageBreak/>
        <w:t>Awareness of NHIMA Among Marketeers</w:t>
      </w:r>
      <w:bookmarkEnd w:id="23"/>
    </w:p>
    <w:p w14:paraId="2228B641" w14:textId="428641A5" w:rsidR="009A5D3B" w:rsidRPr="009A5D3B" w:rsidRDefault="009A5D3B" w:rsidP="009A5D3B">
      <w:pPr>
        <w:spacing w:after="0" w:line="360" w:lineRule="auto"/>
        <w:jc w:val="both"/>
        <w:rPr>
          <w:rFonts w:ascii="Times New Roman" w:hAnsi="Times New Roman" w:cs="Times New Roman"/>
          <w:b/>
          <w:i/>
          <w:iCs/>
        </w:rPr>
      </w:pPr>
      <w:bookmarkStart w:id="24" w:name="_Toc228457830"/>
      <w:bookmarkStart w:id="25" w:name="_Toc233380584"/>
      <w:r w:rsidRPr="009A5D3B">
        <w:rPr>
          <w:rFonts w:ascii="Times New Roman" w:hAnsi="Times New Roman" w:cs="Times New Roman"/>
          <w:b/>
          <w:i/>
          <w:iCs/>
        </w:rPr>
        <w:t xml:space="preserve">Table </w:t>
      </w:r>
      <w:r>
        <w:rPr>
          <w:rFonts w:ascii="Times New Roman" w:hAnsi="Times New Roman" w:cs="Times New Roman"/>
          <w:b/>
          <w:i/>
          <w:iCs/>
        </w:rPr>
        <w:t>5:</w:t>
      </w:r>
      <w:r w:rsidRPr="009A5D3B">
        <w:rPr>
          <w:rFonts w:ascii="Times New Roman" w:hAnsi="Times New Roman" w:cs="Times New Roman"/>
          <w:b/>
          <w:i/>
          <w:iCs/>
        </w:rPr>
        <w:t xml:space="preserve"> Awareness of NHIMA</w:t>
      </w:r>
      <w:bookmarkEnd w:id="24"/>
      <w:bookmarkEnd w:id="25"/>
    </w:p>
    <w:tbl>
      <w:tblPr>
        <w:tblStyle w:val="TableGridLight"/>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3219"/>
        <w:gridCol w:w="3218"/>
      </w:tblGrid>
      <w:tr w:rsidR="009A5D3B" w:rsidRPr="00492A38" w14:paraId="76CE427F" w14:textId="77777777" w:rsidTr="00A62496">
        <w:tc>
          <w:tcPr>
            <w:tcW w:w="1329" w:type="pct"/>
            <w:hideMark/>
          </w:tcPr>
          <w:p w14:paraId="0EE4A20D" w14:textId="77777777" w:rsidR="009A5D3B" w:rsidRPr="00492A38" w:rsidRDefault="009A5D3B" w:rsidP="00A62496">
            <w:pPr>
              <w:spacing w:line="360" w:lineRule="auto"/>
              <w:jc w:val="both"/>
              <w:rPr>
                <w:rFonts w:ascii="Times New Roman" w:hAnsi="Times New Roman" w:cs="Times New Roman"/>
                <w:b/>
                <w:sz w:val="24"/>
                <w:szCs w:val="24"/>
              </w:rPr>
            </w:pPr>
            <w:r w:rsidRPr="00492A38">
              <w:rPr>
                <w:rFonts w:ascii="Times New Roman" w:hAnsi="Times New Roman" w:cs="Times New Roman"/>
                <w:b/>
                <w:sz w:val="24"/>
                <w:szCs w:val="24"/>
              </w:rPr>
              <w:t>Response</w:t>
            </w:r>
          </w:p>
        </w:tc>
        <w:tc>
          <w:tcPr>
            <w:tcW w:w="1835" w:type="pct"/>
            <w:hideMark/>
          </w:tcPr>
          <w:p w14:paraId="7429764E" w14:textId="77777777" w:rsidR="009A5D3B" w:rsidRPr="00492A38" w:rsidRDefault="009A5D3B" w:rsidP="00A62496">
            <w:pPr>
              <w:spacing w:line="360" w:lineRule="auto"/>
              <w:jc w:val="center"/>
              <w:rPr>
                <w:rFonts w:ascii="Times New Roman" w:hAnsi="Times New Roman" w:cs="Times New Roman"/>
                <w:b/>
                <w:sz w:val="24"/>
                <w:szCs w:val="24"/>
              </w:rPr>
            </w:pPr>
            <w:r w:rsidRPr="00492A38">
              <w:rPr>
                <w:rFonts w:ascii="Times New Roman" w:hAnsi="Times New Roman" w:cs="Times New Roman"/>
                <w:b/>
                <w:sz w:val="24"/>
                <w:szCs w:val="24"/>
              </w:rPr>
              <w:t>Frequency (n)</w:t>
            </w:r>
          </w:p>
        </w:tc>
        <w:tc>
          <w:tcPr>
            <w:tcW w:w="1835" w:type="pct"/>
          </w:tcPr>
          <w:p w14:paraId="75AC8744" w14:textId="77777777" w:rsidR="009A5D3B" w:rsidRPr="00492A38" w:rsidRDefault="009A5D3B" w:rsidP="00A62496">
            <w:pPr>
              <w:spacing w:line="360" w:lineRule="auto"/>
              <w:jc w:val="center"/>
              <w:rPr>
                <w:rFonts w:ascii="Times New Roman" w:hAnsi="Times New Roman" w:cs="Times New Roman"/>
                <w:b/>
                <w:sz w:val="24"/>
                <w:szCs w:val="24"/>
              </w:rPr>
            </w:pPr>
            <w:r w:rsidRPr="00492A38">
              <w:rPr>
                <w:rFonts w:ascii="Times New Roman" w:hAnsi="Times New Roman" w:cs="Times New Roman"/>
                <w:b/>
                <w:sz w:val="24"/>
                <w:szCs w:val="24"/>
              </w:rPr>
              <w:t>Percentage (%)</w:t>
            </w:r>
          </w:p>
        </w:tc>
      </w:tr>
      <w:tr w:rsidR="009A5D3B" w:rsidRPr="00492A38" w14:paraId="02AA51AD" w14:textId="77777777" w:rsidTr="00A62496">
        <w:tc>
          <w:tcPr>
            <w:tcW w:w="1329" w:type="pct"/>
            <w:hideMark/>
          </w:tcPr>
          <w:p w14:paraId="61D9F9A5" w14:textId="77777777" w:rsidR="009A5D3B" w:rsidRPr="00492A38" w:rsidRDefault="009A5D3B" w:rsidP="00A62496">
            <w:pPr>
              <w:spacing w:line="360" w:lineRule="auto"/>
              <w:jc w:val="both"/>
              <w:rPr>
                <w:rFonts w:ascii="Times New Roman" w:hAnsi="Times New Roman" w:cs="Times New Roman"/>
                <w:sz w:val="24"/>
                <w:szCs w:val="24"/>
              </w:rPr>
            </w:pPr>
            <w:r w:rsidRPr="00492A38">
              <w:rPr>
                <w:rFonts w:ascii="Times New Roman" w:hAnsi="Times New Roman" w:cs="Times New Roman"/>
                <w:sz w:val="24"/>
                <w:szCs w:val="24"/>
              </w:rPr>
              <w:t>Yes</w:t>
            </w:r>
          </w:p>
        </w:tc>
        <w:tc>
          <w:tcPr>
            <w:tcW w:w="1835" w:type="pct"/>
            <w:hideMark/>
          </w:tcPr>
          <w:p w14:paraId="024B245C" w14:textId="77777777" w:rsidR="009A5D3B" w:rsidRPr="00492A38" w:rsidRDefault="009A5D3B" w:rsidP="00A62496">
            <w:pPr>
              <w:spacing w:line="360" w:lineRule="auto"/>
              <w:jc w:val="center"/>
              <w:rPr>
                <w:rFonts w:ascii="Times New Roman" w:hAnsi="Times New Roman" w:cs="Times New Roman"/>
                <w:sz w:val="24"/>
                <w:szCs w:val="24"/>
              </w:rPr>
            </w:pPr>
            <w:r w:rsidRPr="00492A38">
              <w:rPr>
                <w:rFonts w:ascii="Times New Roman" w:hAnsi="Times New Roman" w:cs="Times New Roman"/>
                <w:sz w:val="24"/>
                <w:szCs w:val="24"/>
              </w:rPr>
              <w:t>131</w:t>
            </w:r>
          </w:p>
        </w:tc>
        <w:tc>
          <w:tcPr>
            <w:tcW w:w="1835" w:type="pct"/>
          </w:tcPr>
          <w:p w14:paraId="17BE82BD" w14:textId="77777777" w:rsidR="009A5D3B" w:rsidRPr="00492A38" w:rsidRDefault="009A5D3B" w:rsidP="00A62496">
            <w:pPr>
              <w:spacing w:line="360" w:lineRule="auto"/>
              <w:jc w:val="center"/>
              <w:rPr>
                <w:rFonts w:ascii="Times New Roman" w:hAnsi="Times New Roman" w:cs="Times New Roman"/>
                <w:sz w:val="24"/>
                <w:szCs w:val="24"/>
              </w:rPr>
            </w:pPr>
            <w:r w:rsidRPr="00492A38">
              <w:rPr>
                <w:rFonts w:ascii="Times New Roman" w:hAnsi="Times New Roman" w:cs="Times New Roman"/>
                <w:sz w:val="24"/>
                <w:szCs w:val="24"/>
              </w:rPr>
              <w:t>82</w:t>
            </w:r>
          </w:p>
        </w:tc>
      </w:tr>
      <w:tr w:rsidR="009A5D3B" w:rsidRPr="00492A38" w14:paraId="31FC432A" w14:textId="77777777" w:rsidTr="00A62496">
        <w:tc>
          <w:tcPr>
            <w:tcW w:w="1329" w:type="pct"/>
            <w:hideMark/>
          </w:tcPr>
          <w:p w14:paraId="5B0C0920" w14:textId="77777777" w:rsidR="009A5D3B" w:rsidRPr="00492A38" w:rsidRDefault="009A5D3B" w:rsidP="00A62496">
            <w:pPr>
              <w:spacing w:line="360" w:lineRule="auto"/>
              <w:jc w:val="both"/>
              <w:rPr>
                <w:rFonts w:ascii="Times New Roman" w:hAnsi="Times New Roman" w:cs="Times New Roman"/>
                <w:sz w:val="24"/>
                <w:szCs w:val="24"/>
              </w:rPr>
            </w:pPr>
            <w:r w:rsidRPr="00492A38">
              <w:rPr>
                <w:rFonts w:ascii="Times New Roman" w:hAnsi="Times New Roman" w:cs="Times New Roman"/>
                <w:sz w:val="24"/>
                <w:szCs w:val="24"/>
              </w:rPr>
              <w:t>No</w:t>
            </w:r>
          </w:p>
        </w:tc>
        <w:tc>
          <w:tcPr>
            <w:tcW w:w="1835" w:type="pct"/>
            <w:hideMark/>
          </w:tcPr>
          <w:p w14:paraId="77C70211" w14:textId="77777777" w:rsidR="009A5D3B" w:rsidRPr="00492A38" w:rsidRDefault="009A5D3B" w:rsidP="00A62496">
            <w:pPr>
              <w:spacing w:line="360" w:lineRule="auto"/>
              <w:jc w:val="center"/>
              <w:rPr>
                <w:rFonts w:ascii="Times New Roman" w:hAnsi="Times New Roman" w:cs="Times New Roman"/>
                <w:sz w:val="24"/>
                <w:szCs w:val="24"/>
              </w:rPr>
            </w:pPr>
            <w:r w:rsidRPr="00492A38">
              <w:rPr>
                <w:rFonts w:ascii="Times New Roman" w:hAnsi="Times New Roman" w:cs="Times New Roman"/>
                <w:sz w:val="24"/>
                <w:szCs w:val="24"/>
              </w:rPr>
              <w:t>28</w:t>
            </w:r>
          </w:p>
        </w:tc>
        <w:tc>
          <w:tcPr>
            <w:tcW w:w="1835" w:type="pct"/>
          </w:tcPr>
          <w:p w14:paraId="28A7372B" w14:textId="77777777" w:rsidR="009A5D3B" w:rsidRPr="00492A38" w:rsidRDefault="009A5D3B" w:rsidP="00A62496">
            <w:pPr>
              <w:spacing w:line="360" w:lineRule="auto"/>
              <w:jc w:val="center"/>
              <w:rPr>
                <w:rFonts w:ascii="Times New Roman" w:hAnsi="Times New Roman" w:cs="Times New Roman"/>
                <w:sz w:val="24"/>
                <w:szCs w:val="24"/>
              </w:rPr>
            </w:pPr>
            <w:r w:rsidRPr="00492A38">
              <w:rPr>
                <w:rFonts w:ascii="Times New Roman" w:hAnsi="Times New Roman" w:cs="Times New Roman"/>
                <w:sz w:val="24"/>
                <w:szCs w:val="24"/>
              </w:rPr>
              <w:t>18</w:t>
            </w:r>
          </w:p>
        </w:tc>
      </w:tr>
      <w:tr w:rsidR="009A5D3B" w:rsidRPr="00492A38" w14:paraId="65BE4ACC" w14:textId="77777777" w:rsidTr="00A62496">
        <w:tc>
          <w:tcPr>
            <w:tcW w:w="1329" w:type="pct"/>
            <w:hideMark/>
          </w:tcPr>
          <w:p w14:paraId="35A9743B" w14:textId="77777777" w:rsidR="009A5D3B" w:rsidRPr="00492A38" w:rsidRDefault="009A5D3B" w:rsidP="00A62496">
            <w:pPr>
              <w:spacing w:line="360" w:lineRule="auto"/>
              <w:jc w:val="both"/>
              <w:rPr>
                <w:rFonts w:ascii="Times New Roman" w:hAnsi="Times New Roman" w:cs="Times New Roman"/>
                <w:b/>
                <w:bCs/>
                <w:sz w:val="24"/>
                <w:szCs w:val="24"/>
              </w:rPr>
            </w:pPr>
            <w:r w:rsidRPr="00492A38">
              <w:rPr>
                <w:rFonts w:ascii="Times New Roman" w:hAnsi="Times New Roman" w:cs="Times New Roman"/>
                <w:b/>
                <w:bCs/>
                <w:sz w:val="24"/>
                <w:szCs w:val="24"/>
              </w:rPr>
              <w:t>Total</w:t>
            </w:r>
          </w:p>
        </w:tc>
        <w:tc>
          <w:tcPr>
            <w:tcW w:w="1835" w:type="pct"/>
            <w:hideMark/>
          </w:tcPr>
          <w:p w14:paraId="40DCCA55" w14:textId="77777777" w:rsidR="009A5D3B" w:rsidRPr="00492A38" w:rsidRDefault="009A5D3B" w:rsidP="00A62496">
            <w:pPr>
              <w:spacing w:line="360" w:lineRule="auto"/>
              <w:jc w:val="center"/>
              <w:rPr>
                <w:rFonts w:ascii="Times New Roman" w:hAnsi="Times New Roman" w:cs="Times New Roman"/>
                <w:b/>
                <w:bCs/>
                <w:sz w:val="24"/>
                <w:szCs w:val="24"/>
              </w:rPr>
            </w:pPr>
            <w:r w:rsidRPr="00492A38">
              <w:rPr>
                <w:rFonts w:ascii="Times New Roman" w:hAnsi="Times New Roman" w:cs="Times New Roman"/>
                <w:b/>
                <w:bCs/>
                <w:sz w:val="24"/>
                <w:szCs w:val="24"/>
              </w:rPr>
              <w:t>159</w:t>
            </w:r>
          </w:p>
        </w:tc>
        <w:tc>
          <w:tcPr>
            <w:tcW w:w="1835" w:type="pct"/>
          </w:tcPr>
          <w:p w14:paraId="714B02FB" w14:textId="77777777" w:rsidR="009A5D3B" w:rsidRPr="00492A38" w:rsidRDefault="009A5D3B" w:rsidP="00A62496">
            <w:pPr>
              <w:spacing w:line="360" w:lineRule="auto"/>
              <w:jc w:val="center"/>
              <w:rPr>
                <w:rFonts w:ascii="Times New Roman" w:hAnsi="Times New Roman" w:cs="Times New Roman"/>
                <w:b/>
                <w:bCs/>
                <w:sz w:val="24"/>
                <w:szCs w:val="24"/>
              </w:rPr>
            </w:pPr>
            <w:r w:rsidRPr="00492A38">
              <w:rPr>
                <w:rFonts w:ascii="Times New Roman" w:hAnsi="Times New Roman" w:cs="Times New Roman"/>
                <w:b/>
                <w:bCs/>
                <w:sz w:val="24"/>
                <w:szCs w:val="24"/>
              </w:rPr>
              <w:t>100</w:t>
            </w:r>
          </w:p>
        </w:tc>
      </w:tr>
    </w:tbl>
    <w:p w14:paraId="1DB590D2" w14:textId="6E601ECC" w:rsidR="0073107B" w:rsidRDefault="009A5D3B" w:rsidP="007178BD">
      <w:pPr>
        <w:spacing w:after="0" w:line="360" w:lineRule="auto"/>
        <w:jc w:val="both"/>
        <w:rPr>
          <w:rFonts w:ascii="Times New Roman" w:eastAsia="Times New Roman" w:hAnsi="Times New Roman" w:cs="Times New Roman"/>
          <w:sz w:val="22"/>
          <w:szCs w:val="22"/>
        </w:rPr>
      </w:pPr>
      <w:r w:rsidRPr="00440F11">
        <w:rPr>
          <w:rFonts w:ascii="Times New Roman" w:eastAsia="Times New Roman" w:hAnsi="Times New Roman" w:cs="Times New Roman"/>
          <w:sz w:val="22"/>
          <w:szCs w:val="22"/>
        </w:rPr>
        <w:t>As shown in Table 5, the majority of respondents (82%, n=131) reported hearing about NHIMA, while 18% (n=28) reported not hearing about NHIMA. This finding suggests that awareness of NHIMA among marketeers in Kabwe District is relatively high at a superficial level.</w:t>
      </w:r>
    </w:p>
    <w:p w14:paraId="73982269" w14:textId="77777777" w:rsidR="007178BD" w:rsidRPr="007178BD" w:rsidRDefault="007178BD" w:rsidP="007178BD">
      <w:pPr>
        <w:spacing w:after="0" w:line="360" w:lineRule="auto"/>
        <w:jc w:val="both"/>
        <w:rPr>
          <w:rFonts w:ascii="Times New Roman" w:eastAsia="Times New Roman" w:hAnsi="Times New Roman" w:cs="Times New Roman"/>
          <w:sz w:val="22"/>
          <w:szCs w:val="22"/>
        </w:rPr>
      </w:pPr>
    </w:p>
    <w:p w14:paraId="5B37BBA6" w14:textId="6522C015" w:rsidR="00310635" w:rsidRPr="00310635" w:rsidRDefault="00310635" w:rsidP="00310635">
      <w:pPr>
        <w:spacing w:after="0" w:line="360" w:lineRule="auto"/>
        <w:jc w:val="both"/>
        <w:rPr>
          <w:rFonts w:ascii="Times New Roman" w:hAnsi="Times New Roman" w:cs="Times New Roman"/>
          <w:b/>
          <w:bCs/>
        </w:rPr>
      </w:pPr>
      <w:r w:rsidRPr="00492A38">
        <w:rPr>
          <w:rFonts w:ascii="Times New Roman" w:hAnsi="Times New Roman" w:cs="Times New Roman"/>
          <w:b/>
          <w:bCs/>
        </w:rPr>
        <w:t>Willingness to Register for NHIMA</w:t>
      </w:r>
      <w:bookmarkStart w:id="26" w:name="_Toc228457835"/>
    </w:p>
    <w:p w14:paraId="0426C625" w14:textId="7A952CA7" w:rsidR="00310635" w:rsidRPr="00492A38" w:rsidRDefault="00310635" w:rsidP="00310635">
      <w:pPr>
        <w:pStyle w:val="Caption"/>
        <w:keepNext/>
        <w:spacing w:after="0" w:line="360" w:lineRule="auto"/>
        <w:jc w:val="both"/>
        <w:rPr>
          <w:rFonts w:ascii="Times New Roman" w:hAnsi="Times New Roman" w:cs="Times New Roman"/>
          <w:b/>
          <w:bCs/>
          <w:color w:val="auto"/>
          <w:sz w:val="24"/>
          <w:szCs w:val="24"/>
        </w:rPr>
      </w:pPr>
      <w:bookmarkStart w:id="27" w:name="_Toc233380588"/>
      <w:r w:rsidRPr="00492A38">
        <w:rPr>
          <w:rFonts w:ascii="Times New Roman" w:hAnsi="Times New Roman" w:cs="Times New Roman"/>
          <w:b/>
          <w:bCs/>
          <w:color w:val="auto"/>
          <w:sz w:val="24"/>
          <w:szCs w:val="24"/>
        </w:rPr>
        <w:t xml:space="preserve">Table </w:t>
      </w:r>
      <w:r>
        <w:rPr>
          <w:rFonts w:ascii="Times New Roman" w:hAnsi="Times New Roman" w:cs="Times New Roman"/>
          <w:b/>
          <w:bCs/>
          <w:color w:val="auto"/>
          <w:sz w:val="24"/>
          <w:szCs w:val="24"/>
        </w:rPr>
        <w:t xml:space="preserve">6: </w:t>
      </w:r>
      <w:r w:rsidRPr="00492A38">
        <w:rPr>
          <w:rFonts w:ascii="Times New Roman" w:hAnsi="Times New Roman" w:cs="Times New Roman"/>
          <w:b/>
          <w:bCs/>
          <w:color w:val="auto"/>
          <w:sz w:val="24"/>
          <w:szCs w:val="24"/>
        </w:rPr>
        <w:t xml:space="preserve"> Perception on "I Am Willing to Register for NHIMA</w:t>
      </w:r>
      <w:bookmarkEnd w:id="26"/>
      <w:r w:rsidRPr="00492A38">
        <w:rPr>
          <w:rFonts w:ascii="Times New Roman" w:hAnsi="Times New Roman" w:cs="Times New Roman"/>
          <w:b/>
          <w:bCs/>
          <w:color w:val="auto"/>
          <w:sz w:val="24"/>
          <w:szCs w:val="24"/>
        </w:rPr>
        <w:t>"</w:t>
      </w:r>
      <w:bookmarkEnd w:id="27"/>
    </w:p>
    <w:tbl>
      <w:tblPr>
        <w:tblStyle w:val="TableGrid"/>
        <w:tblW w:w="4861" w:type="pct"/>
        <w:tblLook w:val="04A0" w:firstRow="1" w:lastRow="0" w:firstColumn="1" w:lastColumn="0" w:noHBand="0" w:noVBand="1"/>
      </w:tblPr>
      <w:tblGrid>
        <w:gridCol w:w="3393"/>
        <w:gridCol w:w="2686"/>
        <w:gridCol w:w="2686"/>
      </w:tblGrid>
      <w:tr w:rsidR="00310635" w:rsidRPr="00492A38" w14:paraId="4637DCB5" w14:textId="77777777" w:rsidTr="00A62496">
        <w:trPr>
          <w:trHeight w:val="390"/>
        </w:trPr>
        <w:tc>
          <w:tcPr>
            <w:tcW w:w="1936" w:type="pct"/>
            <w:hideMark/>
          </w:tcPr>
          <w:p w14:paraId="5E8C3010" w14:textId="77777777" w:rsidR="00310635" w:rsidRPr="00492A38" w:rsidRDefault="00310635" w:rsidP="00A62496">
            <w:pPr>
              <w:spacing w:line="375" w:lineRule="atLeast"/>
              <w:rPr>
                <w:rFonts w:ascii="Times New Roman" w:eastAsia="Times New Roman" w:hAnsi="Times New Roman" w:cs="Times New Roman"/>
                <w:b/>
              </w:rPr>
            </w:pPr>
            <w:r w:rsidRPr="00492A38">
              <w:rPr>
                <w:rFonts w:ascii="Times New Roman" w:eastAsia="Times New Roman" w:hAnsi="Times New Roman" w:cs="Times New Roman"/>
                <w:b/>
              </w:rPr>
              <w:t>Response</w:t>
            </w:r>
          </w:p>
        </w:tc>
        <w:tc>
          <w:tcPr>
            <w:tcW w:w="1532" w:type="pct"/>
            <w:hideMark/>
          </w:tcPr>
          <w:p w14:paraId="431CBF9D" w14:textId="77777777" w:rsidR="00310635" w:rsidRPr="00492A38" w:rsidRDefault="00310635" w:rsidP="00A62496">
            <w:pPr>
              <w:spacing w:line="375" w:lineRule="atLeast"/>
              <w:jc w:val="center"/>
              <w:rPr>
                <w:rFonts w:ascii="Times New Roman" w:eastAsia="Times New Roman" w:hAnsi="Times New Roman" w:cs="Times New Roman"/>
                <w:b/>
              </w:rPr>
            </w:pPr>
            <w:r w:rsidRPr="00492A38">
              <w:rPr>
                <w:rFonts w:ascii="Times New Roman" w:eastAsia="Times New Roman" w:hAnsi="Times New Roman" w:cs="Times New Roman"/>
                <w:b/>
              </w:rPr>
              <w:t>Frequency (n)</w:t>
            </w:r>
          </w:p>
        </w:tc>
        <w:tc>
          <w:tcPr>
            <w:tcW w:w="1532" w:type="pct"/>
          </w:tcPr>
          <w:p w14:paraId="40EFAFCB" w14:textId="77777777" w:rsidR="00310635" w:rsidRPr="00492A38" w:rsidRDefault="00310635" w:rsidP="00A62496">
            <w:pPr>
              <w:spacing w:line="375" w:lineRule="atLeast"/>
              <w:jc w:val="center"/>
              <w:rPr>
                <w:rFonts w:ascii="Times New Roman" w:eastAsia="Times New Roman" w:hAnsi="Times New Roman" w:cs="Times New Roman"/>
                <w:b/>
              </w:rPr>
            </w:pPr>
            <w:r w:rsidRPr="00492A38">
              <w:rPr>
                <w:rFonts w:ascii="Times New Roman" w:eastAsia="Times New Roman" w:hAnsi="Times New Roman" w:cs="Times New Roman"/>
                <w:b/>
              </w:rPr>
              <w:t>Percentage (%)</w:t>
            </w:r>
          </w:p>
        </w:tc>
      </w:tr>
      <w:tr w:rsidR="00310635" w:rsidRPr="00492A38" w14:paraId="465EC074" w14:textId="77777777" w:rsidTr="00A62496">
        <w:trPr>
          <w:trHeight w:val="377"/>
        </w:trPr>
        <w:tc>
          <w:tcPr>
            <w:tcW w:w="1936" w:type="pct"/>
            <w:hideMark/>
          </w:tcPr>
          <w:p w14:paraId="681ADD0D" w14:textId="77777777" w:rsidR="00310635" w:rsidRPr="00492A38" w:rsidRDefault="00310635" w:rsidP="00A62496">
            <w:pPr>
              <w:spacing w:line="375" w:lineRule="atLeast"/>
              <w:rPr>
                <w:rFonts w:ascii="Times New Roman" w:eastAsia="Times New Roman" w:hAnsi="Times New Roman" w:cs="Times New Roman"/>
              </w:rPr>
            </w:pPr>
            <w:r w:rsidRPr="00492A38">
              <w:rPr>
                <w:rFonts w:ascii="Times New Roman" w:eastAsia="Times New Roman" w:hAnsi="Times New Roman" w:cs="Times New Roman"/>
              </w:rPr>
              <w:t>Strongly Agree</w:t>
            </w:r>
          </w:p>
        </w:tc>
        <w:tc>
          <w:tcPr>
            <w:tcW w:w="1532" w:type="pct"/>
            <w:hideMark/>
          </w:tcPr>
          <w:p w14:paraId="699F18A2" w14:textId="77777777" w:rsidR="00310635" w:rsidRPr="00492A38" w:rsidRDefault="00310635" w:rsidP="00A62496">
            <w:pPr>
              <w:spacing w:line="375" w:lineRule="atLeast"/>
              <w:jc w:val="center"/>
              <w:rPr>
                <w:rFonts w:ascii="Times New Roman" w:eastAsia="Times New Roman" w:hAnsi="Times New Roman" w:cs="Times New Roman"/>
              </w:rPr>
            </w:pPr>
            <w:r w:rsidRPr="00492A38">
              <w:rPr>
                <w:rFonts w:ascii="Times New Roman" w:hAnsi="Times New Roman" w:cs="Times New Roman"/>
              </w:rPr>
              <w:t>61</w:t>
            </w:r>
          </w:p>
        </w:tc>
        <w:tc>
          <w:tcPr>
            <w:tcW w:w="1532" w:type="pct"/>
          </w:tcPr>
          <w:p w14:paraId="1780E1AF" w14:textId="77777777" w:rsidR="00310635" w:rsidRPr="00492A38" w:rsidRDefault="00310635" w:rsidP="00A62496">
            <w:pPr>
              <w:spacing w:line="375" w:lineRule="atLeast"/>
              <w:jc w:val="center"/>
              <w:rPr>
                <w:rFonts w:ascii="Times New Roman" w:eastAsia="Times New Roman" w:hAnsi="Times New Roman" w:cs="Times New Roman"/>
              </w:rPr>
            </w:pPr>
            <w:r w:rsidRPr="00492A38">
              <w:rPr>
                <w:rFonts w:ascii="Times New Roman" w:hAnsi="Times New Roman" w:cs="Times New Roman"/>
              </w:rPr>
              <w:t>38</w:t>
            </w:r>
          </w:p>
        </w:tc>
      </w:tr>
      <w:tr w:rsidR="00310635" w:rsidRPr="00492A38" w14:paraId="6803E9A4" w14:textId="77777777" w:rsidTr="00A62496">
        <w:trPr>
          <w:trHeight w:val="390"/>
        </w:trPr>
        <w:tc>
          <w:tcPr>
            <w:tcW w:w="1936" w:type="pct"/>
            <w:hideMark/>
          </w:tcPr>
          <w:p w14:paraId="3C09FFBA" w14:textId="77777777" w:rsidR="00310635" w:rsidRPr="00492A38" w:rsidRDefault="00310635" w:rsidP="00A62496">
            <w:pPr>
              <w:spacing w:line="375" w:lineRule="atLeast"/>
              <w:rPr>
                <w:rFonts w:ascii="Times New Roman" w:eastAsia="Times New Roman" w:hAnsi="Times New Roman" w:cs="Times New Roman"/>
              </w:rPr>
            </w:pPr>
            <w:r w:rsidRPr="00492A38">
              <w:rPr>
                <w:rFonts w:ascii="Times New Roman" w:eastAsia="Times New Roman" w:hAnsi="Times New Roman" w:cs="Times New Roman"/>
              </w:rPr>
              <w:t>Agree</w:t>
            </w:r>
          </w:p>
        </w:tc>
        <w:tc>
          <w:tcPr>
            <w:tcW w:w="1532" w:type="pct"/>
            <w:hideMark/>
          </w:tcPr>
          <w:p w14:paraId="66A45763" w14:textId="77777777" w:rsidR="00310635" w:rsidRPr="00492A38" w:rsidRDefault="00310635" w:rsidP="00A62496">
            <w:pPr>
              <w:spacing w:line="375" w:lineRule="atLeast"/>
              <w:jc w:val="center"/>
              <w:rPr>
                <w:rFonts w:ascii="Times New Roman" w:eastAsia="Times New Roman" w:hAnsi="Times New Roman" w:cs="Times New Roman"/>
              </w:rPr>
            </w:pPr>
            <w:r w:rsidRPr="00492A38">
              <w:rPr>
                <w:rFonts w:ascii="Times New Roman" w:hAnsi="Times New Roman" w:cs="Times New Roman"/>
              </w:rPr>
              <w:t>54</w:t>
            </w:r>
          </w:p>
        </w:tc>
        <w:tc>
          <w:tcPr>
            <w:tcW w:w="1532" w:type="pct"/>
          </w:tcPr>
          <w:p w14:paraId="49B9627B" w14:textId="77777777" w:rsidR="00310635" w:rsidRPr="00492A38" w:rsidRDefault="00310635" w:rsidP="00A62496">
            <w:pPr>
              <w:spacing w:line="375" w:lineRule="atLeast"/>
              <w:jc w:val="center"/>
              <w:rPr>
                <w:rFonts w:ascii="Times New Roman" w:eastAsia="Times New Roman" w:hAnsi="Times New Roman" w:cs="Times New Roman"/>
              </w:rPr>
            </w:pPr>
            <w:r w:rsidRPr="00492A38">
              <w:rPr>
                <w:rFonts w:ascii="Times New Roman" w:hAnsi="Times New Roman" w:cs="Times New Roman"/>
              </w:rPr>
              <w:t>34</w:t>
            </w:r>
          </w:p>
        </w:tc>
      </w:tr>
      <w:tr w:rsidR="00310635" w:rsidRPr="00492A38" w14:paraId="3514143A" w14:textId="77777777" w:rsidTr="00A62496">
        <w:trPr>
          <w:trHeight w:val="390"/>
        </w:trPr>
        <w:tc>
          <w:tcPr>
            <w:tcW w:w="1936" w:type="pct"/>
            <w:hideMark/>
          </w:tcPr>
          <w:p w14:paraId="79271410" w14:textId="77777777" w:rsidR="00310635" w:rsidRPr="00492A38" w:rsidRDefault="00310635" w:rsidP="00A62496">
            <w:pPr>
              <w:spacing w:line="375" w:lineRule="atLeast"/>
              <w:rPr>
                <w:rFonts w:ascii="Times New Roman" w:eastAsia="Times New Roman" w:hAnsi="Times New Roman" w:cs="Times New Roman"/>
              </w:rPr>
            </w:pPr>
            <w:r w:rsidRPr="00492A38">
              <w:rPr>
                <w:rFonts w:ascii="Times New Roman" w:eastAsia="Times New Roman" w:hAnsi="Times New Roman" w:cs="Times New Roman"/>
              </w:rPr>
              <w:t>Neutral</w:t>
            </w:r>
          </w:p>
        </w:tc>
        <w:tc>
          <w:tcPr>
            <w:tcW w:w="1532" w:type="pct"/>
            <w:hideMark/>
          </w:tcPr>
          <w:p w14:paraId="6B39A1B2" w14:textId="77777777" w:rsidR="00310635" w:rsidRPr="00492A38" w:rsidRDefault="00310635" w:rsidP="00A62496">
            <w:pPr>
              <w:spacing w:line="375" w:lineRule="atLeast"/>
              <w:jc w:val="center"/>
              <w:rPr>
                <w:rFonts w:ascii="Times New Roman" w:eastAsia="Times New Roman" w:hAnsi="Times New Roman" w:cs="Times New Roman"/>
              </w:rPr>
            </w:pPr>
            <w:r w:rsidRPr="00492A38">
              <w:rPr>
                <w:rFonts w:ascii="Times New Roman" w:hAnsi="Times New Roman" w:cs="Times New Roman"/>
              </w:rPr>
              <w:t>30</w:t>
            </w:r>
          </w:p>
        </w:tc>
        <w:tc>
          <w:tcPr>
            <w:tcW w:w="1532" w:type="pct"/>
          </w:tcPr>
          <w:p w14:paraId="1CFD1B7C" w14:textId="77777777" w:rsidR="00310635" w:rsidRPr="00492A38" w:rsidRDefault="00310635" w:rsidP="00A62496">
            <w:pPr>
              <w:spacing w:line="375" w:lineRule="atLeast"/>
              <w:jc w:val="center"/>
              <w:rPr>
                <w:rFonts w:ascii="Times New Roman" w:eastAsia="Times New Roman" w:hAnsi="Times New Roman" w:cs="Times New Roman"/>
              </w:rPr>
            </w:pPr>
            <w:r w:rsidRPr="00492A38">
              <w:rPr>
                <w:rFonts w:ascii="Times New Roman" w:hAnsi="Times New Roman" w:cs="Times New Roman"/>
              </w:rPr>
              <w:t>19</w:t>
            </w:r>
          </w:p>
        </w:tc>
      </w:tr>
      <w:tr w:rsidR="00310635" w:rsidRPr="00492A38" w14:paraId="2B4D68DD" w14:textId="77777777" w:rsidTr="00A62496">
        <w:trPr>
          <w:trHeight w:val="390"/>
        </w:trPr>
        <w:tc>
          <w:tcPr>
            <w:tcW w:w="1936" w:type="pct"/>
            <w:hideMark/>
          </w:tcPr>
          <w:p w14:paraId="5E58C70A" w14:textId="77777777" w:rsidR="00310635" w:rsidRPr="00492A38" w:rsidRDefault="00310635" w:rsidP="00A62496">
            <w:pPr>
              <w:spacing w:line="375" w:lineRule="atLeast"/>
              <w:rPr>
                <w:rFonts w:ascii="Times New Roman" w:eastAsia="Times New Roman" w:hAnsi="Times New Roman" w:cs="Times New Roman"/>
              </w:rPr>
            </w:pPr>
            <w:r w:rsidRPr="00492A38">
              <w:rPr>
                <w:rFonts w:ascii="Times New Roman" w:eastAsia="Times New Roman" w:hAnsi="Times New Roman" w:cs="Times New Roman"/>
              </w:rPr>
              <w:t>Disagree</w:t>
            </w:r>
          </w:p>
        </w:tc>
        <w:tc>
          <w:tcPr>
            <w:tcW w:w="1532" w:type="pct"/>
            <w:hideMark/>
          </w:tcPr>
          <w:p w14:paraId="0ED8BFE6" w14:textId="77777777" w:rsidR="00310635" w:rsidRPr="00492A38" w:rsidRDefault="00310635" w:rsidP="00A62496">
            <w:pPr>
              <w:spacing w:line="375" w:lineRule="atLeast"/>
              <w:jc w:val="center"/>
              <w:rPr>
                <w:rFonts w:ascii="Times New Roman" w:eastAsia="Times New Roman" w:hAnsi="Times New Roman" w:cs="Times New Roman"/>
              </w:rPr>
            </w:pPr>
            <w:r w:rsidRPr="00492A38">
              <w:rPr>
                <w:rFonts w:ascii="Times New Roman" w:hAnsi="Times New Roman" w:cs="Times New Roman"/>
              </w:rPr>
              <w:t>10</w:t>
            </w:r>
          </w:p>
        </w:tc>
        <w:tc>
          <w:tcPr>
            <w:tcW w:w="1532" w:type="pct"/>
          </w:tcPr>
          <w:p w14:paraId="2C46984C" w14:textId="77777777" w:rsidR="00310635" w:rsidRPr="00492A38" w:rsidRDefault="00310635" w:rsidP="00A62496">
            <w:pPr>
              <w:spacing w:line="375" w:lineRule="atLeast"/>
              <w:jc w:val="center"/>
              <w:rPr>
                <w:rFonts w:ascii="Times New Roman" w:eastAsia="Times New Roman" w:hAnsi="Times New Roman" w:cs="Times New Roman"/>
              </w:rPr>
            </w:pPr>
            <w:r w:rsidRPr="00492A38">
              <w:rPr>
                <w:rFonts w:ascii="Times New Roman" w:hAnsi="Times New Roman" w:cs="Times New Roman"/>
              </w:rPr>
              <w:t>6</w:t>
            </w:r>
          </w:p>
        </w:tc>
      </w:tr>
      <w:tr w:rsidR="00310635" w:rsidRPr="00492A38" w14:paraId="7B252097" w14:textId="77777777" w:rsidTr="00A62496">
        <w:trPr>
          <w:trHeight w:val="377"/>
        </w:trPr>
        <w:tc>
          <w:tcPr>
            <w:tcW w:w="1936" w:type="pct"/>
            <w:hideMark/>
          </w:tcPr>
          <w:p w14:paraId="53BCA42D" w14:textId="77777777" w:rsidR="00310635" w:rsidRPr="00492A38" w:rsidRDefault="00310635" w:rsidP="00A62496">
            <w:pPr>
              <w:spacing w:line="375" w:lineRule="atLeast"/>
              <w:rPr>
                <w:rFonts w:ascii="Times New Roman" w:eastAsia="Times New Roman" w:hAnsi="Times New Roman" w:cs="Times New Roman"/>
              </w:rPr>
            </w:pPr>
            <w:r w:rsidRPr="00492A38">
              <w:rPr>
                <w:rFonts w:ascii="Times New Roman" w:eastAsia="Times New Roman" w:hAnsi="Times New Roman" w:cs="Times New Roman"/>
              </w:rPr>
              <w:t>Strongly Disagree</w:t>
            </w:r>
          </w:p>
        </w:tc>
        <w:tc>
          <w:tcPr>
            <w:tcW w:w="1532" w:type="pct"/>
            <w:hideMark/>
          </w:tcPr>
          <w:p w14:paraId="06F32D8A" w14:textId="77777777" w:rsidR="00310635" w:rsidRPr="00492A38" w:rsidRDefault="00310635" w:rsidP="00A62496">
            <w:pPr>
              <w:spacing w:line="375" w:lineRule="atLeast"/>
              <w:jc w:val="center"/>
              <w:rPr>
                <w:rFonts w:ascii="Times New Roman" w:eastAsia="Times New Roman" w:hAnsi="Times New Roman" w:cs="Times New Roman"/>
              </w:rPr>
            </w:pPr>
            <w:r w:rsidRPr="00492A38">
              <w:rPr>
                <w:rFonts w:ascii="Times New Roman" w:hAnsi="Times New Roman" w:cs="Times New Roman"/>
              </w:rPr>
              <w:t>4</w:t>
            </w:r>
          </w:p>
        </w:tc>
        <w:tc>
          <w:tcPr>
            <w:tcW w:w="1532" w:type="pct"/>
          </w:tcPr>
          <w:p w14:paraId="3A26BCC8" w14:textId="77777777" w:rsidR="00310635" w:rsidRPr="00492A38" w:rsidRDefault="00310635" w:rsidP="00A62496">
            <w:pPr>
              <w:spacing w:line="375" w:lineRule="atLeast"/>
              <w:jc w:val="center"/>
              <w:rPr>
                <w:rFonts w:ascii="Times New Roman" w:eastAsia="Times New Roman" w:hAnsi="Times New Roman" w:cs="Times New Roman"/>
              </w:rPr>
            </w:pPr>
            <w:r w:rsidRPr="00492A38">
              <w:rPr>
                <w:rFonts w:ascii="Times New Roman" w:hAnsi="Times New Roman" w:cs="Times New Roman"/>
              </w:rPr>
              <w:t>3</w:t>
            </w:r>
          </w:p>
        </w:tc>
      </w:tr>
      <w:tr w:rsidR="00310635" w:rsidRPr="00492A38" w14:paraId="266BAF7F" w14:textId="77777777" w:rsidTr="00A62496">
        <w:trPr>
          <w:trHeight w:val="390"/>
        </w:trPr>
        <w:tc>
          <w:tcPr>
            <w:tcW w:w="1936" w:type="pct"/>
            <w:hideMark/>
          </w:tcPr>
          <w:p w14:paraId="5A603C30" w14:textId="77777777" w:rsidR="00310635" w:rsidRPr="00492A38" w:rsidRDefault="00310635" w:rsidP="00A62496">
            <w:pPr>
              <w:spacing w:line="375" w:lineRule="atLeast"/>
              <w:rPr>
                <w:rFonts w:ascii="Times New Roman" w:eastAsia="Times New Roman" w:hAnsi="Times New Roman" w:cs="Times New Roman"/>
                <w:b/>
                <w:bCs/>
              </w:rPr>
            </w:pPr>
            <w:r w:rsidRPr="00492A38">
              <w:rPr>
                <w:rFonts w:ascii="Times New Roman" w:eastAsia="Times New Roman" w:hAnsi="Times New Roman" w:cs="Times New Roman"/>
                <w:b/>
                <w:bCs/>
              </w:rPr>
              <w:t>Total</w:t>
            </w:r>
          </w:p>
        </w:tc>
        <w:tc>
          <w:tcPr>
            <w:tcW w:w="1532" w:type="pct"/>
            <w:hideMark/>
          </w:tcPr>
          <w:p w14:paraId="38F1D6AE" w14:textId="77777777" w:rsidR="00310635" w:rsidRPr="00492A38" w:rsidRDefault="00310635" w:rsidP="00A62496">
            <w:pPr>
              <w:spacing w:line="375" w:lineRule="atLeast"/>
              <w:jc w:val="center"/>
              <w:rPr>
                <w:rFonts w:ascii="Times New Roman" w:eastAsia="Times New Roman" w:hAnsi="Times New Roman" w:cs="Times New Roman"/>
                <w:b/>
                <w:bCs/>
              </w:rPr>
            </w:pPr>
            <w:r w:rsidRPr="00492A38">
              <w:rPr>
                <w:rFonts w:ascii="Times New Roman" w:hAnsi="Times New Roman" w:cs="Times New Roman"/>
                <w:b/>
                <w:bCs/>
              </w:rPr>
              <w:t>159</w:t>
            </w:r>
          </w:p>
        </w:tc>
        <w:tc>
          <w:tcPr>
            <w:tcW w:w="1532" w:type="pct"/>
          </w:tcPr>
          <w:p w14:paraId="30C59180" w14:textId="77777777" w:rsidR="00310635" w:rsidRPr="00492A38" w:rsidRDefault="00310635" w:rsidP="00A62496">
            <w:pPr>
              <w:spacing w:line="375" w:lineRule="atLeast"/>
              <w:jc w:val="center"/>
              <w:rPr>
                <w:rFonts w:ascii="Times New Roman" w:eastAsia="Times New Roman" w:hAnsi="Times New Roman" w:cs="Times New Roman"/>
                <w:b/>
                <w:bCs/>
              </w:rPr>
            </w:pPr>
            <w:r w:rsidRPr="00492A38">
              <w:rPr>
                <w:rFonts w:ascii="Times New Roman" w:hAnsi="Times New Roman" w:cs="Times New Roman"/>
                <w:b/>
                <w:bCs/>
              </w:rPr>
              <w:t>100</w:t>
            </w:r>
          </w:p>
        </w:tc>
      </w:tr>
    </w:tbl>
    <w:p w14:paraId="75DCD7D4" w14:textId="15C346FF" w:rsidR="007178BD" w:rsidRPr="006F4418" w:rsidRDefault="00310635" w:rsidP="006F4418">
      <w:pPr>
        <w:spacing w:before="240" w:after="0" w:line="360" w:lineRule="auto"/>
        <w:jc w:val="both"/>
        <w:rPr>
          <w:rFonts w:ascii="Times New Roman" w:eastAsia="Times New Roman" w:hAnsi="Times New Roman" w:cs="Times New Roman"/>
          <w:sz w:val="22"/>
          <w:szCs w:val="22"/>
        </w:rPr>
      </w:pPr>
      <w:r w:rsidRPr="00310635">
        <w:rPr>
          <w:rFonts w:ascii="Times New Roman" w:eastAsia="Times New Roman" w:hAnsi="Times New Roman" w:cs="Times New Roman"/>
          <w:sz w:val="22"/>
          <w:szCs w:val="22"/>
        </w:rPr>
        <w:t xml:space="preserve">As shown in Table </w:t>
      </w:r>
      <w:r>
        <w:rPr>
          <w:rFonts w:ascii="Times New Roman" w:eastAsia="Times New Roman" w:hAnsi="Times New Roman" w:cs="Times New Roman"/>
          <w:sz w:val="22"/>
          <w:szCs w:val="22"/>
        </w:rPr>
        <w:t>6</w:t>
      </w:r>
      <w:r w:rsidRPr="00310635">
        <w:rPr>
          <w:rFonts w:ascii="Times New Roman" w:eastAsia="Times New Roman" w:hAnsi="Times New Roman" w:cs="Times New Roman"/>
          <w:sz w:val="22"/>
          <w:szCs w:val="22"/>
        </w:rPr>
        <w:t>, the largest proportion of respondents, 38% (n=61), Strongly Agreed that they were willing to register for NHIMA. This was followed by Agree at 34% (n=54), and Neutral at 19% (n=30). Meanwhile, 6% (n=10) Disagreed, and 3% (n=4) Strongly Disagreed.</w:t>
      </w:r>
      <w:bookmarkStart w:id="28" w:name="_Toc229330410"/>
    </w:p>
    <w:p w14:paraId="49FE2998" w14:textId="71106EF0" w:rsidR="00310635" w:rsidRPr="00492A38" w:rsidRDefault="00310635" w:rsidP="006F4418">
      <w:pPr>
        <w:spacing w:before="240"/>
        <w:rPr>
          <w:rFonts w:ascii="Times New Roman" w:eastAsiaTheme="majorEastAsia" w:hAnsi="Times New Roman" w:cs="Times New Roman"/>
          <w:b/>
          <w:bCs/>
        </w:rPr>
      </w:pPr>
      <w:r w:rsidRPr="00492A38">
        <w:rPr>
          <w:rFonts w:ascii="Times New Roman" w:eastAsiaTheme="majorEastAsia" w:hAnsi="Times New Roman" w:cs="Times New Roman"/>
          <w:b/>
          <w:bCs/>
        </w:rPr>
        <w:t>Distribution of Respondents by Enrollment Status</w:t>
      </w:r>
      <w:bookmarkEnd w:id="28"/>
    </w:p>
    <w:p w14:paraId="362C8A48" w14:textId="71F47A28" w:rsidR="00310635" w:rsidRPr="006F4418" w:rsidRDefault="00310635" w:rsidP="00310635">
      <w:pPr>
        <w:spacing w:after="0" w:line="360" w:lineRule="auto"/>
        <w:jc w:val="both"/>
        <w:rPr>
          <w:rFonts w:ascii="Times New Roman" w:hAnsi="Times New Roman" w:cs="Times New Roman"/>
          <w:b/>
          <w:bCs/>
          <w:i/>
          <w:iCs/>
          <w:sz w:val="22"/>
          <w:szCs w:val="22"/>
        </w:rPr>
      </w:pPr>
      <w:bookmarkStart w:id="29" w:name="_Toc233375518"/>
      <w:r w:rsidRPr="006F4418">
        <w:rPr>
          <w:rFonts w:ascii="Times New Roman" w:hAnsi="Times New Roman" w:cs="Times New Roman"/>
          <w:b/>
          <w:bCs/>
          <w:i/>
          <w:iCs/>
          <w:sz w:val="22"/>
          <w:szCs w:val="22"/>
        </w:rPr>
        <w:t>Figure 1: Current Enrollment in NHIMA Among Marketeers</w:t>
      </w:r>
      <w:bookmarkEnd w:id="29"/>
      <w:r w:rsidRPr="006F4418">
        <w:rPr>
          <w:rFonts w:ascii="Times New Roman" w:hAnsi="Times New Roman" w:cs="Times New Roman"/>
          <w:b/>
          <w:bCs/>
          <w:i/>
          <w:iCs/>
          <w:sz w:val="22"/>
          <w:szCs w:val="22"/>
        </w:rPr>
        <w:t xml:space="preserve"> </w:t>
      </w:r>
    </w:p>
    <w:p w14:paraId="65C1CCBD" w14:textId="77777777" w:rsidR="00310635" w:rsidRPr="00492A38" w:rsidRDefault="00310635" w:rsidP="00310635">
      <w:pPr>
        <w:keepNext/>
        <w:spacing w:after="0" w:line="360" w:lineRule="auto"/>
        <w:jc w:val="both"/>
        <w:rPr>
          <w:rFonts w:ascii="Times New Roman" w:hAnsi="Times New Roman" w:cs="Times New Roman"/>
        </w:rPr>
      </w:pPr>
      <w:r w:rsidRPr="00492A38">
        <w:rPr>
          <w:rFonts w:ascii="Times New Roman" w:hAnsi="Times New Roman" w:cs="Times New Roman"/>
          <w:noProof/>
        </w:rPr>
        <w:lastRenderedPageBreak/>
        <w:drawing>
          <wp:inline distT="0" distB="0" distL="0" distR="0" wp14:anchorId="261C4418" wp14:editId="7A562973">
            <wp:extent cx="5788617" cy="2859438"/>
            <wp:effectExtent l="0" t="0" r="3175" b="1714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0381230" w14:textId="165D6D9E" w:rsidR="000606F6" w:rsidRPr="000606F6" w:rsidRDefault="00310635" w:rsidP="000606F6">
      <w:pPr>
        <w:spacing w:after="240" w:line="360" w:lineRule="auto"/>
        <w:jc w:val="both"/>
        <w:rPr>
          <w:rFonts w:ascii="Times New Roman" w:eastAsia="Times New Roman" w:hAnsi="Times New Roman" w:cs="Times New Roman"/>
        </w:rPr>
      </w:pPr>
      <w:r w:rsidRPr="007D5841">
        <w:rPr>
          <w:rFonts w:ascii="Times New Roman" w:eastAsia="Times New Roman" w:hAnsi="Times New Roman" w:cs="Times New Roman"/>
        </w:rPr>
        <w:t xml:space="preserve">Figure 1 shows that (82%) are not enrolled </w:t>
      </w:r>
      <w:r>
        <w:rPr>
          <w:rFonts w:ascii="Times New Roman" w:eastAsia="Times New Roman" w:hAnsi="Times New Roman" w:cs="Times New Roman"/>
        </w:rPr>
        <w:t>in</w:t>
      </w:r>
      <w:r w:rsidRPr="007D5841">
        <w:rPr>
          <w:rFonts w:ascii="Times New Roman" w:eastAsia="Times New Roman" w:hAnsi="Times New Roman" w:cs="Times New Roman"/>
        </w:rPr>
        <w:t xml:space="preserve"> NHIMA</w:t>
      </w:r>
      <w:r>
        <w:rPr>
          <w:rFonts w:ascii="Times New Roman" w:eastAsia="Times New Roman" w:hAnsi="Times New Roman" w:cs="Times New Roman"/>
        </w:rPr>
        <w:t>,</w:t>
      </w:r>
      <w:r w:rsidRPr="007D5841">
        <w:rPr>
          <w:rFonts w:ascii="Times New Roman" w:eastAsia="Times New Roman" w:hAnsi="Times New Roman" w:cs="Times New Roman"/>
        </w:rPr>
        <w:t xml:space="preserve"> with only 18% currently</w:t>
      </w:r>
      <w:r>
        <w:rPr>
          <w:rFonts w:ascii="Times New Roman" w:eastAsia="Times New Roman" w:hAnsi="Times New Roman" w:cs="Times New Roman"/>
        </w:rPr>
        <w:t xml:space="preserve"> enrolled</w:t>
      </w:r>
    </w:p>
    <w:p w14:paraId="3CA21CC3" w14:textId="4B62ED56" w:rsidR="006F4418" w:rsidRPr="00F22603" w:rsidRDefault="00310635" w:rsidP="006F4418">
      <w:pPr>
        <w:keepNext/>
        <w:spacing w:before="40" w:after="0" w:line="360" w:lineRule="auto"/>
        <w:rPr>
          <w:rFonts w:ascii="Times New Roman" w:eastAsia="Times New Roman" w:hAnsi="Times New Roman" w:cs="Times New Roman"/>
          <w:sz w:val="22"/>
          <w:szCs w:val="22"/>
        </w:rPr>
      </w:pPr>
      <w:r w:rsidRPr="00F22603">
        <w:rPr>
          <w:rFonts w:ascii="Times New Roman" w:eastAsiaTheme="majorEastAsia" w:hAnsi="Times New Roman" w:cs="Times New Roman"/>
          <w:b/>
          <w:bCs/>
          <w:noProof/>
          <w:sz w:val="22"/>
          <w:szCs w:val="22"/>
        </w:rPr>
        <w:t>Reasons for Non-Enrollment in NHIMA</w:t>
      </w:r>
      <w:r w:rsidRPr="00F22603">
        <w:rPr>
          <w:rFonts w:ascii="Times New Roman" w:eastAsia="Times New Roman" w:hAnsi="Times New Roman" w:cs="Times New Roman"/>
          <w:sz w:val="22"/>
          <w:szCs w:val="22"/>
        </w:rPr>
        <w:t xml:space="preserve"> </w:t>
      </w:r>
      <w:bookmarkStart w:id="30" w:name="_Toc233380592"/>
      <w:bookmarkStart w:id="31" w:name="_Toc229328065"/>
    </w:p>
    <w:p w14:paraId="0E8A1D05" w14:textId="3129E8A8" w:rsidR="00310635" w:rsidRPr="006F4418" w:rsidRDefault="006F4418" w:rsidP="006F4418">
      <w:pPr>
        <w:keepNext/>
        <w:spacing w:before="40" w:after="0" w:line="360" w:lineRule="auto"/>
        <w:rPr>
          <w:rFonts w:ascii="Times New Roman" w:eastAsia="Times New Roman" w:hAnsi="Times New Roman" w:cs="Times New Roman"/>
          <w:i/>
          <w:iCs/>
        </w:rPr>
      </w:pPr>
      <w:r>
        <w:rPr>
          <w:rFonts w:ascii="Times New Roman" w:hAnsi="Times New Roman" w:cs="Times New Roman"/>
          <w:b/>
          <w:bCs/>
          <w:i/>
          <w:iCs/>
          <w:sz w:val="22"/>
          <w:szCs w:val="22"/>
        </w:rPr>
        <w:t>T</w:t>
      </w:r>
      <w:r w:rsidRPr="006F4418">
        <w:rPr>
          <w:rFonts w:ascii="Times New Roman" w:hAnsi="Times New Roman" w:cs="Times New Roman"/>
          <w:b/>
          <w:bCs/>
          <w:i/>
          <w:iCs/>
          <w:sz w:val="22"/>
          <w:szCs w:val="22"/>
        </w:rPr>
        <w:t xml:space="preserve">able 7: </w:t>
      </w:r>
      <w:r w:rsidR="000606F6">
        <w:rPr>
          <w:rFonts w:ascii="Times New Roman" w:hAnsi="Times New Roman" w:cs="Times New Roman"/>
          <w:b/>
          <w:bCs/>
          <w:i/>
          <w:iCs/>
          <w:sz w:val="22"/>
          <w:szCs w:val="22"/>
        </w:rPr>
        <w:t>Reasons</w:t>
      </w:r>
      <w:r w:rsidRPr="006F4418">
        <w:rPr>
          <w:rFonts w:ascii="Times New Roman" w:hAnsi="Times New Roman" w:cs="Times New Roman"/>
          <w:b/>
          <w:bCs/>
          <w:i/>
          <w:iCs/>
          <w:sz w:val="22"/>
          <w:szCs w:val="22"/>
        </w:rPr>
        <w:t xml:space="preserve"> for non-enrollment of marketeers in </w:t>
      </w:r>
      <w:bookmarkEnd w:id="30"/>
      <w:bookmarkEnd w:id="31"/>
      <w:r w:rsidR="000606F6">
        <w:rPr>
          <w:rFonts w:ascii="Times New Roman" w:hAnsi="Times New Roman" w:cs="Times New Roman"/>
          <w:b/>
          <w:bCs/>
          <w:i/>
          <w:iCs/>
          <w:sz w:val="22"/>
          <w:szCs w:val="22"/>
        </w:rPr>
        <w:t>NHIMA</w:t>
      </w:r>
    </w:p>
    <w:tbl>
      <w:tblPr>
        <w:tblStyle w:val="TableGrid"/>
        <w:tblW w:w="5000" w:type="pct"/>
        <w:tblLook w:val="04A0" w:firstRow="1" w:lastRow="0" w:firstColumn="1" w:lastColumn="0" w:noHBand="0" w:noVBand="1"/>
      </w:tblPr>
      <w:tblGrid>
        <w:gridCol w:w="3002"/>
        <w:gridCol w:w="3008"/>
        <w:gridCol w:w="3006"/>
      </w:tblGrid>
      <w:tr w:rsidR="00310635" w:rsidRPr="000606F6" w14:paraId="26410BB0" w14:textId="77777777" w:rsidTr="00A62496">
        <w:trPr>
          <w:trHeight w:val="368"/>
        </w:trPr>
        <w:tc>
          <w:tcPr>
            <w:tcW w:w="1665" w:type="pct"/>
            <w:hideMark/>
          </w:tcPr>
          <w:p w14:paraId="63880030" w14:textId="77777777" w:rsidR="00310635" w:rsidRPr="000606F6" w:rsidRDefault="00310635" w:rsidP="00A62496">
            <w:pPr>
              <w:spacing w:line="360" w:lineRule="auto"/>
              <w:jc w:val="center"/>
              <w:rPr>
                <w:rFonts w:ascii="Times New Roman" w:hAnsi="Times New Roman" w:cs="Times New Roman"/>
                <w:b/>
                <w:bCs/>
                <w:sz w:val="22"/>
                <w:szCs w:val="22"/>
              </w:rPr>
            </w:pPr>
            <w:r w:rsidRPr="000606F6">
              <w:rPr>
                <w:rFonts w:ascii="Times New Roman" w:hAnsi="Times New Roman" w:cs="Times New Roman"/>
                <w:b/>
                <w:bCs/>
                <w:sz w:val="22"/>
                <w:szCs w:val="22"/>
              </w:rPr>
              <w:t>Reason</w:t>
            </w:r>
          </w:p>
        </w:tc>
        <w:tc>
          <w:tcPr>
            <w:tcW w:w="1668" w:type="pct"/>
            <w:hideMark/>
          </w:tcPr>
          <w:p w14:paraId="737C1431" w14:textId="77777777" w:rsidR="00310635" w:rsidRPr="000606F6" w:rsidRDefault="00310635" w:rsidP="00A62496">
            <w:pPr>
              <w:spacing w:line="360" w:lineRule="auto"/>
              <w:jc w:val="center"/>
              <w:rPr>
                <w:rFonts w:ascii="Times New Roman" w:hAnsi="Times New Roman" w:cs="Times New Roman"/>
                <w:b/>
                <w:bCs/>
                <w:sz w:val="22"/>
                <w:szCs w:val="22"/>
              </w:rPr>
            </w:pPr>
            <w:r w:rsidRPr="000606F6">
              <w:rPr>
                <w:rFonts w:ascii="Times New Roman" w:hAnsi="Times New Roman" w:cs="Times New Roman"/>
                <w:b/>
                <w:bCs/>
                <w:sz w:val="22"/>
                <w:szCs w:val="22"/>
              </w:rPr>
              <w:t>Frequency (n)</w:t>
            </w:r>
          </w:p>
        </w:tc>
        <w:tc>
          <w:tcPr>
            <w:tcW w:w="1667" w:type="pct"/>
          </w:tcPr>
          <w:p w14:paraId="7A1F8512" w14:textId="77777777" w:rsidR="00310635" w:rsidRPr="000606F6" w:rsidRDefault="00310635" w:rsidP="00A62496">
            <w:pPr>
              <w:spacing w:line="360" w:lineRule="auto"/>
              <w:jc w:val="center"/>
              <w:rPr>
                <w:rFonts w:ascii="Times New Roman" w:hAnsi="Times New Roman" w:cs="Times New Roman"/>
                <w:b/>
                <w:bCs/>
                <w:sz w:val="22"/>
                <w:szCs w:val="22"/>
              </w:rPr>
            </w:pPr>
            <w:r w:rsidRPr="000606F6">
              <w:rPr>
                <w:rFonts w:ascii="Times New Roman" w:hAnsi="Times New Roman" w:cs="Times New Roman"/>
                <w:b/>
                <w:bCs/>
                <w:sz w:val="22"/>
                <w:szCs w:val="22"/>
              </w:rPr>
              <w:t>Percentage (%)</w:t>
            </w:r>
          </w:p>
        </w:tc>
      </w:tr>
      <w:tr w:rsidR="00310635" w:rsidRPr="000606F6" w14:paraId="6C8F4C21" w14:textId="77777777" w:rsidTr="00A62496">
        <w:tc>
          <w:tcPr>
            <w:tcW w:w="1665" w:type="pct"/>
            <w:hideMark/>
          </w:tcPr>
          <w:p w14:paraId="286A1410" w14:textId="77777777" w:rsidR="00310635" w:rsidRPr="000606F6" w:rsidRDefault="00310635" w:rsidP="00A62496">
            <w:pPr>
              <w:spacing w:line="360" w:lineRule="auto"/>
              <w:jc w:val="both"/>
              <w:rPr>
                <w:rFonts w:ascii="Times New Roman" w:hAnsi="Times New Roman" w:cs="Times New Roman"/>
                <w:sz w:val="22"/>
                <w:szCs w:val="22"/>
              </w:rPr>
            </w:pPr>
            <w:r w:rsidRPr="000606F6">
              <w:rPr>
                <w:rFonts w:ascii="Times New Roman" w:hAnsi="Times New Roman" w:cs="Times New Roman"/>
                <w:sz w:val="22"/>
                <w:szCs w:val="22"/>
              </w:rPr>
              <w:t>Lack of information</w:t>
            </w:r>
          </w:p>
        </w:tc>
        <w:tc>
          <w:tcPr>
            <w:tcW w:w="1668" w:type="pct"/>
            <w:hideMark/>
          </w:tcPr>
          <w:p w14:paraId="08907B57" w14:textId="77777777" w:rsidR="00310635" w:rsidRPr="000606F6" w:rsidRDefault="00310635" w:rsidP="00A62496">
            <w:pPr>
              <w:spacing w:line="360" w:lineRule="auto"/>
              <w:jc w:val="center"/>
              <w:rPr>
                <w:rFonts w:ascii="Times New Roman" w:hAnsi="Times New Roman" w:cs="Times New Roman"/>
                <w:sz w:val="22"/>
                <w:szCs w:val="22"/>
              </w:rPr>
            </w:pPr>
            <w:r w:rsidRPr="000606F6">
              <w:rPr>
                <w:rFonts w:ascii="Times New Roman" w:hAnsi="Times New Roman" w:cs="Times New Roman"/>
                <w:sz w:val="22"/>
                <w:szCs w:val="22"/>
              </w:rPr>
              <w:t>146</w:t>
            </w:r>
          </w:p>
        </w:tc>
        <w:tc>
          <w:tcPr>
            <w:tcW w:w="1667" w:type="pct"/>
          </w:tcPr>
          <w:p w14:paraId="29D85DB2" w14:textId="77777777" w:rsidR="00310635" w:rsidRPr="000606F6" w:rsidRDefault="00310635" w:rsidP="00A62496">
            <w:pPr>
              <w:spacing w:line="360" w:lineRule="auto"/>
              <w:jc w:val="center"/>
              <w:rPr>
                <w:rFonts w:ascii="Times New Roman" w:hAnsi="Times New Roman" w:cs="Times New Roman"/>
                <w:sz w:val="22"/>
                <w:szCs w:val="22"/>
              </w:rPr>
            </w:pPr>
            <w:r w:rsidRPr="000606F6">
              <w:rPr>
                <w:rFonts w:ascii="Times New Roman" w:hAnsi="Times New Roman" w:cs="Times New Roman"/>
                <w:sz w:val="22"/>
                <w:szCs w:val="22"/>
              </w:rPr>
              <w:t>92</w:t>
            </w:r>
          </w:p>
        </w:tc>
      </w:tr>
      <w:tr w:rsidR="00310635" w:rsidRPr="000606F6" w14:paraId="76F1AC4C" w14:textId="77777777" w:rsidTr="00A62496">
        <w:tc>
          <w:tcPr>
            <w:tcW w:w="1665" w:type="pct"/>
            <w:hideMark/>
          </w:tcPr>
          <w:p w14:paraId="50687F5B" w14:textId="77777777" w:rsidR="00310635" w:rsidRPr="000606F6" w:rsidRDefault="00310635" w:rsidP="00A62496">
            <w:pPr>
              <w:spacing w:line="360" w:lineRule="auto"/>
              <w:jc w:val="both"/>
              <w:rPr>
                <w:rFonts w:ascii="Times New Roman" w:hAnsi="Times New Roman" w:cs="Times New Roman"/>
                <w:sz w:val="22"/>
                <w:szCs w:val="22"/>
              </w:rPr>
            </w:pPr>
            <w:r w:rsidRPr="000606F6">
              <w:rPr>
                <w:rFonts w:ascii="Times New Roman" w:hAnsi="Times New Roman" w:cs="Times New Roman"/>
                <w:sz w:val="22"/>
                <w:szCs w:val="22"/>
              </w:rPr>
              <w:t>Irregular income</w:t>
            </w:r>
          </w:p>
        </w:tc>
        <w:tc>
          <w:tcPr>
            <w:tcW w:w="1668" w:type="pct"/>
            <w:hideMark/>
          </w:tcPr>
          <w:p w14:paraId="53EA9927" w14:textId="77777777" w:rsidR="00310635" w:rsidRPr="000606F6" w:rsidRDefault="00310635" w:rsidP="00A62496">
            <w:pPr>
              <w:spacing w:line="360" w:lineRule="auto"/>
              <w:jc w:val="center"/>
              <w:rPr>
                <w:rFonts w:ascii="Times New Roman" w:hAnsi="Times New Roman" w:cs="Times New Roman"/>
                <w:sz w:val="22"/>
                <w:szCs w:val="22"/>
              </w:rPr>
            </w:pPr>
            <w:r w:rsidRPr="000606F6">
              <w:rPr>
                <w:rFonts w:ascii="Times New Roman" w:hAnsi="Times New Roman" w:cs="Times New Roman"/>
                <w:sz w:val="22"/>
                <w:szCs w:val="22"/>
              </w:rPr>
              <w:t>5</w:t>
            </w:r>
          </w:p>
        </w:tc>
        <w:tc>
          <w:tcPr>
            <w:tcW w:w="1667" w:type="pct"/>
          </w:tcPr>
          <w:p w14:paraId="6A0257DD" w14:textId="77777777" w:rsidR="00310635" w:rsidRPr="000606F6" w:rsidRDefault="00310635" w:rsidP="00A62496">
            <w:pPr>
              <w:spacing w:line="360" w:lineRule="auto"/>
              <w:jc w:val="center"/>
              <w:rPr>
                <w:rFonts w:ascii="Times New Roman" w:hAnsi="Times New Roman" w:cs="Times New Roman"/>
                <w:sz w:val="22"/>
                <w:szCs w:val="22"/>
              </w:rPr>
            </w:pPr>
            <w:r w:rsidRPr="000606F6">
              <w:rPr>
                <w:rFonts w:ascii="Times New Roman" w:hAnsi="Times New Roman" w:cs="Times New Roman"/>
                <w:sz w:val="22"/>
                <w:szCs w:val="22"/>
              </w:rPr>
              <w:t>3</w:t>
            </w:r>
          </w:p>
        </w:tc>
      </w:tr>
      <w:tr w:rsidR="00310635" w:rsidRPr="000606F6" w14:paraId="7166CB96" w14:textId="77777777" w:rsidTr="00A62496">
        <w:tc>
          <w:tcPr>
            <w:tcW w:w="1665" w:type="pct"/>
            <w:hideMark/>
          </w:tcPr>
          <w:p w14:paraId="306BD8D8" w14:textId="77777777" w:rsidR="00310635" w:rsidRPr="000606F6" w:rsidRDefault="00310635" w:rsidP="00A62496">
            <w:pPr>
              <w:spacing w:line="360" w:lineRule="auto"/>
              <w:jc w:val="both"/>
              <w:rPr>
                <w:rFonts w:ascii="Times New Roman" w:hAnsi="Times New Roman" w:cs="Times New Roman"/>
                <w:sz w:val="22"/>
                <w:szCs w:val="22"/>
              </w:rPr>
            </w:pPr>
            <w:r w:rsidRPr="000606F6">
              <w:rPr>
                <w:rFonts w:ascii="Times New Roman" w:hAnsi="Times New Roman" w:cs="Times New Roman"/>
                <w:sz w:val="22"/>
                <w:szCs w:val="22"/>
              </w:rPr>
              <w:t>Not affordable for me</w:t>
            </w:r>
          </w:p>
        </w:tc>
        <w:tc>
          <w:tcPr>
            <w:tcW w:w="1668" w:type="pct"/>
            <w:hideMark/>
          </w:tcPr>
          <w:p w14:paraId="346AAC6A" w14:textId="77777777" w:rsidR="00310635" w:rsidRPr="000606F6" w:rsidRDefault="00310635" w:rsidP="00A62496">
            <w:pPr>
              <w:spacing w:line="360" w:lineRule="auto"/>
              <w:jc w:val="center"/>
              <w:rPr>
                <w:rFonts w:ascii="Times New Roman" w:hAnsi="Times New Roman" w:cs="Times New Roman"/>
                <w:sz w:val="22"/>
                <w:szCs w:val="22"/>
              </w:rPr>
            </w:pPr>
            <w:r w:rsidRPr="000606F6">
              <w:rPr>
                <w:rFonts w:ascii="Times New Roman" w:hAnsi="Times New Roman" w:cs="Times New Roman"/>
                <w:sz w:val="22"/>
                <w:szCs w:val="22"/>
              </w:rPr>
              <w:t>3</w:t>
            </w:r>
          </w:p>
        </w:tc>
        <w:tc>
          <w:tcPr>
            <w:tcW w:w="1667" w:type="pct"/>
          </w:tcPr>
          <w:p w14:paraId="7B651F18" w14:textId="77777777" w:rsidR="00310635" w:rsidRPr="000606F6" w:rsidRDefault="00310635" w:rsidP="00A62496">
            <w:pPr>
              <w:spacing w:line="360" w:lineRule="auto"/>
              <w:jc w:val="center"/>
              <w:rPr>
                <w:rFonts w:ascii="Times New Roman" w:hAnsi="Times New Roman" w:cs="Times New Roman"/>
                <w:sz w:val="22"/>
                <w:szCs w:val="22"/>
              </w:rPr>
            </w:pPr>
            <w:r w:rsidRPr="000606F6">
              <w:rPr>
                <w:rFonts w:ascii="Times New Roman" w:hAnsi="Times New Roman" w:cs="Times New Roman"/>
                <w:sz w:val="22"/>
                <w:szCs w:val="22"/>
              </w:rPr>
              <w:t>2</w:t>
            </w:r>
          </w:p>
        </w:tc>
      </w:tr>
      <w:tr w:rsidR="00310635" w:rsidRPr="000606F6" w14:paraId="77E52205" w14:textId="77777777" w:rsidTr="00A62496">
        <w:tc>
          <w:tcPr>
            <w:tcW w:w="1665" w:type="pct"/>
            <w:hideMark/>
          </w:tcPr>
          <w:p w14:paraId="0F9D1AAD" w14:textId="77777777" w:rsidR="00310635" w:rsidRPr="000606F6" w:rsidRDefault="00310635" w:rsidP="00A62496">
            <w:pPr>
              <w:spacing w:line="360" w:lineRule="auto"/>
              <w:jc w:val="both"/>
              <w:rPr>
                <w:rFonts w:ascii="Times New Roman" w:hAnsi="Times New Roman" w:cs="Times New Roman"/>
                <w:sz w:val="22"/>
                <w:szCs w:val="22"/>
              </w:rPr>
            </w:pPr>
            <w:r w:rsidRPr="000606F6">
              <w:rPr>
                <w:rFonts w:ascii="Times New Roman" w:hAnsi="Times New Roman" w:cs="Times New Roman"/>
                <w:sz w:val="22"/>
                <w:szCs w:val="22"/>
              </w:rPr>
              <w:t>Other</w:t>
            </w:r>
          </w:p>
        </w:tc>
        <w:tc>
          <w:tcPr>
            <w:tcW w:w="1668" w:type="pct"/>
            <w:hideMark/>
          </w:tcPr>
          <w:p w14:paraId="191528F4" w14:textId="77777777" w:rsidR="00310635" w:rsidRPr="000606F6" w:rsidRDefault="00310635" w:rsidP="00A62496">
            <w:pPr>
              <w:spacing w:line="360" w:lineRule="auto"/>
              <w:jc w:val="center"/>
              <w:rPr>
                <w:rFonts w:ascii="Times New Roman" w:hAnsi="Times New Roman" w:cs="Times New Roman"/>
                <w:sz w:val="22"/>
                <w:szCs w:val="22"/>
              </w:rPr>
            </w:pPr>
            <w:r w:rsidRPr="000606F6">
              <w:rPr>
                <w:rFonts w:ascii="Times New Roman" w:hAnsi="Times New Roman" w:cs="Times New Roman"/>
                <w:sz w:val="22"/>
                <w:szCs w:val="22"/>
              </w:rPr>
              <w:t>4</w:t>
            </w:r>
          </w:p>
        </w:tc>
        <w:tc>
          <w:tcPr>
            <w:tcW w:w="1667" w:type="pct"/>
          </w:tcPr>
          <w:p w14:paraId="5BD0E4C4" w14:textId="77777777" w:rsidR="00310635" w:rsidRPr="000606F6" w:rsidRDefault="00310635" w:rsidP="00A62496">
            <w:pPr>
              <w:spacing w:line="360" w:lineRule="auto"/>
              <w:jc w:val="center"/>
              <w:rPr>
                <w:rFonts w:ascii="Times New Roman" w:hAnsi="Times New Roman" w:cs="Times New Roman"/>
                <w:sz w:val="22"/>
                <w:szCs w:val="22"/>
              </w:rPr>
            </w:pPr>
            <w:r w:rsidRPr="000606F6">
              <w:rPr>
                <w:rFonts w:ascii="Times New Roman" w:hAnsi="Times New Roman" w:cs="Times New Roman"/>
                <w:sz w:val="22"/>
                <w:szCs w:val="22"/>
              </w:rPr>
              <w:t>2</w:t>
            </w:r>
          </w:p>
        </w:tc>
      </w:tr>
      <w:tr w:rsidR="00310635" w:rsidRPr="000606F6" w14:paraId="75EBC4C7" w14:textId="77777777" w:rsidTr="00A62496">
        <w:tc>
          <w:tcPr>
            <w:tcW w:w="1665" w:type="pct"/>
            <w:hideMark/>
          </w:tcPr>
          <w:p w14:paraId="2C570C75" w14:textId="77777777" w:rsidR="00310635" w:rsidRPr="000606F6" w:rsidRDefault="00310635" w:rsidP="00A62496">
            <w:pPr>
              <w:spacing w:line="360" w:lineRule="auto"/>
              <w:jc w:val="both"/>
              <w:rPr>
                <w:rFonts w:ascii="Times New Roman" w:hAnsi="Times New Roman" w:cs="Times New Roman"/>
                <w:sz w:val="22"/>
                <w:szCs w:val="22"/>
              </w:rPr>
            </w:pPr>
            <w:r w:rsidRPr="000606F6">
              <w:rPr>
                <w:rFonts w:ascii="Times New Roman" w:hAnsi="Times New Roman" w:cs="Times New Roman"/>
                <w:sz w:val="22"/>
                <w:szCs w:val="22"/>
              </w:rPr>
              <w:t>Lack of trust</w:t>
            </w:r>
          </w:p>
        </w:tc>
        <w:tc>
          <w:tcPr>
            <w:tcW w:w="1668" w:type="pct"/>
            <w:hideMark/>
          </w:tcPr>
          <w:p w14:paraId="2285BB0C" w14:textId="77777777" w:rsidR="00310635" w:rsidRPr="000606F6" w:rsidRDefault="00310635" w:rsidP="00A62496">
            <w:pPr>
              <w:spacing w:line="360" w:lineRule="auto"/>
              <w:jc w:val="center"/>
              <w:rPr>
                <w:rFonts w:ascii="Times New Roman" w:hAnsi="Times New Roman" w:cs="Times New Roman"/>
                <w:sz w:val="22"/>
                <w:szCs w:val="22"/>
              </w:rPr>
            </w:pPr>
            <w:r w:rsidRPr="000606F6">
              <w:rPr>
                <w:rFonts w:ascii="Times New Roman" w:hAnsi="Times New Roman" w:cs="Times New Roman"/>
                <w:sz w:val="22"/>
                <w:szCs w:val="22"/>
              </w:rPr>
              <w:t>1</w:t>
            </w:r>
          </w:p>
        </w:tc>
        <w:tc>
          <w:tcPr>
            <w:tcW w:w="1667" w:type="pct"/>
          </w:tcPr>
          <w:p w14:paraId="7F658D54" w14:textId="77777777" w:rsidR="00310635" w:rsidRPr="000606F6" w:rsidRDefault="00310635" w:rsidP="00A62496">
            <w:pPr>
              <w:spacing w:line="360" w:lineRule="auto"/>
              <w:jc w:val="center"/>
              <w:rPr>
                <w:rFonts w:ascii="Times New Roman" w:hAnsi="Times New Roman" w:cs="Times New Roman"/>
                <w:sz w:val="22"/>
                <w:szCs w:val="22"/>
              </w:rPr>
            </w:pPr>
            <w:r w:rsidRPr="000606F6">
              <w:rPr>
                <w:rFonts w:ascii="Times New Roman" w:hAnsi="Times New Roman" w:cs="Times New Roman"/>
                <w:sz w:val="22"/>
                <w:szCs w:val="22"/>
              </w:rPr>
              <w:t>1</w:t>
            </w:r>
          </w:p>
        </w:tc>
      </w:tr>
      <w:tr w:rsidR="00310635" w:rsidRPr="000606F6" w14:paraId="0346B203" w14:textId="77777777" w:rsidTr="00A62496">
        <w:tc>
          <w:tcPr>
            <w:tcW w:w="1665" w:type="pct"/>
            <w:hideMark/>
          </w:tcPr>
          <w:p w14:paraId="70E8EA78" w14:textId="77777777" w:rsidR="00310635" w:rsidRPr="000606F6" w:rsidRDefault="00310635" w:rsidP="00A62496">
            <w:pPr>
              <w:spacing w:line="360" w:lineRule="auto"/>
              <w:jc w:val="both"/>
              <w:rPr>
                <w:rFonts w:ascii="Times New Roman" w:hAnsi="Times New Roman" w:cs="Times New Roman"/>
                <w:b/>
                <w:sz w:val="22"/>
                <w:szCs w:val="22"/>
              </w:rPr>
            </w:pPr>
            <w:r w:rsidRPr="000606F6">
              <w:rPr>
                <w:rFonts w:ascii="Times New Roman" w:hAnsi="Times New Roman" w:cs="Times New Roman"/>
                <w:b/>
                <w:sz w:val="22"/>
                <w:szCs w:val="22"/>
              </w:rPr>
              <w:t>Total</w:t>
            </w:r>
          </w:p>
        </w:tc>
        <w:tc>
          <w:tcPr>
            <w:tcW w:w="1668" w:type="pct"/>
            <w:hideMark/>
          </w:tcPr>
          <w:p w14:paraId="3277F841" w14:textId="77777777" w:rsidR="00310635" w:rsidRPr="000606F6" w:rsidRDefault="00310635" w:rsidP="00A62496">
            <w:pPr>
              <w:spacing w:line="360" w:lineRule="auto"/>
              <w:jc w:val="center"/>
              <w:rPr>
                <w:rFonts w:ascii="Times New Roman" w:hAnsi="Times New Roman" w:cs="Times New Roman"/>
                <w:b/>
                <w:sz w:val="22"/>
                <w:szCs w:val="22"/>
              </w:rPr>
            </w:pPr>
            <w:r w:rsidRPr="000606F6">
              <w:rPr>
                <w:rFonts w:ascii="Times New Roman" w:hAnsi="Times New Roman" w:cs="Times New Roman"/>
                <w:b/>
                <w:sz w:val="22"/>
                <w:szCs w:val="22"/>
              </w:rPr>
              <w:t>159</w:t>
            </w:r>
          </w:p>
        </w:tc>
        <w:tc>
          <w:tcPr>
            <w:tcW w:w="1667" w:type="pct"/>
          </w:tcPr>
          <w:p w14:paraId="3F7B966D" w14:textId="77777777" w:rsidR="00310635" w:rsidRPr="000606F6" w:rsidRDefault="00310635" w:rsidP="00A62496">
            <w:pPr>
              <w:spacing w:line="360" w:lineRule="auto"/>
              <w:jc w:val="center"/>
              <w:rPr>
                <w:rFonts w:ascii="Times New Roman" w:hAnsi="Times New Roman" w:cs="Times New Roman"/>
                <w:b/>
                <w:sz w:val="22"/>
                <w:szCs w:val="22"/>
              </w:rPr>
            </w:pPr>
            <w:r w:rsidRPr="000606F6">
              <w:rPr>
                <w:rFonts w:ascii="Times New Roman" w:hAnsi="Times New Roman" w:cs="Times New Roman"/>
                <w:b/>
                <w:sz w:val="22"/>
                <w:szCs w:val="22"/>
              </w:rPr>
              <w:t>100</w:t>
            </w:r>
          </w:p>
        </w:tc>
      </w:tr>
    </w:tbl>
    <w:p w14:paraId="4264A062" w14:textId="7F876FC9" w:rsidR="004F3860" w:rsidRPr="001E7109" w:rsidRDefault="00310635" w:rsidP="00611ADA">
      <w:pPr>
        <w:spacing w:line="360" w:lineRule="auto"/>
        <w:jc w:val="both"/>
        <w:rPr>
          <w:rFonts w:ascii="Times New Roman" w:hAnsi="Times New Roman" w:cs="Times New Roman"/>
          <w:sz w:val="22"/>
          <w:szCs w:val="22"/>
        </w:rPr>
      </w:pPr>
      <w:r w:rsidRPr="00E34F6D">
        <w:rPr>
          <w:rFonts w:ascii="Times New Roman" w:hAnsi="Times New Roman" w:cs="Times New Roman"/>
          <w:sz w:val="22"/>
          <w:szCs w:val="22"/>
        </w:rPr>
        <w:t xml:space="preserve">As shown in Table </w:t>
      </w:r>
      <w:r w:rsidR="00E34F6D" w:rsidRPr="00E34F6D">
        <w:rPr>
          <w:rFonts w:ascii="Times New Roman" w:hAnsi="Times New Roman" w:cs="Times New Roman"/>
          <w:sz w:val="22"/>
          <w:szCs w:val="22"/>
        </w:rPr>
        <w:t>7</w:t>
      </w:r>
      <w:r w:rsidRPr="00E34F6D">
        <w:rPr>
          <w:rFonts w:ascii="Times New Roman" w:hAnsi="Times New Roman" w:cs="Times New Roman"/>
          <w:sz w:val="22"/>
          <w:szCs w:val="22"/>
        </w:rPr>
        <w:t xml:space="preserve">, the most frequently cited barrier was lack of information, reported by 146 respondents. This was followed by irregular income </w:t>
      </w:r>
      <w:r w:rsidR="00F117F0">
        <w:rPr>
          <w:rFonts w:ascii="Times New Roman" w:hAnsi="Times New Roman" w:cs="Times New Roman"/>
          <w:sz w:val="22"/>
          <w:szCs w:val="22"/>
        </w:rPr>
        <w:t>(cited by 5 respondents), unaffordability (cited by 3 respondents), and other reasons (cited by 4 respondents)</w:t>
      </w:r>
      <w:r w:rsidRPr="00E34F6D">
        <w:rPr>
          <w:rFonts w:ascii="Times New Roman" w:hAnsi="Times New Roman" w:cs="Times New Roman"/>
          <w:sz w:val="22"/>
          <w:szCs w:val="22"/>
        </w:rPr>
        <w:t>. Lack of trust was cited by only 1 respondent.</w:t>
      </w:r>
    </w:p>
    <w:p w14:paraId="77EFE74A" w14:textId="19E7DEFD" w:rsidR="006B2F8E" w:rsidRPr="007E5B05" w:rsidRDefault="006B2F8E" w:rsidP="007E5B05">
      <w:pPr>
        <w:spacing w:before="240" w:line="360" w:lineRule="auto"/>
        <w:jc w:val="both"/>
        <w:rPr>
          <w:rFonts w:ascii="Times New Roman" w:hAnsi="Times New Roman" w:cs="Times New Roman"/>
          <w:b/>
          <w:bCs/>
          <w:lang w:val="en-GB"/>
        </w:rPr>
      </w:pPr>
      <w:r w:rsidRPr="007E5B05">
        <w:rPr>
          <w:rFonts w:ascii="Times New Roman" w:hAnsi="Times New Roman" w:cs="Times New Roman"/>
          <w:b/>
          <w:bCs/>
          <w:lang w:val="en-GB"/>
        </w:rPr>
        <w:t>Qualitative Findings</w:t>
      </w:r>
    </w:p>
    <w:p w14:paraId="2CEC7CD0" w14:textId="09A7BC1C" w:rsidR="008F4753" w:rsidRDefault="00DF5575" w:rsidP="007E5B05">
      <w:pPr>
        <w:pStyle w:val="Heading2"/>
        <w:spacing w:before="240" w:after="160" w:line="360" w:lineRule="auto"/>
        <w:jc w:val="both"/>
        <w:rPr>
          <w:rFonts w:ascii="Times New Roman" w:hAnsi="Times New Roman" w:cs="Times New Roman"/>
          <w:color w:val="auto"/>
          <w:sz w:val="24"/>
          <w:szCs w:val="24"/>
        </w:rPr>
      </w:pPr>
      <w:r w:rsidRPr="007E5B05">
        <w:rPr>
          <w:rFonts w:ascii="Times New Roman" w:hAnsi="Times New Roman" w:cs="Times New Roman"/>
          <w:color w:val="auto"/>
          <w:sz w:val="24"/>
          <w:szCs w:val="24"/>
          <w:lang w:val="en-GB"/>
        </w:rPr>
        <w:t xml:space="preserve">The findings suggest that </w:t>
      </w:r>
      <w:r w:rsidR="00611ADA" w:rsidRPr="007E5B05">
        <w:rPr>
          <w:rFonts w:ascii="Times New Roman" w:hAnsi="Times New Roman" w:cs="Times New Roman"/>
          <w:color w:val="auto"/>
          <w:sz w:val="24"/>
          <w:szCs w:val="24"/>
          <w:lang w:val="en-GB"/>
        </w:rPr>
        <w:t>enrolment</w:t>
      </w:r>
      <w:r w:rsidRPr="007E5B05">
        <w:rPr>
          <w:rFonts w:ascii="Times New Roman" w:hAnsi="Times New Roman" w:cs="Times New Roman"/>
          <w:color w:val="auto"/>
          <w:sz w:val="24"/>
          <w:szCs w:val="24"/>
          <w:lang w:val="en-GB"/>
        </w:rPr>
        <w:t xml:space="preserve"> into NHIMA was influenced by an array of interlinked challenges. </w:t>
      </w:r>
      <w:r w:rsidR="006B2F8E" w:rsidRPr="007E5B05">
        <w:rPr>
          <w:rFonts w:ascii="Times New Roman" w:hAnsi="Times New Roman" w:cs="Times New Roman"/>
          <w:color w:val="auto"/>
          <w:sz w:val="24"/>
          <w:szCs w:val="24"/>
          <w:lang w:val="en-GB"/>
        </w:rPr>
        <w:t xml:space="preserve">Four key themes were identified through thematic analysis of </w:t>
      </w:r>
      <w:bookmarkStart w:id="32" w:name="_Toc233380553"/>
      <w:r w:rsidR="001E7109" w:rsidRPr="007E5B05">
        <w:rPr>
          <w:rFonts w:ascii="Times New Roman" w:hAnsi="Times New Roman" w:cs="Times New Roman"/>
          <w:color w:val="auto"/>
          <w:sz w:val="24"/>
          <w:szCs w:val="24"/>
        </w:rPr>
        <w:t>Challenges Hindering Marketeers’ Participation in NHIMA</w:t>
      </w:r>
      <w:bookmarkEnd w:id="32"/>
      <w:r w:rsidRPr="007E5B05">
        <w:rPr>
          <w:rFonts w:ascii="Times New Roman" w:hAnsi="Times New Roman" w:cs="Times New Roman"/>
          <w:color w:val="auto"/>
          <w:sz w:val="24"/>
          <w:szCs w:val="24"/>
        </w:rPr>
        <w:t>.</w:t>
      </w:r>
    </w:p>
    <w:p w14:paraId="2C1B4C76" w14:textId="77777777" w:rsidR="004365E4" w:rsidRDefault="004365E4" w:rsidP="004365E4">
      <w:pPr>
        <w:rPr>
          <w:lang w:val="en-GB"/>
        </w:rPr>
      </w:pPr>
    </w:p>
    <w:p w14:paraId="760632F2" w14:textId="77777777" w:rsidR="004365E4" w:rsidRDefault="004365E4" w:rsidP="004365E4">
      <w:pPr>
        <w:rPr>
          <w:lang w:val="en-GB"/>
        </w:rPr>
      </w:pPr>
    </w:p>
    <w:p w14:paraId="56B113D6" w14:textId="77777777" w:rsidR="004365E4" w:rsidRPr="004365E4" w:rsidRDefault="004365E4" w:rsidP="004365E4">
      <w:pPr>
        <w:rPr>
          <w:lang w:val="en-GB"/>
        </w:rPr>
      </w:pPr>
    </w:p>
    <w:p w14:paraId="20AB1CC1" w14:textId="77E70AB1" w:rsidR="000736F6" w:rsidRPr="007E5B05" w:rsidRDefault="000736F6" w:rsidP="007E5B05">
      <w:pPr>
        <w:spacing w:before="240" w:line="360" w:lineRule="auto"/>
        <w:jc w:val="both"/>
        <w:rPr>
          <w:rFonts w:ascii="Times New Roman" w:hAnsi="Times New Roman" w:cs="Times New Roman"/>
          <w:lang w:val="en-GB"/>
        </w:rPr>
      </w:pPr>
      <w:r w:rsidRPr="007E5B05">
        <w:rPr>
          <w:rFonts w:ascii="Times New Roman" w:eastAsia="Times New Roman" w:hAnsi="Times New Roman" w:cs="Times New Roman"/>
          <w:b/>
        </w:rPr>
        <w:lastRenderedPageBreak/>
        <w:t>Income Stability</w:t>
      </w:r>
      <w:r w:rsidRPr="007E5B05">
        <w:rPr>
          <w:rFonts w:ascii="Times New Roman" w:hAnsi="Times New Roman" w:cs="Times New Roman"/>
          <w:lang w:val="en-GB"/>
        </w:rPr>
        <w:t xml:space="preserve"> </w:t>
      </w:r>
    </w:p>
    <w:p w14:paraId="47EF106E" w14:textId="6DE568B5" w:rsidR="00342C50" w:rsidRPr="007E5B05" w:rsidRDefault="000736F6" w:rsidP="007E5B05">
      <w:pPr>
        <w:spacing w:before="240" w:line="360" w:lineRule="auto"/>
        <w:jc w:val="both"/>
        <w:rPr>
          <w:rFonts w:ascii="Times New Roman" w:hAnsi="Times New Roman" w:cs="Times New Roman"/>
          <w:lang w:val="en-GB"/>
        </w:rPr>
      </w:pPr>
      <w:r w:rsidRPr="007E5B05">
        <w:rPr>
          <w:rFonts w:ascii="Times New Roman" w:hAnsi="Times New Roman" w:cs="Times New Roman"/>
          <w:lang w:val="en-GB"/>
        </w:rPr>
        <w:t xml:space="preserve">Respondents frequently pointed out that income instability hinders the consistent payment of contributions. It was indicated that the costs of needs such as food, school fees, and rent often outweigh contributions to health insurance. </w:t>
      </w:r>
    </w:p>
    <w:p w14:paraId="07AC2E59" w14:textId="14EEDD9E" w:rsidR="00342C50" w:rsidRPr="007E5B05" w:rsidRDefault="000736F6" w:rsidP="007E5B05">
      <w:pPr>
        <w:spacing w:before="240" w:line="360" w:lineRule="auto"/>
        <w:jc w:val="both"/>
        <w:rPr>
          <w:rFonts w:ascii="Times New Roman" w:hAnsi="Times New Roman" w:cs="Times New Roman"/>
          <w:lang w:val="en-GB"/>
        </w:rPr>
      </w:pPr>
      <w:r w:rsidRPr="007E5B05">
        <w:rPr>
          <w:rFonts w:ascii="Times New Roman" w:hAnsi="Times New Roman" w:cs="Times New Roman"/>
          <w:lang w:val="en-GB"/>
        </w:rPr>
        <w:t>"</w:t>
      </w:r>
      <w:r w:rsidRPr="007E5B05">
        <w:rPr>
          <w:rFonts w:ascii="Times New Roman" w:hAnsi="Times New Roman" w:cs="Times New Roman"/>
          <w:i/>
          <w:iCs/>
          <w:lang w:val="en-GB"/>
        </w:rPr>
        <w:t>Businesses are unpredictable; some days you make good sales while others you cannot even recover the cost of purchasing the goods."</w:t>
      </w:r>
      <w:r w:rsidRPr="007E5B05">
        <w:rPr>
          <w:rFonts w:ascii="Times New Roman" w:hAnsi="Times New Roman" w:cs="Times New Roman"/>
          <w:lang w:val="en-GB"/>
        </w:rPr>
        <w:t xml:space="preserve"> </w:t>
      </w:r>
      <w:r w:rsidR="0019423A" w:rsidRPr="007E5B05">
        <w:rPr>
          <w:rFonts w:ascii="Times New Roman" w:hAnsi="Times New Roman" w:cs="Times New Roman"/>
          <w:lang w:val="en-GB"/>
        </w:rPr>
        <w:t>(</w:t>
      </w:r>
      <w:r w:rsidR="0019423A" w:rsidRPr="007E5B05">
        <w:rPr>
          <w:rFonts w:ascii="Times New Roman" w:hAnsi="Times New Roman" w:cs="Times New Roman"/>
          <w:i/>
          <w:iCs/>
          <w:lang w:val="en-GB"/>
        </w:rPr>
        <w:t>FGD participant, Green Market, May 2026)</w:t>
      </w:r>
    </w:p>
    <w:p w14:paraId="04664554" w14:textId="2AB8C599" w:rsidR="000736F6" w:rsidRPr="007E5B05" w:rsidRDefault="000736F6" w:rsidP="007E5B05">
      <w:pPr>
        <w:spacing w:before="240" w:line="360" w:lineRule="auto"/>
        <w:jc w:val="both"/>
        <w:rPr>
          <w:rFonts w:ascii="Times New Roman" w:eastAsia="Times New Roman" w:hAnsi="Times New Roman" w:cs="Times New Roman"/>
          <w:i/>
          <w:iCs/>
        </w:rPr>
      </w:pPr>
      <w:r w:rsidRPr="007E5B05">
        <w:rPr>
          <w:rFonts w:ascii="Times New Roman" w:eastAsia="Times New Roman" w:hAnsi="Times New Roman" w:cs="Times New Roman"/>
          <w:i/>
          <w:iCs/>
        </w:rPr>
        <w:t>"Inconsistent income, money is a challenge, and business is hard</w:t>
      </w:r>
      <w:r w:rsidR="0019423A" w:rsidRPr="007E5B05">
        <w:rPr>
          <w:rFonts w:ascii="Times New Roman" w:eastAsia="Times New Roman" w:hAnsi="Times New Roman" w:cs="Times New Roman"/>
          <w:i/>
          <w:iCs/>
        </w:rPr>
        <w:t>.</w:t>
      </w:r>
      <w:r w:rsidRPr="007E5B05">
        <w:rPr>
          <w:rFonts w:ascii="Times New Roman" w:eastAsia="Times New Roman" w:hAnsi="Times New Roman" w:cs="Times New Roman"/>
          <w:i/>
          <w:iCs/>
        </w:rPr>
        <w:t>”</w:t>
      </w:r>
      <w:r w:rsidR="0019423A" w:rsidRPr="007E5B05">
        <w:t xml:space="preserve"> </w:t>
      </w:r>
      <w:r w:rsidR="0019423A" w:rsidRPr="007E5B05">
        <w:rPr>
          <w:rFonts w:ascii="Times New Roman" w:eastAsia="Times New Roman" w:hAnsi="Times New Roman" w:cs="Times New Roman"/>
          <w:i/>
          <w:iCs/>
        </w:rPr>
        <w:t>(FGD participant, New Market, May 2026)</w:t>
      </w:r>
    </w:p>
    <w:p w14:paraId="50D94C7E" w14:textId="0D815833" w:rsidR="00EE6A92" w:rsidRPr="007E5B05" w:rsidRDefault="000736F6" w:rsidP="007E5B05">
      <w:pPr>
        <w:spacing w:before="240" w:line="360" w:lineRule="auto"/>
        <w:jc w:val="both"/>
        <w:rPr>
          <w:rFonts w:ascii="Times New Roman" w:hAnsi="Times New Roman" w:cs="Times New Roman"/>
          <w:lang w:val="en-GB"/>
        </w:rPr>
      </w:pPr>
      <w:r w:rsidRPr="007E5B05">
        <w:rPr>
          <w:rFonts w:ascii="Times New Roman" w:hAnsi="Times New Roman" w:cs="Times New Roman"/>
          <w:lang w:val="en-GB"/>
        </w:rPr>
        <w:t xml:space="preserve">A key informant also noted that most informal workers are aware of the benefits of health insurance but lack stable incomes to maintain consistent contributions. </w:t>
      </w:r>
    </w:p>
    <w:p w14:paraId="23AF3CDF" w14:textId="4FB20DE3" w:rsidR="000736F6" w:rsidRPr="007E5B05" w:rsidRDefault="000736F6" w:rsidP="007E5B05">
      <w:pPr>
        <w:spacing w:before="240" w:line="360" w:lineRule="auto"/>
        <w:jc w:val="both"/>
        <w:rPr>
          <w:rFonts w:ascii="Times New Roman" w:hAnsi="Times New Roman" w:cs="Times New Roman"/>
        </w:rPr>
      </w:pPr>
      <w:r w:rsidRPr="007E5B05">
        <w:rPr>
          <w:rFonts w:ascii="Times New Roman" w:eastAsia="Times New Roman" w:hAnsi="Times New Roman" w:cs="Times New Roman"/>
          <w:i/>
          <w:iCs/>
        </w:rPr>
        <w:t>"Informal workers often have irregular incomes, leading to sporadic contributions and moral hazard where individuals only register or contribute when they are already sick and need services," and " notably, income is not stable enough for most market</w:t>
      </w:r>
      <w:r w:rsidR="00531ADF" w:rsidRPr="007E5B05">
        <w:rPr>
          <w:rFonts w:ascii="Times New Roman" w:eastAsia="Times New Roman" w:hAnsi="Times New Roman" w:cs="Times New Roman"/>
          <w:i/>
          <w:iCs/>
        </w:rPr>
        <w:t>e</w:t>
      </w:r>
      <w:r w:rsidRPr="007E5B05">
        <w:rPr>
          <w:rFonts w:ascii="Times New Roman" w:eastAsia="Times New Roman" w:hAnsi="Times New Roman" w:cs="Times New Roman"/>
          <w:i/>
          <w:iCs/>
        </w:rPr>
        <w:t xml:space="preserve">ers." </w:t>
      </w:r>
      <w:r w:rsidR="00E26A11" w:rsidRPr="007E5B05">
        <w:rPr>
          <w:rFonts w:ascii="Times New Roman" w:eastAsia="Times New Roman" w:hAnsi="Times New Roman" w:cs="Times New Roman"/>
          <w:i/>
          <w:iCs/>
        </w:rPr>
        <w:t xml:space="preserve"> </w:t>
      </w:r>
      <w:r w:rsidR="00AA5F99" w:rsidRPr="007E5B05">
        <w:rPr>
          <w:rFonts w:ascii="Times New Roman" w:eastAsia="Times New Roman" w:hAnsi="Times New Roman" w:cs="Times New Roman"/>
          <w:i/>
          <w:iCs/>
        </w:rPr>
        <w:t>(NHIMA</w:t>
      </w:r>
      <w:r w:rsidR="00E26A11" w:rsidRPr="007E5B05">
        <w:rPr>
          <w:rFonts w:ascii="Times New Roman" w:eastAsia="Times New Roman" w:hAnsi="Times New Roman" w:cs="Times New Roman"/>
          <w:i/>
          <w:iCs/>
        </w:rPr>
        <w:t xml:space="preserve"> KII, May 2026)</w:t>
      </w:r>
    </w:p>
    <w:p w14:paraId="1AB4B38D" w14:textId="3555E225" w:rsidR="00AA5F99" w:rsidRPr="007E5B05" w:rsidRDefault="000736F6" w:rsidP="007E5B05">
      <w:pPr>
        <w:spacing w:before="240" w:line="360" w:lineRule="auto"/>
        <w:jc w:val="both"/>
        <w:rPr>
          <w:rFonts w:ascii="Times New Roman" w:hAnsi="Times New Roman" w:cs="Times New Roman"/>
          <w:i/>
        </w:rPr>
      </w:pPr>
      <w:r w:rsidRPr="007E5B05">
        <w:rPr>
          <w:rFonts w:ascii="Times New Roman" w:eastAsia="Times New Roman" w:hAnsi="Times New Roman" w:cs="Times New Roman"/>
          <w:i/>
          <w:iCs/>
        </w:rPr>
        <w:t xml:space="preserve">"Many informal workers find the premium rates, often a flat fee, prohibitively expensive due to their low and irregular incomes." </w:t>
      </w:r>
      <w:r w:rsidR="009B5572" w:rsidRPr="007E5B05">
        <w:rPr>
          <w:rFonts w:ascii="Times New Roman" w:hAnsi="Times New Roman" w:cs="Times New Roman"/>
          <w:i/>
        </w:rPr>
        <w:t xml:space="preserve"> (NHIMA KII, May 2026)</w:t>
      </w:r>
    </w:p>
    <w:p w14:paraId="63D49304" w14:textId="70C5EBC9" w:rsidR="00907231" w:rsidRPr="007E5B05" w:rsidRDefault="000736F6" w:rsidP="007E5B05">
      <w:pPr>
        <w:spacing w:before="240" w:line="360" w:lineRule="auto"/>
        <w:jc w:val="both"/>
        <w:rPr>
          <w:rFonts w:ascii="Times New Roman" w:eastAsia="Times New Roman" w:hAnsi="Times New Roman" w:cs="Times New Roman"/>
        </w:rPr>
      </w:pPr>
      <w:r w:rsidRPr="007E5B05">
        <w:rPr>
          <w:rFonts w:ascii="Times New Roman" w:eastAsia="Times New Roman" w:hAnsi="Times New Roman" w:cs="Times New Roman"/>
        </w:rPr>
        <w:t>These brief responses highlight the main structural barrier found in the study. Unlike formal employees with steady monthly salaries, marketeers' daily earnings vary due to factors such as sales, weather, market days, and seasonal demand.</w:t>
      </w:r>
    </w:p>
    <w:p w14:paraId="2087E923" w14:textId="6B3D9CBF" w:rsidR="001E7109" w:rsidRPr="007E5B05" w:rsidRDefault="002C6617" w:rsidP="007E5B05">
      <w:pPr>
        <w:spacing w:before="240" w:line="360" w:lineRule="auto"/>
        <w:jc w:val="both"/>
        <w:rPr>
          <w:rFonts w:ascii="Times New Roman" w:eastAsia="Times New Roman" w:hAnsi="Times New Roman" w:cs="Times New Roman"/>
          <w:b/>
        </w:rPr>
      </w:pPr>
      <w:r w:rsidRPr="007E5B05">
        <w:rPr>
          <w:rFonts w:ascii="Times New Roman" w:eastAsia="Times New Roman" w:hAnsi="Times New Roman" w:cs="Times New Roman"/>
          <w:b/>
        </w:rPr>
        <w:t xml:space="preserve">Registration, </w:t>
      </w:r>
      <w:r w:rsidR="001E7109" w:rsidRPr="007E5B05">
        <w:rPr>
          <w:rFonts w:ascii="Times New Roman" w:eastAsia="Times New Roman" w:hAnsi="Times New Roman" w:cs="Times New Roman"/>
          <w:b/>
        </w:rPr>
        <w:t>Lack of Information</w:t>
      </w:r>
      <w:r w:rsidR="00B33BA0" w:rsidRPr="007E5B05">
        <w:rPr>
          <w:rFonts w:ascii="Times New Roman" w:eastAsia="Times New Roman" w:hAnsi="Times New Roman" w:cs="Times New Roman"/>
          <w:b/>
        </w:rPr>
        <w:t>,</w:t>
      </w:r>
      <w:r w:rsidR="001E7109" w:rsidRPr="007E5B05">
        <w:rPr>
          <w:rFonts w:ascii="Times New Roman" w:eastAsia="Times New Roman" w:hAnsi="Times New Roman" w:cs="Times New Roman"/>
          <w:b/>
        </w:rPr>
        <w:t xml:space="preserve"> </w:t>
      </w:r>
      <w:r w:rsidRPr="007E5B05">
        <w:rPr>
          <w:rFonts w:ascii="Times New Roman" w:eastAsia="Times New Roman" w:hAnsi="Times New Roman" w:cs="Times New Roman"/>
          <w:b/>
        </w:rPr>
        <w:t>and Misconceptions</w:t>
      </w:r>
    </w:p>
    <w:p w14:paraId="2004FC0A" w14:textId="0F958BDC" w:rsidR="001E7109" w:rsidRPr="007E5B05" w:rsidRDefault="001E7109" w:rsidP="007E5B05">
      <w:pPr>
        <w:spacing w:before="240" w:line="360" w:lineRule="auto"/>
        <w:jc w:val="both"/>
        <w:rPr>
          <w:rFonts w:ascii="Times New Roman" w:eastAsia="Times New Roman" w:hAnsi="Times New Roman" w:cs="Times New Roman"/>
        </w:rPr>
      </w:pPr>
      <w:r w:rsidRPr="007E5B05">
        <w:rPr>
          <w:rFonts w:ascii="Times New Roman" w:eastAsia="Times New Roman" w:hAnsi="Times New Roman" w:cs="Times New Roman"/>
        </w:rPr>
        <w:t>Participants described mixed experiences with registration</w:t>
      </w:r>
      <w:r w:rsidR="002C6617" w:rsidRPr="007E5B05">
        <w:rPr>
          <w:rFonts w:ascii="Times New Roman" w:eastAsia="Times New Roman" w:hAnsi="Times New Roman" w:cs="Times New Roman"/>
        </w:rPr>
        <w:t xml:space="preserve">, </w:t>
      </w:r>
      <w:r w:rsidR="004E4CF0">
        <w:rPr>
          <w:rFonts w:ascii="Times New Roman" w:eastAsia="Times New Roman" w:hAnsi="Times New Roman" w:cs="Times New Roman"/>
        </w:rPr>
        <w:t xml:space="preserve">varying levels of </w:t>
      </w:r>
      <w:r w:rsidR="007178BD">
        <w:rPr>
          <w:rFonts w:ascii="Times New Roman" w:eastAsia="Times New Roman" w:hAnsi="Times New Roman" w:cs="Times New Roman"/>
        </w:rPr>
        <w:t>NHIMA knowledge</w:t>
      </w:r>
      <w:r w:rsidR="007A5C1B" w:rsidRPr="007E5B05">
        <w:rPr>
          <w:rFonts w:ascii="Times New Roman" w:eastAsia="Times New Roman" w:hAnsi="Times New Roman" w:cs="Times New Roman"/>
        </w:rPr>
        <w:t>, and misconceptions about it</w:t>
      </w:r>
      <w:r w:rsidR="008B6F8B" w:rsidRPr="007E5B05">
        <w:rPr>
          <w:rFonts w:ascii="Times New Roman" w:eastAsia="Times New Roman" w:hAnsi="Times New Roman" w:cs="Times New Roman"/>
        </w:rPr>
        <w:t>.</w:t>
      </w:r>
    </w:p>
    <w:p w14:paraId="7BF3B42D" w14:textId="0D98EA6E" w:rsidR="008C5A0A" w:rsidRPr="007E5B05" w:rsidRDefault="001E7109" w:rsidP="007E5B05">
      <w:pPr>
        <w:spacing w:before="240" w:line="360" w:lineRule="auto"/>
        <w:jc w:val="both"/>
        <w:rPr>
          <w:rFonts w:ascii="Times New Roman" w:eastAsia="Times New Roman" w:hAnsi="Times New Roman" w:cs="Times New Roman"/>
        </w:rPr>
      </w:pPr>
      <w:r w:rsidRPr="007E5B05">
        <w:rPr>
          <w:rFonts w:ascii="Times New Roman" w:eastAsia="Times New Roman" w:hAnsi="Times New Roman" w:cs="Times New Roman"/>
          <w:i/>
          <w:iCs/>
        </w:rPr>
        <w:t>"Registration is okay and good, though the officers from NHIMA only came here just once."</w:t>
      </w:r>
      <w:r w:rsidR="0022680E" w:rsidRPr="007E5B05">
        <w:rPr>
          <w:rFonts w:ascii="Times New Roman" w:hAnsi="Times New Roman" w:cs="Times New Roman"/>
          <w:lang w:val="en-GB"/>
        </w:rPr>
        <w:t xml:space="preserve"> (</w:t>
      </w:r>
      <w:r w:rsidR="0022680E" w:rsidRPr="007E5B05">
        <w:rPr>
          <w:rFonts w:ascii="Times New Roman" w:hAnsi="Times New Roman" w:cs="Times New Roman"/>
          <w:i/>
          <w:iCs/>
          <w:lang w:val="en-GB"/>
        </w:rPr>
        <w:t>FGD participant, Green Market, May 2026)</w:t>
      </w:r>
    </w:p>
    <w:p w14:paraId="730174F9" w14:textId="3E663C4D" w:rsidR="002C6617" w:rsidRPr="007E5B05" w:rsidRDefault="001E7109" w:rsidP="007E5B05">
      <w:pPr>
        <w:spacing w:before="240" w:line="360" w:lineRule="auto"/>
        <w:jc w:val="both"/>
        <w:rPr>
          <w:rFonts w:ascii="Times New Roman" w:eastAsia="Times New Roman" w:hAnsi="Times New Roman" w:cs="Times New Roman"/>
          <w:i/>
          <w:iCs/>
        </w:rPr>
      </w:pPr>
      <w:r w:rsidRPr="007E5B05">
        <w:rPr>
          <w:rFonts w:ascii="Times New Roman" w:eastAsia="Times New Roman" w:hAnsi="Times New Roman" w:cs="Times New Roman"/>
          <w:i/>
          <w:iCs/>
        </w:rPr>
        <w:t xml:space="preserve">"No proper information." </w:t>
      </w:r>
      <w:r w:rsidR="008D7A4A" w:rsidRPr="007E5B05">
        <w:rPr>
          <w:rFonts w:ascii="Times New Roman" w:eastAsia="Times New Roman" w:hAnsi="Times New Roman" w:cs="Times New Roman"/>
          <w:i/>
          <w:iCs/>
        </w:rPr>
        <w:t>(FGD participant, Railways Market, May 2026)</w:t>
      </w:r>
    </w:p>
    <w:p w14:paraId="37B880FC" w14:textId="7324349B" w:rsidR="002C6617" w:rsidRPr="007E5B05" w:rsidRDefault="001E7109" w:rsidP="007E5B05">
      <w:pPr>
        <w:spacing w:before="240" w:line="360" w:lineRule="auto"/>
        <w:jc w:val="both"/>
        <w:rPr>
          <w:rFonts w:ascii="Times New Roman" w:eastAsia="Times New Roman" w:hAnsi="Times New Roman" w:cs="Times New Roman"/>
          <w:i/>
          <w:iCs/>
        </w:rPr>
      </w:pPr>
      <w:r w:rsidRPr="007E5B05">
        <w:rPr>
          <w:rFonts w:ascii="Times New Roman" w:eastAsia="Times New Roman" w:hAnsi="Times New Roman" w:cs="Times New Roman"/>
          <w:i/>
          <w:iCs/>
        </w:rPr>
        <w:t xml:space="preserve">"A significant portion of informal workers are unaware of registration procedures or do not know where to obtain enrollment forms." </w:t>
      </w:r>
      <w:r w:rsidR="008C5A0A" w:rsidRPr="007E5B05">
        <w:rPr>
          <w:rFonts w:ascii="Times New Roman" w:hAnsi="Times New Roman" w:cs="Times New Roman"/>
          <w:lang w:val="en-GB"/>
        </w:rPr>
        <w:t>(</w:t>
      </w:r>
      <w:r w:rsidR="008C5A0A" w:rsidRPr="007E5B05">
        <w:rPr>
          <w:rFonts w:ascii="Times New Roman" w:hAnsi="Times New Roman" w:cs="Times New Roman"/>
          <w:i/>
          <w:iCs/>
          <w:lang w:val="en-GB"/>
        </w:rPr>
        <w:t>Market Chairman, Green Market, May 2026)</w:t>
      </w:r>
    </w:p>
    <w:p w14:paraId="375E933F" w14:textId="4F0307F5" w:rsidR="00803D9A" w:rsidRPr="007E5B05" w:rsidRDefault="001E7109" w:rsidP="007E5B05">
      <w:pPr>
        <w:spacing w:before="240" w:line="360" w:lineRule="auto"/>
        <w:jc w:val="both"/>
      </w:pPr>
      <w:r w:rsidRPr="007E5B05">
        <w:rPr>
          <w:rFonts w:ascii="Times New Roman" w:eastAsia="Times New Roman" w:hAnsi="Times New Roman" w:cs="Times New Roman"/>
          <w:i/>
          <w:iCs/>
        </w:rPr>
        <w:lastRenderedPageBreak/>
        <w:t>"Although only a small percentage of informal workers are registered, a large majority express willingness to join if affordability and information gaps are addressed."</w:t>
      </w:r>
      <w:r w:rsidR="008C5A0A" w:rsidRPr="007E5B05">
        <w:t xml:space="preserve"> </w:t>
      </w:r>
      <w:r w:rsidR="008C5A0A" w:rsidRPr="007E5B05">
        <w:rPr>
          <w:rFonts w:ascii="Times New Roman" w:eastAsia="Times New Roman" w:hAnsi="Times New Roman" w:cs="Times New Roman"/>
          <w:i/>
          <w:iCs/>
        </w:rPr>
        <w:t>(FGD participant, Green Market, May 2026)</w:t>
      </w:r>
      <w:r w:rsidR="00803D9A" w:rsidRPr="007E5B05">
        <w:t xml:space="preserve"> </w:t>
      </w:r>
    </w:p>
    <w:p w14:paraId="49539073" w14:textId="42552057" w:rsidR="005372B5" w:rsidRPr="007E5B05" w:rsidRDefault="00803D9A" w:rsidP="007E5B05">
      <w:pPr>
        <w:spacing w:before="240" w:line="360" w:lineRule="auto"/>
        <w:jc w:val="both"/>
        <w:rPr>
          <w:rFonts w:ascii="Times New Roman" w:eastAsia="Times New Roman" w:hAnsi="Times New Roman" w:cs="Times New Roman"/>
          <w:i/>
          <w:iCs/>
        </w:rPr>
      </w:pPr>
      <w:r w:rsidRPr="007E5B05">
        <w:rPr>
          <w:rFonts w:ascii="Times New Roman" w:eastAsia="Times New Roman" w:hAnsi="Times New Roman" w:cs="Times New Roman"/>
          <w:i/>
          <w:iCs/>
        </w:rPr>
        <w:t>"Many people think NHIMA is only for government workers."</w:t>
      </w:r>
      <w:r w:rsidR="008C5A0A" w:rsidRPr="007E5B05">
        <w:t xml:space="preserve"> </w:t>
      </w:r>
      <w:r w:rsidR="008C5A0A" w:rsidRPr="007E5B05">
        <w:rPr>
          <w:rFonts w:ascii="Times New Roman" w:eastAsia="Times New Roman" w:hAnsi="Times New Roman" w:cs="Times New Roman"/>
          <w:i/>
          <w:iCs/>
        </w:rPr>
        <w:t>(FGD participant, New Market, May 2026)</w:t>
      </w:r>
    </w:p>
    <w:p w14:paraId="263BF977" w14:textId="64B63E08" w:rsidR="005372B5" w:rsidRPr="007E5B05" w:rsidRDefault="001E7109" w:rsidP="007E5B05">
      <w:pPr>
        <w:spacing w:before="240" w:line="360" w:lineRule="auto"/>
        <w:jc w:val="both"/>
        <w:rPr>
          <w:rFonts w:ascii="Times New Roman" w:eastAsia="Times New Roman" w:hAnsi="Times New Roman" w:cs="Times New Roman"/>
        </w:rPr>
      </w:pPr>
      <w:r w:rsidRPr="007E5B05">
        <w:rPr>
          <w:rFonts w:ascii="Times New Roman" w:eastAsia="Times New Roman" w:hAnsi="Times New Roman" w:cs="Times New Roman"/>
        </w:rPr>
        <w:t xml:space="preserve">The registration process itself was described as acceptable, but the infrequent outreach and the lack of proper information </w:t>
      </w:r>
      <w:r w:rsidR="005D0ADD" w:rsidRPr="007E5B05">
        <w:rPr>
          <w:rFonts w:ascii="Times New Roman" w:eastAsia="Times New Roman" w:hAnsi="Times New Roman" w:cs="Times New Roman"/>
        </w:rPr>
        <w:t>pose barriers: NHIMA officers have visited the marketers only once since the scheme's inception, leaving them without</w:t>
      </w:r>
      <w:r w:rsidRPr="007E5B05">
        <w:rPr>
          <w:rFonts w:ascii="Times New Roman" w:eastAsia="Times New Roman" w:hAnsi="Times New Roman" w:cs="Times New Roman"/>
        </w:rPr>
        <w:t xml:space="preserve"> adequate and credible information to make informed decisions about joining the scheme.</w:t>
      </w:r>
    </w:p>
    <w:p w14:paraId="05D5D333" w14:textId="5BDF5232" w:rsidR="001E7109" w:rsidRPr="007E5B05" w:rsidRDefault="001E7109" w:rsidP="007E5B05">
      <w:pPr>
        <w:spacing w:before="240" w:line="360" w:lineRule="auto"/>
        <w:jc w:val="both"/>
        <w:rPr>
          <w:rFonts w:ascii="Times New Roman" w:hAnsi="Times New Roman" w:cs="Times New Roman"/>
          <w:b/>
          <w:bCs/>
        </w:rPr>
      </w:pPr>
      <w:r w:rsidRPr="007E5B05">
        <w:rPr>
          <w:rFonts w:ascii="Times New Roman" w:hAnsi="Times New Roman" w:cs="Times New Roman"/>
          <w:b/>
          <w:bCs/>
        </w:rPr>
        <w:t>Service Delivery</w:t>
      </w:r>
    </w:p>
    <w:p w14:paraId="516D505D" w14:textId="32212FFF" w:rsidR="001A7E75" w:rsidRPr="007E5B05" w:rsidRDefault="001E7109" w:rsidP="007E5B05">
      <w:pPr>
        <w:spacing w:before="240" w:line="360" w:lineRule="auto"/>
        <w:jc w:val="both"/>
        <w:rPr>
          <w:rFonts w:ascii="Times New Roman" w:eastAsia="Times New Roman" w:hAnsi="Times New Roman" w:cs="Times New Roman"/>
        </w:rPr>
      </w:pPr>
      <w:r w:rsidRPr="007E5B05">
        <w:rPr>
          <w:rFonts w:ascii="Times New Roman" w:eastAsia="Times New Roman" w:hAnsi="Times New Roman" w:cs="Times New Roman"/>
          <w:i/>
          <w:iCs/>
        </w:rPr>
        <w:t>“They should not give prescriptions, but give us medicines at the hospital</w:t>
      </w:r>
      <w:r w:rsidR="009F62A8" w:rsidRPr="007E5B05">
        <w:rPr>
          <w:rFonts w:ascii="Times New Roman" w:eastAsia="Times New Roman" w:hAnsi="Times New Roman" w:cs="Times New Roman"/>
          <w:i/>
          <w:iCs/>
        </w:rPr>
        <w:t>.</w:t>
      </w:r>
      <w:r w:rsidRPr="007E5B05">
        <w:rPr>
          <w:rFonts w:ascii="Times New Roman" w:eastAsia="Times New Roman" w:hAnsi="Times New Roman" w:cs="Times New Roman"/>
          <w:i/>
          <w:iCs/>
        </w:rPr>
        <w:t>”</w:t>
      </w:r>
      <w:r w:rsidR="009F62A8" w:rsidRPr="007E5B05">
        <w:t xml:space="preserve"> </w:t>
      </w:r>
      <w:r w:rsidR="009F62A8" w:rsidRPr="007E5B05">
        <w:rPr>
          <w:rFonts w:ascii="Times New Roman" w:eastAsia="Times New Roman" w:hAnsi="Times New Roman" w:cs="Times New Roman"/>
          <w:i/>
          <w:iCs/>
        </w:rPr>
        <w:t>(FGD participant, Green Market, May 2026)</w:t>
      </w:r>
    </w:p>
    <w:p w14:paraId="1051D985" w14:textId="0F81B5D0" w:rsidR="00751AB0" w:rsidRPr="007E5B05" w:rsidRDefault="00750504" w:rsidP="007E5B05">
      <w:pPr>
        <w:spacing w:before="240" w:line="360" w:lineRule="auto"/>
        <w:jc w:val="both"/>
        <w:rPr>
          <w:rFonts w:ascii="Times New Roman" w:hAnsi="Times New Roman" w:cs="Times New Roman"/>
          <w:i/>
          <w:iCs/>
        </w:rPr>
      </w:pPr>
      <w:r w:rsidRPr="007E5B05">
        <w:rPr>
          <w:rFonts w:ascii="Times New Roman" w:eastAsia="Times New Roman" w:hAnsi="Times New Roman" w:cs="Times New Roman"/>
        </w:rPr>
        <w:t xml:space="preserve"> “</w:t>
      </w:r>
      <w:r w:rsidRPr="007E5B05">
        <w:rPr>
          <w:rFonts w:ascii="Times New Roman" w:eastAsia="Times New Roman" w:hAnsi="Times New Roman" w:cs="Times New Roman"/>
          <w:i/>
          <w:iCs/>
        </w:rPr>
        <w:t xml:space="preserve">There is Low trust in the scheme, </w:t>
      </w:r>
      <w:r w:rsidRPr="007E5B05">
        <w:rPr>
          <w:rFonts w:ascii="Times New Roman" w:hAnsi="Times New Roman" w:cs="Times New Roman"/>
          <w:i/>
          <w:iCs/>
        </w:rPr>
        <w:t>beneficiaries often complain that despite paying premiums, they experience delays in accessing medication, or that accredited facilities lack essential medicines, causing them to still pay for drugs out-of-pocket</w:t>
      </w:r>
      <w:r w:rsidR="001A7E75" w:rsidRPr="007E5B05">
        <w:rPr>
          <w:rFonts w:ascii="Times New Roman" w:hAnsi="Times New Roman" w:cs="Times New Roman"/>
          <w:i/>
          <w:iCs/>
        </w:rPr>
        <w:t>,</w:t>
      </w:r>
      <w:r w:rsidRPr="007E5B05">
        <w:rPr>
          <w:rFonts w:ascii="Times New Roman" w:eastAsia="Times New Roman" w:hAnsi="Times New Roman" w:cs="Times New Roman"/>
          <w:i/>
          <w:iCs/>
        </w:rPr>
        <w:t xml:space="preserve"> which causes many to view it as a financial burden rather than a valuable service."</w:t>
      </w:r>
      <w:r w:rsidRPr="007E5B05">
        <w:rPr>
          <w:rFonts w:ascii="Times New Roman" w:eastAsia="Times New Roman" w:hAnsi="Times New Roman" w:cs="Times New Roman"/>
        </w:rPr>
        <w:t xml:space="preserve"> </w:t>
      </w:r>
      <w:r w:rsidR="00966315" w:rsidRPr="007E5B05">
        <w:rPr>
          <w:rFonts w:ascii="Times New Roman" w:hAnsi="Times New Roman" w:cs="Times New Roman"/>
          <w:i/>
          <w:iCs/>
        </w:rPr>
        <w:t>(KII,</w:t>
      </w:r>
      <w:r w:rsidR="001A7E75" w:rsidRPr="007E5B05">
        <w:rPr>
          <w:rFonts w:ascii="Times New Roman" w:hAnsi="Times New Roman" w:cs="Times New Roman"/>
          <w:i/>
          <w:iCs/>
        </w:rPr>
        <w:t xml:space="preserve"> May 2026)</w:t>
      </w:r>
    </w:p>
    <w:p w14:paraId="06A7D31E" w14:textId="4F6FAB34" w:rsidR="00750504" w:rsidRPr="007E5B05" w:rsidRDefault="002C6617" w:rsidP="007E5B05">
      <w:pPr>
        <w:spacing w:before="240" w:line="360" w:lineRule="auto"/>
        <w:jc w:val="both"/>
        <w:rPr>
          <w:rFonts w:ascii="Times New Roman" w:hAnsi="Times New Roman" w:cs="Times New Roman"/>
          <w:b/>
          <w:bCs/>
          <w:lang w:val="en-GB"/>
        </w:rPr>
      </w:pPr>
      <w:r w:rsidRPr="007E5B05">
        <w:rPr>
          <w:rFonts w:ascii="Times New Roman" w:hAnsi="Times New Roman" w:cs="Times New Roman"/>
          <w:b/>
          <w:bCs/>
          <w:lang w:val="en-GB"/>
        </w:rPr>
        <w:t xml:space="preserve">Administrative Barriers and Bureaucratic </w:t>
      </w:r>
      <w:r w:rsidR="009E3288" w:rsidRPr="007E5B05">
        <w:rPr>
          <w:rFonts w:ascii="Times New Roman" w:hAnsi="Times New Roman" w:cs="Times New Roman"/>
          <w:b/>
          <w:bCs/>
          <w:lang w:val="en-GB"/>
        </w:rPr>
        <w:t>Inefficiency</w:t>
      </w:r>
    </w:p>
    <w:p w14:paraId="68D81DD1" w14:textId="69CDC067" w:rsidR="00750504" w:rsidRPr="007E5B05" w:rsidRDefault="00750504" w:rsidP="007E5B05">
      <w:pPr>
        <w:spacing w:before="240" w:line="360" w:lineRule="auto"/>
        <w:jc w:val="both"/>
        <w:rPr>
          <w:rFonts w:ascii="Times New Roman" w:eastAsia="Times New Roman" w:hAnsi="Times New Roman" w:cs="Times New Roman"/>
          <w:i/>
          <w:iCs/>
        </w:rPr>
      </w:pPr>
      <w:r w:rsidRPr="007E5B05">
        <w:rPr>
          <w:rFonts w:ascii="Times New Roman" w:eastAsia="Times New Roman" w:hAnsi="Times New Roman" w:cs="Times New Roman"/>
          <w:i/>
          <w:iCs/>
        </w:rPr>
        <w:t>“They should improve the services and how they attend to people.”</w:t>
      </w:r>
      <w:r w:rsidR="004B4BAA" w:rsidRPr="007E5B05">
        <w:t xml:space="preserve"> </w:t>
      </w:r>
      <w:r w:rsidR="004B4BAA" w:rsidRPr="007E5B05">
        <w:rPr>
          <w:rFonts w:ascii="Times New Roman" w:eastAsia="Times New Roman" w:hAnsi="Times New Roman" w:cs="Times New Roman"/>
          <w:i/>
          <w:iCs/>
        </w:rPr>
        <w:t>(FGD participant, Railways Market, May 2026)</w:t>
      </w:r>
    </w:p>
    <w:p w14:paraId="257DD234" w14:textId="7E289E3D" w:rsidR="00750504" w:rsidRPr="007E5B05" w:rsidRDefault="00750504" w:rsidP="007E5B05">
      <w:pPr>
        <w:spacing w:before="240" w:line="360" w:lineRule="auto"/>
        <w:jc w:val="both"/>
        <w:rPr>
          <w:rFonts w:ascii="Times New Roman" w:eastAsia="Times New Roman" w:hAnsi="Times New Roman" w:cs="Times New Roman"/>
        </w:rPr>
      </w:pPr>
      <w:r w:rsidRPr="007E5B05">
        <w:rPr>
          <w:rFonts w:ascii="Times New Roman" w:eastAsia="Times New Roman" w:hAnsi="Times New Roman" w:cs="Times New Roman"/>
          <w:i/>
          <w:iCs/>
        </w:rPr>
        <w:t>"It takes time, it's a long process from NHIMA. (Many seconded)."</w:t>
      </w:r>
      <w:r w:rsidR="004B4BAA" w:rsidRPr="007E5B05">
        <w:t xml:space="preserve"> </w:t>
      </w:r>
      <w:r w:rsidR="004B4BAA" w:rsidRPr="007E5B05">
        <w:rPr>
          <w:rFonts w:ascii="Times New Roman" w:eastAsia="Times New Roman" w:hAnsi="Times New Roman" w:cs="Times New Roman"/>
          <w:i/>
          <w:iCs/>
        </w:rPr>
        <w:t>(FGD participant, Railway</w:t>
      </w:r>
      <w:r w:rsidR="00CB3FA0" w:rsidRPr="007E5B05">
        <w:rPr>
          <w:rFonts w:ascii="Times New Roman" w:eastAsia="Times New Roman" w:hAnsi="Times New Roman" w:cs="Times New Roman"/>
          <w:i/>
          <w:iCs/>
        </w:rPr>
        <w:t>s</w:t>
      </w:r>
      <w:r w:rsidR="004B4BAA" w:rsidRPr="007E5B05">
        <w:rPr>
          <w:rFonts w:ascii="Times New Roman" w:eastAsia="Times New Roman" w:hAnsi="Times New Roman" w:cs="Times New Roman"/>
          <w:i/>
          <w:iCs/>
        </w:rPr>
        <w:t xml:space="preserve"> Market, May 2026)</w:t>
      </w:r>
    </w:p>
    <w:p w14:paraId="11DBE9BE" w14:textId="5BF412C8" w:rsidR="003E4E9E" w:rsidRPr="007E5B05" w:rsidRDefault="00750504" w:rsidP="007E5B05">
      <w:pPr>
        <w:spacing w:before="240" w:line="360" w:lineRule="auto"/>
        <w:jc w:val="both"/>
        <w:rPr>
          <w:rFonts w:ascii="Times New Roman" w:hAnsi="Times New Roman" w:cs="Times New Roman"/>
          <w:i/>
          <w:iCs/>
        </w:rPr>
      </w:pPr>
      <w:r w:rsidRPr="007E5B05">
        <w:rPr>
          <w:rFonts w:ascii="Times New Roman" w:eastAsia="Times New Roman" w:hAnsi="Times New Roman" w:cs="Times New Roman"/>
          <w:i/>
          <w:iCs/>
        </w:rPr>
        <w:t>They don't handle us well in hospital offices</w:t>
      </w:r>
      <w:r w:rsidR="005A0B20" w:rsidRPr="007E5B05">
        <w:rPr>
          <w:rFonts w:ascii="Times New Roman" w:eastAsia="Times New Roman" w:hAnsi="Times New Roman" w:cs="Times New Roman"/>
          <w:i/>
          <w:iCs/>
        </w:rPr>
        <w:t>. They shout at us</w:t>
      </w:r>
      <w:r w:rsidRPr="007E5B05">
        <w:rPr>
          <w:rFonts w:ascii="Times New Roman" w:eastAsia="Times New Roman" w:hAnsi="Times New Roman" w:cs="Times New Roman"/>
          <w:i/>
          <w:iCs/>
        </w:rPr>
        <w:t>."</w:t>
      </w:r>
      <w:r w:rsidRPr="007E5B05">
        <w:rPr>
          <w:rFonts w:ascii="Times New Roman" w:hAnsi="Times New Roman" w:cs="Times New Roman"/>
          <w:i/>
          <w:iCs/>
        </w:rPr>
        <w:t xml:space="preserve"> </w:t>
      </w:r>
      <w:r w:rsidR="005A0B20" w:rsidRPr="007E5B05">
        <w:rPr>
          <w:rFonts w:ascii="Times New Roman" w:hAnsi="Times New Roman" w:cs="Times New Roman"/>
          <w:i/>
          <w:iCs/>
        </w:rPr>
        <w:t xml:space="preserve">(FGD participant, </w:t>
      </w:r>
      <w:r w:rsidR="00CB3FA0" w:rsidRPr="007E5B05">
        <w:rPr>
          <w:rFonts w:ascii="Times New Roman" w:hAnsi="Times New Roman" w:cs="Times New Roman"/>
          <w:i/>
          <w:iCs/>
        </w:rPr>
        <w:t>New</w:t>
      </w:r>
      <w:r w:rsidR="005A0B20" w:rsidRPr="007E5B05">
        <w:rPr>
          <w:rFonts w:ascii="Times New Roman" w:hAnsi="Times New Roman" w:cs="Times New Roman"/>
          <w:i/>
          <w:iCs/>
        </w:rPr>
        <w:t xml:space="preserve"> Market, May 2026)</w:t>
      </w:r>
    </w:p>
    <w:p w14:paraId="15F4C464" w14:textId="09158BC8" w:rsidR="006B2F8E" w:rsidRPr="007E5B05" w:rsidRDefault="003E4E9E" w:rsidP="007E5B05">
      <w:pPr>
        <w:spacing w:before="240" w:line="360" w:lineRule="auto"/>
        <w:jc w:val="both"/>
        <w:rPr>
          <w:rFonts w:ascii="Times New Roman" w:eastAsia="Times New Roman" w:hAnsi="Times New Roman" w:cs="Times New Roman"/>
          <w:i/>
          <w:iCs/>
        </w:rPr>
      </w:pPr>
      <w:r w:rsidRPr="007E5B05">
        <w:rPr>
          <w:rFonts w:ascii="Times New Roman" w:eastAsia="Times New Roman" w:hAnsi="Times New Roman" w:cs="Times New Roman"/>
          <w:i/>
          <w:iCs/>
        </w:rPr>
        <w:t>"A 2022 system upgrade caused significant backlogs, with over 21,000 registrations pending approval as of late 2024. In rural areas, lack of digital infrastructure, limited access to registration points, and low computer literacy hamper enrolment."</w:t>
      </w:r>
      <w:r w:rsidR="00C652D7" w:rsidRPr="007E5B05">
        <w:t xml:space="preserve"> </w:t>
      </w:r>
      <w:r w:rsidR="00C652D7" w:rsidRPr="007E5B05">
        <w:rPr>
          <w:rFonts w:ascii="Times New Roman" w:eastAsia="Times New Roman" w:hAnsi="Times New Roman" w:cs="Times New Roman"/>
          <w:i/>
          <w:iCs/>
        </w:rPr>
        <w:t>(KII, May 2026)</w:t>
      </w:r>
    </w:p>
    <w:p w14:paraId="6683C776" w14:textId="104005F4" w:rsidR="004161BF" w:rsidRPr="00BA1D15" w:rsidRDefault="00802DE5" w:rsidP="00BA1D15">
      <w:pPr>
        <w:spacing w:before="240" w:line="360" w:lineRule="auto"/>
        <w:jc w:val="both"/>
        <w:rPr>
          <w:rFonts w:ascii="Times New Roman" w:eastAsia="Times New Roman" w:hAnsi="Times New Roman" w:cs="Times New Roman"/>
          <w:i/>
          <w:iCs/>
        </w:rPr>
      </w:pPr>
      <w:r w:rsidRPr="007E5B05">
        <w:rPr>
          <w:rFonts w:ascii="Times New Roman" w:eastAsia="Times New Roman" w:hAnsi="Times New Roman" w:cs="Times New Roman"/>
        </w:rPr>
        <w:lastRenderedPageBreak/>
        <w:t xml:space="preserve">The study found that there were various challenges that influenced marketeer’s participation in NHIMA. Main challenges include unpredictable </w:t>
      </w:r>
      <w:r w:rsidR="007146FA" w:rsidRPr="007E5B05">
        <w:rPr>
          <w:rFonts w:ascii="Times New Roman" w:eastAsia="Times New Roman" w:hAnsi="Times New Roman" w:cs="Times New Roman"/>
        </w:rPr>
        <w:t>income, inability to pay monthly contributions, poor understanding of how to register, perception that NHIMA processes are complicated, lack of trust in government agencies, limited information about NHIMA's advantages, a lengthy registration process, and concerns about</w:t>
      </w:r>
      <w:r w:rsidRPr="007E5B05">
        <w:rPr>
          <w:rFonts w:ascii="Times New Roman" w:eastAsia="Times New Roman" w:hAnsi="Times New Roman" w:cs="Times New Roman"/>
        </w:rPr>
        <w:t xml:space="preserve"> the quality of care in accredited health facilities</w:t>
      </w:r>
      <w:r w:rsidRPr="007E5B05">
        <w:rPr>
          <w:rFonts w:ascii="Times New Roman" w:eastAsia="Times New Roman" w:hAnsi="Times New Roman" w:cs="Times New Roman"/>
          <w:i/>
          <w:iCs/>
        </w:rPr>
        <w:t>.</w:t>
      </w:r>
    </w:p>
    <w:bookmarkEnd w:id="2"/>
    <w:bookmarkEnd w:id="3"/>
    <w:p w14:paraId="2E886D97" w14:textId="55A72A0C" w:rsidR="001E02F6" w:rsidRPr="00BA1D15" w:rsidRDefault="00C26AA0" w:rsidP="001639EE">
      <w:pPr>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t>5</w:t>
      </w:r>
      <w:r w:rsidR="00D24829" w:rsidRPr="00BA1D15">
        <w:rPr>
          <w:rFonts w:ascii="Times New Roman" w:eastAsia="Times New Roman" w:hAnsi="Times New Roman" w:cs="Times New Roman"/>
          <w:b/>
          <w:bCs/>
        </w:rPr>
        <w:t xml:space="preserve">.0 Discussion </w:t>
      </w:r>
    </w:p>
    <w:p w14:paraId="726B2FE9" w14:textId="5B8696DF" w:rsidR="00B76272" w:rsidRPr="00341265" w:rsidRDefault="00EE45AF" w:rsidP="00341265">
      <w:pPr>
        <w:spacing w:line="360" w:lineRule="auto"/>
        <w:jc w:val="both"/>
        <w:rPr>
          <w:rFonts w:ascii="Times New Roman" w:eastAsia="Times New Roman" w:hAnsi="Times New Roman" w:cs="Times New Roman"/>
        </w:rPr>
      </w:pPr>
      <w:r w:rsidRPr="00BA1D15">
        <w:rPr>
          <w:rFonts w:ascii="Times New Roman" w:eastAsia="Times New Roman" w:hAnsi="Times New Roman" w:cs="Times New Roman"/>
        </w:rPr>
        <w:t>This chapter is thematically aligned to discuss results on the challenges hindering marketeer participation. The discussion integrates quantitative survey findings with qualitative insights from Focus Group Discussions and Key Informant Interviews. These</w:t>
      </w:r>
      <w:r w:rsidR="001E02F6" w:rsidRPr="00BA1D15">
        <w:rPr>
          <w:rFonts w:ascii="Times New Roman" w:eastAsia="Times New Roman" w:hAnsi="Times New Roman" w:cs="Times New Roman"/>
        </w:rPr>
        <w:t xml:space="preserve"> results confirm previous research conducted in Ghana, Kenya, and Rwanda on national health insurance enrollment being affected not only by the ability to pay. In line with the Health Belief Model, the perception of barriers, such as the cost and bureaucracy associated with it, reduced the likelihood of enrollment. Similarly, Andersen's Behavioral Model sheds light on enabling factors.</w:t>
      </w:r>
    </w:p>
    <w:p w14:paraId="09E931E8" w14:textId="60473FBB" w:rsidR="004F2344" w:rsidRPr="00341265" w:rsidRDefault="00B76272" w:rsidP="00F96C9D">
      <w:pPr>
        <w:spacing w:line="360" w:lineRule="auto"/>
        <w:jc w:val="both"/>
        <w:rPr>
          <w:rFonts w:ascii="Times New Roman" w:hAnsi="Times New Roman" w:cs="Times New Roman"/>
          <w:b/>
          <w:bCs/>
        </w:rPr>
      </w:pPr>
      <w:r w:rsidRPr="00BA1D15">
        <w:rPr>
          <w:rFonts w:ascii="Times New Roman" w:hAnsi="Times New Roman" w:cs="Times New Roman"/>
          <w:b/>
          <w:bCs/>
        </w:rPr>
        <w:t>Demographic Factors and their Effect on the Participation of marketeers in NHIMA</w:t>
      </w:r>
    </w:p>
    <w:p w14:paraId="0278C93A" w14:textId="2DA34D7D" w:rsidR="00D803C8" w:rsidRPr="00662DF9" w:rsidRDefault="00B76272" w:rsidP="00F96C9D">
      <w:pPr>
        <w:spacing w:line="360" w:lineRule="auto"/>
        <w:jc w:val="both"/>
        <w:rPr>
          <w:rFonts w:ascii="Times New Roman" w:eastAsia="Times New Roman" w:hAnsi="Times New Roman" w:cs="Times New Roman"/>
          <w:b/>
          <w:bCs/>
        </w:rPr>
      </w:pPr>
      <w:r w:rsidRPr="00BA1D15">
        <w:rPr>
          <w:rFonts w:ascii="Times New Roman" w:hAnsi="Times New Roman" w:cs="Times New Roman"/>
        </w:rPr>
        <w:t>The demographic analysis of the study highlighted distinct patterns in gender distribution, age distribution, educational attainment, monthly income, and awareness among the participants.</w:t>
      </w:r>
    </w:p>
    <w:p w14:paraId="7BDAD599" w14:textId="69B2BA20" w:rsidR="00D803C8" w:rsidRPr="00BA1D15" w:rsidRDefault="002A451C" w:rsidP="002B0D14">
      <w:pPr>
        <w:spacing w:after="0" w:line="360" w:lineRule="auto"/>
        <w:jc w:val="both"/>
        <w:rPr>
          <w:rFonts w:ascii="Times New Roman" w:eastAsia="Times New Roman" w:hAnsi="Times New Roman" w:cs="Times New Roman"/>
        </w:rPr>
      </w:pPr>
      <w:r w:rsidRPr="00BA1D15">
        <w:rPr>
          <w:rFonts w:ascii="Times New Roman" w:eastAsia="Times New Roman" w:hAnsi="Times New Roman" w:cs="Times New Roman"/>
        </w:rPr>
        <w:t xml:space="preserve">The gender distribution table showed </w:t>
      </w:r>
      <w:r w:rsidR="00637335" w:rsidRPr="00BA1D15">
        <w:rPr>
          <w:rFonts w:ascii="Times New Roman" w:eastAsia="Times New Roman" w:hAnsi="Times New Roman" w:cs="Times New Roman"/>
        </w:rPr>
        <w:t xml:space="preserve">a higher representation of women </w:t>
      </w:r>
      <w:r w:rsidR="00655608" w:rsidRPr="00BA1D15">
        <w:rPr>
          <w:rFonts w:ascii="Times New Roman" w:eastAsia="Times New Roman" w:hAnsi="Times New Roman" w:cs="Times New Roman"/>
        </w:rPr>
        <w:t>(53</w:t>
      </w:r>
      <w:r w:rsidR="00290C4E" w:rsidRPr="00BA1D15">
        <w:rPr>
          <w:rFonts w:ascii="Times New Roman" w:eastAsia="Times New Roman" w:hAnsi="Times New Roman" w:cs="Times New Roman"/>
        </w:rPr>
        <w:t>%) than</w:t>
      </w:r>
      <w:r w:rsidR="00655608" w:rsidRPr="00BA1D15">
        <w:rPr>
          <w:rFonts w:ascii="Times New Roman" w:eastAsia="Times New Roman" w:hAnsi="Times New Roman" w:cs="Times New Roman"/>
        </w:rPr>
        <w:t xml:space="preserve"> men (47%)</w:t>
      </w:r>
      <w:r w:rsidRPr="00BA1D15">
        <w:rPr>
          <w:rFonts w:ascii="Times New Roman" w:eastAsia="Times New Roman" w:hAnsi="Times New Roman" w:cs="Times New Roman"/>
        </w:rPr>
        <w:t>.</w:t>
      </w:r>
      <w:r w:rsidR="00E27024" w:rsidRPr="00BA1D15">
        <w:rPr>
          <w:rFonts w:ascii="Times New Roman" w:hAnsi="Times New Roman" w:cs="Times New Roman"/>
        </w:rPr>
        <w:t xml:space="preserve"> </w:t>
      </w:r>
      <w:r w:rsidR="00E27024" w:rsidRPr="00BA1D15">
        <w:rPr>
          <w:rFonts w:ascii="Times New Roman" w:eastAsia="Times New Roman" w:hAnsi="Times New Roman" w:cs="Times New Roman"/>
        </w:rPr>
        <w:t>This gender distribution reflects the demographic reality of informal trading in Kabwe District, where women predominantly engage in marketeering activities.</w:t>
      </w:r>
      <w:r w:rsidR="00637335" w:rsidRPr="00BA1D15">
        <w:rPr>
          <w:rFonts w:ascii="Times New Roman" w:hAnsi="Times New Roman" w:cs="Times New Roman"/>
        </w:rPr>
        <w:t xml:space="preserve"> </w:t>
      </w:r>
      <w:r w:rsidR="00637335" w:rsidRPr="00BA1D15">
        <w:rPr>
          <w:rFonts w:ascii="Times New Roman" w:eastAsia="Times New Roman" w:hAnsi="Times New Roman" w:cs="Times New Roman"/>
        </w:rPr>
        <w:t>The majority of female marketeers are more likely to understand attitudes towards NHIMA, as women often have greater healthcare utilization needs, related to maternal and child health services. This gender composition may influence uptake of the insurance scheme.</w:t>
      </w:r>
    </w:p>
    <w:p w14:paraId="48AC078E" w14:textId="3D05C5E4" w:rsidR="00BA1D15" w:rsidRPr="00BA1D15" w:rsidRDefault="002A451C" w:rsidP="002B0D14">
      <w:pPr>
        <w:spacing w:before="240" w:after="0" w:line="360" w:lineRule="auto"/>
        <w:jc w:val="both"/>
        <w:rPr>
          <w:rFonts w:ascii="Times New Roman" w:eastAsia="Times New Roman" w:hAnsi="Times New Roman" w:cs="Times New Roman"/>
        </w:rPr>
      </w:pPr>
      <w:r w:rsidRPr="00BA1D15">
        <w:rPr>
          <w:rFonts w:ascii="Times New Roman" w:eastAsia="Times New Roman" w:hAnsi="Times New Roman" w:cs="Times New Roman"/>
        </w:rPr>
        <w:t xml:space="preserve">The age group revealed that the largest age group among respondents was the age </w:t>
      </w:r>
      <w:r w:rsidR="00DF48AE" w:rsidRPr="00BA1D15">
        <w:rPr>
          <w:rFonts w:ascii="Times New Roman" w:eastAsia="Times New Roman" w:hAnsi="Times New Roman" w:cs="Times New Roman"/>
        </w:rPr>
        <w:t xml:space="preserve">group </w:t>
      </w:r>
      <w:r w:rsidRPr="00BA1D15">
        <w:rPr>
          <w:rFonts w:ascii="Times New Roman" w:eastAsia="Times New Roman" w:hAnsi="Times New Roman" w:cs="Times New Roman"/>
        </w:rPr>
        <w:t>36-45 years, accounting for (n=58) of the sample. This was followed by the 26-35 years age group (n=43), and the 46–55 years age group (n=29). The 18–25 years age group constituted (n=17), while the smallest proportion was the 55 years and above age group at (n=12).</w:t>
      </w:r>
      <w:r w:rsidR="002A15F0" w:rsidRPr="00BA1D15">
        <w:rPr>
          <w:rFonts w:ascii="Times New Roman" w:hAnsi="Times New Roman" w:cs="Times New Roman"/>
        </w:rPr>
        <w:t xml:space="preserve"> </w:t>
      </w:r>
      <w:r w:rsidR="002A15F0" w:rsidRPr="00BA1D15">
        <w:rPr>
          <w:rFonts w:ascii="Times New Roman" w:eastAsia="Times New Roman" w:hAnsi="Times New Roman" w:cs="Times New Roman"/>
        </w:rPr>
        <w:t>The findings indicate that the majority of marketeers in Kabwe District are within the economically active age range of 26 to 55 years (cumulatively 81.76%).</w:t>
      </w:r>
      <w:r w:rsidR="00DF48AE" w:rsidRPr="00BA1D15">
        <w:rPr>
          <w:rFonts w:ascii="Times New Roman" w:eastAsia="Times New Roman" w:hAnsi="Times New Roman" w:cs="Times New Roman"/>
        </w:rPr>
        <w:t xml:space="preserve"> This</w:t>
      </w:r>
      <w:r w:rsidR="00290C4E" w:rsidRPr="00BA1D15">
        <w:rPr>
          <w:rFonts w:ascii="Times New Roman" w:eastAsia="Times New Roman" w:hAnsi="Times New Roman" w:cs="Times New Roman"/>
        </w:rPr>
        <w:t xml:space="preserve"> age distribution is significant for understanding attitudes towards NHIMA, as individuals in this age bracket are more likely to </w:t>
      </w:r>
      <w:r w:rsidR="00290C4E" w:rsidRPr="00BA1D15">
        <w:rPr>
          <w:rFonts w:ascii="Times New Roman" w:eastAsia="Times New Roman" w:hAnsi="Times New Roman" w:cs="Times New Roman"/>
        </w:rPr>
        <w:lastRenderedPageBreak/>
        <w:t xml:space="preserve">have dependent children and greater healthcare needs, </w:t>
      </w:r>
      <w:r w:rsidR="00DF48AE" w:rsidRPr="00BA1D15">
        <w:rPr>
          <w:rFonts w:ascii="Times New Roman" w:eastAsia="Times New Roman" w:hAnsi="Times New Roman" w:cs="Times New Roman"/>
        </w:rPr>
        <w:t xml:space="preserve">and </w:t>
      </w:r>
      <w:r w:rsidR="00290C4E" w:rsidRPr="00BA1D15">
        <w:rPr>
          <w:rFonts w:ascii="Times New Roman" w:eastAsia="Times New Roman" w:hAnsi="Times New Roman" w:cs="Times New Roman"/>
        </w:rPr>
        <w:t>may also face competing financial priorities.</w:t>
      </w:r>
    </w:p>
    <w:p w14:paraId="2B947FAE" w14:textId="73E47834" w:rsidR="003419ED" w:rsidRPr="00BA1D15" w:rsidRDefault="007C00FF" w:rsidP="00BA1D15">
      <w:pPr>
        <w:spacing w:before="240" w:line="360" w:lineRule="auto"/>
        <w:jc w:val="both"/>
        <w:rPr>
          <w:rFonts w:ascii="Times New Roman" w:eastAsia="Times New Roman" w:hAnsi="Times New Roman" w:cs="Times New Roman"/>
        </w:rPr>
      </w:pPr>
      <w:r w:rsidRPr="00BA1D15">
        <w:rPr>
          <w:rFonts w:ascii="Times New Roman" w:eastAsia="Times New Roman" w:hAnsi="Times New Roman" w:cs="Times New Roman"/>
        </w:rPr>
        <w:t>Regarding educational attainment, the majority of respondents (50%; n = 79) had</w:t>
      </w:r>
      <w:r w:rsidR="0054459F" w:rsidRPr="00BA1D15">
        <w:rPr>
          <w:rFonts w:ascii="Times New Roman" w:eastAsia="Times New Roman" w:hAnsi="Times New Roman" w:cs="Times New Roman"/>
        </w:rPr>
        <w:t xml:space="preserve"> primary education. This was followed by an unattained education level, representing 30% (n = 47). Respondents with secondary education constituted 18% (n = 29), and only a very small proportion had attained tertiary education.</w:t>
      </w:r>
      <w:r w:rsidR="00ED37F0" w:rsidRPr="00BA1D15">
        <w:rPr>
          <w:rFonts w:ascii="Times New Roman" w:eastAsia="Times New Roman" w:hAnsi="Times New Roman" w:cs="Times New Roman"/>
        </w:rPr>
        <w:t xml:space="preserve"> </w:t>
      </w:r>
      <w:r w:rsidR="002F0527" w:rsidRPr="00BA1D15">
        <w:rPr>
          <w:rFonts w:ascii="Times New Roman" w:eastAsia="Times New Roman" w:hAnsi="Times New Roman" w:cs="Times New Roman"/>
        </w:rPr>
        <w:t>The low educational attainment among respondents (80% had no formal education or only primary schooling) further compounds awareness challenges. Krüger and Doh (2021) argued that individuals with limited literacy struggle to understand written information materials and abstract insurance concepts such as risk pooling. The implication for NHIMA is that awareness campaigns must move beyond mass-media announcements to provide repeated, face-to-face, vernacular communication tailored to low-literacy audiences, as recommended by the World Bank's Universal Health Coverage communication guidelines (World Bank, 2021).</w:t>
      </w:r>
    </w:p>
    <w:p w14:paraId="535D46CD" w14:textId="4E0602A7" w:rsidR="00BE6797" w:rsidRPr="00BA1D15" w:rsidRDefault="00BE6797" w:rsidP="00BA1D15">
      <w:pPr>
        <w:spacing w:line="360" w:lineRule="auto"/>
        <w:jc w:val="both"/>
        <w:rPr>
          <w:rFonts w:ascii="Times New Roman" w:eastAsia="Times New Roman" w:hAnsi="Times New Roman" w:cs="Times New Roman"/>
        </w:rPr>
      </w:pPr>
      <w:r w:rsidRPr="00BA1D15">
        <w:rPr>
          <w:rFonts w:ascii="Times New Roman" w:eastAsia="Times New Roman" w:hAnsi="Times New Roman" w:cs="Times New Roman"/>
        </w:rPr>
        <w:t>The income distribution data (Table 4) showed that the largest proportion of respondents (37%, n=58) reported a monthly income of less than 1,000 ZMW; 25% (n=40) for those in the 1,000-2,500 category, 24% (n=38). For those in the 2,501-5,000 ZMW range. Those earning above ZMW 5,000 constituted 14% (n = 23). For this lowest-income group, the monthly contribution of approximately 40 ZMW (as mentioned in FGDs) represents 4% or more of monthly income, which exceeds the World Health Organization's recommended threshold of 3% of household income for catastrophic health expenditure protection (WHO, 2021).</w:t>
      </w:r>
    </w:p>
    <w:p w14:paraId="04544579" w14:textId="47798496" w:rsidR="00ED37F0" w:rsidRDefault="00BE6797" w:rsidP="00BA1D15">
      <w:pPr>
        <w:spacing w:line="360" w:lineRule="auto"/>
        <w:jc w:val="both"/>
        <w:rPr>
          <w:rFonts w:ascii="Times New Roman" w:eastAsia="Times New Roman" w:hAnsi="Times New Roman" w:cs="Times New Roman"/>
        </w:rPr>
      </w:pPr>
      <w:r w:rsidRPr="00BA1D15">
        <w:rPr>
          <w:rFonts w:ascii="Times New Roman" w:eastAsia="Times New Roman" w:hAnsi="Times New Roman" w:cs="Times New Roman"/>
        </w:rPr>
        <w:t xml:space="preserve">As McIntyre et al. (2019) argued in their analysis of health financing in Africa, willingness to pay for health insurance is fundamentally a function of perceived value for money rather than absolute cost. When service quality is poor, even small contributions feel burdensome. Marketeers with irregular incomes may find it difficult to maintain regular contributions despite recognizing the </w:t>
      </w:r>
      <w:r w:rsidR="00AF7A09" w:rsidRPr="00BA1D15">
        <w:rPr>
          <w:rFonts w:ascii="Times New Roman" w:eastAsia="Times New Roman" w:hAnsi="Times New Roman" w:cs="Times New Roman"/>
        </w:rPr>
        <w:t>scheme's potential benefits</w:t>
      </w:r>
      <w:r w:rsidRPr="00BA1D15">
        <w:rPr>
          <w:rFonts w:ascii="Times New Roman" w:eastAsia="Times New Roman" w:hAnsi="Times New Roman" w:cs="Times New Roman"/>
        </w:rPr>
        <w:t>. The</w:t>
      </w:r>
      <w:r w:rsidR="00236D9D" w:rsidRPr="00BA1D15">
        <w:rPr>
          <w:rFonts w:ascii="Times New Roman" w:eastAsia="Times New Roman" w:hAnsi="Times New Roman" w:cs="Times New Roman"/>
        </w:rPr>
        <w:t xml:space="preserve"> findings indicate that the majority of marketeers in Kabwe District (25%) earn 2,500 ZMW or less per month, with over a third (37%) earning below 1,000 ZMW. This low-income profile is consistent with the nature of informal sector work, which is often characterized by irregular earnings and limited financial buffers.</w:t>
      </w:r>
    </w:p>
    <w:p w14:paraId="6ACC1583" w14:textId="77777777" w:rsidR="00976C2B" w:rsidRDefault="00976C2B" w:rsidP="00BA1D15">
      <w:pPr>
        <w:spacing w:line="360" w:lineRule="auto"/>
        <w:jc w:val="both"/>
        <w:rPr>
          <w:rFonts w:ascii="Times New Roman" w:eastAsia="Times New Roman" w:hAnsi="Times New Roman" w:cs="Times New Roman"/>
        </w:rPr>
      </w:pPr>
    </w:p>
    <w:p w14:paraId="7DF9DF74" w14:textId="77777777" w:rsidR="00976C2B" w:rsidRPr="00BA1D15" w:rsidRDefault="00976C2B" w:rsidP="00BA1D15">
      <w:pPr>
        <w:spacing w:line="360" w:lineRule="auto"/>
        <w:jc w:val="both"/>
        <w:rPr>
          <w:rFonts w:ascii="Times New Roman" w:eastAsia="Times New Roman" w:hAnsi="Times New Roman" w:cs="Times New Roman"/>
        </w:rPr>
      </w:pPr>
    </w:p>
    <w:p w14:paraId="2440CD44" w14:textId="1AD72090" w:rsidR="0024112E" w:rsidRPr="00BA1D15" w:rsidRDefault="0024112E" w:rsidP="00BA1D15">
      <w:pPr>
        <w:spacing w:line="360" w:lineRule="auto"/>
        <w:jc w:val="both"/>
        <w:rPr>
          <w:rFonts w:ascii="Times New Roman" w:eastAsia="Times New Roman" w:hAnsi="Times New Roman" w:cs="Times New Roman"/>
          <w:b/>
          <w:bCs/>
        </w:rPr>
      </w:pPr>
      <w:r w:rsidRPr="00BA1D15">
        <w:rPr>
          <w:rFonts w:ascii="Times New Roman" w:eastAsia="Times New Roman" w:hAnsi="Times New Roman" w:cs="Times New Roman"/>
          <w:b/>
          <w:bCs/>
        </w:rPr>
        <w:lastRenderedPageBreak/>
        <w:t>Determinants of Participation in NHIMA among marketeers</w:t>
      </w:r>
    </w:p>
    <w:p w14:paraId="0014D6ED" w14:textId="2130169D" w:rsidR="00C22504" w:rsidRPr="00BA1D15" w:rsidRDefault="000B71E4" w:rsidP="00BA1D15">
      <w:pPr>
        <w:spacing w:line="360" w:lineRule="auto"/>
        <w:jc w:val="both"/>
        <w:rPr>
          <w:rFonts w:ascii="Times New Roman" w:eastAsia="Times New Roman" w:hAnsi="Times New Roman" w:cs="Times New Roman"/>
        </w:rPr>
      </w:pPr>
      <w:r w:rsidRPr="00BA1D15">
        <w:rPr>
          <w:rFonts w:ascii="Times New Roman" w:eastAsia="Times New Roman" w:hAnsi="Times New Roman" w:cs="Times New Roman"/>
        </w:rPr>
        <w:t xml:space="preserve">The study found that 131 out of 159 respondents </w:t>
      </w:r>
      <w:r w:rsidR="004F103A" w:rsidRPr="00BA1D15">
        <w:rPr>
          <w:rFonts w:ascii="Times New Roman" w:eastAsia="Times New Roman" w:hAnsi="Times New Roman" w:cs="Times New Roman"/>
        </w:rPr>
        <w:t>(82%; n=131) were aware of NHIMA, indicating that a majority of marketers have heard of the scheme, while</w:t>
      </w:r>
      <w:r w:rsidRPr="00BA1D15">
        <w:rPr>
          <w:rFonts w:ascii="Times New Roman" w:eastAsia="Times New Roman" w:hAnsi="Times New Roman" w:cs="Times New Roman"/>
        </w:rPr>
        <w:t xml:space="preserve"> 18% (n=28) remain unaware. However, qualitative data from Focus Group Discussions (FGDs) revealed that NHIMA officers' awareness efforts were limited</w:t>
      </w:r>
      <w:r w:rsidR="004F103A" w:rsidRPr="00BA1D15">
        <w:rPr>
          <w:rFonts w:ascii="Times New Roman" w:eastAsia="Times New Roman" w:hAnsi="Times New Roman" w:cs="Times New Roman"/>
        </w:rPr>
        <w:t>: only one awareness meeting had been held since NHIMA's inception, and it</w:t>
      </w:r>
      <w:r w:rsidRPr="00BA1D15">
        <w:rPr>
          <w:rFonts w:ascii="Times New Roman" w:eastAsia="Times New Roman" w:hAnsi="Times New Roman" w:cs="Times New Roman"/>
        </w:rPr>
        <w:t xml:space="preserve"> was described as “not detailed.” Key informants further confirmed that “awareness exists but is not profound” and that “many informal workers do not understand the eligibility criteria and full range of benefits.” These findings suggest that while passive awareness (having heard of NHIMA) is relatively common, active knowledge (understanding eligibility, benefits, and procedures) is low among marketeers.</w:t>
      </w:r>
    </w:p>
    <w:p w14:paraId="7EBDEFD8" w14:textId="7F3DE2F7" w:rsidR="0024112E" w:rsidRPr="00BA1D15" w:rsidRDefault="0024112E" w:rsidP="00BA1D15">
      <w:pPr>
        <w:spacing w:line="360" w:lineRule="auto"/>
        <w:jc w:val="both"/>
        <w:rPr>
          <w:rFonts w:ascii="Times New Roman" w:eastAsia="Times New Roman" w:hAnsi="Times New Roman" w:cs="Times New Roman"/>
        </w:rPr>
      </w:pPr>
      <w:r w:rsidRPr="00BA1D15">
        <w:rPr>
          <w:rFonts w:ascii="Times New Roman" w:eastAsia="Times New Roman" w:hAnsi="Times New Roman" w:cs="Times New Roman"/>
        </w:rPr>
        <w:t xml:space="preserve">To investigate whether the participants have favorable attitudes towards NHIMA, the respondents were asked to indicate their level of agreement with the statement: "I am willing to register for NHIMA. "Responses were measured on a 5-point Likert scale. Table 6 presents the distribution of responses. </w:t>
      </w:r>
      <w:r w:rsidR="00637621" w:rsidRPr="00BA1D15">
        <w:rPr>
          <w:rFonts w:ascii="Times New Roman" w:eastAsia="Times New Roman" w:hAnsi="Times New Roman" w:cs="Times New Roman"/>
        </w:rPr>
        <w:t>T</w:t>
      </w:r>
      <w:r w:rsidRPr="00BA1D15">
        <w:rPr>
          <w:rFonts w:ascii="Times New Roman" w:eastAsia="Times New Roman" w:hAnsi="Times New Roman" w:cs="Times New Roman"/>
        </w:rPr>
        <w:t>he findings indicated that a substantial majority of respondents</w:t>
      </w:r>
      <w:r w:rsidR="00637621" w:rsidRPr="00BA1D15">
        <w:rPr>
          <w:rFonts w:ascii="Times New Roman" w:eastAsia="Times New Roman" w:hAnsi="Times New Roman" w:cs="Times New Roman"/>
        </w:rPr>
        <w:t xml:space="preserve"> (72%; n=115)</w:t>
      </w:r>
      <w:r w:rsidRPr="00BA1D15">
        <w:rPr>
          <w:rFonts w:ascii="Times New Roman" w:eastAsia="Times New Roman" w:hAnsi="Times New Roman" w:cs="Times New Roman"/>
        </w:rPr>
        <w:t xml:space="preserve"> either </w:t>
      </w:r>
      <w:r w:rsidR="00637621" w:rsidRPr="00BA1D15">
        <w:rPr>
          <w:rFonts w:ascii="Times New Roman" w:eastAsia="Times New Roman" w:hAnsi="Times New Roman" w:cs="Times New Roman"/>
        </w:rPr>
        <w:t>a</w:t>
      </w:r>
      <w:r w:rsidRPr="00BA1D15">
        <w:rPr>
          <w:rFonts w:ascii="Times New Roman" w:eastAsia="Times New Roman" w:hAnsi="Times New Roman" w:cs="Times New Roman"/>
        </w:rPr>
        <w:t xml:space="preserve">greed or </w:t>
      </w:r>
      <w:r w:rsidR="00637621" w:rsidRPr="00BA1D15">
        <w:rPr>
          <w:rFonts w:ascii="Times New Roman" w:eastAsia="Times New Roman" w:hAnsi="Times New Roman" w:cs="Times New Roman"/>
        </w:rPr>
        <w:t>s</w:t>
      </w:r>
      <w:r w:rsidRPr="00BA1D15">
        <w:rPr>
          <w:rFonts w:ascii="Times New Roman" w:eastAsia="Times New Roman" w:hAnsi="Times New Roman" w:cs="Times New Roman"/>
        </w:rPr>
        <w:t xml:space="preserve">trongly </w:t>
      </w:r>
      <w:r w:rsidR="00637621" w:rsidRPr="00BA1D15">
        <w:rPr>
          <w:rFonts w:ascii="Times New Roman" w:eastAsia="Times New Roman" w:hAnsi="Times New Roman" w:cs="Times New Roman"/>
        </w:rPr>
        <w:t>agreed</w:t>
      </w:r>
      <w:r w:rsidRPr="00BA1D15">
        <w:rPr>
          <w:rFonts w:ascii="Times New Roman" w:eastAsia="Times New Roman" w:hAnsi="Times New Roman" w:cs="Times New Roman"/>
        </w:rPr>
        <w:t xml:space="preserve"> that they were willing to register for NHIMA. Only 9% (n=14) expressed disagreement, while 19% (n=30) remained neutral.</w:t>
      </w:r>
    </w:p>
    <w:p w14:paraId="5B1797FF" w14:textId="68CA3A51" w:rsidR="00976C2B" w:rsidRDefault="00AF6BC3" w:rsidP="00976C2B">
      <w:pPr>
        <w:spacing w:line="360" w:lineRule="auto"/>
        <w:jc w:val="both"/>
        <w:rPr>
          <w:rFonts w:ascii="Times New Roman" w:hAnsi="Times New Roman" w:cs="Times New Roman"/>
        </w:rPr>
      </w:pPr>
      <w:r w:rsidRPr="00BA1D15">
        <w:rPr>
          <w:rFonts w:ascii="Times New Roman" w:hAnsi="Times New Roman" w:cs="Times New Roman"/>
        </w:rPr>
        <w:t xml:space="preserve">Regarding current enrolment in the National Health Insurance Management Authority (NHIMA), </w:t>
      </w:r>
      <w:r w:rsidRPr="00BA1D15">
        <w:rPr>
          <w:rStyle w:val="Strong"/>
          <w:rFonts w:ascii="Times New Roman" w:hAnsi="Times New Roman" w:cs="Times New Roman"/>
          <w:b w:val="0"/>
          <w:bCs w:val="0"/>
        </w:rPr>
        <w:t>Figure 1</w:t>
      </w:r>
      <w:r w:rsidRPr="00BA1D15">
        <w:rPr>
          <w:rFonts w:ascii="Times New Roman" w:hAnsi="Times New Roman" w:cs="Times New Roman"/>
        </w:rPr>
        <w:t xml:space="preserve"> shows that the majority of respondents </w:t>
      </w:r>
      <w:r w:rsidRPr="00BA1D15">
        <w:rPr>
          <w:rFonts w:ascii="Times New Roman" w:hAnsi="Times New Roman" w:cs="Times New Roman"/>
          <w:b/>
          <w:bCs/>
        </w:rPr>
        <w:t>(</w:t>
      </w:r>
      <w:r w:rsidRPr="00BA1D15">
        <w:rPr>
          <w:rStyle w:val="Strong"/>
          <w:rFonts w:ascii="Times New Roman" w:hAnsi="Times New Roman" w:cs="Times New Roman"/>
          <w:b w:val="0"/>
          <w:bCs w:val="0"/>
        </w:rPr>
        <w:t>82%</w:t>
      </w:r>
      <w:r w:rsidRPr="00BA1D15">
        <w:rPr>
          <w:rFonts w:ascii="Times New Roman" w:hAnsi="Times New Roman" w:cs="Times New Roman"/>
          <w:b/>
          <w:bCs/>
        </w:rPr>
        <w:t>)</w:t>
      </w:r>
      <w:r w:rsidRPr="00BA1D15">
        <w:rPr>
          <w:rFonts w:ascii="Times New Roman" w:hAnsi="Times New Roman" w:cs="Times New Roman"/>
        </w:rPr>
        <w:t xml:space="preserve"> were </w:t>
      </w:r>
      <w:r w:rsidRPr="00BA1D15">
        <w:rPr>
          <w:rStyle w:val="Strong"/>
          <w:rFonts w:ascii="Times New Roman" w:hAnsi="Times New Roman" w:cs="Times New Roman"/>
          <w:b w:val="0"/>
          <w:bCs w:val="0"/>
        </w:rPr>
        <w:t>not enrolled</w:t>
      </w:r>
      <w:r w:rsidRPr="00BA1D15">
        <w:rPr>
          <w:rFonts w:ascii="Times New Roman" w:hAnsi="Times New Roman" w:cs="Times New Roman"/>
        </w:rPr>
        <w:t xml:space="preserve"> in the scheme, while only </w:t>
      </w:r>
      <w:r w:rsidRPr="00BA1D15">
        <w:rPr>
          <w:rStyle w:val="Strong"/>
          <w:rFonts w:ascii="Times New Roman" w:hAnsi="Times New Roman" w:cs="Times New Roman"/>
          <w:b w:val="0"/>
          <w:bCs w:val="0"/>
        </w:rPr>
        <w:t>18%</w:t>
      </w:r>
      <w:r w:rsidRPr="00BA1D15">
        <w:rPr>
          <w:rFonts w:ascii="Times New Roman" w:hAnsi="Times New Roman" w:cs="Times New Roman"/>
        </w:rPr>
        <w:t xml:space="preserve"> reported being currently enrolled. Among those who were not enrolled, the most frequently cited reason was </w:t>
      </w:r>
      <w:r w:rsidRPr="00BA1D15">
        <w:rPr>
          <w:rStyle w:val="Strong"/>
          <w:rFonts w:ascii="Times New Roman" w:hAnsi="Times New Roman" w:cs="Times New Roman"/>
          <w:b w:val="0"/>
          <w:bCs w:val="0"/>
        </w:rPr>
        <w:t>lack of information</w:t>
      </w:r>
      <w:r w:rsidRPr="00BA1D15">
        <w:rPr>
          <w:rFonts w:ascii="Times New Roman" w:hAnsi="Times New Roman" w:cs="Times New Roman"/>
          <w:b/>
          <w:bCs/>
        </w:rPr>
        <w:t xml:space="preserve"> </w:t>
      </w:r>
      <w:r w:rsidRPr="00BA1D15">
        <w:rPr>
          <w:rFonts w:ascii="Times New Roman" w:hAnsi="Times New Roman" w:cs="Times New Roman"/>
        </w:rPr>
        <w:t>about NHIMA, reported</w:t>
      </w:r>
      <w:r w:rsidRPr="00BA1D15">
        <w:rPr>
          <w:rFonts w:ascii="Times New Roman" w:hAnsi="Times New Roman" w:cs="Times New Roman"/>
          <w:b/>
          <w:bCs/>
        </w:rPr>
        <w:t xml:space="preserve"> </w:t>
      </w:r>
      <w:r w:rsidRPr="00BA1D15">
        <w:rPr>
          <w:rFonts w:ascii="Times New Roman" w:hAnsi="Times New Roman" w:cs="Times New Roman"/>
        </w:rPr>
        <w:t xml:space="preserve">by </w:t>
      </w:r>
      <w:r w:rsidRPr="00BA1D15">
        <w:rPr>
          <w:rStyle w:val="Strong"/>
          <w:rFonts w:ascii="Times New Roman" w:hAnsi="Times New Roman" w:cs="Times New Roman"/>
          <w:b w:val="0"/>
          <w:bCs w:val="0"/>
        </w:rPr>
        <w:t>146 respondents</w:t>
      </w:r>
      <w:r w:rsidRPr="00BA1D15">
        <w:rPr>
          <w:rFonts w:ascii="Times New Roman" w:hAnsi="Times New Roman" w:cs="Times New Roman"/>
          <w:b/>
          <w:bCs/>
        </w:rPr>
        <w:t xml:space="preserve">. </w:t>
      </w:r>
      <w:r w:rsidRPr="00BA1D15">
        <w:rPr>
          <w:rFonts w:ascii="Times New Roman" w:hAnsi="Times New Roman" w:cs="Times New Roman"/>
        </w:rPr>
        <w:t xml:space="preserve">Other reasons included </w:t>
      </w:r>
      <w:r w:rsidRPr="00BA1D15">
        <w:rPr>
          <w:rStyle w:val="Strong"/>
          <w:rFonts w:ascii="Times New Roman" w:hAnsi="Times New Roman" w:cs="Times New Roman"/>
          <w:b w:val="0"/>
          <w:bCs w:val="0"/>
        </w:rPr>
        <w:t>irregular income</w:t>
      </w:r>
      <w:r w:rsidRPr="00BA1D15">
        <w:rPr>
          <w:rFonts w:ascii="Times New Roman" w:hAnsi="Times New Roman" w:cs="Times New Roman"/>
        </w:rPr>
        <w:t xml:space="preserve"> (5 respondents), </w:t>
      </w:r>
      <w:r w:rsidRPr="00BA1D15">
        <w:rPr>
          <w:rStyle w:val="Strong"/>
          <w:rFonts w:ascii="Times New Roman" w:hAnsi="Times New Roman" w:cs="Times New Roman"/>
          <w:b w:val="0"/>
          <w:bCs w:val="0"/>
        </w:rPr>
        <w:t>the perceived unaffordability of contributions</w:t>
      </w:r>
      <w:r w:rsidRPr="00BA1D15">
        <w:rPr>
          <w:rFonts w:ascii="Times New Roman" w:hAnsi="Times New Roman" w:cs="Times New Roman"/>
          <w:b/>
          <w:bCs/>
        </w:rPr>
        <w:t xml:space="preserve"> (</w:t>
      </w:r>
      <w:r w:rsidRPr="00BA1D15">
        <w:rPr>
          <w:rFonts w:ascii="Times New Roman" w:hAnsi="Times New Roman" w:cs="Times New Roman"/>
        </w:rPr>
        <w:t xml:space="preserve">3 respondents), and </w:t>
      </w:r>
      <w:r w:rsidRPr="006853E7">
        <w:rPr>
          <w:rStyle w:val="Strong"/>
          <w:rFonts w:ascii="Times New Roman" w:hAnsi="Times New Roman" w:cs="Times New Roman"/>
          <w:b w:val="0"/>
          <w:bCs w:val="0"/>
        </w:rPr>
        <w:t xml:space="preserve">other </w:t>
      </w:r>
      <w:r w:rsidRPr="00BA1D15">
        <w:rPr>
          <w:rStyle w:val="Strong"/>
          <w:rFonts w:ascii="Times New Roman" w:hAnsi="Times New Roman" w:cs="Times New Roman"/>
          <w:b w:val="0"/>
          <w:bCs w:val="0"/>
        </w:rPr>
        <w:t>miscellaneous reasons</w:t>
      </w:r>
      <w:r w:rsidRPr="00BA1D15">
        <w:rPr>
          <w:rFonts w:ascii="Times New Roman" w:hAnsi="Times New Roman" w:cs="Times New Roman"/>
          <w:b/>
          <w:bCs/>
        </w:rPr>
        <w:t xml:space="preserve"> (</w:t>
      </w:r>
      <w:r w:rsidRPr="00BA1D15">
        <w:rPr>
          <w:rFonts w:ascii="Times New Roman" w:hAnsi="Times New Roman" w:cs="Times New Roman"/>
        </w:rPr>
        <w:t xml:space="preserve">4 respondents). </w:t>
      </w:r>
      <w:r w:rsidRPr="00BA1D15">
        <w:rPr>
          <w:rStyle w:val="Strong"/>
          <w:rFonts w:ascii="Times New Roman" w:hAnsi="Times New Roman" w:cs="Times New Roman"/>
          <w:b w:val="0"/>
          <w:bCs w:val="0"/>
        </w:rPr>
        <w:t>Lack of trust</w:t>
      </w:r>
      <w:r w:rsidRPr="00BA1D15">
        <w:rPr>
          <w:rFonts w:ascii="Times New Roman" w:hAnsi="Times New Roman" w:cs="Times New Roman"/>
        </w:rPr>
        <w:t xml:space="preserve"> in the scheme was the least frequently reported barrier, cited by only </w:t>
      </w:r>
      <w:r w:rsidRPr="00BA1D15">
        <w:rPr>
          <w:rStyle w:val="Strong"/>
          <w:rFonts w:ascii="Times New Roman" w:hAnsi="Times New Roman" w:cs="Times New Roman"/>
          <w:b w:val="0"/>
          <w:bCs w:val="0"/>
        </w:rPr>
        <w:t>one respondent</w:t>
      </w:r>
      <w:r w:rsidRPr="00BA1D15">
        <w:rPr>
          <w:rFonts w:ascii="Times New Roman" w:hAnsi="Times New Roman" w:cs="Times New Roman"/>
          <w:b/>
          <w:bCs/>
        </w:rPr>
        <w:t>.</w:t>
      </w:r>
      <w:r w:rsidRPr="00BA1D15">
        <w:rPr>
          <w:rFonts w:ascii="Times New Roman" w:hAnsi="Times New Roman" w:cs="Times New Roman"/>
        </w:rPr>
        <w:t xml:space="preserve"> These findings suggest that inadequate awareness of NHIMA, rather than financial or trust-related factors, was the predominant reason for non-enrolment among marketeers in Kabwe District.</w:t>
      </w:r>
    </w:p>
    <w:p w14:paraId="56FA22B9" w14:textId="16E144C3" w:rsidR="001E02F6" w:rsidRPr="006A6E2C" w:rsidRDefault="00F96231" w:rsidP="00976C2B">
      <w:pPr>
        <w:spacing w:line="360" w:lineRule="auto"/>
        <w:jc w:val="both"/>
        <w:rPr>
          <w:rFonts w:ascii="Times New Roman" w:eastAsia="Times New Roman" w:hAnsi="Times New Roman" w:cs="Times New Roman"/>
          <w:b/>
          <w:bCs/>
        </w:rPr>
      </w:pPr>
      <w:r w:rsidRPr="006A6E2C">
        <w:rPr>
          <w:rFonts w:ascii="Times New Roman" w:eastAsia="Times New Roman" w:hAnsi="Times New Roman" w:cs="Times New Roman"/>
          <w:b/>
          <w:bCs/>
        </w:rPr>
        <w:t>Challenges Hindering Marketeer Participation in NHIMA</w:t>
      </w:r>
    </w:p>
    <w:p w14:paraId="682F913E" w14:textId="066CC34B" w:rsidR="005448A7" w:rsidRPr="006A6E2C" w:rsidRDefault="005448A7" w:rsidP="00976C2B">
      <w:pPr>
        <w:spacing w:line="360" w:lineRule="auto"/>
        <w:jc w:val="both"/>
        <w:rPr>
          <w:rFonts w:ascii="Times New Roman" w:hAnsi="Times New Roman" w:cs="Times New Roman"/>
          <w:b/>
          <w:bCs/>
        </w:rPr>
      </w:pPr>
      <w:r w:rsidRPr="006A6E2C">
        <w:rPr>
          <w:rFonts w:ascii="Times New Roman" w:hAnsi="Times New Roman" w:cs="Times New Roman"/>
          <w:b/>
          <w:bCs/>
        </w:rPr>
        <w:t xml:space="preserve">Income Instability </w:t>
      </w:r>
    </w:p>
    <w:p w14:paraId="03E3DDCE" w14:textId="47E7D4B5" w:rsidR="005448A7" w:rsidRPr="006A6E2C" w:rsidRDefault="005448A7" w:rsidP="004132AC">
      <w:pPr>
        <w:spacing w:line="360" w:lineRule="auto"/>
        <w:jc w:val="both"/>
        <w:rPr>
          <w:rFonts w:ascii="Times New Roman" w:eastAsia="Times New Roman" w:hAnsi="Times New Roman" w:cs="Times New Roman"/>
        </w:rPr>
      </w:pPr>
      <w:r w:rsidRPr="006A6E2C">
        <w:rPr>
          <w:rFonts w:ascii="Times New Roman" w:eastAsia="Times New Roman" w:hAnsi="Times New Roman" w:cs="Times New Roman"/>
        </w:rPr>
        <w:t xml:space="preserve">The study identified income instability as one </w:t>
      </w:r>
      <w:r w:rsidR="002F5A07" w:rsidRPr="006A6E2C">
        <w:rPr>
          <w:rFonts w:ascii="Times New Roman" w:eastAsia="Times New Roman" w:hAnsi="Times New Roman" w:cs="Times New Roman"/>
        </w:rPr>
        <w:t>of the major barriers</w:t>
      </w:r>
      <w:r w:rsidRPr="006A6E2C">
        <w:rPr>
          <w:rFonts w:ascii="Times New Roman" w:eastAsia="Times New Roman" w:hAnsi="Times New Roman" w:cs="Times New Roman"/>
        </w:rPr>
        <w:t xml:space="preserve"> to NHIMA participation among marketeers in Kabwe District. Reasons for non-enrolment included irregular income (3%) and lack of information (92%)</w:t>
      </w:r>
      <w:r w:rsidR="002F5A07" w:rsidRPr="006A6E2C">
        <w:rPr>
          <w:rFonts w:ascii="Times New Roman" w:eastAsia="Times New Roman" w:hAnsi="Times New Roman" w:cs="Times New Roman"/>
        </w:rPr>
        <w:t>, with the latter being the primary barrier</w:t>
      </w:r>
      <w:r w:rsidRPr="006A6E2C">
        <w:rPr>
          <w:rFonts w:ascii="Times New Roman" w:eastAsia="Times New Roman" w:hAnsi="Times New Roman" w:cs="Times New Roman"/>
        </w:rPr>
        <w:t>.</w:t>
      </w:r>
      <w:r w:rsidRPr="006A6E2C">
        <w:rPr>
          <w:rFonts w:ascii="Times New Roman" w:hAnsi="Times New Roman" w:cs="Times New Roman"/>
        </w:rPr>
        <w:t xml:space="preserve"> </w:t>
      </w:r>
      <w:r w:rsidRPr="006A6E2C">
        <w:rPr>
          <w:rFonts w:ascii="Times New Roman" w:eastAsia="Times New Roman" w:hAnsi="Times New Roman" w:cs="Times New Roman"/>
        </w:rPr>
        <w:t xml:space="preserve">Marketeers </w:t>
      </w:r>
      <w:r w:rsidRPr="006A6E2C">
        <w:rPr>
          <w:rFonts w:ascii="Times New Roman" w:eastAsia="Times New Roman" w:hAnsi="Times New Roman" w:cs="Times New Roman"/>
        </w:rPr>
        <w:lastRenderedPageBreak/>
        <w:t xml:space="preserve">reported that fluctuating daily earnings made it difficult to consistently contribute </w:t>
      </w:r>
      <w:r w:rsidR="00222AD9" w:rsidRPr="006A6E2C">
        <w:rPr>
          <w:rFonts w:ascii="Times New Roman" w:eastAsia="Times New Roman" w:hAnsi="Times New Roman" w:cs="Times New Roman"/>
        </w:rPr>
        <w:t>to</w:t>
      </w:r>
      <w:r w:rsidRPr="006A6E2C">
        <w:rPr>
          <w:rFonts w:ascii="Times New Roman" w:eastAsia="Times New Roman" w:hAnsi="Times New Roman" w:cs="Times New Roman"/>
        </w:rPr>
        <w:t xml:space="preserve"> the scheme.</w:t>
      </w:r>
    </w:p>
    <w:p w14:paraId="57C0D8FD" w14:textId="77777777" w:rsidR="005448A7" w:rsidRPr="006A6E2C" w:rsidRDefault="005448A7" w:rsidP="006A6E2C">
      <w:pPr>
        <w:spacing w:after="0" w:line="360" w:lineRule="auto"/>
        <w:jc w:val="both"/>
        <w:rPr>
          <w:rFonts w:ascii="Times New Roman" w:eastAsia="Times New Roman" w:hAnsi="Times New Roman" w:cs="Times New Roman"/>
        </w:rPr>
      </w:pPr>
      <w:r w:rsidRPr="006A6E2C">
        <w:rPr>
          <w:rFonts w:ascii="Times New Roman" w:eastAsia="Times New Roman" w:hAnsi="Times New Roman" w:cs="Times New Roman"/>
        </w:rPr>
        <w:t>In the interview, one key informant succinctly stated: "Income is not stable enough for most marketeers," while FGD participants elaborated: "Inconsistent income, money is a challenge," and "the business is hard, so it's a challenge." The key informant's observation about moral hazard is particularly concerning: "Informal workers often have irregular incomes, leading to sporadic contributions and moral hazard where individuals only register or contribute when they are already sick and need services."</w:t>
      </w:r>
    </w:p>
    <w:p w14:paraId="1C5141BF" w14:textId="09CDD91A" w:rsidR="005448A7" w:rsidRPr="006A6E2C" w:rsidRDefault="005448A7" w:rsidP="006A6E2C">
      <w:pPr>
        <w:spacing w:after="0" w:line="360" w:lineRule="auto"/>
        <w:jc w:val="both"/>
        <w:rPr>
          <w:rFonts w:ascii="Times New Roman" w:hAnsi="Times New Roman" w:cs="Times New Roman"/>
        </w:rPr>
      </w:pPr>
      <w:r w:rsidRPr="006A6E2C">
        <w:rPr>
          <w:rFonts w:ascii="Times New Roman" w:eastAsia="Times New Roman" w:hAnsi="Times New Roman" w:cs="Times New Roman"/>
        </w:rPr>
        <w:t xml:space="preserve">This finding </w:t>
      </w:r>
      <w:r w:rsidR="002F5A07" w:rsidRPr="006A6E2C">
        <w:rPr>
          <w:rFonts w:ascii="Times New Roman" w:eastAsia="Times New Roman" w:hAnsi="Times New Roman" w:cs="Times New Roman"/>
        </w:rPr>
        <w:t>aligns with a body of literature from Sub-Saharan Africa, which found that income irregularity was the most frequently cited barrier to enrolment in voluntary health insurance schemes among informal workers (Ocean et al., 2019), surpassing even premium costs</w:t>
      </w:r>
      <w:r w:rsidRPr="006A6E2C">
        <w:rPr>
          <w:rFonts w:ascii="Times New Roman" w:eastAsia="Times New Roman" w:hAnsi="Times New Roman" w:cs="Times New Roman"/>
        </w:rPr>
        <w:t>. Unlike formal-sector employees, who receive predictable monthly salaries, informal workers experience daily fluctuations in earnings driven by sales, weather, market days, seasonal demand, and unexpected shocks. Since most marketeers depend on daily sales, financial commitments such as insurance contributions often become secondary to immediate household needs.</w:t>
      </w:r>
      <w:r w:rsidRPr="006A6E2C">
        <w:rPr>
          <w:rFonts w:ascii="Times New Roman" w:hAnsi="Times New Roman" w:cs="Times New Roman"/>
        </w:rPr>
        <w:t xml:space="preserve"> </w:t>
      </w:r>
    </w:p>
    <w:p w14:paraId="69064CF1" w14:textId="7E340287" w:rsidR="002F5A07" w:rsidRPr="006A6E2C" w:rsidRDefault="005448A7" w:rsidP="00DD387F">
      <w:pPr>
        <w:spacing w:before="240" w:after="0" w:line="360" w:lineRule="auto"/>
        <w:jc w:val="both"/>
        <w:rPr>
          <w:rFonts w:ascii="Times New Roman" w:eastAsia="Times New Roman" w:hAnsi="Times New Roman" w:cs="Times New Roman"/>
        </w:rPr>
      </w:pPr>
      <w:r w:rsidRPr="006A6E2C">
        <w:rPr>
          <w:rFonts w:ascii="Times New Roman" w:hAnsi="Times New Roman" w:cs="Times New Roman"/>
        </w:rPr>
        <w:t xml:space="preserve">According to </w:t>
      </w:r>
      <w:r w:rsidRPr="006A6E2C">
        <w:rPr>
          <w:rFonts w:ascii="Times New Roman" w:eastAsia="Times New Roman" w:hAnsi="Times New Roman" w:cs="Times New Roman"/>
        </w:rPr>
        <w:t>Arrow's (1963) classic analysis of health insurance markets</w:t>
      </w:r>
      <w:r w:rsidR="002F5A07" w:rsidRPr="006A6E2C">
        <w:rPr>
          <w:rFonts w:ascii="Times New Roman" w:eastAsia="Times New Roman" w:hAnsi="Times New Roman" w:cs="Times New Roman"/>
        </w:rPr>
        <w:t>, adverse selection occurs when those most likely to need healthcare are the most likely to enroll</w:t>
      </w:r>
      <w:r w:rsidRPr="006A6E2C">
        <w:rPr>
          <w:rFonts w:ascii="Times New Roman" w:eastAsia="Times New Roman" w:hAnsi="Times New Roman" w:cs="Times New Roman"/>
        </w:rPr>
        <w:t xml:space="preserve">, leading to unsustainable cost spirals. In Zambia, </w:t>
      </w:r>
      <w:r w:rsidR="002F5A07" w:rsidRPr="006A6E2C">
        <w:rPr>
          <w:rFonts w:ascii="Times New Roman" w:eastAsia="Times New Roman" w:hAnsi="Times New Roman" w:cs="Times New Roman"/>
        </w:rPr>
        <w:t>(Masiye and Mwale, 2021) estimated that informal workers who enroll only when sick generate claims that are 3.5 times their contribution payments, cross-subsidized</w:t>
      </w:r>
      <w:r w:rsidRPr="006A6E2C">
        <w:rPr>
          <w:rFonts w:ascii="Times New Roman" w:eastAsia="Times New Roman" w:hAnsi="Times New Roman" w:cs="Times New Roman"/>
        </w:rPr>
        <w:t xml:space="preserve"> by regular-paying members.</w:t>
      </w:r>
    </w:p>
    <w:p w14:paraId="54FA4DE0" w14:textId="2D60E918" w:rsidR="005448A7" w:rsidRPr="006A6E2C" w:rsidRDefault="005448A7" w:rsidP="00DD387F">
      <w:pPr>
        <w:spacing w:before="240" w:after="0" w:line="360" w:lineRule="auto"/>
        <w:jc w:val="both"/>
        <w:rPr>
          <w:rFonts w:ascii="Times New Roman" w:hAnsi="Times New Roman" w:cs="Times New Roman"/>
          <w:b/>
          <w:bCs/>
        </w:rPr>
      </w:pPr>
      <w:r w:rsidRPr="006A6E2C">
        <w:rPr>
          <w:rFonts w:ascii="Times New Roman" w:hAnsi="Times New Roman" w:cs="Times New Roman"/>
          <w:b/>
          <w:bCs/>
        </w:rPr>
        <w:t xml:space="preserve">Lack of Information and Misconceptions </w:t>
      </w:r>
    </w:p>
    <w:p w14:paraId="272C982A" w14:textId="696FCD0C" w:rsidR="005448A7" w:rsidRPr="006A6E2C" w:rsidRDefault="005448A7" w:rsidP="006A6E2C">
      <w:pPr>
        <w:spacing w:after="0" w:line="360" w:lineRule="auto"/>
        <w:jc w:val="both"/>
        <w:rPr>
          <w:rFonts w:ascii="Times New Roman" w:eastAsia="Times New Roman" w:hAnsi="Times New Roman" w:cs="Times New Roman"/>
        </w:rPr>
      </w:pPr>
      <w:r w:rsidRPr="006A6E2C">
        <w:rPr>
          <w:rFonts w:ascii="Times New Roman" w:eastAsia="Times New Roman" w:hAnsi="Times New Roman" w:cs="Times New Roman"/>
        </w:rPr>
        <w:t xml:space="preserve">A high number of participants (146, representing 92%) cited a lack of information as the primary barrier to non-enrolment. Many respondents were unaware of contribution requirements, benefits, and registration procedures. Some also misunderstood NHIMA as a free government </w:t>
      </w:r>
      <w:r w:rsidR="00FB54DE" w:rsidRPr="006A6E2C">
        <w:rPr>
          <w:rFonts w:ascii="Times New Roman" w:eastAsia="Times New Roman" w:hAnsi="Times New Roman" w:cs="Times New Roman"/>
        </w:rPr>
        <w:t>program</w:t>
      </w:r>
      <w:r w:rsidRPr="006A6E2C">
        <w:rPr>
          <w:rFonts w:ascii="Times New Roman" w:eastAsia="Times New Roman" w:hAnsi="Times New Roman" w:cs="Times New Roman"/>
        </w:rPr>
        <w:t xml:space="preserve"> rather than a contributory scheme. The misconception identified by key informants is that "many view NHIMA as a free government service rather than a contributory program." This misconception is deeply problematic because it leads to unrealistic expectations. When marketeers believe healthcare under NHIMA is free, they may not budget for contributions, and when they discover they must pay, they feel misled.</w:t>
      </w:r>
      <w:r w:rsidR="00FB54DE" w:rsidRPr="006A6E2C">
        <w:rPr>
          <w:rFonts w:ascii="Times New Roman" w:eastAsia="Times New Roman" w:hAnsi="Times New Roman" w:cs="Times New Roman"/>
        </w:rPr>
        <w:t xml:space="preserve"> </w:t>
      </w:r>
      <w:r w:rsidRPr="006A6E2C">
        <w:rPr>
          <w:rFonts w:ascii="Times New Roman" w:eastAsia="Times New Roman" w:hAnsi="Times New Roman" w:cs="Times New Roman"/>
        </w:rPr>
        <w:t xml:space="preserve">Conversely, if they </w:t>
      </w:r>
      <w:r w:rsidR="00FB54DE" w:rsidRPr="006A6E2C">
        <w:rPr>
          <w:rFonts w:ascii="Times New Roman" w:eastAsia="Times New Roman" w:hAnsi="Times New Roman" w:cs="Times New Roman"/>
        </w:rPr>
        <w:t>enroll</w:t>
      </w:r>
      <w:r w:rsidRPr="006A6E2C">
        <w:rPr>
          <w:rFonts w:ascii="Times New Roman" w:eastAsia="Times New Roman" w:hAnsi="Times New Roman" w:cs="Times New Roman"/>
        </w:rPr>
        <w:t xml:space="preserve"> </w:t>
      </w:r>
      <w:r w:rsidR="00FB54DE" w:rsidRPr="006A6E2C">
        <w:rPr>
          <w:rFonts w:ascii="Times New Roman" w:eastAsia="Times New Roman" w:hAnsi="Times New Roman" w:cs="Times New Roman"/>
        </w:rPr>
        <w:t xml:space="preserve">under the impression that it's "free," </w:t>
      </w:r>
      <w:r w:rsidRPr="006A6E2C">
        <w:rPr>
          <w:rFonts w:ascii="Times New Roman" w:eastAsia="Times New Roman" w:hAnsi="Times New Roman" w:cs="Times New Roman"/>
        </w:rPr>
        <w:t>they may default on payments, leading to disenrollment and negative word-of-mouth.</w:t>
      </w:r>
    </w:p>
    <w:p w14:paraId="74D63A8D" w14:textId="572AF296" w:rsidR="005448A7" w:rsidRPr="006A6E2C" w:rsidRDefault="005448A7" w:rsidP="006A6E2C">
      <w:pPr>
        <w:spacing w:after="0" w:line="360" w:lineRule="auto"/>
        <w:jc w:val="both"/>
        <w:rPr>
          <w:rFonts w:ascii="Times New Roman" w:eastAsia="Times New Roman" w:hAnsi="Times New Roman" w:cs="Times New Roman"/>
        </w:rPr>
      </w:pPr>
      <w:r w:rsidRPr="006A6E2C">
        <w:rPr>
          <w:rFonts w:ascii="Times New Roman" w:eastAsia="Times New Roman" w:hAnsi="Times New Roman" w:cs="Times New Roman"/>
        </w:rPr>
        <w:lastRenderedPageBreak/>
        <w:t xml:space="preserve">This misconception has historical roots. Zambia, like many post-colonial African nations, maintained a policy of "free" public healthcare (though in practice, informal fees and drug shortages have long compromised this promise) (Moseson et al., 2019). The transition to contributory health insurance represents a fundamental policy shift from tax-funded to social health insurance, but public communication has not adequately conveyed this change. Similarly, Lagomarsino et al. (2021) </w:t>
      </w:r>
      <w:r w:rsidR="00FB54DE" w:rsidRPr="006A6E2C">
        <w:rPr>
          <w:rFonts w:ascii="Times New Roman" w:eastAsia="Times New Roman" w:hAnsi="Times New Roman" w:cs="Times New Roman"/>
        </w:rPr>
        <w:t>reported that inadequate public understanding of social health insurance programs</w:t>
      </w:r>
      <w:r w:rsidRPr="006A6E2C">
        <w:rPr>
          <w:rFonts w:ascii="Times New Roman" w:eastAsia="Times New Roman" w:hAnsi="Times New Roman" w:cs="Times New Roman"/>
        </w:rPr>
        <w:t xml:space="preserve"> negatively affects enrolment and participation.</w:t>
      </w:r>
    </w:p>
    <w:p w14:paraId="69F166C3" w14:textId="03FF6F4E" w:rsidR="00011F72" w:rsidRPr="006A6E2C" w:rsidRDefault="005448A7" w:rsidP="00FE7763">
      <w:pPr>
        <w:spacing w:before="240" w:after="0" w:line="360" w:lineRule="auto"/>
        <w:jc w:val="both"/>
        <w:rPr>
          <w:rFonts w:ascii="Times New Roman" w:eastAsia="Times New Roman" w:hAnsi="Times New Roman" w:cs="Times New Roman"/>
        </w:rPr>
      </w:pPr>
      <w:r w:rsidRPr="006A6E2C">
        <w:rPr>
          <w:rFonts w:ascii="Times New Roman" w:eastAsia="Times New Roman" w:hAnsi="Times New Roman" w:cs="Times New Roman"/>
        </w:rPr>
        <w:t xml:space="preserve">The finding that only 11% of respondents received information directly from NHIMA staff and only 2% from market leaders indicates that NHIMA's formal communication channels are underutilized. This is particularly significant because FGD participants </w:t>
      </w:r>
      <w:r w:rsidR="00011F72">
        <w:rPr>
          <w:rFonts w:ascii="Times New Roman" w:eastAsia="Times New Roman" w:hAnsi="Times New Roman" w:cs="Times New Roman"/>
        </w:rPr>
        <w:t>preferred "meetings" as an information channel, aligning</w:t>
      </w:r>
      <w:r w:rsidRPr="006A6E2C">
        <w:rPr>
          <w:rFonts w:ascii="Times New Roman" w:eastAsia="Times New Roman" w:hAnsi="Times New Roman" w:cs="Times New Roman"/>
        </w:rPr>
        <w:t xml:space="preserve"> with research on oral cultures and low-literacy populations. In their study of health communication in rural Zambia, Zulu et al. (2020) found that face-to-face community meetings, when conducted by trusted local figures, were 4.2 times more effective than radio in changing health behaviors.</w:t>
      </w:r>
    </w:p>
    <w:p w14:paraId="32B96AFC" w14:textId="6DA61A45" w:rsidR="005448A7" w:rsidRPr="006A6E2C" w:rsidRDefault="005448A7" w:rsidP="00FE7763">
      <w:pPr>
        <w:spacing w:before="240" w:after="0" w:line="360" w:lineRule="auto"/>
        <w:jc w:val="both"/>
        <w:rPr>
          <w:rFonts w:ascii="Times New Roman" w:hAnsi="Times New Roman" w:cs="Times New Roman"/>
          <w:b/>
          <w:bCs/>
        </w:rPr>
      </w:pPr>
      <w:r w:rsidRPr="006A6E2C">
        <w:rPr>
          <w:rFonts w:ascii="Times New Roman" w:hAnsi="Times New Roman" w:cs="Times New Roman"/>
          <w:b/>
          <w:bCs/>
        </w:rPr>
        <w:t>Administrative Barriers and Bureaucratic Inefficiency</w:t>
      </w:r>
    </w:p>
    <w:p w14:paraId="0E4A077D" w14:textId="32025279" w:rsidR="005448A7" w:rsidRPr="006A6E2C" w:rsidRDefault="005448A7" w:rsidP="006A6E2C">
      <w:pPr>
        <w:spacing w:after="0" w:line="360" w:lineRule="auto"/>
        <w:jc w:val="both"/>
        <w:rPr>
          <w:rFonts w:ascii="Times New Roman" w:hAnsi="Times New Roman" w:cs="Times New Roman"/>
          <w:b/>
          <w:bCs/>
        </w:rPr>
      </w:pPr>
      <w:r w:rsidRPr="006A6E2C">
        <w:rPr>
          <w:rFonts w:ascii="Times New Roman" w:hAnsi="Times New Roman" w:cs="Times New Roman"/>
        </w:rPr>
        <w:t xml:space="preserve">The study identified administrative barriers that, although perhaps less visible than income instability, </w:t>
      </w:r>
      <w:r w:rsidR="005B0E02" w:rsidRPr="006A6E2C">
        <w:rPr>
          <w:rFonts w:ascii="Times New Roman" w:hAnsi="Times New Roman" w:cs="Times New Roman"/>
        </w:rPr>
        <w:t>nonetheless significantly undermine</w:t>
      </w:r>
      <w:r w:rsidRPr="006A6E2C">
        <w:rPr>
          <w:rFonts w:ascii="Times New Roman" w:hAnsi="Times New Roman" w:cs="Times New Roman"/>
        </w:rPr>
        <w:t xml:space="preserve"> trust in NHIMA's management. FGD participants stated: “It takes time, it's a long process from NHIMA,” and “officers at the hospital shout at us.” Key informant reported that a “2022 system upgrade caused significant backlogs, with over 21,000 registrations pending approval as of late 2024.” The backlog of 21,000 registrations is alarming. </w:t>
      </w:r>
    </w:p>
    <w:p w14:paraId="490DF3E4" w14:textId="77777777" w:rsidR="005448A7" w:rsidRPr="006A6E2C" w:rsidRDefault="005448A7" w:rsidP="006A6E2C">
      <w:pPr>
        <w:spacing w:after="0" w:line="360" w:lineRule="auto"/>
        <w:jc w:val="both"/>
        <w:rPr>
          <w:rFonts w:ascii="Times New Roman" w:hAnsi="Times New Roman" w:cs="Times New Roman"/>
        </w:rPr>
      </w:pPr>
      <w:r w:rsidRPr="006A6E2C">
        <w:rPr>
          <w:rFonts w:ascii="Times New Roman" w:hAnsi="Times New Roman" w:cs="Times New Roman"/>
        </w:rPr>
        <w:t xml:space="preserve">This represents approximately 21,000 individuals who have completed the registration process, sacrificing time, traveling to registration points, and completing forms, but whose membership has not been activated. The practical consequence is that these individuals cannot access services despite having applied. For each such individual, there are likely several potential enrollees who have heard about the backlog and decided not to attempt registration. </w:t>
      </w:r>
    </w:p>
    <w:p w14:paraId="3752557C" w14:textId="194DA252" w:rsidR="005448A7" w:rsidRPr="006A6E2C" w:rsidRDefault="005448A7" w:rsidP="006A6E2C">
      <w:pPr>
        <w:spacing w:after="0" w:line="360" w:lineRule="auto"/>
        <w:jc w:val="both"/>
        <w:rPr>
          <w:rFonts w:ascii="Times New Roman" w:hAnsi="Times New Roman" w:cs="Times New Roman"/>
        </w:rPr>
      </w:pPr>
      <w:r w:rsidRPr="006A6E2C">
        <w:rPr>
          <w:rFonts w:ascii="Times New Roman" w:hAnsi="Times New Roman" w:cs="Times New Roman"/>
        </w:rPr>
        <w:t xml:space="preserve">These administrative failures directly erode trust in NHIMA's management. When </w:t>
      </w:r>
      <w:r w:rsidR="005B0E02" w:rsidRPr="006A6E2C">
        <w:rPr>
          <w:rFonts w:ascii="Times New Roman" w:hAnsi="Times New Roman" w:cs="Times New Roman"/>
        </w:rPr>
        <w:t>marketeers and other informal workers invest time and effort in registering</w:t>
      </w:r>
      <w:r w:rsidRPr="006A6E2C">
        <w:rPr>
          <w:rFonts w:ascii="Times New Roman" w:hAnsi="Times New Roman" w:cs="Times New Roman"/>
        </w:rPr>
        <w:t xml:space="preserve"> but face prolonged delays without communication or resolution, they begin to perceive NHIMA as inefficient and unresponsive. </w:t>
      </w:r>
    </w:p>
    <w:p w14:paraId="6CA63FD9" w14:textId="2C6C6456" w:rsidR="005448A7" w:rsidRPr="006A6E2C" w:rsidRDefault="005448A7" w:rsidP="006A6E2C">
      <w:pPr>
        <w:spacing w:after="0" w:line="360" w:lineRule="auto"/>
        <w:jc w:val="both"/>
        <w:rPr>
          <w:rFonts w:ascii="Times New Roman" w:hAnsi="Times New Roman" w:cs="Times New Roman"/>
        </w:rPr>
      </w:pPr>
      <w:r w:rsidRPr="006A6E2C">
        <w:rPr>
          <w:rFonts w:ascii="Times New Roman" w:hAnsi="Times New Roman" w:cs="Times New Roman"/>
        </w:rPr>
        <w:t>As Herd and Moynihan</w:t>
      </w:r>
      <w:r w:rsidR="004238EA">
        <w:rPr>
          <w:rFonts w:ascii="Times New Roman" w:hAnsi="Times New Roman" w:cs="Times New Roman"/>
        </w:rPr>
        <w:t xml:space="preserve"> (</w:t>
      </w:r>
      <w:r w:rsidRPr="006A6E2C">
        <w:rPr>
          <w:rFonts w:ascii="Times New Roman" w:hAnsi="Times New Roman" w:cs="Times New Roman"/>
        </w:rPr>
        <w:t xml:space="preserve">2018) demonstrated in their analysis of administrative burdens, processing delays function as a hidden tax on participation, disproportionately affecting those </w:t>
      </w:r>
      <w:r w:rsidRPr="006A6E2C">
        <w:rPr>
          <w:rFonts w:ascii="Times New Roman" w:hAnsi="Times New Roman" w:cs="Times New Roman"/>
        </w:rPr>
        <w:lastRenderedPageBreak/>
        <w:t xml:space="preserve">with limited time flexibility (such as informal workers who lose income when not trading) and low literacy (who struggle with follow-up procedures). For </w:t>
      </w:r>
      <w:r w:rsidR="003347F8" w:rsidRPr="006A6E2C">
        <w:rPr>
          <w:rFonts w:ascii="Times New Roman" w:hAnsi="Times New Roman" w:cs="Times New Roman"/>
        </w:rPr>
        <w:t xml:space="preserve">marketeers who rely on daily income, waiting months for their membership to be activated </w:t>
      </w:r>
      <w:r w:rsidRPr="006A6E2C">
        <w:rPr>
          <w:rFonts w:ascii="Times New Roman" w:hAnsi="Times New Roman" w:cs="Times New Roman"/>
        </w:rPr>
        <w:t>signals that NHIMA management does not value their time or needs, which diminishes confidence in the authority’s ability to deliver on its promises.</w:t>
      </w:r>
    </w:p>
    <w:p w14:paraId="40EC64D0" w14:textId="289D2DB4" w:rsidR="005448A7" w:rsidRPr="006A6E2C" w:rsidRDefault="005448A7" w:rsidP="006A6E2C">
      <w:pPr>
        <w:spacing w:after="0" w:line="360" w:lineRule="auto"/>
        <w:jc w:val="both"/>
        <w:rPr>
          <w:rFonts w:ascii="Times New Roman" w:hAnsi="Times New Roman" w:cs="Times New Roman"/>
        </w:rPr>
      </w:pPr>
      <w:r w:rsidRPr="006A6E2C">
        <w:rPr>
          <w:rFonts w:ascii="Times New Roman" w:hAnsi="Times New Roman" w:cs="Times New Roman"/>
        </w:rPr>
        <w:t xml:space="preserve">The report that “officers shout at us” further indicates a </w:t>
      </w:r>
      <w:r w:rsidR="005B0E02" w:rsidRPr="006A6E2C">
        <w:rPr>
          <w:rFonts w:ascii="Times New Roman" w:hAnsi="Times New Roman" w:cs="Times New Roman"/>
        </w:rPr>
        <w:t xml:space="preserve">problem with customer service culture </w:t>
      </w:r>
      <w:r w:rsidRPr="006A6E2C">
        <w:rPr>
          <w:rFonts w:ascii="Times New Roman" w:hAnsi="Times New Roman" w:cs="Times New Roman"/>
        </w:rPr>
        <w:t xml:space="preserve">that directly undermines trust. While seemingly a minor issue compared to drug shortages or registration backlogs, poor interpersonal treatment has significant effects on participation and institutional credibility. Schneider and Hanson (2020) found that in South Africa’s social health insurance pilot, negative interactions with enrolment officers were cited as the </w:t>
      </w:r>
      <w:r w:rsidRPr="006A6E2C">
        <w:rPr>
          <w:rFonts w:ascii="Times New Roman" w:hAnsi="Times New Roman" w:cs="Times New Roman"/>
          <w:bCs/>
        </w:rPr>
        <w:t xml:space="preserve">primary reason for non-renewal </w:t>
      </w:r>
      <w:r w:rsidR="00EC0C90" w:rsidRPr="006A6E2C">
        <w:rPr>
          <w:rFonts w:ascii="Times New Roman" w:hAnsi="Times New Roman" w:cs="Times New Roman"/>
          <w:bCs/>
        </w:rPr>
        <w:t>by 31% of informal-sector</w:t>
      </w:r>
      <w:r w:rsidRPr="006A6E2C">
        <w:rPr>
          <w:rFonts w:ascii="Times New Roman" w:hAnsi="Times New Roman" w:cs="Times New Roman"/>
          <w:bCs/>
        </w:rPr>
        <w:t xml:space="preserve"> participants</w:t>
      </w:r>
      <w:r w:rsidRPr="006A6E2C">
        <w:rPr>
          <w:rFonts w:ascii="Times New Roman" w:hAnsi="Times New Roman" w:cs="Times New Roman"/>
        </w:rPr>
        <w:t xml:space="preserve">. </w:t>
      </w:r>
    </w:p>
    <w:p w14:paraId="47E45881" w14:textId="77777777" w:rsidR="005448A7" w:rsidRPr="006A6E2C" w:rsidRDefault="005448A7" w:rsidP="006A6E2C">
      <w:pPr>
        <w:spacing w:after="0" w:line="360" w:lineRule="auto"/>
        <w:jc w:val="both"/>
        <w:rPr>
          <w:rFonts w:ascii="Times New Roman" w:hAnsi="Times New Roman" w:cs="Times New Roman"/>
        </w:rPr>
      </w:pPr>
      <w:r w:rsidRPr="006A6E2C">
        <w:rPr>
          <w:rFonts w:ascii="Times New Roman" w:hAnsi="Times New Roman" w:cs="Times New Roman"/>
        </w:rPr>
        <w:t xml:space="preserve">This shows that disrespectful treatment in administration is not merely a courtesy issue but a critical policy instrument: when citizens are treated with dignity, they are more willing to engage with public programs and trust their management. </w:t>
      </w:r>
    </w:p>
    <w:p w14:paraId="5DCCB3ED" w14:textId="20A8757D" w:rsidR="005B0E02" w:rsidRPr="006A6E2C" w:rsidRDefault="005448A7" w:rsidP="00D25598">
      <w:pPr>
        <w:spacing w:before="240" w:after="0" w:line="360" w:lineRule="auto"/>
        <w:jc w:val="both"/>
        <w:rPr>
          <w:rFonts w:ascii="Times New Roman" w:hAnsi="Times New Roman" w:cs="Times New Roman"/>
        </w:rPr>
      </w:pPr>
      <w:r w:rsidRPr="006A6E2C">
        <w:rPr>
          <w:rFonts w:ascii="Times New Roman" w:hAnsi="Times New Roman" w:cs="Times New Roman"/>
        </w:rPr>
        <w:t xml:space="preserve">Conversely, when they are shouted at or treated dismissively, they perceive NHIMA management as uncaring and unprofessional, </w:t>
      </w:r>
      <w:r w:rsidR="005B0E02" w:rsidRPr="006A6E2C">
        <w:rPr>
          <w:rFonts w:ascii="Times New Roman" w:hAnsi="Times New Roman" w:cs="Times New Roman"/>
        </w:rPr>
        <w:t xml:space="preserve">reducing their willingness to enroll in </w:t>
      </w:r>
      <w:r w:rsidRPr="006A6E2C">
        <w:rPr>
          <w:rFonts w:ascii="Times New Roman" w:hAnsi="Times New Roman" w:cs="Times New Roman"/>
        </w:rPr>
        <w:t xml:space="preserve">or remain in the scheme. Thus, both systemic delays and poor interpersonal treatment contribute to a </w:t>
      </w:r>
      <w:r w:rsidRPr="006A6E2C">
        <w:rPr>
          <w:rFonts w:ascii="Times New Roman" w:hAnsi="Times New Roman" w:cs="Times New Roman"/>
          <w:bCs/>
        </w:rPr>
        <w:t>culture of distrust</w:t>
      </w:r>
      <w:r w:rsidRPr="006A6E2C">
        <w:rPr>
          <w:rFonts w:ascii="Times New Roman" w:hAnsi="Times New Roman" w:cs="Times New Roman"/>
        </w:rPr>
        <w:t xml:space="preserve"> in NHIMA management, which is a key challenge identified under </w:t>
      </w:r>
      <w:r w:rsidRPr="006A6E2C">
        <w:rPr>
          <w:rFonts w:ascii="Times New Roman" w:hAnsi="Times New Roman" w:cs="Times New Roman"/>
          <w:bCs/>
        </w:rPr>
        <w:t>Objective 3</w:t>
      </w:r>
      <w:r w:rsidRPr="006A6E2C">
        <w:rPr>
          <w:rFonts w:ascii="Times New Roman" w:hAnsi="Times New Roman" w:cs="Times New Roman"/>
        </w:rPr>
        <w:t xml:space="preserve"> (to identify challenges that hinder marketeers’ participation in NHIMA) and highlights the need for improved administrative processes and respectful service delivery</w:t>
      </w:r>
      <w:r w:rsidR="00D25598">
        <w:rPr>
          <w:rFonts w:ascii="Times New Roman" w:hAnsi="Times New Roman" w:cs="Times New Roman"/>
        </w:rPr>
        <w:t>.</w:t>
      </w:r>
    </w:p>
    <w:p w14:paraId="69ABD30E" w14:textId="0E508541" w:rsidR="005448A7" w:rsidRPr="006A6E2C" w:rsidRDefault="005448A7" w:rsidP="00D25598">
      <w:pPr>
        <w:spacing w:before="240" w:after="0" w:line="360" w:lineRule="auto"/>
        <w:jc w:val="both"/>
        <w:rPr>
          <w:rFonts w:ascii="Times New Roman" w:hAnsi="Times New Roman" w:cs="Times New Roman"/>
          <w:b/>
          <w:bCs/>
        </w:rPr>
      </w:pPr>
      <w:r w:rsidRPr="006A6E2C">
        <w:rPr>
          <w:rFonts w:ascii="Times New Roman" w:hAnsi="Times New Roman" w:cs="Times New Roman"/>
          <w:b/>
          <w:bCs/>
        </w:rPr>
        <w:t>Service Quality Concerns</w:t>
      </w:r>
    </w:p>
    <w:p w14:paraId="7FCCB02D" w14:textId="77777777" w:rsidR="005448A7" w:rsidRPr="006A6E2C" w:rsidRDefault="005448A7" w:rsidP="006A6E2C">
      <w:pPr>
        <w:spacing w:after="0" w:line="360" w:lineRule="auto"/>
        <w:jc w:val="both"/>
        <w:rPr>
          <w:rFonts w:ascii="Times New Roman" w:hAnsi="Times New Roman" w:cs="Times New Roman"/>
          <w:b/>
          <w:bCs/>
        </w:rPr>
      </w:pPr>
      <w:r w:rsidRPr="006A6E2C">
        <w:rPr>
          <w:rFonts w:ascii="Times New Roman" w:hAnsi="Times New Roman" w:cs="Times New Roman"/>
        </w:rPr>
        <w:t>Drug shortages and concerns about the quality of services offered at accredited facilities were frequently mentioned by participants. Such concerns reduce confidence in NHIMA and affect willingness to contribute.</w:t>
      </w:r>
    </w:p>
    <w:p w14:paraId="5A3978DB" w14:textId="5B91AF18" w:rsidR="003E4E9E" w:rsidRPr="00492A38" w:rsidRDefault="005448A7" w:rsidP="006C57E6">
      <w:pPr>
        <w:spacing w:line="360" w:lineRule="auto"/>
        <w:jc w:val="both"/>
        <w:rPr>
          <w:rFonts w:ascii="Times New Roman" w:eastAsia="Times New Roman" w:hAnsi="Times New Roman" w:cs="Times New Roman"/>
        </w:rPr>
      </w:pPr>
      <w:r w:rsidRPr="006A6E2C">
        <w:rPr>
          <w:rFonts w:ascii="Times New Roman" w:eastAsia="Times New Roman" w:hAnsi="Times New Roman" w:cs="Times New Roman"/>
        </w:rPr>
        <w:t>The findings are consistent with previous studies indicating that perceived service quality is a critical determinant of health insurance enrolment and retention (Kimani et al., 2020).</w:t>
      </w:r>
    </w:p>
    <w:p w14:paraId="19314E01" w14:textId="75B731AE" w:rsidR="00C018C8" w:rsidRPr="00B610E6" w:rsidRDefault="00C26AA0" w:rsidP="006C57E6">
      <w:pPr>
        <w:spacing w:line="360" w:lineRule="auto"/>
        <w:ind w:left="19" w:right="7"/>
        <w:jc w:val="both"/>
        <w:rPr>
          <w:rFonts w:ascii="Times New Roman" w:hAnsi="Times New Roman" w:cs="Times New Roman"/>
          <w:b/>
          <w:bCs/>
          <w:lang w:val="en-GB"/>
        </w:rPr>
      </w:pPr>
      <w:r>
        <w:rPr>
          <w:rFonts w:ascii="Times New Roman" w:hAnsi="Times New Roman" w:cs="Times New Roman"/>
          <w:b/>
          <w:bCs/>
          <w:lang w:val="en-GB"/>
        </w:rPr>
        <w:t xml:space="preserve">6.0 </w:t>
      </w:r>
      <w:r w:rsidR="00C018C8" w:rsidRPr="00B610E6">
        <w:rPr>
          <w:rFonts w:ascii="Times New Roman" w:hAnsi="Times New Roman" w:cs="Times New Roman"/>
          <w:b/>
          <w:bCs/>
          <w:lang w:val="en-GB"/>
        </w:rPr>
        <w:t>Conclusion</w:t>
      </w:r>
      <w:r w:rsidR="00660EC4" w:rsidRPr="00B610E6">
        <w:rPr>
          <w:rFonts w:ascii="Times New Roman" w:hAnsi="Times New Roman" w:cs="Times New Roman"/>
          <w:b/>
          <w:bCs/>
          <w:lang w:val="en-GB"/>
        </w:rPr>
        <w:t xml:space="preserve"> and Recommendations</w:t>
      </w:r>
    </w:p>
    <w:p w14:paraId="2068D494" w14:textId="1476B29B" w:rsidR="00660EC4" w:rsidRPr="00B610E6" w:rsidRDefault="00C26AA0" w:rsidP="00B610E6">
      <w:pPr>
        <w:spacing w:line="360" w:lineRule="auto"/>
        <w:ind w:left="19" w:right="7"/>
        <w:jc w:val="both"/>
        <w:rPr>
          <w:rFonts w:ascii="Times New Roman" w:hAnsi="Times New Roman" w:cs="Times New Roman"/>
          <w:b/>
          <w:bCs/>
          <w:lang w:val="en-GB"/>
        </w:rPr>
      </w:pPr>
      <w:r>
        <w:rPr>
          <w:rFonts w:ascii="Times New Roman" w:hAnsi="Times New Roman" w:cs="Times New Roman"/>
          <w:b/>
          <w:bCs/>
          <w:lang w:val="en-GB"/>
        </w:rPr>
        <w:t xml:space="preserve">6.1 </w:t>
      </w:r>
      <w:r w:rsidR="00660EC4" w:rsidRPr="00B610E6">
        <w:rPr>
          <w:rFonts w:ascii="Times New Roman" w:hAnsi="Times New Roman" w:cs="Times New Roman"/>
          <w:b/>
          <w:bCs/>
          <w:lang w:val="en-GB"/>
        </w:rPr>
        <w:t>Conclusion</w:t>
      </w:r>
    </w:p>
    <w:p w14:paraId="2783BF26" w14:textId="531EA520" w:rsidR="00660EC4" w:rsidRPr="00B610E6" w:rsidRDefault="00660EC4" w:rsidP="00B610E6">
      <w:pPr>
        <w:spacing w:line="360" w:lineRule="auto"/>
        <w:jc w:val="both"/>
        <w:rPr>
          <w:rFonts w:ascii="Times New Roman" w:eastAsia="Times New Roman" w:hAnsi="Times New Roman" w:cs="Times New Roman"/>
        </w:rPr>
      </w:pPr>
      <w:r w:rsidRPr="00B610E6">
        <w:rPr>
          <w:rFonts w:ascii="Times New Roman" w:eastAsia="Times New Roman" w:hAnsi="Times New Roman" w:cs="Times New Roman"/>
        </w:rPr>
        <w:t>This</w:t>
      </w:r>
      <w:r w:rsidR="002C2A4F" w:rsidRPr="00B610E6">
        <w:rPr>
          <w:rFonts w:ascii="Times New Roman" w:eastAsia="Times New Roman" w:hAnsi="Times New Roman" w:cs="Times New Roman"/>
        </w:rPr>
        <w:t xml:space="preserve"> section </w:t>
      </w:r>
      <w:r w:rsidRPr="00B610E6">
        <w:rPr>
          <w:rFonts w:ascii="Times New Roman" w:eastAsia="Times New Roman" w:hAnsi="Times New Roman" w:cs="Times New Roman"/>
        </w:rPr>
        <w:t xml:space="preserve">presents the </w:t>
      </w:r>
      <w:r w:rsidR="00980FF6" w:rsidRPr="00B610E6">
        <w:rPr>
          <w:rFonts w:ascii="Times New Roman" w:eastAsia="Times New Roman" w:hAnsi="Times New Roman" w:cs="Times New Roman"/>
        </w:rPr>
        <w:t xml:space="preserve">study's conclusions and recommendations </w:t>
      </w:r>
      <w:r w:rsidR="00C01F54" w:rsidRPr="00B610E6">
        <w:rPr>
          <w:rFonts w:ascii="Times New Roman" w:eastAsia="Times New Roman" w:hAnsi="Times New Roman" w:cs="Times New Roman"/>
        </w:rPr>
        <w:t>on the attitudes of informal-sector</w:t>
      </w:r>
      <w:r w:rsidRPr="00B610E6">
        <w:rPr>
          <w:rFonts w:ascii="Times New Roman" w:eastAsia="Times New Roman" w:hAnsi="Times New Roman" w:cs="Times New Roman"/>
        </w:rPr>
        <w:t xml:space="preserve"> workers (marketeers) towards the National Health Insurance Management Authority (NHIMA) in Kabwe District, Zambia. This chapter </w:t>
      </w:r>
      <w:r w:rsidR="00442861" w:rsidRPr="00B610E6">
        <w:rPr>
          <w:rFonts w:ascii="Times New Roman" w:eastAsia="Times New Roman" w:hAnsi="Times New Roman" w:cs="Times New Roman"/>
        </w:rPr>
        <w:t xml:space="preserve">presents conclusions drawn from the </w:t>
      </w:r>
      <w:r w:rsidR="00442861" w:rsidRPr="00B610E6">
        <w:rPr>
          <w:rFonts w:ascii="Times New Roman" w:eastAsia="Times New Roman" w:hAnsi="Times New Roman" w:cs="Times New Roman"/>
        </w:rPr>
        <w:lastRenderedPageBreak/>
        <w:t>findings and discussions, in line with the objective of this study, to identify challenges that hinder marketers’ participation in NHIMA</w:t>
      </w:r>
      <w:r w:rsidRPr="00B610E6">
        <w:rPr>
          <w:rFonts w:ascii="Times New Roman" w:eastAsia="Times New Roman" w:hAnsi="Times New Roman" w:cs="Times New Roman"/>
        </w:rPr>
        <w:t>.</w:t>
      </w:r>
      <w:r w:rsidRPr="00B610E6">
        <w:rPr>
          <w:rFonts w:ascii="Times New Roman" w:hAnsi="Times New Roman" w:cs="Times New Roman"/>
        </w:rPr>
        <w:t xml:space="preserve"> </w:t>
      </w:r>
      <w:r w:rsidRPr="00B610E6">
        <w:rPr>
          <w:rFonts w:ascii="Times New Roman" w:eastAsia="Times New Roman" w:hAnsi="Times New Roman" w:cs="Times New Roman"/>
        </w:rPr>
        <w:t xml:space="preserve">Finally, </w:t>
      </w:r>
      <w:r w:rsidR="00442861" w:rsidRPr="00B610E6">
        <w:rPr>
          <w:rFonts w:ascii="Times New Roman" w:eastAsia="Times New Roman" w:hAnsi="Times New Roman" w:cs="Times New Roman"/>
        </w:rPr>
        <w:t xml:space="preserve">the </w:t>
      </w:r>
      <w:r w:rsidRPr="00B610E6">
        <w:rPr>
          <w:rFonts w:ascii="Times New Roman" w:eastAsia="Times New Roman" w:hAnsi="Times New Roman" w:cs="Times New Roman"/>
        </w:rPr>
        <w:t xml:space="preserve">recommendation will be presented. The study concludes that participation in NHIMA among marketeers in Kabwe District is constrained by several interrelated factors. </w:t>
      </w:r>
      <w:r w:rsidR="00442861" w:rsidRPr="00B610E6">
        <w:rPr>
          <w:rFonts w:ascii="Times New Roman" w:eastAsia="Times New Roman" w:hAnsi="Times New Roman" w:cs="Times New Roman"/>
        </w:rPr>
        <w:t xml:space="preserve">Lack of </w:t>
      </w:r>
      <w:r w:rsidRPr="00B610E6">
        <w:rPr>
          <w:rFonts w:ascii="Times New Roman" w:eastAsia="Times New Roman" w:hAnsi="Times New Roman" w:cs="Times New Roman"/>
        </w:rPr>
        <w:t xml:space="preserve">Income instability emerged as a significant barrier, </w:t>
      </w:r>
      <w:r w:rsidR="00442861" w:rsidRPr="00B610E6">
        <w:rPr>
          <w:rFonts w:ascii="Times New Roman" w:eastAsia="Times New Roman" w:hAnsi="Times New Roman" w:cs="Times New Roman"/>
        </w:rPr>
        <w:t>with many respondents reporting earnings of</w:t>
      </w:r>
      <w:r w:rsidRPr="00B610E6">
        <w:rPr>
          <w:rFonts w:ascii="Times New Roman" w:eastAsia="Times New Roman" w:hAnsi="Times New Roman" w:cs="Times New Roman"/>
        </w:rPr>
        <w:t xml:space="preserve"> less than ZMW 1,000 per month, making it difficult to consistently meet contribution requirements. Consequently, many informal sector workers perceive the cost of participation as a financial burden.</w:t>
      </w:r>
    </w:p>
    <w:p w14:paraId="7F7063EC" w14:textId="0FDD02C3" w:rsidR="00660EC4" w:rsidRPr="00B610E6" w:rsidRDefault="00660EC4" w:rsidP="00B610E6">
      <w:pPr>
        <w:spacing w:line="360" w:lineRule="auto"/>
        <w:jc w:val="both"/>
        <w:rPr>
          <w:rFonts w:ascii="Times New Roman" w:eastAsia="Times New Roman" w:hAnsi="Times New Roman" w:cs="Times New Roman"/>
        </w:rPr>
      </w:pPr>
      <w:r w:rsidRPr="00B610E6">
        <w:rPr>
          <w:rFonts w:ascii="Times New Roman" w:eastAsia="Times New Roman" w:hAnsi="Times New Roman" w:cs="Times New Roman"/>
        </w:rPr>
        <w:t xml:space="preserve">The study further concludes that inadequate information remains a major obstacle to enrolment. Many respondents lacked sufficient knowledge regarding NHIMA contribution requirements, benefits, eligibility criteria, and registration procedures, limiting their ability to make informed decisions about joining the scheme. In addition, administrative challenges, particularly lengthy registration processes and </w:t>
      </w:r>
      <w:r w:rsidR="00980FF6" w:rsidRPr="00B610E6">
        <w:rPr>
          <w:rFonts w:ascii="Times New Roman" w:eastAsia="Times New Roman" w:hAnsi="Times New Roman" w:cs="Times New Roman"/>
        </w:rPr>
        <w:t>approval delays, undermine</w:t>
      </w:r>
      <w:r w:rsidRPr="00B610E6">
        <w:rPr>
          <w:rFonts w:ascii="Times New Roman" w:eastAsia="Times New Roman" w:hAnsi="Times New Roman" w:cs="Times New Roman"/>
        </w:rPr>
        <w:t xml:space="preserve"> participation by discouraging potential enrollees and reducing confidence in the scheme. The findings also indicate that concerns regarding the quality of services provided at accredited health facilities influence marketeers’ attitudes towards NHIMA. Participants reported challenges such as drug stock-outs, which often require beneficiaries to incur out-of-pocket expenses, perceived inequities in service provision, and poor customer care from some service providers. These experiences diminish confidence in the scheme and contribute to negative perceptions of the value of NHIMA membership.</w:t>
      </w:r>
    </w:p>
    <w:p w14:paraId="274138B8" w14:textId="6DAFDFD5" w:rsidR="00660EC4" w:rsidRPr="00B610E6" w:rsidRDefault="00C26AA0" w:rsidP="00B610E6">
      <w:pPr>
        <w:keepNext/>
        <w:spacing w:before="40" w:line="360" w:lineRule="auto"/>
        <w:jc w:val="both"/>
        <w:outlineLvl w:val="1"/>
        <w:rPr>
          <w:rFonts w:ascii="Times New Roman" w:eastAsia="Times New Roman" w:hAnsi="Times New Roman" w:cs="Times New Roman"/>
          <w:b/>
          <w:bCs/>
          <w:color w:val="2F5496"/>
        </w:rPr>
      </w:pPr>
      <w:r>
        <w:rPr>
          <w:rFonts w:ascii="Times New Roman" w:eastAsia="Times New Roman" w:hAnsi="Times New Roman" w:cs="Times New Roman"/>
          <w:b/>
          <w:bCs/>
        </w:rPr>
        <w:t xml:space="preserve">6.2 </w:t>
      </w:r>
      <w:r w:rsidR="00660EC4" w:rsidRPr="00B610E6">
        <w:rPr>
          <w:rFonts w:ascii="Times New Roman" w:eastAsia="Times New Roman" w:hAnsi="Times New Roman" w:cs="Times New Roman"/>
          <w:b/>
          <w:bCs/>
        </w:rPr>
        <w:t>Recommendations</w:t>
      </w:r>
    </w:p>
    <w:p w14:paraId="0C29BD6B" w14:textId="77777777" w:rsidR="00660EC4" w:rsidRPr="00B610E6" w:rsidRDefault="00660EC4" w:rsidP="00B610E6">
      <w:pPr>
        <w:spacing w:line="360" w:lineRule="auto"/>
        <w:jc w:val="both"/>
        <w:rPr>
          <w:rFonts w:ascii="Times New Roman" w:eastAsia="Times New Roman" w:hAnsi="Times New Roman" w:cs="Times New Roman"/>
        </w:rPr>
      </w:pPr>
      <w:r w:rsidRPr="00B610E6">
        <w:rPr>
          <w:rFonts w:ascii="Times New Roman" w:eastAsia="Times New Roman" w:hAnsi="Times New Roman" w:cs="Times New Roman"/>
        </w:rPr>
        <w:t>Based on the findings, discussion, and conclusions of this study, the following recommendations are offered for policy and practice. Recommendations are organized by target audience.</w:t>
      </w:r>
    </w:p>
    <w:p w14:paraId="38546BCB" w14:textId="5CDA1244" w:rsidR="00660EC4" w:rsidRPr="00B610E6" w:rsidRDefault="00660EC4" w:rsidP="00B610E6">
      <w:pPr>
        <w:pStyle w:val="ListParagraph"/>
        <w:numPr>
          <w:ilvl w:val="0"/>
          <w:numId w:val="8"/>
        </w:numPr>
        <w:spacing w:line="360" w:lineRule="auto"/>
        <w:jc w:val="both"/>
        <w:rPr>
          <w:rStyle w:val="Heading3Char"/>
          <w:rFonts w:ascii="Times New Roman" w:eastAsiaTheme="minorHAnsi" w:hAnsi="Times New Roman" w:cs="Times New Roman"/>
          <w:b/>
          <w:bCs/>
          <w:color w:val="auto"/>
          <w:sz w:val="24"/>
          <w:szCs w:val="24"/>
        </w:rPr>
      </w:pPr>
      <w:r w:rsidRPr="00B610E6">
        <w:rPr>
          <w:rStyle w:val="Heading3Char"/>
          <w:rFonts w:ascii="Times New Roman" w:eastAsiaTheme="minorHAnsi" w:hAnsi="Times New Roman" w:cs="Times New Roman"/>
          <w:b/>
          <w:bCs/>
          <w:color w:val="auto"/>
          <w:sz w:val="24"/>
          <w:szCs w:val="24"/>
        </w:rPr>
        <w:t>NHIMA Policymakers and Implementers</w:t>
      </w:r>
    </w:p>
    <w:p w14:paraId="44F9675A" w14:textId="3F20A88E" w:rsidR="00660EC4" w:rsidRPr="00B610E6" w:rsidRDefault="00660EC4" w:rsidP="00B610E6">
      <w:pPr>
        <w:spacing w:line="360" w:lineRule="auto"/>
        <w:jc w:val="both"/>
        <w:rPr>
          <w:rFonts w:ascii="Times New Roman" w:eastAsia="Times New Roman" w:hAnsi="Times New Roman" w:cs="Times New Roman"/>
        </w:rPr>
      </w:pPr>
      <w:r w:rsidRPr="00B610E6">
        <w:rPr>
          <w:rFonts w:ascii="Times New Roman" w:eastAsia="Times New Roman" w:hAnsi="Times New Roman" w:cs="Times New Roman"/>
        </w:rPr>
        <w:t xml:space="preserve">There is </w:t>
      </w:r>
      <w:r w:rsidR="000B4895">
        <w:rPr>
          <w:rFonts w:ascii="Times New Roman" w:eastAsia="Times New Roman" w:hAnsi="Times New Roman" w:cs="Times New Roman"/>
        </w:rPr>
        <w:t xml:space="preserve">a </w:t>
      </w:r>
      <w:r w:rsidRPr="00B610E6">
        <w:rPr>
          <w:rFonts w:ascii="Times New Roman" w:eastAsia="Times New Roman" w:hAnsi="Times New Roman" w:cs="Times New Roman"/>
        </w:rPr>
        <w:t xml:space="preserve">need for NHIMA to immediately redesign its communication strategy for informal workers, moving beyond mass media announcements to multi-channel, repeated, face-to-face engagement. Specifically, NHIMA should: (a) recruit and train 20-30 marketeer peer educators across Green Market, New Market, and Railways Market to conduct weekly information sessions using pictorial guides in vernacular languages (Bemba, Nyanja, Tonga); (b) conduct community meetings at each market every two months (as recommended by FGD participants), not annually or once; (c) develop and distribute laminated pictorial guides showing </w:t>
      </w:r>
      <w:r w:rsidR="007634A9" w:rsidRPr="00B610E6">
        <w:rPr>
          <w:rFonts w:ascii="Times New Roman" w:eastAsia="Times New Roman" w:hAnsi="Times New Roman" w:cs="Times New Roman"/>
        </w:rPr>
        <w:t>enrolments</w:t>
      </w:r>
      <w:r w:rsidRPr="00B610E6">
        <w:rPr>
          <w:rFonts w:ascii="Times New Roman" w:eastAsia="Times New Roman" w:hAnsi="Times New Roman" w:cs="Times New Roman"/>
        </w:rPr>
        <w:t xml:space="preserve"> procedures, required documents, covered services, and contribution options; and (d) explicitly </w:t>
      </w:r>
      <w:r w:rsidRPr="00B610E6">
        <w:rPr>
          <w:rFonts w:ascii="Times New Roman" w:eastAsia="Times New Roman" w:hAnsi="Times New Roman" w:cs="Times New Roman"/>
        </w:rPr>
        <w:lastRenderedPageBreak/>
        <w:t>and repeatedly address the "free healthcare" misconception with the clear message: "NHIMA is insurance, not charity. You pay a small amount when you are well so that you are covered when you are sick."</w:t>
      </w:r>
    </w:p>
    <w:p w14:paraId="2EFEAFC7" w14:textId="70826CC5" w:rsidR="00660EC4" w:rsidRPr="00B610E6" w:rsidRDefault="00660EC4" w:rsidP="00B610E6">
      <w:pPr>
        <w:pStyle w:val="ListParagraph"/>
        <w:numPr>
          <w:ilvl w:val="0"/>
          <w:numId w:val="8"/>
        </w:numPr>
        <w:spacing w:line="360" w:lineRule="auto"/>
        <w:jc w:val="both"/>
        <w:rPr>
          <w:rFonts w:ascii="Times New Roman" w:hAnsi="Times New Roman" w:cs="Times New Roman"/>
          <w:b/>
          <w:bCs/>
        </w:rPr>
      </w:pPr>
      <w:bookmarkStart w:id="33" w:name="_Toc233147469"/>
      <w:r w:rsidRPr="00B610E6">
        <w:rPr>
          <w:rStyle w:val="Heading3Char"/>
          <w:rFonts w:ascii="Times New Roman" w:eastAsiaTheme="minorHAnsi" w:hAnsi="Times New Roman" w:cs="Times New Roman"/>
          <w:b/>
          <w:bCs/>
          <w:color w:val="auto"/>
          <w:sz w:val="24"/>
          <w:szCs w:val="24"/>
        </w:rPr>
        <w:t>Implement</w:t>
      </w:r>
      <w:r w:rsidRPr="00B610E6">
        <w:rPr>
          <w:rFonts w:ascii="Times New Roman" w:hAnsi="Times New Roman" w:cs="Times New Roman"/>
          <w:b/>
          <w:bCs/>
        </w:rPr>
        <w:t xml:space="preserve"> Flexible Contribution Mechanisms</w:t>
      </w:r>
      <w:bookmarkEnd w:id="33"/>
    </w:p>
    <w:p w14:paraId="7BAA3517" w14:textId="77777777" w:rsidR="00660EC4" w:rsidRPr="00B610E6" w:rsidRDefault="00660EC4" w:rsidP="00B610E6">
      <w:pPr>
        <w:spacing w:line="360" w:lineRule="auto"/>
        <w:jc w:val="both"/>
        <w:rPr>
          <w:rFonts w:ascii="Times New Roman" w:eastAsia="Times New Roman" w:hAnsi="Times New Roman" w:cs="Times New Roman"/>
        </w:rPr>
      </w:pPr>
      <w:r w:rsidRPr="00B610E6">
        <w:rPr>
          <w:rFonts w:ascii="Times New Roman" w:eastAsia="Times New Roman" w:hAnsi="Times New Roman" w:cs="Times New Roman"/>
        </w:rPr>
        <w:t>NHIMA should abandon the monthly fixed-premium model for informal workers and implement flexible contribution mechanisms that align with marketeer income patterns. Priority actions include: (a) negotiate with the Kabwe Municipal Council to add a daily 2 ZMW NHIMA contribution to existing market levies (market levy piggybacking), enabling automatic, seamless collection; (b) develop a mobile money micro-payment system (USSD-based for basic phones) allowing daily deposits as low as 2 ZMW, with automatic accumulation and monthly deduction; (c) implement a two-month grace period for missed payments before coverage lapses, with re-enrolment without penalty; and (d) pilot a contribution holiday policy allowing marketeers to pay 50% of premiums for up to three months per year during documented low-income seasons.</w:t>
      </w:r>
    </w:p>
    <w:p w14:paraId="2A9ECB39" w14:textId="11E4C0B3" w:rsidR="00660EC4" w:rsidRPr="00B610E6" w:rsidRDefault="00660EC4" w:rsidP="00B610E6">
      <w:pPr>
        <w:pStyle w:val="ListParagraph"/>
        <w:numPr>
          <w:ilvl w:val="0"/>
          <w:numId w:val="8"/>
        </w:numPr>
        <w:spacing w:line="360" w:lineRule="auto"/>
        <w:jc w:val="both"/>
        <w:rPr>
          <w:rFonts w:ascii="Times New Roman" w:hAnsi="Times New Roman" w:cs="Times New Roman"/>
          <w:b/>
          <w:bCs/>
        </w:rPr>
      </w:pPr>
      <w:bookmarkStart w:id="34" w:name="_Toc233147470"/>
      <w:r w:rsidRPr="00B610E6">
        <w:rPr>
          <w:rFonts w:ascii="Times New Roman" w:hAnsi="Times New Roman" w:cs="Times New Roman"/>
          <w:b/>
          <w:bCs/>
        </w:rPr>
        <w:t>Address Service Quality Deficits</w:t>
      </w:r>
      <w:bookmarkEnd w:id="34"/>
    </w:p>
    <w:p w14:paraId="28E70C18" w14:textId="50D700E3" w:rsidR="00660EC4" w:rsidRPr="00B610E6" w:rsidRDefault="00660EC4" w:rsidP="00B610E6">
      <w:pPr>
        <w:spacing w:line="360" w:lineRule="auto"/>
        <w:jc w:val="both"/>
        <w:rPr>
          <w:rFonts w:ascii="Times New Roman" w:hAnsi="Times New Roman" w:cs="Times New Roman"/>
          <w:b/>
          <w:bCs/>
          <w:color w:val="1F3763"/>
        </w:rPr>
      </w:pPr>
      <w:r w:rsidRPr="00B610E6">
        <w:rPr>
          <w:rFonts w:ascii="Times New Roman" w:hAnsi="Times New Roman" w:cs="Times New Roman"/>
        </w:rPr>
        <w:t xml:space="preserve">NHIMA should revise its provider accreditation standards to include quantitative metrics on drug availability. Specifically: (a) require accredited facilities to maintain essential medicines in stock at least 90% of the time, verified through quarterly unannounced audits; (b) issue warnings and technical assistance to facilities falling below threshold, and revoke accreditation for facilities remaining below threshold for two consecutive quarters; (c) implement mystery shopper exercises to assess whether informal enrollees receive different treatment than formal enrollees or private patients, and publicise results; (d) establish anonymous complaints mechanisms (WhatsApp number, free SMS </w:t>
      </w:r>
      <w:r w:rsidR="002E1212" w:rsidRPr="00B610E6">
        <w:rPr>
          <w:rFonts w:ascii="Times New Roman" w:hAnsi="Times New Roman" w:cs="Times New Roman"/>
        </w:rPr>
        <w:t>short code</w:t>
      </w:r>
      <w:r w:rsidRPr="00B610E6">
        <w:rPr>
          <w:rFonts w:ascii="Times New Roman" w:hAnsi="Times New Roman" w:cs="Times New Roman"/>
        </w:rPr>
        <w:t>, physical suggestion boxes) at registration points, with a requirement to investigate and respond within 14 days; and (e) implement mandatory customer service training for all front-line staff, reinforced through performance management and customer feedback ratings.</w:t>
      </w:r>
    </w:p>
    <w:p w14:paraId="42C7CC03" w14:textId="5E732F52" w:rsidR="00660EC4" w:rsidRPr="00B610E6" w:rsidRDefault="00660EC4" w:rsidP="00B610E6">
      <w:pPr>
        <w:pStyle w:val="ListParagraph"/>
        <w:numPr>
          <w:ilvl w:val="0"/>
          <w:numId w:val="8"/>
        </w:numPr>
        <w:spacing w:line="360" w:lineRule="auto"/>
        <w:jc w:val="both"/>
        <w:rPr>
          <w:rFonts w:ascii="Times New Roman" w:hAnsi="Times New Roman" w:cs="Times New Roman"/>
          <w:b/>
          <w:bCs/>
        </w:rPr>
      </w:pPr>
      <w:bookmarkStart w:id="35" w:name="_Toc233147471"/>
      <w:r w:rsidRPr="00B610E6">
        <w:rPr>
          <w:rFonts w:ascii="Times New Roman" w:hAnsi="Times New Roman" w:cs="Times New Roman"/>
          <w:b/>
          <w:bCs/>
        </w:rPr>
        <w:t>Clear the Registration Backlog and Simplify Procedures</w:t>
      </w:r>
      <w:bookmarkEnd w:id="35"/>
    </w:p>
    <w:p w14:paraId="05EA5A06" w14:textId="77777777" w:rsidR="00660EC4" w:rsidRPr="00B610E6" w:rsidRDefault="00660EC4" w:rsidP="00B610E6">
      <w:pPr>
        <w:spacing w:line="360" w:lineRule="auto"/>
        <w:jc w:val="both"/>
        <w:rPr>
          <w:rFonts w:ascii="Times New Roman" w:eastAsia="Times New Roman" w:hAnsi="Times New Roman" w:cs="Times New Roman"/>
        </w:rPr>
      </w:pPr>
      <w:r w:rsidRPr="00B610E6">
        <w:rPr>
          <w:rFonts w:ascii="Times New Roman" w:eastAsia="Times New Roman" w:hAnsi="Times New Roman" w:cs="Times New Roman"/>
        </w:rPr>
        <w:t xml:space="preserve">NHIMA should prioritize clearing the 21,000-registration backlog as a matter of urgency. Actions include: (a) hire temporary data entry staff or contract with a private data processing firm to clear the backlog within three months; (b) implement provisional registration, where applicants receive an immediate provisional membership number (valid for three months) </w:t>
      </w:r>
      <w:r w:rsidRPr="00B610E6">
        <w:rPr>
          <w:rFonts w:ascii="Times New Roman" w:eastAsia="Times New Roman" w:hAnsi="Times New Roman" w:cs="Times New Roman"/>
        </w:rPr>
        <w:lastRenderedPageBreak/>
        <w:t>while full processing occurs, enabling immediate healthcare access; (c) simplify registration forms to require only essential information (name, ID number, contact details, dependent information); (d) implement change management protocols for future system upgrades, including piloting in a small district before national rollout; and (e) establish assisted registration through trained CBVs who complete forms on behalf of illiterate applicants.</w:t>
      </w:r>
    </w:p>
    <w:p w14:paraId="0A8C3DDF" w14:textId="63E7B7C8" w:rsidR="00660EC4" w:rsidRPr="00B610E6" w:rsidRDefault="00660EC4" w:rsidP="00B610E6">
      <w:pPr>
        <w:pStyle w:val="ListParagraph"/>
        <w:numPr>
          <w:ilvl w:val="0"/>
          <w:numId w:val="8"/>
        </w:numPr>
        <w:spacing w:line="360" w:lineRule="auto"/>
        <w:jc w:val="both"/>
        <w:rPr>
          <w:rFonts w:ascii="Times New Roman" w:hAnsi="Times New Roman" w:cs="Times New Roman"/>
          <w:b/>
          <w:bCs/>
        </w:rPr>
      </w:pPr>
      <w:bookmarkStart w:id="36" w:name="_Toc233147472"/>
      <w:r w:rsidRPr="00B610E6">
        <w:rPr>
          <w:rFonts w:ascii="Times New Roman" w:hAnsi="Times New Roman" w:cs="Times New Roman"/>
          <w:b/>
          <w:bCs/>
        </w:rPr>
        <w:t xml:space="preserve">Formalise Partnerships with Market Associations and Local </w:t>
      </w:r>
      <w:bookmarkEnd w:id="36"/>
      <w:r w:rsidRPr="00B610E6">
        <w:rPr>
          <w:rFonts w:ascii="Times New Roman" w:hAnsi="Times New Roman" w:cs="Times New Roman"/>
          <w:b/>
          <w:bCs/>
        </w:rPr>
        <w:t xml:space="preserve">Authority </w:t>
      </w:r>
    </w:p>
    <w:p w14:paraId="412E5580" w14:textId="77777777" w:rsidR="00660EC4" w:rsidRPr="00B610E6" w:rsidRDefault="00660EC4" w:rsidP="00B610E6">
      <w:pPr>
        <w:spacing w:line="360" w:lineRule="auto"/>
        <w:jc w:val="both"/>
        <w:rPr>
          <w:rFonts w:ascii="Times New Roman" w:eastAsia="Times New Roman" w:hAnsi="Times New Roman" w:cs="Times New Roman"/>
        </w:rPr>
      </w:pPr>
      <w:r w:rsidRPr="00B610E6">
        <w:rPr>
          <w:rFonts w:ascii="Times New Roman" w:eastAsia="Times New Roman" w:hAnsi="Times New Roman" w:cs="Times New Roman"/>
        </w:rPr>
        <w:t>NHIMA should formalise and expand its partnerships in Kabwe District through: (a) a memorandum of understanding (MOU) with the Kabwe Market Association (and individual market committees) establishing quarterly mobile registration drives, designated market leaders as NHIMA focal persons, use of market communication channels (loudspeakers, WhatsApp groups), and a structured feedback mechanism; (b) an MOU with the Kabwe Municipal Council for daily market levy piggybacking. data sharing on levy payers (with data protection safeguards), and training of council revenue collectors to distribute registration forms and answer basic questions; and (c) recruitment and training of 10-15 community-based volunteers specifically for Kabwe's markets to conduct assisted registrations.</w:t>
      </w:r>
    </w:p>
    <w:p w14:paraId="2992DFE6" w14:textId="790582D6" w:rsidR="00660EC4" w:rsidRPr="00B610E6" w:rsidRDefault="00660EC4" w:rsidP="00B610E6">
      <w:pPr>
        <w:pStyle w:val="ListParagraph"/>
        <w:numPr>
          <w:ilvl w:val="0"/>
          <w:numId w:val="8"/>
        </w:numPr>
        <w:spacing w:line="360" w:lineRule="auto"/>
        <w:jc w:val="both"/>
        <w:rPr>
          <w:rFonts w:ascii="Times New Roman" w:hAnsi="Times New Roman" w:cs="Times New Roman"/>
          <w:b/>
          <w:bCs/>
        </w:rPr>
      </w:pPr>
      <w:bookmarkStart w:id="37" w:name="_Toc233147473"/>
      <w:r w:rsidRPr="00B610E6">
        <w:rPr>
          <w:rFonts w:ascii="Times New Roman" w:hAnsi="Times New Roman" w:cs="Times New Roman"/>
          <w:b/>
          <w:bCs/>
        </w:rPr>
        <w:t xml:space="preserve"> Recommendations for the Ministry of Health</w:t>
      </w:r>
      <w:bookmarkEnd w:id="37"/>
    </w:p>
    <w:p w14:paraId="05416915" w14:textId="72043384" w:rsidR="002D5B92" w:rsidRPr="00B610E6" w:rsidRDefault="00660EC4" w:rsidP="00B610E6">
      <w:pPr>
        <w:spacing w:line="360" w:lineRule="auto"/>
        <w:jc w:val="both"/>
        <w:rPr>
          <w:rFonts w:ascii="Times New Roman" w:eastAsia="Times New Roman" w:hAnsi="Times New Roman" w:cs="Times New Roman"/>
        </w:rPr>
      </w:pPr>
      <w:r w:rsidRPr="00B610E6">
        <w:rPr>
          <w:rFonts w:ascii="Times New Roman" w:eastAsia="Times New Roman" w:hAnsi="Times New Roman" w:cs="Times New Roman"/>
        </w:rPr>
        <w:t>The Ministry of Health should support NHIMA's service quality improvement efforts by: (a) addressing systemic drug supply chain problems at the national level, including strengthening Zambia Medicines and Medical Supplies Agency (ZAMMSA) distribution capacity and improving inventory management at facility level; (b) ensuring that public health facilities prioritise NHIMA enrollees for drug dispensing, avoiding the situation where NHIMA members are turned away while private patients receive service; and (c) integrating NHIMA performance metrics (</w:t>
      </w:r>
      <w:r w:rsidR="002E1212" w:rsidRPr="00B610E6">
        <w:rPr>
          <w:rFonts w:ascii="Times New Roman" w:eastAsia="Times New Roman" w:hAnsi="Times New Roman" w:cs="Times New Roman"/>
        </w:rPr>
        <w:t>enrolments</w:t>
      </w:r>
      <w:r w:rsidRPr="00B610E6">
        <w:rPr>
          <w:rFonts w:ascii="Times New Roman" w:eastAsia="Times New Roman" w:hAnsi="Times New Roman" w:cs="Times New Roman"/>
        </w:rPr>
        <w:t xml:space="preserve"> rates, member satisfaction, drug availability) into district health management team performance assessments for Kabwe District.</w:t>
      </w:r>
    </w:p>
    <w:p w14:paraId="74B3DEF5" w14:textId="63A17E54" w:rsidR="00660EC4" w:rsidRPr="00B610E6" w:rsidRDefault="00660EC4" w:rsidP="00B610E6">
      <w:pPr>
        <w:pStyle w:val="ListParagraph"/>
        <w:numPr>
          <w:ilvl w:val="0"/>
          <w:numId w:val="8"/>
        </w:numPr>
        <w:spacing w:line="360" w:lineRule="auto"/>
        <w:jc w:val="both"/>
        <w:rPr>
          <w:rFonts w:ascii="Times New Roman" w:hAnsi="Times New Roman" w:cs="Times New Roman"/>
          <w:b/>
          <w:bCs/>
        </w:rPr>
      </w:pPr>
      <w:bookmarkStart w:id="38" w:name="_Toc233147474"/>
      <w:r w:rsidRPr="00B610E6">
        <w:rPr>
          <w:rFonts w:ascii="Times New Roman" w:hAnsi="Times New Roman" w:cs="Times New Roman"/>
          <w:b/>
          <w:bCs/>
        </w:rPr>
        <w:t>Recommendations for the Kabwe Municipal Council</w:t>
      </w:r>
      <w:bookmarkEnd w:id="38"/>
    </w:p>
    <w:p w14:paraId="337D48C1" w14:textId="77777777" w:rsidR="00660EC4" w:rsidRPr="00B610E6" w:rsidRDefault="00660EC4" w:rsidP="00B610E6">
      <w:pPr>
        <w:spacing w:line="360" w:lineRule="auto"/>
        <w:jc w:val="both"/>
        <w:rPr>
          <w:rFonts w:ascii="Times New Roman" w:eastAsia="Times New Roman" w:hAnsi="Times New Roman" w:cs="Times New Roman"/>
        </w:rPr>
      </w:pPr>
      <w:r w:rsidRPr="00B610E6">
        <w:rPr>
          <w:rFonts w:ascii="Times New Roman" w:eastAsia="Times New Roman" w:hAnsi="Times New Roman" w:cs="Times New Roman"/>
        </w:rPr>
        <w:t xml:space="preserve">The Kabwe Municipal Council should: (a) negotiate and implement the daily market levy piggybacking arrangement with NHIMA including adding a 2 ZMW NHIMA line to daily levy collections and remitting funds to NHIMA monthly; (b) share anonymised data on market levy payers with NHIMA for targeted outreach, subject to data protection and privacy safeguards; (c) train council revenue collectors to serve as points of contact for basic NHIMA information </w:t>
      </w:r>
      <w:r w:rsidRPr="00B610E6">
        <w:rPr>
          <w:rFonts w:ascii="Times New Roman" w:eastAsia="Times New Roman" w:hAnsi="Times New Roman" w:cs="Times New Roman"/>
        </w:rPr>
        <w:lastRenderedPageBreak/>
        <w:t>and referral; and (d) allow NHIMA to conduct mobile registration drives at market entry points during levy collection hours, minimising disruption to marketeer trading.</w:t>
      </w:r>
    </w:p>
    <w:p w14:paraId="685CE64F" w14:textId="4C53BF19" w:rsidR="00660EC4" w:rsidRPr="00B610E6" w:rsidRDefault="00660EC4" w:rsidP="00B610E6">
      <w:pPr>
        <w:pStyle w:val="ListParagraph"/>
        <w:numPr>
          <w:ilvl w:val="0"/>
          <w:numId w:val="8"/>
        </w:numPr>
        <w:spacing w:line="360" w:lineRule="auto"/>
        <w:jc w:val="both"/>
        <w:rPr>
          <w:rFonts w:ascii="Times New Roman" w:hAnsi="Times New Roman" w:cs="Times New Roman"/>
          <w:b/>
          <w:bCs/>
        </w:rPr>
      </w:pPr>
      <w:bookmarkStart w:id="39" w:name="_Toc233147475"/>
      <w:r w:rsidRPr="00B610E6">
        <w:rPr>
          <w:rFonts w:ascii="Times New Roman" w:hAnsi="Times New Roman" w:cs="Times New Roman"/>
          <w:b/>
          <w:bCs/>
        </w:rPr>
        <w:t>Recommendations for Market Associations and Market Leaders</w:t>
      </w:r>
      <w:bookmarkEnd w:id="39"/>
    </w:p>
    <w:p w14:paraId="447BE061" w14:textId="1F508761" w:rsidR="006725E6" w:rsidRPr="002D5B92" w:rsidRDefault="00660EC4" w:rsidP="002D5B92">
      <w:pPr>
        <w:spacing w:line="360" w:lineRule="auto"/>
        <w:jc w:val="both"/>
        <w:rPr>
          <w:rFonts w:ascii="Times New Roman" w:eastAsia="Times New Roman" w:hAnsi="Times New Roman" w:cs="Times New Roman"/>
        </w:rPr>
      </w:pPr>
      <w:r w:rsidRPr="00B610E6">
        <w:rPr>
          <w:rFonts w:ascii="Times New Roman" w:eastAsia="Times New Roman" w:hAnsi="Times New Roman" w:cs="Times New Roman"/>
        </w:rPr>
        <w:t>Market associations (including committees for Green Market, New Market, and Railways Market) and market leaders should: (a) designate specific market leaders as NHIMA focal persons, trained by NHIMA to answer basic questions and distribute information materials; (b) allow NHIMA to use market communication channels (loudspeaker systems, association WhatsApp groups, notice boards) for regular NHIMA announcements; (c) facilitate quarterly mobile registration drives at the market, including providing space and announcing dates in advance; (d) collect and transmit marketeer feedback on NHIMA experiences to NHIMA management through a structured feedback channel; and (e) consider integrating NHIMA contribution collection with existing market levy collection systems, subject to formal agreement with NHIMA and the Council.</w:t>
      </w:r>
    </w:p>
    <w:p w14:paraId="353BAF46" w14:textId="08245BCA" w:rsidR="00FE1D84" w:rsidRPr="002D5B92" w:rsidRDefault="00C26AA0" w:rsidP="002D5B92">
      <w:pPr>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6.3 </w:t>
      </w:r>
      <w:r w:rsidR="00FE1D84" w:rsidRPr="002D5B92">
        <w:rPr>
          <w:rFonts w:ascii="Times New Roman" w:eastAsia="Times New Roman" w:hAnsi="Times New Roman" w:cs="Times New Roman"/>
          <w:b/>
          <w:bCs/>
        </w:rPr>
        <w:t>Conclusion</w:t>
      </w:r>
    </w:p>
    <w:p w14:paraId="579F1E52" w14:textId="445B39C8" w:rsidR="00FE1D84" w:rsidRDefault="00FE1D84" w:rsidP="001951B9">
      <w:pPr>
        <w:spacing w:after="0" w:line="360" w:lineRule="auto"/>
        <w:jc w:val="both"/>
        <w:rPr>
          <w:rFonts w:ascii="Times New Roman" w:eastAsia="Times New Roman" w:hAnsi="Times New Roman" w:cs="Times New Roman"/>
          <w:kern w:val="0"/>
          <w14:ligatures w14:val="none"/>
        </w:rPr>
      </w:pPr>
      <w:r w:rsidRPr="002D5B92">
        <w:rPr>
          <w:rFonts w:ascii="Times New Roman" w:eastAsia="Times New Roman" w:hAnsi="Times New Roman" w:cs="Times New Roman"/>
          <w:kern w:val="0"/>
          <w14:ligatures w14:val="none"/>
        </w:rPr>
        <w:t>Participation of marketeers in the National Health Insurance Management Authority (NHIMA) among informal-sector workers in Kabwe District is constrained by interconnected economic, institutional, and behavioral challenges. Factors such as irregular income, perceived unaffordability of premiums, limited awareness, complex registration procedures, and concerns about service quality significantly reduce participation. The convergence of quantitative and qualitative findings suggests that increasing enrolment requires more than awareness campaigns. Effective reforms should include flexible contribution schedules, decentralized registration processes, enhanced communication strategies, and initiatives to build trust in NHIMA. Addressing these barriers would promote inclusion in the informal sector, strengthen NHIMA's financial sustainability, and advance Zambia's progress toward Universal Health Coverage.</w:t>
      </w:r>
    </w:p>
    <w:p w14:paraId="6774222B" w14:textId="77777777" w:rsidR="007871A6" w:rsidRDefault="007871A6" w:rsidP="001951B9">
      <w:pPr>
        <w:spacing w:after="0" w:line="360" w:lineRule="auto"/>
        <w:jc w:val="both"/>
        <w:rPr>
          <w:rFonts w:ascii="Times New Roman" w:eastAsia="Times New Roman" w:hAnsi="Times New Roman" w:cs="Times New Roman"/>
          <w:kern w:val="0"/>
          <w14:ligatures w14:val="none"/>
        </w:rPr>
      </w:pPr>
    </w:p>
    <w:p w14:paraId="24CA8330" w14:textId="77777777" w:rsidR="007871A6" w:rsidRDefault="007871A6" w:rsidP="001951B9">
      <w:pPr>
        <w:spacing w:after="0" w:line="360" w:lineRule="auto"/>
        <w:jc w:val="both"/>
        <w:rPr>
          <w:rFonts w:ascii="Times New Roman" w:eastAsia="Times New Roman" w:hAnsi="Times New Roman" w:cs="Times New Roman"/>
          <w:kern w:val="0"/>
          <w14:ligatures w14:val="none"/>
        </w:rPr>
      </w:pPr>
    </w:p>
    <w:p w14:paraId="085B4D49" w14:textId="77777777" w:rsidR="007871A6" w:rsidRDefault="007871A6" w:rsidP="001951B9">
      <w:pPr>
        <w:spacing w:after="0" w:line="360" w:lineRule="auto"/>
        <w:jc w:val="both"/>
        <w:rPr>
          <w:rFonts w:ascii="Times New Roman" w:eastAsia="Times New Roman" w:hAnsi="Times New Roman" w:cs="Times New Roman"/>
          <w:kern w:val="0"/>
          <w14:ligatures w14:val="none"/>
        </w:rPr>
      </w:pPr>
    </w:p>
    <w:p w14:paraId="61721E10" w14:textId="77777777" w:rsidR="007871A6" w:rsidRDefault="007871A6" w:rsidP="001951B9">
      <w:pPr>
        <w:spacing w:after="0" w:line="360" w:lineRule="auto"/>
        <w:jc w:val="both"/>
        <w:rPr>
          <w:rFonts w:ascii="Times New Roman" w:eastAsia="Times New Roman" w:hAnsi="Times New Roman" w:cs="Times New Roman"/>
          <w:kern w:val="0"/>
          <w14:ligatures w14:val="none"/>
        </w:rPr>
      </w:pPr>
    </w:p>
    <w:p w14:paraId="5ABA6775" w14:textId="77777777" w:rsidR="007871A6" w:rsidRDefault="007871A6" w:rsidP="001951B9">
      <w:pPr>
        <w:spacing w:after="0" w:line="360" w:lineRule="auto"/>
        <w:jc w:val="both"/>
        <w:rPr>
          <w:rFonts w:ascii="Times New Roman" w:eastAsia="Times New Roman" w:hAnsi="Times New Roman" w:cs="Times New Roman"/>
          <w:kern w:val="0"/>
          <w14:ligatures w14:val="none"/>
        </w:rPr>
      </w:pPr>
    </w:p>
    <w:p w14:paraId="2A2F84FD" w14:textId="77777777" w:rsidR="007871A6" w:rsidRDefault="007871A6" w:rsidP="001951B9">
      <w:pPr>
        <w:spacing w:after="0" w:line="360" w:lineRule="auto"/>
        <w:jc w:val="both"/>
        <w:rPr>
          <w:rFonts w:ascii="Times New Roman" w:eastAsia="Times New Roman" w:hAnsi="Times New Roman" w:cs="Times New Roman"/>
          <w:kern w:val="0"/>
          <w14:ligatures w14:val="none"/>
        </w:rPr>
      </w:pPr>
    </w:p>
    <w:p w14:paraId="6101DFA2" w14:textId="77777777" w:rsidR="001951B9" w:rsidRPr="001951B9" w:rsidRDefault="001951B9" w:rsidP="001951B9">
      <w:pPr>
        <w:spacing w:after="0" w:line="360" w:lineRule="auto"/>
        <w:jc w:val="both"/>
        <w:rPr>
          <w:rFonts w:ascii="Times New Roman" w:eastAsia="Times New Roman" w:hAnsi="Times New Roman" w:cs="Times New Roman"/>
          <w:kern w:val="0"/>
          <w14:ligatures w14:val="none"/>
        </w:rPr>
      </w:pPr>
    </w:p>
    <w:p w14:paraId="0CD30BD1" w14:textId="39752096" w:rsidR="00AD544A" w:rsidRDefault="003243D0" w:rsidP="005448A7">
      <w:pPr>
        <w:spacing w:line="240" w:lineRule="auto"/>
        <w:jc w:val="both"/>
        <w:rPr>
          <w:rFonts w:ascii="Times New Roman" w:eastAsia="Times New Roman" w:hAnsi="Times New Roman" w:cs="Times New Roman"/>
          <w:b/>
          <w:bCs/>
          <w:sz w:val="22"/>
          <w:szCs w:val="22"/>
        </w:rPr>
      </w:pPr>
      <w:r w:rsidRPr="003243D0">
        <w:rPr>
          <w:rFonts w:ascii="Times New Roman" w:eastAsia="Times New Roman" w:hAnsi="Times New Roman" w:cs="Times New Roman"/>
          <w:b/>
          <w:bCs/>
          <w:sz w:val="22"/>
          <w:szCs w:val="22"/>
        </w:rPr>
        <w:lastRenderedPageBreak/>
        <w:t>ABOUT THE AUTHOR (Biography</w:t>
      </w:r>
      <w:r w:rsidR="001A58A7">
        <w:rPr>
          <w:rFonts w:ascii="Times New Roman" w:eastAsia="Times New Roman" w:hAnsi="Times New Roman" w:cs="Times New Roman"/>
          <w:b/>
          <w:bCs/>
          <w:sz w:val="22"/>
          <w:szCs w:val="22"/>
        </w:rPr>
        <w:t>)</w:t>
      </w:r>
    </w:p>
    <w:tbl>
      <w:tblPr>
        <w:tblStyle w:val="TableGrid"/>
        <w:tblpPr w:leftFromText="180" w:rightFromText="180" w:vertAnchor="page" w:horzAnchor="margin" w:tblpXSpec="center" w:tblpY="2017"/>
        <w:tblW w:w="11379" w:type="dxa"/>
        <w:tblLook w:val="04A0" w:firstRow="1" w:lastRow="0" w:firstColumn="1" w:lastColumn="0" w:noHBand="0" w:noVBand="1"/>
      </w:tblPr>
      <w:tblGrid>
        <w:gridCol w:w="4490"/>
        <w:gridCol w:w="6889"/>
      </w:tblGrid>
      <w:tr w:rsidR="001951B9" w:rsidRPr="00F562E2" w14:paraId="3041F46A" w14:textId="77777777" w:rsidTr="001951B9">
        <w:trPr>
          <w:trHeight w:val="6046"/>
        </w:trPr>
        <w:tc>
          <w:tcPr>
            <w:tcW w:w="4490" w:type="dxa"/>
          </w:tcPr>
          <w:p w14:paraId="06D88BFE" w14:textId="77777777" w:rsidR="001951B9" w:rsidRPr="00F562E2" w:rsidRDefault="001951B9" w:rsidP="001951B9">
            <w:pPr>
              <w:pStyle w:val="NormalWeb"/>
            </w:pPr>
            <w:r>
              <w:rPr>
                <w:noProof/>
              </w:rPr>
              <w:drawing>
                <wp:inline distT="0" distB="0" distL="0" distR="0" wp14:anchorId="6D4A478B" wp14:editId="7039D478">
                  <wp:extent cx="2697480" cy="3931920"/>
                  <wp:effectExtent l="0" t="0" r="7620" b="0"/>
                  <wp:docPr id="716143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7480" cy="3931920"/>
                          </a:xfrm>
                          <a:prstGeom prst="rect">
                            <a:avLst/>
                          </a:prstGeom>
                          <a:noFill/>
                        </pic:spPr>
                      </pic:pic>
                    </a:graphicData>
                  </a:graphic>
                </wp:inline>
              </w:drawing>
            </w:r>
          </w:p>
        </w:tc>
        <w:tc>
          <w:tcPr>
            <w:tcW w:w="6889" w:type="dxa"/>
          </w:tcPr>
          <w:p w14:paraId="3C7F52A2" w14:textId="7F3568DE" w:rsidR="001951B9" w:rsidRPr="008107B3" w:rsidRDefault="001951B9" w:rsidP="001951B9">
            <w:pPr>
              <w:spacing w:before="100" w:beforeAutospacing="1" w:after="100" w:afterAutospacing="1"/>
              <w:jc w:val="both"/>
              <w:rPr>
                <w:rFonts w:ascii="Times New Roman" w:eastAsia="Times New Roman" w:hAnsi="Times New Roman" w:cs="Times New Roman"/>
              </w:rPr>
            </w:pPr>
            <w:r w:rsidRPr="008107B3">
              <w:rPr>
                <w:rFonts w:ascii="Times New Roman" w:eastAsia="Times New Roman" w:hAnsi="Times New Roman" w:cs="Times New Roman"/>
              </w:rPr>
              <w:t>Lydia Kaponda is an economic and development practitioner in Zambia’s public sector. She previously served in the Ministry of Community Development and Social Services for over 10 years, specializing in rural and community development and implementing and coordinating programs to improve the livelihoods and well-being of vulnerable communities. She currently serves as a Planner at the Central Provinc</w:t>
            </w:r>
            <w:r w:rsidR="00AA134A">
              <w:rPr>
                <w:rFonts w:ascii="Times New Roman" w:eastAsia="Times New Roman" w:hAnsi="Times New Roman" w:cs="Times New Roman"/>
              </w:rPr>
              <w:t>e</w:t>
            </w:r>
            <w:r w:rsidRPr="008107B3">
              <w:rPr>
                <w:rFonts w:ascii="Times New Roman" w:eastAsia="Times New Roman" w:hAnsi="Times New Roman" w:cs="Times New Roman"/>
              </w:rPr>
              <w:t xml:space="preserve"> Health Office under Zambia's Ministry of Health, contributing to strategic planning, budgeting, healthcare financing, policy implementation, and health systems strengthening. Her professional experience spans planning and budgeting, healthcare financing, leadership and governance, health policy, and program management, with a strong focus on improving health service delivery and promoting equitable access to healthcare. She is </w:t>
            </w:r>
            <w:r>
              <w:rPr>
                <w:rFonts w:ascii="Times New Roman" w:eastAsia="Times New Roman" w:hAnsi="Times New Roman" w:cs="Times New Roman"/>
              </w:rPr>
              <w:t xml:space="preserve">currently </w:t>
            </w:r>
            <w:r w:rsidRPr="008107B3">
              <w:rPr>
                <w:rFonts w:ascii="Times New Roman" w:eastAsia="Times New Roman" w:hAnsi="Times New Roman" w:cs="Times New Roman"/>
              </w:rPr>
              <w:t xml:space="preserve">pursuing a Master of Development Studies at Mulungushi University, with research focused on social health insurance and Universal Health Coverage. Her academic interests include social health insurance, community health, community development, health promotion, health systems strengthening, and equitable access to quality healthcare for underserved populations in Zambia. She is committed to advancing evidence-based policymaking and strengthening health systems to improve development and health outcomes in Zambia. </w:t>
            </w:r>
          </w:p>
          <w:p w14:paraId="7B91F600" w14:textId="77777777" w:rsidR="001951B9" w:rsidRPr="00DF526F" w:rsidRDefault="001951B9" w:rsidP="001951B9">
            <w:pPr>
              <w:spacing w:before="100" w:beforeAutospacing="1" w:after="100" w:afterAutospacing="1"/>
              <w:jc w:val="both"/>
              <w:rPr>
                <w:rFonts w:ascii="Times New Roman" w:eastAsia="Times New Roman" w:hAnsi="Times New Roman" w:cs="Times New Roman"/>
                <w:b/>
                <w:bCs/>
              </w:rPr>
            </w:pPr>
            <w:r w:rsidRPr="00DF526F">
              <w:rPr>
                <w:rFonts w:ascii="Times New Roman" w:eastAsia="Times New Roman" w:hAnsi="Times New Roman" w:cs="Times New Roman"/>
                <w:b/>
                <w:bCs/>
              </w:rPr>
              <w:t xml:space="preserve">Email: </w:t>
            </w:r>
            <w:hyperlink r:id="rId11" w:history="1">
              <w:r w:rsidRPr="00DF526F">
                <w:rPr>
                  <w:rStyle w:val="Hyperlink"/>
                  <w:rFonts w:ascii="Times New Roman" w:eastAsia="Times New Roman" w:hAnsi="Times New Roman" w:cs="Times New Roman"/>
                  <w:b/>
                  <w:bCs/>
                </w:rPr>
                <w:t>lydiakaponda@gmail.com</w:t>
              </w:r>
            </w:hyperlink>
            <w:r w:rsidRPr="00DF526F">
              <w:rPr>
                <w:rFonts w:ascii="Times New Roman" w:eastAsia="Times New Roman" w:hAnsi="Times New Roman" w:cs="Times New Roman"/>
                <w:b/>
                <w:bCs/>
              </w:rPr>
              <w:t xml:space="preserve"> </w:t>
            </w:r>
          </w:p>
          <w:p w14:paraId="29976672" w14:textId="77777777" w:rsidR="001951B9" w:rsidRPr="004B1439" w:rsidRDefault="001951B9" w:rsidP="001951B9">
            <w:pPr>
              <w:pStyle w:val="NormalWeb"/>
              <w:spacing w:before="240" w:beforeAutospacing="0" w:after="0" w:afterAutospacing="0" w:line="276" w:lineRule="auto"/>
              <w:jc w:val="both"/>
              <w:rPr>
                <w:kern w:val="2"/>
                <w:lang w:val=""/>
                <w14:ligatures w14:val="standardContextual"/>
              </w:rPr>
            </w:pPr>
          </w:p>
        </w:tc>
      </w:tr>
    </w:tbl>
    <w:p w14:paraId="1922DA4F" w14:textId="77777777" w:rsidR="001951B9" w:rsidRDefault="001951B9" w:rsidP="005448A7">
      <w:pPr>
        <w:spacing w:line="240" w:lineRule="auto"/>
        <w:jc w:val="both"/>
        <w:rPr>
          <w:rFonts w:ascii="Times New Roman" w:eastAsia="Times New Roman" w:hAnsi="Times New Roman" w:cs="Times New Roman"/>
          <w:b/>
          <w:bCs/>
          <w:sz w:val="22"/>
          <w:szCs w:val="22"/>
        </w:rPr>
      </w:pPr>
    </w:p>
    <w:p w14:paraId="359AB294" w14:textId="77777777" w:rsidR="001951B9" w:rsidRDefault="001951B9" w:rsidP="005448A7">
      <w:pPr>
        <w:spacing w:line="240" w:lineRule="auto"/>
        <w:jc w:val="both"/>
        <w:rPr>
          <w:rFonts w:ascii="Times New Roman" w:eastAsia="Times New Roman" w:hAnsi="Times New Roman" w:cs="Times New Roman"/>
          <w:b/>
          <w:bCs/>
          <w:sz w:val="22"/>
          <w:szCs w:val="22"/>
        </w:rPr>
      </w:pPr>
    </w:p>
    <w:p w14:paraId="449EEF48" w14:textId="77777777" w:rsidR="001951B9" w:rsidRDefault="001951B9" w:rsidP="005448A7">
      <w:pPr>
        <w:spacing w:line="240" w:lineRule="auto"/>
        <w:jc w:val="both"/>
        <w:rPr>
          <w:rFonts w:ascii="Times New Roman" w:eastAsia="Times New Roman" w:hAnsi="Times New Roman" w:cs="Times New Roman"/>
          <w:b/>
          <w:bCs/>
          <w:sz w:val="22"/>
          <w:szCs w:val="22"/>
        </w:rPr>
      </w:pPr>
    </w:p>
    <w:p w14:paraId="7CD34AD5" w14:textId="77777777" w:rsidR="001951B9" w:rsidRDefault="001951B9" w:rsidP="005448A7">
      <w:pPr>
        <w:spacing w:line="240" w:lineRule="auto"/>
        <w:jc w:val="both"/>
        <w:rPr>
          <w:rFonts w:ascii="Times New Roman" w:eastAsia="Times New Roman" w:hAnsi="Times New Roman" w:cs="Times New Roman"/>
          <w:b/>
          <w:bCs/>
          <w:sz w:val="22"/>
          <w:szCs w:val="22"/>
        </w:rPr>
      </w:pPr>
    </w:p>
    <w:p w14:paraId="596ACFA2" w14:textId="77777777" w:rsidR="001951B9" w:rsidRDefault="001951B9" w:rsidP="005448A7">
      <w:pPr>
        <w:spacing w:line="240" w:lineRule="auto"/>
        <w:jc w:val="both"/>
        <w:rPr>
          <w:rFonts w:ascii="Times New Roman" w:eastAsia="Times New Roman" w:hAnsi="Times New Roman" w:cs="Times New Roman"/>
          <w:b/>
          <w:bCs/>
          <w:sz w:val="22"/>
          <w:szCs w:val="22"/>
        </w:rPr>
      </w:pPr>
    </w:p>
    <w:p w14:paraId="7C471122" w14:textId="77777777" w:rsidR="001951B9" w:rsidRDefault="001951B9" w:rsidP="005448A7">
      <w:pPr>
        <w:spacing w:line="240" w:lineRule="auto"/>
        <w:jc w:val="both"/>
        <w:rPr>
          <w:rFonts w:ascii="Times New Roman" w:eastAsia="Times New Roman" w:hAnsi="Times New Roman" w:cs="Times New Roman"/>
          <w:b/>
          <w:bCs/>
          <w:sz w:val="22"/>
          <w:szCs w:val="22"/>
        </w:rPr>
      </w:pPr>
    </w:p>
    <w:p w14:paraId="57B88BB3" w14:textId="77777777" w:rsidR="001951B9" w:rsidRDefault="001951B9" w:rsidP="005448A7">
      <w:pPr>
        <w:spacing w:line="240" w:lineRule="auto"/>
        <w:jc w:val="both"/>
        <w:rPr>
          <w:rFonts w:ascii="Times New Roman" w:eastAsia="Times New Roman" w:hAnsi="Times New Roman" w:cs="Times New Roman"/>
          <w:b/>
          <w:bCs/>
          <w:sz w:val="22"/>
          <w:szCs w:val="22"/>
        </w:rPr>
      </w:pPr>
    </w:p>
    <w:p w14:paraId="2EFA1CF4" w14:textId="77777777" w:rsidR="001951B9" w:rsidRDefault="001951B9" w:rsidP="005448A7">
      <w:pPr>
        <w:spacing w:line="240" w:lineRule="auto"/>
        <w:jc w:val="both"/>
        <w:rPr>
          <w:rFonts w:ascii="Times New Roman" w:eastAsia="Times New Roman" w:hAnsi="Times New Roman" w:cs="Times New Roman"/>
          <w:b/>
          <w:bCs/>
          <w:sz w:val="22"/>
          <w:szCs w:val="22"/>
        </w:rPr>
      </w:pPr>
    </w:p>
    <w:p w14:paraId="3AFB0AF9" w14:textId="77777777" w:rsidR="001951B9" w:rsidRDefault="001951B9" w:rsidP="005448A7">
      <w:pPr>
        <w:spacing w:line="240" w:lineRule="auto"/>
        <w:jc w:val="both"/>
        <w:rPr>
          <w:rFonts w:ascii="Times New Roman" w:eastAsia="Times New Roman" w:hAnsi="Times New Roman" w:cs="Times New Roman"/>
          <w:b/>
          <w:bCs/>
          <w:sz w:val="22"/>
          <w:szCs w:val="22"/>
        </w:rPr>
      </w:pPr>
    </w:p>
    <w:p w14:paraId="0A522E0D" w14:textId="77777777" w:rsidR="001951B9" w:rsidRDefault="001951B9" w:rsidP="005448A7">
      <w:pPr>
        <w:spacing w:line="240" w:lineRule="auto"/>
        <w:jc w:val="both"/>
        <w:rPr>
          <w:rFonts w:ascii="Times New Roman" w:eastAsia="Times New Roman" w:hAnsi="Times New Roman" w:cs="Times New Roman"/>
          <w:b/>
          <w:bCs/>
          <w:sz w:val="22"/>
          <w:szCs w:val="22"/>
        </w:rPr>
      </w:pPr>
    </w:p>
    <w:p w14:paraId="36446E28" w14:textId="77777777" w:rsidR="001951B9" w:rsidRDefault="001951B9" w:rsidP="005448A7">
      <w:pPr>
        <w:spacing w:line="240" w:lineRule="auto"/>
        <w:jc w:val="both"/>
        <w:rPr>
          <w:rFonts w:ascii="Times New Roman" w:eastAsia="Times New Roman" w:hAnsi="Times New Roman" w:cs="Times New Roman"/>
          <w:b/>
          <w:bCs/>
          <w:sz w:val="22"/>
          <w:szCs w:val="22"/>
        </w:rPr>
      </w:pPr>
    </w:p>
    <w:p w14:paraId="6C257006" w14:textId="77777777" w:rsidR="001951B9" w:rsidRDefault="001951B9" w:rsidP="005448A7">
      <w:pPr>
        <w:spacing w:line="240" w:lineRule="auto"/>
        <w:jc w:val="both"/>
        <w:rPr>
          <w:rFonts w:ascii="Times New Roman" w:eastAsia="Times New Roman" w:hAnsi="Times New Roman" w:cs="Times New Roman"/>
          <w:b/>
          <w:bCs/>
          <w:sz w:val="22"/>
          <w:szCs w:val="22"/>
        </w:rPr>
      </w:pPr>
    </w:p>
    <w:p w14:paraId="484B1652" w14:textId="77777777" w:rsidR="008107B3" w:rsidRDefault="008107B3" w:rsidP="005448A7">
      <w:pPr>
        <w:spacing w:line="240" w:lineRule="auto"/>
        <w:jc w:val="both"/>
        <w:rPr>
          <w:rFonts w:ascii="Times New Roman" w:eastAsia="Times New Roman" w:hAnsi="Times New Roman" w:cs="Times New Roman"/>
          <w:sz w:val="22"/>
          <w:szCs w:val="22"/>
        </w:rPr>
      </w:pPr>
    </w:p>
    <w:p w14:paraId="1E18A1F3" w14:textId="77777777" w:rsidR="00AD544A" w:rsidRDefault="00AD544A" w:rsidP="005448A7">
      <w:pPr>
        <w:spacing w:line="240" w:lineRule="auto"/>
        <w:jc w:val="both"/>
        <w:rPr>
          <w:rFonts w:ascii="Times New Roman" w:eastAsia="Times New Roman" w:hAnsi="Times New Roman" w:cs="Times New Roman"/>
          <w:sz w:val="22"/>
          <w:szCs w:val="22"/>
        </w:rPr>
      </w:pPr>
    </w:p>
    <w:p w14:paraId="31D10155" w14:textId="77777777" w:rsidR="00FE1D84" w:rsidRPr="007634A9" w:rsidRDefault="00FE1D84" w:rsidP="005448A7">
      <w:pPr>
        <w:spacing w:line="240" w:lineRule="auto"/>
        <w:jc w:val="both"/>
        <w:rPr>
          <w:rFonts w:ascii="Times New Roman" w:eastAsia="Times New Roman" w:hAnsi="Times New Roman" w:cs="Times New Roman"/>
          <w:sz w:val="22"/>
          <w:szCs w:val="22"/>
        </w:rPr>
      </w:pPr>
    </w:p>
    <w:p w14:paraId="3FC7A4D8" w14:textId="77777777" w:rsidR="00151D5B" w:rsidRPr="002E2DA2" w:rsidRDefault="00C018C8" w:rsidP="00151D5B">
      <w:pPr>
        <w:pStyle w:val="pdq2pgselectionanchorcontainer"/>
        <w:rPr>
          <w:rFonts w:eastAsiaTheme="majorEastAsia"/>
          <w:b/>
          <w:bCs/>
          <w:lang w:val="en-GB"/>
        </w:rPr>
      </w:pPr>
      <w:bookmarkStart w:id="40" w:name="_Toc215132395"/>
      <w:r w:rsidRPr="002E2DA2">
        <w:rPr>
          <w:rFonts w:eastAsiaTheme="majorEastAsia"/>
          <w:b/>
          <w:bCs/>
          <w:lang w:val="en-GB"/>
        </w:rPr>
        <w:lastRenderedPageBreak/>
        <w:t>REFERENCES</w:t>
      </w:r>
      <w:bookmarkEnd w:id="40"/>
      <w:r w:rsidRPr="002E2DA2">
        <w:rPr>
          <w:rFonts w:eastAsiaTheme="majorEastAsia"/>
          <w:b/>
          <w:bCs/>
          <w:lang w:val="en-GB"/>
        </w:rPr>
        <w:t xml:space="preserve">  </w:t>
      </w:r>
    </w:p>
    <w:p w14:paraId="67970D62" w14:textId="455687BF" w:rsidR="00151D5B" w:rsidRPr="002E2DA2" w:rsidRDefault="00151D5B" w:rsidP="00151D5B">
      <w:pPr>
        <w:pStyle w:val="pdq2pgselectionanchorcontainer"/>
      </w:pPr>
      <w:r w:rsidRPr="002E2DA2">
        <w:t>Agustina, R., Dartanto, T., Sitompul, R., Susiloretni, K.A., Suparmi, S., Achadi, E.L., Taher, A., Wirawan, F., Sungkar, S., Sudarmono, P., Shankar, A.H. and Indonesian Health Systems Group (2019)</w:t>
      </w:r>
      <w:r w:rsidR="00AB56DD" w:rsidRPr="002E2DA2">
        <w:t>.</w:t>
      </w:r>
      <w:r w:rsidRPr="002E2DA2">
        <w:t xml:space="preserve"> ‘Universal health coverage in Indonesia: Concept, progress, and challenges’, </w:t>
      </w:r>
      <w:r w:rsidRPr="002E2DA2">
        <w:rPr>
          <w:rStyle w:val="Emphasis"/>
        </w:rPr>
        <w:t>The Lancet</w:t>
      </w:r>
      <w:r w:rsidRPr="002E2DA2">
        <w:t>, 393(10166), pp. 75–102.</w:t>
      </w:r>
    </w:p>
    <w:p w14:paraId="28E9443E" w14:textId="20645D28" w:rsidR="00151D5B" w:rsidRPr="002E2DA2" w:rsidRDefault="00151D5B" w:rsidP="00151D5B">
      <w:pPr>
        <w:pStyle w:val="NormalWeb"/>
      </w:pPr>
      <w:r w:rsidRPr="002E2DA2">
        <w:t>Agyepong, I.A. and Adjei, S. (2008)</w:t>
      </w:r>
      <w:r w:rsidR="00AB56DD" w:rsidRPr="002E2DA2">
        <w:t>.</w:t>
      </w:r>
      <w:r w:rsidRPr="002E2DA2">
        <w:t xml:space="preserve"> ‘Public social policy development and implementation: A case study of the Ghana National Health Insurance Scheme’, </w:t>
      </w:r>
      <w:r w:rsidRPr="002E2DA2">
        <w:rPr>
          <w:rStyle w:val="Emphasis"/>
        </w:rPr>
        <w:t>Health Policy and Planning</w:t>
      </w:r>
      <w:r w:rsidRPr="002E2DA2">
        <w:t>, 23(2), pp. 150–160.</w:t>
      </w:r>
    </w:p>
    <w:p w14:paraId="17EBB79F" w14:textId="55225003" w:rsidR="00151D5B" w:rsidRPr="002E2DA2" w:rsidRDefault="00151D5B" w:rsidP="00151D5B">
      <w:pPr>
        <w:pStyle w:val="NormalWeb"/>
      </w:pPr>
      <w:r w:rsidRPr="002E2DA2">
        <w:t>Andersen, R.M. (1995)</w:t>
      </w:r>
      <w:r w:rsidR="00AB56DD" w:rsidRPr="002E2DA2">
        <w:t>.</w:t>
      </w:r>
      <w:r w:rsidRPr="002E2DA2">
        <w:t xml:space="preserve"> ‘Revisiting the behavioral model and access to medical care: Does it matter?’, </w:t>
      </w:r>
      <w:r w:rsidRPr="002E2DA2">
        <w:rPr>
          <w:rStyle w:val="Emphasis"/>
        </w:rPr>
        <w:t>Journal of Health and Social Behavior</w:t>
      </w:r>
      <w:r w:rsidRPr="002E2DA2">
        <w:t>, 36(1), pp. 1–10.</w:t>
      </w:r>
    </w:p>
    <w:p w14:paraId="48F011F9" w14:textId="20937CAA" w:rsidR="00151D5B" w:rsidRPr="002E2DA2" w:rsidRDefault="00151D5B" w:rsidP="00151D5B">
      <w:pPr>
        <w:pStyle w:val="NormalWeb"/>
      </w:pPr>
      <w:r w:rsidRPr="002E2DA2">
        <w:t>Barasa, E., Kazungu, J., Nguhiu, P. and Ravishankar, N. (2018)</w:t>
      </w:r>
      <w:r w:rsidR="00AB56DD" w:rsidRPr="002E2DA2">
        <w:t>.</w:t>
      </w:r>
      <w:r w:rsidRPr="002E2DA2">
        <w:t xml:space="preserve"> ‘Examining the sustainability of health financing in Kenya in the context of universal health coverage’, </w:t>
      </w:r>
      <w:r w:rsidRPr="002E2DA2">
        <w:rPr>
          <w:rStyle w:val="Emphasis"/>
        </w:rPr>
        <w:t>Health Systems &amp; Reform</w:t>
      </w:r>
      <w:r w:rsidRPr="002E2DA2">
        <w:t>, 4(3), pp. 182–194.</w:t>
      </w:r>
    </w:p>
    <w:p w14:paraId="3CEE54AD" w14:textId="6FA4CE83" w:rsidR="00151D5B" w:rsidRPr="002E2DA2" w:rsidRDefault="00151D5B" w:rsidP="00151D5B">
      <w:pPr>
        <w:pStyle w:val="NormalWeb"/>
      </w:pPr>
      <w:r w:rsidRPr="002E2DA2">
        <w:t>Basaza, R., Criel, B. and Van der Stuyft, P. (2008)</w:t>
      </w:r>
      <w:r w:rsidR="00AB56DD" w:rsidRPr="002E2DA2">
        <w:t>.</w:t>
      </w:r>
      <w:r w:rsidRPr="002E2DA2">
        <w:t xml:space="preserve"> ‘Community health insurance in Uganda: Why does enrolment remain low? A view from beneath’, </w:t>
      </w:r>
      <w:r w:rsidRPr="002E2DA2">
        <w:rPr>
          <w:rStyle w:val="Emphasis"/>
        </w:rPr>
        <w:t>Health Policy</w:t>
      </w:r>
      <w:r w:rsidRPr="002E2DA2">
        <w:t>, 87(2), pp. 172–184.</w:t>
      </w:r>
    </w:p>
    <w:p w14:paraId="1E3334CF" w14:textId="42B151F2" w:rsidR="00151D5B" w:rsidRPr="002E2DA2" w:rsidRDefault="00151D5B" w:rsidP="00151D5B">
      <w:pPr>
        <w:pStyle w:val="NormalWeb"/>
      </w:pPr>
      <w:r w:rsidRPr="002E2DA2">
        <w:t>Belmont Report (2024)</w:t>
      </w:r>
      <w:r w:rsidR="00AB56DD" w:rsidRPr="002E2DA2">
        <w:t>.</w:t>
      </w:r>
      <w:r w:rsidRPr="002E2DA2">
        <w:t xml:space="preserve"> </w:t>
      </w:r>
      <w:r w:rsidRPr="002E2DA2">
        <w:rPr>
          <w:rStyle w:val="Emphasis"/>
        </w:rPr>
        <w:t>Ethical Principles and Guidelines for the Protection of Human Subjects of Research</w:t>
      </w:r>
      <w:r w:rsidRPr="002E2DA2">
        <w:t>. Washington, DC: U.S. Department of Health and Human Services.</w:t>
      </w:r>
    </w:p>
    <w:p w14:paraId="2D7DB960" w14:textId="2D354500" w:rsidR="00151D5B" w:rsidRPr="002E2DA2" w:rsidRDefault="00151D5B" w:rsidP="00151D5B">
      <w:pPr>
        <w:pStyle w:val="NormalWeb"/>
      </w:pPr>
      <w:r w:rsidRPr="002E2DA2">
        <w:t>Central Statistical Office (2022)</w:t>
      </w:r>
      <w:r w:rsidR="00AB56DD" w:rsidRPr="002E2DA2">
        <w:t xml:space="preserve">. </w:t>
      </w:r>
      <w:r w:rsidRPr="002E2DA2">
        <w:rPr>
          <w:rStyle w:val="Emphasis"/>
        </w:rPr>
        <w:t>Zambia Labour Force Survey Report 2022</w:t>
      </w:r>
      <w:r w:rsidRPr="002E2DA2">
        <w:t>. Lusaka: Government of Zambia.</w:t>
      </w:r>
    </w:p>
    <w:p w14:paraId="4B3D58FD" w14:textId="713FD6AD" w:rsidR="00151D5B" w:rsidRPr="002E2DA2" w:rsidRDefault="00724A02" w:rsidP="00151D5B">
      <w:pPr>
        <w:pStyle w:val="NormalWeb"/>
      </w:pPr>
      <w:r w:rsidRPr="002E2DA2">
        <w:t>Chitah, B.M., Chansa, C., Kaonga, O. and Workie, N.W. (2018) ‘</w:t>
      </w:r>
      <w:r w:rsidR="003F515C" w:rsidRPr="002E2DA2">
        <w:t>Myriads</w:t>
      </w:r>
      <w:r w:rsidRPr="002E2DA2">
        <w:t xml:space="preserve"> of health care financing reforms in Zambia: Have the poor benefited?’, </w:t>
      </w:r>
      <w:r w:rsidRPr="002E2DA2">
        <w:rPr>
          <w:rStyle w:val="Emphasis"/>
        </w:rPr>
        <w:t>Health Systems &amp; Reform</w:t>
      </w:r>
      <w:r w:rsidRPr="002E2DA2">
        <w:t>, 4(4), pp. 313–323.</w:t>
      </w:r>
    </w:p>
    <w:p w14:paraId="0B8BB5D5" w14:textId="7DAFA383" w:rsidR="00151D5B" w:rsidRPr="002E2DA2" w:rsidRDefault="00151D5B" w:rsidP="00151D5B">
      <w:pPr>
        <w:pStyle w:val="NormalWeb"/>
      </w:pPr>
      <w:r w:rsidRPr="002E2DA2">
        <w:t>Chemouni, B. (2018)</w:t>
      </w:r>
      <w:r w:rsidR="00AB56DD" w:rsidRPr="002E2DA2">
        <w:t>.</w:t>
      </w:r>
      <w:r w:rsidRPr="002E2DA2">
        <w:t xml:space="preserve"> ‘The political path to universal health coverage: Power, ideas and community-based health insurance in Rwanda’, </w:t>
      </w:r>
      <w:r w:rsidRPr="002E2DA2">
        <w:rPr>
          <w:rStyle w:val="Emphasis"/>
        </w:rPr>
        <w:t>World Development</w:t>
      </w:r>
      <w:r w:rsidRPr="002E2DA2">
        <w:t>, 106, pp. 87–98.</w:t>
      </w:r>
    </w:p>
    <w:p w14:paraId="09CB70A4" w14:textId="06C2E3F3" w:rsidR="00151D5B" w:rsidRPr="002E2DA2" w:rsidRDefault="00151D5B" w:rsidP="00151D5B">
      <w:pPr>
        <w:pStyle w:val="NormalWeb"/>
      </w:pPr>
      <w:r w:rsidRPr="002E2DA2">
        <w:t>Cochran, W.G. (1977)</w:t>
      </w:r>
      <w:r w:rsidR="00AB56DD" w:rsidRPr="002E2DA2">
        <w:t>.</w:t>
      </w:r>
      <w:r w:rsidRPr="002E2DA2">
        <w:t xml:space="preserve"> </w:t>
      </w:r>
      <w:r w:rsidRPr="002E2DA2">
        <w:rPr>
          <w:rStyle w:val="Emphasis"/>
        </w:rPr>
        <w:t>Sampling Techniques</w:t>
      </w:r>
      <w:r w:rsidRPr="002E2DA2">
        <w:t>. 3rd edn. New York: John Wiley &amp; Sons.</w:t>
      </w:r>
    </w:p>
    <w:p w14:paraId="7838179B" w14:textId="77777777" w:rsidR="0082522D" w:rsidRPr="002E2DA2" w:rsidRDefault="00151D5B" w:rsidP="00151D5B">
      <w:pPr>
        <w:pStyle w:val="NormalWeb"/>
      </w:pPr>
      <w:r w:rsidRPr="002E2DA2">
        <w:t>Creswell, J.W. and Plano Clark, V.L. (2018)</w:t>
      </w:r>
      <w:r w:rsidR="00AB56DD" w:rsidRPr="002E2DA2">
        <w:t>.</w:t>
      </w:r>
      <w:r w:rsidRPr="002E2DA2">
        <w:t xml:space="preserve"> </w:t>
      </w:r>
      <w:r w:rsidRPr="002E2DA2">
        <w:rPr>
          <w:rStyle w:val="Emphasis"/>
        </w:rPr>
        <w:t>Designing and Conducting Mixed Methods Research</w:t>
      </w:r>
      <w:r w:rsidRPr="002E2DA2">
        <w:t>. 3rd edn. Thousand Oaks, CA: Sage Publications.</w:t>
      </w:r>
      <w:r w:rsidR="0082522D" w:rsidRPr="002E2DA2">
        <w:t xml:space="preserve"> </w:t>
      </w:r>
    </w:p>
    <w:p w14:paraId="00FA0696" w14:textId="649BC711" w:rsidR="0082522D" w:rsidRPr="002E2DA2" w:rsidRDefault="0082522D" w:rsidP="00151D5B">
      <w:pPr>
        <w:pStyle w:val="NormalWeb"/>
      </w:pPr>
      <w:r w:rsidRPr="002E2DA2">
        <w:t>Dror, D.M., Hossain, S.A.S., Majumdar, A., Pérez Koehlmoos, T.L., John, D.</w:t>
      </w:r>
      <w:r w:rsidR="000D05F0" w:rsidRPr="002E2DA2">
        <w:t>,</w:t>
      </w:r>
      <w:r w:rsidRPr="002E2DA2">
        <w:t xml:space="preserve"> and Panda, P.K. (2016)</w:t>
      </w:r>
      <w:r w:rsidR="000D05F0" w:rsidRPr="002E2DA2">
        <w:t>.</w:t>
      </w:r>
      <w:r w:rsidRPr="002E2DA2">
        <w:t xml:space="preserve"> ‘What factors affect voluntary uptake of community-based health insurance schemes in low- and middle-income countries? A systematic review and meta-analysis, PLoS ONE, 11(8), e0160479.</w:t>
      </w:r>
    </w:p>
    <w:p w14:paraId="75492654" w14:textId="37A24215" w:rsidR="00151D5B" w:rsidRPr="002E2DA2" w:rsidRDefault="00151D5B" w:rsidP="00151D5B">
      <w:pPr>
        <w:pStyle w:val="NormalWeb"/>
      </w:pPr>
      <w:r w:rsidRPr="002E2DA2">
        <w:t>Etikan, I. and Bala, K. (2017)</w:t>
      </w:r>
      <w:r w:rsidR="00AB56DD" w:rsidRPr="002E2DA2">
        <w:t>.</w:t>
      </w:r>
      <w:r w:rsidRPr="002E2DA2">
        <w:t xml:space="preserve"> ‘Sampling and sampling methods’, </w:t>
      </w:r>
      <w:r w:rsidRPr="002E2DA2">
        <w:rPr>
          <w:rStyle w:val="Emphasis"/>
        </w:rPr>
        <w:t>Biometrics and Biostatistics International Journal</w:t>
      </w:r>
      <w:r w:rsidRPr="002E2DA2">
        <w:t>, 5(6), pp. 215–217.</w:t>
      </w:r>
    </w:p>
    <w:p w14:paraId="1250604D" w14:textId="3E32A2F4" w:rsidR="00151D5B" w:rsidRPr="002E2DA2" w:rsidRDefault="00151D5B" w:rsidP="00151D5B">
      <w:pPr>
        <w:pStyle w:val="NormalWeb"/>
      </w:pPr>
      <w:r w:rsidRPr="002E2DA2">
        <w:t xml:space="preserve">Guest, G., Bunce, A. and Johnson, L. (2006) ‘How many interviews are enough? An experiment with data saturation and variability, </w:t>
      </w:r>
      <w:r w:rsidRPr="002E2DA2">
        <w:rPr>
          <w:rStyle w:val="Emphasis"/>
        </w:rPr>
        <w:t>Field Methods</w:t>
      </w:r>
      <w:r w:rsidRPr="002E2DA2">
        <w:t>, 18(1), pp. 59–82.</w:t>
      </w:r>
    </w:p>
    <w:p w14:paraId="308B2026" w14:textId="7EE1F9A1" w:rsidR="00151D5B" w:rsidRPr="002E2DA2" w:rsidRDefault="00151D5B" w:rsidP="00151D5B">
      <w:pPr>
        <w:pStyle w:val="NormalWeb"/>
      </w:pPr>
      <w:r w:rsidRPr="002E2DA2">
        <w:lastRenderedPageBreak/>
        <w:t>Heale, R. and Twycross, A. (2015)</w:t>
      </w:r>
      <w:r w:rsidR="00AB56DD" w:rsidRPr="002E2DA2">
        <w:t>.</w:t>
      </w:r>
      <w:r w:rsidRPr="002E2DA2">
        <w:t xml:space="preserve"> ‘Validity and reliability in quantitative studies’, </w:t>
      </w:r>
      <w:r w:rsidRPr="002E2DA2">
        <w:rPr>
          <w:rStyle w:val="Emphasis"/>
        </w:rPr>
        <w:t>Evidence-Based Nursing</w:t>
      </w:r>
      <w:r w:rsidRPr="002E2DA2">
        <w:t>, 18(3), pp. 66–67.</w:t>
      </w:r>
    </w:p>
    <w:p w14:paraId="645D11CB" w14:textId="45A52E00" w:rsidR="00151D5B" w:rsidRPr="002E2DA2" w:rsidRDefault="00151D5B" w:rsidP="00151D5B">
      <w:pPr>
        <w:pStyle w:val="NormalWeb"/>
      </w:pPr>
      <w:r w:rsidRPr="002E2DA2">
        <w:t>Hussien, H., Mohammed, M.</w:t>
      </w:r>
      <w:r w:rsidR="004238EA">
        <w:t>,</w:t>
      </w:r>
      <w:r w:rsidRPr="002E2DA2">
        <w:t xml:space="preserve"> and Ayele, T. (2021)</w:t>
      </w:r>
      <w:r w:rsidR="00AB56DD" w:rsidRPr="002E2DA2">
        <w:t>.</w:t>
      </w:r>
      <w:r w:rsidRPr="002E2DA2">
        <w:t xml:space="preserve"> ‘Predictors of enrolment in community-based health insurance schemes in Ethiopia’, </w:t>
      </w:r>
      <w:r w:rsidRPr="002E2DA2">
        <w:rPr>
          <w:rStyle w:val="Emphasis"/>
        </w:rPr>
        <w:t>PLOS ONE</w:t>
      </w:r>
      <w:r w:rsidRPr="002E2DA2">
        <w:t>, 16(7), e0254500.</w:t>
      </w:r>
    </w:p>
    <w:p w14:paraId="6180773B" w14:textId="6CE29382" w:rsidR="00151D5B" w:rsidRPr="002E2DA2" w:rsidRDefault="00151D5B" w:rsidP="00151D5B">
      <w:pPr>
        <w:pStyle w:val="NormalWeb"/>
      </w:pPr>
      <w:r w:rsidRPr="002E2DA2">
        <w:t>International Labour Organization (2021)</w:t>
      </w:r>
      <w:r w:rsidR="004238EA">
        <w:t>.</w:t>
      </w:r>
      <w:r w:rsidRPr="002E2DA2">
        <w:t xml:space="preserve"> </w:t>
      </w:r>
      <w:r w:rsidRPr="002E2DA2">
        <w:rPr>
          <w:rStyle w:val="Emphasis"/>
        </w:rPr>
        <w:t>Extending Social Health Protection in Zambia</w:t>
      </w:r>
      <w:r w:rsidRPr="002E2DA2">
        <w:t>. Geneva: International Labour Organization.</w:t>
      </w:r>
    </w:p>
    <w:p w14:paraId="186AEE26" w14:textId="426AB508" w:rsidR="00151D5B" w:rsidRPr="002E2DA2" w:rsidRDefault="00151D5B" w:rsidP="00151D5B">
      <w:pPr>
        <w:pStyle w:val="NormalWeb"/>
      </w:pPr>
      <w:r w:rsidRPr="002E2DA2">
        <w:t>Janz, N.K. and Becker, M.H. (1984)</w:t>
      </w:r>
      <w:r w:rsidR="00AB56DD" w:rsidRPr="002E2DA2">
        <w:t>.</w:t>
      </w:r>
      <w:r w:rsidRPr="002E2DA2">
        <w:t xml:space="preserve"> ‘The Health Belief Model: A decade later’, </w:t>
      </w:r>
      <w:r w:rsidRPr="002E2DA2">
        <w:rPr>
          <w:rStyle w:val="Emphasis"/>
        </w:rPr>
        <w:t>Health Education Quarterly</w:t>
      </w:r>
      <w:r w:rsidRPr="002E2DA2">
        <w:t>, 11(1), pp. 1–47.</w:t>
      </w:r>
    </w:p>
    <w:p w14:paraId="593EE7DE" w14:textId="26C72F34" w:rsidR="00151D5B" w:rsidRPr="002E2DA2" w:rsidRDefault="00151D5B" w:rsidP="00151D5B">
      <w:pPr>
        <w:pStyle w:val="NormalWeb"/>
      </w:pPr>
      <w:r w:rsidRPr="002E2DA2">
        <w:t>Kebede, A., Tefera, B. and Mekonnen, D. (2024)</w:t>
      </w:r>
      <w:r w:rsidR="00AB56DD" w:rsidRPr="002E2DA2">
        <w:t>.</w:t>
      </w:r>
      <w:r w:rsidRPr="002E2DA2">
        <w:t xml:space="preserve"> ‘Perceived barriers to community-based health insurance enrolment in Ethiopia: A mixed-methods study’, </w:t>
      </w:r>
      <w:r w:rsidRPr="002E2DA2">
        <w:rPr>
          <w:rStyle w:val="Emphasis"/>
        </w:rPr>
        <w:t>BMJ Open</w:t>
      </w:r>
      <w:r w:rsidRPr="002E2DA2">
        <w:t>, 14(1), e078132.</w:t>
      </w:r>
    </w:p>
    <w:p w14:paraId="31005E0A" w14:textId="77777777" w:rsidR="00151D5B" w:rsidRPr="002E2DA2" w:rsidRDefault="00151D5B" w:rsidP="00151D5B">
      <w:pPr>
        <w:pStyle w:val="NormalWeb"/>
      </w:pPr>
      <w:r w:rsidRPr="002E2DA2">
        <w:t xml:space="preserve">National Health Insurance Act No. 2 of 2018 (2018) </w:t>
      </w:r>
      <w:r w:rsidRPr="002E2DA2">
        <w:rPr>
          <w:rStyle w:val="Emphasis"/>
        </w:rPr>
        <w:t>Government Gazette</w:t>
      </w:r>
      <w:r w:rsidRPr="002E2DA2">
        <w:t>. Lusaka: Government Printer.</w:t>
      </w:r>
    </w:p>
    <w:p w14:paraId="76246611" w14:textId="49B7AF26" w:rsidR="00151D5B" w:rsidRPr="002E2DA2" w:rsidRDefault="00151D5B" w:rsidP="00151D5B">
      <w:pPr>
        <w:pStyle w:val="NormalWeb"/>
      </w:pPr>
      <w:r w:rsidRPr="002E2DA2">
        <w:t>National Health Insurance Management Authority (2021)</w:t>
      </w:r>
      <w:r w:rsidR="00AB56DD" w:rsidRPr="002E2DA2">
        <w:t>.</w:t>
      </w:r>
      <w:r w:rsidRPr="002E2DA2">
        <w:t xml:space="preserve"> </w:t>
      </w:r>
      <w:r w:rsidRPr="002E2DA2">
        <w:rPr>
          <w:rStyle w:val="Emphasis"/>
        </w:rPr>
        <w:t>Annual Report 2021</w:t>
      </w:r>
      <w:r w:rsidRPr="002E2DA2">
        <w:t>. Lusaka: National Health Insurance Management Authority.</w:t>
      </w:r>
    </w:p>
    <w:p w14:paraId="6D6CA278" w14:textId="0F22EBAB" w:rsidR="00151D5B" w:rsidRPr="002E2DA2" w:rsidRDefault="00151D5B" w:rsidP="00151D5B">
      <w:pPr>
        <w:pStyle w:val="NormalWeb"/>
      </w:pPr>
      <w:r w:rsidRPr="002E2DA2">
        <w:t>National Health Insurance Management Authority (2023)</w:t>
      </w:r>
      <w:r w:rsidR="00AB56DD" w:rsidRPr="002E2DA2">
        <w:t>.</w:t>
      </w:r>
      <w:r w:rsidRPr="002E2DA2">
        <w:t xml:space="preserve"> </w:t>
      </w:r>
      <w:r w:rsidRPr="002E2DA2">
        <w:rPr>
          <w:rStyle w:val="Emphasis"/>
        </w:rPr>
        <w:t>Annual Report 2023</w:t>
      </w:r>
      <w:r w:rsidRPr="002E2DA2">
        <w:t>. Lusaka: National Health Insurance Management Authority.</w:t>
      </w:r>
    </w:p>
    <w:p w14:paraId="7BA1BF04" w14:textId="614780BE" w:rsidR="00151D5B" w:rsidRPr="002E2DA2" w:rsidRDefault="00151D5B" w:rsidP="00151D5B">
      <w:pPr>
        <w:pStyle w:val="NormalWeb"/>
      </w:pPr>
      <w:r w:rsidRPr="002E2DA2">
        <w:t>National Health Insurance Management Authority (2024)</w:t>
      </w:r>
      <w:r w:rsidR="00AB56DD" w:rsidRPr="002E2DA2">
        <w:t>.</w:t>
      </w:r>
      <w:r w:rsidRPr="002E2DA2">
        <w:t xml:space="preserve"> </w:t>
      </w:r>
      <w:r w:rsidRPr="002E2DA2">
        <w:rPr>
          <w:rStyle w:val="Emphasis"/>
        </w:rPr>
        <w:t>National Health Insurance Scheme Implementation Report</w:t>
      </w:r>
      <w:r w:rsidRPr="002E2DA2">
        <w:t>. Lusaka: National Health Insurance Management Authority.</w:t>
      </w:r>
    </w:p>
    <w:p w14:paraId="0729EC2D" w14:textId="4B41D671" w:rsidR="00151D5B" w:rsidRPr="002E2DA2" w:rsidRDefault="00151D5B" w:rsidP="00151D5B">
      <w:pPr>
        <w:pStyle w:val="NormalWeb"/>
      </w:pPr>
      <w:r w:rsidRPr="002E2DA2">
        <w:t>Ocan, M., Amutuhaire, W.</w:t>
      </w:r>
      <w:r w:rsidR="004238EA">
        <w:t>,</w:t>
      </w:r>
      <w:r w:rsidRPr="002E2DA2">
        <w:t xml:space="preserve"> and Opigo, J. (2019)</w:t>
      </w:r>
      <w:r w:rsidR="00AB56DD" w:rsidRPr="002E2DA2">
        <w:t>.</w:t>
      </w:r>
      <w:r w:rsidRPr="002E2DA2">
        <w:t xml:space="preserve"> ‘Barriers to enrollment in voluntary health insurance schemes among informal sector workers in Sub-Saharan Africa: A systematic review’, </w:t>
      </w:r>
      <w:r w:rsidRPr="002E2DA2">
        <w:rPr>
          <w:rStyle w:val="Emphasis"/>
        </w:rPr>
        <w:t>Health Policy and Planning</w:t>
      </w:r>
      <w:r w:rsidRPr="002E2DA2">
        <w:t>, 34(2), pp. 140–152.</w:t>
      </w:r>
    </w:p>
    <w:p w14:paraId="374DDCBB" w14:textId="77777777" w:rsidR="0029429A" w:rsidRPr="002E2DA2" w:rsidRDefault="00151D5B" w:rsidP="00151D5B">
      <w:pPr>
        <w:pStyle w:val="NormalWeb"/>
      </w:pPr>
      <w:r w:rsidRPr="002E2DA2">
        <w:t>Rosenstock, I.M. (1974)</w:t>
      </w:r>
      <w:r w:rsidR="00AB56DD" w:rsidRPr="002E2DA2">
        <w:t>.</w:t>
      </w:r>
      <w:r w:rsidRPr="002E2DA2">
        <w:t xml:space="preserve"> ‘Historical origins of the Health Belief Model’, </w:t>
      </w:r>
      <w:r w:rsidRPr="002E2DA2">
        <w:rPr>
          <w:rStyle w:val="Emphasis"/>
        </w:rPr>
        <w:t>Health Education Monographs</w:t>
      </w:r>
      <w:r w:rsidRPr="002E2DA2">
        <w:t>, 2(4), pp. 328–335.</w:t>
      </w:r>
      <w:r w:rsidR="0029429A" w:rsidRPr="002E2DA2">
        <w:t xml:space="preserve"> </w:t>
      </w:r>
    </w:p>
    <w:p w14:paraId="78CBC244" w14:textId="4119C9AD" w:rsidR="0029429A" w:rsidRPr="002E2DA2" w:rsidRDefault="0029429A" w:rsidP="00151D5B">
      <w:pPr>
        <w:pStyle w:val="NormalWeb"/>
      </w:pPr>
      <w:r w:rsidRPr="002E2DA2">
        <w:t xml:space="preserve">Republic of Zambia (2022) </w:t>
      </w:r>
      <w:r w:rsidRPr="002E2DA2">
        <w:rPr>
          <w:rStyle w:val="Emphasis"/>
        </w:rPr>
        <w:t>National Health Strategic Plan 2022–2026</w:t>
      </w:r>
      <w:r w:rsidRPr="002E2DA2">
        <w:t>. Lusaka: Ministry of Health.</w:t>
      </w:r>
    </w:p>
    <w:p w14:paraId="7A2BD4B4" w14:textId="358866EE" w:rsidR="00151D5B" w:rsidRPr="002E2DA2" w:rsidRDefault="00151D5B" w:rsidP="00151D5B">
      <w:pPr>
        <w:pStyle w:val="NormalWeb"/>
      </w:pPr>
      <w:r w:rsidRPr="002E2DA2">
        <w:t>Salehe, F.S. (2025)</w:t>
      </w:r>
      <w:r w:rsidR="00AB56DD" w:rsidRPr="002E2DA2">
        <w:t>.</w:t>
      </w:r>
      <w:r w:rsidRPr="002E2DA2">
        <w:t xml:space="preserve"> ‘Tailoring communication to enhance health insurance uptake among informal workers’, </w:t>
      </w:r>
      <w:r w:rsidRPr="002E2DA2">
        <w:rPr>
          <w:rStyle w:val="Emphasis"/>
        </w:rPr>
        <w:t>Journal of Development Economics</w:t>
      </w:r>
      <w:r w:rsidRPr="002E2DA2">
        <w:t>, 168, 103245.</w:t>
      </w:r>
    </w:p>
    <w:p w14:paraId="7E8BE84F" w14:textId="204F5578" w:rsidR="00151D5B" w:rsidRPr="002E2DA2" w:rsidRDefault="00151D5B" w:rsidP="00151D5B">
      <w:pPr>
        <w:pStyle w:val="NormalWeb"/>
      </w:pPr>
      <w:r w:rsidRPr="002E2DA2">
        <w:t>Saunders, M., Lewis, P. and Thornhill, A. (2024)</w:t>
      </w:r>
      <w:r w:rsidR="00AB56DD" w:rsidRPr="002E2DA2">
        <w:t>.</w:t>
      </w:r>
      <w:r w:rsidRPr="002E2DA2">
        <w:t xml:space="preserve"> </w:t>
      </w:r>
      <w:r w:rsidRPr="002E2DA2">
        <w:rPr>
          <w:rStyle w:val="Emphasis"/>
        </w:rPr>
        <w:t>Research Methods for Business Students</w:t>
      </w:r>
      <w:r w:rsidRPr="002E2DA2">
        <w:t>. 8th edn. Harlow: Pearson Education.</w:t>
      </w:r>
    </w:p>
    <w:p w14:paraId="585C26B1" w14:textId="1E8EB264" w:rsidR="00151D5B" w:rsidRPr="002E2DA2" w:rsidRDefault="00151D5B" w:rsidP="00151D5B">
      <w:pPr>
        <w:pStyle w:val="NormalWeb"/>
      </w:pPr>
      <w:r w:rsidRPr="002E2DA2">
        <w:t>Tavakol, M. and Dennick, R. (2011)</w:t>
      </w:r>
      <w:r w:rsidR="00AB56DD" w:rsidRPr="002E2DA2">
        <w:t>.</w:t>
      </w:r>
      <w:r w:rsidRPr="002E2DA2">
        <w:t xml:space="preserve"> ‘Making sense of Cronbach’s alpha’, </w:t>
      </w:r>
      <w:r w:rsidRPr="002E2DA2">
        <w:rPr>
          <w:rStyle w:val="Emphasis"/>
        </w:rPr>
        <w:t>International Journal of Medical Education</w:t>
      </w:r>
      <w:r w:rsidRPr="002E2DA2">
        <w:t>, 2, pp. 53–55.</w:t>
      </w:r>
    </w:p>
    <w:p w14:paraId="62454837" w14:textId="635E58FA" w:rsidR="00151D5B" w:rsidRPr="002E2DA2" w:rsidRDefault="00151D5B" w:rsidP="00151D5B">
      <w:pPr>
        <w:pStyle w:val="NormalWeb"/>
      </w:pPr>
      <w:r w:rsidRPr="002E2DA2">
        <w:t>United Nations (2015)</w:t>
      </w:r>
      <w:r w:rsidR="00AB56DD" w:rsidRPr="002E2DA2">
        <w:t>.</w:t>
      </w:r>
      <w:r w:rsidRPr="002E2DA2">
        <w:t xml:space="preserve"> </w:t>
      </w:r>
      <w:r w:rsidRPr="002E2DA2">
        <w:rPr>
          <w:rStyle w:val="Emphasis"/>
        </w:rPr>
        <w:t>Transforming Our World: The 2030 Agenda for Sustainable Development</w:t>
      </w:r>
      <w:r w:rsidRPr="002E2DA2">
        <w:t>. New York: United Nations.</w:t>
      </w:r>
    </w:p>
    <w:p w14:paraId="16F03FBF" w14:textId="4CE198D1" w:rsidR="00151D5B" w:rsidRPr="002E2DA2" w:rsidRDefault="00151D5B" w:rsidP="00151D5B">
      <w:pPr>
        <w:pStyle w:val="NormalWeb"/>
      </w:pPr>
      <w:r w:rsidRPr="002E2DA2">
        <w:lastRenderedPageBreak/>
        <w:t>World Bank (2023)</w:t>
      </w:r>
      <w:r w:rsidR="00AB56DD" w:rsidRPr="002E2DA2">
        <w:t>.</w:t>
      </w:r>
      <w:r w:rsidRPr="002E2DA2">
        <w:t xml:space="preserve"> </w:t>
      </w:r>
      <w:r w:rsidRPr="002E2DA2">
        <w:rPr>
          <w:rStyle w:val="Emphasis"/>
        </w:rPr>
        <w:t>Zambia Public Finance Review: Improving Fiscal Space for Health</w:t>
      </w:r>
      <w:r w:rsidRPr="002E2DA2">
        <w:t>. Washington, DC: World Bank.</w:t>
      </w:r>
    </w:p>
    <w:p w14:paraId="36D5E2BA" w14:textId="056CA406" w:rsidR="00C018C8" w:rsidRPr="002E2DA2" w:rsidRDefault="00151D5B" w:rsidP="000812F5">
      <w:pPr>
        <w:pStyle w:val="NormalWeb"/>
      </w:pPr>
      <w:r w:rsidRPr="002E2DA2">
        <w:t xml:space="preserve">World Health Organization and World Bank (2023) </w:t>
      </w:r>
      <w:r w:rsidRPr="002E2DA2">
        <w:rPr>
          <w:rStyle w:val="Emphasis"/>
        </w:rPr>
        <w:t>Tracking Universal Health Coverage: 2023 Global Monitoring Report</w:t>
      </w:r>
      <w:r w:rsidRPr="002E2DA2">
        <w:t>. Geneva: World Health Organization.</w:t>
      </w:r>
    </w:p>
    <w:sectPr w:rsidR="00C018C8" w:rsidRPr="002E2DA2" w:rsidSect="00C018C8">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A6D34" w14:textId="77777777" w:rsidR="007C627D" w:rsidRDefault="007C627D" w:rsidP="007634A9">
      <w:pPr>
        <w:spacing w:after="0" w:line="240" w:lineRule="auto"/>
      </w:pPr>
      <w:r>
        <w:separator/>
      </w:r>
    </w:p>
  </w:endnote>
  <w:endnote w:type="continuationSeparator" w:id="0">
    <w:p w14:paraId="02EB4F4C" w14:textId="77777777" w:rsidR="007C627D" w:rsidRDefault="007C627D" w:rsidP="00763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03499"/>
      <w:docPartObj>
        <w:docPartGallery w:val="Page Numbers (Bottom of Page)"/>
        <w:docPartUnique/>
      </w:docPartObj>
    </w:sdtPr>
    <w:sdtEndPr>
      <w:rPr>
        <w:noProof/>
      </w:rPr>
    </w:sdtEndPr>
    <w:sdtContent>
      <w:p w14:paraId="40B7DA1B" w14:textId="77777777" w:rsidR="00C018C8" w:rsidRDefault="00C018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371639" w14:textId="77777777" w:rsidR="00C018C8" w:rsidRDefault="00C01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04204" w14:textId="77777777" w:rsidR="007C627D" w:rsidRDefault="007C627D" w:rsidP="007634A9">
      <w:pPr>
        <w:spacing w:after="0" w:line="240" w:lineRule="auto"/>
      </w:pPr>
      <w:r>
        <w:separator/>
      </w:r>
    </w:p>
  </w:footnote>
  <w:footnote w:type="continuationSeparator" w:id="0">
    <w:p w14:paraId="72ACC0B0" w14:textId="77777777" w:rsidR="007C627D" w:rsidRDefault="007C627D" w:rsidP="007634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789"/>
        </w:tabs>
        <w:ind w:left="7789" w:hanging="360"/>
      </w:pPr>
    </w:lvl>
    <w:lvl w:ilvl="1">
      <w:start w:val="1"/>
      <w:numFmt w:val="lowerLetter"/>
      <w:lvlText w:val="%2."/>
      <w:lvlJc w:val="left"/>
      <w:pPr>
        <w:ind w:left="8509" w:hanging="360"/>
      </w:pPr>
    </w:lvl>
    <w:lvl w:ilvl="2">
      <w:start w:val="1"/>
      <w:numFmt w:val="lowerRoman"/>
      <w:lvlText w:val="%3."/>
      <w:lvlJc w:val="right"/>
      <w:pPr>
        <w:tabs>
          <w:tab w:val="num" w:pos="9229"/>
        </w:tabs>
        <w:ind w:left="9229" w:hanging="180"/>
      </w:pPr>
    </w:lvl>
    <w:lvl w:ilvl="3">
      <w:start w:val="1"/>
      <w:numFmt w:val="decimal"/>
      <w:lvlText w:val="%4."/>
      <w:lvlJc w:val="left"/>
      <w:pPr>
        <w:tabs>
          <w:tab w:val="num" w:pos="9949"/>
        </w:tabs>
        <w:ind w:left="9949" w:hanging="360"/>
      </w:pPr>
    </w:lvl>
    <w:lvl w:ilvl="4">
      <w:start w:val="1"/>
      <w:numFmt w:val="lowerLetter"/>
      <w:lvlText w:val="%5."/>
      <w:lvlJc w:val="left"/>
      <w:pPr>
        <w:tabs>
          <w:tab w:val="num" w:pos="10669"/>
        </w:tabs>
        <w:ind w:left="10669" w:hanging="360"/>
      </w:pPr>
    </w:lvl>
    <w:lvl w:ilvl="5">
      <w:start w:val="1"/>
      <w:numFmt w:val="lowerRoman"/>
      <w:lvlText w:val="%6."/>
      <w:lvlJc w:val="right"/>
      <w:pPr>
        <w:tabs>
          <w:tab w:val="num" w:pos="11389"/>
        </w:tabs>
        <w:ind w:left="11389" w:hanging="180"/>
      </w:pPr>
    </w:lvl>
    <w:lvl w:ilvl="6">
      <w:start w:val="1"/>
      <w:numFmt w:val="decimal"/>
      <w:lvlText w:val="%7."/>
      <w:lvlJc w:val="left"/>
      <w:pPr>
        <w:tabs>
          <w:tab w:val="num" w:pos="12109"/>
        </w:tabs>
        <w:ind w:left="12109" w:hanging="360"/>
      </w:pPr>
    </w:lvl>
    <w:lvl w:ilvl="7">
      <w:start w:val="1"/>
      <w:numFmt w:val="lowerLetter"/>
      <w:lvlText w:val="%8."/>
      <w:lvlJc w:val="left"/>
      <w:pPr>
        <w:tabs>
          <w:tab w:val="num" w:pos="12829"/>
        </w:tabs>
        <w:ind w:left="12829" w:hanging="360"/>
      </w:pPr>
    </w:lvl>
    <w:lvl w:ilvl="8">
      <w:start w:val="1"/>
      <w:numFmt w:val="lowerRoman"/>
      <w:lvlText w:val="%9."/>
      <w:lvlJc w:val="right"/>
      <w:pPr>
        <w:tabs>
          <w:tab w:val="num" w:pos="13549"/>
        </w:tabs>
        <w:ind w:left="13549" w:hanging="180"/>
      </w:pPr>
    </w:lvl>
  </w:abstractNum>
  <w:abstractNum w:abstractNumId="1" w15:restartNumberingAfterBreak="0">
    <w:nsid w:val="27CE349A"/>
    <w:multiLevelType w:val="multilevel"/>
    <w:tmpl w:val="7CE25820"/>
    <w:lvl w:ilvl="0">
      <w:start w:val="3"/>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B8110FC"/>
    <w:multiLevelType w:val="multilevel"/>
    <w:tmpl w:val="901CEAD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DAB121E"/>
    <w:multiLevelType w:val="multilevel"/>
    <w:tmpl w:val="8580F484"/>
    <w:lvl w:ilvl="0">
      <w:start w:val="1"/>
      <w:numFmt w:val="decimal"/>
      <w:lvlText w:val="%1.0"/>
      <w:lvlJc w:val="left"/>
      <w:pPr>
        <w:ind w:left="370" w:hanging="360"/>
      </w:pPr>
      <w:rPr>
        <w:rFonts w:hint="default"/>
      </w:rPr>
    </w:lvl>
    <w:lvl w:ilvl="1">
      <w:start w:val="1"/>
      <w:numFmt w:val="decimal"/>
      <w:lvlText w:val="%1.%2"/>
      <w:lvlJc w:val="left"/>
      <w:pPr>
        <w:ind w:left="1090"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3250" w:hanging="1080"/>
      </w:pPr>
      <w:rPr>
        <w:rFonts w:hint="default"/>
      </w:rPr>
    </w:lvl>
    <w:lvl w:ilvl="4">
      <w:start w:val="1"/>
      <w:numFmt w:val="decimal"/>
      <w:lvlText w:val="%1.%2.%3.%4.%5"/>
      <w:lvlJc w:val="left"/>
      <w:pPr>
        <w:ind w:left="3970" w:hanging="1080"/>
      </w:pPr>
      <w:rPr>
        <w:rFonts w:hint="default"/>
      </w:rPr>
    </w:lvl>
    <w:lvl w:ilvl="5">
      <w:start w:val="1"/>
      <w:numFmt w:val="decimal"/>
      <w:lvlText w:val="%1.%2.%3.%4.%5.%6"/>
      <w:lvlJc w:val="left"/>
      <w:pPr>
        <w:ind w:left="5050" w:hanging="1440"/>
      </w:pPr>
      <w:rPr>
        <w:rFonts w:hint="default"/>
      </w:rPr>
    </w:lvl>
    <w:lvl w:ilvl="6">
      <w:start w:val="1"/>
      <w:numFmt w:val="decimal"/>
      <w:lvlText w:val="%1.%2.%3.%4.%5.%6.%7"/>
      <w:lvlJc w:val="left"/>
      <w:pPr>
        <w:ind w:left="5770" w:hanging="1440"/>
      </w:pPr>
      <w:rPr>
        <w:rFonts w:hint="default"/>
      </w:rPr>
    </w:lvl>
    <w:lvl w:ilvl="7">
      <w:start w:val="1"/>
      <w:numFmt w:val="decimal"/>
      <w:lvlText w:val="%1.%2.%3.%4.%5.%6.%7.%8"/>
      <w:lvlJc w:val="left"/>
      <w:pPr>
        <w:ind w:left="6850" w:hanging="1800"/>
      </w:pPr>
      <w:rPr>
        <w:rFonts w:hint="default"/>
      </w:rPr>
    </w:lvl>
    <w:lvl w:ilvl="8">
      <w:start w:val="1"/>
      <w:numFmt w:val="decimal"/>
      <w:lvlText w:val="%1.%2.%3.%4.%5.%6.%7.%8.%9"/>
      <w:lvlJc w:val="left"/>
      <w:pPr>
        <w:ind w:left="7570" w:hanging="1800"/>
      </w:pPr>
      <w:rPr>
        <w:rFonts w:hint="default"/>
      </w:rPr>
    </w:lvl>
  </w:abstractNum>
  <w:abstractNum w:abstractNumId="4" w15:restartNumberingAfterBreak="0">
    <w:nsid w:val="4B610E5D"/>
    <w:multiLevelType w:val="hybridMultilevel"/>
    <w:tmpl w:val="7576D12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786758A"/>
    <w:multiLevelType w:val="multilevel"/>
    <w:tmpl w:val="F680505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E175A78"/>
    <w:multiLevelType w:val="hybridMultilevel"/>
    <w:tmpl w:val="F8265C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65C86F5B"/>
    <w:multiLevelType w:val="multilevel"/>
    <w:tmpl w:val="8864F274"/>
    <w:lvl w:ilvl="0">
      <w:start w:val="3"/>
      <w:numFmt w:val="decimal"/>
      <w:lvlText w:val="%1"/>
      <w:lvlJc w:val="left"/>
      <w:pPr>
        <w:ind w:left="590" w:hanging="59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72F38DF"/>
    <w:multiLevelType w:val="hybridMultilevel"/>
    <w:tmpl w:val="EF8C4D2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31F2B0E"/>
    <w:multiLevelType w:val="multilevel"/>
    <w:tmpl w:val="C9CE59B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CCD0CF0"/>
    <w:multiLevelType w:val="multilevel"/>
    <w:tmpl w:val="F0DCE10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6569686">
    <w:abstractNumId w:val="5"/>
  </w:num>
  <w:num w:numId="2" w16cid:durableId="341278159">
    <w:abstractNumId w:val="4"/>
  </w:num>
  <w:num w:numId="3" w16cid:durableId="162818938">
    <w:abstractNumId w:val="8"/>
  </w:num>
  <w:num w:numId="4" w16cid:durableId="2066877520">
    <w:abstractNumId w:val="3"/>
  </w:num>
  <w:num w:numId="5" w16cid:durableId="1553692991">
    <w:abstractNumId w:val="2"/>
  </w:num>
  <w:num w:numId="6" w16cid:durableId="2044476046">
    <w:abstractNumId w:val="10"/>
  </w:num>
  <w:num w:numId="7" w16cid:durableId="1585601128">
    <w:abstractNumId w:val="0"/>
  </w:num>
  <w:num w:numId="8" w16cid:durableId="707528816">
    <w:abstractNumId w:val="6"/>
  </w:num>
  <w:num w:numId="9" w16cid:durableId="637761793">
    <w:abstractNumId w:val="1"/>
  </w:num>
  <w:num w:numId="10" w16cid:durableId="194121030">
    <w:abstractNumId w:val="7"/>
  </w:num>
  <w:num w:numId="11" w16cid:durableId="4773053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8C8"/>
    <w:rsid w:val="00003F51"/>
    <w:rsid w:val="00011F72"/>
    <w:rsid w:val="000227FF"/>
    <w:rsid w:val="00025EEB"/>
    <w:rsid w:val="000344FF"/>
    <w:rsid w:val="00040C6B"/>
    <w:rsid w:val="000530D7"/>
    <w:rsid w:val="00057F26"/>
    <w:rsid w:val="000606F6"/>
    <w:rsid w:val="00062750"/>
    <w:rsid w:val="00070E44"/>
    <w:rsid w:val="000736F6"/>
    <w:rsid w:val="000812F5"/>
    <w:rsid w:val="00091B1E"/>
    <w:rsid w:val="000B4895"/>
    <w:rsid w:val="000B5D03"/>
    <w:rsid w:val="000B71E4"/>
    <w:rsid w:val="000D05F0"/>
    <w:rsid w:val="000D09DB"/>
    <w:rsid w:val="000E7709"/>
    <w:rsid w:val="000E79BD"/>
    <w:rsid w:val="00107799"/>
    <w:rsid w:val="0012393B"/>
    <w:rsid w:val="00144C95"/>
    <w:rsid w:val="00150085"/>
    <w:rsid w:val="00151D5B"/>
    <w:rsid w:val="00157692"/>
    <w:rsid w:val="001639EE"/>
    <w:rsid w:val="0019423A"/>
    <w:rsid w:val="001951B9"/>
    <w:rsid w:val="00196B28"/>
    <w:rsid w:val="001A58A7"/>
    <w:rsid w:val="001A7E75"/>
    <w:rsid w:val="001B1590"/>
    <w:rsid w:val="001E02F6"/>
    <w:rsid w:val="001E352F"/>
    <w:rsid w:val="001E61BC"/>
    <w:rsid w:val="001E7109"/>
    <w:rsid w:val="001F1E87"/>
    <w:rsid w:val="00202118"/>
    <w:rsid w:val="00222AD9"/>
    <w:rsid w:val="00224C8D"/>
    <w:rsid w:val="0022680E"/>
    <w:rsid w:val="0023068B"/>
    <w:rsid w:val="002320A3"/>
    <w:rsid w:val="00232270"/>
    <w:rsid w:val="002340A4"/>
    <w:rsid w:val="00236007"/>
    <w:rsid w:val="00236D9D"/>
    <w:rsid w:val="0024112E"/>
    <w:rsid w:val="00261DB3"/>
    <w:rsid w:val="00261E37"/>
    <w:rsid w:val="00262606"/>
    <w:rsid w:val="002829A9"/>
    <w:rsid w:val="002829E6"/>
    <w:rsid w:val="002838A3"/>
    <w:rsid w:val="00290C4E"/>
    <w:rsid w:val="0029429A"/>
    <w:rsid w:val="002A15F0"/>
    <w:rsid w:val="002A44EF"/>
    <w:rsid w:val="002A451C"/>
    <w:rsid w:val="002A5FFA"/>
    <w:rsid w:val="002A7975"/>
    <w:rsid w:val="002B0D14"/>
    <w:rsid w:val="002C14A6"/>
    <w:rsid w:val="002C20BD"/>
    <w:rsid w:val="002C2A4F"/>
    <w:rsid w:val="002C6617"/>
    <w:rsid w:val="002C695B"/>
    <w:rsid w:val="002D3FA2"/>
    <w:rsid w:val="002D5B92"/>
    <w:rsid w:val="002E1212"/>
    <w:rsid w:val="002E2DA2"/>
    <w:rsid w:val="002F0527"/>
    <w:rsid w:val="002F1979"/>
    <w:rsid w:val="002F5A07"/>
    <w:rsid w:val="002F5CAC"/>
    <w:rsid w:val="00302584"/>
    <w:rsid w:val="00305480"/>
    <w:rsid w:val="00310635"/>
    <w:rsid w:val="003208D2"/>
    <w:rsid w:val="003243D0"/>
    <w:rsid w:val="00327CA4"/>
    <w:rsid w:val="003347F8"/>
    <w:rsid w:val="00341265"/>
    <w:rsid w:val="003419ED"/>
    <w:rsid w:val="00342C50"/>
    <w:rsid w:val="003438F7"/>
    <w:rsid w:val="00344534"/>
    <w:rsid w:val="00350B38"/>
    <w:rsid w:val="00362178"/>
    <w:rsid w:val="00390160"/>
    <w:rsid w:val="003B39F9"/>
    <w:rsid w:val="003C2624"/>
    <w:rsid w:val="003D0965"/>
    <w:rsid w:val="003E4097"/>
    <w:rsid w:val="003E4E9E"/>
    <w:rsid w:val="003F0132"/>
    <w:rsid w:val="003F0199"/>
    <w:rsid w:val="003F515C"/>
    <w:rsid w:val="0040477C"/>
    <w:rsid w:val="00411C63"/>
    <w:rsid w:val="004132AC"/>
    <w:rsid w:val="004161BF"/>
    <w:rsid w:val="004238EA"/>
    <w:rsid w:val="0042549E"/>
    <w:rsid w:val="00434FFE"/>
    <w:rsid w:val="004365E4"/>
    <w:rsid w:val="00440F11"/>
    <w:rsid w:val="00442861"/>
    <w:rsid w:val="00442FF9"/>
    <w:rsid w:val="00472D4F"/>
    <w:rsid w:val="004A337B"/>
    <w:rsid w:val="004A5943"/>
    <w:rsid w:val="004A6A65"/>
    <w:rsid w:val="004A74FC"/>
    <w:rsid w:val="004B31AD"/>
    <w:rsid w:val="004B4BAA"/>
    <w:rsid w:val="004E0647"/>
    <w:rsid w:val="004E2559"/>
    <w:rsid w:val="004E4CF0"/>
    <w:rsid w:val="004F103A"/>
    <w:rsid w:val="004F2344"/>
    <w:rsid w:val="004F2C6C"/>
    <w:rsid w:val="004F3860"/>
    <w:rsid w:val="00505928"/>
    <w:rsid w:val="00531484"/>
    <w:rsid w:val="00531ADF"/>
    <w:rsid w:val="00532F0D"/>
    <w:rsid w:val="005372B5"/>
    <w:rsid w:val="0054459F"/>
    <w:rsid w:val="005448A7"/>
    <w:rsid w:val="005655FF"/>
    <w:rsid w:val="005A06AE"/>
    <w:rsid w:val="005A0B20"/>
    <w:rsid w:val="005B0E02"/>
    <w:rsid w:val="005D0ADD"/>
    <w:rsid w:val="005F1FD9"/>
    <w:rsid w:val="00611ADA"/>
    <w:rsid w:val="00615B4A"/>
    <w:rsid w:val="00637335"/>
    <w:rsid w:val="00637621"/>
    <w:rsid w:val="00645BB3"/>
    <w:rsid w:val="006547D9"/>
    <w:rsid w:val="00655608"/>
    <w:rsid w:val="00660E83"/>
    <w:rsid w:val="00660EC4"/>
    <w:rsid w:val="00662DF9"/>
    <w:rsid w:val="006725E6"/>
    <w:rsid w:val="006853E7"/>
    <w:rsid w:val="006A6E2C"/>
    <w:rsid w:val="006B2F8E"/>
    <w:rsid w:val="006C57E6"/>
    <w:rsid w:val="006D620C"/>
    <w:rsid w:val="006D72DE"/>
    <w:rsid w:val="006F4418"/>
    <w:rsid w:val="007146FA"/>
    <w:rsid w:val="007178BD"/>
    <w:rsid w:val="00724A02"/>
    <w:rsid w:val="0073107B"/>
    <w:rsid w:val="00750504"/>
    <w:rsid w:val="00751AB0"/>
    <w:rsid w:val="007634A9"/>
    <w:rsid w:val="007871A6"/>
    <w:rsid w:val="007A2809"/>
    <w:rsid w:val="007A5C1B"/>
    <w:rsid w:val="007B2D06"/>
    <w:rsid w:val="007C00FF"/>
    <w:rsid w:val="007C02D6"/>
    <w:rsid w:val="007C627D"/>
    <w:rsid w:val="007E5B05"/>
    <w:rsid w:val="007F67F3"/>
    <w:rsid w:val="00802DE5"/>
    <w:rsid w:val="00803D9A"/>
    <w:rsid w:val="008107B3"/>
    <w:rsid w:val="0082522D"/>
    <w:rsid w:val="00832593"/>
    <w:rsid w:val="00850FEF"/>
    <w:rsid w:val="008510DE"/>
    <w:rsid w:val="00867B88"/>
    <w:rsid w:val="00876E66"/>
    <w:rsid w:val="00894239"/>
    <w:rsid w:val="008A24A4"/>
    <w:rsid w:val="008A554C"/>
    <w:rsid w:val="008B15CD"/>
    <w:rsid w:val="008B6F8B"/>
    <w:rsid w:val="008C3324"/>
    <w:rsid w:val="008C4E70"/>
    <w:rsid w:val="008C5A0A"/>
    <w:rsid w:val="008C60FC"/>
    <w:rsid w:val="008D2424"/>
    <w:rsid w:val="008D7A4A"/>
    <w:rsid w:val="008E6122"/>
    <w:rsid w:val="008F4753"/>
    <w:rsid w:val="009059E4"/>
    <w:rsid w:val="00907231"/>
    <w:rsid w:val="0092186C"/>
    <w:rsid w:val="00923BAE"/>
    <w:rsid w:val="009240C0"/>
    <w:rsid w:val="0093437B"/>
    <w:rsid w:val="009460B0"/>
    <w:rsid w:val="00957CAB"/>
    <w:rsid w:val="0096041C"/>
    <w:rsid w:val="00966315"/>
    <w:rsid w:val="00972E86"/>
    <w:rsid w:val="00976C2B"/>
    <w:rsid w:val="00980FF6"/>
    <w:rsid w:val="00987980"/>
    <w:rsid w:val="009933EF"/>
    <w:rsid w:val="009A5D3B"/>
    <w:rsid w:val="009B2AFC"/>
    <w:rsid w:val="009B5572"/>
    <w:rsid w:val="009E3288"/>
    <w:rsid w:val="009F62A8"/>
    <w:rsid w:val="00A24FB4"/>
    <w:rsid w:val="00A26A20"/>
    <w:rsid w:val="00A34133"/>
    <w:rsid w:val="00A41200"/>
    <w:rsid w:val="00A41F55"/>
    <w:rsid w:val="00A539C6"/>
    <w:rsid w:val="00A56242"/>
    <w:rsid w:val="00A67FA9"/>
    <w:rsid w:val="00AA134A"/>
    <w:rsid w:val="00AA5F99"/>
    <w:rsid w:val="00AB56DD"/>
    <w:rsid w:val="00AB5989"/>
    <w:rsid w:val="00AC0A16"/>
    <w:rsid w:val="00AC4AB0"/>
    <w:rsid w:val="00AD1CED"/>
    <w:rsid w:val="00AD544A"/>
    <w:rsid w:val="00AF6BC3"/>
    <w:rsid w:val="00AF7A09"/>
    <w:rsid w:val="00AF7A75"/>
    <w:rsid w:val="00B018F0"/>
    <w:rsid w:val="00B175A7"/>
    <w:rsid w:val="00B33BA0"/>
    <w:rsid w:val="00B44C84"/>
    <w:rsid w:val="00B50C32"/>
    <w:rsid w:val="00B51443"/>
    <w:rsid w:val="00B610E6"/>
    <w:rsid w:val="00B76272"/>
    <w:rsid w:val="00B85371"/>
    <w:rsid w:val="00B964E1"/>
    <w:rsid w:val="00B971E0"/>
    <w:rsid w:val="00BA1D15"/>
    <w:rsid w:val="00BA6A8B"/>
    <w:rsid w:val="00BC4047"/>
    <w:rsid w:val="00BE6797"/>
    <w:rsid w:val="00BE7550"/>
    <w:rsid w:val="00C018C8"/>
    <w:rsid w:val="00C01F54"/>
    <w:rsid w:val="00C11F02"/>
    <w:rsid w:val="00C17239"/>
    <w:rsid w:val="00C22504"/>
    <w:rsid w:val="00C26AA0"/>
    <w:rsid w:val="00C4093D"/>
    <w:rsid w:val="00C410A4"/>
    <w:rsid w:val="00C652D7"/>
    <w:rsid w:val="00C71135"/>
    <w:rsid w:val="00C733E0"/>
    <w:rsid w:val="00C90245"/>
    <w:rsid w:val="00CB185A"/>
    <w:rsid w:val="00CB3759"/>
    <w:rsid w:val="00CB3FA0"/>
    <w:rsid w:val="00CC0478"/>
    <w:rsid w:val="00CC4B38"/>
    <w:rsid w:val="00CE20E0"/>
    <w:rsid w:val="00D16395"/>
    <w:rsid w:val="00D24829"/>
    <w:rsid w:val="00D25598"/>
    <w:rsid w:val="00D37045"/>
    <w:rsid w:val="00D676D4"/>
    <w:rsid w:val="00D743DF"/>
    <w:rsid w:val="00D803C8"/>
    <w:rsid w:val="00D968C3"/>
    <w:rsid w:val="00DA13D1"/>
    <w:rsid w:val="00DB0338"/>
    <w:rsid w:val="00DB77CD"/>
    <w:rsid w:val="00DD314C"/>
    <w:rsid w:val="00DD346B"/>
    <w:rsid w:val="00DD387F"/>
    <w:rsid w:val="00DF18D7"/>
    <w:rsid w:val="00DF34E5"/>
    <w:rsid w:val="00DF48AE"/>
    <w:rsid w:val="00DF5575"/>
    <w:rsid w:val="00E12C0E"/>
    <w:rsid w:val="00E26A11"/>
    <w:rsid w:val="00E27024"/>
    <w:rsid w:val="00E27201"/>
    <w:rsid w:val="00E34F6D"/>
    <w:rsid w:val="00E40413"/>
    <w:rsid w:val="00E66A87"/>
    <w:rsid w:val="00E83CAA"/>
    <w:rsid w:val="00E85E1C"/>
    <w:rsid w:val="00E910A0"/>
    <w:rsid w:val="00EA19DF"/>
    <w:rsid w:val="00EA3AD2"/>
    <w:rsid w:val="00EB603E"/>
    <w:rsid w:val="00EC0C90"/>
    <w:rsid w:val="00EC767D"/>
    <w:rsid w:val="00ED37F0"/>
    <w:rsid w:val="00EE45AF"/>
    <w:rsid w:val="00EE6A92"/>
    <w:rsid w:val="00EF098D"/>
    <w:rsid w:val="00EF21C3"/>
    <w:rsid w:val="00F117F0"/>
    <w:rsid w:val="00F136AF"/>
    <w:rsid w:val="00F22603"/>
    <w:rsid w:val="00F26D58"/>
    <w:rsid w:val="00F3463A"/>
    <w:rsid w:val="00F514EB"/>
    <w:rsid w:val="00F536FA"/>
    <w:rsid w:val="00F87A8C"/>
    <w:rsid w:val="00F931ED"/>
    <w:rsid w:val="00F96231"/>
    <w:rsid w:val="00F96C9D"/>
    <w:rsid w:val="00FB54DE"/>
    <w:rsid w:val="00FE1D84"/>
    <w:rsid w:val="00FE7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FCFFA"/>
  <w15:chartTrackingRefBased/>
  <w15:docId w15:val="{F7AE9641-B4E5-4B38-8BEF-AC19176F6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18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18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18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18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18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18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18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18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18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8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18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018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18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18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18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8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8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8C8"/>
    <w:rPr>
      <w:rFonts w:eastAsiaTheme="majorEastAsia" w:cstheme="majorBidi"/>
      <w:color w:val="272727" w:themeColor="text1" w:themeTint="D8"/>
    </w:rPr>
  </w:style>
  <w:style w:type="paragraph" w:styleId="Title">
    <w:name w:val="Title"/>
    <w:basedOn w:val="Normal"/>
    <w:next w:val="Normal"/>
    <w:link w:val="TitleChar"/>
    <w:uiPriority w:val="10"/>
    <w:qFormat/>
    <w:rsid w:val="00C018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8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8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8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18C8"/>
    <w:pPr>
      <w:spacing w:before="160"/>
      <w:jc w:val="center"/>
    </w:pPr>
    <w:rPr>
      <w:i/>
      <w:iCs/>
      <w:color w:val="404040" w:themeColor="text1" w:themeTint="BF"/>
    </w:rPr>
  </w:style>
  <w:style w:type="character" w:customStyle="1" w:styleId="QuoteChar">
    <w:name w:val="Quote Char"/>
    <w:basedOn w:val="DefaultParagraphFont"/>
    <w:link w:val="Quote"/>
    <w:uiPriority w:val="29"/>
    <w:rsid w:val="00C018C8"/>
    <w:rPr>
      <w:i/>
      <w:iCs/>
      <w:color w:val="404040" w:themeColor="text1" w:themeTint="BF"/>
    </w:rPr>
  </w:style>
  <w:style w:type="paragraph" w:styleId="ListParagraph">
    <w:name w:val="List Paragraph"/>
    <w:basedOn w:val="Normal"/>
    <w:uiPriority w:val="34"/>
    <w:qFormat/>
    <w:rsid w:val="00C018C8"/>
    <w:pPr>
      <w:ind w:left="720"/>
      <w:contextualSpacing/>
    </w:pPr>
  </w:style>
  <w:style w:type="character" w:styleId="IntenseEmphasis">
    <w:name w:val="Intense Emphasis"/>
    <w:basedOn w:val="DefaultParagraphFont"/>
    <w:uiPriority w:val="21"/>
    <w:qFormat/>
    <w:rsid w:val="00C018C8"/>
    <w:rPr>
      <w:i/>
      <w:iCs/>
      <w:color w:val="0F4761" w:themeColor="accent1" w:themeShade="BF"/>
    </w:rPr>
  </w:style>
  <w:style w:type="paragraph" w:styleId="IntenseQuote">
    <w:name w:val="Intense Quote"/>
    <w:basedOn w:val="Normal"/>
    <w:next w:val="Normal"/>
    <w:link w:val="IntenseQuoteChar"/>
    <w:uiPriority w:val="30"/>
    <w:qFormat/>
    <w:rsid w:val="00C018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18C8"/>
    <w:rPr>
      <w:i/>
      <w:iCs/>
      <w:color w:val="0F4761" w:themeColor="accent1" w:themeShade="BF"/>
    </w:rPr>
  </w:style>
  <w:style w:type="character" w:styleId="IntenseReference">
    <w:name w:val="Intense Reference"/>
    <w:basedOn w:val="DefaultParagraphFont"/>
    <w:uiPriority w:val="32"/>
    <w:qFormat/>
    <w:rsid w:val="00C018C8"/>
    <w:rPr>
      <w:b/>
      <w:bCs/>
      <w:smallCaps/>
      <w:color w:val="0F4761" w:themeColor="accent1" w:themeShade="BF"/>
      <w:spacing w:val="5"/>
    </w:rPr>
  </w:style>
  <w:style w:type="paragraph" w:styleId="Footer">
    <w:name w:val="footer"/>
    <w:basedOn w:val="Normal"/>
    <w:link w:val="FooterChar"/>
    <w:uiPriority w:val="99"/>
    <w:semiHidden/>
    <w:unhideWhenUsed/>
    <w:rsid w:val="00C018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018C8"/>
  </w:style>
  <w:style w:type="table" w:styleId="TableGrid">
    <w:name w:val="Table Grid"/>
    <w:basedOn w:val="TableNormal"/>
    <w:uiPriority w:val="39"/>
    <w:rsid w:val="00C018C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18C8"/>
    <w:rPr>
      <w:sz w:val="16"/>
      <w:szCs w:val="16"/>
    </w:rPr>
  </w:style>
  <w:style w:type="paragraph" w:styleId="CommentText">
    <w:name w:val="annotation text"/>
    <w:basedOn w:val="Normal"/>
    <w:link w:val="CommentTextChar"/>
    <w:uiPriority w:val="99"/>
    <w:unhideWhenUsed/>
    <w:rsid w:val="00C018C8"/>
    <w:pPr>
      <w:spacing w:line="240" w:lineRule="auto"/>
    </w:pPr>
    <w:rPr>
      <w:sz w:val="20"/>
      <w:szCs w:val="20"/>
      <w:lang w:val="en-GB"/>
    </w:rPr>
  </w:style>
  <w:style w:type="character" w:customStyle="1" w:styleId="CommentTextChar">
    <w:name w:val="Comment Text Char"/>
    <w:basedOn w:val="DefaultParagraphFont"/>
    <w:link w:val="CommentText"/>
    <w:uiPriority w:val="99"/>
    <w:rsid w:val="00C018C8"/>
    <w:rPr>
      <w:sz w:val="20"/>
      <w:szCs w:val="20"/>
      <w:lang w:val="en-GB"/>
    </w:rPr>
  </w:style>
  <w:style w:type="paragraph" w:styleId="Caption">
    <w:name w:val="caption"/>
    <w:basedOn w:val="Normal"/>
    <w:next w:val="Normal"/>
    <w:uiPriority w:val="35"/>
    <w:unhideWhenUsed/>
    <w:qFormat/>
    <w:rsid w:val="00327CA4"/>
    <w:pPr>
      <w:spacing w:after="200" w:line="240" w:lineRule="auto"/>
    </w:pPr>
    <w:rPr>
      <w:i/>
      <w:iCs/>
      <w:color w:val="0E2841" w:themeColor="text2"/>
      <w:kern w:val="0"/>
      <w:sz w:val="18"/>
      <w:szCs w:val="18"/>
      <w14:ligatures w14:val="none"/>
    </w:rPr>
  </w:style>
  <w:style w:type="paragraph" w:styleId="FootnoteText">
    <w:name w:val="footnote text"/>
    <w:basedOn w:val="Normal"/>
    <w:link w:val="FootnoteTextChar"/>
    <w:uiPriority w:val="99"/>
    <w:semiHidden/>
    <w:unhideWhenUsed/>
    <w:rsid w:val="007634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34A9"/>
    <w:rPr>
      <w:sz w:val="20"/>
      <w:szCs w:val="20"/>
    </w:rPr>
  </w:style>
  <w:style w:type="character" w:styleId="FootnoteReference">
    <w:name w:val="footnote reference"/>
    <w:basedOn w:val="DefaultParagraphFont"/>
    <w:uiPriority w:val="99"/>
    <w:semiHidden/>
    <w:unhideWhenUsed/>
    <w:rsid w:val="007634A9"/>
    <w:rPr>
      <w:vertAlign w:val="superscript"/>
    </w:rPr>
  </w:style>
  <w:style w:type="paragraph" w:customStyle="1" w:styleId="isselectedend">
    <w:name w:val="isselectedend"/>
    <w:basedOn w:val="Normal"/>
    <w:rsid w:val="00262606"/>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Light">
    <w:name w:val="Grid Table Light"/>
    <w:basedOn w:val="TableNormal"/>
    <w:uiPriority w:val="40"/>
    <w:rsid w:val="009A5D3B"/>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dq2pgselectionanchorcontainer">
    <w:name w:val="pdq2pg_selectionanchorcontainer"/>
    <w:basedOn w:val="Normal"/>
    <w:rsid w:val="00151D5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51D5B"/>
    <w:rPr>
      <w:i/>
      <w:iCs/>
    </w:rPr>
  </w:style>
  <w:style w:type="paragraph" w:styleId="NormalWeb">
    <w:name w:val="Normal (Web)"/>
    <w:basedOn w:val="Normal"/>
    <w:uiPriority w:val="99"/>
    <w:unhideWhenUsed/>
    <w:qFormat/>
    <w:rsid w:val="00151D5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F6BC3"/>
    <w:rPr>
      <w:b/>
      <w:bCs/>
    </w:rPr>
  </w:style>
  <w:style w:type="character" w:styleId="Hyperlink">
    <w:name w:val="Hyperlink"/>
    <w:basedOn w:val="DefaultParagraphFont"/>
    <w:uiPriority w:val="99"/>
    <w:unhideWhenUsed/>
    <w:rsid w:val="008107B3"/>
    <w:rPr>
      <w:color w:val="467886" w:themeColor="hyperlink"/>
      <w:u w:val="single"/>
    </w:rPr>
  </w:style>
  <w:style w:type="character" w:styleId="UnresolvedMention">
    <w:name w:val="Unresolved Mention"/>
    <w:basedOn w:val="DefaultParagraphFont"/>
    <w:uiPriority w:val="99"/>
    <w:semiHidden/>
    <w:unhideWhenUsed/>
    <w:rsid w:val="00B44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diakapond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diakaponda@gmail.com"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u="none" strike="noStrike" baseline="0">
                <a:solidFill>
                  <a:sysClr val="windowText" lastClr="000000"/>
                </a:solidFill>
                <a:effectLst/>
                <a:latin typeface="Times New Roman" panose="02020603050405020304" pitchFamily="18" charset="0"/>
                <a:cs typeface="Times New Roman" panose="02020603050405020304" pitchFamily="18" charset="0"/>
              </a:rPr>
              <a:t>Current Enrollment in NHIMA Among Marketeers</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89C-4D40-913F-F67F3016BAF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89C-4D40-913F-F67F3016BAFA}"/>
              </c:ext>
            </c:extLst>
          </c:dPt>
          <c:cat>
            <c:strRef>
              <c:f>Sheet1!$A$1:$A$2</c:f>
              <c:strCache>
                <c:ptCount val="2"/>
                <c:pt idx="0">
                  <c:v>Yes</c:v>
                </c:pt>
                <c:pt idx="1">
                  <c:v>No</c:v>
                </c:pt>
              </c:strCache>
            </c:strRef>
          </c:cat>
          <c:val>
            <c:numRef>
              <c:f>Sheet1!$B$1:$B$2</c:f>
              <c:numCache>
                <c:formatCode>General</c:formatCode>
                <c:ptCount val="2"/>
                <c:pt idx="0">
                  <c:v>28</c:v>
                </c:pt>
                <c:pt idx="1">
                  <c:v>131</c:v>
                </c:pt>
              </c:numCache>
            </c:numRef>
          </c:val>
          <c:extLst>
            <c:ext xmlns:c16="http://schemas.microsoft.com/office/drawing/2014/chart" uri="{C3380CC4-5D6E-409C-BE32-E72D297353CC}">
              <c16:uniqueId val="{00000004-089C-4D40-913F-F67F3016BAF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025A2-ABAC-42DC-AEAF-79F60EB9D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30</Pages>
  <Words>9405</Words>
  <Characters>53613</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Mwale</dc:creator>
  <cp:keywords/>
  <dc:description/>
  <cp:lastModifiedBy>USER</cp:lastModifiedBy>
  <cp:revision>286</cp:revision>
  <dcterms:created xsi:type="dcterms:W3CDTF">2026-06-24T09:48:00Z</dcterms:created>
  <dcterms:modified xsi:type="dcterms:W3CDTF">2026-06-28T13:25:00Z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a4f57546-d0ea-4718-b8df-3f8ccf1f8fa3</vt:lpwstr>
  </property>
</Properties>
</file>