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7A" w:rsidRDefault="00244B1F" w:rsidP="00543219">
      <w:pPr>
        <w:spacing w:line="276" w:lineRule="auto"/>
        <w:jc w:val="center"/>
        <w:rPr>
          <w:rFonts w:eastAsia="Arial"/>
          <w:b/>
          <w:bCs/>
          <w:color w:val="000000" w:themeColor="text1"/>
          <w:sz w:val="28"/>
          <w:szCs w:val="28"/>
        </w:rPr>
      </w:pPr>
      <w:r w:rsidRPr="00E87D0B">
        <w:rPr>
          <w:rFonts w:eastAsia="Arial"/>
          <w:b/>
          <w:bCs/>
          <w:color w:val="000000" w:themeColor="text1"/>
          <w:sz w:val="28"/>
          <w:szCs w:val="28"/>
        </w:rPr>
        <w:t>Psychological Wellbeing, Workplace Challenges, and Work-Life Balance Among Working Women: A Systematic Review</w:t>
      </w:r>
    </w:p>
    <w:p w:rsidR="007C53C3" w:rsidRDefault="007C53C3" w:rsidP="007C53C3">
      <w:pPr>
        <w:spacing w:line="276" w:lineRule="auto"/>
        <w:jc w:val="center"/>
        <w:rPr>
          <w:color w:val="000000" w:themeColor="text1"/>
        </w:rPr>
      </w:pPr>
    </w:p>
    <w:p w:rsidR="007C53C3" w:rsidRDefault="00543219" w:rsidP="007C53C3">
      <w:pPr>
        <w:spacing w:line="276" w:lineRule="auto"/>
        <w:jc w:val="center"/>
        <w:rPr>
          <w:color w:val="000000" w:themeColor="text1"/>
        </w:rPr>
      </w:pPr>
      <w:r w:rsidRPr="00543219">
        <w:rPr>
          <w:color w:val="000000" w:themeColor="text1"/>
        </w:rPr>
        <w:t>La</w:t>
      </w:r>
      <w:r w:rsidR="007C53C3">
        <w:rPr>
          <w:color w:val="000000" w:themeColor="text1"/>
        </w:rPr>
        <w:t>kshmi Priya T B,</w:t>
      </w:r>
    </w:p>
    <w:p w:rsidR="00543219" w:rsidRDefault="007C53C3" w:rsidP="007C53C3">
      <w:pPr>
        <w:spacing w:line="276" w:lineRule="auto"/>
        <w:jc w:val="center"/>
        <w:rPr>
          <w:color w:val="000000" w:themeColor="text1"/>
        </w:rPr>
      </w:pPr>
      <w:r>
        <w:rPr>
          <w:color w:val="000000" w:themeColor="text1"/>
        </w:rPr>
        <w:t>Research Scholar</w:t>
      </w:r>
      <w:r w:rsidR="00543219" w:rsidRPr="00543219">
        <w:rPr>
          <w:color w:val="000000" w:themeColor="text1"/>
        </w:rPr>
        <w:t>,</w:t>
      </w:r>
      <w:r w:rsidRPr="007C53C3">
        <w:rPr>
          <w:color w:val="000000" w:themeColor="text1"/>
        </w:rPr>
        <w:t xml:space="preserve"> </w:t>
      </w:r>
      <w:r>
        <w:rPr>
          <w:color w:val="000000" w:themeColor="text1"/>
        </w:rPr>
        <w:t>School of Management studies and Commerce</w:t>
      </w:r>
      <w:r>
        <w:rPr>
          <w:color w:val="000000" w:themeColor="text1"/>
        </w:rPr>
        <w:t xml:space="preserve">, </w:t>
      </w:r>
      <w:bookmarkStart w:id="0" w:name="_GoBack"/>
      <w:proofErr w:type="spellStart"/>
      <w:r w:rsidRPr="007C53C3">
        <w:rPr>
          <w:color w:val="000000" w:themeColor="text1"/>
        </w:rPr>
        <w:t>Vels</w:t>
      </w:r>
      <w:proofErr w:type="spellEnd"/>
      <w:r w:rsidRPr="007C53C3">
        <w:rPr>
          <w:color w:val="000000" w:themeColor="text1"/>
        </w:rPr>
        <w:t xml:space="preserve"> Institute of Science,</w:t>
      </w:r>
      <w:r>
        <w:rPr>
          <w:color w:val="000000" w:themeColor="text1"/>
        </w:rPr>
        <w:t xml:space="preserve"> </w:t>
      </w:r>
      <w:r w:rsidRPr="007C53C3">
        <w:rPr>
          <w:color w:val="000000" w:themeColor="text1"/>
        </w:rPr>
        <w:t>Technology and Advanced Studies</w:t>
      </w:r>
      <w:bookmarkEnd w:id="0"/>
      <w:r>
        <w:rPr>
          <w:color w:val="000000" w:themeColor="text1"/>
        </w:rPr>
        <w:t xml:space="preserve">, </w:t>
      </w:r>
      <w:hyperlink r:id="rId5" w:history="1">
        <w:r w:rsidRPr="004758DB">
          <w:rPr>
            <w:rStyle w:val="Hyperlink"/>
          </w:rPr>
          <w:t>lakshmipriyatb1994@gmail.com</w:t>
        </w:r>
      </w:hyperlink>
    </w:p>
    <w:p w:rsidR="007C53C3" w:rsidRDefault="007C53C3" w:rsidP="007C53C3">
      <w:pPr>
        <w:spacing w:line="276" w:lineRule="auto"/>
        <w:rPr>
          <w:color w:val="000000" w:themeColor="text1"/>
        </w:rPr>
      </w:pPr>
    </w:p>
    <w:p w:rsidR="007C53C3" w:rsidRDefault="00543219" w:rsidP="00543219">
      <w:pPr>
        <w:spacing w:line="276" w:lineRule="auto"/>
        <w:jc w:val="center"/>
        <w:rPr>
          <w:color w:val="000000" w:themeColor="text1"/>
        </w:rPr>
      </w:pPr>
      <w:proofErr w:type="spellStart"/>
      <w:r>
        <w:rPr>
          <w:color w:val="000000" w:themeColor="text1"/>
        </w:rPr>
        <w:t>Dr.</w:t>
      </w:r>
      <w:proofErr w:type="spellEnd"/>
      <w:r w:rsidR="007C53C3">
        <w:rPr>
          <w:color w:val="000000" w:themeColor="text1"/>
        </w:rPr>
        <w:t xml:space="preserve"> M </w:t>
      </w:r>
      <w:proofErr w:type="spellStart"/>
      <w:r w:rsidR="007C53C3">
        <w:rPr>
          <w:color w:val="000000" w:themeColor="text1"/>
        </w:rPr>
        <w:t>Prathapan</w:t>
      </w:r>
      <w:proofErr w:type="spellEnd"/>
    </w:p>
    <w:p w:rsidR="00543219" w:rsidRDefault="00543219" w:rsidP="00543219">
      <w:pPr>
        <w:spacing w:line="276" w:lineRule="auto"/>
        <w:jc w:val="center"/>
        <w:rPr>
          <w:color w:val="000000" w:themeColor="text1"/>
        </w:rPr>
      </w:pPr>
      <w:r>
        <w:rPr>
          <w:color w:val="000000" w:themeColor="text1"/>
        </w:rPr>
        <w:t xml:space="preserve"> Associate Professor,</w:t>
      </w:r>
      <w:r w:rsidR="00262758">
        <w:rPr>
          <w:color w:val="000000" w:themeColor="text1"/>
        </w:rPr>
        <w:t xml:space="preserve"> </w:t>
      </w:r>
      <w:r>
        <w:rPr>
          <w:color w:val="000000" w:themeColor="text1"/>
        </w:rPr>
        <w:t>Sc</w:t>
      </w:r>
      <w:r w:rsidR="007C53C3">
        <w:rPr>
          <w:color w:val="000000" w:themeColor="text1"/>
        </w:rPr>
        <w:t>hool of Management studies and C</w:t>
      </w:r>
      <w:r>
        <w:rPr>
          <w:color w:val="000000" w:themeColor="text1"/>
        </w:rPr>
        <w:t>ommerce,</w:t>
      </w:r>
      <w:r w:rsidR="007C53C3">
        <w:rPr>
          <w:color w:val="000000" w:themeColor="text1"/>
        </w:rPr>
        <w:t xml:space="preserve"> </w:t>
      </w:r>
      <w:proofErr w:type="spellStart"/>
      <w:r>
        <w:rPr>
          <w:color w:val="000000" w:themeColor="text1"/>
        </w:rPr>
        <w:t>Vels</w:t>
      </w:r>
      <w:proofErr w:type="spellEnd"/>
      <w:r>
        <w:rPr>
          <w:color w:val="000000" w:themeColor="text1"/>
        </w:rPr>
        <w:t xml:space="preserve"> Institute of Science,</w:t>
      </w:r>
      <w:r w:rsidR="007C53C3">
        <w:rPr>
          <w:color w:val="000000" w:themeColor="text1"/>
        </w:rPr>
        <w:t xml:space="preserve"> </w:t>
      </w:r>
      <w:r>
        <w:rPr>
          <w:color w:val="000000" w:themeColor="text1"/>
        </w:rPr>
        <w:t>Technology and Advanced Studies</w:t>
      </w:r>
      <w:r w:rsidR="00262758">
        <w:rPr>
          <w:color w:val="000000" w:themeColor="text1"/>
        </w:rPr>
        <w:t xml:space="preserve">, </w:t>
      </w:r>
      <w:hyperlink r:id="rId6" w:history="1">
        <w:r w:rsidR="0002645C" w:rsidRPr="002C371B">
          <w:rPr>
            <w:rStyle w:val="Hyperlink"/>
          </w:rPr>
          <w:t>prathapan.sms@vistas.ac.in</w:t>
        </w:r>
      </w:hyperlink>
    </w:p>
    <w:p w:rsidR="0002645C" w:rsidRPr="00543219" w:rsidRDefault="0002645C" w:rsidP="00543219">
      <w:pPr>
        <w:spacing w:line="276" w:lineRule="auto"/>
        <w:jc w:val="center"/>
        <w:rPr>
          <w:color w:val="000000" w:themeColor="text1"/>
        </w:rPr>
      </w:pPr>
    </w:p>
    <w:p w:rsidR="008E267A" w:rsidRPr="003829D8" w:rsidRDefault="00244B1F" w:rsidP="008F280C">
      <w:pPr>
        <w:pStyle w:val="Heading1"/>
        <w:spacing w:line="276" w:lineRule="auto"/>
        <w:jc w:val="both"/>
        <w:rPr>
          <w:rFonts w:ascii="Times New Roman" w:hAnsi="Times New Roman" w:cs="Times New Roman"/>
          <w:color w:val="000000" w:themeColor="text1"/>
        </w:rPr>
      </w:pPr>
      <w:r w:rsidRPr="003829D8">
        <w:rPr>
          <w:rFonts w:ascii="Times New Roman" w:hAnsi="Times New Roman" w:cs="Times New Roman"/>
          <w:color w:val="000000" w:themeColor="text1"/>
        </w:rPr>
        <w:t>Abstract</w:t>
      </w:r>
    </w:p>
    <w:p w:rsidR="008E267A" w:rsidRPr="008F280C" w:rsidRDefault="00244B1F" w:rsidP="008F280C">
      <w:pPr>
        <w:spacing w:after="180" w:line="276" w:lineRule="auto"/>
        <w:jc w:val="both"/>
        <w:rPr>
          <w:color w:val="000000" w:themeColor="text1"/>
        </w:rPr>
      </w:pPr>
      <w:r w:rsidRPr="008F280C">
        <w:rPr>
          <w:color w:val="000000" w:themeColor="text1"/>
        </w:rPr>
        <w:t>This systematic rev</w:t>
      </w:r>
      <w:r w:rsidR="008A444C">
        <w:rPr>
          <w:color w:val="000000" w:themeColor="text1"/>
        </w:rPr>
        <w:t>iew synthesises findings from 48</w:t>
      </w:r>
      <w:r w:rsidRPr="008F280C">
        <w:rPr>
          <w:color w:val="000000" w:themeColor="text1"/>
        </w:rPr>
        <w:t xml:space="preserve"> peer-reviewed studies published between 2015 and 2026 on the wellbeing, occupational stress, and workplace experiences of working women. Drawing on a Scopus-indexed corpus, the review identifies seven key the</w:t>
      </w:r>
      <w:r w:rsidR="00427A27">
        <w:rPr>
          <w:color w:val="000000" w:themeColor="text1"/>
        </w:rPr>
        <w:t xml:space="preserve">matic areas: </w:t>
      </w:r>
      <w:r w:rsidRPr="008F280C">
        <w:rPr>
          <w:color w:val="000000" w:themeColor="text1"/>
        </w:rPr>
        <w:t xml:space="preserve">psychological </w:t>
      </w:r>
      <w:r w:rsidR="00427A27">
        <w:rPr>
          <w:color w:val="000000" w:themeColor="text1"/>
        </w:rPr>
        <w:t>wellbeing and mental health,</w:t>
      </w:r>
      <w:r w:rsidRPr="008F280C">
        <w:rPr>
          <w:color w:val="000000" w:themeColor="text1"/>
        </w:rPr>
        <w:t xml:space="preserve"> workpla</w:t>
      </w:r>
      <w:r w:rsidR="00427A27">
        <w:rPr>
          <w:color w:val="000000" w:themeColor="text1"/>
        </w:rPr>
        <w:t xml:space="preserve">ce harassment and bullying, </w:t>
      </w:r>
      <w:r w:rsidRPr="008F280C">
        <w:rPr>
          <w:color w:val="000000" w:themeColor="text1"/>
        </w:rPr>
        <w:t>work-life b</w:t>
      </w:r>
      <w:r w:rsidR="00427A27">
        <w:rPr>
          <w:color w:val="000000" w:themeColor="text1"/>
        </w:rPr>
        <w:t xml:space="preserve">alance and family conflict, gender inequality, </w:t>
      </w:r>
      <w:r w:rsidRPr="008F280C">
        <w:rPr>
          <w:color w:val="000000" w:themeColor="text1"/>
        </w:rPr>
        <w:t>industry-sp</w:t>
      </w:r>
      <w:r w:rsidR="00427A27">
        <w:rPr>
          <w:color w:val="000000" w:themeColor="text1"/>
        </w:rPr>
        <w:t xml:space="preserve">ecific occupational stress, </w:t>
      </w:r>
      <w:r w:rsidRPr="008F280C">
        <w:rPr>
          <w:color w:val="000000" w:themeColor="text1"/>
        </w:rPr>
        <w:t>physica</w:t>
      </w:r>
      <w:r w:rsidR="00427A27">
        <w:rPr>
          <w:color w:val="000000" w:themeColor="text1"/>
        </w:rPr>
        <w:t xml:space="preserve">l health and body image, and </w:t>
      </w:r>
      <w:r w:rsidRPr="008F280C">
        <w:rPr>
          <w:color w:val="000000" w:themeColor="text1"/>
        </w:rPr>
        <w:t>relationships and domestic life. Findings consistently highlight that working women face compounding stressors arising from dual role demands, hostile work environments, gender-based inequalities, and inadequate organisational support. Evidence-based interventions such as mindfulness, internet-based therapies, flexible work policies, and physical activity programmes are identified as promising strategies to improve wellbeing outcomes. The review calls for targeted organisational policies and broader structural reforms to promote equitable, healthy workplaces for women across sectors and geographies.</w:t>
      </w:r>
    </w:p>
    <w:p w:rsidR="008E267A" w:rsidRPr="008F280C" w:rsidRDefault="00244B1F" w:rsidP="008F280C">
      <w:pPr>
        <w:spacing w:after="320" w:line="276" w:lineRule="auto"/>
        <w:jc w:val="both"/>
        <w:rPr>
          <w:color w:val="000000" w:themeColor="text1"/>
        </w:rPr>
      </w:pPr>
      <w:r w:rsidRPr="004B3743">
        <w:rPr>
          <w:b/>
          <w:bCs/>
          <w:color w:val="000000" w:themeColor="text1"/>
          <w:sz w:val="28"/>
          <w:szCs w:val="28"/>
        </w:rPr>
        <w:t>Keywords:</w:t>
      </w:r>
      <w:r w:rsidRPr="008F280C">
        <w:rPr>
          <w:b/>
          <w:bCs/>
          <w:color w:val="000000" w:themeColor="text1"/>
        </w:rPr>
        <w:t xml:space="preserve"> </w:t>
      </w:r>
      <w:r w:rsidR="007C53C3">
        <w:rPr>
          <w:color w:val="000000" w:themeColor="text1"/>
        </w:rPr>
        <w:t>working women; psychological wellbeing; workplace stress; harassment;</w:t>
      </w:r>
      <w:r w:rsidRPr="008F280C">
        <w:rPr>
          <w:color w:val="000000" w:themeColor="text1"/>
        </w:rPr>
        <w:t xml:space="preserve"> work-l</w:t>
      </w:r>
      <w:r w:rsidR="007C53C3">
        <w:rPr>
          <w:color w:val="000000" w:themeColor="text1"/>
        </w:rPr>
        <w:t xml:space="preserve">ife balance; gender inequality; </w:t>
      </w:r>
      <w:r w:rsidRPr="008F280C">
        <w:rPr>
          <w:color w:val="000000" w:themeColor="text1"/>
        </w:rPr>
        <w:t>occupational health</w:t>
      </w:r>
    </w:p>
    <w:p w:rsidR="008E267A" w:rsidRPr="003829D8" w:rsidRDefault="00244B1F" w:rsidP="008F280C">
      <w:pPr>
        <w:pStyle w:val="Heading1"/>
        <w:spacing w:line="276" w:lineRule="auto"/>
        <w:jc w:val="both"/>
        <w:rPr>
          <w:rFonts w:ascii="Times New Roman" w:hAnsi="Times New Roman" w:cs="Times New Roman"/>
          <w:color w:val="000000" w:themeColor="text1"/>
        </w:rPr>
      </w:pPr>
      <w:r w:rsidRPr="003829D8">
        <w:rPr>
          <w:rFonts w:ascii="Times New Roman" w:hAnsi="Times New Roman" w:cs="Times New Roman"/>
          <w:color w:val="000000" w:themeColor="text1"/>
        </w:rPr>
        <w:t>Introduction</w:t>
      </w:r>
    </w:p>
    <w:p w:rsidR="008E267A" w:rsidRPr="008F280C" w:rsidRDefault="00244B1F" w:rsidP="008F280C">
      <w:pPr>
        <w:spacing w:after="180" w:line="276" w:lineRule="auto"/>
        <w:jc w:val="both"/>
        <w:rPr>
          <w:color w:val="000000" w:themeColor="text1"/>
        </w:rPr>
      </w:pPr>
      <w:r w:rsidRPr="008F280C">
        <w:rPr>
          <w:color w:val="000000" w:themeColor="text1"/>
        </w:rPr>
        <w:t>The participation of women in the global workforce has grown substantially over recent decades, bringing renewed scholarly attention to the unique occupational challenges they face. While women's employment is widely recognised as essential to individual empowerment, household economic stability, and national development, working women continue to encounter a distinct set of stressors that can compromise their psychological and physical wellbeing. These stressors include dual role demands at home and at work, gender-based discrimination and harassment, limited organisational support, and structural inequalities embedded in workplace cultures and policies.</w:t>
      </w:r>
    </w:p>
    <w:p w:rsidR="008E267A" w:rsidRPr="008F280C" w:rsidRDefault="00244B1F" w:rsidP="008F280C">
      <w:pPr>
        <w:spacing w:after="180" w:line="276" w:lineRule="auto"/>
        <w:jc w:val="both"/>
        <w:rPr>
          <w:color w:val="000000" w:themeColor="text1"/>
        </w:rPr>
      </w:pPr>
      <w:r w:rsidRPr="008F280C">
        <w:rPr>
          <w:color w:val="000000" w:themeColor="text1"/>
        </w:rPr>
        <w:lastRenderedPageBreak/>
        <w:t xml:space="preserve">The growing body of research on working women's wellbeing reflects the complexity of these challenges. Studies have examined psychological wellbeing (PWB) using multiple frameworks, including </w:t>
      </w:r>
      <w:proofErr w:type="spellStart"/>
      <w:r w:rsidRPr="008F280C">
        <w:rPr>
          <w:color w:val="000000" w:themeColor="text1"/>
        </w:rPr>
        <w:t>Ryff's</w:t>
      </w:r>
      <w:proofErr w:type="spellEnd"/>
      <w:r w:rsidRPr="008F280C">
        <w:rPr>
          <w:color w:val="000000" w:themeColor="text1"/>
        </w:rPr>
        <w:t xml:space="preserve"> </w:t>
      </w:r>
      <w:proofErr w:type="spellStart"/>
      <w:r w:rsidRPr="008F280C">
        <w:rPr>
          <w:color w:val="000000" w:themeColor="text1"/>
        </w:rPr>
        <w:t>eudaimonic</w:t>
      </w:r>
      <w:proofErr w:type="spellEnd"/>
      <w:r w:rsidRPr="008F280C">
        <w:rPr>
          <w:color w:val="000000" w:themeColor="text1"/>
        </w:rPr>
        <w:t xml:space="preserve"> model (Sasak</w:t>
      </w:r>
      <w:r w:rsidR="00D946B5">
        <w:rPr>
          <w:color w:val="000000" w:themeColor="text1"/>
        </w:rPr>
        <w:t xml:space="preserve">i et al., 2023; </w:t>
      </w:r>
      <w:proofErr w:type="spellStart"/>
      <w:r w:rsidR="00D946B5">
        <w:rPr>
          <w:color w:val="000000" w:themeColor="text1"/>
        </w:rPr>
        <w:t>Okojide</w:t>
      </w:r>
      <w:proofErr w:type="spellEnd"/>
      <w:r w:rsidR="00D946B5">
        <w:rPr>
          <w:color w:val="000000" w:themeColor="text1"/>
        </w:rPr>
        <w:t xml:space="preserve"> et al.,</w:t>
      </w:r>
      <w:r w:rsidRPr="008F280C">
        <w:rPr>
          <w:color w:val="000000" w:themeColor="text1"/>
        </w:rPr>
        <w:t>2023), subjective wellbeing measures (Chen and Hu</w:t>
      </w:r>
      <w:r w:rsidR="00D946B5">
        <w:rPr>
          <w:color w:val="000000" w:themeColor="text1"/>
        </w:rPr>
        <w:t xml:space="preserve">,2024; </w:t>
      </w:r>
      <w:proofErr w:type="spellStart"/>
      <w:r w:rsidR="00D946B5">
        <w:rPr>
          <w:color w:val="000000" w:themeColor="text1"/>
        </w:rPr>
        <w:t>Asadullah</w:t>
      </w:r>
      <w:proofErr w:type="spellEnd"/>
      <w:r w:rsidR="00D946B5">
        <w:rPr>
          <w:color w:val="000000" w:themeColor="text1"/>
        </w:rPr>
        <w:t xml:space="preserve"> and Talukder,</w:t>
      </w:r>
      <w:r w:rsidRPr="008F280C">
        <w:rPr>
          <w:color w:val="000000" w:themeColor="text1"/>
        </w:rPr>
        <w:t>2019), and occupational health perspectives (Prasad and Vaid</w:t>
      </w:r>
      <w:r w:rsidR="00D946B5">
        <w:rPr>
          <w:color w:val="000000" w:themeColor="text1"/>
        </w:rPr>
        <w:t xml:space="preserve">ya,2021; </w:t>
      </w:r>
      <w:proofErr w:type="spellStart"/>
      <w:r w:rsidR="00D946B5">
        <w:rPr>
          <w:color w:val="000000" w:themeColor="text1"/>
        </w:rPr>
        <w:t>Malathi</w:t>
      </w:r>
      <w:proofErr w:type="spellEnd"/>
      <w:r w:rsidR="00D946B5">
        <w:rPr>
          <w:color w:val="000000" w:themeColor="text1"/>
        </w:rPr>
        <w:t xml:space="preserve"> and Srilatha,</w:t>
      </w:r>
      <w:r w:rsidRPr="008F280C">
        <w:rPr>
          <w:color w:val="000000" w:themeColor="text1"/>
        </w:rPr>
        <w:t>2025). Despite this diversity of approaches, there remains a need for a comprehensive synthesis that maps the full landscape of evidence across thematic domains.</w:t>
      </w:r>
    </w:p>
    <w:p w:rsidR="008E267A" w:rsidRPr="008F280C" w:rsidRDefault="00244B1F" w:rsidP="008F280C">
      <w:pPr>
        <w:spacing w:after="180" w:line="276" w:lineRule="auto"/>
        <w:jc w:val="both"/>
        <w:rPr>
          <w:color w:val="000000" w:themeColor="text1"/>
        </w:rPr>
      </w:pPr>
      <w:r w:rsidRPr="008F280C">
        <w:rPr>
          <w:color w:val="000000" w:themeColor="text1"/>
        </w:rPr>
        <w:t>This systematic review aims to fill that gap by critically examining 60 Scopus-indexed studies published between 2015 and 2026. The review is organised around seven key themes identified through thematic analysis of the corpus: psychological wellbeing and mental health, workplace harassment and bullying, work-life balance and family conflict, gender inequality, industry-specific occupational stress, physical health and body image, and relationships and domestic life. By integrating evidence across these themes, this review provides a holistic understanding of the determinants and consequences of wellbeing among working women, and offers directions for future research and policy.</w:t>
      </w:r>
    </w:p>
    <w:p w:rsidR="008F280C" w:rsidRPr="008F280C" w:rsidRDefault="00244B1F" w:rsidP="007A08AA">
      <w:pPr>
        <w:pStyle w:val="Heading1"/>
        <w:spacing w:before="0" w:after="0"/>
        <w:jc w:val="both"/>
        <w:rPr>
          <w:rFonts w:ascii="Times New Roman" w:hAnsi="Times New Roman" w:cs="Times New Roman"/>
          <w:color w:val="000000" w:themeColor="text1"/>
        </w:rPr>
      </w:pPr>
      <w:r w:rsidRPr="003829D8">
        <w:rPr>
          <w:rFonts w:ascii="Times New Roman" w:hAnsi="Times New Roman" w:cs="Times New Roman"/>
          <w:color w:val="000000" w:themeColor="text1"/>
        </w:rPr>
        <w:t>Methodology</w:t>
      </w:r>
    </w:p>
    <w:p w:rsidR="008F280C" w:rsidRPr="004B3743" w:rsidRDefault="008F280C" w:rsidP="007A08AA">
      <w:pPr>
        <w:jc w:val="both"/>
        <w:outlineLvl w:val="2"/>
        <w:rPr>
          <w:b/>
          <w:bCs/>
          <w:color w:val="000000" w:themeColor="text1"/>
          <w:sz w:val="26"/>
          <w:szCs w:val="26"/>
        </w:rPr>
      </w:pPr>
      <w:r w:rsidRPr="004B3743">
        <w:rPr>
          <w:b/>
          <w:bCs/>
          <w:color w:val="000000" w:themeColor="text1"/>
          <w:sz w:val="26"/>
          <w:szCs w:val="26"/>
        </w:rPr>
        <w:t>Research Design</w:t>
      </w:r>
    </w:p>
    <w:p w:rsidR="008F280C" w:rsidRDefault="008F280C" w:rsidP="008F280C">
      <w:pPr>
        <w:spacing w:before="100" w:beforeAutospacing="1" w:after="100" w:afterAutospacing="1" w:line="276" w:lineRule="auto"/>
        <w:jc w:val="both"/>
        <w:rPr>
          <w:color w:val="000000" w:themeColor="text1"/>
        </w:rPr>
      </w:pPr>
      <w:r w:rsidRPr="008F280C">
        <w:rPr>
          <w:color w:val="000000" w:themeColor="text1"/>
        </w:rPr>
        <w:t xml:space="preserve">The present study adopted a </w:t>
      </w:r>
      <w:r w:rsidRPr="00D946B5">
        <w:rPr>
          <w:bCs/>
          <w:color w:val="000000" w:themeColor="text1"/>
        </w:rPr>
        <w:t>Systematic Literature Review (SLR)</w:t>
      </w:r>
      <w:r w:rsidRPr="008F280C">
        <w:rPr>
          <w:color w:val="000000" w:themeColor="text1"/>
        </w:rPr>
        <w:t xml:space="preserve"> approach to examine the determinants and dimensions of psychological well-being among working women. The review was conducted in accordance with the </w:t>
      </w:r>
      <w:r w:rsidRPr="00D946B5">
        <w:rPr>
          <w:bCs/>
          <w:color w:val="000000" w:themeColor="text1"/>
        </w:rPr>
        <w:t>PRISMA (Preferred Reporting Items for Systematic Reviews and Meta-Analyses)</w:t>
      </w:r>
      <w:r w:rsidRPr="008F280C">
        <w:rPr>
          <w:color w:val="000000" w:themeColor="text1"/>
        </w:rPr>
        <w:t xml:space="preserve"> framework to ensure a systematic, transparent, and replicable review process. The study aimed to synthesize existing empirical literature related to psychological well-being, mental health, workplace experiences, and socio-personal challenges affecting employed women.</w:t>
      </w:r>
    </w:p>
    <w:tbl>
      <w:tblPr>
        <w:tblW w:w="93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
        <w:gridCol w:w="1547"/>
        <w:gridCol w:w="147"/>
        <w:gridCol w:w="4823"/>
        <w:gridCol w:w="183"/>
        <w:gridCol w:w="2640"/>
        <w:gridCol w:w="10"/>
      </w:tblGrid>
      <w:tr w:rsidR="007A08AA" w:rsidRPr="007A08AA" w:rsidTr="002E3C55">
        <w:trPr>
          <w:gridBefore w:val="1"/>
          <w:wBefore w:w="10" w:type="dxa"/>
        </w:trPr>
        <w:tc>
          <w:tcPr>
            <w:tcW w:w="15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vAlign w:val="center"/>
          </w:tcPr>
          <w:p w:rsidR="007A08AA" w:rsidRPr="00BA5BB8" w:rsidRDefault="007A08AA" w:rsidP="001C3F21">
            <w:pPr>
              <w:jc w:val="center"/>
              <w:rPr>
                <w:color w:val="000000" w:themeColor="text1"/>
              </w:rPr>
            </w:pPr>
            <w:r w:rsidRPr="00BA5BB8">
              <w:rPr>
                <w:rFonts w:eastAsia="Arial"/>
                <w:b/>
                <w:bCs/>
                <w:color w:val="000000" w:themeColor="text1"/>
              </w:rPr>
              <w:t>Identification</w:t>
            </w:r>
          </w:p>
        </w:tc>
        <w:tc>
          <w:tcPr>
            <w:tcW w:w="147" w:type="dxa"/>
            <w:tcBorders>
              <w:top w:val="none" w:sz="0" w:space="0" w:color="FFFFFF"/>
              <w:left w:val="single" w:sz="8" w:space="0" w:color="000000" w:themeColor="text1"/>
              <w:bottom w:val="none" w:sz="0" w:space="0" w:color="FFFFFF"/>
              <w:right w:val="single" w:sz="8" w:space="0" w:color="000000" w:themeColor="text1"/>
            </w:tcBorders>
            <w:shd w:val="clear" w:color="auto" w:fill="FFFFFF"/>
          </w:tcPr>
          <w:p w:rsidR="007A08AA" w:rsidRPr="00BA5BB8" w:rsidRDefault="007A08AA" w:rsidP="001C3F21">
            <w:pPr>
              <w:rPr>
                <w:color w:val="000000" w:themeColor="text1"/>
              </w:rPr>
            </w:pPr>
          </w:p>
        </w:tc>
        <w:tc>
          <w:tcPr>
            <w:tcW w:w="4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20" w:type="dxa"/>
              <w:left w:w="160" w:type="dxa"/>
              <w:bottom w:w="120" w:type="dxa"/>
              <w:right w:w="160" w:type="dxa"/>
            </w:tcMar>
            <w:vAlign w:val="center"/>
          </w:tcPr>
          <w:p w:rsidR="007A08AA" w:rsidRPr="00BA5BB8" w:rsidRDefault="007A08AA" w:rsidP="001C3F21">
            <w:pPr>
              <w:spacing w:before="20" w:after="20"/>
              <w:jc w:val="center"/>
              <w:rPr>
                <w:color w:val="000000" w:themeColor="text1"/>
              </w:rPr>
            </w:pPr>
            <w:r w:rsidRPr="00BA5BB8">
              <w:rPr>
                <w:rFonts w:eastAsia="Arial"/>
                <w:b/>
                <w:bCs/>
                <w:color w:val="000000" w:themeColor="text1"/>
              </w:rPr>
              <w:t>Records identified through database searching</w:t>
            </w:r>
          </w:p>
          <w:p w:rsidR="007A08AA" w:rsidRPr="00BA5BB8" w:rsidRDefault="007A08AA" w:rsidP="001C3F21">
            <w:pPr>
              <w:spacing w:before="20" w:after="20"/>
              <w:jc w:val="center"/>
              <w:rPr>
                <w:color w:val="000000" w:themeColor="text1"/>
              </w:rPr>
            </w:pPr>
            <w:r w:rsidRPr="00BA5BB8">
              <w:rPr>
                <w:rFonts w:eastAsia="Arial"/>
                <w:color w:val="000000" w:themeColor="text1"/>
              </w:rPr>
              <w:t>(n = 177)</w:t>
            </w:r>
          </w:p>
        </w:tc>
        <w:tc>
          <w:tcPr>
            <w:tcW w:w="2833" w:type="dxa"/>
            <w:gridSpan w:val="3"/>
            <w:tcBorders>
              <w:top w:val="none" w:sz="0" w:space="0" w:color="FFFFFF"/>
              <w:left w:val="single" w:sz="8" w:space="0" w:color="000000" w:themeColor="text1"/>
              <w:bottom w:val="none" w:sz="0" w:space="0" w:color="FFFFFF"/>
              <w:right w:val="none" w:sz="0" w:space="0" w:color="FFFFFF"/>
            </w:tcBorders>
            <w:shd w:val="clear" w:color="auto" w:fill="FFFFFF" w:themeFill="background1"/>
          </w:tcPr>
          <w:p w:rsidR="007A08AA" w:rsidRPr="00BA5BB8" w:rsidRDefault="007A08AA" w:rsidP="001C3F21"/>
        </w:tc>
      </w:tr>
      <w:tr w:rsidR="007A08AA" w:rsidRPr="00BA5BB8" w:rsidTr="002E3C55">
        <w:trPr>
          <w:gridAfter w:val="1"/>
          <w:wAfter w:w="10" w:type="dxa"/>
        </w:trPr>
        <w:tc>
          <w:tcPr>
            <w:tcW w:w="9350" w:type="dxa"/>
            <w:gridSpan w:val="6"/>
            <w:tcBorders>
              <w:top w:val="none" w:sz="0" w:space="0" w:color="FFFFFF"/>
              <w:left w:val="none" w:sz="0" w:space="0" w:color="FFFFFF"/>
              <w:bottom w:val="nil"/>
              <w:right w:val="none" w:sz="0" w:space="0" w:color="FFFFFF"/>
            </w:tcBorders>
            <w:shd w:val="clear" w:color="auto" w:fill="FFFFFF" w:themeFill="background1"/>
            <w:tcMar>
              <w:top w:w="20" w:type="dxa"/>
              <w:left w:w="0" w:type="dxa"/>
              <w:bottom w:w="20" w:type="dxa"/>
              <w:right w:w="0" w:type="dxa"/>
            </w:tcMar>
          </w:tcPr>
          <w:p w:rsidR="007A08AA" w:rsidRPr="00BA5BB8" w:rsidRDefault="007A08AA" w:rsidP="001C3F21">
            <w:pPr>
              <w:jc w:val="center"/>
              <w:rPr>
                <w:color w:val="000000" w:themeColor="text1"/>
              </w:rPr>
            </w:pPr>
            <w:r w:rsidRPr="00BA5BB8">
              <w:rPr>
                <w:rFonts w:eastAsia="Arial"/>
                <w:color w:val="000000" w:themeColor="text1"/>
              </w:rPr>
              <w:t>↓</w:t>
            </w:r>
          </w:p>
        </w:tc>
      </w:tr>
      <w:tr w:rsidR="007A08AA" w:rsidRPr="007A08AA" w:rsidTr="002E3C55">
        <w:trPr>
          <w:gridBefore w:val="1"/>
          <w:wBefore w:w="10" w:type="dxa"/>
        </w:trPr>
        <w:tc>
          <w:tcPr>
            <w:tcW w:w="15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vAlign w:val="center"/>
          </w:tcPr>
          <w:p w:rsidR="007A08AA" w:rsidRPr="00BA5BB8" w:rsidRDefault="007A08AA" w:rsidP="001C3F21">
            <w:pPr>
              <w:jc w:val="center"/>
            </w:pPr>
            <w:r w:rsidRPr="00BA5BB8">
              <w:rPr>
                <w:rFonts w:eastAsia="Arial"/>
                <w:b/>
                <w:bCs/>
                <w:color w:val="1A1A1A"/>
              </w:rPr>
              <w:t>Screening</w:t>
            </w:r>
          </w:p>
        </w:tc>
        <w:tc>
          <w:tcPr>
            <w:tcW w:w="147" w:type="dxa"/>
            <w:tcBorders>
              <w:top w:val="none" w:sz="0" w:space="0" w:color="FFFFFF"/>
              <w:left w:val="single" w:sz="8" w:space="0" w:color="000000" w:themeColor="text1"/>
              <w:bottom w:val="none" w:sz="0" w:space="0" w:color="FFFFFF"/>
              <w:right w:val="single" w:sz="8" w:space="0" w:color="auto"/>
            </w:tcBorders>
            <w:shd w:val="clear" w:color="auto" w:fill="FFFFFF" w:themeFill="background1"/>
          </w:tcPr>
          <w:p w:rsidR="007A08AA" w:rsidRPr="00BA5BB8" w:rsidRDefault="007A08AA" w:rsidP="001C3F21"/>
        </w:tc>
        <w:tc>
          <w:tcPr>
            <w:tcW w:w="4823" w:type="dxa"/>
            <w:tcBorders>
              <w:top w:val="single" w:sz="8" w:space="0" w:color="auto"/>
              <w:left w:val="single" w:sz="8" w:space="0" w:color="auto"/>
              <w:bottom w:val="single" w:sz="8" w:space="0" w:color="auto"/>
              <w:right w:val="single" w:sz="8" w:space="0" w:color="auto"/>
            </w:tcBorders>
            <w:shd w:val="clear" w:color="auto" w:fill="FFFFFF" w:themeFill="background1"/>
            <w:tcMar>
              <w:top w:w="120" w:type="dxa"/>
              <w:left w:w="160" w:type="dxa"/>
              <w:bottom w:w="120" w:type="dxa"/>
              <w:right w:w="160" w:type="dxa"/>
            </w:tcMar>
            <w:vAlign w:val="center"/>
          </w:tcPr>
          <w:p w:rsidR="007A08AA" w:rsidRPr="00BA5BB8" w:rsidRDefault="007A08AA" w:rsidP="001C3F21">
            <w:pPr>
              <w:spacing w:before="20" w:after="20"/>
              <w:jc w:val="center"/>
            </w:pPr>
            <w:r w:rsidRPr="00BA5BB8">
              <w:rPr>
                <w:rFonts w:eastAsia="Arial"/>
                <w:b/>
                <w:bCs/>
                <w:color w:val="1A1A1A"/>
              </w:rPr>
              <w:t>Records after date filter applied (2015–2026)</w:t>
            </w:r>
          </w:p>
          <w:p w:rsidR="007A08AA" w:rsidRPr="00BA5BB8" w:rsidRDefault="007A08AA" w:rsidP="001C3F21">
            <w:pPr>
              <w:spacing w:before="20" w:after="20"/>
              <w:jc w:val="center"/>
            </w:pPr>
            <w:r w:rsidRPr="00BA5BB8">
              <w:rPr>
                <w:rFonts w:eastAsia="Arial"/>
                <w:color w:val="1A1A1A"/>
              </w:rPr>
              <w:t>(n = 124)</w:t>
            </w:r>
          </w:p>
        </w:tc>
        <w:tc>
          <w:tcPr>
            <w:tcW w:w="183" w:type="dxa"/>
            <w:tcBorders>
              <w:top w:val="none" w:sz="0" w:space="0" w:color="FFFFFF"/>
              <w:left w:val="single" w:sz="8" w:space="0" w:color="auto"/>
              <w:bottom w:val="none" w:sz="0" w:space="0" w:color="FFFFFF"/>
              <w:right w:val="single" w:sz="8" w:space="0" w:color="000000" w:themeColor="text1"/>
            </w:tcBorders>
            <w:shd w:val="clear" w:color="auto" w:fill="FFFFFF" w:themeFill="background1"/>
          </w:tcPr>
          <w:p w:rsidR="007A08AA" w:rsidRPr="00BA5BB8" w:rsidRDefault="007A08AA" w:rsidP="001C3F21"/>
        </w:tc>
        <w:tc>
          <w:tcPr>
            <w:tcW w:w="2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20" w:type="dxa"/>
              <w:left w:w="160" w:type="dxa"/>
              <w:bottom w:w="120" w:type="dxa"/>
              <w:right w:w="160" w:type="dxa"/>
            </w:tcMar>
            <w:vAlign w:val="center"/>
          </w:tcPr>
          <w:p w:rsidR="007A08AA" w:rsidRPr="00BA5BB8" w:rsidRDefault="007A08AA" w:rsidP="001C3F21">
            <w:pPr>
              <w:spacing w:before="20" w:after="20"/>
              <w:jc w:val="center"/>
            </w:pPr>
            <w:r w:rsidRPr="00BA5BB8">
              <w:rPr>
                <w:rFonts w:eastAsia="Arial"/>
                <w:color w:val="1A1A1A"/>
              </w:rPr>
              <w:t>Records excluded</w:t>
            </w:r>
          </w:p>
          <w:p w:rsidR="007A08AA" w:rsidRPr="00BA5BB8" w:rsidRDefault="007A08AA" w:rsidP="001C3F21">
            <w:pPr>
              <w:spacing w:before="20" w:after="20"/>
              <w:jc w:val="center"/>
            </w:pPr>
            <w:r w:rsidRPr="00BA5BB8">
              <w:rPr>
                <w:rFonts w:eastAsia="Arial"/>
                <w:color w:val="1A1A1A"/>
              </w:rPr>
              <w:t>Outside date range (2015–2026)</w:t>
            </w:r>
          </w:p>
          <w:p w:rsidR="007A08AA" w:rsidRPr="00BA5BB8" w:rsidRDefault="007A08AA" w:rsidP="001C3F21">
            <w:pPr>
              <w:spacing w:before="20" w:after="20"/>
              <w:jc w:val="center"/>
            </w:pPr>
            <w:r w:rsidRPr="00BA5BB8">
              <w:rPr>
                <w:rFonts w:eastAsia="Arial"/>
                <w:color w:val="1A1A1A"/>
              </w:rPr>
              <w:t>(n = 53)</w:t>
            </w:r>
          </w:p>
        </w:tc>
      </w:tr>
      <w:tr w:rsidR="007A08AA" w:rsidRPr="00BA5BB8" w:rsidTr="002E3C55">
        <w:trPr>
          <w:gridAfter w:val="1"/>
          <w:wAfter w:w="10" w:type="dxa"/>
        </w:trPr>
        <w:tc>
          <w:tcPr>
            <w:tcW w:w="9350" w:type="dxa"/>
            <w:gridSpan w:val="6"/>
            <w:tcBorders>
              <w:top w:val="none" w:sz="0" w:space="0" w:color="FFFFFF"/>
              <w:left w:val="none" w:sz="0" w:space="0" w:color="FFFFFF"/>
              <w:bottom w:val="none" w:sz="0" w:space="0" w:color="FFFFFF"/>
              <w:right w:val="none" w:sz="0" w:space="0" w:color="FFFFFF"/>
            </w:tcBorders>
            <w:shd w:val="clear" w:color="auto" w:fill="FFFFFF" w:themeFill="background1"/>
            <w:tcMar>
              <w:top w:w="20" w:type="dxa"/>
              <w:left w:w="0" w:type="dxa"/>
              <w:bottom w:w="20" w:type="dxa"/>
              <w:right w:w="0" w:type="dxa"/>
            </w:tcMar>
          </w:tcPr>
          <w:p w:rsidR="007A08AA" w:rsidRPr="00BA5BB8" w:rsidRDefault="007A08AA" w:rsidP="001C3F21">
            <w:pPr>
              <w:jc w:val="center"/>
            </w:pPr>
            <w:r w:rsidRPr="00BA5BB8">
              <w:rPr>
                <w:rFonts w:eastAsia="Arial"/>
                <w:color w:val="444444"/>
              </w:rPr>
              <w:t>↓</w:t>
            </w:r>
          </w:p>
        </w:tc>
      </w:tr>
      <w:tr w:rsidR="007A08AA" w:rsidRPr="007A08AA" w:rsidTr="002E3C55">
        <w:trPr>
          <w:gridBefore w:val="1"/>
          <w:wBefore w:w="10" w:type="dxa"/>
        </w:trPr>
        <w:tc>
          <w:tcPr>
            <w:tcW w:w="15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vAlign w:val="center"/>
          </w:tcPr>
          <w:p w:rsidR="007A08AA" w:rsidRPr="00BA5BB8" w:rsidRDefault="007A08AA" w:rsidP="001C3F21">
            <w:pPr>
              <w:jc w:val="center"/>
            </w:pPr>
            <w:r w:rsidRPr="00BA5BB8">
              <w:rPr>
                <w:rFonts w:eastAsia="Arial"/>
                <w:b/>
                <w:bCs/>
                <w:color w:val="1A1A1A"/>
              </w:rPr>
              <w:t>Eligibility</w:t>
            </w:r>
          </w:p>
        </w:tc>
        <w:tc>
          <w:tcPr>
            <w:tcW w:w="147" w:type="dxa"/>
            <w:tcBorders>
              <w:top w:val="none" w:sz="0" w:space="0" w:color="FFFFFF"/>
              <w:left w:val="single" w:sz="8" w:space="0" w:color="000000" w:themeColor="text1"/>
              <w:bottom w:val="none" w:sz="0" w:space="0" w:color="FFFFFF"/>
              <w:right w:val="single" w:sz="8" w:space="0" w:color="000000" w:themeColor="text1"/>
            </w:tcBorders>
            <w:shd w:val="clear" w:color="auto" w:fill="FFFFFF"/>
          </w:tcPr>
          <w:p w:rsidR="007A08AA" w:rsidRPr="00BA5BB8" w:rsidRDefault="007A08AA" w:rsidP="001C3F21"/>
        </w:tc>
        <w:tc>
          <w:tcPr>
            <w:tcW w:w="4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20" w:type="dxa"/>
              <w:left w:w="160" w:type="dxa"/>
              <w:bottom w:w="120" w:type="dxa"/>
              <w:right w:w="160" w:type="dxa"/>
            </w:tcMar>
            <w:vAlign w:val="center"/>
          </w:tcPr>
          <w:p w:rsidR="007A08AA" w:rsidRPr="00BA5BB8" w:rsidRDefault="007A08AA" w:rsidP="001C3F21">
            <w:pPr>
              <w:spacing w:before="20" w:after="20"/>
              <w:jc w:val="center"/>
            </w:pPr>
            <w:r w:rsidRPr="00BA5BB8">
              <w:rPr>
                <w:rFonts w:eastAsia="Arial"/>
                <w:b/>
                <w:bCs/>
                <w:color w:val="1A1A1A"/>
              </w:rPr>
              <w:t>Records screened by subject area</w:t>
            </w:r>
          </w:p>
          <w:p w:rsidR="007A08AA" w:rsidRPr="00BA5BB8" w:rsidRDefault="007A08AA" w:rsidP="001C3F21">
            <w:pPr>
              <w:spacing w:before="20" w:after="20"/>
              <w:jc w:val="center"/>
            </w:pPr>
            <w:r w:rsidRPr="00BA5BB8">
              <w:rPr>
                <w:rFonts w:eastAsia="Arial"/>
                <w:color w:val="1A1A1A"/>
              </w:rPr>
              <w:t>(n = 60)</w:t>
            </w:r>
          </w:p>
        </w:tc>
        <w:tc>
          <w:tcPr>
            <w:tcW w:w="183" w:type="dxa"/>
            <w:tcBorders>
              <w:top w:val="none" w:sz="0" w:space="0" w:color="FFFFFF"/>
              <w:left w:val="single" w:sz="8" w:space="0" w:color="000000" w:themeColor="text1"/>
              <w:bottom w:val="none" w:sz="0" w:space="0" w:color="FFFFFF"/>
              <w:right w:val="single" w:sz="8" w:space="0" w:color="000000" w:themeColor="text1"/>
            </w:tcBorders>
            <w:shd w:val="clear" w:color="auto" w:fill="FFFFFF" w:themeFill="background1"/>
          </w:tcPr>
          <w:p w:rsidR="007A08AA" w:rsidRPr="00BA5BB8" w:rsidRDefault="007A08AA" w:rsidP="001C3F21"/>
        </w:tc>
        <w:tc>
          <w:tcPr>
            <w:tcW w:w="2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20" w:type="dxa"/>
              <w:left w:w="160" w:type="dxa"/>
              <w:bottom w:w="120" w:type="dxa"/>
              <w:right w:w="160" w:type="dxa"/>
            </w:tcMar>
            <w:vAlign w:val="center"/>
          </w:tcPr>
          <w:p w:rsidR="007A08AA" w:rsidRPr="00BA5BB8" w:rsidRDefault="007A08AA" w:rsidP="001C3F21">
            <w:pPr>
              <w:spacing w:before="20" w:after="20"/>
              <w:jc w:val="center"/>
            </w:pPr>
            <w:r w:rsidRPr="00BA5BB8">
              <w:rPr>
                <w:rFonts w:eastAsia="Arial"/>
                <w:color w:val="1A1A1A"/>
              </w:rPr>
              <w:t>Records excluded</w:t>
            </w:r>
          </w:p>
          <w:p w:rsidR="007A08AA" w:rsidRPr="00BA5BB8" w:rsidRDefault="007A08AA" w:rsidP="001C3F21">
            <w:pPr>
              <w:spacing w:before="20" w:after="20"/>
              <w:jc w:val="center"/>
            </w:pPr>
            <w:r w:rsidRPr="00BA5BB8">
              <w:rPr>
                <w:rFonts w:eastAsia="Arial"/>
                <w:color w:val="1A1A1A"/>
              </w:rPr>
              <w:t>Irrelevant subject area</w:t>
            </w:r>
          </w:p>
          <w:p w:rsidR="007A08AA" w:rsidRPr="00BA5BB8" w:rsidRDefault="007A08AA" w:rsidP="001C3F21">
            <w:pPr>
              <w:spacing w:before="20" w:after="20"/>
              <w:jc w:val="center"/>
            </w:pPr>
            <w:r w:rsidRPr="00BA5BB8">
              <w:rPr>
                <w:rFonts w:eastAsia="Arial"/>
                <w:color w:val="1A1A1A"/>
              </w:rPr>
              <w:t>(n = 64)</w:t>
            </w:r>
          </w:p>
        </w:tc>
      </w:tr>
      <w:tr w:rsidR="007A08AA" w:rsidRPr="00BA5BB8" w:rsidTr="002E3C55">
        <w:trPr>
          <w:gridAfter w:val="1"/>
          <w:wAfter w:w="10" w:type="dxa"/>
        </w:trPr>
        <w:tc>
          <w:tcPr>
            <w:tcW w:w="9350" w:type="dxa"/>
            <w:gridSpan w:val="6"/>
            <w:tcBorders>
              <w:top w:val="none" w:sz="0" w:space="0" w:color="FFFFFF"/>
              <w:left w:val="none" w:sz="0" w:space="0" w:color="FFFFFF"/>
              <w:bottom w:val="none" w:sz="0" w:space="0" w:color="FFFFFF"/>
              <w:right w:val="none" w:sz="0" w:space="0" w:color="FFFFFF"/>
            </w:tcBorders>
            <w:shd w:val="clear" w:color="auto" w:fill="FFFFFF" w:themeFill="background1"/>
            <w:tcMar>
              <w:top w:w="20" w:type="dxa"/>
              <w:left w:w="0" w:type="dxa"/>
              <w:bottom w:w="20" w:type="dxa"/>
              <w:right w:w="0" w:type="dxa"/>
            </w:tcMar>
          </w:tcPr>
          <w:p w:rsidR="007A08AA" w:rsidRPr="00BA5BB8" w:rsidRDefault="007A08AA" w:rsidP="001C3F21">
            <w:pPr>
              <w:jc w:val="center"/>
            </w:pPr>
            <w:r w:rsidRPr="00BA5BB8">
              <w:rPr>
                <w:rFonts w:eastAsia="Arial"/>
                <w:color w:val="444444"/>
              </w:rPr>
              <w:lastRenderedPageBreak/>
              <w:t>↓</w:t>
            </w:r>
          </w:p>
        </w:tc>
      </w:tr>
      <w:tr w:rsidR="007A08AA" w:rsidRPr="007A08AA" w:rsidTr="002E3C55">
        <w:trPr>
          <w:gridBefore w:val="1"/>
          <w:wBefore w:w="10" w:type="dxa"/>
        </w:trPr>
        <w:tc>
          <w:tcPr>
            <w:tcW w:w="15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vAlign w:val="center"/>
          </w:tcPr>
          <w:p w:rsidR="007A08AA" w:rsidRPr="00BA5BB8" w:rsidRDefault="007A08AA" w:rsidP="001C3F21">
            <w:pPr>
              <w:jc w:val="center"/>
            </w:pPr>
            <w:r w:rsidRPr="00BA5BB8">
              <w:rPr>
                <w:rFonts w:eastAsia="Arial"/>
                <w:b/>
                <w:bCs/>
                <w:color w:val="1A1A1A"/>
              </w:rPr>
              <w:t>Eligibility</w:t>
            </w:r>
          </w:p>
        </w:tc>
        <w:tc>
          <w:tcPr>
            <w:tcW w:w="147" w:type="dxa"/>
            <w:tcBorders>
              <w:top w:val="none" w:sz="0" w:space="0" w:color="FFFFFF"/>
              <w:left w:val="single" w:sz="8" w:space="0" w:color="000000" w:themeColor="text1"/>
              <w:bottom w:val="none" w:sz="0" w:space="0" w:color="FFFFFF"/>
              <w:right w:val="single" w:sz="8" w:space="0" w:color="000000" w:themeColor="text1"/>
            </w:tcBorders>
            <w:shd w:val="clear" w:color="auto" w:fill="FFFFFF"/>
          </w:tcPr>
          <w:p w:rsidR="007A08AA" w:rsidRPr="00BA5BB8" w:rsidRDefault="007A08AA" w:rsidP="001C3F21"/>
        </w:tc>
        <w:tc>
          <w:tcPr>
            <w:tcW w:w="4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20" w:type="dxa"/>
              <w:left w:w="160" w:type="dxa"/>
              <w:bottom w:w="120" w:type="dxa"/>
              <w:right w:w="160" w:type="dxa"/>
            </w:tcMar>
            <w:vAlign w:val="center"/>
          </w:tcPr>
          <w:p w:rsidR="007A08AA" w:rsidRPr="00BA5BB8" w:rsidRDefault="007A08AA" w:rsidP="001C3F21">
            <w:pPr>
              <w:spacing w:before="20" w:after="20"/>
              <w:jc w:val="center"/>
            </w:pPr>
            <w:r w:rsidRPr="00BA5BB8">
              <w:rPr>
                <w:rFonts w:eastAsia="Arial"/>
                <w:b/>
                <w:bCs/>
                <w:color w:val="1A1A1A"/>
              </w:rPr>
              <w:t>Full-text articles assessed for eligibility</w:t>
            </w:r>
          </w:p>
          <w:p w:rsidR="007A08AA" w:rsidRPr="00BA5BB8" w:rsidRDefault="007A08AA" w:rsidP="001C3F21">
            <w:pPr>
              <w:spacing w:before="20" w:after="20"/>
              <w:jc w:val="center"/>
            </w:pPr>
            <w:r w:rsidRPr="00BA5BB8">
              <w:rPr>
                <w:rFonts w:eastAsia="Arial"/>
                <w:color w:val="1A1A1A"/>
              </w:rPr>
              <w:t>(n = 60)</w:t>
            </w:r>
          </w:p>
        </w:tc>
        <w:tc>
          <w:tcPr>
            <w:tcW w:w="183" w:type="dxa"/>
            <w:tcBorders>
              <w:top w:val="none" w:sz="0" w:space="0" w:color="FFFFFF"/>
              <w:left w:val="single" w:sz="8" w:space="0" w:color="000000" w:themeColor="text1"/>
              <w:bottom w:val="none" w:sz="0" w:space="0" w:color="FFFFFF"/>
              <w:right w:val="single" w:sz="8" w:space="0" w:color="000000" w:themeColor="text1"/>
            </w:tcBorders>
            <w:shd w:val="clear" w:color="auto" w:fill="FFFFFF" w:themeFill="background1"/>
          </w:tcPr>
          <w:p w:rsidR="007A08AA" w:rsidRPr="00BA5BB8" w:rsidRDefault="007A08AA" w:rsidP="001C3F21"/>
        </w:tc>
        <w:tc>
          <w:tcPr>
            <w:tcW w:w="2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20" w:type="dxa"/>
              <w:left w:w="160" w:type="dxa"/>
              <w:bottom w:w="120" w:type="dxa"/>
              <w:right w:w="160" w:type="dxa"/>
            </w:tcMar>
            <w:vAlign w:val="center"/>
          </w:tcPr>
          <w:p w:rsidR="007A08AA" w:rsidRPr="00BA5BB8" w:rsidRDefault="007A08AA" w:rsidP="001C3F21">
            <w:pPr>
              <w:spacing w:before="20" w:after="20"/>
              <w:jc w:val="center"/>
            </w:pPr>
            <w:r w:rsidRPr="00BA5BB8">
              <w:rPr>
                <w:rFonts w:eastAsia="Arial"/>
                <w:color w:val="1A1A1A"/>
              </w:rPr>
              <w:t>Full-text excluded</w:t>
            </w:r>
          </w:p>
          <w:p w:rsidR="007A08AA" w:rsidRPr="00BA5BB8" w:rsidRDefault="007A08AA" w:rsidP="001C3F21">
            <w:pPr>
              <w:spacing w:before="20" w:after="20"/>
              <w:jc w:val="center"/>
            </w:pPr>
            <w:r w:rsidRPr="00BA5BB8">
              <w:rPr>
                <w:rFonts w:eastAsia="Arial"/>
                <w:color w:val="1A1A1A"/>
              </w:rPr>
              <w:t>Did not meet criteria</w:t>
            </w:r>
          </w:p>
          <w:p w:rsidR="007A08AA" w:rsidRPr="00BA5BB8" w:rsidRDefault="007A08AA" w:rsidP="001C3F21">
            <w:pPr>
              <w:spacing w:before="20" w:after="20"/>
              <w:jc w:val="center"/>
            </w:pPr>
            <w:r w:rsidRPr="00BA5BB8">
              <w:rPr>
                <w:rFonts w:eastAsia="Arial"/>
                <w:color w:val="1A1A1A"/>
              </w:rPr>
              <w:t>(n = 12)</w:t>
            </w:r>
          </w:p>
        </w:tc>
      </w:tr>
      <w:tr w:rsidR="007A08AA" w:rsidRPr="00BA5BB8" w:rsidTr="002E3C55">
        <w:trPr>
          <w:gridAfter w:val="1"/>
          <w:wAfter w:w="10" w:type="dxa"/>
        </w:trPr>
        <w:tc>
          <w:tcPr>
            <w:tcW w:w="9350" w:type="dxa"/>
            <w:gridSpan w:val="6"/>
            <w:tcBorders>
              <w:top w:val="none" w:sz="0" w:space="0" w:color="FFFFFF"/>
              <w:left w:val="none" w:sz="0" w:space="0" w:color="FFFFFF"/>
              <w:bottom w:val="none" w:sz="0" w:space="0" w:color="FFFFFF"/>
              <w:right w:val="none" w:sz="0" w:space="0" w:color="FFFFFF"/>
            </w:tcBorders>
            <w:shd w:val="clear" w:color="auto" w:fill="FFFFFF" w:themeFill="background1"/>
            <w:tcMar>
              <w:top w:w="20" w:type="dxa"/>
              <w:left w:w="0" w:type="dxa"/>
              <w:bottom w:w="20" w:type="dxa"/>
              <w:right w:w="0" w:type="dxa"/>
            </w:tcMar>
          </w:tcPr>
          <w:p w:rsidR="007A08AA" w:rsidRPr="00BA5BB8" w:rsidRDefault="007A08AA" w:rsidP="001C3F21">
            <w:pPr>
              <w:jc w:val="center"/>
            </w:pPr>
            <w:r w:rsidRPr="00BA5BB8">
              <w:rPr>
                <w:rFonts w:eastAsia="Arial"/>
                <w:color w:val="444444"/>
              </w:rPr>
              <w:t>↓</w:t>
            </w:r>
          </w:p>
        </w:tc>
      </w:tr>
      <w:tr w:rsidR="007A08AA" w:rsidRPr="00BA5BB8" w:rsidTr="002E3C55">
        <w:trPr>
          <w:gridBefore w:val="1"/>
          <w:wBefore w:w="10" w:type="dxa"/>
        </w:trPr>
        <w:tc>
          <w:tcPr>
            <w:tcW w:w="15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vAlign w:val="center"/>
          </w:tcPr>
          <w:p w:rsidR="007A08AA" w:rsidRPr="00BA5BB8" w:rsidRDefault="007A08AA" w:rsidP="001C3F21">
            <w:pPr>
              <w:jc w:val="center"/>
            </w:pPr>
            <w:r w:rsidRPr="00BA5BB8">
              <w:rPr>
                <w:rFonts w:eastAsia="Arial"/>
                <w:b/>
                <w:bCs/>
                <w:color w:val="1A1A1A"/>
              </w:rPr>
              <w:t>Included</w:t>
            </w:r>
          </w:p>
        </w:tc>
        <w:tc>
          <w:tcPr>
            <w:tcW w:w="147" w:type="dxa"/>
            <w:tcBorders>
              <w:top w:val="none" w:sz="0" w:space="0" w:color="FFFFFF"/>
              <w:left w:val="single" w:sz="8" w:space="0" w:color="000000" w:themeColor="text1"/>
              <w:bottom w:val="none" w:sz="0" w:space="0" w:color="FFFFFF"/>
              <w:right w:val="single" w:sz="8" w:space="0" w:color="000000" w:themeColor="text1"/>
            </w:tcBorders>
            <w:shd w:val="clear" w:color="auto" w:fill="FFFFFF"/>
          </w:tcPr>
          <w:p w:rsidR="007A08AA" w:rsidRPr="00BA5BB8" w:rsidRDefault="007A08AA" w:rsidP="001C3F21"/>
        </w:tc>
        <w:tc>
          <w:tcPr>
            <w:tcW w:w="765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20" w:type="dxa"/>
              <w:left w:w="160" w:type="dxa"/>
              <w:bottom w:w="120" w:type="dxa"/>
              <w:right w:w="160" w:type="dxa"/>
            </w:tcMar>
            <w:vAlign w:val="center"/>
          </w:tcPr>
          <w:p w:rsidR="007A08AA" w:rsidRPr="00BA5BB8" w:rsidRDefault="007A08AA" w:rsidP="001C3F21">
            <w:pPr>
              <w:spacing w:before="20" w:after="20"/>
              <w:jc w:val="center"/>
            </w:pPr>
            <w:r w:rsidRPr="00BA5BB8">
              <w:rPr>
                <w:rFonts w:eastAsia="Arial"/>
                <w:b/>
                <w:bCs/>
                <w:color w:val="1A1A1A"/>
              </w:rPr>
              <w:t>Studies included in final systematic review</w:t>
            </w:r>
          </w:p>
          <w:p w:rsidR="007A08AA" w:rsidRPr="00BA5BB8" w:rsidRDefault="007A08AA" w:rsidP="001C3F21">
            <w:pPr>
              <w:spacing w:before="20" w:after="20"/>
              <w:jc w:val="center"/>
            </w:pPr>
            <w:r w:rsidRPr="00BA5BB8">
              <w:rPr>
                <w:rFonts w:eastAsia="Arial"/>
                <w:color w:val="1A1A1A"/>
              </w:rPr>
              <w:t>(n = 48)</w:t>
            </w:r>
          </w:p>
        </w:tc>
      </w:tr>
    </w:tbl>
    <w:p w:rsidR="00CB1C61" w:rsidRPr="00CB1C61" w:rsidRDefault="00CB1C61" w:rsidP="008F280C">
      <w:pPr>
        <w:spacing w:before="100" w:beforeAutospacing="1" w:after="100" w:afterAutospacing="1" w:line="276" w:lineRule="auto"/>
        <w:jc w:val="both"/>
        <w:rPr>
          <w:color w:val="000000" w:themeColor="text1"/>
          <w:sz w:val="32"/>
        </w:rPr>
      </w:pPr>
    </w:p>
    <w:p w:rsidR="008F280C" w:rsidRPr="004B3743" w:rsidRDefault="008F280C" w:rsidP="008F280C">
      <w:pPr>
        <w:spacing w:before="100" w:beforeAutospacing="1" w:after="100" w:afterAutospacing="1" w:line="276" w:lineRule="auto"/>
        <w:jc w:val="both"/>
        <w:outlineLvl w:val="2"/>
        <w:rPr>
          <w:b/>
          <w:bCs/>
          <w:color w:val="000000" w:themeColor="text1"/>
          <w:sz w:val="26"/>
          <w:szCs w:val="26"/>
        </w:rPr>
      </w:pPr>
      <w:r w:rsidRPr="004B3743">
        <w:rPr>
          <w:b/>
          <w:bCs/>
          <w:color w:val="000000" w:themeColor="text1"/>
          <w:sz w:val="26"/>
          <w:szCs w:val="26"/>
        </w:rPr>
        <w:t>Database Selection</w:t>
      </w:r>
    </w:p>
    <w:p w:rsidR="008F280C" w:rsidRPr="008F280C" w:rsidRDefault="008F280C" w:rsidP="008F280C">
      <w:pPr>
        <w:spacing w:before="100" w:beforeAutospacing="1" w:after="100" w:afterAutospacing="1" w:line="276" w:lineRule="auto"/>
        <w:jc w:val="both"/>
        <w:rPr>
          <w:color w:val="000000" w:themeColor="text1"/>
        </w:rPr>
      </w:pPr>
      <w:r w:rsidRPr="008F280C">
        <w:rPr>
          <w:color w:val="000000" w:themeColor="text1"/>
        </w:rPr>
        <w:t>The review was carried out using the Scopus database. Scopus was selected due to its extensive coverage of peer-reviewed scholarly literature and its strong indexing of high-quality journals in the fields of social sciences, psychology, and management studies.</w:t>
      </w:r>
    </w:p>
    <w:p w:rsidR="008F280C" w:rsidRPr="004B3743" w:rsidRDefault="008F280C" w:rsidP="008F280C">
      <w:pPr>
        <w:spacing w:before="100" w:beforeAutospacing="1" w:after="100" w:afterAutospacing="1" w:line="276" w:lineRule="auto"/>
        <w:jc w:val="both"/>
        <w:outlineLvl w:val="2"/>
        <w:rPr>
          <w:b/>
          <w:bCs/>
          <w:color w:val="000000" w:themeColor="text1"/>
          <w:sz w:val="26"/>
          <w:szCs w:val="26"/>
        </w:rPr>
      </w:pPr>
      <w:r w:rsidRPr="004B3743">
        <w:rPr>
          <w:b/>
          <w:bCs/>
          <w:color w:val="000000" w:themeColor="text1"/>
          <w:sz w:val="26"/>
          <w:szCs w:val="26"/>
        </w:rPr>
        <w:t>Search Strategy</w:t>
      </w:r>
    </w:p>
    <w:p w:rsidR="008F280C" w:rsidRPr="008F280C" w:rsidRDefault="008F280C" w:rsidP="008F280C">
      <w:pPr>
        <w:spacing w:before="100" w:beforeAutospacing="1" w:after="100" w:afterAutospacing="1" w:line="276" w:lineRule="auto"/>
        <w:jc w:val="both"/>
        <w:rPr>
          <w:color w:val="000000" w:themeColor="text1"/>
        </w:rPr>
      </w:pPr>
      <w:r w:rsidRPr="008F280C">
        <w:rPr>
          <w:color w:val="000000" w:themeColor="text1"/>
        </w:rPr>
        <w:t>A comprehensive search strategy was developed using relevant keywords associated with psychological well-being and working women. The search string employed for data collection was:</w:t>
      </w:r>
    </w:p>
    <w:p w:rsidR="00CB1C61" w:rsidRPr="008F280C" w:rsidRDefault="00CB1C61" w:rsidP="008F280C">
      <w:pPr>
        <w:spacing w:beforeAutospacing="1" w:afterAutospacing="1" w:line="276" w:lineRule="auto"/>
        <w:jc w:val="both"/>
        <w:rPr>
          <w:color w:val="000000" w:themeColor="text1"/>
        </w:rPr>
      </w:pPr>
      <w:r w:rsidRPr="00F309E9">
        <w:rPr>
          <w:color w:val="000000" w:themeColor="text1"/>
        </w:rPr>
        <w:t>TITLE-ABS-</w:t>
      </w:r>
      <w:proofErr w:type="gramStart"/>
      <w:r w:rsidRPr="00F309E9">
        <w:rPr>
          <w:color w:val="000000" w:themeColor="text1"/>
        </w:rPr>
        <w:t>KEY(</w:t>
      </w:r>
      <w:proofErr w:type="gramEnd"/>
      <w:r w:rsidRPr="00F309E9">
        <w:rPr>
          <w:color w:val="000000" w:themeColor="text1"/>
        </w:rPr>
        <w:t>("psychological well-being" OR "psychological wellbeing" OR "mental well-being" OR "mental wellbeing" OR "emotional well-being") AND ("working women" OR "working woman" OR "female employees" OR "women employees" OR "working females" OR "employed women" OR "women workforce")) AND ( LIMIT-TO ( SUBJAREA,"BUSI" ) OR LIMIT-TO ( SUBJAREA,"PSYC" ) OR LIMIT-TO ( SUBJAREA,"SOCI" ) ) AND ( LIMIT-TO ( DOCTYPE,"</w:t>
      </w:r>
      <w:proofErr w:type="spellStart"/>
      <w:r w:rsidRPr="00F309E9">
        <w:rPr>
          <w:color w:val="000000" w:themeColor="text1"/>
        </w:rPr>
        <w:t>ar</w:t>
      </w:r>
      <w:proofErr w:type="spellEnd"/>
      <w:r w:rsidRPr="00F309E9">
        <w:rPr>
          <w:color w:val="000000" w:themeColor="text1"/>
        </w:rPr>
        <w:t>" ) ) AND PUBYEAR &gt; 2014 AND PUBYEAR &lt; 2025</w:t>
      </w:r>
    </w:p>
    <w:p w:rsidR="008F280C" w:rsidRPr="008F280C" w:rsidRDefault="008F280C" w:rsidP="008F280C">
      <w:pPr>
        <w:spacing w:before="100" w:beforeAutospacing="1" w:after="100" w:afterAutospacing="1" w:line="276" w:lineRule="auto"/>
        <w:jc w:val="both"/>
        <w:rPr>
          <w:color w:val="000000" w:themeColor="text1"/>
        </w:rPr>
      </w:pPr>
      <w:r w:rsidRPr="008F280C">
        <w:rPr>
          <w:color w:val="000000" w:themeColor="text1"/>
        </w:rPr>
        <w:t xml:space="preserve">The search was restricted to studies published </w:t>
      </w:r>
      <w:r w:rsidRPr="00F374B1">
        <w:rPr>
          <w:color w:val="000000" w:themeColor="text1"/>
        </w:rPr>
        <w:t xml:space="preserve">between </w:t>
      </w:r>
      <w:r w:rsidRPr="00F374B1">
        <w:rPr>
          <w:bCs/>
          <w:color w:val="000000" w:themeColor="text1"/>
        </w:rPr>
        <w:t>2015 and 2026</w:t>
      </w:r>
      <w:r w:rsidRPr="008F280C">
        <w:rPr>
          <w:color w:val="000000" w:themeColor="text1"/>
        </w:rPr>
        <w:t xml:space="preserve"> to capture contemporary developments and recent research trends related to women employees’ well-being.</w:t>
      </w:r>
    </w:p>
    <w:p w:rsidR="008F280C" w:rsidRPr="004B3743" w:rsidRDefault="008F280C" w:rsidP="008F280C">
      <w:pPr>
        <w:spacing w:before="100" w:beforeAutospacing="1" w:after="100" w:afterAutospacing="1" w:line="276" w:lineRule="auto"/>
        <w:jc w:val="both"/>
        <w:outlineLvl w:val="2"/>
        <w:rPr>
          <w:b/>
          <w:bCs/>
          <w:color w:val="000000" w:themeColor="text1"/>
          <w:sz w:val="26"/>
          <w:szCs w:val="26"/>
        </w:rPr>
      </w:pPr>
      <w:r w:rsidRPr="004B3743">
        <w:rPr>
          <w:b/>
          <w:bCs/>
          <w:color w:val="000000" w:themeColor="text1"/>
          <w:sz w:val="26"/>
          <w:szCs w:val="26"/>
        </w:rPr>
        <w:t>Inclusion and Exclusion Criteria</w:t>
      </w:r>
    </w:p>
    <w:p w:rsidR="008F280C" w:rsidRPr="008F280C" w:rsidRDefault="008F280C" w:rsidP="008F280C">
      <w:pPr>
        <w:spacing w:before="100" w:beforeAutospacing="1" w:after="100" w:afterAutospacing="1" w:line="276" w:lineRule="auto"/>
        <w:jc w:val="both"/>
        <w:rPr>
          <w:color w:val="000000" w:themeColor="text1"/>
        </w:rPr>
      </w:pPr>
      <w:r w:rsidRPr="008F280C">
        <w:rPr>
          <w:color w:val="000000" w:themeColor="text1"/>
        </w:rPr>
        <w:t>To ensure the relevance and quality of the selected studies, inclusion and exclusion criteria were established.</w:t>
      </w:r>
    </w:p>
    <w:p w:rsidR="004B3743" w:rsidRDefault="008F280C" w:rsidP="004B3743">
      <w:pPr>
        <w:jc w:val="both"/>
        <w:outlineLvl w:val="3"/>
        <w:rPr>
          <w:b/>
          <w:bCs/>
          <w:color w:val="000000" w:themeColor="text1"/>
        </w:rPr>
      </w:pPr>
      <w:r w:rsidRPr="008F280C">
        <w:rPr>
          <w:b/>
          <w:bCs/>
          <w:color w:val="000000" w:themeColor="text1"/>
        </w:rPr>
        <w:t>Inclusion Criteria</w:t>
      </w:r>
    </w:p>
    <w:p w:rsidR="008F280C" w:rsidRPr="004B3743" w:rsidRDefault="008F280C" w:rsidP="004B3743">
      <w:pPr>
        <w:jc w:val="both"/>
        <w:outlineLvl w:val="3"/>
        <w:rPr>
          <w:b/>
          <w:bCs/>
          <w:color w:val="000000" w:themeColor="text1"/>
        </w:rPr>
      </w:pPr>
      <w:r w:rsidRPr="008F280C">
        <w:rPr>
          <w:color w:val="000000" w:themeColor="text1"/>
        </w:rPr>
        <w:t>Studies were included if they:</w:t>
      </w:r>
    </w:p>
    <w:p w:rsidR="008F280C" w:rsidRPr="008F280C" w:rsidRDefault="008F280C" w:rsidP="004B3743">
      <w:pPr>
        <w:numPr>
          <w:ilvl w:val="0"/>
          <w:numId w:val="2"/>
        </w:numPr>
        <w:jc w:val="both"/>
        <w:rPr>
          <w:color w:val="000000" w:themeColor="text1"/>
        </w:rPr>
      </w:pPr>
      <w:r w:rsidRPr="008F280C">
        <w:rPr>
          <w:color w:val="000000" w:themeColor="text1"/>
        </w:rPr>
        <w:lastRenderedPageBreak/>
        <w:t xml:space="preserve">Focused on psychological well-being, emotional well-being, mental health, or related psychosocial factors. </w:t>
      </w:r>
    </w:p>
    <w:p w:rsidR="008F280C" w:rsidRPr="008F280C" w:rsidRDefault="008F280C" w:rsidP="008F280C">
      <w:pPr>
        <w:numPr>
          <w:ilvl w:val="0"/>
          <w:numId w:val="2"/>
        </w:numPr>
        <w:spacing w:before="100" w:beforeAutospacing="1" w:after="100" w:afterAutospacing="1" w:line="276" w:lineRule="auto"/>
        <w:jc w:val="both"/>
        <w:rPr>
          <w:color w:val="000000" w:themeColor="text1"/>
        </w:rPr>
      </w:pPr>
      <w:r w:rsidRPr="008F280C">
        <w:rPr>
          <w:color w:val="000000" w:themeColor="text1"/>
        </w:rPr>
        <w:t xml:space="preserve">Examined working women, female employees, or employed women. </w:t>
      </w:r>
    </w:p>
    <w:p w:rsidR="008F280C" w:rsidRPr="008F280C" w:rsidRDefault="008F280C" w:rsidP="008F280C">
      <w:pPr>
        <w:numPr>
          <w:ilvl w:val="0"/>
          <w:numId w:val="2"/>
        </w:numPr>
        <w:spacing w:before="100" w:beforeAutospacing="1" w:after="100" w:afterAutospacing="1" w:line="276" w:lineRule="auto"/>
        <w:jc w:val="both"/>
        <w:rPr>
          <w:color w:val="000000" w:themeColor="text1"/>
        </w:rPr>
      </w:pPr>
      <w:r w:rsidRPr="008F280C">
        <w:rPr>
          <w:color w:val="000000" w:themeColor="text1"/>
        </w:rPr>
        <w:t xml:space="preserve">Were published between 2015 and 2026. </w:t>
      </w:r>
    </w:p>
    <w:p w:rsidR="008F280C" w:rsidRPr="008F280C" w:rsidRDefault="008F280C" w:rsidP="008F280C">
      <w:pPr>
        <w:numPr>
          <w:ilvl w:val="0"/>
          <w:numId w:val="2"/>
        </w:numPr>
        <w:spacing w:before="100" w:beforeAutospacing="1" w:after="100" w:afterAutospacing="1" w:line="276" w:lineRule="auto"/>
        <w:jc w:val="both"/>
        <w:rPr>
          <w:color w:val="000000" w:themeColor="text1"/>
        </w:rPr>
      </w:pPr>
      <w:r w:rsidRPr="008F280C">
        <w:rPr>
          <w:color w:val="000000" w:themeColor="text1"/>
        </w:rPr>
        <w:t xml:space="preserve">Were indexed in the Scopus database. </w:t>
      </w:r>
    </w:p>
    <w:p w:rsidR="008F280C" w:rsidRPr="008F280C" w:rsidRDefault="008F280C" w:rsidP="008F280C">
      <w:pPr>
        <w:numPr>
          <w:ilvl w:val="0"/>
          <w:numId w:val="2"/>
        </w:numPr>
        <w:spacing w:before="100" w:beforeAutospacing="1" w:after="100" w:afterAutospacing="1" w:line="276" w:lineRule="auto"/>
        <w:jc w:val="both"/>
        <w:rPr>
          <w:color w:val="000000" w:themeColor="text1"/>
        </w:rPr>
      </w:pPr>
      <w:r w:rsidRPr="008F280C">
        <w:rPr>
          <w:color w:val="000000" w:themeColor="text1"/>
        </w:rPr>
        <w:t xml:space="preserve">Belonged to the subject areas of: </w:t>
      </w:r>
    </w:p>
    <w:p w:rsidR="008F280C" w:rsidRPr="008F280C" w:rsidRDefault="008F280C" w:rsidP="008F280C">
      <w:pPr>
        <w:numPr>
          <w:ilvl w:val="1"/>
          <w:numId w:val="2"/>
        </w:numPr>
        <w:spacing w:before="100" w:beforeAutospacing="1" w:after="100" w:afterAutospacing="1" w:line="276" w:lineRule="auto"/>
        <w:jc w:val="both"/>
        <w:rPr>
          <w:color w:val="000000" w:themeColor="text1"/>
        </w:rPr>
      </w:pPr>
      <w:r w:rsidRPr="008F280C">
        <w:rPr>
          <w:color w:val="000000" w:themeColor="text1"/>
        </w:rPr>
        <w:t xml:space="preserve">Social Sciences, </w:t>
      </w:r>
    </w:p>
    <w:p w:rsidR="008F280C" w:rsidRPr="008F280C" w:rsidRDefault="008F280C" w:rsidP="008F280C">
      <w:pPr>
        <w:numPr>
          <w:ilvl w:val="1"/>
          <w:numId w:val="2"/>
        </w:numPr>
        <w:spacing w:before="100" w:beforeAutospacing="1" w:after="100" w:afterAutospacing="1" w:line="276" w:lineRule="auto"/>
        <w:jc w:val="both"/>
        <w:rPr>
          <w:color w:val="000000" w:themeColor="text1"/>
        </w:rPr>
      </w:pPr>
      <w:r w:rsidRPr="008F280C">
        <w:rPr>
          <w:color w:val="000000" w:themeColor="text1"/>
        </w:rPr>
        <w:t xml:space="preserve">Psychology, and </w:t>
      </w:r>
    </w:p>
    <w:p w:rsidR="008F280C" w:rsidRPr="008F280C" w:rsidRDefault="008F280C" w:rsidP="004B3743">
      <w:pPr>
        <w:numPr>
          <w:ilvl w:val="1"/>
          <w:numId w:val="2"/>
        </w:numPr>
        <w:spacing w:line="276" w:lineRule="auto"/>
        <w:jc w:val="both"/>
        <w:rPr>
          <w:color w:val="000000" w:themeColor="text1"/>
        </w:rPr>
      </w:pPr>
      <w:r w:rsidRPr="008F280C">
        <w:rPr>
          <w:color w:val="000000" w:themeColor="text1"/>
        </w:rPr>
        <w:t xml:space="preserve">Business, Management and Accounting. </w:t>
      </w:r>
    </w:p>
    <w:p w:rsidR="008F280C" w:rsidRPr="008F280C" w:rsidRDefault="008F280C" w:rsidP="004B3743">
      <w:pPr>
        <w:numPr>
          <w:ilvl w:val="0"/>
          <w:numId w:val="2"/>
        </w:numPr>
        <w:spacing w:line="276" w:lineRule="auto"/>
        <w:jc w:val="both"/>
        <w:rPr>
          <w:color w:val="000000" w:themeColor="text1"/>
        </w:rPr>
      </w:pPr>
      <w:r w:rsidRPr="008F280C">
        <w:rPr>
          <w:color w:val="000000" w:themeColor="text1"/>
        </w:rPr>
        <w:t xml:space="preserve">Were peer-reviewed empirical journal articles published in English. </w:t>
      </w:r>
    </w:p>
    <w:p w:rsidR="008F280C" w:rsidRPr="008F280C" w:rsidRDefault="008F280C" w:rsidP="004B3743">
      <w:pPr>
        <w:spacing w:line="276" w:lineRule="auto"/>
        <w:jc w:val="both"/>
        <w:outlineLvl w:val="3"/>
        <w:rPr>
          <w:b/>
          <w:bCs/>
          <w:color w:val="000000" w:themeColor="text1"/>
        </w:rPr>
      </w:pPr>
      <w:r w:rsidRPr="008F280C">
        <w:rPr>
          <w:b/>
          <w:bCs/>
          <w:color w:val="000000" w:themeColor="text1"/>
        </w:rPr>
        <w:t>Exclusion Criteria</w:t>
      </w:r>
    </w:p>
    <w:p w:rsidR="008F280C" w:rsidRPr="008F280C" w:rsidRDefault="008F280C" w:rsidP="004B3743">
      <w:pPr>
        <w:spacing w:line="276" w:lineRule="auto"/>
        <w:jc w:val="both"/>
        <w:rPr>
          <w:color w:val="000000" w:themeColor="text1"/>
        </w:rPr>
      </w:pPr>
      <w:r w:rsidRPr="008F280C">
        <w:rPr>
          <w:color w:val="000000" w:themeColor="text1"/>
        </w:rPr>
        <w:t>Studies were excluded if they:</w:t>
      </w:r>
    </w:p>
    <w:p w:rsidR="008F280C" w:rsidRPr="008F280C" w:rsidRDefault="008F280C" w:rsidP="004B3743">
      <w:pPr>
        <w:numPr>
          <w:ilvl w:val="0"/>
          <w:numId w:val="3"/>
        </w:numPr>
        <w:spacing w:line="276" w:lineRule="auto"/>
        <w:jc w:val="both"/>
        <w:rPr>
          <w:color w:val="000000" w:themeColor="text1"/>
        </w:rPr>
      </w:pPr>
      <w:r w:rsidRPr="008F280C">
        <w:rPr>
          <w:color w:val="000000" w:themeColor="text1"/>
        </w:rPr>
        <w:t xml:space="preserve">Focused on populations other than working women. </w:t>
      </w:r>
    </w:p>
    <w:p w:rsidR="008F280C" w:rsidRPr="008F280C" w:rsidRDefault="008F280C" w:rsidP="008F280C">
      <w:pPr>
        <w:numPr>
          <w:ilvl w:val="0"/>
          <w:numId w:val="3"/>
        </w:numPr>
        <w:spacing w:before="100" w:beforeAutospacing="1" w:after="100" w:afterAutospacing="1" w:line="276" w:lineRule="auto"/>
        <w:jc w:val="both"/>
        <w:rPr>
          <w:color w:val="000000" w:themeColor="text1"/>
        </w:rPr>
      </w:pPr>
      <w:r w:rsidRPr="008F280C">
        <w:rPr>
          <w:color w:val="000000" w:themeColor="text1"/>
        </w:rPr>
        <w:t xml:space="preserve">Addressed only physical health without psychological or emotional dimensions. </w:t>
      </w:r>
    </w:p>
    <w:p w:rsidR="008F280C" w:rsidRPr="008F280C" w:rsidRDefault="008F280C" w:rsidP="008F280C">
      <w:pPr>
        <w:numPr>
          <w:ilvl w:val="0"/>
          <w:numId w:val="3"/>
        </w:numPr>
        <w:spacing w:before="100" w:beforeAutospacing="1" w:after="100" w:afterAutospacing="1" w:line="276" w:lineRule="auto"/>
        <w:jc w:val="both"/>
        <w:rPr>
          <w:color w:val="000000" w:themeColor="text1"/>
        </w:rPr>
      </w:pPr>
      <w:r w:rsidRPr="008F280C">
        <w:rPr>
          <w:color w:val="000000" w:themeColor="text1"/>
        </w:rPr>
        <w:t xml:space="preserve">Were review papers, conference proceedings, editorials, dissertations, or book chapters. </w:t>
      </w:r>
    </w:p>
    <w:p w:rsidR="008F280C" w:rsidRPr="008F280C" w:rsidRDefault="008F280C" w:rsidP="008F280C">
      <w:pPr>
        <w:numPr>
          <w:ilvl w:val="0"/>
          <w:numId w:val="3"/>
        </w:numPr>
        <w:spacing w:before="100" w:beforeAutospacing="1" w:after="100" w:afterAutospacing="1" w:line="276" w:lineRule="auto"/>
        <w:jc w:val="both"/>
        <w:rPr>
          <w:color w:val="000000" w:themeColor="text1"/>
        </w:rPr>
      </w:pPr>
      <w:r w:rsidRPr="008F280C">
        <w:rPr>
          <w:color w:val="000000" w:themeColor="text1"/>
        </w:rPr>
        <w:t xml:space="preserve">Lacked empirical findings or thematic relevance. </w:t>
      </w:r>
    </w:p>
    <w:p w:rsidR="00BA5BB8" w:rsidRPr="007A08AA" w:rsidRDefault="008F280C" w:rsidP="007A08AA">
      <w:pPr>
        <w:numPr>
          <w:ilvl w:val="0"/>
          <w:numId w:val="3"/>
        </w:numPr>
        <w:spacing w:before="100" w:beforeAutospacing="1" w:after="100" w:afterAutospacing="1" w:line="276" w:lineRule="auto"/>
        <w:jc w:val="both"/>
        <w:rPr>
          <w:color w:val="000000" w:themeColor="text1"/>
        </w:rPr>
      </w:pPr>
      <w:r w:rsidRPr="008F280C">
        <w:rPr>
          <w:color w:val="000000" w:themeColor="text1"/>
        </w:rPr>
        <w:t xml:space="preserve">Were duplicate or incomplete records. </w:t>
      </w:r>
    </w:p>
    <w:p w:rsidR="008F280C" w:rsidRPr="004B3743" w:rsidRDefault="008F280C" w:rsidP="004B3743">
      <w:pPr>
        <w:spacing w:line="276" w:lineRule="auto"/>
        <w:jc w:val="both"/>
        <w:outlineLvl w:val="2"/>
        <w:rPr>
          <w:b/>
          <w:bCs/>
          <w:color w:val="000000" w:themeColor="text1"/>
          <w:sz w:val="26"/>
          <w:szCs w:val="26"/>
        </w:rPr>
      </w:pPr>
      <w:r w:rsidRPr="004B3743">
        <w:rPr>
          <w:b/>
          <w:bCs/>
          <w:color w:val="000000" w:themeColor="text1"/>
          <w:sz w:val="26"/>
          <w:szCs w:val="26"/>
        </w:rPr>
        <w:t>Data Extraction and Thematic Analysis</w:t>
      </w:r>
    </w:p>
    <w:p w:rsidR="008F280C" w:rsidRPr="008F280C" w:rsidRDefault="008F280C" w:rsidP="004B3743">
      <w:pPr>
        <w:spacing w:line="276" w:lineRule="auto"/>
        <w:jc w:val="both"/>
        <w:rPr>
          <w:color w:val="000000" w:themeColor="text1"/>
        </w:rPr>
      </w:pPr>
      <w:r w:rsidRPr="008F280C">
        <w:rPr>
          <w:color w:val="000000" w:themeColor="text1"/>
        </w:rPr>
        <w:t>Relevant information from the selected studies was systematically extracted and organized under predefined categories such as:</w:t>
      </w:r>
    </w:p>
    <w:p w:rsidR="008F280C" w:rsidRPr="008F280C" w:rsidRDefault="008F280C" w:rsidP="004B3743">
      <w:pPr>
        <w:numPr>
          <w:ilvl w:val="0"/>
          <w:numId w:val="5"/>
        </w:numPr>
        <w:spacing w:line="276" w:lineRule="auto"/>
        <w:jc w:val="both"/>
        <w:rPr>
          <w:color w:val="000000" w:themeColor="text1"/>
        </w:rPr>
      </w:pPr>
      <w:r w:rsidRPr="008F280C">
        <w:rPr>
          <w:color w:val="000000" w:themeColor="text1"/>
        </w:rPr>
        <w:t xml:space="preserve">Author(s) and year, </w:t>
      </w:r>
    </w:p>
    <w:p w:rsidR="008F280C" w:rsidRPr="008F280C" w:rsidRDefault="008F280C" w:rsidP="004B3743">
      <w:pPr>
        <w:numPr>
          <w:ilvl w:val="0"/>
          <w:numId w:val="5"/>
        </w:numPr>
        <w:spacing w:line="276" w:lineRule="auto"/>
        <w:jc w:val="both"/>
        <w:rPr>
          <w:color w:val="000000" w:themeColor="text1"/>
        </w:rPr>
      </w:pPr>
      <w:r w:rsidRPr="008F280C">
        <w:rPr>
          <w:color w:val="000000" w:themeColor="text1"/>
        </w:rPr>
        <w:t xml:space="preserve">Country and sector, </w:t>
      </w:r>
    </w:p>
    <w:p w:rsidR="008F280C" w:rsidRPr="008F280C" w:rsidRDefault="008F280C" w:rsidP="004B3743">
      <w:pPr>
        <w:numPr>
          <w:ilvl w:val="0"/>
          <w:numId w:val="5"/>
        </w:numPr>
        <w:spacing w:line="276" w:lineRule="auto"/>
        <w:jc w:val="both"/>
        <w:rPr>
          <w:color w:val="000000" w:themeColor="text1"/>
        </w:rPr>
      </w:pPr>
      <w:r w:rsidRPr="008F280C">
        <w:rPr>
          <w:color w:val="000000" w:themeColor="text1"/>
        </w:rPr>
        <w:t xml:space="preserve">Research objectives, </w:t>
      </w:r>
    </w:p>
    <w:p w:rsidR="008F280C" w:rsidRPr="008F280C" w:rsidRDefault="008F280C" w:rsidP="004B3743">
      <w:pPr>
        <w:numPr>
          <w:ilvl w:val="0"/>
          <w:numId w:val="5"/>
        </w:numPr>
        <w:spacing w:line="276" w:lineRule="auto"/>
        <w:jc w:val="both"/>
        <w:rPr>
          <w:color w:val="000000" w:themeColor="text1"/>
        </w:rPr>
      </w:pPr>
      <w:r w:rsidRPr="008F280C">
        <w:rPr>
          <w:color w:val="000000" w:themeColor="text1"/>
        </w:rPr>
        <w:t xml:space="preserve">Research methodology, </w:t>
      </w:r>
    </w:p>
    <w:p w:rsidR="008F280C" w:rsidRPr="008F280C" w:rsidRDefault="008F280C" w:rsidP="004B3743">
      <w:pPr>
        <w:numPr>
          <w:ilvl w:val="0"/>
          <w:numId w:val="5"/>
        </w:numPr>
        <w:spacing w:line="276" w:lineRule="auto"/>
        <w:jc w:val="both"/>
        <w:rPr>
          <w:color w:val="000000" w:themeColor="text1"/>
        </w:rPr>
      </w:pPr>
      <w:r w:rsidRPr="008F280C">
        <w:rPr>
          <w:color w:val="000000" w:themeColor="text1"/>
        </w:rPr>
        <w:t xml:space="preserve">Key variables, and </w:t>
      </w:r>
    </w:p>
    <w:p w:rsidR="008F280C" w:rsidRPr="008F280C" w:rsidRDefault="008F280C" w:rsidP="004B3743">
      <w:pPr>
        <w:numPr>
          <w:ilvl w:val="0"/>
          <w:numId w:val="5"/>
        </w:numPr>
        <w:spacing w:line="276" w:lineRule="auto"/>
        <w:jc w:val="both"/>
        <w:rPr>
          <w:color w:val="000000" w:themeColor="text1"/>
        </w:rPr>
      </w:pPr>
      <w:r w:rsidRPr="008F280C">
        <w:rPr>
          <w:color w:val="000000" w:themeColor="text1"/>
        </w:rPr>
        <w:t xml:space="preserve">Major findings. </w:t>
      </w:r>
    </w:p>
    <w:p w:rsidR="008F280C" w:rsidRDefault="008F280C" w:rsidP="004B3743">
      <w:pPr>
        <w:spacing w:line="276" w:lineRule="auto"/>
        <w:jc w:val="both"/>
        <w:rPr>
          <w:bCs/>
          <w:color w:val="000000" w:themeColor="text1"/>
        </w:rPr>
      </w:pPr>
      <w:r w:rsidRPr="008F280C">
        <w:rPr>
          <w:color w:val="000000" w:themeColor="text1"/>
        </w:rPr>
        <w:t xml:space="preserve">The selected studies were </w:t>
      </w:r>
      <w:r w:rsidR="005A484D" w:rsidRPr="00D946B5">
        <w:rPr>
          <w:color w:val="000000" w:themeColor="text1"/>
        </w:rPr>
        <w:t>analysed</w:t>
      </w:r>
      <w:r w:rsidRPr="008F280C">
        <w:rPr>
          <w:color w:val="000000" w:themeColor="text1"/>
        </w:rPr>
        <w:t xml:space="preserve"> using </w:t>
      </w:r>
      <w:r w:rsidRPr="00D946B5">
        <w:rPr>
          <w:bCs/>
          <w:color w:val="000000" w:themeColor="text1"/>
        </w:rPr>
        <w:t>thematic analysis</w:t>
      </w:r>
      <w:r w:rsidRPr="008F280C">
        <w:rPr>
          <w:color w:val="000000" w:themeColor="text1"/>
        </w:rPr>
        <w:t xml:space="preserve"> to identify recurring issues, determinants, and dimensions influencing psychological well-being among working women. Based on the synthesis of the literature, the findings were categorized into the following major themes:</w:t>
      </w:r>
      <w:r w:rsidR="005A484D" w:rsidRPr="00D946B5">
        <w:rPr>
          <w:color w:val="000000" w:themeColor="text1"/>
        </w:rPr>
        <w:t xml:space="preserve"> </w:t>
      </w:r>
      <w:r w:rsidRPr="008F280C">
        <w:rPr>
          <w:bCs/>
          <w:color w:val="000000" w:themeColor="text1"/>
        </w:rPr>
        <w:t>Psychologi</w:t>
      </w:r>
      <w:r w:rsidR="005A484D" w:rsidRPr="00D946B5">
        <w:rPr>
          <w:bCs/>
          <w:color w:val="000000" w:themeColor="text1"/>
        </w:rPr>
        <w:t xml:space="preserve">cal Well-being and Mental Health, </w:t>
      </w:r>
      <w:r w:rsidRPr="008F280C">
        <w:rPr>
          <w:bCs/>
          <w:color w:val="000000" w:themeColor="text1"/>
        </w:rPr>
        <w:t>Workplace Harassment and Bullying</w:t>
      </w:r>
      <w:r w:rsidR="005A484D" w:rsidRPr="00D946B5">
        <w:rPr>
          <w:bCs/>
          <w:color w:val="000000" w:themeColor="text1"/>
        </w:rPr>
        <w:t xml:space="preserve">, </w:t>
      </w:r>
      <w:r w:rsidRPr="008F280C">
        <w:rPr>
          <w:bCs/>
          <w:color w:val="000000" w:themeColor="text1"/>
        </w:rPr>
        <w:t>Work–Life Balance and Family Conflict</w:t>
      </w:r>
      <w:r w:rsidR="005A484D" w:rsidRPr="00D946B5">
        <w:rPr>
          <w:bCs/>
          <w:color w:val="000000" w:themeColor="text1"/>
        </w:rPr>
        <w:t xml:space="preserve">, Gender Inequality, </w:t>
      </w:r>
      <w:r w:rsidRPr="008F280C">
        <w:rPr>
          <w:bCs/>
          <w:color w:val="000000" w:themeColor="text1"/>
        </w:rPr>
        <w:t>Industry-Specific Occupational Stress</w:t>
      </w:r>
      <w:r w:rsidR="005A484D" w:rsidRPr="00D946B5">
        <w:rPr>
          <w:bCs/>
          <w:color w:val="000000" w:themeColor="text1"/>
        </w:rPr>
        <w:t xml:space="preserve">, </w:t>
      </w:r>
      <w:r w:rsidRPr="008F280C">
        <w:rPr>
          <w:bCs/>
          <w:color w:val="000000" w:themeColor="text1"/>
        </w:rPr>
        <w:t>Physical Health and Body Image</w:t>
      </w:r>
      <w:r w:rsidR="005A484D" w:rsidRPr="00D946B5">
        <w:rPr>
          <w:bCs/>
          <w:color w:val="000000" w:themeColor="text1"/>
        </w:rPr>
        <w:t xml:space="preserve">, </w:t>
      </w:r>
      <w:r w:rsidRPr="008F280C">
        <w:rPr>
          <w:bCs/>
          <w:color w:val="000000" w:themeColor="text1"/>
        </w:rPr>
        <w:t>Relationships and Domestic Life</w:t>
      </w:r>
      <w:r w:rsidR="005A484D" w:rsidRPr="00D946B5">
        <w:rPr>
          <w:bCs/>
          <w:color w:val="000000" w:themeColor="text1"/>
        </w:rPr>
        <w:t>.</w:t>
      </w:r>
    </w:p>
    <w:p w:rsidR="004F06C5" w:rsidRDefault="004F06C5" w:rsidP="004B3743">
      <w:pPr>
        <w:spacing w:line="276" w:lineRule="auto"/>
        <w:jc w:val="both"/>
        <w:outlineLvl w:val="2"/>
        <w:rPr>
          <w:b/>
          <w:bCs/>
          <w:color w:val="000000" w:themeColor="text1"/>
          <w:sz w:val="26"/>
          <w:szCs w:val="26"/>
        </w:rPr>
      </w:pPr>
    </w:p>
    <w:p w:rsidR="008F280C" w:rsidRPr="004B3743" w:rsidRDefault="008F280C" w:rsidP="004B3743">
      <w:pPr>
        <w:spacing w:line="276" w:lineRule="auto"/>
        <w:jc w:val="both"/>
        <w:outlineLvl w:val="2"/>
        <w:rPr>
          <w:b/>
          <w:bCs/>
          <w:color w:val="000000" w:themeColor="text1"/>
          <w:sz w:val="26"/>
          <w:szCs w:val="26"/>
        </w:rPr>
      </w:pPr>
      <w:r w:rsidRPr="004B3743">
        <w:rPr>
          <w:b/>
          <w:bCs/>
          <w:color w:val="000000" w:themeColor="text1"/>
          <w:sz w:val="26"/>
          <w:szCs w:val="26"/>
        </w:rPr>
        <w:t>Reliability and Validity</w:t>
      </w:r>
    </w:p>
    <w:p w:rsidR="008F280C" w:rsidRDefault="008F280C" w:rsidP="004B3743">
      <w:pPr>
        <w:spacing w:line="276" w:lineRule="auto"/>
        <w:jc w:val="both"/>
        <w:rPr>
          <w:color w:val="000000" w:themeColor="text1"/>
        </w:rPr>
      </w:pPr>
      <w:r w:rsidRPr="008F280C">
        <w:rPr>
          <w:color w:val="000000" w:themeColor="text1"/>
        </w:rPr>
        <w:t>The reliability and validity of the review were ensured through a systematic search strategy, clearly defined inclusion and exclusion criteria, careful screening of studies, and thematic categorization of findings. Only peer-reviewed Scopus-indexed journal articles were included to maintain academic rigor and quality.</w:t>
      </w:r>
    </w:p>
    <w:p w:rsidR="004B3743" w:rsidRPr="004B3743" w:rsidRDefault="004B3743" w:rsidP="004B3743">
      <w:pPr>
        <w:spacing w:line="276" w:lineRule="auto"/>
        <w:jc w:val="both"/>
        <w:rPr>
          <w:color w:val="000000" w:themeColor="text1"/>
          <w:sz w:val="26"/>
          <w:szCs w:val="26"/>
        </w:rPr>
      </w:pPr>
    </w:p>
    <w:p w:rsidR="008F280C" w:rsidRPr="004B3743" w:rsidRDefault="008F280C" w:rsidP="004B3743">
      <w:pPr>
        <w:spacing w:line="276" w:lineRule="auto"/>
        <w:jc w:val="both"/>
        <w:outlineLvl w:val="2"/>
        <w:rPr>
          <w:b/>
          <w:bCs/>
          <w:color w:val="000000" w:themeColor="text1"/>
          <w:sz w:val="26"/>
          <w:szCs w:val="26"/>
        </w:rPr>
      </w:pPr>
      <w:r w:rsidRPr="004B3743">
        <w:rPr>
          <w:b/>
          <w:bCs/>
          <w:color w:val="000000" w:themeColor="text1"/>
          <w:sz w:val="26"/>
          <w:szCs w:val="26"/>
        </w:rPr>
        <w:lastRenderedPageBreak/>
        <w:t>Ethical Considerations</w:t>
      </w:r>
    </w:p>
    <w:p w:rsidR="008F280C" w:rsidRDefault="008F280C" w:rsidP="004B3743">
      <w:pPr>
        <w:spacing w:line="276" w:lineRule="auto"/>
        <w:jc w:val="both"/>
        <w:rPr>
          <w:color w:val="000000" w:themeColor="text1"/>
        </w:rPr>
      </w:pPr>
      <w:r w:rsidRPr="008F280C">
        <w:rPr>
          <w:color w:val="000000" w:themeColor="text1"/>
        </w:rPr>
        <w:t>The study relied entirely on secondary data obtained from published scholarly articles. Since no human participants were directly involved, ethical approval was not required. However, proper acknowledgment and citation of all reviewed studies were maintained throughout the research process.</w:t>
      </w:r>
    </w:p>
    <w:p w:rsidR="004B3743" w:rsidRPr="008F280C" w:rsidRDefault="004B3743" w:rsidP="004B3743">
      <w:pPr>
        <w:spacing w:line="276" w:lineRule="auto"/>
        <w:jc w:val="both"/>
        <w:rPr>
          <w:color w:val="000000" w:themeColor="text1"/>
        </w:rPr>
      </w:pPr>
    </w:p>
    <w:p w:rsidR="008E267A" w:rsidRPr="003829D8" w:rsidRDefault="00244B1F" w:rsidP="004B3743">
      <w:pPr>
        <w:pStyle w:val="Heading1"/>
        <w:spacing w:before="0" w:after="0" w:line="276" w:lineRule="auto"/>
        <w:jc w:val="both"/>
        <w:rPr>
          <w:rFonts w:ascii="Times New Roman" w:hAnsi="Times New Roman" w:cs="Times New Roman"/>
          <w:color w:val="000000" w:themeColor="text1"/>
        </w:rPr>
      </w:pPr>
      <w:r w:rsidRPr="003829D8">
        <w:rPr>
          <w:rFonts w:ascii="Times New Roman" w:hAnsi="Times New Roman" w:cs="Times New Roman"/>
          <w:color w:val="000000" w:themeColor="text1"/>
        </w:rPr>
        <w:t>Findings</w:t>
      </w:r>
    </w:p>
    <w:p w:rsidR="008E267A" w:rsidRPr="004B3743" w:rsidRDefault="00244B1F" w:rsidP="004B3743">
      <w:pPr>
        <w:pStyle w:val="Heading2"/>
        <w:spacing w:before="0" w:after="0" w:line="276" w:lineRule="auto"/>
        <w:jc w:val="both"/>
        <w:rPr>
          <w:rFonts w:ascii="Times New Roman" w:hAnsi="Times New Roman" w:cs="Times New Roman"/>
          <w:color w:val="000000" w:themeColor="text1"/>
        </w:rPr>
      </w:pPr>
      <w:r w:rsidRPr="004B3743">
        <w:rPr>
          <w:rFonts w:ascii="Times New Roman" w:hAnsi="Times New Roman" w:cs="Times New Roman"/>
          <w:color w:val="000000" w:themeColor="text1"/>
        </w:rPr>
        <w:t>Psychological Wellbeing and Mental Health</w:t>
      </w:r>
    </w:p>
    <w:p w:rsidR="002D0548" w:rsidRDefault="002D0548" w:rsidP="002D0548">
      <w:pPr>
        <w:jc w:val="both"/>
      </w:pPr>
      <w:r>
        <w:t xml:space="preserve">The largest cluster of studies in this review (n = 22) focused on psychological wellbeing (PWB) and mental health outcomes among working women. In this field various conceptual frameworks have been used including </w:t>
      </w:r>
      <w:proofErr w:type="spellStart"/>
      <w:r>
        <w:t>Ryff’s</w:t>
      </w:r>
      <w:proofErr w:type="spellEnd"/>
      <w:r>
        <w:t xml:space="preserve"> six-dimensional model of </w:t>
      </w:r>
      <w:proofErr w:type="spellStart"/>
      <w:r>
        <w:t>eudaimonic</w:t>
      </w:r>
      <w:proofErr w:type="spellEnd"/>
      <w:r>
        <w:t xml:space="preserve"> wellbeing, general measures</w:t>
      </w:r>
      <w:r w:rsidRPr="002D0548">
        <w:t xml:space="preserve"> of subjective wellbeing and distress. </w:t>
      </w:r>
    </w:p>
    <w:p w:rsidR="002D0548" w:rsidRDefault="002D0548" w:rsidP="002D0548">
      <w:pPr>
        <w:jc w:val="both"/>
      </w:pPr>
      <w:r>
        <w:t>(Sasaki N,2023) conducted a randomized controlled trial to evaluate the efficacy of a fully automated internet-based Acceptance and Commitment Therapy (</w:t>
      </w:r>
      <w:proofErr w:type="spellStart"/>
      <w:r>
        <w:t>iACT</w:t>
      </w:r>
      <w:proofErr w:type="spellEnd"/>
      <w:r>
        <w:t xml:space="preserve">) program, ‘Happiness Mom’, for 841 working mothers with preschool children. They found statistically significant improvement in positive relationships with others after the 10-week intervention, but overall effect sizes were modest (Cohen's d = 0.18). The authors found that fully automated </w:t>
      </w:r>
      <w:proofErr w:type="spellStart"/>
      <w:r>
        <w:t>iACT</w:t>
      </w:r>
      <w:proofErr w:type="spellEnd"/>
      <w:r>
        <w:t xml:space="preserve"> has potential as a scalable preventive intervention but requires further programme refinement to have wider impact on </w:t>
      </w:r>
      <w:proofErr w:type="spellStart"/>
      <w:r>
        <w:t>Ryff's</w:t>
      </w:r>
      <w:proofErr w:type="spellEnd"/>
      <w:r>
        <w:t xml:space="preserve"> six dimensions of PWB.</w:t>
      </w:r>
    </w:p>
    <w:p w:rsidR="002D0548" w:rsidRDefault="002D0548" w:rsidP="002D0548">
      <w:pPr>
        <w:jc w:val="both"/>
      </w:pPr>
    </w:p>
    <w:p w:rsidR="002D0548" w:rsidRPr="002D0548" w:rsidRDefault="002D0548" w:rsidP="002D0548">
      <w:pPr>
        <w:spacing w:after="180" w:line="276" w:lineRule="auto"/>
        <w:jc w:val="both"/>
        <w:rPr>
          <w:color w:val="000000" w:themeColor="text1"/>
        </w:rPr>
      </w:pPr>
      <w:r>
        <w:rPr>
          <w:color w:val="000000" w:themeColor="text1"/>
        </w:rPr>
        <w:t>(Yang,2025</w:t>
      </w:r>
      <w:r w:rsidRPr="002D0548">
        <w:rPr>
          <w:color w:val="000000" w:themeColor="text1"/>
        </w:rPr>
        <w:t>) studied the impact of inclusive leadership on the work environment in service organizations. Drawing on social identity theory, the study demonstrated the chain mediation model in which inclusive leadership facilitated relational identification and job embeddedness, which in turn led to increased employee wellbeing. Importantly, gender moderated several pathways in the model, suggesting that the wellbeing benefits of inclusive leadership may differ systematically for male and female employees.</w:t>
      </w:r>
    </w:p>
    <w:p w:rsidR="002D0548" w:rsidRDefault="002D0548" w:rsidP="002D0548">
      <w:pPr>
        <w:spacing w:after="180" w:line="276" w:lineRule="auto"/>
        <w:jc w:val="both"/>
        <w:rPr>
          <w:color w:val="000000" w:themeColor="text1"/>
        </w:rPr>
      </w:pPr>
      <w:r w:rsidRPr="002D0548">
        <w:rPr>
          <w:color w:val="000000" w:themeColor="text1"/>
        </w:rPr>
        <w:t>The psychological impact of the COVID-19 pandemic on working women was especially in focus. A longitudinal study was conducted in Germany (Meyer et al.,2021) to examine the impact of pandemic-related demands including mandatory home working, closures of childcare facilities, job insecurity and work-privacy conflicts on the deterioration of psychological wellbeing over time. Social support and autonomy as resources buffered some of these negative effects, yet women with young children were still disproportionately affected. Similarly, Prasad and Vaidya (2021) studied women working remotely in the IT-enabled sector in India during COVID-19 and found that increased occupational stress had a direct negative effect on both work-life balance and psychological wellbeing.</w:t>
      </w:r>
    </w:p>
    <w:p w:rsidR="002D0548" w:rsidRPr="002D0548" w:rsidRDefault="002D0548" w:rsidP="002D0548">
      <w:pPr>
        <w:spacing w:after="180" w:line="276" w:lineRule="auto"/>
        <w:jc w:val="both"/>
        <w:rPr>
          <w:color w:val="000000" w:themeColor="text1"/>
        </w:rPr>
      </w:pPr>
      <w:r w:rsidRPr="002D0548">
        <w:rPr>
          <w:color w:val="000000" w:themeColor="text1"/>
        </w:rPr>
        <w:t xml:space="preserve">Beyond pandemic contexts, research has examined PWB in relation to specific life circumstances. </w:t>
      </w:r>
      <w:proofErr w:type="spellStart"/>
      <w:r w:rsidRPr="002D0548">
        <w:rPr>
          <w:color w:val="000000" w:themeColor="text1"/>
        </w:rPr>
        <w:t>Öcel</w:t>
      </w:r>
      <w:proofErr w:type="spellEnd"/>
      <w:r w:rsidRPr="002D0548">
        <w:rPr>
          <w:color w:val="000000" w:themeColor="text1"/>
        </w:rPr>
        <w:t xml:space="preserve"> (2017) studied the working women with breast cancer diagnosis (N = 170) and concluded that psychological resilience was a moderator between mindfulness, stigmatisation and wellbeing. High resilience buffered the negative effects of stigma, while mindfulness was an independent predictor of better wellbeing outcomes. (Robinson et al.,2015) also discussed the challenges breast cancer survivors face in the workplace, finding that women made careful, strategic communication </w:t>
      </w:r>
      <w:r w:rsidRPr="002D0548">
        <w:rPr>
          <w:color w:val="000000" w:themeColor="text1"/>
        </w:rPr>
        <w:lastRenderedPageBreak/>
        <w:t xml:space="preserve">decisions about disclosure, weighing the need for social support against fears of stigma and career penalty. </w:t>
      </w:r>
      <w:r w:rsidRPr="002D0548">
        <w:rPr>
          <w:color w:val="000000" w:themeColor="text1"/>
        </w:rPr>
        <w:br/>
        <w:t>(Zapata-</w:t>
      </w:r>
      <w:proofErr w:type="spellStart"/>
      <w:r w:rsidRPr="002D0548">
        <w:rPr>
          <w:color w:val="000000" w:themeColor="text1"/>
        </w:rPr>
        <w:t>Matheus</w:t>
      </w:r>
      <w:proofErr w:type="spellEnd"/>
      <w:r w:rsidRPr="002D0548">
        <w:rPr>
          <w:color w:val="000000" w:themeColor="text1"/>
        </w:rPr>
        <w:t xml:space="preserve"> and </w:t>
      </w:r>
      <w:proofErr w:type="spellStart"/>
      <w:r w:rsidRPr="002D0548">
        <w:rPr>
          <w:color w:val="000000" w:themeColor="text1"/>
        </w:rPr>
        <w:t>Ariza</w:t>
      </w:r>
      <w:proofErr w:type="spellEnd"/>
      <w:r w:rsidRPr="002D0548">
        <w:rPr>
          <w:color w:val="000000" w:themeColor="text1"/>
        </w:rPr>
        <w:t>-Ruiz ,2026) took this line of inquiry further, exploring the impact of labour market precariousness and poor maternity provisions on mental health among pregnant and breastfeeding women employees in Colombia. (</w:t>
      </w:r>
      <w:proofErr w:type="spellStart"/>
      <w:r w:rsidRPr="002D0548">
        <w:rPr>
          <w:color w:val="000000" w:themeColor="text1"/>
        </w:rPr>
        <w:t>Skica</w:t>
      </w:r>
      <w:proofErr w:type="spellEnd"/>
      <w:r w:rsidRPr="002D0548">
        <w:rPr>
          <w:color w:val="000000" w:themeColor="text1"/>
        </w:rPr>
        <w:t xml:space="preserve"> and Miszczyński,2025) studied the PWB of self-employed women in the European context. They found that self-employment provides flexibility but it is not a neutral role in terms of wellbeing and it can expose women to various stressors related to financial insecurity and role ambiguity.</w:t>
      </w:r>
    </w:p>
    <w:p w:rsidR="0050262E" w:rsidRDefault="0050262E" w:rsidP="0050262E">
      <w:pPr>
        <w:spacing w:after="180" w:line="276" w:lineRule="auto"/>
        <w:jc w:val="both"/>
        <w:rPr>
          <w:color w:val="000000" w:themeColor="text1"/>
        </w:rPr>
      </w:pPr>
      <w:r w:rsidRPr="0050262E">
        <w:rPr>
          <w:color w:val="000000" w:themeColor="text1"/>
        </w:rPr>
        <w:t>The role of organisational and psychosocial factors as predictors of PWB has be</w:t>
      </w:r>
      <w:r>
        <w:rPr>
          <w:color w:val="000000" w:themeColor="text1"/>
        </w:rPr>
        <w:t xml:space="preserve">en studied in several studies. </w:t>
      </w:r>
      <w:r w:rsidRPr="0050262E">
        <w:rPr>
          <w:color w:val="000000" w:themeColor="text1"/>
        </w:rPr>
        <w:t>(</w:t>
      </w:r>
      <w:proofErr w:type="spellStart"/>
      <w:r w:rsidRPr="0050262E">
        <w:rPr>
          <w:color w:val="000000" w:themeColor="text1"/>
        </w:rPr>
        <w:t>Kamil</w:t>
      </w:r>
      <w:proofErr w:type="spellEnd"/>
      <w:r w:rsidRPr="0050262E">
        <w:rPr>
          <w:color w:val="000000" w:themeColor="text1"/>
        </w:rPr>
        <w:t xml:space="preserve"> et al.,2024) found that gender moderated the relationship between psychological wellbeing and work motivation in the public sector, with female employees showing distinct patterns of motivation-wellbeing linkages compared to male counterparts. Soomro et al.,2023) found that psychological resilience mediated the association between sensitivity to terrorism and employee PWB in conflict-affected settings; the results were generally applicable to</w:t>
      </w:r>
      <w:r>
        <w:rPr>
          <w:color w:val="000000" w:themeColor="text1"/>
        </w:rPr>
        <w:t xml:space="preserve"> </w:t>
      </w:r>
      <w:r w:rsidRPr="0050262E">
        <w:rPr>
          <w:color w:val="000000" w:themeColor="text1"/>
        </w:rPr>
        <w:t>male and female workers</w:t>
      </w:r>
      <w:r>
        <w:rPr>
          <w:color w:val="000000" w:themeColor="text1"/>
        </w:rPr>
        <w:t>.</w:t>
      </w:r>
    </w:p>
    <w:p w:rsidR="0050262E" w:rsidRPr="0050262E" w:rsidRDefault="0050262E" w:rsidP="0050262E">
      <w:pPr>
        <w:spacing w:after="180" w:line="276" w:lineRule="auto"/>
        <w:jc w:val="both"/>
        <w:rPr>
          <w:color w:val="000000" w:themeColor="text1"/>
        </w:rPr>
      </w:pPr>
      <w:r w:rsidRPr="0050262E">
        <w:rPr>
          <w:color w:val="000000" w:themeColor="text1"/>
        </w:rPr>
        <w:t xml:space="preserve"> Family and social capital were found to be important buffers of </w:t>
      </w:r>
      <w:proofErr w:type="gramStart"/>
      <w:r w:rsidRPr="0050262E">
        <w:rPr>
          <w:color w:val="000000" w:themeColor="text1"/>
        </w:rPr>
        <w:t>PWB .</w:t>
      </w:r>
      <w:proofErr w:type="gramEnd"/>
      <w:r w:rsidRPr="0050262E">
        <w:rPr>
          <w:color w:val="000000" w:themeColor="text1"/>
        </w:rPr>
        <w:t xml:space="preserve"> (</w:t>
      </w:r>
      <w:proofErr w:type="spellStart"/>
      <w:r w:rsidRPr="0050262E">
        <w:rPr>
          <w:color w:val="000000" w:themeColor="text1"/>
        </w:rPr>
        <w:t>Maiti</w:t>
      </w:r>
      <w:proofErr w:type="spellEnd"/>
      <w:r w:rsidRPr="0050262E">
        <w:rPr>
          <w:color w:val="000000" w:themeColor="text1"/>
        </w:rPr>
        <w:t xml:space="preserve"> &amp; Sanyal,2023) examined organizational commitment among working women in India and discovered that loneliness and family responsibilities were significant predictors of commitment levels and that wellbeing was inherently tied to how women managed these competing demands.</w:t>
      </w:r>
    </w:p>
    <w:p w:rsidR="00792729" w:rsidRPr="00792729" w:rsidRDefault="00792729" w:rsidP="00792729">
      <w:pPr>
        <w:spacing w:after="180" w:line="276" w:lineRule="auto"/>
        <w:jc w:val="both"/>
        <w:rPr>
          <w:color w:val="000000" w:themeColor="text1"/>
        </w:rPr>
      </w:pPr>
      <w:r w:rsidRPr="00792729">
        <w:rPr>
          <w:color w:val="000000" w:themeColor="text1"/>
        </w:rPr>
        <w:t>Mindfulness based approaches received increased attention in the latter years of the review period. (</w:t>
      </w:r>
      <w:proofErr w:type="spellStart"/>
      <w:r w:rsidRPr="00792729">
        <w:rPr>
          <w:color w:val="000000" w:themeColor="text1"/>
        </w:rPr>
        <w:t>Rajeswari</w:t>
      </w:r>
      <w:proofErr w:type="spellEnd"/>
      <w:r w:rsidRPr="00792729">
        <w:rPr>
          <w:color w:val="000000" w:themeColor="text1"/>
        </w:rPr>
        <w:t xml:space="preserve"> et al.,2025) studied the association between mindfulness and mental wellbeing of working women working in the IT sector of Tamil Nadu, India and found emotional regulation as significant mediator. This result is consistent with the findings of (Öcel,2017) and indicates that mindfulness-based interventions may be a feasible means of supporting the mental health of working women. Barnard (2018) also offered a qualitative perspective by exploring how women constructed metaphors of strength and resilience in their stories of wellbeing, highlighting the value of </w:t>
      </w:r>
      <w:proofErr w:type="spellStart"/>
      <w:r w:rsidRPr="00792729">
        <w:rPr>
          <w:color w:val="000000" w:themeColor="text1"/>
        </w:rPr>
        <w:t>eudaimonic</w:t>
      </w:r>
      <w:proofErr w:type="spellEnd"/>
      <w:r w:rsidRPr="00792729">
        <w:rPr>
          <w:color w:val="000000" w:themeColor="text1"/>
        </w:rPr>
        <w:t xml:space="preserve"> frameworks that focus on agency and personal growth, rather than deficit-oriented models.</w:t>
      </w:r>
    </w:p>
    <w:p w:rsidR="00AF3DE6" w:rsidRPr="004B3743" w:rsidRDefault="00792729" w:rsidP="00792729">
      <w:pPr>
        <w:spacing w:after="180" w:line="276" w:lineRule="auto"/>
        <w:jc w:val="both"/>
        <w:rPr>
          <w:color w:val="000000" w:themeColor="text1"/>
        </w:rPr>
      </w:pPr>
      <w:r w:rsidRPr="00792729">
        <w:rPr>
          <w:color w:val="000000" w:themeColor="text1"/>
        </w:rPr>
        <w:t>(</w:t>
      </w:r>
      <w:proofErr w:type="spellStart"/>
      <w:r w:rsidRPr="00792729">
        <w:rPr>
          <w:color w:val="000000" w:themeColor="text1"/>
        </w:rPr>
        <w:t>Divyakala</w:t>
      </w:r>
      <w:proofErr w:type="spellEnd"/>
      <w:r w:rsidRPr="00792729">
        <w:rPr>
          <w:color w:val="000000" w:themeColor="text1"/>
        </w:rPr>
        <w:t xml:space="preserve"> and Vasumathi,2025) demonstrated that the conflict management climate significantly moderated the effects of psychological wellbeing and emotional exhaustion on productivity, highlighting the organisational conditions necessary for individual wellbeing to be translated into performance outcomes. (</w:t>
      </w:r>
      <w:proofErr w:type="spellStart"/>
      <w:r w:rsidRPr="00792729">
        <w:rPr>
          <w:color w:val="000000" w:themeColor="text1"/>
        </w:rPr>
        <w:t>Zakharova</w:t>
      </w:r>
      <w:proofErr w:type="spellEnd"/>
      <w:r w:rsidRPr="00792729">
        <w:rPr>
          <w:color w:val="000000" w:themeColor="text1"/>
        </w:rPr>
        <w:t xml:space="preserve"> et al.,2020) explored subjective wellbeing as an emotional regulator of labour behaviour among female personnel of Russian industrial and medical companies, noting age-related variation in wellbeing profiles and the significance of organisational culture in shaping wellbeing experiences.</w:t>
      </w:r>
    </w:p>
    <w:p w:rsidR="008E267A" w:rsidRPr="004B3743" w:rsidRDefault="00244B1F" w:rsidP="008F280C">
      <w:pPr>
        <w:pStyle w:val="Heading2"/>
        <w:spacing w:line="276" w:lineRule="auto"/>
        <w:jc w:val="both"/>
        <w:rPr>
          <w:rFonts w:ascii="Times New Roman" w:hAnsi="Times New Roman" w:cs="Times New Roman"/>
          <w:color w:val="000000" w:themeColor="text1"/>
        </w:rPr>
      </w:pPr>
      <w:r w:rsidRPr="004B3743">
        <w:rPr>
          <w:rFonts w:ascii="Times New Roman" w:hAnsi="Times New Roman" w:cs="Times New Roman"/>
          <w:color w:val="000000" w:themeColor="text1"/>
        </w:rPr>
        <w:t>Workplace Harassment and Bullying</w:t>
      </w:r>
    </w:p>
    <w:p w:rsidR="00792729" w:rsidRPr="00792729" w:rsidRDefault="00792729" w:rsidP="00792729">
      <w:pPr>
        <w:spacing w:after="180" w:line="276" w:lineRule="auto"/>
        <w:jc w:val="both"/>
        <w:rPr>
          <w:color w:val="000000" w:themeColor="text1"/>
        </w:rPr>
      </w:pPr>
      <w:r w:rsidRPr="00792729">
        <w:rPr>
          <w:color w:val="000000" w:themeColor="text1"/>
        </w:rPr>
        <w:lastRenderedPageBreak/>
        <w:t>Several studies in this review focused on workplace harassment and bullying, which demonstrates the prevalence and severity of these threats to the wellbeing and performance of working women. Research within this theme included sexual harassment, general workplace bullying, incivility and the emerging area of cyberbullying.</w:t>
      </w:r>
    </w:p>
    <w:p w:rsidR="00792729" w:rsidRDefault="00792729" w:rsidP="00792729">
      <w:pPr>
        <w:spacing w:after="180" w:line="276" w:lineRule="auto"/>
        <w:jc w:val="both"/>
        <w:rPr>
          <w:color w:val="000000" w:themeColor="text1"/>
        </w:rPr>
      </w:pPr>
      <w:proofErr w:type="spellStart"/>
      <w:r w:rsidRPr="00792729">
        <w:rPr>
          <w:color w:val="000000" w:themeColor="text1"/>
        </w:rPr>
        <w:t>Hitlan</w:t>
      </w:r>
      <w:proofErr w:type="spellEnd"/>
      <w:r w:rsidRPr="00792729">
        <w:rPr>
          <w:color w:val="000000" w:themeColor="text1"/>
        </w:rPr>
        <w:t xml:space="preserve"> (2025) examined the impact of sexual harassment, both direct and bystander, among a sample of 314 female part-time employees. Results indicated that both forms of harassment were associated with greater job stress, poorer work attitudes, more withdrawal </w:t>
      </w:r>
      <w:proofErr w:type="spellStart"/>
      <w:r w:rsidRPr="00792729">
        <w:rPr>
          <w:color w:val="000000" w:themeColor="text1"/>
        </w:rPr>
        <w:t>behaviors</w:t>
      </w:r>
      <w:proofErr w:type="spellEnd"/>
      <w:r w:rsidRPr="00792729">
        <w:rPr>
          <w:color w:val="000000" w:themeColor="text1"/>
        </w:rPr>
        <w:t xml:space="preserve">, and poorer psychological wellbeing. The inclusion of bystander harassment is important because women do not have to be the target of harassment to be negatively affected – witnessing harassment of others produces similar effects on wellbeing. </w:t>
      </w:r>
    </w:p>
    <w:p w:rsidR="00792729" w:rsidRPr="00792729" w:rsidRDefault="00792729" w:rsidP="00792729">
      <w:pPr>
        <w:spacing w:after="180" w:line="276" w:lineRule="auto"/>
        <w:jc w:val="both"/>
        <w:rPr>
          <w:color w:val="000000" w:themeColor="text1"/>
        </w:rPr>
      </w:pPr>
      <w:r w:rsidRPr="00792729">
        <w:rPr>
          <w:color w:val="000000" w:themeColor="text1"/>
        </w:rPr>
        <w:t>(</w:t>
      </w:r>
      <w:proofErr w:type="spellStart"/>
      <w:r w:rsidRPr="00792729">
        <w:rPr>
          <w:color w:val="000000" w:themeColor="text1"/>
        </w:rPr>
        <w:t>Xie</w:t>
      </w:r>
      <w:proofErr w:type="spellEnd"/>
      <w:r w:rsidRPr="00792729">
        <w:rPr>
          <w:color w:val="000000" w:themeColor="text1"/>
        </w:rPr>
        <w:t xml:space="preserve"> and Zheng,2022) gave a structural analysis of the organisational conditions that enable harassment. Their research looked at masculinity contest culture (MCC) – characterized by norms of dominance, aggression and emotional suppression – as a predictor of both sexual harassment and bullying. Results of a cross-sectional convenience sample supported that MCC was positively associated with interpersonal mistreatment and negatively associated with occupational and psychological wellbeing. These findings indicate that workplace culture is a systemic determinant of harassment, not an individual or dyadic phenomenon.</w:t>
      </w:r>
    </w:p>
    <w:p w:rsidR="00792729" w:rsidRDefault="00792729" w:rsidP="00792729">
      <w:pPr>
        <w:spacing w:after="180" w:line="276" w:lineRule="auto"/>
        <w:jc w:val="both"/>
        <w:rPr>
          <w:color w:val="000000" w:themeColor="text1"/>
        </w:rPr>
      </w:pPr>
      <w:proofErr w:type="spellStart"/>
      <w:r w:rsidRPr="00792729">
        <w:rPr>
          <w:color w:val="000000" w:themeColor="text1"/>
        </w:rPr>
        <w:t>Mehmood</w:t>
      </w:r>
      <w:proofErr w:type="spellEnd"/>
      <w:r w:rsidRPr="00792729">
        <w:rPr>
          <w:color w:val="000000" w:themeColor="text1"/>
        </w:rPr>
        <w:t xml:space="preserve"> </w:t>
      </w:r>
      <w:proofErr w:type="gramStart"/>
      <w:r w:rsidRPr="00792729">
        <w:rPr>
          <w:color w:val="000000" w:themeColor="text1"/>
        </w:rPr>
        <w:t>et al.,(</w:t>
      </w:r>
      <w:proofErr w:type="gramEnd"/>
      <w:r w:rsidRPr="00792729">
        <w:rPr>
          <w:color w:val="000000" w:themeColor="text1"/>
        </w:rPr>
        <w:t>2024) investigated the impact of workplace bullying (WB) and workplace incivility (WI) on employee performance in Azad Jammu and Kashmir and discovered that both WB and WI were significant negative predictors of employee performance. Psychological wellbeing mediated this association, suggesting that the performance costs of bullying are borne partly by deteriorating mental health. (</w:t>
      </w:r>
      <w:proofErr w:type="spellStart"/>
      <w:r w:rsidRPr="00792729">
        <w:rPr>
          <w:color w:val="000000" w:themeColor="text1"/>
        </w:rPr>
        <w:t>Divyakala</w:t>
      </w:r>
      <w:proofErr w:type="spellEnd"/>
      <w:r w:rsidRPr="00792729">
        <w:rPr>
          <w:color w:val="000000" w:themeColor="text1"/>
        </w:rPr>
        <w:t xml:space="preserve"> and Vasumathi,2025) also studied bullying in the leather industry and found that workplace bullying leads to psychological effects such as decreased self-efficacy and productivity losses, and used Albert Bandura’s social cognitive theory as a theoretical basis. </w:t>
      </w:r>
    </w:p>
    <w:p w:rsidR="00792729" w:rsidRPr="00792729" w:rsidRDefault="00792729" w:rsidP="00792729">
      <w:pPr>
        <w:spacing w:after="180" w:line="276" w:lineRule="auto"/>
        <w:jc w:val="both"/>
        <w:rPr>
          <w:color w:val="000000" w:themeColor="text1"/>
        </w:rPr>
      </w:pPr>
      <w:r w:rsidRPr="00792729">
        <w:rPr>
          <w:color w:val="000000" w:themeColor="text1"/>
        </w:rPr>
        <w:t>(</w:t>
      </w:r>
      <w:proofErr w:type="spellStart"/>
      <w:r w:rsidRPr="00792729">
        <w:rPr>
          <w:color w:val="000000" w:themeColor="text1"/>
        </w:rPr>
        <w:t>Vasumathi</w:t>
      </w:r>
      <w:proofErr w:type="spellEnd"/>
      <w:r w:rsidRPr="00792729">
        <w:rPr>
          <w:color w:val="000000" w:themeColor="text1"/>
        </w:rPr>
        <w:t xml:space="preserve"> et al.,2025) conducted a systematic review of the effects of workplace bullying on women’s performance, revealing consistent relationships between bullying, emotional exhaustion and decreased psychological wellbeing across a number of studies. Their results add to the argument that emotional exhaustion is an important mechanism in the bullying-performance relationship. This review exposes the cumulative nature of these effects, beyond the superficial, particularly for women who manage domestic duties simultaneously.</w:t>
      </w:r>
    </w:p>
    <w:p w:rsidR="00792729" w:rsidRPr="00792729" w:rsidRDefault="00792729" w:rsidP="00792729">
      <w:pPr>
        <w:spacing w:after="180" w:line="276" w:lineRule="auto"/>
        <w:jc w:val="both"/>
        <w:rPr>
          <w:color w:val="000000" w:themeColor="text1"/>
        </w:rPr>
      </w:pPr>
      <w:r w:rsidRPr="00792729">
        <w:rPr>
          <w:color w:val="000000" w:themeColor="text1"/>
        </w:rPr>
        <w:t>Demographic dissimilarity has been introduced as a boundary condition that moderates the effects of workplace incivility on women (</w:t>
      </w:r>
      <w:proofErr w:type="spellStart"/>
      <w:r w:rsidRPr="00792729">
        <w:rPr>
          <w:color w:val="000000" w:themeColor="text1"/>
        </w:rPr>
        <w:t>Oyet</w:t>
      </w:r>
      <w:proofErr w:type="spellEnd"/>
      <w:r w:rsidRPr="00792729">
        <w:rPr>
          <w:color w:val="000000" w:themeColor="text1"/>
        </w:rPr>
        <w:t xml:space="preserve"> et al.,2019). The negative impact of incivility on wellbeing and turnover intention was more pronounced for women who perceived themselves to be demographically different from their workgroup in terms of race, age or other characteristics. This research underscores the interconnectedness of identity and workplace mistreatment and the need for greater emphasis on diversity and inclusion in incivility research. (Di Marco et al.,2018) made a methodological contribution to the field by developing and validating a Spanish language </w:t>
      </w:r>
      <w:r w:rsidRPr="00792729">
        <w:rPr>
          <w:color w:val="000000" w:themeColor="text1"/>
        </w:rPr>
        <w:lastRenderedPageBreak/>
        <w:t>version of the Workplace Incivility Scale that was invariant across employment status, thereby expanding the measurement toolkit available to researchers in non-English speaking contexts.</w:t>
      </w:r>
    </w:p>
    <w:p w:rsidR="008E267A" w:rsidRPr="004B3743" w:rsidRDefault="00792729" w:rsidP="00792729">
      <w:pPr>
        <w:spacing w:after="180" w:line="276" w:lineRule="auto"/>
        <w:jc w:val="both"/>
        <w:rPr>
          <w:color w:val="000000" w:themeColor="text1"/>
        </w:rPr>
      </w:pPr>
      <w:r w:rsidRPr="00792729">
        <w:rPr>
          <w:color w:val="000000" w:themeColor="text1"/>
        </w:rPr>
        <w:t xml:space="preserve">Al </w:t>
      </w:r>
      <w:proofErr w:type="spellStart"/>
      <w:r w:rsidRPr="00792729">
        <w:rPr>
          <w:color w:val="000000" w:themeColor="text1"/>
        </w:rPr>
        <w:t>Doghan</w:t>
      </w:r>
      <w:proofErr w:type="spellEnd"/>
      <w:r w:rsidRPr="00792729">
        <w:rPr>
          <w:color w:val="000000" w:themeColor="text1"/>
        </w:rPr>
        <w:t xml:space="preserve"> and Arshad (2023) examined the emerging issue of workplace cyberbullying among female employees and found that online harassment was related to increased psychological stress, decreased job satisfaction, lower organisational commitment and perceptions of interactional injustice. (</w:t>
      </w:r>
      <w:proofErr w:type="spellStart"/>
      <w:r w:rsidRPr="00792729">
        <w:rPr>
          <w:color w:val="000000" w:themeColor="text1"/>
        </w:rPr>
        <w:t>Rotimi</w:t>
      </w:r>
      <w:proofErr w:type="spellEnd"/>
      <w:r w:rsidRPr="00792729">
        <w:rPr>
          <w:color w:val="000000" w:themeColor="text1"/>
        </w:rPr>
        <w:t xml:space="preserve"> et al.,2023) examined the construction industry in New Zealand and discovered that sexism and adverse job conditions had a considerable detrimental effect on women’s mental and physical wellbeing, with work morale as an intervening </w:t>
      </w:r>
      <w:proofErr w:type="gramStart"/>
      <w:r w:rsidRPr="00792729">
        <w:rPr>
          <w:color w:val="000000" w:themeColor="text1"/>
        </w:rPr>
        <w:t>variable.</w:t>
      </w:r>
      <w:r w:rsidR="00244B1F" w:rsidRPr="004B3743">
        <w:rPr>
          <w:color w:val="000000" w:themeColor="text1"/>
        </w:rPr>
        <w:t>.</w:t>
      </w:r>
      <w:proofErr w:type="gramEnd"/>
    </w:p>
    <w:p w:rsidR="008E267A" w:rsidRPr="004B3743" w:rsidRDefault="00244B1F" w:rsidP="008F280C">
      <w:pPr>
        <w:pStyle w:val="Heading2"/>
        <w:spacing w:line="276" w:lineRule="auto"/>
        <w:jc w:val="both"/>
        <w:rPr>
          <w:rFonts w:ascii="Times New Roman" w:hAnsi="Times New Roman" w:cs="Times New Roman"/>
          <w:color w:val="000000" w:themeColor="text1"/>
        </w:rPr>
      </w:pPr>
      <w:r w:rsidRPr="004B3743">
        <w:rPr>
          <w:rFonts w:ascii="Times New Roman" w:hAnsi="Times New Roman" w:cs="Times New Roman"/>
          <w:color w:val="000000" w:themeColor="text1"/>
        </w:rPr>
        <w:t>Work-Life Balance and Family Conflict</w:t>
      </w:r>
    </w:p>
    <w:p w:rsidR="008E267A" w:rsidRPr="004B3743" w:rsidRDefault="004D09AD" w:rsidP="008F280C">
      <w:pPr>
        <w:spacing w:after="180" w:line="276" w:lineRule="auto"/>
        <w:jc w:val="both"/>
        <w:rPr>
          <w:color w:val="000000" w:themeColor="text1"/>
        </w:rPr>
      </w:pPr>
      <w:r w:rsidRPr="004B3743">
        <w:rPr>
          <w:color w:val="000000" w:themeColor="text1"/>
        </w:rPr>
        <w:t xml:space="preserve">Many </w:t>
      </w:r>
      <w:r w:rsidR="00244B1F" w:rsidRPr="004B3743">
        <w:rPr>
          <w:color w:val="000000" w:themeColor="text1"/>
        </w:rPr>
        <w:t>studies addressed the challenge of work-life balance (WLB) and work-family conflict, confirming that the management of competing professional and domestic demands remains one of the most pressing concerns for working women globally.</w:t>
      </w:r>
    </w:p>
    <w:p w:rsidR="008E267A" w:rsidRPr="004B3743" w:rsidRDefault="007648DE" w:rsidP="008F280C">
      <w:pPr>
        <w:spacing w:after="180" w:line="276" w:lineRule="auto"/>
        <w:jc w:val="both"/>
        <w:rPr>
          <w:color w:val="000000" w:themeColor="text1"/>
        </w:rPr>
      </w:pPr>
      <w:r w:rsidRPr="004B3743">
        <w:rPr>
          <w:color w:val="000000" w:themeColor="text1"/>
        </w:rPr>
        <w:t>(Sultana et al.,</w:t>
      </w:r>
      <w:r w:rsidR="00244B1F" w:rsidRPr="004B3743">
        <w:rPr>
          <w:color w:val="000000" w:themeColor="text1"/>
        </w:rPr>
        <w:t>2023) explored the WLB experiences of female professionals in Bangladesh's corporate sector through qualitative email interviews with 29 participants. Their findings identified heavy household responsibilities, inadequate childcare facilities, lack of flexible working arrangements, and unsupportive organisational cultures as key barriers to WLB. The study highlighted how these structural deficits forced women to self-manage the work-family interface, often at significant cost to their psychological wellbeing and career progression.</w:t>
      </w:r>
    </w:p>
    <w:p w:rsidR="008E267A" w:rsidRPr="004B3743" w:rsidRDefault="007648DE"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Fazal</w:t>
      </w:r>
      <w:proofErr w:type="spellEnd"/>
      <w:r w:rsidRPr="004B3743">
        <w:rPr>
          <w:color w:val="000000" w:themeColor="text1"/>
        </w:rPr>
        <w:t xml:space="preserve"> et al.,</w:t>
      </w:r>
      <w:r w:rsidR="00244B1F" w:rsidRPr="004B3743">
        <w:rPr>
          <w:color w:val="000000" w:themeColor="text1"/>
        </w:rPr>
        <w:t>2022) conducted a systematic review of WLB challenges during COVID-19 in Pakistan, synthesising eight qualitative studies using inductive thematic analysis. Their findings documented that the pandemic exacerbated pre-existing WLB pressures for working women, as the collapse of boundaries between home and work led to simultaneous intensification of both professional and domestic demands. Individual coping strategies and organisational support measures both moderated these effects, though support was found to be inconsistent and often inadequate.</w:t>
      </w:r>
    </w:p>
    <w:p w:rsidR="008E267A" w:rsidRPr="004B3743" w:rsidRDefault="007648DE" w:rsidP="008F280C">
      <w:pPr>
        <w:spacing w:after="180" w:line="276" w:lineRule="auto"/>
        <w:jc w:val="both"/>
        <w:rPr>
          <w:color w:val="000000" w:themeColor="text1"/>
        </w:rPr>
      </w:pPr>
      <w:r w:rsidRPr="004B3743">
        <w:rPr>
          <w:color w:val="000000" w:themeColor="text1"/>
        </w:rPr>
        <w:t>(Shepherd-</w:t>
      </w:r>
      <w:proofErr w:type="spellStart"/>
      <w:r w:rsidRPr="004B3743">
        <w:rPr>
          <w:color w:val="000000" w:themeColor="text1"/>
        </w:rPr>
        <w:t>Banigan</w:t>
      </w:r>
      <w:proofErr w:type="spellEnd"/>
      <w:r w:rsidRPr="004B3743">
        <w:rPr>
          <w:color w:val="000000" w:themeColor="text1"/>
        </w:rPr>
        <w:t xml:space="preserve"> et al.,</w:t>
      </w:r>
      <w:r w:rsidR="00244B1F" w:rsidRPr="004B3743">
        <w:rPr>
          <w:color w:val="000000" w:themeColor="text1"/>
        </w:rPr>
        <w:t>2015) examined the relationship between workplace stressors, home working, and maternal depressive symptoms among employed women with young children in the United States. Family-friendly workplace attributes — including schedule flexibility and supportive supervisors — were found to significantly attenuate depressive symptomatology. These findings provide empirical support for the importance of family-responsive workplace policies as a mental health intervention, particularly for mothers of young children.</w:t>
      </w:r>
    </w:p>
    <w:p w:rsidR="008E267A" w:rsidRPr="004B3743" w:rsidRDefault="007648DE" w:rsidP="008F280C">
      <w:pPr>
        <w:spacing w:after="180" w:line="276" w:lineRule="auto"/>
        <w:jc w:val="both"/>
        <w:rPr>
          <w:color w:val="000000" w:themeColor="text1"/>
        </w:rPr>
      </w:pPr>
      <w:r w:rsidRPr="004B3743">
        <w:rPr>
          <w:color w:val="000000" w:themeColor="text1"/>
        </w:rPr>
        <w:t>(</w:t>
      </w:r>
      <w:r w:rsidR="00244B1F" w:rsidRPr="004B3743">
        <w:rPr>
          <w:color w:val="000000" w:themeColor="text1"/>
        </w:rPr>
        <w:t>Pr</w:t>
      </w:r>
      <w:r w:rsidRPr="004B3743">
        <w:rPr>
          <w:color w:val="000000" w:themeColor="text1"/>
        </w:rPr>
        <w:t>asad and Vaidya,2021) pointed</w:t>
      </w:r>
      <w:r w:rsidR="00244B1F" w:rsidRPr="004B3743">
        <w:rPr>
          <w:color w:val="000000" w:themeColor="text1"/>
        </w:rPr>
        <w:t xml:space="preserve"> to the need for proactive psychosocial design of virtual work environments.</w:t>
      </w:r>
    </w:p>
    <w:p w:rsidR="008E267A" w:rsidRPr="004B3743" w:rsidRDefault="007648DE"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Blazovich</w:t>
      </w:r>
      <w:proofErr w:type="spellEnd"/>
      <w:r w:rsidRPr="004B3743">
        <w:rPr>
          <w:color w:val="000000" w:themeColor="text1"/>
        </w:rPr>
        <w:t xml:space="preserve"> et al.,</w:t>
      </w:r>
      <w:r w:rsidR="00244B1F" w:rsidRPr="004B3743">
        <w:rPr>
          <w:color w:val="000000" w:themeColor="text1"/>
        </w:rPr>
        <w:t xml:space="preserve">2018) investigated mother-friendly company policies — including flexible working, on-site childcare, and family leave — and their relationship to financial performance and employee wellbeing. Findings indicated that companies rated highly on mother-friendly measures </w:t>
      </w:r>
      <w:r w:rsidR="00244B1F" w:rsidRPr="004B3743">
        <w:rPr>
          <w:color w:val="000000" w:themeColor="text1"/>
        </w:rPr>
        <w:lastRenderedPageBreak/>
        <w:t>also demonstrated stronger job satisfaction and emotional wellbeing among female employees, with some evidence of a positive relationship to corporate financial performance. This study situates WLB as a business case as much as a social justice concern.</w:t>
      </w:r>
    </w:p>
    <w:p w:rsidR="007648DE" w:rsidRPr="004B3743" w:rsidRDefault="007648DE" w:rsidP="008F280C">
      <w:pPr>
        <w:spacing w:after="180" w:line="276" w:lineRule="auto"/>
        <w:jc w:val="both"/>
        <w:rPr>
          <w:color w:val="000000" w:themeColor="text1"/>
        </w:rPr>
      </w:pPr>
      <w:r w:rsidRPr="004B3743">
        <w:rPr>
          <w:color w:val="000000" w:themeColor="text1"/>
        </w:rPr>
        <w:t>(Kumari,</w:t>
      </w:r>
      <w:r w:rsidR="00244B1F" w:rsidRPr="004B3743">
        <w:rPr>
          <w:color w:val="000000" w:themeColor="text1"/>
        </w:rPr>
        <w:t xml:space="preserve">2024) investigated job-home balance (JHB) among rural women employees in Bangalore Rural District, India, identifying key determinants of balance difficulty including commuting burden, domestic responsibilities, and absence of organisational support. The study found that service sector employees faced particular challenges in maintaining JHB. </w:t>
      </w:r>
    </w:p>
    <w:p w:rsidR="008E267A" w:rsidRPr="004B3743" w:rsidRDefault="007648DE" w:rsidP="008F280C">
      <w:pPr>
        <w:spacing w:after="180" w:line="276" w:lineRule="auto"/>
        <w:jc w:val="both"/>
        <w:rPr>
          <w:color w:val="000000" w:themeColor="text1"/>
        </w:rPr>
      </w:pPr>
      <w:r w:rsidRPr="004B3743">
        <w:rPr>
          <w:color w:val="000000" w:themeColor="text1"/>
        </w:rPr>
        <w:t xml:space="preserve">(De </w:t>
      </w:r>
      <w:proofErr w:type="spellStart"/>
      <w:r w:rsidRPr="004B3743">
        <w:rPr>
          <w:color w:val="000000" w:themeColor="text1"/>
        </w:rPr>
        <w:t>Moortel</w:t>
      </w:r>
      <w:proofErr w:type="spellEnd"/>
      <w:r w:rsidRPr="004B3743">
        <w:rPr>
          <w:color w:val="000000" w:themeColor="text1"/>
        </w:rPr>
        <w:t xml:space="preserve"> et al.,</w:t>
      </w:r>
      <w:r w:rsidR="00244B1F" w:rsidRPr="004B3743">
        <w:rPr>
          <w:color w:val="000000" w:themeColor="text1"/>
        </w:rPr>
        <w:t xml:space="preserve">2017) examined the relationship between working </w:t>
      </w:r>
      <w:proofErr w:type="gramStart"/>
      <w:r w:rsidR="00244B1F" w:rsidRPr="004B3743">
        <w:rPr>
          <w:color w:val="000000" w:themeColor="text1"/>
        </w:rPr>
        <w:t>hours</w:t>
      </w:r>
      <w:proofErr w:type="gramEnd"/>
      <w:r w:rsidR="00244B1F" w:rsidRPr="004B3743">
        <w:rPr>
          <w:color w:val="000000" w:themeColor="text1"/>
        </w:rPr>
        <w:t xml:space="preserve"> mismatch — defined as involuntarily working more or fewer hours than desired — and mental wellbeing in Europe. Using European Social Survey data, the authors found that both forms of mismatch predicted poor mental wellbeing, with national unemployment rates and GDP growth moderating the strength of these associations. This study situates WLB within macroeconomic conditions and highlights the importance of structural labour market factors in shaping women's wellbeing.</w:t>
      </w:r>
    </w:p>
    <w:p w:rsidR="008E267A" w:rsidRPr="004B3743" w:rsidRDefault="007648DE"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Verma</w:t>
      </w:r>
      <w:proofErr w:type="spellEnd"/>
      <w:r w:rsidRPr="004B3743">
        <w:rPr>
          <w:color w:val="000000" w:themeColor="text1"/>
        </w:rPr>
        <w:t xml:space="preserve"> et al.,</w:t>
      </w:r>
      <w:r w:rsidR="00244B1F" w:rsidRPr="004B3743">
        <w:rPr>
          <w:color w:val="000000" w:themeColor="text1"/>
        </w:rPr>
        <w:t>2018) examined gender-sensitive practices and family support as predictors of psychological wellbeing among women in Indian call centres. Using crossover theory, the study demonstrated that supportive gender-sensitive workplace practices predicted lower stress, higher job satisfaction, greater organisational commitment, and lower turnover intentions. Family support showed complementary crossover effects, reinforcing the importance of both organisational and domestic support systems in protecting women's wellbeing.</w:t>
      </w:r>
    </w:p>
    <w:p w:rsidR="008E267A" w:rsidRPr="004B3743" w:rsidRDefault="00244B1F" w:rsidP="008F280C">
      <w:pPr>
        <w:pStyle w:val="Heading2"/>
        <w:spacing w:line="276" w:lineRule="auto"/>
        <w:jc w:val="both"/>
        <w:rPr>
          <w:rFonts w:ascii="Times New Roman" w:hAnsi="Times New Roman" w:cs="Times New Roman"/>
          <w:color w:val="000000" w:themeColor="text1"/>
        </w:rPr>
      </w:pPr>
      <w:r w:rsidRPr="004B3743">
        <w:rPr>
          <w:rFonts w:ascii="Times New Roman" w:hAnsi="Times New Roman" w:cs="Times New Roman"/>
          <w:color w:val="000000" w:themeColor="text1"/>
        </w:rPr>
        <w:t>Gender Inequality</w:t>
      </w:r>
    </w:p>
    <w:p w:rsidR="008E267A" w:rsidRPr="004B3743" w:rsidRDefault="004D09AD" w:rsidP="008F280C">
      <w:pPr>
        <w:spacing w:after="180" w:line="276" w:lineRule="auto"/>
        <w:jc w:val="both"/>
        <w:rPr>
          <w:color w:val="000000" w:themeColor="text1"/>
        </w:rPr>
      </w:pPr>
      <w:r w:rsidRPr="004B3743">
        <w:rPr>
          <w:color w:val="000000" w:themeColor="text1"/>
        </w:rPr>
        <w:t xml:space="preserve">Several </w:t>
      </w:r>
      <w:r w:rsidR="00244B1F" w:rsidRPr="004B3743">
        <w:rPr>
          <w:color w:val="000000" w:themeColor="text1"/>
        </w:rPr>
        <w:t>studies addressed gender inequality as a direct or moderating determinant of working women's wellbeing. Research in this domain spanned gender role attitudes, supervisory gender dynamics, the gender pay gap, and women's autonomy.</w:t>
      </w:r>
    </w:p>
    <w:p w:rsidR="008E267A" w:rsidRPr="004B3743" w:rsidRDefault="007648DE" w:rsidP="008F280C">
      <w:pPr>
        <w:spacing w:after="180" w:line="276" w:lineRule="auto"/>
        <w:jc w:val="both"/>
        <w:rPr>
          <w:color w:val="000000" w:themeColor="text1"/>
        </w:rPr>
      </w:pPr>
      <w:r w:rsidRPr="004B3743">
        <w:rPr>
          <w:color w:val="000000" w:themeColor="text1"/>
        </w:rPr>
        <w:t>(Chen and Hu,</w:t>
      </w:r>
      <w:r w:rsidR="00244B1F" w:rsidRPr="004B3743">
        <w:rPr>
          <w:color w:val="000000" w:themeColor="text1"/>
        </w:rPr>
        <w:t>2024) examined the relationship between income, gender role attitudes, and subjective wellbeing among 9,898 married women in China, drawing on the culturally distinctive rice-wheat agricultural boundary as a natural experiment. Their findings demonstrated that women in rice-growing regions — where more egalitarian gender norms prevail — showed stronger income-wellbeing linkages than women in wheat-growing regions with more traditional gender role attitudes. This study makes a methodologically novel contribution to understanding how deeply embedded cultural norms around gender shape the economic determinants of women's happiness.</w:t>
      </w:r>
    </w:p>
    <w:p w:rsidR="008E267A" w:rsidRPr="004B3743" w:rsidRDefault="007648DE"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Choeni</w:t>
      </w:r>
      <w:proofErr w:type="spellEnd"/>
      <w:r w:rsidRPr="004B3743">
        <w:rPr>
          <w:color w:val="000000" w:themeColor="text1"/>
        </w:rPr>
        <w:t xml:space="preserve"> et al.,</w:t>
      </w:r>
      <w:r w:rsidR="00244B1F" w:rsidRPr="004B3743">
        <w:rPr>
          <w:color w:val="000000" w:themeColor="text1"/>
        </w:rPr>
        <w:t xml:space="preserve">2025) investigated gender inequality in the South African banking sector, drawing on the capability approach to argue for the importance of voice climate in promoting gender equality and wellbeing. Women in the banking sector faced persistent disparities in pay, career progression, and leadership representation, and a supportive voice climate — in which women felt able to express concerns without retaliation — was identified as a key protective factor for </w:t>
      </w:r>
      <w:r w:rsidR="00244B1F" w:rsidRPr="004B3743">
        <w:rPr>
          <w:color w:val="000000" w:themeColor="text1"/>
        </w:rPr>
        <w:lastRenderedPageBreak/>
        <w:t>wellbeing. This study highlights the intersection of structural inequality and organisational climate in determining women's daily wellbeing experiences.</w:t>
      </w:r>
    </w:p>
    <w:p w:rsidR="008E267A" w:rsidRPr="004B3743" w:rsidRDefault="007648DE"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Asadullah</w:t>
      </w:r>
      <w:proofErr w:type="spellEnd"/>
      <w:r w:rsidRPr="004B3743">
        <w:rPr>
          <w:color w:val="000000" w:themeColor="text1"/>
        </w:rPr>
        <w:t xml:space="preserve"> and Talukder,</w:t>
      </w:r>
      <w:r w:rsidR="00244B1F" w:rsidRPr="004B3743">
        <w:rPr>
          <w:color w:val="000000" w:themeColor="text1"/>
        </w:rPr>
        <w:t>2019) documented the 'paradox of the contented female worker' in Bangladesh's ready-made garments sector, finding that despite objectively poor wages and working conditions relative to male counterparts, female garment workers reported comparable or higher levels of subjective emotional wellbeing. The authors attributed this paradox to low reference group comparisons, limited aspirations shaped by constrained opportunity structures, and the relative empowerment conferred by paid employment compared to the domestic alternative. This finding challenges simplistic mappings between objective inequality and subjective wellbeing, while also raising normative concerns about the adequacy of wellbeing self-reports as welfare indicators.</w:t>
      </w:r>
    </w:p>
    <w:p w:rsidR="008E267A" w:rsidRPr="004B3743" w:rsidRDefault="007648DE" w:rsidP="008F280C">
      <w:pPr>
        <w:spacing w:after="180" w:line="276" w:lineRule="auto"/>
        <w:jc w:val="both"/>
        <w:rPr>
          <w:color w:val="000000" w:themeColor="text1"/>
        </w:rPr>
      </w:pPr>
      <w:r w:rsidRPr="004B3743">
        <w:rPr>
          <w:color w:val="000000" w:themeColor="text1"/>
        </w:rPr>
        <w:t>(Barnard,</w:t>
      </w:r>
      <w:r w:rsidR="00244B1F" w:rsidRPr="004B3743">
        <w:rPr>
          <w:color w:val="000000" w:themeColor="text1"/>
        </w:rPr>
        <w:t xml:space="preserve">2018) explored wellbeing and gender inequality through a qualitative phenomenological lens, finding that women in midlife constructed rich </w:t>
      </w:r>
      <w:proofErr w:type="spellStart"/>
      <w:r w:rsidR="00244B1F" w:rsidRPr="004B3743">
        <w:rPr>
          <w:color w:val="000000" w:themeColor="text1"/>
        </w:rPr>
        <w:t>eudaimonic</w:t>
      </w:r>
      <w:proofErr w:type="spellEnd"/>
      <w:r w:rsidR="00244B1F" w:rsidRPr="004B3743">
        <w:rPr>
          <w:color w:val="000000" w:themeColor="text1"/>
        </w:rPr>
        <w:t xml:space="preserve"> narratives of strength, resilience, and purposeful living that resisted deficit framings of their multiple role burdens. This research underscores the importance of capturing subjective meaning-making in wellbeing research, rather than relying solely on standardised scales that may not capture the full complexity of women's lived experiences.</w:t>
      </w:r>
    </w:p>
    <w:p w:rsidR="008E267A" w:rsidRPr="004B3743" w:rsidRDefault="007648DE" w:rsidP="008F280C">
      <w:pPr>
        <w:spacing w:after="180" w:line="276" w:lineRule="auto"/>
        <w:jc w:val="both"/>
        <w:rPr>
          <w:color w:val="000000" w:themeColor="text1"/>
        </w:rPr>
      </w:pPr>
      <w:r w:rsidRPr="004B3743">
        <w:rPr>
          <w:color w:val="000000" w:themeColor="text1"/>
        </w:rPr>
        <w:t>(Kumar et al.,</w:t>
      </w:r>
      <w:r w:rsidR="00244B1F" w:rsidRPr="004B3743">
        <w:rPr>
          <w:color w:val="000000" w:themeColor="text1"/>
        </w:rPr>
        <w:t>2024) investigated the concept of autonomy as a component of wellbeing among Indian women, finding that autonomy was experienced as multidimensional and contextually contingent, shaped by family, community, and oc</w:t>
      </w:r>
      <w:r w:rsidRPr="004B3743">
        <w:rPr>
          <w:color w:val="000000" w:themeColor="text1"/>
        </w:rPr>
        <w:t>cupational norms. (Yadav et al.,</w:t>
      </w:r>
      <w:r w:rsidR="00244B1F" w:rsidRPr="004B3743">
        <w:rPr>
          <w:color w:val="000000" w:themeColor="text1"/>
        </w:rPr>
        <w:t>2022) extended the analysis of gender inequality to early life course events in Bihar, India, demonstrating that school dropout, early marriage, and early childbearing — all linked to gendered social norms — were significantly associated with depression and poor mental health in young adult women, illustrating how gender inequality in education and reproduction translates into lasting wellbeing deficits.</w:t>
      </w:r>
    </w:p>
    <w:p w:rsidR="008E267A" w:rsidRPr="004B3743" w:rsidRDefault="007648DE" w:rsidP="008F280C">
      <w:pPr>
        <w:spacing w:after="180" w:line="276" w:lineRule="auto"/>
        <w:jc w:val="both"/>
        <w:rPr>
          <w:color w:val="000000" w:themeColor="text1"/>
        </w:rPr>
      </w:pPr>
      <w:r w:rsidRPr="004B3743">
        <w:rPr>
          <w:color w:val="000000" w:themeColor="text1"/>
        </w:rPr>
        <w:t>(Krueger,</w:t>
      </w:r>
      <w:r w:rsidR="00244B1F" w:rsidRPr="004B3743">
        <w:rPr>
          <w:color w:val="000000" w:themeColor="text1"/>
        </w:rPr>
        <w:t xml:space="preserve">2017) provided macroeconomic context for understanding gender and employment, documenting declining labour force participation rates in the United States, with differential patterns across demographic groups including women. While this study was not exclusively focused on women's wellbeing, its findings provide important background for understanding the structural conditions within which working women's experiences are embedded. </w:t>
      </w:r>
    </w:p>
    <w:p w:rsidR="008E267A" w:rsidRPr="004B3743" w:rsidRDefault="00244B1F" w:rsidP="008F280C">
      <w:pPr>
        <w:pStyle w:val="Heading2"/>
        <w:spacing w:line="276" w:lineRule="auto"/>
        <w:jc w:val="both"/>
        <w:rPr>
          <w:rFonts w:ascii="Times New Roman" w:hAnsi="Times New Roman" w:cs="Times New Roman"/>
          <w:color w:val="000000" w:themeColor="text1"/>
        </w:rPr>
      </w:pPr>
      <w:r w:rsidRPr="004B3743">
        <w:rPr>
          <w:rFonts w:ascii="Times New Roman" w:hAnsi="Times New Roman" w:cs="Times New Roman"/>
          <w:color w:val="000000" w:themeColor="text1"/>
        </w:rPr>
        <w:t>Industry-Specific Occupational Stress</w:t>
      </w:r>
    </w:p>
    <w:p w:rsidR="008E267A" w:rsidRPr="004B3743" w:rsidRDefault="004D09AD" w:rsidP="008F280C">
      <w:pPr>
        <w:spacing w:after="180" w:line="276" w:lineRule="auto"/>
        <w:jc w:val="both"/>
        <w:rPr>
          <w:color w:val="000000" w:themeColor="text1"/>
        </w:rPr>
      </w:pPr>
      <w:r w:rsidRPr="004B3743">
        <w:rPr>
          <w:color w:val="000000" w:themeColor="text1"/>
        </w:rPr>
        <w:t xml:space="preserve">Some </w:t>
      </w:r>
      <w:r w:rsidR="00244B1F" w:rsidRPr="004B3743">
        <w:rPr>
          <w:color w:val="000000" w:themeColor="text1"/>
        </w:rPr>
        <w:t>studies focused on occupational stress in specific industrial and sectoral contexts, providing sector-level detail that complements the broader thematic findings.</w:t>
      </w:r>
    </w:p>
    <w:p w:rsidR="008E267A" w:rsidRPr="004B3743" w:rsidRDefault="002A5B73" w:rsidP="008F280C">
      <w:pPr>
        <w:spacing w:after="180" w:line="276" w:lineRule="auto"/>
        <w:jc w:val="both"/>
        <w:rPr>
          <w:color w:val="000000" w:themeColor="text1"/>
        </w:rPr>
      </w:pPr>
      <w:r w:rsidRPr="004B3743">
        <w:rPr>
          <w:color w:val="000000" w:themeColor="text1"/>
        </w:rPr>
        <w:t>(Liu et al.,</w:t>
      </w:r>
      <w:r w:rsidR="00244B1F" w:rsidRPr="004B3743">
        <w:rPr>
          <w:color w:val="000000" w:themeColor="text1"/>
        </w:rPr>
        <w:t xml:space="preserve">2020) conducted a large survey study in Taiwan examining the associations between ergonomic and psychosocial work hazards and musculoskeletal disorders (MSDs) across a wide range of occupational groups. Their findings confirmed that both ergonomic exposures (such as </w:t>
      </w:r>
      <w:r w:rsidR="00244B1F" w:rsidRPr="004B3743">
        <w:rPr>
          <w:color w:val="000000" w:themeColor="text1"/>
        </w:rPr>
        <w:lastRenderedPageBreak/>
        <w:t>repetitive motion and awkward posture) and psychosocial hazards (such as work pressure and low job control) were independently and additively associated with MSD risk in specific body parts. These findings are particularly relevant for women workers, who are disproportionately represented in occupational groups characterised by high ergonomic and psychosocial burden, such as data entry, assembly, and care work.</w:t>
      </w:r>
    </w:p>
    <w:p w:rsidR="008E267A" w:rsidRPr="004B3743" w:rsidRDefault="002A5B73" w:rsidP="008F280C">
      <w:pPr>
        <w:spacing w:after="180" w:line="276" w:lineRule="auto"/>
        <w:jc w:val="both"/>
        <w:rPr>
          <w:color w:val="000000" w:themeColor="text1"/>
        </w:rPr>
      </w:pPr>
      <w:r w:rsidRPr="004B3743">
        <w:rPr>
          <w:color w:val="000000" w:themeColor="text1"/>
        </w:rPr>
        <w:t>(Sharma and Srivastava,</w:t>
      </w:r>
      <w:r w:rsidR="00244B1F" w:rsidRPr="004B3743">
        <w:rPr>
          <w:color w:val="000000" w:themeColor="text1"/>
        </w:rPr>
        <w:t>2020) developed and validated a scale for measuring organisational stress among women workers in the Indian garment industry, identifying job-related, organisation-related, personal, and social factors as distinct sources of stress. Their scale addresses a significant methodological gap, as most stress measurement instruments were developed for general or male-dominated workforce samples and may not adequately capture the gendered nature of stress in female-intensive industries.</w:t>
      </w:r>
    </w:p>
    <w:p w:rsidR="008E267A" w:rsidRPr="004B3743" w:rsidRDefault="002A5B73"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Rotimi</w:t>
      </w:r>
      <w:proofErr w:type="spellEnd"/>
      <w:r w:rsidRPr="004B3743">
        <w:rPr>
          <w:color w:val="000000" w:themeColor="text1"/>
        </w:rPr>
        <w:t xml:space="preserve"> et al.,</w:t>
      </w:r>
      <w:r w:rsidR="00244B1F" w:rsidRPr="004B3743">
        <w:rPr>
          <w:color w:val="000000" w:themeColor="text1"/>
        </w:rPr>
        <w:t>2023) examined women's wellbeing in the construction industry in New Zealand, finding that sexism and poor job conditions significantly harmed mental and physical wellbeing, with work morale mediating these relationships. The construction industry represents one of the most gender-imbalanced sectors globally, and this study documents the specific mechanisms through which the minority status and hostile cultural environment of women in construction translates into wellbeing deficits.</w:t>
      </w:r>
    </w:p>
    <w:p w:rsidR="008E267A" w:rsidRPr="004B3743" w:rsidRDefault="002A5B73"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Malathi</w:t>
      </w:r>
      <w:proofErr w:type="spellEnd"/>
      <w:r w:rsidRPr="004B3743">
        <w:rPr>
          <w:color w:val="000000" w:themeColor="text1"/>
        </w:rPr>
        <w:t xml:space="preserve"> and Srilatha,</w:t>
      </w:r>
      <w:r w:rsidR="00244B1F" w:rsidRPr="004B3743">
        <w:rPr>
          <w:color w:val="000000" w:themeColor="text1"/>
        </w:rPr>
        <w:t>2025) examined work stress among women in the Indian IT industry, documenting high levels of occupational stress driven by long working hours, demanding performance targets, and in</w:t>
      </w:r>
      <w:r w:rsidRPr="004B3743">
        <w:rPr>
          <w:color w:val="000000" w:themeColor="text1"/>
        </w:rPr>
        <w:t>adequate recognition. (B et al.,</w:t>
      </w:r>
      <w:r w:rsidR="00244B1F" w:rsidRPr="004B3743">
        <w:rPr>
          <w:color w:val="000000" w:themeColor="text1"/>
        </w:rPr>
        <w:t>2021) further examined IT women professionals in urban Bangalore during COVID-19, finding that extended periods of work from home during the pandemic were associated with deteriorating wellbeing, compounded by physical distancing from social support networks and the challenges of integrating professional and domestic demands in shared household spaces.</w:t>
      </w:r>
    </w:p>
    <w:p w:rsidR="008E267A" w:rsidRPr="004B3743" w:rsidRDefault="002A5B73" w:rsidP="008F280C">
      <w:pPr>
        <w:spacing w:after="180" w:line="276" w:lineRule="auto"/>
        <w:jc w:val="both"/>
        <w:rPr>
          <w:color w:val="000000" w:themeColor="text1"/>
        </w:rPr>
      </w:pPr>
      <w:r w:rsidRPr="004B3743">
        <w:rPr>
          <w:color w:val="000000" w:themeColor="text1"/>
        </w:rPr>
        <w:t>(Devi et al.,</w:t>
      </w:r>
      <w:r w:rsidR="00244B1F" w:rsidRPr="004B3743">
        <w:rPr>
          <w:color w:val="000000" w:themeColor="text1"/>
        </w:rPr>
        <w:t>2024) proposed an innovative approach to stress management in educational institutions, using Artificial Neural Networks (ANN) and Federated Learning to predict stress levels from physiological and demographic data collected via wearable technology. This privacy-preserving, data-driven approach represents a significant methodological advance in personalised stress management for working women, though the authors acknowledge that further validation in diverse institutional contexts is needed.</w:t>
      </w:r>
    </w:p>
    <w:p w:rsidR="008E267A" w:rsidRPr="004B3743" w:rsidRDefault="002A5B73"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Zakharova</w:t>
      </w:r>
      <w:proofErr w:type="spellEnd"/>
      <w:r w:rsidRPr="004B3743">
        <w:rPr>
          <w:color w:val="000000" w:themeColor="text1"/>
        </w:rPr>
        <w:t xml:space="preserve"> et al.,</w:t>
      </w:r>
      <w:r w:rsidR="00244B1F" w:rsidRPr="004B3743">
        <w:rPr>
          <w:color w:val="000000" w:themeColor="text1"/>
        </w:rPr>
        <w:t xml:space="preserve">2020) examined subjective wellbeing among female personnel in Russian innovative companies, finding age-related variation in wellbeing profiles. Younger women showed greater resilience in adapting to Industry 4.0 transformations, while older female workers experienced higher fatigue and stress in technologically changing environments. </w:t>
      </w:r>
      <w:r w:rsidRPr="004B3743">
        <w:rPr>
          <w:color w:val="000000" w:themeColor="text1"/>
        </w:rPr>
        <w:t xml:space="preserve">De </w:t>
      </w:r>
      <w:proofErr w:type="spellStart"/>
      <w:r w:rsidRPr="004B3743">
        <w:rPr>
          <w:color w:val="000000" w:themeColor="text1"/>
        </w:rPr>
        <w:t>Moortel</w:t>
      </w:r>
      <w:proofErr w:type="spellEnd"/>
      <w:r w:rsidRPr="004B3743">
        <w:rPr>
          <w:color w:val="000000" w:themeColor="text1"/>
        </w:rPr>
        <w:t xml:space="preserve"> et al.,</w:t>
      </w:r>
      <w:r w:rsidR="00244B1F" w:rsidRPr="004B3743">
        <w:rPr>
          <w:color w:val="000000" w:themeColor="text1"/>
        </w:rPr>
        <w:t xml:space="preserve">2017) examined working </w:t>
      </w:r>
      <w:proofErr w:type="gramStart"/>
      <w:r w:rsidR="00244B1F" w:rsidRPr="004B3743">
        <w:rPr>
          <w:color w:val="000000" w:themeColor="text1"/>
        </w:rPr>
        <w:t>hours</w:t>
      </w:r>
      <w:proofErr w:type="gramEnd"/>
      <w:r w:rsidR="00244B1F" w:rsidRPr="004B3743">
        <w:rPr>
          <w:color w:val="000000" w:themeColor="text1"/>
        </w:rPr>
        <w:t xml:space="preserve"> mismatch across European countries and its relationship with mental wellbeing, finding that macroeconomic conditions moderated the effects of hours mismatch on wellbeing. This study highlights how national-level labour market structures interact with </w:t>
      </w:r>
      <w:r w:rsidR="00244B1F" w:rsidRPr="004B3743">
        <w:rPr>
          <w:color w:val="000000" w:themeColor="text1"/>
        </w:rPr>
        <w:lastRenderedPageBreak/>
        <w:t>individual-level work arrangements to shape mental health outcomes, providing important context for sector-specific findings.</w:t>
      </w:r>
    </w:p>
    <w:p w:rsidR="008E267A" w:rsidRPr="004B3743" w:rsidRDefault="00244B1F" w:rsidP="008F280C">
      <w:pPr>
        <w:pStyle w:val="Heading2"/>
        <w:spacing w:line="276" w:lineRule="auto"/>
        <w:jc w:val="both"/>
        <w:rPr>
          <w:rFonts w:ascii="Times New Roman" w:hAnsi="Times New Roman" w:cs="Times New Roman"/>
          <w:color w:val="000000" w:themeColor="text1"/>
        </w:rPr>
      </w:pPr>
      <w:r w:rsidRPr="004B3743">
        <w:rPr>
          <w:rFonts w:ascii="Times New Roman" w:hAnsi="Times New Roman" w:cs="Times New Roman"/>
          <w:color w:val="000000" w:themeColor="text1"/>
        </w:rPr>
        <w:t>Physical Health and Body Image</w:t>
      </w:r>
    </w:p>
    <w:p w:rsidR="008E267A" w:rsidRPr="004B3743" w:rsidRDefault="004D09AD" w:rsidP="008F280C">
      <w:pPr>
        <w:spacing w:after="180" w:line="276" w:lineRule="auto"/>
        <w:jc w:val="both"/>
        <w:rPr>
          <w:color w:val="000000" w:themeColor="text1"/>
        </w:rPr>
      </w:pPr>
      <w:r w:rsidRPr="004B3743">
        <w:rPr>
          <w:color w:val="000000" w:themeColor="text1"/>
        </w:rPr>
        <w:t>S</w:t>
      </w:r>
      <w:r w:rsidR="00244B1F" w:rsidRPr="004B3743">
        <w:rPr>
          <w:color w:val="000000" w:themeColor="text1"/>
        </w:rPr>
        <w:t>tudies addressed physical health, body image, and physical activity among working women, reflecting growing recognition that wellbeing is not reducible to psychological dimensions alone.</w:t>
      </w:r>
    </w:p>
    <w:p w:rsidR="008E267A" w:rsidRPr="004B3743" w:rsidRDefault="002A5B73" w:rsidP="008F280C">
      <w:pPr>
        <w:spacing w:after="180" w:line="276" w:lineRule="auto"/>
        <w:jc w:val="both"/>
        <w:rPr>
          <w:color w:val="000000" w:themeColor="text1"/>
        </w:rPr>
      </w:pPr>
      <w:r w:rsidRPr="004B3743">
        <w:rPr>
          <w:color w:val="000000" w:themeColor="text1"/>
        </w:rPr>
        <w:t>(</w:t>
      </w:r>
      <w:r w:rsidR="00244B1F" w:rsidRPr="004B3743">
        <w:rPr>
          <w:color w:val="000000" w:themeColor="text1"/>
        </w:rPr>
        <w:t>Pen</w:t>
      </w:r>
      <w:r w:rsidRPr="004B3743">
        <w:rPr>
          <w:color w:val="000000" w:themeColor="text1"/>
        </w:rPr>
        <w:t>g et al.,</w:t>
      </w:r>
      <w:r w:rsidR="00244B1F" w:rsidRPr="004B3743">
        <w:rPr>
          <w:color w:val="000000" w:themeColor="text1"/>
        </w:rPr>
        <w:t>2024) investigated the interrelationships between physical activity, body anxiety, self-discipline, and emotional eating among working women in China. The study found that physical activity was inversely associated with emotional eating, partially mediated through reduced body anxiety and enhanced self-discipline. Women in the workforce in China were found to face rising rates of anxiety and depression, often manifesting in disordered eating patterns that detrimentally affected their health, work performance, and family interactions. These findings suggest that physical activity interventions targeting body anxiety may have cascading benefits for women's overall health behaviour.</w:t>
      </w:r>
    </w:p>
    <w:p w:rsidR="008E267A" w:rsidRPr="004B3743" w:rsidRDefault="002A5B73" w:rsidP="008F280C">
      <w:pPr>
        <w:spacing w:after="180" w:line="276" w:lineRule="auto"/>
        <w:jc w:val="both"/>
        <w:rPr>
          <w:color w:val="000000" w:themeColor="text1"/>
        </w:rPr>
      </w:pPr>
      <w:r w:rsidRPr="004B3743">
        <w:rPr>
          <w:color w:val="000000" w:themeColor="text1"/>
        </w:rPr>
        <w:t>(Lo,</w:t>
      </w:r>
      <w:r w:rsidR="00244B1F" w:rsidRPr="004B3743">
        <w:rPr>
          <w:color w:val="000000" w:themeColor="text1"/>
        </w:rPr>
        <w:t>2025) investigated how urban green spaces support stress relief among women in contemporary urban settings. Using a mixed-methods approach, the study examined the roles of landscape elements, perceived sensory dimensions, landscape preference, and anxiety in mediating stress restoration. Natural features — particularly plants, gardens, and water elements — were found to be the most effective landscape components for promoting restoration and reducing anxiety. This study connects urban planning and environmental design to women's occupational health, suggesting that access to green spaces may be a meaningful complement to individual-level stress management strategies.</w:t>
      </w:r>
    </w:p>
    <w:p w:rsidR="008E267A" w:rsidRPr="004B3743" w:rsidRDefault="002A5B73"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Jeppu</w:t>
      </w:r>
      <w:proofErr w:type="spellEnd"/>
      <w:r w:rsidRPr="004B3743">
        <w:rPr>
          <w:color w:val="000000" w:themeColor="text1"/>
        </w:rPr>
        <w:t xml:space="preserve"> et al.,</w:t>
      </w:r>
      <w:r w:rsidR="00244B1F" w:rsidRPr="004B3743">
        <w:rPr>
          <w:color w:val="000000" w:themeColor="text1"/>
        </w:rPr>
        <w:t xml:space="preserve">2019) assessed perceived stress levels and coping strategies among married women clerical employees in a tertiary care teaching hospital, finding that work-related and family-related stressors were both prevalent, and that avoidance-focused coping was common but maladaptive. The study recommended structured stress management programmes and workplace counselling as practical interventions. </w:t>
      </w:r>
      <w:r w:rsidRPr="004B3743">
        <w:rPr>
          <w:color w:val="000000" w:themeColor="text1"/>
        </w:rPr>
        <w:t>(</w:t>
      </w:r>
      <w:r w:rsidR="00244B1F" w:rsidRPr="004B3743">
        <w:rPr>
          <w:color w:val="000000" w:themeColor="text1"/>
        </w:rPr>
        <w:t>Robinso</w:t>
      </w:r>
      <w:r w:rsidRPr="004B3743">
        <w:rPr>
          <w:color w:val="000000" w:themeColor="text1"/>
        </w:rPr>
        <w:t>n et al.,</w:t>
      </w:r>
      <w:r w:rsidR="00244B1F" w:rsidRPr="004B3743">
        <w:rPr>
          <w:color w:val="000000" w:themeColor="text1"/>
        </w:rPr>
        <w:t>2015) addressed the physical health dimension from a cancer survivorship perspective, finding that working women with breast cancer faced unique challenges at the intersection of physical health management, occupational demands, and workplace communication.</w:t>
      </w:r>
    </w:p>
    <w:p w:rsidR="008E267A" w:rsidRPr="004B3743" w:rsidRDefault="002A5B73"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Biju</w:t>
      </w:r>
      <w:proofErr w:type="spellEnd"/>
      <w:r w:rsidRPr="004B3743">
        <w:rPr>
          <w:color w:val="000000" w:themeColor="text1"/>
        </w:rPr>
        <w:t xml:space="preserve"> and Pathak,</w:t>
      </w:r>
      <w:r w:rsidR="00244B1F" w:rsidRPr="004B3743">
        <w:rPr>
          <w:color w:val="000000" w:themeColor="text1"/>
        </w:rPr>
        <w:t xml:space="preserve">2020) examined the role of emotional labour in the wellbeing of women </w:t>
      </w:r>
      <w:proofErr w:type="spellStart"/>
      <w:r w:rsidR="00244B1F" w:rsidRPr="004B3743">
        <w:rPr>
          <w:color w:val="000000" w:themeColor="text1"/>
        </w:rPr>
        <w:t>intrapreneurial</w:t>
      </w:r>
      <w:proofErr w:type="spellEnd"/>
      <w:r w:rsidR="00244B1F" w:rsidRPr="004B3743">
        <w:rPr>
          <w:color w:val="000000" w:themeColor="text1"/>
        </w:rPr>
        <w:t xml:space="preserve"> leaders in the IT sector, finding that the suppression or modification of emotional expression required by </w:t>
      </w:r>
      <w:proofErr w:type="spellStart"/>
      <w:r w:rsidR="00244B1F" w:rsidRPr="004B3743">
        <w:rPr>
          <w:color w:val="000000" w:themeColor="text1"/>
        </w:rPr>
        <w:t>intrapreneurial</w:t>
      </w:r>
      <w:proofErr w:type="spellEnd"/>
      <w:r w:rsidR="00244B1F" w:rsidRPr="004B3743">
        <w:rPr>
          <w:color w:val="000000" w:themeColor="text1"/>
        </w:rPr>
        <w:t xml:space="preserve"> roles imposed significant psychological and physical costs. These findings align with broader evidence on the health costs of surface acting and emotional labour, and highlight a neglected dimension of occupational health among women in leadership and innovation roles.</w:t>
      </w:r>
    </w:p>
    <w:p w:rsidR="008E267A" w:rsidRPr="004B3743" w:rsidRDefault="00244B1F" w:rsidP="008F280C">
      <w:pPr>
        <w:pStyle w:val="Heading2"/>
        <w:spacing w:line="276" w:lineRule="auto"/>
        <w:jc w:val="both"/>
        <w:rPr>
          <w:rFonts w:ascii="Times New Roman" w:hAnsi="Times New Roman" w:cs="Times New Roman"/>
          <w:color w:val="000000" w:themeColor="text1"/>
        </w:rPr>
      </w:pPr>
      <w:r w:rsidRPr="004B3743">
        <w:rPr>
          <w:rFonts w:ascii="Times New Roman" w:hAnsi="Times New Roman" w:cs="Times New Roman"/>
          <w:color w:val="000000" w:themeColor="text1"/>
        </w:rPr>
        <w:t>Relationships and Domestic Life</w:t>
      </w:r>
    </w:p>
    <w:p w:rsidR="008E267A" w:rsidRPr="004B3743" w:rsidRDefault="00244B1F" w:rsidP="008F280C">
      <w:pPr>
        <w:spacing w:after="180" w:line="276" w:lineRule="auto"/>
        <w:jc w:val="both"/>
        <w:rPr>
          <w:color w:val="000000" w:themeColor="text1"/>
        </w:rPr>
      </w:pPr>
      <w:r w:rsidRPr="004B3743">
        <w:rPr>
          <w:color w:val="000000" w:themeColor="text1"/>
        </w:rPr>
        <w:lastRenderedPageBreak/>
        <w:t>Six studies in this review addressed the intersection of working women's professional lives with their intimate relationships, domestic experiences, and family dynamics.</w:t>
      </w:r>
    </w:p>
    <w:p w:rsidR="008E267A" w:rsidRPr="004B3743" w:rsidRDefault="002A5B73" w:rsidP="008F280C">
      <w:pPr>
        <w:spacing w:after="180" w:line="276" w:lineRule="auto"/>
        <w:jc w:val="both"/>
        <w:rPr>
          <w:color w:val="000000" w:themeColor="text1"/>
        </w:rPr>
      </w:pPr>
      <w:r w:rsidRPr="004B3743">
        <w:rPr>
          <w:color w:val="000000" w:themeColor="text1"/>
        </w:rPr>
        <w:t>(</w:t>
      </w:r>
      <w:proofErr w:type="spellStart"/>
      <w:r w:rsidRPr="004B3743">
        <w:rPr>
          <w:color w:val="000000" w:themeColor="text1"/>
        </w:rPr>
        <w:t>Okojide</w:t>
      </w:r>
      <w:proofErr w:type="spellEnd"/>
      <w:r w:rsidRPr="004B3743">
        <w:rPr>
          <w:color w:val="000000" w:themeColor="text1"/>
        </w:rPr>
        <w:t xml:space="preserve"> et al.,</w:t>
      </w:r>
      <w:r w:rsidR="00244B1F" w:rsidRPr="004B3743">
        <w:rPr>
          <w:color w:val="000000" w:themeColor="text1"/>
        </w:rPr>
        <w:t>2023) examined psychological wellbeing as a predictor of marital stability among employed women in Lagos State, Nigeria. Their findings demonstrated that higher PWB was a significant positive predictor of marital stability, suggesting that workplace-derived stressors that erode women's psychological wellbeing may have indirect consequences for family cohesion and relationship quality. The study situates individual psychological health within the broader ecology of family wellbeing and societal stability.</w:t>
      </w:r>
    </w:p>
    <w:p w:rsidR="008E267A" w:rsidRPr="004B3743" w:rsidRDefault="002A5B73" w:rsidP="002A5B73">
      <w:pPr>
        <w:spacing w:after="180" w:line="276" w:lineRule="auto"/>
        <w:jc w:val="both"/>
        <w:rPr>
          <w:color w:val="000000" w:themeColor="text1"/>
        </w:rPr>
      </w:pPr>
      <w:r w:rsidRPr="004B3743">
        <w:rPr>
          <w:color w:val="000000" w:themeColor="text1"/>
        </w:rPr>
        <w:t>(</w:t>
      </w:r>
      <w:proofErr w:type="spellStart"/>
      <w:r w:rsidRPr="004B3743">
        <w:rPr>
          <w:color w:val="000000" w:themeColor="text1"/>
        </w:rPr>
        <w:t>Yöyen</w:t>
      </w:r>
      <w:proofErr w:type="spellEnd"/>
      <w:r w:rsidRPr="004B3743">
        <w:rPr>
          <w:color w:val="000000" w:themeColor="text1"/>
        </w:rPr>
        <w:t xml:space="preserve"> et al.,</w:t>
      </w:r>
      <w:r w:rsidR="00244B1F" w:rsidRPr="004B3743">
        <w:rPr>
          <w:color w:val="000000" w:themeColor="text1"/>
        </w:rPr>
        <w:t xml:space="preserve">2025) investigated predictors of psychological wellbeing among young adult women in romantic relationships, identifying empathy, intimacy, passionate love, relationship stability, and sexual quality of life as significant contributors. These findings underscore the bidirectional relationship between relational quality and individual wellbeing, and suggest that working women's PWB is not solely a function of occupational factors but is deeply embedded in the quality </w:t>
      </w:r>
    </w:p>
    <w:p w:rsidR="008E267A" w:rsidRPr="004B3743" w:rsidRDefault="002A5B73" w:rsidP="008F280C">
      <w:pPr>
        <w:spacing w:after="180" w:line="276" w:lineRule="auto"/>
        <w:jc w:val="both"/>
        <w:rPr>
          <w:color w:val="000000" w:themeColor="text1"/>
        </w:rPr>
      </w:pPr>
      <w:r w:rsidRPr="004B3743">
        <w:rPr>
          <w:color w:val="000000" w:themeColor="text1"/>
        </w:rPr>
        <w:t>(</w:t>
      </w:r>
      <w:r w:rsidR="00244B1F" w:rsidRPr="004B3743">
        <w:rPr>
          <w:color w:val="000000" w:themeColor="text1"/>
        </w:rPr>
        <w:t>Y</w:t>
      </w:r>
      <w:r w:rsidRPr="004B3743">
        <w:rPr>
          <w:color w:val="000000" w:themeColor="text1"/>
        </w:rPr>
        <w:t>adav et al.,</w:t>
      </w:r>
      <w:r w:rsidR="00244B1F" w:rsidRPr="004B3743">
        <w:rPr>
          <w:color w:val="000000" w:themeColor="text1"/>
        </w:rPr>
        <w:t>2022) traced the long-run wellbeing consequences of early marriage and early childbearing among women in Bihar, India, finding that these gendered life-course events were significantly associated with adult depression and poor mental health. This study bridges the themes of gender inequality and domestic life, demonstrating that structural gender constraints expressed through marriage and reproductive norms leave lasting imprints on women's wellbeing trajectories.</w:t>
      </w:r>
    </w:p>
    <w:p w:rsidR="008E267A" w:rsidRPr="003829D8" w:rsidRDefault="00244B1F" w:rsidP="008F280C">
      <w:pPr>
        <w:pStyle w:val="Heading1"/>
        <w:spacing w:line="276" w:lineRule="auto"/>
        <w:jc w:val="both"/>
        <w:rPr>
          <w:rFonts w:ascii="Times New Roman" w:hAnsi="Times New Roman" w:cs="Times New Roman"/>
          <w:color w:val="000000" w:themeColor="text1"/>
        </w:rPr>
      </w:pPr>
      <w:r w:rsidRPr="003829D8">
        <w:rPr>
          <w:rFonts w:ascii="Times New Roman" w:hAnsi="Times New Roman" w:cs="Times New Roman"/>
          <w:color w:val="000000" w:themeColor="text1"/>
        </w:rPr>
        <w:t>Discussion</w:t>
      </w:r>
    </w:p>
    <w:p w:rsidR="008E267A" w:rsidRPr="008F280C" w:rsidRDefault="00244B1F" w:rsidP="008F280C">
      <w:pPr>
        <w:spacing w:after="180" w:line="276" w:lineRule="auto"/>
        <w:jc w:val="both"/>
        <w:rPr>
          <w:color w:val="000000" w:themeColor="text1"/>
        </w:rPr>
      </w:pPr>
      <w:r w:rsidRPr="008F280C">
        <w:rPr>
          <w:color w:val="000000" w:themeColor="text1"/>
        </w:rPr>
        <w:t>The findings of this systematic review reveal a consistent and sobering picture: working women across diverse national, sectoral, and cultural contexts face compounding challenges to their psychological wellbeing. These challenges arise from interconnected sources — including hostile or indifferent workplace cultures, structural gender inequalities, inadequate organisational support for work-family management, and the additional burdens imposed by domestic responsibilities and intimate relationships.</w:t>
      </w:r>
    </w:p>
    <w:p w:rsidR="008E267A" w:rsidRPr="008F280C" w:rsidRDefault="00244B1F" w:rsidP="008F280C">
      <w:pPr>
        <w:spacing w:after="180" w:line="276" w:lineRule="auto"/>
        <w:jc w:val="both"/>
        <w:rPr>
          <w:color w:val="000000" w:themeColor="text1"/>
        </w:rPr>
      </w:pPr>
      <w:r w:rsidRPr="008F280C">
        <w:rPr>
          <w:color w:val="000000" w:themeColor="text1"/>
        </w:rPr>
        <w:t xml:space="preserve">A prominent finding across themes is the centrality of organisational culture and leadership. Studies such as </w:t>
      </w:r>
      <w:r w:rsidR="008F280C">
        <w:rPr>
          <w:color w:val="000000" w:themeColor="text1"/>
        </w:rPr>
        <w:t>(Yang,2025), (</w:t>
      </w:r>
      <w:proofErr w:type="spellStart"/>
      <w:r w:rsidR="008F280C">
        <w:rPr>
          <w:color w:val="000000" w:themeColor="text1"/>
        </w:rPr>
        <w:t>Xie</w:t>
      </w:r>
      <w:proofErr w:type="spellEnd"/>
      <w:r w:rsidR="008F280C">
        <w:rPr>
          <w:color w:val="000000" w:themeColor="text1"/>
        </w:rPr>
        <w:t xml:space="preserve"> and Zheng ,2022), and (</w:t>
      </w:r>
      <w:proofErr w:type="spellStart"/>
      <w:r w:rsidR="008F280C">
        <w:rPr>
          <w:color w:val="000000" w:themeColor="text1"/>
        </w:rPr>
        <w:t>Choeni</w:t>
      </w:r>
      <w:proofErr w:type="spellEnd"/>
      <w:r w:rsidR="008F280C">
        <w:rPr>
          <w:color w:val="000000" w:themeColor="text1"/>
        </w:rPr>
        <w:t xml:space="preserve"> et al.,</w:t>
      </w:r>
      <w:r w:rsidRPr="008F280C">
        <w:rPr>
          <w:color w:val="000000" w:themeColor="text1"/>
        </w:rPr>
        <w:t>2025) all demonstrate that the organisational environment — whether characterised by inclusive leadership, masculinity contest culture, or voice climate — fundamentally shapes women's wellbeing experiences. These findings point to organisational culture as a primary lever for improving working women's wellbeing, and suggest that individual-level interventions are unlikely to be sufficient without corresponding changes to the contexts in which women work.</w:t>
      </w:r>
    </w:p>
    <w:p w:rsidR="008E267A" w:rsidRPr="008F280C" w:rsidRDefault="00244B1F" w:rsidP="008F280C">
      <w:pPr>
        <w:spacing w:after="180" w:line="276" w:lineRule="auto"/>
        <w:jc w:val="both"/>
        <w:rPr>
          <w:color w:val="000000" w:themeColor="text1"/>
        </w:rPr>
      </w:pPr>
      <w:r w:rsidRPr="008F280C">
        <w:rPr>
          <w:color w:val="000000" w:themeColor="text1"/>
        </w:rPr>
        <w:t>The review also highlights the importance of structural factors that operate beyond the level of the individual organisation</w:t>
      </w:r>
      <w:r w:rsidR="008F280C">
        <w:rPr>
          <w:color w:val="000000" w:themeColor="text1"/>
        </w:rPr>
        <w:t xml:space="preserve">. Studies by (De </w:t>
      </w:r>
      <w:proofErr w:type="spellStart"/>
      <w:r w:rsidR="008F280C">
        <w:rPr>
          <w:color w:val="000000" w:themeColor="text1"/>
        </w:rPr>
        <w:t>Moortel</w:t>
      </w:r>
      <w:proofErr w:type="spellEnd"/>
      <w:r w:rsidR="008F280C">
        <w:rPr>
          <w:color w:val="000000" w:themeColor="text1"/>
        </w:rPr>
        <w:t xml:space="preserve"> et al.,2017) and (Krueger,</w:t>
      </w:r>
      <w:r w:rsidRPr="008F280C">
        <w:rPr>
          <w:color w:val="000000" w:themeColor="text1"/>
        </w:rPr>
        <w:t>2017) situate working women's wellbeing within macroeconomic</w:t>
      </w:r>
      <w:r w:rsidR="008F280C">
        <w:rPr>
          <w:color w:val="000000" w:themeColor="text1"/>
        </w:rPr>
        <w:t xml:space="preserve"> conditions, while </w:t>
      </w:r>
      <w:r w:rsidR="0044408B">
        <w:rPr>
          <w:color w:val="000000" w:themeColor="text1"/>
        </w:rPr>
        <w:t>(</w:t>
      </w:r>
      <w:r w:rsidR="008F280C">
        <w:rPr>
          <w:color w:val="000000" w:themeColor="text1"/>
        </w:rPr>
        <w:t xml:space="preserve">Chen and Hu,2024) and (Yadav et </w:t>
      </w:r>
      <w:r w:rsidR="008F280C">
        <w:rPr>
          <w:color w:val="000000" w:themeColor="text1"/>
        </w:rPr>
        <w:lastRenderedPageBreak/>
        <w:t>al.,</w:t>
      </w:r>
      <w:r w:rsidRPr="008F280C">
        <w:rPr>
          <w:color w:val="000000" w:themeColor="text1"/>
        </w:rPr>
        <w:t>2022) demonstrate how deeply embedded cultural norms around gender — expressed through agricultural traditions, educational expectations, and marriage practices — shape the conditions of possibility for women's wellbeing. Addressing these structural conditions requires policy interventions at national and international levels, including labour market reforms, investment in childcare infrastructure, and legal protections against harassment and discrimination.</w:t>
      </w:r>
    </w:p>
    <w:p w:rsidR="008E267A" w:rsidRPr="008F280C" w:rsidRDefault="00244B1F" w:rsidP="008F280C">
      <w:pPr>
        <w:spacing w:after="180" w:line="276" w:lineRule="auto"/>
        <w:jc w:val="both"/>
        <w:rPr>
          <w:color w:val="000000" w:themeColor="text1"/>
        </w:rPr>
      </w:pPr>
      <w:r w:rsidRPr="008F280C">
        <w:rPr>
          <w:color w:val="000000" w:themeColor="text1"/>
        </w:rPr>
        <w:t>The evidence on interventions, while still relatively limited, is encouraging. Internet-based therapeutic approach</w:t>
      </w:r>
      <w:r w:rsidR="0044408B">
        <w:rPr>
          <w:color w:val="000000" w:themeColor="text1"/>
        </w:rPr>
        <w:t xml:space="preserve">es such as </w:t>
      </w:r>
      <w:proofErr w:type="spellStart"/>
      <w:r w:rsidR="0044408B">
        <w:rPr>
          <w:color w:val="000000" w:themeColor="text1"/>
        </w:rPr>
        <w:t>iACT</w:t>
      </w:r>
      <w:proofErr w:type="spellEnd"/>
      <w:r w:rsidR="0044408B">
        <w:rPr>
          <w:color w:val="000000" w:themeColor="text1"/>
        </w:rPr>
        <w:t xml:space="preserve"> (Sasaki et al.,</w:t>
      </w:r>
      <w:r w:rsidRPr="008F280C">
        <w:rPr>
          <w:color w:val="000000" w:themeColor="text1"/>
        </w:rPr>
        <w:t>2023), mindfulness programmes</w:t>
      </w:r>
      <w:r w:rsidR="0044408B">
        <w:rPr>
          <w:color w:val="000000" w:themeColor="text1"/>
        </w:rPr>
        <w:t xml:space="preserve"> (</w:t>
      </w:r>
      <w:proofErr w:type="spellStart"/>
      <w:r w:rsidR="0044408B">
        <w:rPr>
          <w:color w:val="000000" w:themeColor="text1"/>
        </w:rPr>
        <w:t>Rajeswari</w:t>
      </w:r>
      <w:proofErr w:type="spellEnd"/>
      <w:r w:rsidR="0044408B">
        <w:rPr>
          <w:color w:val="000000" w:themeColor="text1"/>
        </w:rPr>
        <w:t xml:space="preserve"> et al.,2025; Öcel,</w:t>
      </w:r>
      <w:r w:rsidRPr="008F280C">
        <w:rPr>
          <w:color w:val="000000" w:themeColor="text1"/>
        </w:rPr>
        <w:t>20</w:t>
      </w:r>
      <w:r w:rsidR="008F280C">
        <w:rPr>
          <w:color w:val="000000" w:themeColor="text1"/>
        </w:rPr>
        <w:t xml:space="preserve">17), </w:t>
      </w:r>
      <w:r w:rsidRPr="008F280C">
        <w:rPr>
          <w:color w:val="000000" w:themeColor="text1"/>
        </w:rPr>
        <w:t>urban gr</w:t>
      </w:r>
      <w:r w:rsidR="008F280C">
        <w:rPr>
          <w:color w:val="000000" w:themeColor="text1"/>
        </w:rPr>
        <w:t>een space</w:t>
      </w:r>
      <w:r w:rsidR="0044408B">
        <w:rPr>
          <w:color w:val="000000" w:themeColor="text1"/>
        </w:rPr>
        <w:t xml:space="preserve"> design (Lo,</w:t>
      </w:r>
      <w:r w:rsidR="008F280C">
        <w:rPr>
          <w:color w:val="000000" w:themeColor="text1"/>
        </w:rPr>
        <w:t xml:space="preserve">2025) </w:t>
      </w:r>
      <w:r w:rsidRPr="008F280C">
        <w:rPr>
          <w:color w:val="000000" w:themeColor="text1"/>
        </w:rPr>
        <w:t xml:space="preserve">show promise as accessible, scalable strategies for supporting working women's wellbeing. Family-responsive organisational policies, including flexible working </w:t>
      </w:r>
      <w:r w:rsidR="0044408B">
        <w:rPr>
          <w:color w:val="000000" w:themeColor="text1"/>
        </w:rPr>
        <w:t>arrangements (</w:t>
      </w:r>
      <w:proofErr w:type="spellStart"/>
      <w:r w:rsidR="0044408B">
        <w:rPr>
          <w:color w:val="000000" w:themeColor="text1"/>
        </w:rPr>
        <w:t>Blazovich</w:t>
      </w:r>
      <w:proofErr w:type="spellEnd"/>
      <w:r w:rsidR="0044408B">
        <w:rPr>
          <w:color w:val="000000" w:themeColor="text1"/>
        </w:rPr>
        <w:t xml:space="preserve"> et al.,2018; Shepherd-</w:t>
      </w:r>
      <w:proofErr w:type="spellStart"/>
      <w:r w:rsidR="0044408B">
        <w:rPr>
          <w:color w:val="000000" w:themeColor="text1"/>
        </w:rPr>
        <w:t>Banigan</w:t>
      </w:r>
      <w:proofErr w:type="spellEnd"/>
      <w:r w:rsidR="0044408B">
        <w:rPr>
          <w:color w:val="000000" w:themeColor="text1"/>
        </w:rPr>
        <w:t xml:space="preserve"> et al.,</w:t>
      </w:r>
      <w:r w:rsidRPr="008F280C">
        <w:rPr>
          <w:color w:val="000000" w:themeColor="text1"/>
        </w:rPr>
        <w:t>2015), gender-sensit</w:t>
      </w:r>
      <w:r w:rsidR="0044408B">
        <w:rPr>
          <w:color w:val="000000" w:themeColor="text1"/>
        </w:rPr>
        <w:t>ive HR practices (</w:t>
      </w:r>
      <w:proofErr w:type="spellStart"/>
      <w:r w:rsidR="0044408B">
        <w:rPr>
          <w:color w:val="000000" w:themeColor="text1"/>
        </w:rPr>
        <w:t>Verma</w:t>
      </w:r>
      <w:proofErr w:type="spellEnd"/>
      <w:r w:rsidR="0044408B">
        <w:rPr>
          <w:color w:val="000000" w:themeColor="text1"/>
        </w:rPr>
        <w:t xml:space="preserve"> et al.,</w:t>
      </w:r>
      <w:r w:rsidRPr="008F280C">
        <w:rPr>
          <w:color w:val="000000" w:themeColor="text1"/>
        </w:rPr>
        <w:t>2018), and supportive supervision (Yang, 2025), are consistently associated with better wellbeing outcomes.</w:t>
      </w:r>
    </w:p>
    <w:p w:rsidR="008E267A" w:rsidRPr="008F280C" w:rsidRDefault="00244B1F" w:rsidP="008F280C">
      <w:pPr>
        <w:spacing w:after="180" w:line="276" w:lineRule="auto"/>
        <w:jc w:val="both"/>
        <w:rPr>
          <w:color w:val="000000" w:themeColor="text1"/>
        </w:rPr>
      </w:pPr>
      <w:r w:rsidRPr="008F280C">
        <w:rPr>
          <w:color w:val="000000" w:themeColor="text1"/>
        </w:rPr>
        <w:t>The geographic and sectoral diversity of this review's evidence base is notable. Studies were drawn from India, China, Bangladesh, Nigeria, South Africa, Germany, Europe, Colombia, New Zealand, South Korea, Pakistan, the United States, and Russia, among others. Sector coverage spanned IT, garment manufacturing, construction, banking, tourism, healthcare, education, and the corporate sector. This diversity strengthens the generalisability of core findings while also highlighting the importance of contextual sensitivity in designing wellbeing interventions.</w:t>
      </w:r>
    </w:p>
    <w:p w:rsidR="008E267A" w:rsidRPr="003829D8" w:rsidRDefault="00244B1F" w:rsidP="008F280C">
      <w:pPr>
        <w:pStyle w:val="Heading1"/>
        <w:spacing w:line="276" w:lineRule="auto"/>
        <w:jc w:val="both"/>
        <w:rPr>
          <w:rFonts w:ascii="Times New Roman" w:hAnsi="Times New Roman" w:cs="Times New Roman"/>
          <w:color w:val="000000" w:themeColor="text1"/>
        </w:rPr>
      </w:pPr>
      <w:r w:rsidRPr="003829D8">
        <w:rPr>
          <w:rFonts w:ascii="Times New Roman" w:hAnsi="Times New Roman" w:cs="Times New Roman"/>
          <w:color w:val="000000" w:themeColor="text1"/>
        </w:rPr>
        <w:t>Conclusion</w:t>
      </w:r>
    </w:p>
    <w:p w:rsidR="008E267A" w:rsidRPr="008F280C" w:rsidRDefault="00244B1F" w:rsidP="008F280C">
      <w:pPr>
        <w:spacing w:after="180" w:line="276" w:lineRule="auto"/>
        <w:jc w:val="both"/>
        <w:rPr>
          <w:color w:val="000000" w:themeColor="text1"/>
        </w:rPr>
      </w:pPr>
      <w:r w:rsidRPr="008F280C">
        <w:rPr>
          <w:color w:val="000000" w:themeColor="text1"/>
        </w:rPr>
        <w:t xml:space="preserve">This systematic review </w:t>
      </w:r>
      <w:r w:rsidR="005A484D">
        <w:rPr>
          <w:color w:val="000000" w:themeColor="text1"/>
        </w:rPr>
        <w:t>has synthesised evidence from 48</w:t>
      </w:r>
      <w:r w:rsidRPr="008F280C">
        <w:rPr>
          <w:color w:val="000000" w:themeColor="text1"/>
        </w:rPr>
        <w:t xml:space="preserve"> peer-reviewed studies to map the landscape of research on working women's wellbeing across seven key thematic domains. The review demonstrates that working women globally face significant and interconnected threats to their psychological and physical wellbeing, arising from workplace harassment and bullying, work-life imbalance, gender inequality, sector-specific occupational stressors, and the demands of domestic and relational life. At the same time, the evidence base identifies a range of individual, organisational, and structural interventions with demonstrated potential to improve wellbeing outcomes.</w:t>
      </w:r>
    </w:p>
    <w:p w:rsidR="008E267A" w:rsidRPr="008F280C" w:rsidRDefault="00244B1F" w:rsidP="008F280C">
      <w:pPr>
        <w:spacing w:after="180" w:line="276" w:lineRule="auto"/>
        <w:jc w:val="both"/>
        <w:rPr>
          <w:color w:val="000000" w:themeColor="text1"/>
        </w:rPr>
      </w:pPr>
      <w:r w:rsidRPr="008F280C">
        <w:rPr>
          <w:color w:val="000000" w:themeColor="text1"/>
        </w:rPr>
        <w:t xml:space="preserve">Future research should prioritise longitudinal designs capable of establishing causal directions, particularly for the pathways linking gender inequality, organisational culture, and wellbeing outcomes. Greater attention to intersectionality — including race, class, disability status, and sexual orientation — is needed to capture the diversity of working women's experiences. Methodological advances in wearable technology and federated machine learning, </w:t>
      </w:r>
      <w:r w:rsidR="005A484D">
        <w:rPr>
          <w:color w:val="000000" w:themeColor="text1"/>
        </w:rPr>
        <w:t>as demonstrated by (Devi et al.,</w:t>
      </w:r>
      <w:r w:rsidRPr="008F280C">
        <w:rPr>
          <w:color w:val="000000" w:themeColor="text1"/>
        </w:rPr>
        <w:t>2024), offer promising directions for personalised, privacy-preserving wellbeing monitoring and intervention. Ultimately, improving working women's wellbeing requires a multi-level commitment from researchers, organisations, policymakers, and communities to address both the proximal and structural determinants of women's occupational health.</w:t>
      </w:r>
    </w:p>
    <w:p w:rsidR="008E267A" w:rsidRPr="003829D8" w:rsidRDefault="00244B1F" w:rsidP="008F280C">
      <w:pPr>
        <w:pStyle w:val="Heading1"/>
        <w:spacing w:line="276" w:lineRule="auto"/>
        <w:jc w:val="both"/>
        <w:rPr>
          <w:rFonts w:ascii="Times New Roman" w:hAnsi="Times New Roman" w:cs="Times New Roman"/>
          <w:color w:val="000000" w:themeColor="text1"/>
        </w:rPr>
      </w:pPr>
      <w:r w:rsidRPr="003829D8">
        <w:rPr>
          <w:rFonts w:ascii="Times New Roman" w:hAnsi="Times New Roman" w:cs="Times New Roman"/>
          <w:color w:val="000000" w:themeColor="text1"/>
        </w:rPr>
        <w:lastRenderedPageBreak/>
        <w:t>References</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 xml:space="preserve">Al </w:t>
      </w:r>
      <w:proofErr w:type="spellStart"/>
      <w:r w:rsidRPr="008A444C">
        <w:rPr>
          <w:color w:val="000000" w:themeColor="text1"/>
        </w:rPr>
        <w:t>Doghan</w:t>
      </w:r>
      <w:proofErr w:type="spellEnd"/>
      <w:r w:rsidRPr="008A444C">
        <w:rPr>
          <w:color w:val="000000" w:themeColor="text1"/>
        </w:rPr>
        <w:t>, M. A., and Arshad, M. (2023). Cyberbullying and Psychological Stress among Female Employees.</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Asadullah</w:t>
      </w:r>
      <w:proofErr w:type="spellEnd"/>
      <w:r w:rsidRPr="008A444C">
        <w:rPr>
          <w:color w:val="000000" w:themeColor="text1"/>
        </w:rPr>
        <w:t xml:space="preserve">, M. N., and </w:t>
      </w:r>
      <w:proofErr w:type="spellStart"/>
      <w:r w:rsidRPr="008A444C">
        <w:rPr>
          <w:color w:val="000000" w:themeColor="text1"/>
        </w:rPr>
        <w:t>Talukder</w:t>
      </w:r>
      <w:proofErr w:type="spellEnd"/>
      <w:r w:rsidRPr="008A444C">
        <w:rPr>
          <w:color w:val="000000" w:themeColor="text1"/>
        </w:rPr>
        <w:t>, A. (2019). The paradox of the contented female worker: Evidence from Bangladesh's ready-made garments sector.</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B, R., et al. (2021). An Investigation of the Impact of Occupational Stress on Mental Health of Remote Working Women IT Professionals in Urban Bangalore, India.</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Barnard, A. (2018). Well-being, more than a dream: Women constructing metaphors of strength.</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Biju</w:t>
      </w:r>
      <w:proofErr w:type="spellEnd"/>
      <w:r w:rsidRPr="008A444C">
        <w:rPr>
          <w:color w:val="000000" w:themeColor="text1"/>
        </w:rPr>
        <w:t xml:space="preserve">, M., and Pathak, S. (2020). Helping women </w:t>
      </w:r>
      <w:proofErr w:type="spellStart"/>
      <w:r w:rsidRPr="008A444C">
        <w:rPr>
          <w:color w:val="000000" w:themeColor="text1"/>
        </w:rPr>
        <w:t>intrapreneurial</w:t>
      </w:r>
      <w:proofErr w:type="spellEnd"/>
      <w:r w:rsidRPr="008A444C">
        <w:rPr>
          <w:color w:val="000000" w:themeColor="text1"/>
        </w:rPr>
        <w:t xml:space="preserve"> leaders flourish: appreciating emotional </w:t>
      </w:r>
      <w:proofErr w:type="spellStart"/>
      <w:r w:rsidRPr="008A444C">
        <w:rPr>
          <w:color w:val="000000" w:themeColor="text1"/>
        </w:rPr>
        <w:t>labor</w:t>
      </w:r>
      <w:proofErr w:type="spellEnd"/>
      <w:r w:rsidRPr="008A444C">
        <w:rPr>
          <w:color w:val="000000" w:themeColor="text1"/>
        </w:rPr>
        <w:t>.</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Blazovich</w:t>
      </w:r>
      <w:proofErr w:type="spellEnd"/>
      <w:r w:rsidRPr="008A444C">
        <w:rPr>
          <w:color w:val="000000" w:themeColor="text1"/>
        </w:rPr>
        <w:t>, J. L., et al. (2018). Mother-friendly companies, work-life balance, and emotional well-being: Is there a relationship to financial performance and risk level?</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Chen, J., and Hu, Y. (2024). Crossing the rice–wheat border: Income, gender role attitudes and female subjective well-being.</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Choeni</w:t>
      </w:r>
      <w:proofErr w:type="spellEnd"/>
      <w:r w:rsidRPr="008A444C">
        <w:rPr>
          <w:color w:val="000000" w:themeColor="text1"/>
        </w:rPr>
        <w:t>, M., et al. (2025). Voice climate, gender equality and well-being in the South African banking sector.</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 xml:space="preserve">De </w:t>
      </w:r>
      <w:proofErr w:type="spellStart"/>
      <w:r w:rsidRPr="008A444C">
        <w:rPr>
          <w:color w:val="000000" w:themeColor="text1"/>
        </w:rPr>
        <w:t>Moortel</w:t>
      </w:r>
      <w:proofErr w:type="spellEnd"/>
      <w:r w:rsidRPr="008A444C">
        <w:rPr>
          <w:color w:val="000000" w:themeColor="text1"/>
        </w:rPr>
        <w:t>, D., et al. (2017). Working Hours Mismatch, Macroeconomic Changes, and Mental Well-being in Europe.</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Devi, M., et al. (2024). Predictive Stress Management for Working Women in Educational Institutions using Federated Learning and Wearable Technology.</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Di Marco, D., et al. (2018). Spanish validation of the shorter version of the Workplace Incivility Scale: An employment status invariant measure.</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Divyakala</w:t>
      </w:r>
      <w:proofErr w:type="spellEnd"/>
      <w:r w:rsidRPr="008A444C">
        <w:rPr>
          <w:color w:val="000000" w:themeColor="text1"/>
        </w:rPr>
        <w:t xml:space="preserve">, M., and </w:t>
      </w:r>
      <w:proofErr w:type="spellStart"/>
      <w:r w:rsidRPr="008A444C">
        <w:rPr>
          <w:color w:val="000000" w:themeColor="text1"/>
        </w:rPr>
        <w:t>Vasumathi</w:t>
      </w:r>
      <w:proofErr w:type="spellEnd"/>
      <w:r w:rsidRPr="008A444C">
        <w:rPr>
          <w:color w:val="000000" w:themeColor="text1"/>
        </w:rPr>
        <w:t>, A. (2025). Women's productivity in hostile work environments: evaluating organisational efforts to tackle workplace bullying and its mediating impact on psychological consequences.</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Divyakala</w:t>
      </w:r>
      <w:proofErr w:type="spellEnd"/>
      <w:r w:rsidRPr="008A444C">
        <w:rPr>
          <w:color w:val="000000" w:themeColor="text1"/>
        </w:rPr>
        <w:t xml:space="preserve">, M., and </w:t>
      </w:r>
      <w:proofErr w:type="spellStart"/>
      <w:r w:rsidRPr="008A444C">
        <w:rPr>
          <w:color w:val="000000" w:themeColor="text1"/>
        </w:rPr>
        <w:t>Vasumathi</w:t>
      </w:r>
      <w:proofErr w:type="spellEnd"/>
      <w:r w:rsidRPr="008A444C">
        <w:rPr>
          <w:color w:val="000000" w:themeColor="text1"/>
        </w:rPr>
        <w:t>, A. (2025). Cultivating productivity among women employees: the dynamic role of psychological well-being, emotional exhaustion, and conflict management.</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Fazal</w:t>
      </w:r>
      <w:proofErr w:type="spellEnd"/>
      <w:r w:rsidRPr="008A444C">
        <w:rPr>
          <w:color w:val="000000" w:themeColor="text1"/>
        </w:rPr>
        <w:t>, S., et al. (2022). Individual and Organizational Strategies for Promoting Work–Life Balance for Sustainable Workforce: A Systematic Literature Review from Pakistan.</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Hitlan</w:t>
      </w:r>
      <w:proofErr w:type="spellEnd"/>
      <w:r w:rsidRPr="008A444C">
        <w:rPr>
          <w:color w:val="000000" w:themeColor="text1"/>
        </w:rPr>
        <w:t>, R. T. (2025). Sexual and Bystander Harassment Among Part-Time Employees: Effects on Work Attitudes, Stress, and Withdrawal.</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Jeppu</w:t>
      </w:r>
      <w:proofErr w:type="spellEnd"/>
      <w:r w:rsidRPr="008A444C">
        <w:rPr>
          <w:color w:val="000000" w:themeColor="text1"/>
        </w:rPr>
        <w:t>, A. K., et al. (2019). An assessment of perceived stress levels and coping strategies for the same among married women clerical employees in a tertiary care teaching hospital.</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lastRenderedPageBreak/>
        <w:t>Kamil</w:t>
      </w:r>
      <w:proofErr w:type="spellEnd"/>
      <w:r w:rsidRPr="008A444C">
        <w:rPr>
          <w:color w:val="000000" w:themeColor="text1"/>
        </w:rPr>
        <w:t>, M., et al. (2024). Fostering Psychological Well-Being and Igniting Work Motivation in Employees: Gender as Moderator.</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 xml:space="preserve">Krueger, A. B. (2017). Where have all the workers gone? An inquiry into the decline of the U.S. </w:t>
      </w:r>
      <w:proofErr w:type="spellStart"/>
      <w:r w:rsidRPr="008A444C">
        <w:rPr>
          <w:color w:val="000000" w:themeColor="text1"/>
        </w:rPr>
        <w:t>Labor</w:t>
      </w:r>
      <w:proofErr w:type="spellEnd"/>
      <w:r w:rsidRPr="008A444C">
        <w:rPr>
          <w:color w:val="000000" w:themeColor="text1"/>
        </w:rPr>
        <w:t xml:space="preserve"> force participation rate.</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Kumar, A., et al. (2024). Women: Autonomous Bodies, Are They? Understanding Autonomy and Well-being.</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Kumari</w:t>
      </w:r>
      <w:proofErr w:type="spellEnd"/>
      <w:r w:rsidRPr="008A444C">
        <w:rPr>
          <w:color w:val="000000" w:themeColor="text1"/>
        </w:rPr>
        <w:t>, R. (2024). Job-Home Balance of Rural Women Employees: An Insight Study from Bangalore Rural District.</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Liu, Y., et al. (2020). Associations of ergonomic and psychosocial work hazards with musculoskeletal disorders of specific body parts: A study of general employees in Taiwan.</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Lo, A. Y. (2025). Effects of urban green space landscape elements on perceived sensory dimensions, landscape preference, stress restoration, and anxiety in women.</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Maiti</w:t>
      </w:r>
      <w:proofErr w:type="spellEnd"/>
      <w:r w:rsidRPr="008A444C">
        <w:rPr>
          <w:color w:val="000000" w:themeColor="text1"/>
        </w:rPr>
        <w:t xml:space="preserve">, S., and </w:t>
      </w:r>
      <w:proofErr w:type="spellStart"/>
      <w:r w:rsidRPr="008A444C">
        <w:rPr>
          <w:color w:val="000000" w:themeColor="text1"/>
        </w:rPr>
        <w:t>Sanyal</w:t>
      </w:r>
      <w:proofErr w:type="spellEnd"/>
      <w:r w:rsidRPr="008A444C">
        <w:rPr>
          <w:color w:val="000000" w:themeColor="text1"/>
        </w:rPr>
        <w:t>, S. (2023). Organisational commitment of working women: The role optimisation.</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Malathi</w:t>
      </w:r>
      <w:proofErr w:type="spellEnd"/>
      <w:r w:rsidRPr="008A444C">
        <w:rPr>
          <w:color w:val="000000" w:themeColor="text1"/>
        </w:rPr>
        <w:t xml:space="preserve">, S., and </w:t>
      </w:r>
      <w:proofErr w:type="spellStart"/>
      <w:r w:rsidRPr="008A444C">
        <w:rPr>
          <w:color w:val="000000" w:themeColor="text1"/>
        </w:rPr>
        <w:t>Srilatha</w:t>
      </w:r>
      <w:proofErr w:type="spellEnd"/>
      <w:r w:rsidRPr="008A444C">
        <w:rPr>
          <w:color w:val="000000" w:themeColor="text1"/>
        </w:rPr>
        <w:t>, M. (2025). Work Stress of Women Employees in The Information Technology Industry: An Empirical Study with Reference to Chennai City.</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Mehmood</w:t>
      </w:r>
      <w:proofErr w:type="spellEnd"/>
      <w:r w:rsidRPr="008A444C">
        <w:rPr>
          <w:color w:val="000000" w:themeColor="text1"/>
        </w:rPr>
        <w:t>, K., et al. (2024). Effect of workplace bullying and incivility on employee performance: Mediating role of psychological wellbeing.</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Meyer, B., et al. (2021). Employee psychological well-being during the COVID-19 pandemic in Germany: A longitudinal study of demands, resources, and exhaustion.</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Okojide</w:t>
      </w:r>
      <w:proofErr w:type="spellEnd"/>
      <w:r w:rsidRPr="008A444C">
        <w:rPr>
          <w:color w:val="000000" w:themeColor="text1"/>
        </w:rPr>
        <w:t>, A. C., et al. (2023). Psychological Well-being as a Predictor of Marital Stability among Employed Women in Lagos State, Nigeria.</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Öcel</w:t>
      </w:r>
      <w:proofErr w:type="spellEnd"/>
      <w:r w:rsidRPr="008A444C">
        <w:rPr>
          <w:color w:val="000000" w:themeColor="text1"/>
        </w:rPr>
        <w:t>, H. (2017). Stigmatization, mindfulness and psychological well-being among working women diagnosed with breast cancer.</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Oyet</w:t>
      </w:r>
      <w:proofErr w:type="spellEnd"/>
      <w:r w:rsidRPr="008A444C">
        <w:rPr>
          <w:color w:val="000000" w:themeColor="text1"/>
        </w:rPr>
        <w:t>, M., et al. (2019). Differences among women in response to workplace incivility: Perceived dissimilarity as a boundary condition.</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Peng, Y., et al. (2024). Physical activity, body anxiety, self-discipline, and emotional eating among Chinese women in the workforce.</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Prasad, K. D. V., and Vaidya, R. (2021). Occupational Stress and its Impact on Work-Life Balance and Psychological Well-being of Remote Working Women Employees in IT-Enabled Sector during Covid-19 Pandemic.</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Rajeswari</w:t>
      </w:r>
      <w:proofErr w:type="spellEnd"/>
      <w:r w:rsidRPr="008A444C">
        <w:rPr>
          <w:color w:val="000000" w:themeColor="text1"/>
        </w:rPr>
        <w:t>, S., et al. (2025). An examination of the nexus between mindfulness and mental well-being: a study among working women of IT sector in North Tamil Nadu.</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Robinson, J. D., et al. (2015). Wanted you to know: Breast cancer survivors' control of workplace communication about cancer.</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lastRenderedPageBreak/>
        <w:t>Rotimi</w:t>
      </w:r>
      <w:proofErr w:type="spellEnd"/>
      <w:r w:rsidRPr="008A444C">
        <w:rPr>
          <w:color w:val="000000" w:themeColor="text1"/>
        </w:rPr>
        <w:t>, A., et al. (2023). Work environment challenge and the wellbeing of women in construction industry in New Zealand – The mediating role of work morale.</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Sasaki, N., et al. (2023). The effect of internet-based acceptance and commitment therapy (</w:t>
      </w:r>
      <w:proofErr w:type="spellStart"/>
      <w:r w:rsidRPr="008A444C">
        <w:rPr>
          <w:color w:val="000000" w:themeColor="text1"/>
        </w:rPr>
        <w:t>iACT</w:t>
      </w:r>
      <w:proofErr w:type="spellEnd"/>
      <w:r w:rsidRPr="008A444C">
        <w:rPr>
          <w:color w:val="000000" w:themeColor="text1"/>
        </w:rPr>
        <w:t>) on psychological well-being among working women with a pre-school child: A randomized controlled trial.</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Sharma, N., and Srivastava, S. (2020). A scale to measure organizational stress among women workers in the garment industry.</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Shepherd-</w:t>
      </w:r>
      <w:proofErr w:type="spellStart"/>
      <w:r w:rsidRPr="008A444C">
        <w:rPr>
          <w:color w:val="000000" w:themeColor="text1"/>
        </w:rPr>
        <w:t>Banigan</w:t>
      </w:r>
      <w:proofErr w:type="spellEnd"/>
      <w:r w:rsidRPr="008A444C">
        <w:rPr>
          <w:color w:val="000000" w:themeColor="text1"/>
        </w:rPr>
        <w:t>, M., et al. (2015). Workplace Stress and Working from Home Influence Depressive Symptoms Among Employed Women with Young Children.</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Skica</w:t>
      </w:r>
      <w:proofErr w:type="spellEnd"/>
      <w:r w:rsidRPr="008A444C">
        <w:rPr>
          <w:color w:val="000000" w:themeColor="text1"/>
        </w:rPr>
        <w:t xml:space="preserve">, T., and </w:t>
      </w:r>
      <w:proofErr w:type="spellStart"/>
      <w:r w:rsidRPr="008A444C">
        <w:rPr>
          <w:color w:val="000000" w:themeColor="text1"/>
        </w:rPr>
        <w:t>Miszczyńska</w:t>
      </w:r>
      <w:proofErr w:type="spellEnd"/>
      <w:r w:rsidRPr="008A444C">
        <w:rPr>
          <w:color w:val="000000" w:themeColor="text1"/>
        </w:rPr>
        <w:t>, K. (2025). Psychological Well-Being of Self-Employed Women: European Perspective.</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Soomro, A. A., et al. (2023). Investigating the impact of sensitivity to terrorism on employee psychological well-being: the mediating role of psychological resilience.</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Sultana, A., et al. (2023). Work-life balance scenario of female professionals working in the corporate sector of Bangladesh: challenges, consequences and organisational responses.</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Vasumathi</w:t>
      </w:r>
      <w:proofErr w:type="spellEnd"/>
      <w:r w:rsidRPr="008A444C">
        <w:rPr>
          <w:color w:val="000000" w:themeColor="text1"/>
        </w:rPr>
        <w:t>, A., et al. (2025). Beyond the surface: understanding how workplace bullying affects women's performance via emotional exhaustion and psychological well-being.</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Verma</w:t>
      </w:r>
      <w:proofErr w:type="spellEnd"/>
      <w:r w:rsidRPr="008A444C">
        <w:rPr>
          <w:color w:val="000000" w:themeColor="text1"/>
        </w:rPr>
        <w:t xml:space="preserve">, S., et al. (2018). Relationship between gender-sensitive practices and family support and its impact on psychological well-being of women employees in call </w:t>
      </w:r>
      <w:proofErr w:type="spellStart"/>
      <w:r w:rsidRPr="008A444C">
        <w:rPr>
          <w:color w:val="000000" w:themeColor="text1"/>
        </w:rPr>
        <w:t>centers</w:t>
      </w:r>
      <w:proofErr w:type="spellEnd"/>
      <w:r w:rsidRPr="008A444C">
        <w:rPr>
          <w:color w:val="000000" w:themeColor="text1"/>
        </w:rPr>
        <w:t xml:space="preserve"> in India.</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Xie</w:t>
      </w:r>
      <w:proofErr w:type="spellEnd"/>
      <w:r w:rsidRPr="008A444C">
        <w:rPr>
          <w:color w:val="000000" w:themeColor="text1"/>
        </w:rPr>
        <w:t>, Y., and Zheng, Y. (2022). A Moderated Mediation Model of Masculinity Contest Culture and Psychological Well-Being.</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Xue</w:t>
      </w:r>
      <w:proofErr w:type="spellEnd"/>
      <w:r w:rsidRPr="008A444C">
        <w:rPr>
          <w:color w:val="000000" w:themeColor="text1"/>
        </w:rPr>
        <w:t>, J., et al. (</w:t>
      </w:r>
      <w:proofErr w:type="spellStart"/>
      <w:r w:rsidRPr="008A444C">
        <w:rPr>
          <w:color w:val="000000" w:themeColor="text1"/>
        </w:rPr>
        <w:t>n.d.</w:t>
      </w:r>
      <w:proofErr w:type="spellEnd"/>
      <w:r w:rsidRPr="008A444C">
        <w:rPr>
          <w:color w:val="000000" w:themeColor="text1"/>
        </w:rPr>
        <w:t>). Information Communication Technologies and Intimate Partner Violence in China.</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Yadav, S., et al. (2022). Association between school dropouts, early marriages, childbearing, and mental health in early adulthood of women: Evidence from a cohort study in Bihar, India.</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Yang, Z. (2025). Impact mechanism of inclusive leadership on employees' workplace wellbeing in service enterprises.</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Yöyen</w:t>
      </w:r>
      <w:proofErr w:type="spellEnd"/>
      <w:r w:rsidRPr="008A444C">
        <w:rPr>
          <w:color w:val="000000" w:themeColor="text1"/>
        </w:rPr>
        <w:t>, E. G., et al. (2025). Predictors of Young Adult Women's Psychological Well-Being in Romantic Relationships.</w:t>
      </w:r>
    </w:p>
    <w:p w:rsidR="008E267A" w:rsidRPr="008A444C" w:rsidRDefault="00244B1F" w:rsidP="008F280C">
      <w:pPr>
        <w:spacing w:after="100" w:line="276" w:lineRule="auto"/>
        <w:ind w:left="720" w:hanging="720"/>
        <w:jc w:val="both"/>
        <w:rPr>
          <w:color w:val="000000" w:themeColor="text1"/>
        </w:rPr>
      </w:pPr>
      <w:proofErr w:type="spellStart"/>
      <w:r w:rsidRPr="008A444C">
        <w:rPr>
          <w:color w:val="000000" w:themeColor="text1"/>
        </w:rPr>
        <w:t>Zakharova</w:t>
      </w:r>
      <w:proofErr w:type="spellEnd"/>
      <w:r w:rsidRPr="008A444C">
        <w:rPr>
          <w:color w:val="000000" w:themeColor="text1"/>
        </w:rPr>
        <w:t>, L., et al. (2020). Subjective well-being of female employees of innovative companies of different ages.</w:t>
      </w:r>
    </w:p>
    <w:p w:rsidR="008E267A" w:rsidRPr="008A444C" w:rsidRDefault="00244B1F" w:rsidP="008F280C">
      <w:pPr>
        <w:spacing w:after="100" w:line="276" w:lineRule="auto"/>
        <w:ind w:left="720" w:hanging="720"/>
        <w:jc w:val="both"/>
        <w:rPr>
          <w:color w:val="000000" w:themeColor="text1"/>
        </w:rPr>
      </w:pPr>
      <w:r w:rsidRPr="008A444C">
        <w:rPr>
          <w:color w:val="000000" w:themeColor="text1"/>
        </w:rPr>
        <w:t>Zapata-</w:t>
      </w:r>
      <w:proofErr w:type="spellStart"/>
      <w:r w:rsidRPr="008A444C">
        <w:rPr>
          <w:color w:val="000000" w:themeColor="text1"/>
        </w:rPr>
        <w:t>Matheus</w:t>
      </w:r>
      <w:proofErr w:type="spellEnd"/>
      <w:r w:rsidRPr="008A444C">
        <w:rPr>
          <w:color w:val="000000" w:themeColor="text1"/>
        </w:rPr>
        <w:t xml:space="preserve">, L., and </w:t>
      </w:r>
      <w:proofErr w:type="spellStart"/>
      <w:r w:rsidRPr="008A444C">
        <w:rPr>
          <w:color w:val="000000" w:themeColor="text1"/>
        </w:rPr>
        <w:t>Ariza</w:t>
      </w:r>
      <w:proofErr w:type="spellEnd"/>
      <w:r w:rsidRPr="008A444C">
        <w:rPr>
          <w:color w:val="000000" w:themeColor="text1"/>
        </w:rPr>
        <w:t>-Ruiz, M. (2026). Psychological Well-Being in Pregnant and Breastfeeding Female Employees in Colombia.</w:t>
      </w:r>
    </w:p>
    <w:sectPr w:rsidR="008E267A" w:rsidRPr="008A444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62847"/>
    <w:multiLevelType w:val="multilevel"/>
    <w:tmpl w:val="DE72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266BF"/>
    <w:multiLevelType w:val="multilevel"/>
    <w:tmpl w:val="FE9E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031F5"/>
    <w:multiLevelType w:val="multilevel"/>
    <w:tmpl w:val="6A54A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63636"/>
    <w:multiLevelType w:val="hybridMultilevel"/>
    <w:tmpl w:val="EC0C3ECA"/>
    <w:lvl w:ilvl="0" w:tplc="20C69228">
      <w:start w:val="1"/>
      <w:numFmt w:val="bullet"/>
      <w:lvlText w:val="●"/>
      <w:lvlJc w:val="left"/>
      <w:pPr>
        <w:ind w:left="720" w:hanging="360"/>
      </w:pPr>
    </w:lvl>
    <w:lvl w:ilvl="1" w:tplc="6FA450EC">
      <w:start w:val="1"/>
      <w:numFmt w:val="bullet"/>
      <w:lvlText w:val="○"/>
      <w:lvlJc w:val="left"/>
      <w:pPr>
        <w:ind w:left="1440" w:hanging="360"/>
      </w:pPr>
    </w:lvl>
    <w:lvl w:ilvl="2" w:tplc="F2009314">
      <w:start w:val="1"/>
      <w:numFmt w:val="bullet"/>
      <w:lvlText w:val="■"/>
      <w:lvlJc w:val="left"/>
      <w:pPr>
        <w:ind w:left="2160" w:hanging="360"/>
      </w:pPr>
    </w:lvl>
    <w:lvl w:ilvl="3" w:tplc="E4B81A96">
      <w:start w:val="1"/>
      <w:numFmt w:val="bullet"/>
      <w:lvlText w:val="●"/>
      <w:lvlJc w:val="left"/>
      <w:pPr>
        <w:ind w:left="2880" w:hanging="360"/>
      </w:pPr>
    </w:lvl>
    <w:lvl w:ilvl="4" w:tplc="3CF8875C">
      <w:start w:val="1"/>
      <w:numFmt w:val="bullet"/>
      <w:lvlText w:val="○"/>
      <w:lvlJc w:val="left"/>
      <w:pPr>
        <w:ind w:left="3600" w:hanging="360"/>
      </w:pPr>
    </w:lvl>
    <w:lvl w:ilvl="5" w:tplc="5F0CE14A">
      <w:start w:val="1"/>
      <w:numFmt w:val="bullet"/>
      <w:lvlText w:val="■"/>
      <w:lvlJc w:val="left"/>
      <w:pPr>
        <w:ind w:left="4320" w:hanging="360"/>
      </w:pPr>
    </w:lvl>
    <w:lvl w:ilvl="6" w:tplc="6A2A4E2C">
      <w:start w:val="1"/>
      <w:numFmt w:val="bullet"/>
      <w:lvlText w:val="●"/>
      <w:lvlJc w:val="left"/>
      <w:pPr>
        <w:ind w:left="5040" w:hanging="360"/>
      </w:pPr>
    </w:lvl>
    <w:lvl w:ilvl="7" w:tplc="8048C5E2">
      <w:start w:val="1"/>
      <w:numFmt w:val="bullet"/>
      <w:lvlText w:val="●"/>
      <w:lvlJc w:val="left"/>
      <w:pPr>
        <w:ind w:left="5760" w:hanging="360"/>
      </w:pPr>
    </w:lvl>
    <w:lvl w:ilvl="8" w:tplc="27AEB616">
      <w:start w:val="1"/>
      <w:numFmt w:val="bullet"/>
      <w:lvlText w:val="●"/>
      <w:lvlJc w:val="left"/>
      <w:pPr>
        <w:ind w:left="6480" w:hanging="360"/>
      </w:pPr>
    </w:lvl>
  </w:abstractNum>
  <w:abstractNum w:abstractNumId="4" w15:restartNumberingAfterBreak="0">
    <w:nsid w:val="6255308E"/>
    <w:multiLevelType w:val="multilevel"/>
    <w:tmpl w:val="F01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7A"/>
    <w:rsid w:val="0002645C"/>
    <w:rsid w:val="000864A2"/>
    <w:rsid w:val="00244B1F"/>
    <w:rsid w:val="00262758"/>
    <w:rsid w:val="002A5B73"/>
    <w:rsid w:val="002D0548"/>
    <w:rsid w:val="002E3C55"/>
    <w:rsid w:val="003829D8"/>
    <w:rsid w:val="00427A27"/>
    <w:rsid w:val="0044408B"/>
    <w:rsid w:val="004B3743"/>
    <w:rsid w:val="004D09AD"/>
    <w:rsid w:val="004F06C5"/>
    <w:rsid w:val="0050262E"/>
    <w:rsid w:val="00543219"/>
    <w:rsid w:val="005A484D"/>
    <w:rsid w:val="00703ADC"/>
    <w:rsid w:val="00704934"/>
    <w:rsid w:val="007648DE"/>
    <w:rsid w:val="00792729"/>
    <w:rsid w:val="007A08AA"/>
    <w:rsid w:val="007C53C3"/>
    <w:rsid w:val="008A444C"/>
    <w:rsid w:val="008E267A"/>
    <w:rsid w:val="008F280C"/>
    <w:rsid w:val="00912670"/>
    <w:rsid w:val="00AF3DE6"/>
    <w:rsid w:val="00BA5BB8"/>
    <w:rsid w:val="00CB1C61"/>
    <w:rsid w:val="00D67F9C"/>
    <w:rsid w:val="00D946B5"/>
    <w:rsid w:val="00E87D0B"/>
    <w:rsid w:val="00F309E9"/>
    <w:rsid w:val="00F374B1"/>
    <w:rsid w:val="00FF1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014E"/>
  <w15:docId w15:val="{0E53F91B-3147-4CBD-B1B8-AA3064D0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20" w:after="160"/>
      <w:outlineLvl w:val="0"/>
    </w:pPr>
    <w:rPr>
      <w:rFonts w:ascii="Arial" w:eastAsia="Arial" w:hAnsi="Arial" w:cs="Arial"/>
      <w:b/>
      <w:bCs/>
      <w:color w:val="1F3864"/>
      <w:sz w:val="28"/>
      <w:szCs w:val="28"/>
    </w:rPr>
  </w:style>
  <w:style w:type="paragraph" w:styleId="Heading2">
    <w:name w:val="heading 2"/>
    <w:qFormat/>
    <w:pPr>
      <w:spacing w:before="240" w:after="120"/>
      <w:outlineLvl w:val="1"/>
    </w:pPr>
    <w:rPr>
      <w:rFonts w:ascii="Arial" w:eastAsia="Arial" w:hAnsi="Arial" w:cs="Arial"/>
      <w:b/>
      <w:bCs/>
      <w:color w:val="2E5F8A"/>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32033">
      <w:bodyDiv w:val="1"/>
      <w:marLeft w:val="0"/>
      <w:marRight w:val="0"/>
      <w:marTop w:val="0"/>
      <w:marBottom w:val="0"/>
      <w:divBdr>
        <w:top w:val="none" w:sz="0" w:space="0" w:color="auto"/>
        <w:left w:val="none" w:sz="0" w:space="0" w:color="auto"/>
        <w:bottom w:val="none" w:sz="0" w:space="0" w:color="auto"/>
        <w:right w:val="none" w:sz="0" w:space="0" w:color="auto"/>
      </w:divBdr>
    </w:div>
    <w:div w:id="1556234790">
      <w:bodyDiv w:val="1"/>
      <w:marLeft w:val="0"/>
      <w:marRight w:val="0"/>
      <w:marTop w:val="0"/>
      <w:marBottom w:val="0"/>
      <w:divBdr>
        <w:top w:val="none" w:sz="0" w:space="0" w:color="auto"/>
        <w:left w:val="none" w:sz="0" w:space="0" w:color="auto"/>
        <w:bottom w:val="none" w:sz="0" w:space="0" w:color="auto"/>
        <w:right w:val="none" w:sz="0" w:space="0" w:color="auto"/>
      </w:divBdr>
      <w:divsChild>
        <w:div w:id="9263445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453932">
          <w:marLeft w:val="0"/>
          <w:marRight w:val="0"/>
          <w:marTop w:val="0"/>
          <w:marBottom w:val="0"/>
          <w:divBdr>
            <w:top w:val="none" w:sz="0" w:space="0" w:color="auto"/>
            <w:left w:val="none" w:sz="0" w:space="0" w:color="auto"/>
            <w:bottom w:val="none" w:sz="0" w:space="0" w:color="auto"/>
            <w:right w:val="none" w:sz="0" w:space="0" w:color="auto"/>
          </w:divBdr>
          <w:divsChild>
            <w:div w:id="10688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64176">
      <w:bodyDiv w:val="1"/>
      <w:marLeft w:val="0"/>
      <w:marRight w:val="0"/>
      <w:marTop w:val="0"/>
      <w:marBottom w:val="0"/>
      <w:divBdr>
        <w:top w:val="none" w:sz="0" w:space="0" w:color="auto"/>
        <w:left w:val="none" w:sz="0" w:space="0" w:color="auto"/>
        <w:bottom w:val="none" w:sz="0" w:space="0" w:color="auto"/>
        <w:right w:val="none" w:sz="0" w:space="0" w:color="auto"/>
      </w:divBdr>
    </w:div>
    <w:div w:id="1812207138">
      <w:bodyDiv w:val="1"/>
      <w:marLeft w:val="0"/>
      <w:marRight w:val="0"/>
      <w:marTop w:val="0"/>
      <w:marBottom w:val="0"/>
      <w:divBdr>
        <w:top w:val="none" w:sz="0" w:space="0" w:color="auto"/>
        <w:left w:val="none" w:sz="0" w:space="0" w:color="auto"/>
        <w:bottom w:val="none" w:sz="0" w:space="0" w:color="auto"/>
        <w:right w:val="none" w:sz="0" w:space="0" w:color="auto"/>
      </w:divBdr>
    </w:div>
    <w:div w:id="2111706196">
      <w:bodyDiv w:val="1"/>
      <w:marLeft w:val="0"/>
      <w:marRight w:val="0"/>
      <w:marTop w:val="0"/>
      <w:marBottom w:val="0"/>
      <w:divBdr>
        <w:top w:val="none" w:sz="0" w:space="0" w:color="auto"/>
        <w:left w:val="none" w:sz="0" w:space="0" w:color="auto"/>
        <w:bottom w:val="none" w:sz="0" w:space="0" w:color="auto"/>
        <w:right w:val="none" w:sz="0" w:space="0" w:color="auto"/>
      </w:divBdr>
      <w:divsChild>
        <w:div w:id="1271930565">
          <w:marLeft w:val="0"/>
          <w:marRight w:val="0"/>
          <w:marTop w:val="0"/>
          <w:marBottom w:val="0"/>
          <w:divBdr>
            <w:top w:val="none" w:sz="0" w:space="0" w:color="auto"/>
            <w:left w:val="none" w:sz="0" w:space="0" w:color="auto"/>
            <w:bottom w:val="none" w:sz="0" w:space="0" w:color="auto"/>
            <w:right w:val="none" w:sz="0" w:space="0" w:color="auto"/>
          </w:divBdr>
          <w:divsChild>
            <w:div w:id="11622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thapan.sms@vistas.ac.in" TargetMode="External"/><Relationship Id="rId5" Type="http://schemas.openxmlformats.org/officeDocument/2006/relationships/hyperlink" Target="mailto:lakshmipriyatb199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6882</Words>
  <Characters>39228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Lakshmi Priya</cp:lastModifiedBy>
  <cp:revision>2</cp:revision>
  <dcterms:created xsi:type="dcterms:W3CDTF">2026-07-08T07:06:00Z</dcterms:created>
  <dcterms:modified xsi:type="dcterms:W3CDTF">2026-07-08T07:06:00Z</dcterms:modified>
</cp:coreProperties>
</file>