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DB5B5" w14:textId="77777777" w:rsidR="001A47FF" w:rsidRPr="00C934C3" w:rsidRDefault="001A47FF" w:rsidP="00037BC9">
      <w:pPr>
        <w:ind w:right="-28"/>
        <w:outlineLvl w:val="0"/>
        <w:rPr>
          <w:b/>
          <w:lang w:val="en-US"/>
        </w:rPr>
      </w:pPr>
    </w:p>
    <w:p w14:paraId="5BC4B85C" w14:textId="77777777" w:rsidR="00C934C3" w:rsidRPr="00CC3719" w:rsidRDefault="00C934C3" w:rsidP="00CC3719">
      <w:pPr>
        <w:jc w:val="center"/>
        <w:rPr>
          <w:b/>
          <w:bCs/>
          <w:color w:val="000000" w:themeColor="text1"/>
          <w:sz w:val="36"/>
          <w:szCs w:val="36"/>
        </w:rPr>
      </w:pPr>
      <w:r w:rsidRPr="00CC3719">
        <w:rPr>
          <w:b/>
          <w:bCs/>
          <w:color w:val="000000" w:themeColor="text1"/>
          <w:sz w:val="36"/>
          <w:szCs w:val="36"/>
        </w:rPr>
        <w:t>Design and Development of a Standards-Based Holistic Electronic Health Record Application for Integrated Hospital Clinical Workflows</w:t>
      </w:r>
    </w:p>
    <w:p w14:paraId="761697A6" w14:textId="77777777" w:rsidR="00C934C3" w:rsidRPr="00C934C3" w:rsidRDefault="00C934C3" w:rsidP="00C934C3">
      <w:pPr>
        <w:ind w:right="-46"/>
        <w:jc w:val="both"/>
        <w:rPr>
          <w:b/>
          <w:color w:val="000000" w:themeColor="text1"/>
          <w:lang w:val="en-US"/>
        </w:rPr>
      </w:pPr>
    </w:p>
    <w:p w14:paraId="2E4DFD40" w14:textId="77777777" w:rsidR="00C934C3" w:rsidRPr="00C934C3" w:rsidRDefault="00C934C3" w:rsidP="00C934C3">
      <w:pPr>
        <w:ind w:right="-46"/>
        <w:jc w:val="both"/>
        <w:rPr>
          <w:b/>
          <w:bCs/>
          <w:lang w:val="hr-HR"/>
        </w:rPr>
      </w:pPr>
    </w:p>
    <w:p w14:paraId="15BBDB9B" w14:textId="18140CD4" w:rsidR="00C934C3" w:rsidRPr="00C934C3" w:rsidRDefault="00C934C3" w:rsidP="00CC3719">
      <w:pPr>
        <w:ind w:right="-46"/>
        <w:jc w:val="center"/>
        <w:rPr>
          <w:b/>
          <w:color w:val="000000" w:themeColor="text1"/>
          <w:lang w:val="en-US"/>
        </w:rPr>
      </w:pPr>
      <w:proofErr w:type="spellStart"/>
      <w:r w:rsidRPr="00C934C3">
        <w:rPr>
          <w:b/>
          <w:bCs/>
          <w:lang w:val="hr-HR"/>
        </w:rPr>
        <w:t/>
      </w:r>
      <w:proofErr w:type="spellEnd"/>
      <w:r w:rsidRPr="00C934C3">
        <w:rPr>
          <w:b/>
          <w:bCs/>
          <w:lang w:val="hr-HR"/>
        </w:rPr>
        <w:t xml:space="preserve"/>
      </w:r>
      <w:proofErr w:type="spellStart"/>
      <w:r w:rsidRPr="00C934C3">
        <w:rPr>
          <w:b/>
          <w:bCs/>
          <w:lang w:val="hr-HR"/>
        </w:rPr>
        <w:t/>
      </w:r>
      <w:r w:rsidR="00CC3719">
        <w:rPr>
          <w:b/>
          <w:bCs/>
          <w:lang w:val="hr-HR"/>
        </w:rPr>
        <w:t/>
      </w:r>
      <w:proofErr w:type="spellEnd"/>
      <w:r w:rsidR="00CC3719" w:rsidRPr="00CC3719">
        <w:rPr>
          <w:b/>
          <w:color w:val="000000" w:themeColor="text1"/>
          <w:vertAlign w:val="superscript"/>
          <w:lang w:val="en-US"/>
        </w:rPr>
        <w:t/>
      </w:r>
      <w:r w:rsidR="00CC3719">
        <w:rPr>
          <w:b/>
          <w:bCs/>
          <w:lang w:val="hr-HR"/>
        </w:rPr>
        <w:t xml:space="preserve"/>
      </w:r>
      <w:r w:rsidRPr="00C934C3">
        <w:rPr>
          <w:b/>
          <w:lang w:val="en-US"/>
        </w:rPr>
        <w:t xml:space="preserve"/>
      </w:r>
      <w:proofErr w:type="spellStart"/>
      <w:r w:rsidRPr="00C934C3">
        <w:rPr>
          <w:b/>
          <w:lang w:val="en-US"/>
        </w:rPr>
        <w:t/>
      </w:r>
      <w:proofErr w:type="spellEnd"/>
      <w:r w:rsidRPr="00C934C3">
        <w:rPr>
          <w:b/>
          <w:lang w:val="en-US"/>
        </w:rPr>
        <w:t xml:space="preserve"/>
      </w:r>
      <w:proofErr w:type="spellStart"/>
      <w:r w:rsidRPr="00C934C3">
        <w:rPr>
          <w:b/>
          <w:lang w:val="en-US"/>
        </w:rPr>
        <w:t/>
      </w:r>
      <w:r w:rsidRPr="00CC3719">
        <w:rPr>
          <w:b/>
          <w:color w:val="000000" w:themeColor="text1"/>
          <w:vertAlign w:val="superscript"/>
          <w:lang w:val="en-US"/>
        </w:rPr>
        <w:t/>
      </w:r>
      <w:proofErr w:type="spellEnd"/>
      <w:r w:rsidR="00CC3719">
        <w:rPr>
          <w:b/>
          <w:bCs/>
          <w:lang w:val="hr-HR"/>
        </w:rPr>
        <w:t xml:space="preserve"/>
      </w:r>
      <w:proofErr w:type="spellStart"/>
      <w:r w:rsidR="00CC3719">
        <w:rPr>
          <w:b/>
          <w:bCs/>
          <w:lang w:val="hr-HR"/>
        </w:rPr>
        <w:t/>
      </w:r>
      <w:r w:rsidRPr="00C934C3">
        <w:rPr>
          <w:b/>
          <w:bCs/>
          <w:lang w:val="hr-HR"/>
        </w:rPr>
        <w:t/>
      </w:r>
      <w:proofErr w:type="spellEnd"/>
      <w:r w:rsidRPr="00C934C3">
        <w:rPr>
          <w:b/>
          <w:bCs/>
          <w:lang w:val="hr-HR"/>
        </w:rPr>
        <w:t xml:space="preserve"/>
      </w:r>
      <w:proofErr w:type="spellStart"/>
      <w:r w:rsidRPr="00C934C3">
        <w:rPr>
          <w:b/>
          <w:bCs/>
          <w:lang w:val="hr-HR"/>
        </w:rPr>
        <w:t/>
      </w:r>
      <w:proofErr w:type="spellEnd"/>
      <w:r w:rsidRPr="00CC3719">
        <w:rPr>
          <w:bCs/>
          <w:color w:val="000000" w:themeColor="text1"/>
          <w:vertAlign w:val="superscript"/>
          <w:lang w:val="en-US"/>
        </w:rPr>
        <w:t/>
      </w:r>
    </w:p>
    <w:p w14:paraId="7BAE74EB" w14:textId="77777777" w:rsidR="00C934C3" w:rsidRPr="00C934C3" w:rsidRDefault="00C934C3" w:rsidP="00CC3719">
      <w:pPr>
        <w:ind w:right="-46"/>
        <w:jc w:val="center"/>
        <w:rPr>
          <w:b/>
          <w:color w:val="000000" w:themeColor="text1"/>
          <w:lang w:val="en-US"/>
        </w:rPr>
      </w:pPr>
    </w:p>
    <w:p w14:paraId="7A9F9F1F" w14:textId="77777777" w:rsidR="00C934C3" w:rsidRPr="00C934C3" w:rsidRDefault="00C934C3" w:rsidP="00CC3719">
      <w:pPr>
        <w:jc w:val="center"/>
        <w:rPr>
          <w:color w:val="000000" w:themeColor="text1"/>
        </w:rPr>
      </w:pPr>
      <w:proofErr w:type="spellStart"/>
      <w:r w:rsidRPr="00CC3719">
        <w:rPr>
          <w:color w:val="000000" w:themeColor="text1"/>
          <w:vertAlign w:val="superscript"/>
        </w:rPr>
        <w:t/>
      </w:r>
      <w:r w:rsidRPr="00C934C3">
        <w:rPr>
          <w:color w:val="000000"/>
        </w:rPr>
        <w:t/>
      </w:r>
      <w:proofErr w:type="spellEnd"/>
      <w:r w:rsidRPr="00C934C3">
        <w:rPr>
          <w:color w:val="000000"/>
        </w:rPr>
        <w:t xml:space="preserve"/>
      </w:r>
      <w:r w:rsidRPr="00C934C3">
        <w:rPr>
          <w:color w:val="000000" w:themeColor="text1"/>
        </w:rPr>
        <w:t xml:space="preserve"/>
      </w:r>
      <w:proofErr w:type="spellStart"/>
      <w:r w:rsidRPr="00C934C3">
        <w:rPr>
          <w:color w:val="000000" w:themeColor="text1"/>
        </w:rPr>
        <w:t/>
      </w:r>
      <w:proofErr w:type="spellEnd"/>
      <w:r w:rsidRPr="00C934C3">
        <w:rPr>
          <w:color w:val="000000" w:themeColor="text1"/>
        </w:rPr>
        <w:t xml:space="preserve"/>
      </w:r>
    </w:p>
    <w:p w14:paraId="58A874C0" w14:textId="77777777" w:rsidR="00C934C3" w:rsidRPr="00C934C3" w:rsidRDefault="00C934C3" w:rsidP="00CC3719">
      <w:pPr>
        <w:jc w:val="center"/>
        <w:rPr>
          <w:color w:val="000000" w:themeColor="text1"/>
        </w:rPr>
      </w:pPr>
      <w:proofErr w:type="spellStart"/>
      <w:r w:rsidRPr="00CC3719">
        <w:rPr>
          <w:color w:val="000000" w:themeColor="text1"/>
          <w:vertAlign w:val="superscript"/>
        </w:rPr>
        <w:t/>
      </w:r>
      <w:r w:rsidRPr="00C934C3">
        <w:rPr>
          <w:color w:val="000000" w:themeColor="text1"/>
        </w:rPr>
        <w:t/>
      </w:r>
      <w:proofErr w:type="spellEnd"/>
      <w:r w:rsidRPr="00C934C3">
        <w:rPr>
          <w:color w:val="000000" w:themeColor="text1"/>
        </w:rPr>
        <w:t xml:space="preserve"/>
      </w:r>
      <w:proofErr w:type="spellStart"/>
      <w:r w:rsidRPr="00C934C3">
        <w:rPr>
          <w:color w:val="000000" w:themeColor="text1"/>
        </w:rPr>
        <w:t/>
      </w:r>
      <w:proofErr w:type="spellEnd"/>
      <w:r w:rsidRPr="00C934C3">
        <w:rPr>
          <w:color w:val="000000" w:themeColor="text1"/>
        </w:rPr>
        <w:t xml:space="preserve"/>
      </w:r>
    </w:p>
    <w:p w14:paraId="7555E0D7" w14:textId="77777777" w:rsidR="00C934C3" w:rsidRPr="00C934C3" w:rsidRDefault="00C934C3" w:rsidP="00C934C3">
      <w:pPr>
        <w:ind w:right="-46"/>
        <w:jc w:val="both"/>
        <w:rPr>
          <w:b/>
          <w:color w:val="000000" w:themeColor="text1"/>
          <w:lang w:val="en-US"/>
        </w:rPr>
      </w:pPr>
    </w:p>
    <w:p w14:paraId="1889D3DC" w14:textId="6694CBA8" w:rsidR="00C934C3" w:rsidRPr="00C934C3" w:rsidRDefault="00C934C3" w:rsidP="00C934C3">
      <w:pPr>
        <w:ind w:right="-46"/>
        <w:jc w:val="both"/>
        <w:rPr>
          <w:bCs/>
          <w:lang w:val="en-US" w:eastAsia="es-MX"/>
        </w:rPr>
      </w:pPr>
      <w:r w:rsidRPr="00C934C3">
        <w:rPr>
          <w:b/>
          <w:color w:val="000000" w:themeColor="text1"/>
          <w:lang w:val="en-US"/>
        </w:rPr>
        <w:t/>
      </w:r>
      <w:r w:rsidRPr="00C934C3">
        <w:rPr>
          <w:color w:val="000000" w:themeColor="text1"/>
          <w:lang w:val="en-US"/>
        </w:rPr>
        <w:t xml:space="preserve"/>
      </w:r>
      <w:r w:rsidRPr="00C934C3">
        <w:t/>
      </w:r>
    </w:p>
    <w:p w14:paraId="7A916BDF" w14:textId="77777777" w:rsidR="00C934C3" w:rsidRPr="00C934C3" w:rsidRDefault="00C934C3" w:rsidP="00C934C3">
      <w:pPr>
        <w:pStyle w:val="Heading4"/>
        <w:rPr>
          <w:b w:val="0"/>
          <w:bCs w:val="0"/>
          <w:sz w:val="24"/>
          <w:szCs w:val="24"/>
        </w:rPr>
      </w:pPr>
      <w:r w:rsidRPr="00C934C3">
        <w:rPr>
          <w:sz w:val="24"/>
          <w:szCs w:val="24"/>
        </w:rPr>
        <w:t xml:space="preserve"/>
      </w:r>
      <w:r w:rsidRPr="00C934C3">
        <w:rPr>
          <w:b w:val="0"/>
          <w:bCs w:val="0"/>
          <w:sz w:val="24"/>
          <w:szCs w:val="24"/>
        </w:rPr>
        <w:t/>
      </w:r>
    </w:p>
    <w:p w14:paraId="4EEC3B9C" w14:textId="543CD3E4" w:rsidR="00911E5C" w:rsidRDefault="00911E5C" w:rsidP="00911E5C">
      <w:pPr>
        <w:pStyle w:val="ListParagraph"/>
        <w:spacing w:after="0" w:line="240" w:lineRule="auto"/>
        <w:ind w:left="284" w:right="-28"/>
        <w:jc w:val="left"/>
        <w:outlineLvl w:val="0"/>
        <w:rPr>
          <w:rFonts w:ascii="Times New Roman" w:hAnsi="Times New Roman"/>
          <w:b/>
          <w:sz w:val="24"/>
          <w:szCs w:val="24"/>
          <w:lang w:val="en-US"/>
        </w:rPr>
      </w:pPr>
    </w:p>
    <w:p w14:paraId="3C99B87B" w14:textId="70471AAD" w:rsidR="00CC3719" w:rsidRDefault="00CC3719" w:rsidP="00911E5C">
      <w:pPr>
        <w:pStyle w:val="ListParagraph"/>
        <w:spacing w:after="0" w:line="240" w:lineRule="auto"/>
        <w:ind w:left="284" w:right="-28"/>
        <w:jc w:val="left"/>
        <w:outlineLvl w:val="0"/>
        <w:rPr>
          <w:rFonts w:ascii="Times New Roman" w:hAnsi="Times New Roman"/>
          <w:b/>
          <w:sz w:val="24"/>
          <w:szCs w:val="24"/>
          <w:lang w:val="en-US"/>
        </w:rPr>
      </w:pPr>
    </w:p>
    <w:p w14:paraId="72D75070" w14:textId="77777777" w:rsidR="00CC3719" w:rsidRPr="00C934C3" w:rsidRDefault="00CC3719" w:rsidP="00911E5C">
      <w:pPr>
        <w:pStyle w:val="ListParagraph"/>
        <w:spacing w:after="0" w:line="240" w:lineRule="auto"/>
        <w:ind w:left="284" w:right="-28"/>
        <w:jc w:val="left"/>
        <w:outlineLvl w:val="0"/>
        <w:rPr>
          <w:rFonts w:ascii="Times New Roman" w:hAnsi="Times New Roman"/>
          <w:b/>
          <w:sz w:val="24"/>
          <w:szCs w:val="24"/>
          <w:lang w:val="en-US"/>
        </w:rPr>
      </w:pPr>
    </w:p>
    <w:p w14:paraId="2E919E0A" w14:textId="17FAD7FE" w:rsidR="00911E5C" w:rsidRDefault="00911E5C" w:rsidP="00911E5C">
      <w:pPr>
        <w:pStyle w:val="ListParagraph"/>
        <w:spacing w:after="0" w:line="240" w:lineRule="auto"/>
        <w:ind w:left="284" w:right="-28"/>
        <w:jc w:val="left"/>
        <w:outlineLvl w:val="0"/>
        <w:rPr>
          <w:rFonts w:ascii="Times New Roman" w:hAnsi="Times New Roman"/>
          <w:b/>
          <w:sz w:val="24"/>
          <w:szCs w:val="24"/>
          <w:lang w:val="en-US"/>
        </w:rPr>
      </w:pPr>
    </w:p>
    <w:p w14:paraId="0D3CE14D" w14:textId="77777777" w:rsidR="00C959FD" w:rsidRPr="00C934C3" w:rsidRDefault="00C959FD" w:rsidP="00911E5C">
      <w:pPr>
        <w:pStyle w:val="ListParagraph"/>
        <w:spacing w:after="0" w:line="240" w:lineRule="auto"/>
        <w:ind w:left="284" w:right="-28"/>
        <w:jc w:val="left"/>
        <w:outlineLvl w:val="0"/>
        <w:rPr>
          <w:rFonts w:ascii="Times New Roman" w:hAnsi="Times New Roman"/>
          <w:b/>
          <w:sz w:val="24"/>
          <w:szCs w:val="24"/>
          <w:lang w:val="en-US"/>
        </w:rPr>
      </w:pPr>
    </w:p>
    <w:p w14:paraId="75F37E68" w14:textId="08952036" w:rsidR="00380062" w:rsidRDefault="00CC3719" w:rsidP="00CC3719">
      <w:pPr>
        <w:ind w:right="-28"/>
        <w:outlineLvl w:val="0"/>
        <w:rPr>
          <w:b/>
          <w:lang w:val="en-US"/>
        </w:rPr>
      </w:pPr>
      <w:r>
        <w:rPr>
          <w:b/>
          <w:lang w:val="en-US"/>
        </w:rPr>
        <w:lastRenderedPageBreak/>
        <w:t>INTRODUCTION</w:t>
      </w:r>
    </w:p>
    <w:p w14:paraId="5C015F8D" w14:textId="77777777" w:rsidR="00CC3719" w:rsidRPr="00CC3719" w:rsidRDefault="00CC3719" w:rsidP="00CC3719">
      <w:pPr>
        <w:ind w:right="-28"/>
        <w:outlineLvl w:val="0"/>
        <w:rPr>
          <w:b/>
          <w:lang w:val="en-US"/>
        </w:rPr>
      </w:pPr>
    </w:p>
    <w:p w14:paraId="19454762" w14:textId="067FBF24" w:rsidR="00380062" w:rsidRPr="00C934C3" w:rsidRDefault="00380062" w:rsidP="00CC3719">
      <w:pPr>
        <w:spacing w:before="80"/>
        <w:jc w:val="both"/>
        <w:rPr>
          <w:color w:val="000000" w:themeColor="text1"/>
        </w:rPr>
      </w:pPr>
      <w:r w:rsidRPr="00C934C3">
        <w:t>Recent developments in technology have impacted the digitalization of health data and facilitated the adoption of electronic health record (EHR) application, which have become mandatory in some countries</w:t>
      </w:r>
      <w:r w:rsidR="00F6526C">
        <w:t xml:space="preserve"> </w:t>
      </w:r>
      <w:r w:rsidRPr="00C934C3">
        <w:t xml:space="preserve"> </w:t>
      </w:r>
      <w:r w:rsidRPr="00C934C3">
        <w:fldChar w:fldCharType="begin" w:fldLock="1"/>
      </w:r>
      <w:r w:rsidR="00DC5CE9">
        <w:instrText>ADDIN CSL_CITATION {"citationItems":[{"id":"ITEM-1","itemData":{"DOI":"10.7759/cureus.5649","abstract":"Implementing an electronic health record (EHR) can be a difficult task to take on and planning the process is of utmost importance to minimize errors. Evaluating the selection criteria and implementation plan of an EHR system, intending interoperability, confidentiality, availability, and integrity of the patient health information data, while ensuring timely, accurate, and regulatory compliant generation of reports is a critical task. This article discusses the selection and implementation plan that will primarily consist of assessing existing institutional workflows for each department, and it outlines the necessities and inclinations of the institution to include in the EHR system for the organization to function properly. Resources and tools are included to assist in the selection of the product as well as ideas on how to train staff and evaluate staff readiness. Regulatory requirements are also included for consideration during the initial process. EHR increases the logistic productivity of workflows and offers a safer way to care for patients. To ensure efficiency, there is a series of steps the provider's staff must follow to ensure proper implementation and handling of the EHR system. Before using the implemented EHR, it is recommended to have a testing protocol in place to ensure areas of possible staff confusion are identified and controlled. Using a proper implementation strategy for a new EHR system can facilitate success, minimize delays, and increase health care worker's satisfaction and decrease the chances of usability being compromised.","author":[{"dropping-particle":"","family":"Aguirre","given":"Roboam R","non-dropping-particle":"","parse-names":false,"suffix":""},{"dropping-particle":"","family":"Suarez","given":"Orlando","non-dropping-particle":"","parse-names":false,"suffix":""},{"dropping-particle":"","family":"Fuentes","given":"Mailenys","non-dropping-particle":"","parse-names":false,"suffix":""},{"dropping-particle":"","family":"Sanchez-Gonzalez","given":"Marcos A","non-dropping-particle":"","parse-names":false,"suffix":""}],"container-title":"Cureus","id":"ITEM-1","issue":"9","issued":{"date-parts":[["2019"]]},"title":"Electronic Health Record Implementation: A Review of Resources and Tools","type":"article-journal","volume":"11"},"uris":["http://www.mendeley.com/documents/?uuid=379d55e5-2978-44fb-ad61-2e105e47a3dc"]}],"mendeley":{"formattedCitation":"[1]","plainTextFormattedCitation":"[1]","previouslyFormattedCitation":"(Aguirre et al., 2019)"},"properties":{"noteIndex":0},"schema":"https://github.com/citation-style-language/schema/raw/master/csl-citation.json"}</w:instrText>
      </w:r>
      <w:r w:rsidRPr="00C934C3">
        <w:fldChar w:fldCharType="separate"/>
      </w:r>
      <w:r w:rsidR="00DC5CE9" w:rsidRPr="00DC5CE9">
        <w:rPr>
          <w:noProof/>
        </w:rPr>
        <w:t>[1]</w:t>
      </w:r>
      <w:r w:rsidRPr="00C934C3">
        <w:fldChar w:fldCharType="end"/>
      </w:r>
      <w:r w:rsidR="00F6526C">
        <w:t xml:space="preserve"> </w:t>
      </w:r>
      <w:r w:rsidRPr="00C934C3">
        <w:t xml:space="preserve">. A modern EHRS is not simply a digitized paper chart, rather, it is a digital application that can actively interact with providers and patients and is composed of a series of data fields that lend themselves to analysis, processing, and reporting to support communication, appropriate clinical interventions, quality improvement, and patient safety </w:t>
      </w:r>
      <w:r w:rsidRPr="00C934C3">
        <w:fldChar w:fldCharType="begin" w:fldLock="1"/>
      </w:r>
      <w:r w:rsidR="00DC5CE9">
        <w:instrText>ADDIN CSL_CITATION {"citationItems":[{"id":"ITEM-1","itemData":{"DOI":"10.1590/1413-81232020254.28922019","ISSN":"16784561","PMID":"32267432","abstract":"Electronic medical records have been touted as a solution to many of the shortcomings of health care systems. The aim of this essay is to review pertinent literature and present examples and recommendations from several decades of experience in the use of medical records in primary health care, in ways that can help primary care doctors to organize their work processes to improve patient care. Considerable problems have been noted to result from a lack of interoperabili-ty and standardization of interfaces among these systems, impairing the effective collaboration and information exchange in the care of complex pa-tients. It is extremely important that regional and national health policies be established to assure standardization and interoperability of systems. Lack of interoperability contributes to the frag-mentation of the information environment. The electronic medical record (EMR) is a disruptive technology that can revolutionize the way we care for patients. The EMR has been shown to improve quality and reliability in the delivery of healthcare services when appropriately implemented. Care-ful attention to the impact of the EMR on clinical workflows, in order to take full advantage of the potential of the EMR to improve patient care, is the key lesson from our experience in the deploy-ment and use of these systems.","author":[{"dropping-particle":"","family":"Janett","given":"Robert S.","non-dropping-particle":"","parse-names":false,"suffix":""},{"dropping-particle":"","family":"Yeracaris","given":"Peter Pano","non-dropping-particle":"","parse-names":false,"suffix":""}],"container-title":"Ciencia e Saude Coletiva","id":"ITEM-1","issue":"4","issued":{"date-parts":[["2020"]]},"page":"1293-1304","title":"Electronic medical records in the american health system: Challenges and lessons learned","type":"article-journal","volume":"25"},"uris":["http://www.mendeley.com/documents/?uuid=60ca0b5a-ed50-42ca-ab41-906f3a5672e0"]}],"mendeley":{"formattedCitation":"[2]","plainTextFormattedCitation":"[2]","previouslyFormattedCitation":"(Janett &amp; Yeracaris, 2020)"},"properties":{"noteIndex":0},"schema":"https://github.com/citation-style-language/schema/raw/master/csl-citation.json"}</w:instrText>
      </w:r>
      <w:r w:rsidRPr="00C934C3">
        <w:fldChar w:fldCharType="separate"/>
      </w:r>
      <w:r w:rsidR="00DC5CE9" w:rsidRPr="00DC5CE9">
        <w:rPr>
          <w:noProof/>
        </w:rPr>
        <w:t>[2]</w:t>
      </w:r>
      <w:r w:rsidRPr="00C934C3">
        <w:fldChar w:fldCharType="end"/>
      </w:r>
      <w:r w:rsidRPr="00C934C3">
        <w:t xml:space="preserve">. </w:t>
      </w:r>
      <w:r w:rsidRPr="00C934C3">
        <w:rPr>
          <w:color w:val="000000" w:themeColor="text1"/>
        </w:rPr>
        <w:t xml:space="preserve">EHR emerged as a result of the rapid development of Internet technology and the advancement of medical information, gradually replacing the complicated hand-written medical records, which has become an indispensable part of the hospital. EHR is generated in the clinical treatment process. It refers to the digital medical record based on the application of the medical information system and the comprehensive information of medical records based on the corresponding pictures, texts, forms, images, data and data </w:t>
      </w:r>
      <w:r w:rsidRPr="00C934C3">
        <w:rPr>
          <w:color w:val="000000" w:themeColor="text1"/>
        </w:rPr>
        <w:fldChar w:fldCharType="begin" w:fldLock="1"/>
      </w:r>
      <w:r w:rsidR="00DC5CE9">
        <w:rPr>
          <w:color w:val="000000" w:themeColor="text1"/>
        </w:rPr>
        <w:instrText>ADDIN CSL_CITATION {"citationItems":[{"id":"ITEM-1","itemData":{"DOI":"10.1016/j.jiph.2019.07.013","ISSN":"1876035X","PMID":"31431422","abstract":"In order to meet the ever-increasing needs of health care, as well as helping patients who need continuous care after being discharged from the hospital and making modern medical technology better serve humans, the design of electronic medical records for continuous care patients, especially those with malignant tumors, is investigated. In the research process, the idea of Browser/Server (B/S) framework is adopted, and the corresponding electronic medical record system is designed based on the targets and the overall structure of the system; afterward, the black-box testing and white-box testing are carried out to test the functions, reliability, and stability of the designed electronic medical record system; in addition, combined with other research results, the feasibility of the design is proved. It can be seen that the electronic medical record system designed for patients who need continuous care in the study is absolutely feasible, which can be further researched and improved with the development of electronic medical records; therefore, it would make greater contributions to both patients and hospitals in the future.","author":[{"dropping-particle":"","family":"He","given":"Xiaolan","non-dropping-particle":"","parse-names":false,"suffix":""},{"dropping-particle":"","family":"Cai","given":"Lei","non-dropping-particle":"","parse-names":false,"suffix":""},{"dropping-particle":"","family":"Huang","given":"Shiju","non-dropping-particle":"","parse-names":false,"suffix":""},{"dropping-particle":"","family":"Ma","given":"Xiaoju","non-dropping-particle":"","parse-names":false,"suffix":""},{"dropping-particle":"","family":"Zhou","given":"Xueling","non-dropping-particle":"","parse-names":false,"suffix":""}],"container-title":"Journal of Infection and Public Health","id":"ITEM-1","issue":"1","issued":{"date-parts":[["2021"]]},"page":"117-122","publisher":"King Saud Bin Abdulaziz University for Health Sciences","title":"The design of electronic medical records for patients of continuous care","type":"article-journal","volume":"14"},"uris":["http://www.mendeley.com/documents/?uuid=f12c4ad0-574f-46dc-96f8-d9fcca84cb10"]}],"mendeley":{"formattedCitation":"[3]","plainTextFormattedCitation":"[3]","previouslyFormattedCitation":"(He et al., 2021)"},"properties":{"noteIndex":0},"schema":"https://github.com/citation-style-language/schema/raw/master/csl-citation.json"}</w:instrText>
      </w:r>
      <w:r w:rsidRPr="00C934C3">
        <w:rPr>
          <w:color w:val="000000" w:themeColor="text1"/>
        </w:rPr>
        <w:fldChar w:fldCharType="separate"/>
      </w:r>
      <w:r w:rsidR="00DC5CE9" w:rsidRPr="00DC5CE9">
        <w:rPr>
          <w:noProof/>
          <w:color w:val="000000" w:themeColor="text1"/>
        </w:rPr>
        <w:t>[3]</w:t>
      </w:r>
      <w:r w:rsidRPr="00C934C3">
        <w:rPr>
          <w:color w:val="000000" w:themeColor="text1"/>
        </w:rPr>
        <w:fldChar w:fldCharType="end"/>
      </w:r>
      <w:r w:rsidRPr="00C934C3">
        <w:rPr>
          <w:color w:val="000000" w:themeColor="text1"/>
        </w:rPr>
        <w:t xml:space="preserve">. </w:t>
      </w:r>
    </w:p>
    <w:p w14:paraId="01D1D678" w14:textId="77777777" w:rsidR="00CC3719" w:rsidRDefault="00CC3719" w:rsidP="00CC3719">
      <w:pPr>
        <w:spacing w:before="80"/>
        <w:jc w:val="both"/>
        <w:rPr>
          <w:rFonts w:ascii="Calibri" w:hAnsi="Calibri" w:cs="Calibri"/>
          <w:color w:val="000000" w:themeColor="text1"/>
        </w:rPr>
      </w:pPr>
    </w:p>
    <w:p w14:paraId="799311CC" w14:textId="79CA604C" w:rsidR="00380062" w:rsidRPr="00C934C3" w:rsidRDefault="00E914EB" w:rsidP="00CC3719">
      <w:pPr>
        <w:spacing w:before="80"/>
        <w:jc w:val="both"/>
        <w:rPr>
          <w:color w:val="000000" w:themeColor="text1"/>
        </w:rPr>
      </w:pPr>
      <w:r w:rsidRPr="00C934C3">
        <w:rPr>
          <w:color w:val="000000" w:themeColor="text1"/>
        </w:rPr>
        <w:t xml:space="preserve">Large-scale collection and use of medical information for the development of artificial intelligence machines is actively underway in various countries. </w:t>
      </w:r>
      <w:r w:rsidR="00380062" w:rsidRPr="00C934C3">
        <w:rPr>
          <w:color w:val="000000" w:themeColor="text1"/>
        </w:rPr>
        <w:t xml:space="preserve">In Japan, collection systems have been built to collect data for medical image analysis and disease repositories. Technically, a large-scale medical information collection system is essentially used to standardize electronic medical data for immediate use upon collection </w:t>
      </w:r>
      <w:r w:rsidR="00380062" w:rsidRPr="00C934C3">
        <w:rPr>
          <w:color w:val="000000" w:themeColor="text1"/>
        </w:rPr>
        <w:fldChar w:fldCharType="begin" w:fldLock="1"/>
      </w:r>
      <w:r w:rsidR="00DC5CE9">
        <w:rPr>
          <w:color w:val="000000" w:themeColor="text1"/>
        </w:rPr>
        <w:instrText>ADDIN CSL_CITATION {"citationItems":[{"id":"ITEM-1","itemData":{"DOI":"10.3233/SHTI220062","ISBN":"9781643682648","ISSN":"18798365","PMID":"35673001","abstract":"The collection and use of large-scale medical information for developing artificial intelligence engines are actively ongoing. In Japan, collection systems have been built to collect data for medical image analysis and disease repositories. In the experimental project for the next generation medical infrastructure law, a centrally integrated basic system was developed, and standardized electronic medical record (EMR) storage data distributed to each hospital were transferred into one data center and imported to a database for secondary use. The law requires a mechanism for maintaining a list of notified or opted-out patients. To operate these systems, safe and efficient secondary use of collected information is essential not just for the law but also for large-scale data collection projects, such as multifacility clinical research. This paper considers whole-somely, requirements for providing medical care information to data collection projects and proposes additional requirements for a gateway system under development.","author":[{"dropping-particle":"","family":"Tanaka","given":"Katsuya","non-dropping-particle":"","parse-names":false,"suffix":""},{"dropping-particle":"","family":"Mukai","given":"Masami","non-dropping-particle":"","parse-names":false,"suffix":""},{"dropping-particle":"","family":"Yamamoto","given":"Ryuichi","non-dropping-particle":"","parse-names":false,"suffix":""},{"dropping-particle":"","family":"Mihara","given":"Naoki","non-dropping-particle":"","parse-names":false,"suffix":""}],"container-title":"Studies in Health Technology and Informatics","id":"ITEM-1","issued":{"date-parts":[["2022"]]},"page":"205-209","title":"Data-Sharing Gateway System Design for Large-Scale Medical Information Collection with Distributed EMR Storage","type":"article-journal","volume":"290"},"uris":["http://www.mendeley.com/documents/?uuid=658721b4-3f3a-4897-a90c-19c24844a96d"]}],"mendeley":{"formattedCitation":"[5]","plainTextFormattedCitation":"[5]","previouslyFormattedCitation":"(Tanaka et al., 2022)"},"properties":{"noteIndex":0},"schema":"https://github.com/citation-style-language/schema/raw/master/csl-citation.json"}</w:instrText>
      </w:r>
      <w:r w:rsidR="00380062" w:rsidRPr="00C934C3">
        <w:rPr>
          <w:color w:val="000000" w:themeColor="text1"/>
        </w:rPr>
        <w:fldChar w:fldCharType="separate"/>
      </w:r>
      <w:r w:rsidR="00DC5CE9" w:rsidRPr="00DC5CE9">
        <w:rPr>
          <w:noProof/>
          <w:color w:val="000000" w:themeColor="text1"/>
        </w:rPr>
        <w:t>[5]</w:t>
      </w:r>
      <w:r w:rsidR="00380062" w:rsidRPr="00C934C3">
        <w:rPr>
          <w:color w:val="000000" w:themeColor="text1"/>
        </w:rPr>
        <w:fldChar w:fldCharType="end"/>
      </w:r>
      <w:r w:rsidR="00380062" w:rsidRPr="00C934C3">
        <w:rPr>
          <w:color w:val="000000" w:themeColor="text1"/>
        </w:rPr>
        <w:t>.</w:t>
      </w:r>
      <w:r w:rsidRPr="00C934C3">
        <w:rPr>
          <w:color w:val="000000" w:themeColor="text1"/>
        </w:rPr>
        <w:t xml:space="preserve"> </w:t>
      </w:r>
      <w:r w:rsidR="00380062" w:rsidRPr="00C934C3">
        <w:rPr>
          <w:color w:val="000000" w:themeColor="text1"/>
        </w:rPr>
        <w:t xml:space="preserve">In Iran, the development of an Integrated Care Electronic Health Record (ICEHR or EHR) and the approach adopted by Ministry of Health have paved the way for the creation of a standardized set of Application Programming Interfaces (APIs) based on </w:t>
      </w:r>
      <w:proofErr w:type="spellStart"/>
      <w:r w:rsidR="00380062" w:rsidRPr="00C934C3">
        <w:rPr>
          <w:color w:val="000000" w:themeColor="text1"/>
        </w:rPr>
        <w:t>openEHR</w:t>
      </w:r>
      <w:proofErr w:type="spellEnd"/>
      <w:r w:rsidR="00380062" w:rsidRPr="00C934C3">
        <w:rPr>
          <w:color w:val="000000" w:themeColor="text1"/>
        </w:rPr>
        <w:t xml:space="preserve"> and ISO13606 standards. </w:t>
      </w:r>
      <w:r w:rsidR="00380062" w:rsidRPr="00C934C3">
        <w:rPr>
          <w:color w:val="000000" w:themeColor="text1"/>
        </w:rPr>
        <w:fldChar w:fldCharType="begin" w:fldLock="1"/>
      </w:r>
      <w:r w:rsidR="00DC5CE9">
        <w:rPr>
          <w:color w:val="000000" w:themeColor="text1"/>
        </w:rPr>
        <w:instrText>ADDIN CSL_CITATION {"citationItems":[{"id":"ITEM-1","itemData":{"DOI":"10.3233/SHTI240077","ISBN":"9781643685182","ISSN":"18798365","PMID":"38785020","abstract":"The implementation of an Electronic Prescribing (EP) system offers numerous advantages in enhancing the efficiency of prescribing practices. To ensure successful implementation, a comprehensive understanding of the workflow in paper-based prescribing is crucial. In Iran, the Ministry of Health, and Medical Education (MOHME) has been actively involved in developing an EP system since 2011. The pilot results within MOHME have garnered significant support from all basic insurance organizations, primarily due to the importance of addressing financial considerations. As a result, these insurance organizations have taken the lead in the national development of the EP system, as responsibilities have shifted. The development of an Integrated Care Electronic Health Record (ICEHR or EHR) and the approach adopted by MOHME have paved the way for the creation of a standardized set of Application Programming Interfaces (APIs) based on openEHR and ISO13606 standards. These APIs facilitate the secure transfer of consolidated data from the EP systems, stored in the data warehouses of basic insurance organizations, to the Iranian EHR. This model follows an ICEHR architecture that emphasizes the transmission of this information to the Iranian EHR. This paper provides a detailed discussion of the various aspects and accomplishments related to these developments.","author":[{"dropping-particle":"","family":"Abedian","given":"Somayeh","non-dropping-particle":"","parse-names":false,"suffix":""},{"dropping-particle":"","family":"Biglarkhani","given":"Amin","non-dropping-particle":"","parse-names":false,"suffix":""},{"dropping-particle":"","family":"Azami Ghadikolaei","given":"Ali","non-dropping-particle":"","parse-names":false,"suffix":""},{"dropping-particle":"","family":"Barahmand","given":"Mohsen","non-dropping-particle":"","parse-names":false,"suffix":""}],"container-title":"Studies in Health Technology and Informatics","id":"ITEM-1","issued":{"date-parts":[["2024"]]},"page":"139-143","title":"Development and Implementation of an Integrated Standard e-Prescription Model in Alignment with Iranian National EHR","type":"article-journal","volume":"314"},"uris":["http://www.mendeley.com/documents/?uuid=97f2f076-bee3-4b3c-ab1b-c36190d0e077"]}],"mendeley":{"formattedCitation":"[6]","plainTextFormattedCitation":"[6]","previouslyFormattedCitation":"(Abedian et al., 2024)"},"properties":{"noteIndex":0},"schema":"https://github.com/citation-style-language/schema/raw/master/csl-citation.json"}</w:instrText>
      </w:r>
      <w:r w:rsidR="00380062" w:rsidRPr="00C934C3">
        <w:rPr>
          <w:color w:val="000000" w:themeColor="text1"/>
        </w:rPr>
        <w:fldChar w:fldCharType="separate"/>
      </w:r>
      <w:r w:rsidR="00DC5CE9" w:rsidRPr="00DC5CE9">
        <w:rPr>
          <w:noProof/>
          <w:color w:val="000000" w:themeColor="text1"/>
        </w:rPr>
        <w:t>[6]</w:t>
      </w:r>
      <w:r w:rsidR="00380062" w:rsidRPr="00C934C3">
        <w:rPr>
          <w:color w:val="000000" w:themeColor="text1"/>
        </w:rPr>
        <w:fldChar w:fldCharType="end"/>
      </w:r>
      <w:r w:rsidR="00380062" w:rsidRPr="00C934C3">
        <w:rPr>
          <w:color w:val="000000" w:themeColor="text1"/>
        </w:rPr>
        <w:t xml:space="preserve">. The development of a patient summary application that summarizes and visualizes patient information collected by existing systems and evaluated in common use cases in Japan is also a form of development of current EHR features. Efficient sharing of the minimum patient information required by doctors is expected to reduce information overload, workload and fatigue </w:t>
      </w:r>
      <w:r w:rsidR="00380062" w:rsidRPr="00C934C3">
        <w:rPr>
          <w:color w:val="000000" w:themeColor="text1"/>
        </w:rPr>
        <w:fldChar w:fldCharType="begin" w:fldLock="1"/>
      </w:r>
      <w:r w:rsidR="00DC5CE9">
        <w:rPr>
          <w:color w:val="000000" w:themeColor="text1"/>
        </w:rPr>
        <w:instrText>ADDIN CSL_CITATION {"citationItems":[{"id":"ITEM-1","itemData":{"DOI":"10.1007/s10916-023-01993-6","ISBN":"1091602301","ISSN":"1573689X","PMID":"37740823","abstract":"Background: The application of standardized patient summaries would reduce the risk of information overload and related problems for physicians and nurses. Although the International Patient Summary (IPS) standard has been developed, disseminating its applications has challenges, including data conversion of existing systems and development of application matching with common use cases in Japan. This study aimed to develop a patient summary application that summarizes and visualizes patient information accumulated by existing systems. Methods: We converted clinical data from the Standardized Structured Medical Information eXchange version 2 (SS-MIX2) storage at Tohoku University Hospital into the Health Level 7 Fast Healthcare Interoperability Resource (FHIR) repository. Subsequently, we implemented a patient summary web application concerning the IPS and evaluated 12 common use cases of the discharge summary. Results: The FHIR resources of seven of the necessary IPS sections were successfully converted from existing SS-MIX2 data. In the main view of the application we developed, all the minimum necessary patient information was summarized and visualized. All types of mandatory or required sections in the IPS and all structured information items of the discharge summary were displayed. Of the discharge summary, 75% of sections and 61.7% of information items were completely displayed, matching 12 common use cases in Japan. Conclusions: We implemented a patient summary application that summarizes and visualizes patient information accumulated by existing systems and is evaluated in common use cases in Japan. Efficient sharing of the minimum necessary patient information for physicians is expected to reduce information overload, workload, and burnout.","author":[{"dropping-particle":"","family":"Song","given":"Chong","non-dropping-particle":"","parse-names":false,"suffix":""},{"dropping-particle":"","family":"Nakayama","given":"Masaharu","non-dropping-particle":"","parse-names":false,"suffix":""}],"container-title":"Journal of Medical Systems","id":"ITEM-1","issue":"1","issued":{"date-parts":[["2023"]]},"title":"Implementation of a Patient Summary Web Application According to the International Patient Summary and Validation in Common Use Cases in Japan","type":"article-journal","volume":"47"},"uris":["http://www.mendeley.com/documents/?uuid=d3775737-93a5-461c-9d27-c6ca56475450"]}],"mendeley":{"formattedCitation":"[7]","plainTextFormattedCitation":"[7]","previouslyFormattedCitation":"(Song &amp; Nakayama, 2023)"},"properties":{"noteIndex":0},"schema":"https://github.com/citation-style-language/schema/raw/master/csl-citation.json"}</w:instrText>
      </w:r>
      <w:r w:rsidR="00380062" w:rsidRPr="00C934C3">
        <w:rPr>
          <w:color w:val="000000" w:themeColor="text1"/>
        </w:rPr>
        <w:fldChar w:fldCharType="separate"/>
      </w:r>
      <w:r w:rsidR="00DC5CE9" w:rsidRPr="00DC5CE9">
        <w:rPr>
          <w:noProof/>
          <w:color w:val="000000" w:themeColor="text1"/>
        </w:rPr>
        <w:t>[7]</w:t>
      </w:r>
      <w:r w:rsidR="00380062" w:rsidRPr="00C934C3">
        <w:rPr>
          <w:color w:val="000000" w:themeColor="text1"/>
        </w:rPr>
        <w:fldChar w:fldCharType="end"/>
      </w:r>
      <w:r w:rsidR="00380062" w:rsidRPr="00C934C3">
        <w:rPr>
          <w:color w:val="000000" w:themeColor="text1"/>
        </w:rPr>
        <w:t xml:space="preserve">. Specific in Tuberculosis (TB) disease, TB EHR system is also developed to collect patient information thus reducing data incompleteness and low accuracy and eventually improving </w:t>
      </w:r>
      <w:proofErr w:type="spellStart"/>
      <w:r w:rsidR="00380062" w:rsidRPr="00C934C3">
        <w:rPr>
          <w:color w:val="000000" w:themeColor="text1"/>
        </w:rPr>
        <w:t>patients’care</w:t>
      </w:r>
      <w:proofErr w:type="spellEnd"/>
      <w:r w:rsidR="00380062" w:rsidRPr="00C934C3">
        <w:rPr>
          <w:color w:val="000000" w:themeColor="text1"/>
        </w:rPr>
        <w:t xml:space="preserve"> in Angola </w:t>
      </w:r>
      <w:r w:rsidR="00380062" w:rsidRPr="00C934C3">
        <w:rPr>
          <w:color w:val="000000" w:themeColor="text1"/>
        </w:rPr>
        <w:fldChar w:fldCharType="begin" w:fldLock="1"/>
      </w:r>
      <w:r w:rsidR="00DC5CE9">
        <w:rPr>
          <w:color w:val="000000" w:themeColor="text1"/>
        </w:rPr>
        <w:instrText>ADDIN CSL_CITATION {"citationItems":[{"id":"ITEM-1","itemData":{"DOI":"10.3389/fpubh.2022.745928","ISSN":"22962565","PMID":"35433613","abstract":"TB Programs should promote the use of digital health platforms, like Electronic Medical Records (EMR) to collect patients' information, thus reducing data incompleteness and low accuracy and eventually improving patients' care. Nevertheless, the potential of digital health systems remains largely unexploited in low-resource settings. Angola is one of the 14 countries with a triple burden of TB, TB/HIV and MDR-TB (multidrug-resistant TB) and it is among the three countries, together with Congo and Liberia that have never completed a drug-resistance survey so far. The Sanatorium Hospital of Luanda and the Tuberculosis Dispensary of Luanda are the two reference health facilities in Luanda dealing with most of the TB cases, and they both rely entirely on paper-based data collection. The aim of this paper is to describe a three-stage process for the development of a TB EMR system in these two health facilities of Luanda and to share the lessons learned. The description is focused on the activities that took place from March 2019 to January 2020. Main lessons learned were identified in the importance of engaging all the stakeholders in the development process, in the mainstream of the “think digital” transition, in the promotion of a monitoring and evaluation (M&amp;E) culture and in the planning of the system's sustainability. This approach may be replicated in similar contexts where the development of a TB EMR system is sought, and the lessons learned could assist and facilitate the programming of the interventions.","author":[{"dropping-particle":"","family":"Robbiati","given":"Claudia","non-dropping-particle":"","parse-names":false,"suffix":""},{"dropping-particle":"","family":"Tosti","given":"Maria Elena","non-dropping-particle":"","parse-names":false,"suffix":""},{"dropping-particle":"","family":"Mezzabotta","given":"Giampaolo","non-dropping-particle":"","parse-names":false,"suffix":""},{"dropping-particle":"","family":"Dal Maso","given":"Francesca","non-dropping-particle":"","parse-names":false,"suffix":""},{"dropping-particle":"","family":"Lulua Sachicola","given":"Ofélia M.","non-dropping-particle":"","parse-names":false,"suffix":""},{"dropping-particle":"","family":"Siene Tienabe","given":"Paulo","non-dropping-particle":"","parse-names":false,"suffix":""},{"dropping-particle":"","family":"Nsuka","given":"Joseph","non-dropping-particle":"","parse-names":false,"suffix":""},{"dropping-particle":"","family":"Simonelli","given":"Marco","non-dropping-particle":"","parse-names":false,"suffix":""},{"dropping-particle":"","family":"Dente","given":"Maria Grazia","non-dropping-particle":"","parse-names":false,"suffix":""},{"dropping-particle":"","family":"Putoto","given":"Giovanni","non-dropping-particle":"","parse-names":false,"suffix":""}],"container-title":"Frontiers in Public Health","id":"ITEM-1","issue":"March","issued":{"date-parts":[["2022"]]},"page":"1-8","title":"Improving TB Surveillance and Patients' Quality of Care Through Improved Data Collection in Angola: Development of an Electronic Medical Record System in Two Health Facilities of Luanda","type":"article-journal","volume":"10"},"uris":["http://www.mendeley.com/documents/?uuid=738939b5-7624-4b42-9103-2aa1d93b858b"]}],"mendeley":{"formattedCitation":"[8]","plainTextFormattedCitation":"[8]","previouslyFormattedCitation":"(Robbiati et al., 2022)"},"properties":{"noteIndex":0},"schema":"https://github.com/citation-style-language/schema/raw/master/csl-citation.json"}</w:instrText>
      </w:r>
      <w:r w:rsidR="00380062" w:rsidRPr="00C934C3">
        <w:rPr>
          <w:color w:val="000000" w:themeColor="text1"/>
        </w:rPr>
        <w:fldChar w:fldCharType="separate"/>
      </w:r>
      <w:r w:rsidR="00DC5CE9" w:rsidRPr="00DC5CE9">
        <w:rPr>
          <w:noProof/>
          <w:color w:val="000000" w:themeColor="text1"/>
        </w:rPr>
        <w:t>[8]</w:t>
      </w:r>
      <w:r w:rsidR="00380062" w:rsidRPr="00C934C3">
        <w:rPr>
          <w:color w:val="000000" w:themeColor="text1"/>
        </w:rPr>
        <w:fldChar w:fldCharType="end"/>
      </w:r>
      <w:r w:rsidR="00380062" w:rsidRPr="00C934C3">
        <w:rPr>
          <w:color w:val="000000" w:themeColor="text1"/>
        </w:rPr>
        <w:t xml:space="preserve">. </w:t>
      </w:r>
    </w:p>
    <w:p w14:paraId="07F665CF" w14:textId="77777777" w:rsidR="00CC3719" w:rsidRDefault="00CC3719" w:rsidP="00CC3719">
      <w:pPr>
        <w:spacing w:before="80"/>
        <w:jc w:val="both"/>
        <w:rPr>
          <w:color w:val="000000" w:themeColor="text1"/>
        </w:rPr>
      </w:pPr>
    </w:p>
    <w:p w14:paraId="1A1EBFC4" w14:textId="0AD4A17B" w:rsidR="00380062" w:rsidRPr="00C934C3" w:rsidRDefault="00380062" w:rsidP="00CC3719">
      <w:pPr>
        <w:spacing w:before="80"/>
        <w:jc w:val="both"/>
        <w:rPr>
          <w:color w:val="000000" w:themeColor="text1"/>
        </w:rPr>
      </w:pPr>
      <w:r w:rsidRPr="00C934C3">
        <w:rPr>
          <w:color w:val="000000" w:themeColor="text1"/>
        </w:rPr>
        <w:t xml:space="preserve">Developing an </w:t>
      </w:r>
      <w:proofErr w:type="spellStart"/>
      <w:r w:rsidRPr="00C934C3">
        <w:rPr>
          <w:color w:val="000000" w:themeColor="text1"/>
        </w:rPr>
        <w:t>anesthesia</w:t>
      </w:r>
      <w:proofErr w:type="spellEnd"/>
      <w:r w:rsidRPr="00C934C3">
        <w:rPr>
          <w:color w:val="000000" w:themeColor="text1"/>
        </w:rPr>
        <w:t xml:space="preserve"> module in the operating room is one of the significant steps toward the implementation of EHR in health care </w:t>
      </w:r>
      <w:proofErr w:type="spellStart"/>
      <w:r w:rsidRPr="00C934C3">
        <w:rPr>
          <w:color w:val="000000" w:themeColor="text1"/>
        </w:rPr>
        <w:t>centers</w:t>
      </w:r>
      <w:proofErr w:type="spellEnd"/>
      <w:r w:rsidRPr="00C934C3">
        <w:rPr>
          <w:color w:val="000000" w:themeColor="text1"/>
        </w:rPr>
        <w:t xml:space="preserve"> </w:t>
      </w:r>
      <w:r w:rsidRPr="00C934C3">
        <w:rPr>
          <w:color w:val="000000" w:themeColor="text1"/>
        </w:rPr>
        <w:fldChar w:fldCharType="begin" w:fldLock="1"/>
      </w:r>
      <w:r w:rsidR="00DC5CE9">
        <w:rPr>
          <w:color w:val="000000" w:themeColor="text1"/>
        </w:rPr>
        <w:instrText>ADDIN CSL_CITATION {"citationItems":[{"id":"ITEM-1","itemData":{"DOI":"10.5812/aapm.44132","ISSN":"22287531","PMID":"28824861","abstract":"Background: Caesarean section, also known as C-section, is a very common procedure in the world. Minimum data set (MDS) is defined as a set of data elements holding information regarding a series of target entities to provide a basis for planning, management, and performance evaluation. MDS has found a great use in health care information systems. Also, it can be considered as a basis for medical information management and has shown a great potential for contributing to the provision of high quality care and disease control measures. Objectives: The principal aim of this research was to determine MDS and required capabilities for Anesthesia information management system (AIMS) in C-section in Iran. Methods: Data items collected from several selected AIMS were studied to establish an initial set of data. The population of this study composed of 115 anesthesiologists was asked to review the proposed data elements and score them in order of importance by using a five-point Likert scale. The items scored as important or highly important by at least 75% of the experts were included in the final list of minimum data set. Results: Overall 8 classes of data (consisted of 81 key data elements) were determined as final set. Also, the most important required capabilities were related to airway management and hypertension and hypotension management. Conclusions: In the development of information system (IS) based on MDS and identification, because of the broad involvement of users, IS capabilities must focus on the users’ needs to form a successful system. Therefore, it is essential to assess MDS watchfully by considering the planned uses of data. Also, IS should have essential capabilities to meet the needs of its users.","author":[{"dropping-particle":"","family":"Sheykhotayefeh","given":"Mostafa","non-dropping-particle":"","parse-names":false,"suffix":""},{"dropping-particle":"","family":"Safdari","given":"Reza","non-dropping-particle":"","parse-names":false,"suffix":""},{"dropping-particle":"","family":"Ghazisaeedi","given":"Marjan","non-dropping-particle":"","parse-names":false,"suffix":""},{"dropping-particle":"","family":"Khademi","given":"Seyed Hossein","non-dropping-particle":"","parse-names":false,"suffix":""},{"dropping-particle":"","family":"Farajolah","given":"Seyedeh Sedigheh Seyed","non-dropping-particle":"","parse-names":false,"suffix":""},{"dropping-particle":"","family":"Maserat","given":"Elham","non-dropping-particle":"","parse-names":false,"suffix":""},{"dropping-particle":"","family":"Jebraeily","given":"Mohamad","non-dropping-particle":"","parse-names":false,"suffix":""},{"dropping-particle":"","family":"Torabi","given":"Vahid","non-dropping-particle":"","parse-names":false,"suffix":""}],"container-title":"Anesthesiology and Pain Medicine","id":"ITEM-1","issue":"2","issued":{"date-parts":[["2017"]]},"title":"Development of a Minimum Data Set (MDS) for C-section Anesthesia Information Management System (AIMS)","type":"article-journal","volume":"7"},"uris":["http://www.mendeley.com/documents/?uuid=bc0ee9eb-68ce-4b5e-8d12-39e29fe55014"]}],"mendeley":{"formattedCitation":"[9]","plainTextFormattedCitation":"[9]","previouslyFormattedCitation":"(Sheykhotayefeh et al., 2017)"},"properties":{"noteIndex":0},"schema":"https://github.com/citation-style-language/schema/raw/master/csl-citation.json"}</w:instrText>
      </w:r>
      <w:r w:rsidRPr="00C934C3">
        <w:rPr>
          <w:color w:val="000000" w:themeColor="text1"/>
        </w:rPr>
        <w:fldChar w:fldCharType="separate"/>
      </w:r>
      <w:r w:rsidR="00DC5CE9" w:rsidRPr="00DC5CE9">
        <w:rPr>
          <w:noProof/>
          <w:color w:val="000000" w:themeColor="text1"/>
        </w:rPr>
        <w:t>[9]</w:t>
      </w:r>
      <w:r w:rsidRPr="00C934C3">
        <w:rPr>
          <w:color w:val="000000" w:themeColor="text1"/>
        </w:rPr>
        <w:fldChar w:fldCharType="end"/>
      </w:r>
      <w:r w:rsidRPr="00C934C3">
        <w:rPr>
          <w:color w:val="000000" w:themeColor="text1"/>
        </w:rPr>
        <w:t xml:space="preserve">. </w:t>
      </w:r>
      <w:proofErr w:type="spellStart"/>
      <w:r w:rsidRPr="00C934C3">
        <w:rPr>
          <w:color w:val="000000" w:themeColor="text1"/>
        </w:rPr>
        <w:t>Anesthesia</w:t>
      </w:r>
      <w:proofErr w:type="spellEnd"/>
      <w:r w:rsidRPr="00C934C3">
        <w:rPr>
          <w:color w:val="000000" w:themeColor="text1"/>
        </w:rPr>
        <w:t xml:space="preserve"> module can manage a patient’s </w:t>
      </w:r>
      <w:proofErr w:type="spellStart"/>
      <w:r w:rsidRPr="00C934C3">
        <w:rPr>
          <w:color w:val="000000" w:themeColor="text1"/>
        </w:rPr>
        <w:t>anesthesia</w:t>
      </w:r>
      <w:proofErr w:type="spellEnd"/>
      <w:r w:rsidRPr="00C934C3">
        <w:rPr>
          <w:color w:val="000000" w:themeColor="text1"/>
        </w:rPr>
        <w:t xml:space="preserve"> information by recording procedures, physiological changes, key events, and drug prescriptions that occur during the pre-intra and post-operative period </w:t>
      </w:r>
      <w:r w:rsidRPr="00C934C3">
        <w:rPr>
          <w:color w:val="000000" w:themeColor="text1"/>
        </w:rPr>
        <w:fldChar w:fldCharType="begin" w:fldLock="1"/>
      </w:r>
      <w:r w:rsidR="00DC5CE9">
        <w:rPr>
          <w:color w:val="000000" w:themeColor="text1"/>
        </w:rPr>
        <w:instrText>ADDIN CSL_CITATION {"citationItems":[{"id":"ITEM-1","itemData":{"DOI":"10.1186/s12871-023-02335-2","ISSN":"14712253","PMID":"37978350","abstract":"Developing an anesthesia module in the operating room is one of the significant steps toward the implementation of electronic medical records (EMR) in health care centers. This study aimed to develop and evaluate the web based-anesthesia module of an electronic medical record Sciences, in the operating room of the Namazi Medical Training Center of Shiraz University of Medical Iran. This developmental and applied study was conducted in steps including determining the functional and non-functional requirements, designing and implementing the anesthesia module, and usability evaluation. 3 anesthesiologists, 3 anesthesiologist assistants, and 12 anesthetist nurses were included in the study as a research community. React.js, Node.js programming language to program this module, Mongo dB database, and Windows server for data management and USE standard questionnaire were used. In the anesthesia module, software quality features were determined as functional requirements and non-functional requirements included 286 data elements in 25 categories (demographic information, surgery information, laboratory results, patient graphs, consults, consent letter, physical examinations, medication history, family disease records, social record, past medical history, type of anesthesia, anesthesia induction method, airway management, monitoring, anesthesia chart, blood and fluids, blood gases, tourniquets and warmers, accessories, positions, neuromuscular reversal, transfer the patient from the operating room, complications of anesthesia and, seal/ signature). Also, after implementing the anesthesia module, results of the usability evaluation showed that 69.1% of the users agreed with the use of this module in the operating room and considered it user-friendly.","author":[{"dropping-particle":"","family":"Jokar","given":"Marjan","non-dropping-particle":"","parse-names":false,"suffix":""},{"dropping-particle":"","family":"Sahmeddini","given":"Mohammad Ali","non-dropping-particle":"","parse-names":false,"suffix":""},{"dropping-particle":"","family":"Zand","given":"Farid","non-dropping-particle":"","parse-names":false,"suffix":""},{"dropping-particle":"","family":"Rezaee","given":"Rita","non-dropping-particle":"","parse-names":false,"suffix":""},{"dropping-particle":"","family":"Bashiri","given":"Azadeh","non-dropping-particle":"","parse-names":false,"suffix":""}],"container-title":"BMC Anesthesiology","id":"ITEM-1","issue":"1","issued":{"date-parts":[["2023"]]},"page":"1-11","publisher":"BioMed Central","title":"Development and evaluation of an anesthesia module for electronic medical records in the operating room: an applied developmental study","type":"article-journal","volume":"23"},"uris":["http://www.mendeley.com/documents/?uuid=cad38647-9489-472c-83ea-74e4e3912418"]}],"mendeley":{"formattedCitation":"[10]","plainTextFormattedCitation":"[10]","previouslyFormattedCitation":"(Jokar et al., 2023)"},"properties":{"noteIndex":0},"schema":"https://github.com/citation-style-language/schema/raw/master/csl-citation.json"}</w:instrText>
      </w:r>
      <w:r w:rsidRPr="00C934C3">
        <w:rPr>
          <w:color w:val="000000" w:themeColor="text1"/>
        </w:rPr>
        <w:fldChar w:fldCharType="separate"/>
      </w:r>
      <w:r w:rsidR="00DC5CE9" w:rsidRPr="00DC5CE9">
        <w:rPr>
          <w:noProof/>
          <w:color w:val="000000" w:themeColor="text1"/>
        </w:rPr>
        <w:t>[10]</w:t>
      </w:r>
      <w:r w:rsidRPr="00C934C3">
        <w:rPr>
          <w:color w:val="000000" w:themeColor="text1"/>
        </w:rPr>
        <w:fldChar w:fldCharType="end"/>
      </w:r>
      <w:r w:rsidRPr="00C934C3">
        <w:rPr>
          <w:color w:val="000000" w:themeColor="text1"/>
        </w:rPr>
        <w:t xml:space="preserve">. </w:t>
      </w:r>
      <w:r w:rsidRPr="00C934C3">
        <w:rPr>
          <w:rFonts w:ascii="Calibri" w:hAnsi="Calibri" w:cs="Calibri"/>
          <w:color w:val="000000" w:themeColor="text1"/>
        </w:rPr>
        <w:t>﻿</w:t>
      </w:r>
      <w:r w:rsidRPr="00C934C3">
        <w:rPr>
          <w:color w:val="000000" w:themeColor="text1"/>
        </w:rPr>
        <w:t xml:space="preserve">Utilization of EHR is used to aid the early detection of diabetes by develop an interoperable EHR that uses of Machine Learning (ML) algorithms. A decision support system developed using many ML algorithms results in optimizing the decision in preventive care in the health information system </w:t>
      </w:r>
      <w:r w:rsidRPr="00C934C3">
        <w:rPr>
          <w:color w:val="000000" w:themeColor="text1"/>
        </w:rPr>
        <w:fldChar w:fldCharType="begin" w:fldLock="1"/>
      </w:r>
      <w:r w:rsidR="00DC5CE9">
        <w:rPr>
          <w:color w:val="000000" w:themeColor="text1"/>
        </w:rPr>
        <w:instrText>ADDIN CSL_CITATION {"citationItems":[{"id":"ITEM-1","itemData":{"DOI":"10.2174/18750362-v16-e230906-2023-15","ISSN":"1875-0362","abstract":"Aims: This research work aims to develop an interoperable electronic health record (EHR) system to aid the early detection of diabetes by the use of Machine Learning (ML) algorithms. A decision support system developed using many ML algorithms results in optimizing the decision in preventive care in the health information system. Methods: The proposed system consisted of two models. The first model included interoperable EHR system development using a precise database structure. The second module comprised of data extraction from the EHR system, data cleaning, and data processing and prediction. For testing and training, about 1080 patients’ health record was considered. Among 1080, 1000 records were from the Kaggle dataset, and 80 records were demographic information from patients who visited our health center of Siddaganga organization for a regular checkup or during emergencies. The demographic information was collected from the proposed EHR system. Results: The proposed system was tested for the interoperability nature of the EHR system and accuracy in diabetic disease prediction using the proposed decision support system. The proposed EHR system development was tested for interoperability by random updations from various systems maintained in the laboratory. Each system acted like the admin system of different hospitals. The EHR system was tested for handling the load and interoperability by considering user view status, system matching with the real world, consistency in data updations, security etc. However, in the prediction phase, diabetes prediction was concentrated. The features considered were not randomly chosen; however, the features were those prescribed by a doctor who insisted that the features were sufficient for initial prediction. The reports collected from the doctors revealed several features they considered before giving the test details. The proposed system dataset was split into test and train datasets with eight proper features taken as input and one set as a target variable where the result was present. After this, the model was imported using standard “sklearn” libraries, and it fit with the required number of estimators, that is, the number of decision trees. The features included pregnancies, glucose level, blood pressure, skin thickness, insulin level, bone marrow index, diabetic pedigree function, age, weight, etc. At the outset, the research work concentrated on developing an interoperable EHR system, identifying the exp…","author":[{"dropping-particle":"","family":"G","given":"Jagadamba","non-dropping-particle":"","parse-names":false,"suffix":""},{"dropping-particle":"","family":"R","given":"Shashidhar","non-dropping-particle":"","parse-names":false,"suffix":""},{"dropping-particle":"","family":"H L","given":"Gururaj","non-dropping-particle":"","parse-names":false,"suffix":""},{"dropping-particle":"","family":"Ravi","given":"Vinayakumar","non-dropping-particle":"","parse-names":false,"suffix":""},{"dropping-particle":"","family":"Almeshari","given":"Meshari","non-dropping-particle":"","parse-names":false,"suffix":""},{"dropping-particle":"","family":"Alzamil","given":"Yasser","non-dropping-particle":"","parse-names":false,"suffix":""}],"container-title":"The Open Bioinformatics Journal","id":"ITEM-1","issue":"1","issued":{"date-parts":[["2023"]]},"page":"1-18","title":"Electronic Health Record (EHR) System Development for Study on EHR Data-based Early Prediction of Diabetes Using Machine Learning Algorithms","type":"article-journal","volume":"16"},"uris":["http://www.mendeley.com/documents/?uuid=5eef9fbd-0cbb-4930-a307-74bf1c51190e"]}],"mendeley":{"formattedCitation":"[11]","plainTextFormattedCitation":"[11]","previouslyFormattedCitation":"(G et al., 2023)"},"properties":{"noteIndex":0},"schema":"https://github.com/citation-style-language/schema/raw/master/csl-citation.json"}</w:instrText>
      </w:r>
      <w:r w:rsidRPr="00C934C3">
        <w:rPr>
          <w:color w:val="000000" w:themeColor="text1"/>
        </w:rPr>
        <w:fldChar w:fldCharType="separate"/>
      </w:r>
      <w:r w:rsidR="00DC5CE9" w:rsidRPr="00DC5CE9">
        <w:rPr>
          <w:noProof/>
          <w:color w:val="000000" w:themeColor="text1"/>
        </w:rPr>
        <w:t>[11]</w:t>
      </w:r>
      <w:r w:rsidRPr="00C934C3">
        <w:rPr>
          <w:color w:val="000000" w:themeColor="text1"/>
        </w:rPr>
        <w:fldChar w:fldCharType="end"/>
      </w:r>
      <w:r w:rsidRPr="00C934C3">
        <w:rPr>
          <w:color w:val="000000" w:themeColor="text1"/>
        </w:rPr>
        <w:t xml:space="preserve">. </w:t>
      </w:r>
    </w:p>
    <w:p w14:paraId="7C3399F2" w14:textId="77777777" w:rsidR="00CC3719" w:rsidRDefault="00CC3719" w:rsidP="00CC3719">
      <w:pPr>
        <w:spacing w:before="80"/>
        <w:jc w:val="both"/>
      </w:pPr>
    </w:p>
    <w:p w14:paraId="28AF7109" w14:textId="2E2DD26E" w:rsidR="00380062" w:rsidRPr="00C934C3" w:rsidRDefault="00380062" w:rsidP="00CC3719">
      <w:pPr>
        <w:spacing w:before="80"/>
        <w:jc w:val="both"/>
        <w:rPr>
          <w:color w:val="000000" w:themeColor="text1"/>
        </w:rPr>
      </w:pPr>
      <w:r w:rsidRPr="00C934C3">
        <w:t xml:space="preserve">The advancement of EHR in pharmaceutical care has progressed substantially, broadening pharmacists’ responsibilities from merely dispensing medications and managing inventory to serving as integral contributors to holistic patient care </w:t>
      </w:r>
      <w:r w:rsidRPr="00C934C3">
        <w:fldChar w:fldCharType="begin" w:fldLock="1"/>
      </w:r>
      <w:r w:rsidR="00DC5CE9">
        <w:instrText>ADDIN CSL_CITATION {"citationItems":[{"id":"ITEM-1","itemData":{"DOI":"10.1007/s11096-022-01517-1","ISSN":"2210-7711","author":[{"dropping-particle":"","family":"Ahmed","given":"Aamna","non-dropping-particle":"","parse-names":false,"suffix":""},{"dropping-particle":"","family":"Guo","given":"Ping","non-dropping-particle":"","parse-names":false,"suffix":""},{"dropping-particle":"","family":"Jalal","given":"Zahraa","non-dropping-particle":"","parse-names":false,"suffix":""}],"container-title":"International Journal of Clinical Pharmacy","id":"ITEM-1","issue":"2","issued":{"date-parts":[["2023"]]},"page":"320-329","publisher":"Springer International Publishing","title":"A systematic review investigating the role and impact of pharmacist interventions in cardiac rehabilitation","type":"article-journal","volume":"45"},"uris":["http://www.mendeley.com/documents/?uuid=977e1d7e-4da8-426a-82a4-f68c88413ce5"]},{"id":"ITEM-2","itemData":{"author":[{"dropping-particle":"","family":"Bakhsh","given":"Husain","non-dropping-particle":"","parse-names":false,"suffix":""}],"id":"ITEM-2","issue":"May","issued":{"date-parts":[["2025"]]},"title":"Impact of Pharmacist Interventions on Health Outcomes of Patients with Type 2 Diabetes Mellitus in the Middle East : A Systematic Review","type":"article-journal"},"uris":["http://www.mendeley.com/documents/?uuid=bdd1e105-dca0-4fa8-aaa1-cbcab1a9d0d9"]},{"id":"ITEM-3","itemData":{"DOI":"10.1111/bcp.15254","author":[{"dropping-particle":"","family":"Lambert","given":"Maarten","non-dropping-particle":"","parse-names":false,"suffix":""},{"dropping-particle":"","family":"Llor","given":"Carl","non-dropping-particle":"","parse-names":false,"suffix":""},{"dropping-particle":"De","family":"Vos","given":"Stijn","non-dropping-particle":"","parse-names":false,"suffix":""},{"dropping-particle":"","family":"Benko","given":"Ria","non-dropping-particle":"","parse-names":false,"suffix":""},{"dropping-particle":"Van","family":"Dijk","given":"Liset","non-dropping-particle":"","parse-names":false,"suffix":""},{"dropping-particle":"","family":"Paget","given":"W John","non-dropping-particle":"","parse-names":false,"suffix":""},{"dropping-particle":"","family":"Briant","given":"Kathryn","non-dropping-particle":"","parse-names":false,"suffix":""},{"dropping-particle":"","family":"Pont","given":"Lisa","non-dropping-particle":"","parse-names":false,"suffix":""}],"id":"ITEM-3","issue":"January","issued":{"date-parts":[["2022"]]},"page":"2617-2641","title":"A systematic literature review and meta-analysis of community pharmacist-led interventions to optimise the use of antibiotics","type":"article-journal"},"uris":["http://www.mendeley.com/documents/?uuid=73dc65c3-96b2-4caa-92b4-bd80b0a6278c"]}],"mendeley":{"formattedCitation":"[12]–[14]","plainTextFormattedCitation":"[12]–[14]","previouslyFormattedCitation":"(Ahmed et al., 2023; Bakhsh, 2025; Lambert et al., 2022)"},"properties":{"noteIndex":0},"schema":"https://github.com/citation-style-language/schema/raw/master/csl-citation.json"}</w:instrText>
      </w:r>
      <w:r w:rsidRPr="00C934C3">
        <w:fldChar w:fldCharType="separate"/>
      </w:r>
      <w:r w:rsidR="00DC5CE9" w:rsidRPr="00DC5CE9">
        <w:rPr>
          <w:noProof/>
        </w:rPr>
        <w:t>[12]–[14]</w:t>
      </w:r>
      <w:r w:rsidRPr="00C934C3">
        <w:fldChar w:fldCharType="end"/>
      </w:r>
      <w:r w:rsidRPr="00C934C3">
        <w:t>. The design and development of a mobile application for drug information and user health data have the potential to enhance equitable access to high-quality pharmaceutical services by providing accessible, reliable, and person-</w:t>
      </w:r>
      <w:proofErr w:type="spellStart"/>
      <w:r w:rsidRPr="00C934C3">
        <w:t>centered</w:t>
      </w:r>
      <w:proofErr w:type="spellEnd"/>
      <w:r w:rsidRPr="00C934C3">
        <w:t xml:space="preserve"> technological solutions </w:t>
      </w:r>
      <w:r w:rsidRPr="00C934C3">
        <w:fldChar w:fldCharType="begin" w:fldLock="1"/>
      </w:r>
      <w:r w:rsidR="00DC5CE9">
        <w:instrText>ADDIN CSL_CITATION {"citationItems":[{"id":"ITEM-1","itemData":{"DOI":"10.1016/j.rcsop.2025.100661","author":[{"dropping-particle":"","family":"Agudelo","given":"Raquel","non-dropping-particle":"","parse-names":false,"suffix":""},{"dropping-particle":"","family":"Granados","given":"Johan","non-dropping-particle":"","parse-names":false,"suffix":""},{"dropping-particle":"","family":"Ceballos","given":"Mauricio","non-dropping-particle":"","parse-names":false,"suffix":""}],"id":"ITEM-1","issue":"September","issued":{"date-parts":[["2025"]]},"title":"Exploratory Research in Clinical and Social Pharmacy Design and development of a mobile application for drug information and other health data for users and patients of pharmacies and outpatient pharmaceutical services","type":"article-journal","volume":"20"},"uris":["http://www.mendeley.com/documents/?uuid=f522b4e8-e13b-4d4b-b183-c79e95be021f"]}],"mendeley":{"formattedCitation":"[4]","plainTextFormattedCitation":"[4]","previouslyFormattedCitation":"(Agudelo et al., 2025)"},"properties":{"noteIndex":0},"schema":"https://github.com/citation-style-language/schema/raw/master/csl-citation.json"}</w:instrText>
      </w:r>
      <w:r w:rsidRPr="00C934C3">
        <w:fldChar w:fldCharType="separate"/>
      </w:r>
      <w:r w:rsidR="00DC5CE9" w:rsidRPr="00DC5CE9">
        <w:rPr>
          <w:noProof/>
        </w:rPr>
        <w:t>[4]</w:t>
      </w:r>
      <w:r w:rsidRPr="00C934C3">
        <w:fldChar w:fldCharType="end"/>
      </w:r>
      <w:r w:rsidRPr="00C934C3">
        <w:t>.</w:t>
      </w:r>
    </w:p>
    <w:p w14:paraId="0FC0A310" w14:textId="77777777" w:rsidR="00CC3719" w:rsidRDefault="00CC3719" w:rsidP="00CC3719">
      <w:pPr>
        <w:spacing w:before="80"/>
        <w:jc w:val="both"/>
        <w:rPr>
          <w:color w:val="000000" w:themeColor="text1"/>
        </w:rPr>
      </w:pPr>
    </w:p>
    <w:p w14:paraId="6D902DE6" w14:textId="27946F55" w:rsidR="00380062" w:rsidRPr="00C934C3" w:rsidRDefault="00380062" w:rsidP="00CC3719">
      <w:pPr>
        <w:spacing w:before="80"/>
        <w:jc w:val="both"/>
        <w:rPr>
          <w:color w:val="000000" w:themeColor="text1"/>
        </w:rPr>
      </w:pPr>
      <w:r w:rsidRPr="00C934C3">
        <w:rPr>
          <w:color w:val="000000" w:themeColor="text1"/>
        </w:rPr>
        <w:lastRenderedPageBreak/>
        <w:t xml:space="preserve">The development of EHR is also implemented in the psychiatrics sector, </w:t>
      </w:r>
      <w:r w:rsidRPr="00C934C3">
        <w:rPr>
          <w:rFonts w:ascii="Calibri" w:hAnsi="Calibri" w:cs="Calibri"/>
          <w:color w:val="000000" w:themeColor="text1"/>
        </w:rPr>
        <w:t>﻿</w:t>
      </w:r>
      <w:r w:rsidRPr="00C934C3">
        <w:rPr>
          <w:color w:val="000000" w:themeColor="text1"/>
        </w:rPr>
        <w:t xml:space="preserve">according to research findings from many countries, mental health application increase health literacy, improve access to health information, and improve health quality </w:t>
      </w:r>
      <w:r w:rsidRPr="00C934C3">
        <w:rPr>
          <w:color w:val="000000" w:themeColor="text1"/>
        </w:rPr>
        <w:fldChar w:fldCharType="begin" w:fldLock="1"/>
      </w:r>
      <w:r w:rsidR="00DC5CE9">
        <w:rPr>
          <w:color w:val="000000" w:themeColor="text1"/>
        </w:rPr>
        <w:instrText>ADDIN CSL_CITATION {"citationItems":[{"id":"ITEM-1","itemData":{"DOI":"10.1016/j.ijmedinf.2024.105628","ISSN":"18728243","abstract":"Background: Mobile health applications have been shown to assist in the treatment of mental illnesses, yet their potential remains underutilized. As supportive care, mental health applications use may be useful tools in improving mental health literacy and treatment outcomes, but patients’ use of and interest in using these apps have not been studied in low-income countries like Ethiopia. This study explores the determinants of patients’ mental health app use interests and app feature preferences. Methods: A cross-sectional study was conducted with 419 outpatient individuals with mental health disorders at Amanuel Mental Specialized Hospital, Ethiopia, between October and November 2023, using a convenience sampling method. Patients’ self-reported mental health app use, interests, attitudes, and app feature preferences were collected. A multivariate logistic regression model was used to identify the associated factors. Results: Overall prevalence of not interested, somewhat interested, interested, and extremely interested in mental health app use was 5.3 %, 16.9 %, 27.7 %, and 50.1 % respectively. The proportion of current mental health apps use was low (21.2 %). Current mental health app use is associated with living in an urban area (AOR = 6.69, CI: 3.19–14) and having a higher education level (4.12 (2.02–8.04). Furthermore, app features such as psychoeducation, symptom tracking, and self-management techniques ranked as the most preferred app features. Conclusions: Most study participants were interested in using mental health apps, but only about one in four were using mental health apps. This suggests promise for their utility in the Ethiopian context. App developers and policymakers should consider rural residents’, lower educational levels, and patient app preferences when developing these applications.","author":[{"dropping-particle":"","family":"Guracho","given":"Yonas Deressa","non-dropping-particle":"","parse-names":false,"suffix":""},{"dropping-particle":"","family":"Thomas","given":"Susan J.","non-dropping-particle":"","parse-names":false,"suffix":""},{"dropping-particle":"","family":"Win","given":"Khin Than","non-dropping-particle":"","parse-names":false,"suffix":""}],"container-title":"International Journal of Medical Informatics","id":"ITEM-1","issue":"September","issued":{"date-parts":[["2024"]]},"page":"105628","publisher":"Elsevier B.V.","title":"Mobile mental health application use, and app feature preferences among individuals with mental disorders in Ethiopia: A cross-sectional survey","type":"article-journal","volume":"192"},"uris":["http://www.mendeley.com/documents/?uuid=b7cb70f8-44f3-4842-9b67-8aee3e6fd5a8"]}],"mendeley":{"formattedCitation":"[15]","plainTextFormattedCitation":"[15]","previouslyFormattedCitation":"(Guracho et al., 2024)"},"properties":{"noteIndex":0},"schema":"https://github.com/citation-style-language/schema/raw/master/csl-citation.json"}</w:instrText>
      </w:r>
      <w:r w:rsidRPr="00C934C3">
        <w:rPr>
          <w:color w:val="000000" w:themeColor="text1"/>
        </w:rPr>
        <w:fldChar w:fldCharType="separate"/>
      </w:r>
      <w:r w:rsidR="00DC5CE9" w:rsidRPr="00DC5CE9">
        <w:rPr>
          <w:noProof/>
          <w:color w:val="000000" w:themeColor="text1"/>
        </w:rPr>
        <w:t>[15]</w:t>
      </w:r>
      <w:r w:rsidRPr="00C934C3">
        <w:rPr>
          <w:color w:val="000000" w:themeColor="text1"/>
        </w:rPr>
        <w:fldChar w:fldCharType="end"/>
      </w:r>
      <w:r w:rsidRPr="00C934C3">
        <w:rPr>
          <w:color w:val="000000" w:themeColor="text1"/>
        </w:rPr>
        <w:t xml:space="preserve">. These mental health apps have also been shown to improve patients’ lives by monitoring symptoms, well- being, sleep quality, and medication adherence </w:t>
      </w:r>
      <w:r w:rsidRPr="00C934C3">
        <w:rPr>
          <w:color w:val="000000" w:themeColor="text1"/>
        </w:rPr>
        <w:fldChar w:fldCharType="begin" w:fldLock="1"/>
      </w:r>
      <w:r w:rsidR="00DC5CE9">
        <w:rPr>
          <w:color w:val="000000" w:themeColor="text1"/>
        </w:rPr>
        <w:instrText>ADDIN CSL_CITATION {"citationItems":[{"id":"ITEM-1","itemData":{"DOI":"10.2196/31170","ISSN":"23687959","abstract":"Background: Among the general public, there appears to be a growing need and interest in receiving digital mental health and well-being support. In response to this, mental health apps (MHapps) are becoming available for monitoring, managing, and promoting positive mental health and well-being. Thus far, evidence supports favorable outcomes when users engage with MHapps, yet there is a relative paucity of reviews on apps that support positive mental health and well-being. Objective: We aimed to systematically review the available research on MHapps that promote emotion regulation, positive mental health, and well-being in the general population aged 18-45 years. More specifically, the review aimed at providing a systematic description of the theoretical background and features of MHapps while evaluating any potential effectiveness. Methods: A comprehensive literature search of key databases, including MEDLINE (via Ovid), EMBASE (via Ovid), PsycINFO (via Ovid), Web of Science, and the Cochrane Register of Controlled Trials (CENTRAL), was performed until January 2021. Studies were included if they described standalone mental health and well-being apps for adults without a formal mental health diagnosis. The quality of all studies was assessed against the Mixed Methods Appraisal Tool. In addition, the Cochrane Risk-of-Bias tool (RoB-2) was used to assess randomized control trials (RCTs). Data were extracted using a modified extraction form from the Cochrane Handbook of Systematic Reviews. A narrative synthesis and meta-analysis were then undertaken to address the review aims. Results: In total, 3156 abstracts were identified. Of these, 52 publications describing 48 MHapps met the inclusion criteria. Together, the studies evaluated interventions across 15 countries. Thirty-nine RCTs were identified suggesting some support for the role of individual MHapps in improving and promoting mental health and well-being. Regarding the pooled effect, MHapps, when compared to controls, showed a small effect for reducing mental health symptoms (k=19, Hedges g=–0.24, 95% CI –0.34 to –0.14; P&lt;.001) and improving well-being (k=13, g=0.17, 95% CI 0.05-0.29, P=.004), and a medium effect for emotion regulation (k=6, g=0.49, 95% CI 0.23-0.74, P&lt;.001). There is also a wide knowledge base of creative and innovative ways to engage users in techniques such as mood monitoring and guided exercises. Studies were generally assessed to contribute unclear or a high risk of bias, or to b…","author":[{"dropping-particle":"","family":"Eisenstadt","given":"Mia","non-dropping-particle":"","parse-names":false,"suffix":""},{"dropping-particle":"","family":"Liverpool","given":"Shaun","non-dropping-particle":"","parse-names":false,"suffix":""},{"dropping-particle":"","family":"Infanti","given":"Elisa","non-dropping-particle":"","parse-names":false,"suffix":""},{"dropping-particle":"","family":"Ciuvat","given":"Roberta Maria","non-dropping-particle":"","parse-names":false,"suffix":""},{"dropping-particle":"","family":"Carlsson","given":"Courtney","non-dropping-particle":"","parse-names":false,"suffix":""}],"container-title":"JMIR Mental Health","id":"ITEM-1","issue":"11","issued":{"date-parts":[["2021"]]},"title":"Mobile apps that promote emotion regulation, positive mental health, and well-being in the general population: Systematic review and meta-analysis","type":"article-journal","volume":"8"},"uris":["http://www.mendeley.com/documents/?uuid=9ffc95b9-dd09-445b-8374-68451e84cdff"]}],"mendeley":{"formattedCitation":"[16]","plainTextFormattedCitation":"[16]","previouslyFormattedCitation":"(Eisenstadt et al., 2021)"},"properties":{"noteIndex":0},"schema":"https://github.com/citation-style-language/schema/raw/master/csl-citation.json"}</w:instrText>
      </w:r>
      <w:r w:rsidRPr="00C934C3">
        <w:rPr>
          <w:color w:val="000000" w:themeColor="text1"/>
        </w:rPr>
        <w:fldChar w:fldCharType="separate"/>
      </w:r>
      <w:r w:rsidR="00DC5CE9" w:rsidRPr="00DC5CE9">
        <w:rPr>
          <w:noProof/>
          <w:color w:val="000000" w:themeColor="text1"/>
        </w:rPr>
        <w:t>[16]</w:t>
      </w:r>
      <w:r w:rsidRPr="00C934C3">
        <w:rPr>
          <w:color w:val="000000" w:themeColor="text1"/>
        </w:rPr>
        <w:fldChar w:fldCharType="end"/>
      </w:r>
      <w:r w:rsidRPr="00C934C3">
        <w:rPr>
          <w:color w:val="000000" w:themeColor="text1"/>
        </w:rPr>
        <w:t xml:space="preserve">. However, those mental health application assist users in managing their mental health when the features are customized to meet their requirements </w:t>
      </w:r>
      <w:r w:rsidRPr="00C934C3">
        <w:rPr>
          <w:color w:val="000000" w:themeColor="text1"/>
        </w:rPr>
        <w:fldChar w:fldCharType="begin" w:fldLock="1"/>
      </w:r>
      <w:r w:rsidR="00DC5CE9">
        <w:rPr>
          <w:color w:val="000000" w:themeColor="text1"/>
        </w:rPr>
        <w:instrText>ADDIN CSL_CITATION {"citationItems":[{"id":"ITEM-1","itemData":{"DOI":"10.2196/40133","ISSN":"22929495","abstract":"Background: Tracking and visualizing health data using mobile apps can be an effective self-management strategy for mental health conditions. However, little evidence is available to guide the design of mental health–tracking mechanisms. Objective: The aim of this study was to analyze the content of user reviews of depression self-management apps to guide the design of data tracking and visualization mechanisms for future apps. Methods: We systematically reviewed depression self-management apps on Google Play and iOS App stores. English-language reviews of eligible apps published between January 1, 2018, and December 31, 2021, were extracted from the app stores. Reviews that referenced health tracking and data visualization were included in sentiment and qualitative framework analyses. Results: The search identified 130 unique apps, 26 (20%) of which were eligible for inclusion. We included 783 reviews in the framework analysis, revealing 3 themes. Impact of app-based mental health tracking described how apps increased reviewers’ self-awareness and ultimately enabled condition self-management. The theme designing impactful mental health–tracking apps described reviewers’ feedback and requests for app features during data reporting, review, and visualization. It also described the desire for customization and contexts that moderated reviewer preference. Finally, implementing impactful mental health–tracking apps described considerations for integrating apps into a larger health ecosystem, as well as the influence of paywalls and technical issues on mental health tracking. Conclusions: App-based mental health tracking supports depression self-management when features align with users’ individual needs and goals. Heterogeneous needs and preferences raise the need for flexibility in app design, posing challenges for app developers. Further research should prioritize the features based on their importance and impact on users.","author":[{"dropping-particle":"","family":"Polhemus","given":"Ashley","non-dropping-particle":"","parse-names":false,"suffix":""},{"dropping-particle":"","family":"Simblett","given":"Sara","non-dropping-particle":"","parse-names":false,"suffix":""},{"dropping-particle":"","family":"Dawe-Lane","given":"Erin","non-dropping-particle":"","parse-names":false,"suffix":""},{"dropping-particle":"","family":"Gilpin","given":"Gina","non-dropping-particle":"","parse-names":false,"suffix":""},{"dropping-particle":"","family":"Elliott","given":"Benjamin","non-dropping-particle":"","parse-names":false,"suffix":""},{"dropping-particle":"","family":"Jilka","given":"Sagar","non-dropping-particle":"","parse-names":false,"suffix":""},{"dropping-particle":"","family":"Novak","given":"Jan","non-dropping-particle":"","parse-names":false,"suffix":""},{"dropping-particle":"","family":"Nica","given":"Raluca Ileana","non-dropping-particle":"","parse-names":false,"suffix":""},{"dropping-particle":"","family":"Temesi","given":"Gergely","non-dropping-particle":"","parse-names":false,"suffix":""},{"dropping-particle":"","family":"Wykes","given":"Til","non-dropping-particle":"","parse-names":false,"suffix":""}],"container-title":"JMIR Human Factors","id":"ITEM-1","issue":"4","issued":{"date-parts":[["2022"]]},"title":"Health Tracking via Mobile Apps for Depression Self-management: Qualitative Content Analysis of User Reviews","type":"article-journal","volume":"9"},"uris":["http://www.mendeley.com/documents/?uuid=c046a72a-1733-47a2-9b63-22307c84e8c0"]}],"mendeley":{"formattedCitation":"[17]","plainTextFormattedCitation":"[17]","previouslyFormattedCitation":"(Polhemus et al., 2022)"},"properties":{"noteIndex":0},"schema":"https://github.com/citation-style-language/schema/raw/master/csl-citation.json"}</w:instrText>
      </w:r>
      <w:r w:rsidRPr="00C934C3">
        <w:rPr>
          <w:color w:val="000000" w:themeColor="text1"/>
        </w:rPr>
        <w:fldChar w:fldCharType="separate"/>
      </w:r>
      <w:r w:rsidR="00DC5CE9" w:rsidRPr="00DC5CE9">
        <w:rPr>
          <w:noProof/>
          <w:color w:val="000000" w:themeColor="text1"/>
        </w:rPr>
        <w:t>[17]</w:t>
      </w:r>
      <w:r w:rsidRPr="00C934C3">
        <w:rPr>
          <w:color w:val="000000" w:themeColor="text1"/>
        </w:rPr>
        <w:fldChar w:fldCharType="end"/>
      </w:r>
      <w:r w:rsidRPr="00C934C3">
        <w:rPr>
          <w:color w:val="000000" w:themeColor="text1"/>
        </w:rPr>
        <w:t xml:space="preserve">. </w:t>
      </w:r>
    </w:p>
    <w:p w14:paraId="61009721" w14:textId="77777777" w:rsidR="00CC3719" w:rsidRDefault="00CC3719" w:rsidP="00CC3719">
      <w:pPr>
        <w:spacing w:before="80"/>
        <w:jc w:val="both"/>
      </w:pPr>
    </w:p>
    <w:p w14:paraId="0F790B81" w14:textId="377EEDD8" w:rsidR="00380062" w:rsidRPr="00C934C3" w:rsidRDefault="00380062" w:rsidP="00CC3719">
      <w:pPr>
        <w:spacing w:before="80"/>
        <w:jc w:val="both"/>
        <w:rPr>
          <w:color w:val="000000" w:themeColor="text1"/>
        </w:rPr>
      </w:pPr>
      <w:r w:rsidRPr="00C934C3">
        <w:t xml:space="preserve">EHR present notable challenges in their utilization, including the risk of inadequate data quality </w:t>
      </w:r>
      <w:r w:rsidRPr="00C934C3">
        <w:fldChar w:fldCharType="begin" w:fldLock="1"/>
      </w:r>
      <w:r w:rsidR="00DC5CE9">
        <w:instrText>ADDIN CSL_CITATION {"citationItems":[{"id":"ITEM-1","itemData":{"DOI":"10.1177/0193945916689084","ISBN":"0193945916","author":[{"dropping-particle":"","family":"Feder","given":"Shelli L","non-dropping-particle":"","parse-names":false,"suffix":""}],"id":"ITEM-1","issued":{"date-parts":[["2017"]]},"page":"1-14","title":"Data Quality in Electronic Health Records Research : Quality Domains and Assessment Methods","type":"article-journal"},"uris":["http://www.mendeley.com/documents/?uuid=b85e6783-b386-4333-a7c8-bf2a3d42e01f"]}],"mendeley":{"formattedCitation":"[18]","plainTextFormattedCitation":"[18]","previouslyFormattedCitation":"(Feder, 2017)"},"properties":{"noteIndex":0},"schema":"https://github.com/citation-style-language/schema/raw/master/csl-citation.json"}</w:instrText>
      </w:r>
      <w:r w:rsidRPr="00C934C3">
        <w:fldChar w:fldCharType="separate"/>
      </w:r>
      <w:r w:rsidR="00DC5CE9" w:rsidRPr="00DC5CE9">
        <w:rPr>
          <w:noProof/>
        </w:rPr>
        <w:t>[18]</w:t>
      </w:r>
      <w:r w:rsidRPr="00C934C3">
        <w:fldChar w:fldCharType="end"/>
      </w:r>
      <w:r w:rsidRPr="00C934C3">
        <w:t xml:space="preserve">, ensuring that biases in the data is well understood </w:t>
      </w:r>
      <w:r w:rsidRPr="00C934C3">
        <w:fldChar w:fldCharType="begin" w:fldLock="1"/>
      </w:r>
      <w:r w:rsidR="00DC5CE9">
        <w:instrText>ADDIN CSL_CITATION {"citationItems":[{"id":"ITEM-1","itemData":{"DOI":"10.1186/s12874-021-01416-5","ISSN":"1471-2288","author":[{"dropping-particle":"","family":"Gianfrancesco","given":"Milena A","non-dropping-particle":"","parse-names":false,"suffix":""},{"dropping-particle":"","family":"Goldstein","given":"Neal D","non-dropping-particle":"","parse-names":false,"suffix":""}],"container-title":"BMC Medical Research Methodology","id":"ITEM-1","issued":{"date-parts":[["2021"]]},"page":"1-10","publisher":"BioMed Central","title":"A narrative review on the validity of electronic health record-based research in epidemiology","type":"article-journal"},"uris":["http://www.mendeley.com/documents/?uuid=23a53894-b23e-46ec-b6ec-757ccf1d3f6d"]}],"mendeley":{"formattedCitation":"[19]","plainTextFormattedCitation":"[19]","previouslyFormattedCitation":"(Gianfrancesco &amp; Goldstein, 2021)"},"properties":{"noteIndex":0},"schema":"https://github.com/citation-style-language/schema/raw/master/csl-citation.json"}</w:instrText>
      </w:r>
      <w:r w:rsidRPr="00C934C3">
        <w:fldChar w:fldCharType="separate"/>
      </w:r>
      <w:r w:rsidR="00DC5CE9" w:rsidRPr="00DC5CE9">
        <w:rPr>
          <w:noProof/>
        </w:rPr>
        <w:t>[19]</w:t>
      </w:r>
      <w:r w:rsidRPr="00C934C3">
        <w:fldChar w:fldCharType="end"/>
      </w:r>
      <w:r w:rsidRPr="00C934C3">
        <w:fldChar w:fldCharType="begin" w:fldLock="1"/>
      </w:r>
      <w:r w:rsidR="00DC5CE9">
        <w:instrText>ADDIN CSL_CITATION {"citationItems":[{"id":"ITEM-1","itemData":{"DOI":"10.3389/fdgth.2022.940330","ISSN":"2673253X","abstract":"Harnessing Real World Data is vital to improve health care in the 21st Century. Data from Electronic Health Records (EHRs) are a rich source of patient centred data, including information on the patient's clinical condition, laboratory results, diagnoses and treatments. They thus reflect the true state of health systems. However, access and utilisation of EHR data for research presents specific challenges. We assert that using data from EHRs effectively is dependent on synergy between researchers, clinicians and health informaticians, and only this will allow state of the art methods to be used to answer urgent and vital questions for patient care. We propose that there needs to be a paradigm shift in the way this research is conducted - appreciating that the research process is iterative rather than linear. We also make specific recommendations for organisations, based on our experience of developing and using EHR data in trusted research environments.","author":[{"dropping-particle":"","family":"Honeyford","given":"K.","non-dropping-particle":"","parse-names":false,"suffix":""},{"dropping-particle":"","family":"Expert","given":"P.","non-dropping-particle":"","parse-names":false,"suffix":""},{"dropping-particle":"","family":"Mendelsohn","given":"E. E.","non-dropping-particle":"","parse-names":false,"suffix":""},{"dropping-particle":"","family":"Post","given":"B.","non-dropping-particle":"","parse-names":false,"suffix":""},{"dropping-particle":"","family":"Faisal","given":"A. A.","non-dropping-particle":"","parse-names":false,"suffix":""},{"dropping-particle":"","family":"Glampson","given":"B.","non-dropping-particle":"","parse-names":false,"suffix":""},{"dropping-particle":"","family":"Mayer","given":"E. K.","non-dropping-particle":"","parse-names":false,"suffix":""},{"dropping-particle":"","family":"Costelloe","given":"C. E.","non-dropping-particle":"","parse-names":false,"suffix":""}],"container-title":"Frontiers in Digital Health","id":"ITEM-1","issue":"August","issued":{"date-parts":[["2022"]]},"page":"1-9","title":"Challenges and recommendations for high quality research using electronic health records","type":"article-journal","volume":"4"},"uris":["http://www.mendeley.com/documents/?uuid=16291e16-653b-4b78-9eb7-254f104c1b88"]}],"mendeley":{"formattedCitation":"[20]","plainTextFormattedCitation":"[20]","previouslyFormattedCitation":"(Honeyford et al., 2022)"},"properties":{"noteIndex":0},"schema":"https://github.com/citation-style-language/schema/raw/master/csl-citation.json"}</w:instrText>
      </w:r>
      <w:r w:rsidRPr="00C934C3">
        <w:fldChar w:fldCharType="separate"/>
      </w:r>
      <w:r w:rsidR="00DC5CE9" w:rsidRPr="00DC5CE9">
        <w:rPr>
          <w:noProof/>
        </w:rPr>
        <w:t>[20]</w:t>
      </w:r>
      <w:r w:rsidRPr="00C934C3">
        <w:fldChar w:fldCharType="end"/>
      </w:r>
      <w:r w:rsidRPr="00C934C3">
        <w:t xml:space="preserve"> and their ability to accommodate the complexity of business processes across different medical services, not only in general hospitals, but also in specialized hospitals such as psychiatric hospitals </w:t>
      </w:r>
      <w:r w:rsidRPr="00C934C3">
        <w:fldChar w:fldCharType="begin" w:fldLock="1"/>
      </w:r>
      <w:r w:rsidR="00DC5CE9">
        <w:instrText>ADDIN CSL_CITATION {"citationItems":[{"id":"ITEM-1","itemData":{"DOI":"10.14569/IJACSA.2025.0160355","ISSN":"21565570","abstract":"This study aimed to design a minimum data set (MDS) and Data Model for electronic health record system (EHRS) in Indonesia. The content of the MDS in this study is different from the MDS from the results of the study in other advanced countries. The technical preparation of the MDS in this study follows the medical service process provided to patients from the time they first enter the hospital until they complete receiving services at the hospital with the aim that the MDS designed is aligned with real-world hospital workflows. The initial stage of this research began by identifying data elements through literature reviews sourced from medical record documents of general hospitals and psychiatric hospitals in Indonesia, papers regarding minimum data set in other advanced countries, websites, and clinical guidelines. The Delphi technique was employed to validate the identified data elements through a survey of medical experts. A questionnaire was designed to determine data elements in both administrative and clinical departments. There were 5 and 21 data classes agreed upon by experts in the administrative and clinical sections with 28 and 858 data elements, respectively. This MDS could be a reliable tool for data standardization in EHRS that can improve the quality of data and medical services in hospitals. The designed data model consist of conceptual, logical and physical component. This MDS and data model can facilitate system developers to build physical EHRS database and health surveillance center for more efficient health data management.","author":[{"dropping-particle":"","family":"Darmizal","given":"Teddie","non-dropping-particle":"","parse-names":false,"suffix":""},{"dropping-particle":"","family":"Ubaidullah","given":"Nor Hasbiah","non-dropping-particle":"","parse-names":false,"suffix":""},{"dropping-particle":"","family":"Saad","given":"Aslina","non-dropping-particle":"","parse-names":false,"suffix":""}],"container-title":"International Journal of Advanced Computer Science and Applications","id":"ITEM-1","issue":"3","issued":{"date-parts":[["2025"]]},"page":"554-563","title":"Designing Minimum Data Set and Data Model for Electronic Health Record Systems in Indonesia","type":"article-journal","volume":"16"},"uris":["http://www.mendeley.com/documents/?uuid=c85fc4ad-a305-49f8-92cd-628163352779"]}],"mendeley":{"formattedCitation":"[21]","plainTextFormattedCitation":"[21]","previouslyFormattedCitation":"(Darmizal et al., 2025)"},"properties":{"noteIndex":0},"schema":"https://github.com/citation-style-language/schema/raw/master/csl-citation.json"}</w:instrText>
      </w:r>
      <w:r w:rsidRPr="00C934C3">
        <w:fldChar w:fldCharType="separate"/>
      </w:r>
      <w:r w:rsidR="00DC5CE9" w:rsidRPr="00DC5CE9">
        <w:rPr>
          <w:noProof/>
        </w:rPr>
        <w:t>[21]</w:t>
      </w:r>
      <w:r w:rsidRPr="00C934C3">
        <w:fldChar w:fldCharType="end"/>
      </w:r>
      <w:r w:rsidRPr="00C934C3">
        <w:t>.</w:t>
      </w:r>
      <w:r w:rsidRPr="00C934C3">
        <w:rPr>
          <w:color w:val="000000" w:themeColor="text1"/>
        </w:rPr>
        <w:t xml:space="preserve"> Although many EHR application for specific medical services or specific diseases have been developed by researchers, there is a need for holistic EHR application development that can  represent all business processes based on real-world clinical data in hospitals.</w:t>
      </w:r>
      <w:bookmarkStart w:id="0" w:name="_Hlk78354310"/>
    </w:p>
    <w:p w14:paraId="1499A254" w14:textId="77777777" w:rsidR="003564AE" w:rsidRPr="00C934C3" w:rsidRDefault="003564AE" w:rsidP="008A1263">
      <w:pPr>
        <w:spacing w:before="80"/>
        <w:ind w:firstLine="284"/>
        <w:jc w:val="both"/>
        <w:rPr>
          <w:color w:val="000000" w:themeColor="text1"/>
        </w:rPr>
      </w:pPr>
    </w:p>
    <w:p w14:paraId="1C2594AB" w14:textId="388E5ACF" w:rsidR="00B344D1" w:rsidRDefault="00B344D1" w:rsidP="00CC3719">
      <w:pPr>
        <w:ind w:right="-28"/>
        <w:outlineLvl w:val="0"/>
        <w:rPr>
          <w:b/>
          <w:lang w:val="en-US"/>
        </w:rPr>
      </w:pPr>
      <w:r w:rsidRPr="00CC3719">
        <w:rPr>
          <w:b/>
          <w:lang w:val="en-US"/>
        </w:rPr>
        <w:t>M</w:t>
      </w:r>
      <w:r w:rsidR="00CC3719">
        <w:rPr>
          <w:b/>
          <w:lang w:val="en-US"/>
        </w:rPr>
        <w:t>ETHODOLOGY</w:t>
      </w:r>
    </w:p>
    <w:p w14:paraId="42314D69" w14:textId="77777777" w:rsidR="00CC3719" w:rsidRDefault="00CC3719" w:rsidP="00CC3719">
      <w:pPr>
        <w:spacing w:before="80"/>
        <w:jc w:val="both"/>
        <w:rPr>
          <w:b/>
          <w:lang w:val="en-US"/>
        </w:rPr>
      </w:pPr>
    </w:p>
    <w:p w14:paraId="71FDE4C7" w14:textId="6D4AFD12" w:rsidR="00380062" w:rsidRPr="00C934C3" w:rsidRDefault="00380062" w:rsidP="00CC3719">
      <w:pPr>
        <w:spacing w:before="80"/>
        <w:jc w:val="both"/>
      </w:pPr>
      <w:r w:rsidRPr="00C934C3">
        <w:rPr>
          <w:color w:val="000000" w:themeColor="text1"/>
          <w:spacing w:val="-2"/>
        </w:rPr>
        <w:t xml:space="preserve">Methodology in developing EHR application consist of several stage, start from requirements analysis, design, construction and implementation </w:t>
      </w:r>
      <w:r w:rsidRPr="00C934C3">
        <w:rPr>
          <w:color w:val="000000" w:themeColor="text1"/>
          <w:spacing w:val="-2"/>
        </w:rPr>
        <w:fldChar w:fldCharType="begin" w:fldLock="1"/>
      </w:r>
      <w:r w:rsidR="00DC5CE9">
        <w:rPr>
          <w:color w:val="000000" w:themeColor="text1"/>
          <w:spacing w:val="-2"/>
        </w:rPr>
        <w:instrText>ADDIN CSL_CITATION {"citationItems":[{"id":"ITEM-1","itemData":{"DOI":"10.1016/S0378-7206(01)00082-9","ISSN":"03787206","abstract":"There is a growing trend to develop Information Systems (IS) using rapid development tools and methods rather than using traditional analysis and specification methods. Some writers have warned of a return to an undisciplined style of systems development. This paper uses the discipline of 'requirements engineering' to validate the use of Rapid Application Development (RAD) techniques in identifying and responding to users' requirements for IS. It argues that traditional systems analysis depended on identifying explicit requirements that could be verbalized; many new IS, however, depend on identifying different forms of knowledge and requirements. Techniques employed by RAD are eminently suited to eliciting these requirements. The paper is founded in part on two empirical studies, which are viewed through a theoretical filter based on a framework from 'requirements engineering'. © 2001 Elsevier Science B.V. All rights reserved.","author":[{"dropping-particle":"","family":"Eva","given":"Malcolm","non-dropping-particle":"","parse-names":false,"suffix":""}],"container-title":"Information and Management","id":"ITEM-1","issue":"2","issued":{"date-parts":[["2001"]]},"page":"101-107","title":"Requirements acquisition for rapid applications development","type":"article-journal","volume":"39"},"uris":["http://www.mendeley.com/documents/?uuid=7096d1d9-188b-4a07-abcb-a7e534ec7fd7"]}],"mendeley":{"formattedCitation":"[22]","plainTextFormattedCitation":"[22]","previouslyFormattedCitation":"(Eva, 2001)"},"properties":{"noteIndex":0},"schema":"https://github.com/citation-style-language/schema/raw/master/csl-citation.json"}</w:instrText>
      </w:r>
      <w:r w:rsidRPr="00C934C3">
        <w:rPr>
          <w:color w:val="000000" w:themeColor="text1"/>
          <w:spacing w:val="-2"/>
        </w:rPr>
        <w:fldChar w:fldCharType="separate"/>
      </w:r>
      <w:r w:rsidR="00DC5CE9" w:rsidRPr="00DC5CE9">
        <w:rPr>
          <w:noProof/>
          <w:color w:val="000000" w:themeColor="text1"/>
          <w:spacing w:val="-2"/>
        </w:rPr>
        <w:t>[22]</w:t>
      </w:r>
      <w:r w:rsidRPr="00C934C3">
        <w:rPr>
          <w:color w:val="000000" w:themeColor="text1"/>
          <w:spacing w:val="-2"/>
        </w:rPr>
        <w:fldChar w:fldCharType="end"/>
      </w:r>
      <w:r w:rsidRPr="00C934C3">
        <w:rPr>
          <w:color w:val="000000" w:themeColor="text1"/>
          <w:spacing w:val="-2"/>
        </w:rPr>
        <w:t xml:space="preserve">. </w:t>
      </w:r>
      <w:r w:rsidRPr="00C934C3">
        <w:t>Requirements analysis is the initial phase where stakeholders gather to define the high-level requirements and scope of the EHR application</w:t>
      </w:r>
      <w:r w:rsidRPr="00C934C3">
        <w:rPr>
          <w:color w:val="000000" w:themeColor="text1"/>
          <w:spacing w:val="-2"/>
        </w:rPr>
        <w:t xml:space="preserve">. </w:t>
      </w:r>
      <w:r w:rsidRPr="00C934C3">
        <w:t xml:space="preserve">This phase focuses on capturing the essential features and functionalities that the EHR application must have. </w:t>
      </w:r>
      <w:r w:rsidRPr="00C934C3">
        <w:rPr>
          <w:color w:val="000000" w:themeColor="text1"/>
          <w:spacing w:val="-2"/>
        </w:rPr>
        <w:t xml:space="preserve">Design is </w:t>
      </w:r>
      <w:r w:rsidRPr="00C934C3">
        <w:t xml:space="preserve">a collaborative process focused on creating and refining EHR application design based on user feedback. Start from creation of EHR database structure, application prototypes and allows users to visualize and interact with the design early in the process. </w:t>
      </w:r>
      <w:r w:rsidRPr="00C934C3">
        <w:rPr>
          <w:color w:val="000000" w:themeColor="text1"/>
        </w:rPr>
        <w:t xml:space="preserve">Construction </w:t>
      </w:r>
      <w:r w:rsidRPr="00C934C3">
        <w:t>is focuses on building the system through iterative cycles, allowing for rapid prototyping and frequent feedback. EHR application prototypes is built based on the designs and requirements gathered in earlier phases.</w:t>
      </w:r>
      <w:r w:rsidR="003564AE" w:rsidRPr="00C934C3">
        <w:t xml:space="preserve"> </w:t>
      </w:r>
      <w:r w:rsidR="003564AE" w:rsidRPr="00C934C3">
        <w:rPr>
          <w:color w:val="000000" w:themeColor="text1"/>
        </w:rPr>
        <w:t>Implementation and evaluation were carried out on environment in one of the hospitals in Riau Province, Indonesia. Evaluation using expert judgement tests aims to measure the acceptance of the application that has been built.</w:t>
      </w:r>
      <w:r w:rsidRPr="00C934C3">
        <w:t xml:space="preserve"> </w:t>
      </w:r>
    </w:p>
    <w:p w14:paraId="4AB40717" w14:textId="77777777" w:rsidR="00BC5DB4" w:rsidRPr="00C934C3" w:rsidRDefault="00BC5DB4" w:rsidP="008A1263">
      <w:pPr>
        <w:spacing w:before="80"/>
        <w:ind w:firstLine="284"/>
        <w:jc w:val="both"/>
      </w:pPr>
    </w:p>
    <w:p w14:paraId="3454A0DB" w14:textId="37160DD1" w:rsidR="00B344D1" w:rsidRPr="00CC3719" w:rsidRDefault="00CC3719" w:rsidP="00CC3719">
      <w:pPr>
        <w:ind w:right="-28"/>
        <w:outlineLvl w:val="0"/>
        <w:rPr>
          <w:b/>
          <w:lang w:val="en-US"/>
        </w:rPr>
      </w:pPr>
      <w:r>
        <w:rPr>
          <w:b/>
          <w:lang w:val="en-US"/>
        </w:rPr>
        <w:t>RESULT</w:t>
      </w:r>
    </w:p>
    <w:p w14:paraId="484435D5" w14:textId="77777777" w:rsidR="00B344D1" w:rsidRPr="00C934C3" w:rsidRDefault="00B344D1" w:rsidP="00B344D1">
      <w:pPr>
        <w:pStyle w:val="ListParagraph"/>
        <w:spacing w:after="0" w:line="240" w:lineRule="auto"/>
        <w:ind w:left="284" w:right="-28"/>
        <w:jc w:val="left"/>
        <w:outlineLvl w:val="0"/>
        <w:rPr>
          <w:rFonts w:ascii="Times New Roman" w:hAnsi="Times New Roman"/>
          <w:b/>
          <w:sz w:val="24"/>
          <w:szCs w:val="24"/>
          <w:lang w:val="en-US"/>
        </w:rPr>
      </w:pPr>
    </w:p>
    <w:p w14:paraId="6D13324B" w14:textId="666ED101" w:rsidR="00380062" w:rsidRPr="00C934C3" w:rsidRDefault="00380062" w:rsidP="00CC3719">
      <w:pPr>
        <w:spacing w:before="80"/>
        <w:jc w:val="both"/>
        <w:rPr>
          <w:color w:val="000000" w:themeColor="text1"/>
          <w:spacing w:val="-2"/>
        </w:rPr>
      </w:pPr>
      <w:r w:rsidRPr="00C934C3">
        <w:rPr>
          <w:color w:val="000000" w:themeColor="text1"/>
        </w:rPr>
        <w:t xml:space="preserve">The following will explain the results of the EHR </w:t>
      </w:r>
      <w:r w:rsidR="003564AE" w:rsidRPr="00C934C3">
        <w:rPr>
          <w:color w:val="000000" w:themeColor="text1"/>
        </w:rPr>
        <w:t>a</w:t>
      </w:r>
      <w:r w:rsidRPr="00C934C3">
        <w:rPr>
          <w:color w:val="000000" w:themeColor="text1"/>
        </w:rPr>
        <w:t xml:space="preserve">pplication development according to the methodology. </w:t>
      </w:r>
    </w:p>
    <w:p w14:paraId="147D5552" w14:textId="77777777" w:rsidR="00380062" w:rsidRPr="00C934C3" w:rsidRDefault="00380062" w:rsidP="008A1263">
      <w:pPr>
        <w:spacing w:before="80"/>
        <w:ind w:firstLine="284"/>
        <w:jc w:val="both"/>
      </w:pPr>
    </w:p>
    <w:p w14:paraId="273ED7D3" w14:textId="0A87DA1E" w:rsidR="00380062" w:rsidRDefault="00380062" w:rsidP="00CC3719">
      <w:pPr>
        <w:rPr>
          <w:b/>
          <w:bCs/>
          <w:color w:val="000000" w:themeColor="text1"/>
        </w:rPr>
      </w:pPr>
      <w:r w:rsidRPr="00CC3719">
        <w:rPr>
          <w:b/>
          <w:bCs/>
          <w:color w:val="000000" w:themeColor="text1"/>
        </w:rPr>
        <w:t>Requirement Analysis</w:t>
      </w:r>
    </w:p>
    <w:p w14:paraId="18C75E4F" w14:textId="77777777" w:rsidR="00CC3719" w:rsidRPr="00CC3719" w:rsidRDefault="00CC3719" w:rsidP="00CC3719">
      <w:pPr>
        <w:rPr>
          <w:b/>
          <w:bCs/>
          <w:color w:val="000000" w:themeColor="text1"/>
        </w:rPr>
      </w:pPr>
    </w:p>
    <w:p w14:paraId="30EA7380" w14:textId="640DF1EB" w:rsidR="00380062" w:rsidRPr="00C934C3" w:rsidRDefault="00FF2E52" w:rsidP="00CC3719">
      <w:pPr>
        <w:pStyle w:val="ListParagraph"/>
        <w:spacing w:before="80" w:after="0" w:line="240" w:lineRule="auto"/>
        <w:ind w:left="0"/>
        <w:contextualSpacing w:val="0"/>
        <w:rPr>
          <w:rFonts w:ascii="Times New Roman" w:hAnsi="Times New Roman"/>
          <w:i/>
          <w:iCs/>
          <w:color w:val="000000" w:themeColor="text1"/>
          <w:spacing w:val="-2"/>
          <w:sz w:val="24"/>
          <w:szCs w:val="24"/>
        </w:rPr>
      </w:pPr>
      <w:r w:rsidRPr="00C934C3">
        <w:rPr>
          <w:rFonts w:ascii="Times New Roman" w:hAnsi="Times New Roman"/>
          <w:sz w:val="24"/>
          <w:szCs w:val="24"/>
        </w:rPr>
        <w:t xml:space="preserve">This phase focuses on identifying the essential features and functionalities that the EHR application must have. Medical service running in a hospital consists of 5 main processes and 21 sub-processes, as shown in the business process diagram in Figure 1. </w:t>
      </w:r>
      <w:r w:rsidR="00380062" w:rsidRPr="00C934C3">
        <w:rPr>
          <w:rFonts w:ascii="Times New Roman" w:hAnsi="Times New Roman"/>
          <w:sz w:val="24"/>
          <w:szCs w:val="24"/>
        </w:rPr>
        <w:t xml:space="preserve"> </w:t>
      </w:r>
    </w:p>
    <w:p w14:paraId="2D5DB1AB" w14:textId="77777777" w:rsidR="00380062" w:rsidRPr="00C934C3" w:rsidRDefault="00380062" w:rsidP="008A1263">
      <w:pPr>
        <w:spacing w:before="80"/>
        <w:ind w:firstLine="284"/>
        <w:jc w:val="both"/>
        <w:sectPr w:rsidR="00380062" w:rsidRPr="00C934C3" w:rsidSect="00F316AD">
          <w:headerReference w:type="even" r:id="rId8"/>
          <w:headerReference w:type="default" r:id="rId9"/>
          <w:footerReference w:type="even" r:id="rId10"/>
          <w:footerReference w:type="default" r:id="rId11"/>
          <w:footerReference w:type="first" r:id="rId12"/>
          <w:type w:val="continuous"/>
          <w:pgSz w:w="11907" w:h="16840" w:code="9"/>
          <w:pgMar w:top="1440" w:right="1440" w:bottom="1440" w:left="1440" w:header="1134" w:footer="1134" w:gutter="0"/>
          <w:pgNumType w:start="1"/>
          <w:cols w:space="720"/>
          <w:titlePg/>
          <w:docGrid w:linePitch="360"/>
        </w:sectPr>
      </w:pPr>
    </w:p>
    <w:bookmarkEnd w:id="0"/>
    <w:p w14:paraId="7E75C17D" w14:textId="77777777" w:rsidR="00380062" w:rsidRPr="00C934C3" w:rsidRDefault="00380062" w:rsidP="008A1263">
      <w:pPr>
        <w:rPr>
          <w:i/>
          <w:iCs/>
          <w:color w:val="000000" w:themeColor="text1"/>
          <w:spacing w:val="-2"/>
        </w:rPr>
      </w:pPr>
    </w:p>
    <w:p w14:paraId="068CC67C" w14:textId="77777777" w:rsidR="00380062" w:rsidRPr="00C934C3" w:rsidRDefault="00380062" w:rsidP="008A1263">
      <w:pPr>
        <w:spacing w:before="80"/>
        <w:ind w:firstLine="284"/>
        <w:jc w:val="both"/>
        <w:rPr>
          <w:color w:val="000000" w:themeColor="text1"/>
        </w:rPr>
        <w:sectPr w:rsidR="00380062" w:rsidRPr="00C934C3" w:rsidSect="00F316AD">
          <w:type w:val="continuous"/>
          <w:pgSz w:w="11907" w:h="16840" w:code="9"/>
          <w:pgMar w:top="1440" w:right="1440" w:bottom="1440" w:left="1440" w:header="1134" w:footer="1134" w:gutter="0"/>
          <w:pgNumType w:start="1"/>
          <w:cols w:space="720"/>
          <w:titlePg/>
          <w:docGrid w:linePitch="360"/>
        </w:sectPr>
      </w:pPr>
    </w:p>
    <w:p w14:paraId="61A73014" w14:textId="77777777" w:rsidR="00380062" w:rsidRPr="00C934C3" w:rsidRDefault="00380062" w:rsidP="008A1263">
      <w:pPr>
        <w:keepNext/>
        <w:jc w:val="center"/>
        <w:sectPr w:rsidR="00380062" w:rsidRPr="00C934C3" w:rsidSect="00F316AD">
          <w:type w:val="continuous"/>
          <w:pgSz w:w="11907" w:h="16840" w:code="9"/>
          <w:pgMar w:top="1440" w:right="1440" w:bottom="1440" w:left="1440" w:header="1134" w:footer="1134" w:gutter="0"/>
          <w:pgNumType w:start="1"/>
          <w:cols w:space="720"/>
          <w:titlePg/>
          <w:docGrid w:linePitch="360"/>
        </w:sectPr>
      </w:pPr>
    </w:p>
    <w:p w14:paraId="65EC4F79" w14:textId="77777777" w:rsidR="00380062" w:rsidRPr="00C934C3" w:rsidRDefault="00380062" w:rsidP="008A1263">
      <w:pPr>
        <w:keepNext/>
        <w:jc w:val="center"/>
      </w:pPr>
      <w:r w:rsidRPr="00C934C3">
        <w:rPr>
          <w:noProof/>
        </w:rPr>
        <w:lastRenderedPageBreak/>
        <w:drawing>
          <wp:inline distT="0" distB="0" distL="0" distR="0" wp14:anchorId="1C197D93" wp14:editId="0FE6372D">
            <wp:extent cx="5577840" cy="401910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3">
                      <a:extLst>
                        <a:ext uri="{28A0092B-C50C-407E-A947-70E740481C1C}">
                          <a14:useLocalDpi xmlns:a14="http://schemas.microsoft.com/office/drawing/2010/main" val="0"/>
                        </a:ext>
                      </a:extLst>
                    </a:blip>
                    <a:stretch>
                      <a:fillRect/>
                    </a:stretch>
                  </pic:blipFill>
                  <pic:spPr>
                    <a:xfrm>
                      <a:off x="0" y="0"/>
                      <a:ext cx="5598102" cy="4033707"/>
                    </a:xfrm>
                    <a:prstGeom prst="rect">
                      <a:avLst/>
                    </a:prstGeom>
                  </pic:spPr>
                </pic:pic>
              </a:graphicData>
            </a:graphic>
          </wp:inline>
        </w:drawing>
      </w:r>
    </w:p>
    <w:p w14:paraId="35B1B77D" w14:textId="62543F2B" w:rsidR="00380062" w:rsidRPr="00C934C3" w:rsidRDefault="00380062" w:rsidP="008A1263">
      <w:pPr>
        <w:pStyle w:val="Caption"/>
        <w:spacing w:line="240" w:lineRule="auto"/>
        <w:rPr>
          <w:i w:val="0"/>
          <w:iCs w:val="0"/>
          <w:sz w:val="24"/>
          <w:szCs w:val="24"/>
        </w:rPr>
      </w:pPr>
      <w:r w:rsidRPr="00C934C3">
        <w:rPr>
          <w:b/>
          <w:bCs/>
          <w:i w:val="0"/>
          <w:iCs w:val="0"/>
          <w:sz w:val="24"/>
          <w:szCs w:val="24"/>
        </w:rPr>
        <w:t>Fig</w:t>
      </w:r>
      <w:r w:rsidR="00661754" w:rsidRPr="00C934C3">
        <w:rPr>
          <w:b/>
          <w:bCs/>
          <w:i w:val="0"/>
          <w:iCs w:val="0"/>
          <w:sz w:val="24"/>
          <w:szCs w:val="24"/>
        </w:rPr>
        <w:t>ure</w:t>
      </w:r>
      <w:r w:rsidRPr="00C934C3">
        <w:rPr>
          <w:i w:val="0"/>
          <w:iCs w:val="0"/>
          <w:sz w:val="24"/>
          <w:szCs w:val="24"/>
        </w:rPr>
        <w:t xml:space="preserve">. </w:t>
      </w:r>
      <w:r w:rsidRPr="00C934C3">
        <w:rPr>
          <w:i w:val="0"/>
          <w:iCs w:val="0"/>
          <w:sz w:val="24"/>
          <w:szCs w:val="24"/>
        </w:rPr>
        <w:fldChar w:fldCharType="begin"/>
      </w:r>
      <w:r w:rsidRPr="00C934C3">
        <w:rPr>
          <w:i w:val="0"/>
          <w:iCs w:val="0"/>
          <w:sz w:val="24"/>
          <w:szCs w:val="24"/>
        </w:rPr>
        <w:instrText xml:space="preserve"> SEQ Figure \* ARABIC </w:instrText>
      </w:r>
      <w:r w:rsidRPr="00C934C3">
        <w:rPr>
          <w:i w:val="0"/>
          <w:iCs w:val="0"/>
          <w:sz w:val="24"/>
          <w:szCs w:val="24"/>
        </w:rPr>
        <w:fldChar w:fldCharType="separate"/>
      </w:r>
      <w:r w:rsidR="00661754" w:rsidRPr="00C934C3">
        <w:rPr>
          <w:i w:val="0"/>
          <w:iCs w:val="0"/>
          <w:noProof/>
          <w:sz w:val="24"/>
          <w:szCs w:val="24"/>
        </w:rPr>
        <w:t>1</w:t>
      </w:r>
      <w:r w:rsidRPr="00C934C3">
        <w:rPr>
          <w:i w:val="0"/>
          <w:iCs w:val="0"/>
          <w:noProof/>
          <w:sz w:val="24"/>
          <w:szCs w:val="24"/>
        </w:rPr>
        <w:fldChar w:fldCharType="end"/>
      </w:r>
      <w:r w:rsidRPr="00C934C3">
        <w:rPr>
          <w:i w:val="0"/>
          <w:iCs w:val="0"/>
          <w:noProof/>
          <w:sz w:val="24"/>
          <w:szCs w:val="24"/>
        </w:rPr>
        <w:t xml:space="preserve"> Medical Services Business Process</w:t>
      </w:r>
    </w:p>
    <w:p w14:paraId="7DD90AC7" w14:textId="77777777" w:rsidR="00380062" w:rsidRPr="00C934C3" w:rsidRDefault="00380062" w:rsidP="008A1263">
      <w:pPr>
        <w:jc w:val="both"/>
      </w:pPr>
    </w:p>
    <w:p w14:paraId="0A7F625E" w14:textId="77777777" w:rsidR="00380062" w:rsidRPr="00C934C3" w:rsidRDefault="00380062" w:rsidP="008A1263">
      <w:pPr>
        <w:jc w:val="both"/>
        <w:sectPr w:rsidR="00380062" w:rsidRPr="00C934C3" w:rsidSect="00F316AD">
          <w:type w:val="continuous"/>
          <w:pgSz w:w="11907" w:h="16840" w:code="9"/>
          <w:pgMar w:top="1440" w:right="1440" w:bottom="1440" w:left="1440" w:header="1134" w:footer="1134" w:gutter="0"/>
          <w:pgNumType w:start="1"/>
          <w:cols w:space="720"/>
          <w:titlePg/>
          <w:docGrid w:linePitch="360"/>
        </w:sectPr>
      </w:pPr>
    </w:p>
    <w:p w14:paraId="53ED5D2E" w14:textId="61B5076D" w:rsidR="00380062" w:rsidRPr="00C934C3" w:rsidRDefault="00380062" w:rsidP="00E62FDD">
      <w:pPr>
        <w:ind w:left="284"/>
        <w:jc w:val="both"/>
        <w:rPr>
          <w:b/>
          <w:bCs/>
        </w:rPr>
      </w:pPr>
      <w:r w:rsidRPr="00C934C3">
        <w:rPr>
          <w:b/>
          <w:bCs/>
        </w:rPr>
        <w:t>1</w:t>
      </w:r>
      <w:r w:rsidRPr="00C934C3">
        <w:rPr>
          <w:b/>
          <w:bCs/>
          <w:vertAlign w:val="superscript"/>
        </w:rPr>
        <w:t>st</w:t>
      </w:r>
      <w:r w:rsidR="003564AE" w:rsidRPr="00C934C3">
        <w:rPr>
          <w:b/>
          <w:bCs/>
        </w:rPr>
        <w:t xml:space="preserve"> </w:t>
      </w:r>
      <w:r w:rsidRPr="00C934C3">
        <w:rPr>
          <w:b/>
          <w:bCs/>
        </w:rPr>
        <w:t>Process – Patient Registration.</w:t>
      </w:r>
    </w:p>
    <w:p w14:paraId="541C8DEB" w14:textId="59332EB0" w:rsidR="00380062" w:rsidRPr="00C934C3" w:rsidRDefault="00380062" w:rsidP="00E62FDD">
      <w:pPr>
        <w:ind w:left="284"/>
        <w:jc w:val="both"/>
      </w:pPr>
      <w:r w:rsidRPr="00C934C3">
        <w:rPr>
          <w:lang w:eastAsia="en-ID"/>
        </w:rPr>
        <w:t>This phase covers the procedures required for registering patients, which can be further divided into the following sub-steps:</w:t>
      </w:r>
      <w:r w:rsidRPr="00C934C3">
        <w:t xml:space="preserve"> </w:t>
      </w:r>
      <w:r w:rsidRPr="00C934C3">
        <w:rPr>
          <w:i/>
          <w:iCs/>
        </w:rPr>
        <w:t>Clinical Service Registration, Surgery Registration.</w:t>
      </w:r>
    </w:p>
    <w:p w14:paraId="1B92F506" w14:textId="77777777" w:rsidR="002172D0" w:rsidRPr="00C934C3" w:rsidRDefault="002172D0" w:rsidP="00E62FDD">
      <w:pPr>
        <w:ind w:left="284"/>
        <w:jc w:val="both"/>
      </w:pPr>
    </w:p>
    <w:p w14:paraId="667D52E6" w14:textId="32B95A63" w:rsidR="00380062" w:rsidRPr="00C934C3" w:rsidRDefault="00380062" w:rsidP="00E62FDD">
      <w:pPr>
        <w:ind w:left="284"/>
        <w:jc w:val="both"/>
        <w:rPr>
          <w:b/>
          <w:bCs/>
        </w:rPr>
      </w:pPr>
      <w:r w:rsidRPr="00C934C3">
        <w:rPr>
          <w:b/>
          <w:bCs/>
        </w:rPr>
        <w:t>2</w:t>
      </w:r>
      <w:r w:rsidRPr="00C934C3">
        <w:rPr>
          <w:b/>
          <w:bCs/>
          <w:vertAlign w:val="superscript"/>
        </w:rPr>
        <w:t>nd</w:t>
      </w:r>
      <w:r w:rsidR="003564AE" w:rsidRPr="00C934C3">
        <w:rPr>
          <w:b/>
          <w:bCs/>
        </w:rPr>
        <w:t xml:space="preserve"> </w:t>
      </w:r>
      <w:r w:rsidRPr="00C934C3">
        <w:rPr>
          <w:b/>
          <w:bCs/>
        </w:rPr>
        <w:t xml:space="preserve">Process – Comprehensive Clinical Assessment and Diagnosis </w:t>
      </w:r>
    </w:p>
    <w:p w14:paraId="70E23C49" w14:textId="6FCEADE9" w:rsidR="00380062" w:rsidRPr="00C934C3" w:rsidRDefault="00380062" w:rsidP="00E62FDD">
      <w:pPr>
        <w:ind w:left="284"/>
        <w:jc w:val="both"/>
      </w:pPr>
      <w:r w:rsidRPr="00C934C3">
        <w:t>This stage encompasses the systematic evaluation, diagnosis, and integration of the patient’s overall condition by the entire multidisciplinary medical team. It can be further divided into the following sub-steps:</w:t>
      </w:r>
      <w:r w:rsidRPr="00C934C3">
        <w:rPr>
          <w:b/>
          <w:bCs/>
        </w:rPr>
        <w:t xml:space="preserve"> </w:t>
      </w:r>
      <w:r w:rsidRPr="00C934C3">
        <w:rPr>
          <w:i/>
          <w:iCs/>
        </w:rPr>
        <w:t>Initial Assessment by General Nurses</w:t>
      </w:r>
      <w:r w:rsidRPr="00C934C3">
        <w:rPr>
          <w:b/>
          <w:bCs/>
          <w:i/>
          <w:iCs/>
        </w:rPr>
        <w:t xml:space="preserve">, </w:t>
      </w:r>
      <w:r w:rsidRPr="00C934C3">
        <w:rPr>
          <w:i/>
          <w:iCs/>
        </w:rPr>
        <w:t>Initial Assessment by Neonatal Nurses</w:t>
      </w:r>
      <w:r w:rsidRPr="00C934C3">
        <w:rPr>
          <w:b/>
          <w:bCs/>
          <w:i/>
          <w:iCs/>
        </w:rPr>
        <w:t xml:space="preserve">, </w:t>
      </w:r>
      <w:r w:rsidRPr="00C934C3">
        <w:rPr>
          <w:i/>
          <w:iCs/>
        </w:rPr>
        <w:t>Initial Assessment by Psychiatric Nurses</w:t>
      </w:r>
      <w:r w:rsidRPr="00C934C3">
        <w:rPr>
          <w:b/>
          <w:bCs/>
          <w:i/>
          <w:iCs/>
        </w:rPr>
        <w:t xml:space="preserve">, </w:t>
      </w:r>
      <w:r w:rsidRPr="00C934C3">
        <w:rPr>
          <w:i/>
          <w:iCs/>
        </w:rPr>
        <w:t>Initial Assessment by General Doctor</w:t>
      </w:r>
      <w:r w:rsidRPr="00C934C3">
        <w:rPr>
          <w:b/>
          <w:bCs/>
          <w:i/>
          <w:iCs/>
        </w:rPr>
        <w:t xml:space="preserve">, </w:t>
      </w:r>
      <w:r w:rsidRPr="00C934C3">
        <w:rPr>
          <w:i/>
          <w:iCs/>
        </w:rPr>
        <w:t>Initial Assessment by Obstetricians, Initial Assessment by Psychiatrists</w:t>
      </w:r>
      <w:r w:rsidRPr="00C934C3">
        <w:rPr>
          <w:b/>
          <w:bCs/>
          <w:i/>
          <w:iCs/>
        </w:rPr>
        <w:t xml:space="preserve">, </w:t>
      </w:r>
      <w:r w:rsidRPr="00C934C3">
        <w:rPr>
          <w:i/>
          <w:iCs/>
        </w:rPr>
        <w:t>Pre-Operative Assessment</w:t>
      </w:r>
      <w:r w:rsidRPr="00C934C3">
        <w:rPr>
          <w:b/>
          <w:bCs/>
          <w:i/>
          <w:iCs/>
        </w:rPr>
        <w:t xml:space="preserve">, </w:t>
      </w:r>
      <w:r w:rsidRPr="00C934C3">
        <w:rPr>
          <w:i/>
          <w:iCs/>
        </w:rPr>
        <w:t>Pre-</w:t>
      </w:r>
      <w:proofErr w:type="spellStart"/>
      <w:r w:rsidRPr="00C934C3">
        <w:rPr>
          <w:i/>
          <w:iCs/>
        </w:rPr>
        <w:t>Anesthesia</w:t>
      </w:r>
      <w:proofErr w:type="spellEnd"/>
      <w:r w:rsidRPr="00C934C3">
        <w:rPr>
          <w:i/>
          <w:iCs/>
        </w:rPr>
        <w:t xml:space="preserve"> Assessment, Post-Operative Assessment</w:t>
      </w:r>
      <w:r w:rsidRPr="00C934C3">
        <w:rPr>
          <w:b/>
          <w:bCs/>
          <w:i/>
          <w:iCs/>
        </w:rPr>
        <w:t xml:space="preserve">, </w:t>
      </w:r>
      <w:r w:rsidRPr="00C934C3">
        <w:rPr>
          <w:i/>
          <w:iCs/>
        </w:rPr>
        <w:t xml:space="preserve">Post </w:t>
      </w:r>
      <w:proofErr w:type="spellStart"/>
      <w:r w:rsidRPr="00C934C3">
        <w:rPr>
          <w:i/>
          <w:iCs/>
        </w:rPr>
        <w:t>Anesthesia</w:t>
      </w:r>
      <w:proofErr w:type="spellEnd"/>
      <w:r w:rsidRPr="00C934C3">
        <w:rPr>
          <w:i/>
          <w:iCs/>
        </w:rPr>
        <w:t xml:space="preserve"> Assessment</w:t>
      </w:r>
      <w:r w:rsidRPr="00C934C3">
        <w:rPr>
          <w:b/>
          <w:bCs/>
          <w:i/>
          <w:iCs/>
        </w:rPr>
        <w:t xml:space="preserve">, </w:t>
      </w:r>
      <w:r w:rsidRPr="00C934C3">
        <w:rPr>
          <w:i/>
          <w:iCs/>
        </w:rPr>
        <w:t>Diagnose and Procedure</w:t>
      </w:r>
      <w:r w:rsidRPr="00C934C3">
        <w:rPr>
          <w:b/>
          <w:bCs/>
          <w:i/>
          <w:iCs/>
        </w:rPr>
        <w:t xml:space="preserve">, </w:t>
      </w:r>
      <w:r w:rsidRPr="00C934C3">
        <w:rPr>
          <w:i/>
          <w:iCs/>
        </w:rPr>
        <w:t>Integrated Patient Examination Records.</w:t>
      </w:r>
    </w:p>
    <w:p w14:paraId="66F2AF77" w14:textId="77777777" w:rsidR="002172D0" w:rsidRPr="00C934C3" w:rsidRDefault="002172D0" w:rsidP="00E62FDD">
      <w:pPr>
        <w:ind w:left="284"/>
        <w:jc w:val="both"/>
        <w:rPr>
          <w:b/>
          <w:bCs/>
        </w:rPr>
      </w:pPr>
    </w:p>
    <w:p w14:paraId="322FAA97" w14:textId="6565CE27" w:rsidR="00380062" w:rsidRPr="00C934C3" w:rsidRDefault="00380062" w:rsidP="00E62FDD">
      <w:pPr>
        <w:ind w:left="284"/>
        <w:jc w:val="both"/>
        <w:rPr>
          <w:b/>
          <w:bCs/>
        </w:rPr>
      </w:pPr>
      <w:r w:rsidRPr="00C934C3">
        <w:rPr>
          <w:b/>
          <w:bCs/>
        </w:rPr>
        <w:t>3</w:t>
      </w:r>
      <w:r w:rsidRPr="00C934C3">
        <w:rPr>
          <w:b/>
          <w:bCs/>
          <w:vertAlign w:val="superscript"/>
        </w:rPr>
        <w:t>rd</w:t>
      </w:r>
      <w:r w:rsidR="003564AE" w:rsidRPr="00C934C3">
        <w:rPr>
          <w:b/>
          <w:bCs/>
        </w:rPr>
        <w:t xml:space="preserve"> </w:t>
      </w:r>
      <w:r w:rsidRPr="00C934C3">
        <w:rPr>
          <w:b/>
          <w:bCs/>
        </w:rPr>
        <w:t>Process – Request for Supporting Examinations (If Required)</w:t>
      </w:r>
    </w:p>
    <w:p w14:paraId="69B03640" w14:textId="074250C2" w:rsidR="00380062" w:rsidRPr="00C934C3" w:rsidRDefault="00380062" w:rsidP="00E62FDD">
      <w:pPr>
        <w:ind w:left="284"/>
        <w:jc w:val="both"/>
      </w:pPr>
      <w:r w:rsidRPr="00C934C3">
        <w:t xml:space="preserve">This stage involves submitting formal requests for ancillary or supporting diagnostic examinations when deemed necessary, </w:t>
      </w:r>
      <w:proofErr w:type="spellStart"/>
      <w:r w:rsidRPr="00C934C3">
        <w:t>conisst</w:t>
      </w:r>
      <w:proofErr w:type="spellEnd"/>
      <w:r w:rsidRPr="00C934C3">
        <w:t xml:space="preserve"> of: </w:t>
      </w:r>
      <w:r w:rsidRPr="00C934C3">
        <w:rPr>
          <w:i/>
          <w:iCs/>
        </w:rPr>
        <w:t>Consultation to other specialists, Laboratory Examination, Radiology Examination, Nutritionist Examination.</w:t>
      </w:r>
      <w:r w:rsidRPr="00C934C3">
        <w:t xml:space="preserve"> </w:t>
      </w:r>
    </w:p>
    <w:p w14:paraId="1620E4DE" w14:textId="77777777" w:rsidR="002172D0" w:rsidRPr="00C934C3" w:rsidRDefault="002172D0" w:rsidP="00E62FDD">
      <w:pPr>
        <w:ind w:left="284"/>
        <w:jc w:val="both"/>
      </w:pPr>
    </w:p>
    <w:p w14:paraId="281E1576" w14:textId="311FF131" w:rsidR="00380062" w:rsidRPr="00C934C3" w:rsidRDefault="00380062" w:rsidP="00E62FDD">
      <w:pPr>
        <w:ind w:left="284"/>
        <w:jc w:val="both"/>
        <w:rPr>
          <w:b/>
          <w:bCs/>
        </w:rPr>
      </w:pPr>
      <w:r w:rsidRPr="00C934C3">
        <w:rPr>
          <w:b/>
          <w:bCs/>
        </w:rPr>
        <w:t>4</w:t>
      </w:r>
      <w:r w:rsidRPr="00C934C3">
        <w:rPr>
          <w:b/>
          <w:bCs/>
          <w:vertAlign w:val="superscript"/>
        </w:rPr>
        <w:t>th</w:t>
      </w:r>
      <w:r w:rsidR="003564AE" w:rsidRPr="00C934C3">
        <w:rPr>
          <w:b/>
          <w:bCs/>
        </w:rPr>
        <w:t xml:space="preserve"> </w:t>
      </w:r>
      <w:r w:rsidRPr="00C934C3">
        <w:rPr>
          <w:b/>
          <w:bCs/>
        </w:rPr>
        <w:t>Process – Prescription Request</w:t>
      </w:r>
    </w:p>
    <w:p w14:paraId="252A0C09" w14:textId="06F8C995" w:rsidR="00380062" w:rsidRPr="00C934C3" w:rsidRDefault="00380062" w:rsidP="00E62FDD">
      <w:pPr>
        <w:ind w:left="284"/>
        <w:jc w:val="both"/>
      </w:pPr>
      <w:r w:rsidRPr="00C934C3">
        <w:t>This stage involves submitting a formal request for medications to the pharmacy, based on the physician’s clinical assessment and treatment plan.</w:t>
      </w:r>
    </w:p>
    <w:p w14:paraId="1159FDB2" w14:textId="77777777" w:rsidR="002172D0" w:rsidRPr="00C934C3" w:rsidRDefault="002172D0" w:rsidP="00E62FDD">
      <w:pPr>
        <w:ind w:left="284"/>
        <w:jc w:val="both"/>
      </w:pPr>
    </w:p>
    <w:p w14:paraId="591C89A3" w14:textId="6324D4E4" w:rsidR="00380062" w:rsidRPr="00C934C3" w:rsidRDefault="00380062" w:rsidP="00E62FDD">
      <w:pPr>
        <w:ind w:left="284"/>
        <w:jc w:val="both"/>
        <w:rPr>
          <w:b/>
          <w:bCs/>
        </w:rPr>
      </w:pPr>
      <w:r w:rsidRPr="00C934C3">
        <w:rPr>
          <w:b/>
          <w:bCs/>
        </w:rPr>
        <w:t>5</w:t>
      </w:r>
      <w:r w:rsidRPr="00C934C3">
        <w:rPr>
          <w:b/>
          <w:bCs/>
          <w:vertAlign w:val="superscript"/>
        </w:rPr>
        <w:t>th</w:t>
      </w:r>
      <w:r w:rsidR="003564AE" w:rsidRPr="00C934C3">
        <w:rPr>
          <w:b/>
          <w:bCs/>
        </w:rPr>
        <w:t xml:space="preserve"> </w:t>
      </w:r>
      <w:r w:rsidRPr="00C934C3">
        <w:rPr>
          <w:b/>
          <w:bCs/>
        </w:rPr>
        <w:t>Process – Final Reporting</w:t>
      </w:r>
    </w:p>
    <w:p w14:paraId="36D92049" w14:textId="77777777" w:rsidR="00380062" w:rsidRPr="00C934C3" w:rsidRDefault="00380062" w:rsidP="008C08D7">
      <w:pPr>
        <w:jc w:val="both"/>
      </w:pPr>
      <w:r w:rsidRPr="00C934C3">
        <w:lastRenderedPageBreak/>
        <w:t>This concluding stage encompasses the preparation and submission of the patient’s comprehensive, consist of: General Medical Resume and Surgery Medical Resume.</w:t>
      </w:r>
    </w:p>
    <w:p w14:paraId="42B863D7" w14:textId="77777777" w:rsidR="00380062" w:rsidRPr="00C934C3" w:rsidRDefault="00380062" w:rsidP="008A1263">
      <w:pPr>
        <w:jc w:val="both"/>
      </w:pPr>
    </w:p>
    <w:p w14:paraId="36DB0859" w14:textId="751CAB96" w:rsidR="00380062" w:rsidRPr="00C934C3" w:rsidRDefault="00380062" w:rsidP="00C806CA">
      <w:pPr>
        <w:pStyle w:val="ListParagraph"/>
        <w:numPr>
          <w:ilvl w:val="1"/>
          <w:numId w:val="2"/>
        </w:numPr>
        <w:spacing w:line="240" w:lineRule="auto"/>
        <w:ind w:left="284" w:hanging="284"/>
        <w:rPr>
          <w:rFonts w:ascii="Times New Roman" w:hAnsi="Times New Roman"/>
          <w:i/>
          <w:iCs/>
          <w:sz w:val="24"/>
          <w:szCs w:val="24"/>
        </w:rPr>
      </w:pPr>
      <w:r w:rsidRPr="00C934C3">
        <w:rPr>
          <w:rFonts w:ascii="Times New Roman" w:hAnsi="Times New Roman"/>
          <w:i/>
          <w:iCs/>
          <w:sz w:val="24"/>
          <w:szCs w:val="24"/>
        </w:rPr>
        <w:t xml:space="preserve">Design </w:t>
      </w:r>
    </w:p>
    <w:p w14:paraId="0BDBFEA0" w14:textId="56A81BF8" w:rsidR="00380062" w:rsidRPr="00C934C3" w:rsidRDefault="00380062" w:rsidP="008C08D7">
      <w:pPr>
        <w:spacing w:before="80"/>
        <w:jc w:val="both"/>
      </w:pPr>
      <w:r w:rsidRPr="00C934C3">
        <w:t xml:space="preserve">The medical service process in the EHR application will follow the guidelines for the national health data set and data model for Indonesian EHR System </w:t>
      </w:r>
      <w:r w:rsidRPr="00C934C3">
        <w:fldChar w:fldCharType="begin" w:fldLock="1"/>
      </w:r>
      <w:r w:rsidR="00DC5CE9">
        <w:instrText>ADDIN CSL_CITATION {"citationItems":[{"id":"ITEM-1","itemData":{"DOI":"10.14569/IJACSA.2025.0160355","ISSN":"21565570","abstract":"This study aimed to design a minimum data set (MDS) and Data Model for electronic health record system (EHRS) in Indonesia. The content of the MDS in this study is different from the MDS from the results of the study in other advanced countries. The technical preparation of the MDS in this study follows the medical service process provided to patients from the time they first enter the hospital until they complete receiving services at the hospital with the aim that the MDS designed is aligned with real-world hospital workflows. The initial stage of this research began by identifying data elements through literature reviews sourced from medical record documents of general hospitals and psychiatric hospitals in Indonesia, papers regarding minimum data set in other advanced countries, websites, and clinical guidelines. The Delphi technique was employed to validate the identified data elements through a survey of medical experts. A questionnaire was designed to determine data elements in both administrative and clinical departments. There were 5 and 21 data classes agreed upon by experts in the administrative and clinical sections with 28 and 858 data elements, respectively. This MDS could be a reliable tool for data standardization in EHRS that can improve the quality of data and medical services in hospitals. The designed data model consist of conceptual, logical and physical component. This MDS and data model can facilitate system developers to build physical EHRS database and health surveillance center for more efficient health data management.","author":[{"dropping-particle":"","family":"Darmizal","given":"Teddie","non-dropping-particle":"","parse-names":false,"suffix":""},{"dropping-particle":"","family":"Ubaidullah","given":"Nor Hasbiah","non-dropping-particle":"","parse-names":false,"suffix":""},{"dropping-particle":"","family":"Saad","given":"Aslina","non-dropping-particle":"","parse-names":false,"suffix":""}],"container-title":"International Journal of Advanced Computer Science and Applications","id":"ITEM-1","issue":"3","issued":{"date-parts":[["2025"]]},"page":"554-563","title":"Designing Minimum Data Set and Data Model for Electronic Health Record Systems in Indonesia","type":"article-journal","volume":"16"},"uris":["http://www.mendeley.com/documents/?uuid=c85fc4ad-a305-49f8-92cd-628163352779"]}],"mendeley":{"formattedCitation":"[21]","plainTextFormattedCitation":"[21]","previouslyFormattedCitation":"(Darmizal et al., 2025)"},"properties":{"noteIndex":0},"schema":"https://github.com/citation-style-language/schema/raw/master/csl-citation.json"}</w:instrText>
      </w:r>
      <w:r w:rsidRPr="00C934C3">
        <w:fldChar w:fldCharType="separate"/>
      </w:r>
      <w:r w:rsidR="00DC5CE9" w:rsidRPr="00DC5CE9">
        <w:rPr>
          <w:noProof/>
        </w:rPr>
        <w:t>[21]</w:t>
      </w:r>
      <w:r w:rsidRPr="00C934C3">
        <w:fldChar w:fldCharType="end"/>
      </w:r>
      <w:r w:rsidRPr="00C934C3">
        <w:t xml:space="preserve">. </w:t>
      </w:r>
      <w:r w:rsidR="001B2C9C" w:rsidRPr="00C934C3">
        <w:t>The national EHR data set and data model represent the medical service form used in accordance with the hospital's clinical workflow, as explained by the activity diagram in Figure 2.</w:t>
      </w:r>
    </w:p>
    <w:p w14:paraId="11C3EDC2" w14:textId="77777777" w:rsidR="00380062" w:rsidRPr="00C934C3" w:rsidRDefault="00380062" w:rsidP="008A1263">
      <w:pPr>
        <w:spacing w:before="80"/>
        <w:ind w:firstLine="284"/>
        <w:jc w:val="both"/>
        <w:sectPr w:rsidR="00380062" w:rsidRPr="00C934C3" w:rsidSect="00F316AD">
          <w:type w:val="continuous"/>
          <w:pgSz w:w="11907" w:h="16840" w:code="9"/>
          <w:pgMar w:top="1440" w:right="1440" w:bottom="1440" w:left="1440" w:header="1134" w:footer="1134" w:gutter="0"/>
          <w:pgNumType w:start="1"/>
          <w:cols w:space="720"/>
          <w:titlePg/>
          <w:docGrid w:linePitch="360"/>
        </w:sectPr>
      </w:pPr>
    </w:p>
    <w:p w14:paraId="2484F6B5" w14:textId="03226A7B" w:rsidR="00380062" w:rsidRPr="00C934C3" w:rsidRDefault="00581B60" w:rsidP="008A1263">
      <w:pPr>
        <w:spacing w:before="80"/>
        <w:ind w:firstLine="284"/>
        <w:jc w:val="both"/>
      </w:pPr>
      <w:r w:rsidRPr="00C934C3">
        <w:rPr>
          <w:noProof/>
        </w:rPr>
        <w:drawing>
          <wp:inline distT="0" distB="0" distL="0" distR="0" wp14:anchorId="5A5B922D" wp14:editId="0603A99C">
            <wp:extent cx="5686843" cy="4572000"/>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4">
                      <a:extLst>
                        <a:ext uri="{28A0092B-C50C-407E-A947-70E740481C1C}">
                          <a14:useLocalDpi xmlns:a14="http://schemas.microsoft.com/office/drawing/2010/main" val="0"/>
                        </a:ext>
                      </a:extLst>
                    </a:blip>
                    <a:stretch>
                      <a:fillRect/>
                    </a:stretch>
                  </pic:blipFill>
                  <pic:spPr>
                    <a:xfrm>
                      <a:off x="0" y="0"/>
                      <a:ext cx="5699485" cy="4582164"/>
                    </a:xfrm>
                    <a:prstGeom prst="rect">
                      <a:avLst/>
                    </a:prstGeom>
                  </pic:spPr>
                </pic:pic>
              </a:graphicData>
            </a:graphic>
          </wp:inline>
        </w:drawing>
      </w:r>
    </w:p>
    <w:p w14:paraId="1340592F" w14:textId="7196ADEC" w:rsidR="00380062" w:rsidRPr="00C934C3" w:rsidRDefault="00380062" w:rsidP="008A1263">
      <w:pPr>
        <w:pStyle w:val="Caption"/>
        <w:spacing w:line="240" w:lineRule="auto"/>
        <w:rPr>
          <w:i w:val="0"/>
          <w:iCs w:val="0"/>
          <w:sz w:val="24"/>
          <w:szCs w:val="24"/>
        </w:rPr>
      </w:pPr>
      <w:r w:rsidRPr="00C934C3">
        <w:rPr>
          <w:b/>
          <w:bCs/>
          <w:i w:val="0"/>
          <w:iCs w:val="0"/>
          <w:sz w:val="24"/>
          <w:szCs w:val="24"/>
        </w:rPr>
        <w:t>Fig</w:t>
      </w:r>
      <w:r w:rsidR="00661754" w:rsidRPr="00C934C3">
        <w:rPr>
          <w:b/>
          <w:bCs/>
          <w:i w:val="0"/>
          <w:iCs w:val="0"/>
          <w:sz w:val="24"/>
          <w:szCs w:val="24"/>
        </w:rPr>
        <w:t>ure</w:t>
      </w:r>
      <w:r w:rsidRPr="00C934C3">
        <w:rPr>
          <w:i w:val="0"/>
          <w:iCs w:val="0"/>
          <w:sz w:val="24"/>
          <w:szCs w:val="24"/>
        </w:rPr>
        <w:t xml:space="preserve">. </w:t>
      </w:r>
      <w:r w:rsidRPr="00C934C3">
        <w:rPr>
          <w:i w:val="0"/>
          <w:iCs w:val="0"/>
          <w:sz w:val="24"/>
          <w:szCs w:val="24"/>
        </w:rPr>
        <w:fldChar w:fldCharType="begin"/>
      </w:r>
      <w:r w:rsidRPr="00C934C3">
        <w:rPr>
          <w:i w:val="0"/>
          <w:iCs w:val="0"/>
          <w:sz w:val="24"/>
          <w:szCs w:val="24"/>
        </w:rPr>
        <w:instrText xml:space="preserve"> SEQ Figure \* ARABIC </w:instrText>
      </w:r>
      <w:r w:rsidRPr="00C934C3">
        <w:rPr>
          <w:i w:val="0"/>
          <w:iCs w:val="0"/>
          <w:sz w:val="24"/>
          <w:szCs w:val="24"/>
        </w:rPr>
        <w:fldChar w:fldCharType="separate"/>
      </w:r>
      <w:r w:rsidRPr="00C934C3">
        <w:rPr>
          <w:i w:val="0"/>
          <w:iCs w:val="0"/>
          <w:noProof/>
          <w:sz w:val="24"/>
          <w:szCs w:val="24"/>
        </w:rPr>
        <w:t>2</w:t>
      </w:r>
      <w:r w:rsidRPr="00C934C3">
        <w:rPr>
          <w:i w:val="0"/>
          <w:iCs w:val="0"/>
          <w:noProof/>
          <w:sz w:val="24"/>
          <w:szCs w:val="24"/>
        </w:rPr>
        <w:fldChar w:fldCharType="end"/>
      </w:r>
      <w:r w:rsidRPr="00C934C3">
        <w:rPr>
          <w:i w:val="0"/>
          <w:iCs w:val="0"/>
          <w:sz w:val="24"/>
          <w:szCs w:val="24"/>
        </w:rPr>
        <w:t xml:space="preserve"> Activity Diagram of </w:t>
      </w:r>
      <w:r w:rsidR="00581B60" w:rsidRPr="00C934C3">
        <w:rPr>
          <w:i w:val="0"/>
          <w:iCs w:val="0"/>
          <w:sz w:val="24"/>
          <w:szCs w:val="24"/>
        </w:rPr>
        <w:t>Clinical Workflows</w:t>
      </w:r>
    </w:p>
    <w:p w14:paraId="6466C948" w14:textId="77777777" w:rsidR="00380062" w:rsidRPr="00C934C3" w:rsidRDefault="00380062" w:rsidP="008A1263">
      <w:pPr>
        <w:rPr>
          <w:lang w:val="en-US"/>
        </w:rPr>
      </w:pPr>
    </w:p>
    <w:p w14:paraId="4D521665" w14:textId="77777777" w:rsidR="00380062" w:rsidRPr="00C934C3" w:rsidRDefault="00380062" w:rsidP="008A1263">
      <w:pPr>
        <w:ind w:firstLine="284"/>
        <w:jc w:val="both"/>
        <w:sectPr w:rsidR="00380062" w:rsidRPr="00C934C3" w:rsidSect="00F316AD">
          <w:type w:val="continuous"/>
          <w:pgSz w:w="11907" w:h="16840" w:code="9"/>
          <w:pgMar w:top="1440" w:right="1440" w:bottom="1440" w:left="1440" w:header="1134" w:footer="1134" w:gutter="0"/>
          <w:pgNumType w:start="1"/>
          <w:cols w:space="720"/>
          <w:titlePg/>
          <w:docGrid w:linePitch="360"/>
        </w:sectPr>
      </w:pPr>
    </w:p>
    <w:p w14:paraId="5644C697" w14:textId="67A908C9" w:rsidR="00380062" w:rsidRPr="00C934C3" w:rsidRDefault="00380062" w:rsidP="008C08D7">
      <w:pPr>
        <w:jc w:val="both"/>
      </w:pPr>
      <w:r w:rsidRPr="00C934C3">
        <w:t xml:space="preserve">Figure 2 showing the interactions between </w:t>
      </w:r>
      <w:r w:rsidRPr="00C934C3">
        <w:rPr>
          <w:i/>
          <w:iCs/>
        </w:rPr>
        <w:t>Medical Record Staff, Nurses, Doctors, Lab</w:t>
      </w:r>
      <w:r w:rsidR="00FB11E6" w:rsidRPr="00C934C3">
        <w:rPr>
          <w:i/>
          <w:iCs/>
        </w:rPr>
        <w:t xml:space="preserve">oratory </w:t>
      </w:r>
      <w:r w:rsidRPr="00C934C3">
        <w:rPr>
          <w:i/>
          <w:iCs/>
        </w:rPr>
        <w:t>s</w:t>
      </w:r>
      <w:r w:rsidR="00FB11E6" w:rsidRPr="00C934C3">
        <w:rPr>
          <w:i/>
          <w:iCs/>
        </w:rPr>
        <w:t>taff</w:t>
      </w:r>
      <w:r w:rsidRPr="00C934C3">
        <w:rPr>
          <w:i/>
          <w:iCs/>
        </w:rPr>
        <w:t>, Radi</w:t>
      </w:r>
      <w:r w:rsidR="00FB11E6" w:rsidRPr="00C934C3">
        <w:rPr>
          <w:i/>
          <w:iCs/>
        </w:rPr>
        <w:t>ographer</w:t>
      </w:r>
      <w:r w:rsidRPr="00C934C3">
        <w:rPr>
          <w:i/>
          <w:iCs/>
        </w:rPr>
        <w:t>, Nutritionists, and Pharmac</w:t>
      </w:r>
      <w:r w:rsidR="00484638" w:rsidRPr="00C934C3">
        <w:rPr>
          <w:i/>
          <w:iCs/>
        </w:rPr>
        <w:t>ist</w:t>
      </w:r>
      <w:r w:rsidRPr="00C934C3">
        <w:t>. The clinical workflow begins with medical record staff registering patients according to the appropriate service unit, including surgical services when required. Nurses then perform initial assessments general, psychiatric, or neonatal based on specialization, and in surgical units they also conduct pre-operation and pre-</w:t>
      </w:r>
      <w:proofErr w:type="spellStart"/>
      <w:r w:rsidRPr="00C934C3">
        <w:t>anesthesia</w:t>
      </w:r>
      <w:proofErr w:type="spellEnd"/>
      <w:r w:rsidRPr="00C934C3">
        <w:t xml:space="preserve"> evaluations. </w:t>
      </w:r>
    </w:p>
    <w:p w14:paraId="095952C2" w14:textId="77777777" w:rsidR="008C08D7" w:rsidRDefault="008C08D7" w:rsidP="008C08D7">
      <w:pPr>
        <w:jc w:val="both"/>
      </w:pPr>
    </w:p>
    <w:p w14:paraId="27837D3A" w14:textId="7ED3405E" w:rsidR="00380062" w:rsidRPr="00C934C3" w:rsidRDefault="00380062" w:rsidP="008C08D7">
      <w:pPr>
        <w:jc w:val="both"/>
        <w:rPr>
          <w:color w:val="000000" w:themeColor="text1"/>
        </w:rPr>
      </w:pPr>
      <w:r w:rsidRPr="00C934C3">
        <w:t>Doctors subsequently carry out specialized initial assessments, establish diagnoses, determine medical procedures, and produce a general medical resume; in surgical contexts, they additionally complete post-operation and post-</w:t>
      </w:r>
      <w:proofErr w:type="spellStart"/>
      <w:r w:rsidRPr="00C934C3">
        <w:t>anesthesia</w:t>
      </w:r>
      <w:proofErr w:type="spellEnd"/>
      <w:r w:rsidRPr="00C934C3">
        <w:t xml:space="preserve"> assessments and prepare a surgical medical resume.</w:t>
      </w:r>
      <w:r w:rsidR="002172D0" w:rsidRPr="00C934C3">
        <w:t xml:space="preserve"> </w:t>
      </w:r>
      <w:r w:rsidRPr="00C934C3">
        <w:t xml:space="preserve">When indicated, laboratory and radiology personnel conduct diagnostic examinations. Finally, if medication is prescribed, pharmacists manage the dispensing process. </w:t>
      </w:r>
      <w:r w:rsidRPr="00C934C3">
        <w:rPr>
          <w:color w:val="000000" w:themeColor="text1"/>
        </w:rPr>
        <w:t xml:space="preserve">After the medical service process is defined, the next step is designing the database structure </w:t>
      </w:r>
      <w:r w:rsidRPr="00C934C3">
        <w:rPr>
          <w:color w:val="000000" w:themeColor="text1"/>
        </w:rPr>
        <w:lastRenderedPageBreak/>
        <w:t>for the EHR application. A descriptive overview of the EHR application physical database can be seen in Figure 3.</w:t>
      </w:r>
    </w:p>
    <w:p w14:paraId="43FEDDCB" w14:textId="26AA0AA3" w:rsidR="00380062" w:rsidRPr="00C934C3" w:rsidRDefault="00380062" w:rsidP="008A1263">
      <w:pPr>
        <w:rPr>
          <w:lang w:val="en-US"/>
        </w:rPr>
        <w:sectPr w:rsidR="00380062" w:rsidRPr="00C934C3" w:rsidSect="00F316AD">
          <w:type w:val="continuous"/>
          <w:pgSz w:w="11907" w:h="16840" w:code="9"/>
          <w:pgMar w:top="1440" w:right="1440" w:bottom="1440" w:left="1440" w:header="1134" w:footer="1134" w:gutter="0"/>
          <w:pgNumType w:start="1"/>
          <w:cols w:space="720"/>
          <w:titlePg/>
          <w:docGrid w:linePitch="360"/>
        </w:sectPr>
      </w:pPr>
    </w:p>
    <w:p w14:paraId="238F86A5" w14:textId="77777777" w:rsidR="00380062" w:rsidRPr="00C934C3" w:rsidRDefault="00380062" w:rsidP="008A1263">
      <w:pPr>
        <w:keepNext/>
        <w:sectPr w:rsidR="00380062" w:rsidRPr="00C934C3" w:rsidSect="00F316AD">
          <w:type w:val="continuous"/>
          <w:pgSz w:w="11907" w:h="16840" w:code="9"/>
          <w:pgMar w:top="1440" w:right="1440" w:bottom="1440" w:left="1440" w:header="1134" w:footer="1134" w:gutter="0"/>
          <w:pgNumType w:start="1"/>
          <w:cols w:space="720"/>
          <w:titlePg/>
          <w:docGrid w:linePitch="360"/>
        </w:sectPr>
      </w:pPr>
    </w:p>
    <w:p w14:paraId="6492663C" w14:textId="61320578" w:rsidR="00380062" w:rsidRPr="00C934C3" w:rsidRDefault="00380062" w:rsidP="008A1263">
      <w:pPr>
        <w:ind w:firstLine="284"/>
        <w:jc w:val="both"/>
      </w:pPr>
      <w:r w:rsidRPr="00C934C3">
        <w:rPr>
          <w:noProof/>
        </w:rPr>
        <w:drawing>
          <wp:inline distT="0" distB="0" distL="0" distR="0" wp14:anchorId="5BF7C5A1" wp14:editId="1738777B">
            <wp:extent cx="5605145" cy="60078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8678" cy="6140302"/>
                    </a:xfrm>
                    <a:prstGeom prst="rect">
                      <a:avLst/>
                    </a:prstGeom>
                  </pic:spPr>
                </pic:pic>
              </a:graphicData>
            </a:graphic>
          </wp:inline>
        </w:drawing>
      </w:r>
    </w:p>
    <w:p w14:paraId="5F68FF09" w14:textId="2C7CF554" w:rsidR="00380062" w:rsidRPr="00C934C3" w:rsidRDefault="00380062" w:rsidP="008A1263">
      <w:pPr>
        <w:pStyle w:val="Caption"/>
        <w:spacing w:line="240" w:lineRule="auto"/>
        <w:rPr>
          <w:i w:val="0"/>
          <w:iCs w:val="0"/>
          <w:sz w:val="24"/>
          <w:szCs w:val="24"/>
        </w:rPr>
      </w:pPr>
      <w:r w:rsidRPr="00C934C3">
        <w:rPr>
          <w:b/>
          <w:bCs/>
          <w:i w:val="0"/>
          <w:iCs w:val="0"/>
          <w:sz w:val="24"/>
          <w:szCs w:val="24"/>
        </w:rPr>
        <w:t>Fig</w:t>
      </w:r>
      <w:r w:rsidR="00FB1E92" w:rsidRPr="00C934C3">
        <w:rPr>
          <w:b/>
          <w:bCs/>
          <w:i w:val="0"/>
          <w:iCs w:val="0"/>
          <w:sz w:val="24"/>
          <w:szCs w:val="24"/>
        </w:rPr>
        <w:t>ure</w:t>
      </w:r>
      <w:r w:rsidRPr="00C934C3">
        <w:rPr>
          <w:i w:val="0"/>
          <w:iCs w:val="0"/>
          <w:sz w:val="24"/>
          <w:szCs w:val="24"/>
        </w:rPr>
        <w:t xml:space="preserve">. </w:t>
      </w:r>
      <w:r w:rsidRPr="00C934C3">
        <w:rPr>
          <w:i w:val="0"/>
          <w:iCs w:val="0"/>
          <w:sz w:val="24"/>
          <w:szCs w:val="24"/>
        </w:rPr>
        <w:fldChar w:fldCharType="begin"/>
      </w:r>
      <w:r w:rsidRPr="00C934C3">
        <w:rPr>
          <w:i w:val="0"/>
          <w:iCs w:val="0"/>
          <w:sz w:val="24"/>
          <w:szCs w:val="24"/>
        </w:rPr>
        <w:instrText xml:space="preserve"> SEQ Figure \* ARABIC </w:instrText>
      </w:r>
      <w:r w:rsidRPr="00C934C3">
        <w:rPr>
          <w:i w:val="0"/>
          <w:iCs w:val="0"/>
          <w:sz w:val="24"/>
          <w:szCs w:val="24"/>
        </w:rPr>
        <w:fldChar w:fldCharType="separate"/>
      </w:r>
      <w:r w:rsidRPr="00C934C3">
        <w:rPr>
          <w:i w:val="0"/>
          <w:iCs w:val="0"/>
          <w:noProof/>
          <w:sz w:val="24"/>
          <w:szCs w:val="24"/>
        </w:rPr>
        <w:t>3</w:t>
      </w:r>
      <w:r w:rsidRPr="00C934C3">
        <w:rPr>
          <w:i w:val="0"/>
          <w:iCs w:val="0"/>
          <w:noProof/>
          <w:sz w:val="24"/>
          <w:szCs w:val="24"/>
        </w:rPr>
        <w:fldChar w:fldCharType="end"/>
      </w:r>
      <w:r w:rsidRPr="00C934C3">
        <w:rPr>
          <w:i w:val="0"/>
          <w:iCs w:val="0"/>
          <w:sz w:val="24"/>
          <w:szCs w:val="24"/>
        </w:rPr>
        <w:t xml:space="preserve"> Physical Database of EHR Application</w:t>
      </w:r>
    </w:p>
    <w:p w14:paraId="3AF1CA37" w14:textId="77777777" w:rsidR="00B72924" w:rsidRPr="00C934C3" w:rsidRDefault="00B72924" w:rsidP="00B72924">
      <w:pPr>
        <w:rPr>
          <w:lang w:val="en-US"/>
        </w:rPr>
      </w:pPr>
    </w:p>
    <w:p w14:paraId="1150DA58" w14:textId="4D29091C" w:rsidR="00380062" w:rsidRPr="00CC3719" w:rsidRDefault="00380062" w:rsidP="00CC3719">
      <w:pPr>
        <w:rPr>
          <w:b/>
          <w:bCs/>
          <w:color w:val="000000" w:themeColor="text1"/>
        </w:rPr>
      </w:pPr>
      <w:r w:rsidRPr="00CC3719">
        <w:rPr>
          <w:b/>
          <w:bCs/>
          <w:color w:val="000000" w:themeColor="text1"/>
        </w:rPr>
        <w:t>Construction</w:t>
      </w:r>
    </w:p>
    <w:p w14:paraId="65D51944" w14:textId="77777777" w:rsidR="00380062" w:rsidRPr="00CC3719" w:rsidRDefault="00380062" w:rsidP="008A1263">
      <w:pPr>
        <w:ind w:firstLine="284"/>
        <w:jc w:val="both"/>
        <w:rPr>
          <w:b/>
          <w:bCs/>
        </w:rPr>
        <w:sectPr w:rsidR="00380062" w:rsidRPr="00CC3719" w:rsidSect="008C08D7">
          <w:type w:val="continuous"/>
          <w:pgSz w:w="11907" w:h="16840" w:code="9"/>
          <w:pgMar w:top="1440" w:right="1440" w:bottom="1440" w:left="1440" w:header="1134" w:footer="1134" w:gutter="0"/>
          <w:pgNumType w:start="1"/>
          <w:cols w:space="720"/>
          <w:titlePg/>
          <w:docGrid w:linePitch="360"/>
        </w:sectPr>
      </w:pPr>
    </w:p>
    <w:p w14:paraId="4AA7A50B" w14:textId="77777777" w:rsidR="00CC3719" w:rsidRDefault="00CC3719" w:rsidP="00CC3719">
      <w:pPr>
        <w:jc w:val="both"/>
      </w:pPr>
    </w:p>
    <w:p w14:paraId="3B37217E" w14:textId="101D2F2E" w:rsidR="00380062" w:rsidRPr="00C934C3" w:rsidRDefault="00380062" w:rsidP="00CC3719">
      <w:pPr>
        <w:jc w:val="both"/>
      </w:pPr>
      <w:r w:rsidRPr="00C934C3">
        <w:t>The results of the EHR application development can be seen in Figures 4, 5, 6. Figure 4 is a brief overview of the initial medical assessment by general doctor form on the EHR Application which is filled out by the doctor, used to collect data: anamnesis, vital signs examination, physical examination, supporting examinations, diagnosis, management and follow-up plans for the patient.</w:t>
      </w:r>
    </w:p>
    <w:p w14:paraId="4D0CA5CE" w14:textId="77777777" w:rsidR="00380062" w:rsidRPr="00C934C3" w:rsidRDefault="00380062" w:rsidP="008A1263">
      <w:pPr>
        <w:jc w:val="both"/>
        <w:sectPr w:rsidR="00380062" w:rsidRPr="00C934C3" w:rsidSect="008C08D7">
          <w:type w:val="continuous"/>
          <w:pgSz w:w="11907" w:h="16840" w:code="9"/>
          <w:pgMar w:top="1440" w:right="1440" w:bottom="1440" w:left="1440" w:header="1134" w:footer="1134" w:gutter="0"/>
          <w:pgNumType w:start="1"/>
          <w:cols w:space="720"/>
          <w:titlePg/>
          <w:docGrid w:linePitch="360"/>
        </w:sectPr>
      </w:pPr>
    </w:p>
    <w:p w14:paraId="7941B12A" w14:textId="77777777" w:rsidR="00380062" w:rsidRPr="00C934C3" w:rsidRDefault="00380062" w:rsidP="008A1263">
      <w:pPr>
        <w:jc w:val="both"/>
        <w:sectPr w:rsidR="00380062" w:rsidRPr="00C934C3" w:rsidSect="008C08D7">
          <w:type w:val="continuous"/>
          <w:pgSz w:w="11907" w:h="16840" w:code="9"/>
          <w:pgMar w:top="1440" w:right="1440" w:bottom="1440" w:left="1440" w:header="1134" w:footer="1134" w:gutter="0"/>
          <w:pgNumType w:start="1"/>
          <w:cols w:space="720"/>
          <w:titlePg/>
          <w:docGrid w:linePitch="360"/>
        </w:sectPr>
      </w:pPr>
    </w:p>
    <w:p w14:paraId="68369696" w14:textId="77777777" w:rsidR="00380062" w:rsidRPr="00C934C3" w:rsidRDefault="00380062" w:rsidP="008A1263">
      <w:pPr>
        <w:jc w:val="center"/>
      </w:pPr>
      <w:r w:rsidRPr="00C934C3">
        <w:rPr>
          <w:noProof/>
        </w:rPr>
        <w:lastRenderedPageBreak/>
        <w:drawing>
          <wp:inline distT="0" distB="0" distL="0" distR="0" wp14:anchorId="149B84CA" wp14:editId="19BD8C2B">
            <wp:extent cx="5272717" cy="210563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extLst>
                        <a:ext uri="{28A0092B-C50C-407E-A947-70E740481C1C}">
                          <a14:useLocalDpi xmlns:a14="http://schemas.microsoft.com/office/drawing/2010/main" val="0"/>
                        </a:ext>
                      </a:extLst>
                    </a:blip>
                    <a:srcRect l="5356" t="24146" b="10429"/>
                    <a:stretch/>
                  </pic:blipFill>
                  <pic:spPr bwMode="auto">
                    <a:xfrm>
                      <a:off x="0" y="0"/>
                      <a:ext cx="5344450" cy="2134282"/>
                    </a:xfrm>
                    <a:prstGeom prst="rect">
                      <a:avLst/>
                    </a:prstGeom>
                    <a:ln>
                      <a:noFill/>
                    </a:ln>
                    <a:extLst>
                      <a:ext uri="{53640926-AAD7-44D8-BBD7-CCE9431645EC}">
                        <a14:shadowObscured xmlns:a14="http://schemas.microsoft.com/office/drawing/2010/main"/>
                      </a:ext>
                    </a:extLst>
                  </pic:spPr>
                </pic:pic>
              </a:graphicData>
            </a:graphic>
          </wp:inline>
        </w:drawing>
      </w:r>
    </w:p>
    <w:p w14:paraId="4070C7FF" w14:textId="1F1B4A30" w:rsidR="00380062" w:rsidRPr="00876165" w:rsidRDefault="00380062" w:rsidP="00876165">
      <w:pPr>
        <w:pStyle w:val="Caption"/>
        <w:spacing w:line="240" w:lineRule="auto"/>
        <w:rPr>
          <w:i w:val="0"/>
          <w:iCs w:val="0"/>
          <w:sz w:val="24"/>
          <w:szCs w:val="24"/>
        </w:rPr>
        <w:sectPr w:rsidR="00380062" w:rsidRPr="00876165" w:rsidSect="008C08D7">
          <w:type w:val="continuous"/>
          <w:pgSz w:w="11907" w:h="16840" w:code="9"/>
          <w:pgMar w:top="1440" w:right="1440" w:bottom="1440" w:left="1440" w:header="1134" w:footer="1134" w:gutter="0"/>
          <w:pgNumType w:start="1"/>
          <w:cols w:space="720"/>
          <w:titlePg/>
          <w:docGrid w:linePitch="360"/>
        </w:sectPr>
      </w:pPr>
      <w:r w:rsidRPr="00C934C3">
        <w:rPr>
          <w:b/>
          <w:bCs/>
          <w:i w:val="0"/>
          <w:iCs w:val="0"/>
          <w:sz w:val="24"/>
          <w:szCs w:val="24"/>
        </w:rPr>
        <w:t>Fig</w:t>
      </w:r>
      <w:r w:rsidR="00661754" w:rsidRPr="00C934C3">
        <w:rPr>
          <w:b/>
          <w:bCs/>
          <w:i w:val="0"/>
          <w:iCs w:val="0"/>
          <w:sz w:val="24"/>
          <w:szCs w:val="24"/>
        </w:rPr>
        <w:t>ure</w:t>
      </w:r>
      <w:r w:rsidRPr="00C934C3">
        <w:rPr>
          <w:i w:val="0"/>
          <w:iCs w:val="0"/>
          <w:sz w:val="24"/>
          <w:szCs w:val="24"/>
        </w:rPr>
        <w:t xml:space="preserve">. </w:t>
      </w:r>
      <w:r w:rsidRPr="00C934C3">
        <w:rPr>
          <w:i w:val="0"/>
          <w:iCs w:val="0"/>
          <w:sz w:val="24"/>
          <w:szCs w:val="24"/>
        </w:rPr>
        <w:fldChar w:fldCharType="begin"/>
      </w:r>
      <w:r w:rsidRPr="00C934C3">
        <w:rPr>
          <w:i w:val="0"/>
          <w:iCs w:val="0"/>
          <w:sz w:val="24"/>
          <w:szCs w:val="24"/>
        </w:rPr>
        <w:instrText xml:space="preserve"> SEQ Figure \* ARABIC </w:instrText>
      </w:r>
      <w:r w:rsidRPr="00C934C3">
        <w:rPr>
          <w:i w:val="0"/>
          <w:iCs w:val="0"/>
          <w:sz w:val="24"/>
          <w:szCs w:val="24"/>
        </w:rPr>
        <w:fldChar w:fldCharType="separate"/>
      </w:r>
      <w:r w:rsidRPr="00C934C3">
        <w:rPr>
          <w:i w:val="0"/>
          <w:iCs w:val="0"/>
          <w:noProof/>
          <w:sz w:val="24"/>
          <w:szCs w:val="24"/>
        </w:rPr>
        <w:t>4</w:t>
      </w:r>
      <w:r w:rsidRPr="00C934C3">
        <w:rPr>
          <w:i w:val="0"/>
          <w:iCs w:val="0"/>
          <w:noProof/>
          <w:sz w:val="24"/>
          <w:szCs w:val="24"/>
        </w:rPr>
        <w:fldChar w:fldCharType="end"/>
      </w:r>
      <w:r w:rsidRPr="00C934C3">
        <w:rPr>
          <w:i w:val="0"/>
          <w:iCs w:val="0"/>
          <w:sz w:val="24"/>
          <w:szCs w:val="24"/>
        </w:rPr>
        <w:t xml:space="preserve"> Initial Medical Assessment by General Doctor</w:t>
      </w:r>
    </w:p>
    <w:p w14:paraId="66E1D936" w14:textId="77777777" w:rsidR="00380062" w:rsidRPr="00C934C3" w:rsidRDefault="00380062" w:rsidP="008A1263">
      <w:pPr>
        <w:ind w:firstLine="284"/>
        <w:jc w:val="both"/>
        <w:sectPr w:rsidR="00380062" w:rsidRPr="00C934C3" w:rsidSect="00634BDE">
          <w:type w:val="continuous"/>
          <w:pgSz w:w="11907" w:h="16840" w:code="9"/>
          <w:pgMar w:top="1440" w:right="1440" w:bottom="1440" w:left="1440" w:header="1134" w:footer="1134" w:gutter="0"/>
          <w:pgNumType w:start="1"/>
          <w:cols w:space="720"/>
          <w:docGrid w:linePitch="360"/>
        </w:sectPr>
      </w:pPr>
    </w:p>
    <w:p w14:paraId="0CEFC658" w14:textId="77777777" w:rsidR="00876165" w:rsidRDefault="00876165" w:rsidP="00634BDE">
      <w:pPr>
        <w:ind w:firstLine="284"/>
        <w:jc w:val="both"/>
      </w:pPr>
    </w:p>
    <w:p w14:paraId="7E1B8DB8" w14:textId="5330A9D2" w:rsidR="00380062" w:rsidRPr="00C934C3" w:rsidRDefault="00380062" w:rsidP="00876165">
      <w:pPr>
        <w:jc w:val="both"/>
        <w:sectPr w:rsidR="00380062" w:rsidRPr="00C934C3" w:rsidSect="00FB1E92">
          <w:type w:val="continuous"/>
          <w:pgSz w:w="11907" w:h="16840" w:code="9"/>
          <w:pgMar w:top="1440" w:right="1440" w:bottom="1440" w:left="1440" w:header="1134" w:footer="1134" w:gutter="0"/>
          <w:pgNumType w:start="1"/>
          <w:cols w:space="720"/>
          <w:docGrid w:linePitch="360"/>
        </w:sectPr>
      </w:pPr>
      <w:r w:rsidRPr="00C934C3">
        <w:t>Figure 5 is the Laboratory and Radiology Support Examination Form in the EHR Application. This form will record and forward examination requests from doctors to the laboratory or radiology department. After the examination is carried out, the laboratory and radiology will send back the results of the examination to be read again by the requesting doctor</w:t>
      </w:r>
    </w:p>
    <w:p w14:paraId="09172B27" w14:textId="77777777" w:rsidR="00380062" w:rsidRPr="00C934C3" w:rsidRDefault="00380062" w:rsidP="008A1263">
      <w:pPr>
        <w:jc w:val="both"/>
        <w:sectPr w:rsidR="00380062" w:rsidRPr="00C934C3" w:rsidSect="00B72924">
          <w:type w:val="continuous"/>
          <w:pgSz w:w="11907" w:h="16840" w:code="9"/>
          <w:pgMar w:top="1440" w:right="1440" w:bottom="1440" w:left="1440" w:header="1134" w:footer="1134" w:gutter="0"/>
          <w:pgNumType w:start="1"/>
          <w:cols w:num="2" w:space="720"/>
          <w:docGrid w:linePitch="360"/>
        </w:sectPr>
      </w:pPr>
    </w:p>
    <w:p w14:paraId="7A73751B" w14:textId="093E13BD" w:rsidR="00380062" w:rsidRPr="00C934C3" w:rsidRDefault="00380062" w:rsidP="00634BDE">
      <w:pPr>
        <w:tabs>
          <w:tab w:val="left" w:pos="3497"/>
        </w:tabs>
        <w:jc w:val="both"/>
      </w:pPr>
    </w:p>
    <w:p w14:paraId="58DF35F6" w14:textId="3A60781B" w:rsidR="00634BDE" w:rsidRPr="00C934C3" w:rsidRDefault="00634BDE" w:rsidP="00634BDE">
      <w:pPr>
        <w:tabs>
          <w:tab w:val="left" w:pos="3497"/>
        </w:tabs>
        <w:sectPr w:rsidR="00634BDE" w:rsidRPr="00C934C3" w:rsidSect="008C08D7">
          <w:type w:val="continuous"/>
          <w:pgSz w:w="11907" w:h="16840" w:code="9"/>
          <w:pgMar w:top="1440" w:right="1440" w:bottom="1440" w:left="1440" w:header="1134" w:footer="1134" w:gutter="0"/>
          <w:pgNumType w:start="1"/>
          <w:cols w:space="720"/>
          <w:titlePg/>
          <w:docGrid w:linePitch="360"/>
        </w:sectPr>
      </w:pPr>
      <w:r w:rsidRPr="00C934C3">
        <w:tab/>
      </w:r>
    </w:p>
    <w:p w14:paraId="0625F115" w14:textId="77777777" w:rsidR="00380062" w:rsidRPr="00C934C3" w:rsidRDefault="00380062" w:rsidP="008A1263">
      <w:pPr>
        <w:jc w:val="center"/>
      </w:pPr>
      <w:r w:rsidRPr="00C934C3">
        <w:rPr>
          <w:noProof/>
        </w:rPr>
        <w:drawing>
          <wp:inline distT="0" distB="0" distL="0" distR="0" wp14:anchorId="5789EA2D" wp14:editId="77A92142">
            <wp:extent cx="5279302" cy="2714017"/>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a:extLst>
                        <a:ext uri="{28A0092B-C50C-407E-A947-70E740481C1C}">
                          <a14:useLocalDpi xmlns:a14="http://schemas.microsoft.com/office/drawing/2010/main" val="0"/>
                        </a:ext>
                      </a:extLst>
                    </a:blip>
                    <a:srcRect l="5193" t="18169" b="8880"/>
                    <a:stretch/>
                  </pic:blipFill>
                  <pic:spPr bwMode="auto">
                    <a:xfrm>
                      <a:off x="0" y="0"/>
                      <a:ext cx="5339533" cy="2744981"/>
                    </a:xfrm>
                    <a:prstGeom prst="rect">
                      <a:avLst/>
                    </a:prstGeom>
                    <a:ln>
                      <a:noFill/>
                    </a:ln>
                    <a:extLst>
                      <a:ext uri="{53640926-AAD7-44D8-BBD7-CCE9431645EC}">
                        <a14:shadowObscured xmlns:a14="http://schemas.microsoft.com/office/drawing/2010/main"/>
                      </a:ext>
                    </a:extLst>
                  </pic:spPr>
                </pic:pic>
              </a:graphicData>
            </a:graphic>
          </wp:inline>
        </w:drawing>
      </w:r>
    </w:p>
    <w:p w14:paraId="789E6B32" w14:textId="70E1DF8B" w:rsidR="00380062" w:rsidRPr="00C934C3" w:rsidRDefault="00380062" w:rsidP="008A1263">
      <w:pPr>
        <w:jc w:val="center"/>
        <w:sectPr w:rsidR="00380062" w:rsidRPr="00C934C3" w:rsidSect="00920E6D">
          <w:type w:val="continuous"/>
          <w:pgSz w:w="11907" w:h="16840" w:code="9"/>
          <w:pgMar w:top="1440" w:right="1440" w:bottom="1440" w:left="1440" w:header="1134" w:footer="1134" w:gutter="0"/>
          <w:pgNumType w:start="1"/>
          <w:cols w:space="720"/>
          <w:docGrid w:linePitch="360"/>
        </w:sectPr>
      </w:pPr>
      <w:r w:rsidRPr="00C934C3">
        <w:rPr>
          <w:b/>
          <w:bCs/>
        </w:rPr>
        <w:t>Fig</w:t>
      </w:r>
      <w:r w:rsidR="00661754" w:rsidRPr="00C934C3">
        <w:rPr>
          <w:b/>
          <w:bCs/>
        </w:rPr>
        <w:t>ure</w:t>
      </w:r>
      <w:r w:rsidRPr="00C934C3">
        <w:t xml:space="preserve">. </w:t>
      </w:r>
      <w:fldSimple w:instr=" SEQ Figure \* ARABIC ">
        <w:r w:rsidRPr="00C934C3">
          <w:rPr>
            <w:noProof/>
          </w:rPr>
          <w:t>5</w:t>
        </w:r>
      </w:fldSimple>
      <w:r w:rsidRPr="00C934C3">
        <w:rPr>
          <w:noProof/>
        </w:rPr>
        <w:t xml:space="preserve"> Laboratory and Radiology Support Examinati</w:t>
      </w:r>
      <w:r w:rsidR="00876165">
        <w:rPr>
          <w:noProof/>
        </w:rPr>
        <w:t>on</w:t>
      </w:r>
    </w:p>
    <w:p w14:paraId="708362AF" w14:textId="77777777" w:rsidR="00380062" w:rsidRPr="00C934C3" w:rsidRDefault="00380062" w:rsidP="008A1263">
      <w:pPr>
        <w:jc w:val="both"/>
        <w:sectPr w:rsidR="00380062" w:rsidRPr="00C934C3" w:rsidSect="008C08D7">
          <w:type w:val="continuous"/>
          <w:pgSz w:w="11907" w:h="16840" w:code="9"/>
          <w:pgMar w:top="1440" w:right="1440" w:bottom="1440" w:left="1440" w:header="1134" w:footer="1134" w:gutter="0"/>
          <w:pgNumType w:start="1"/>
          <w:cols w:space="720"/>
          <w:titlePg/>
          <w:docGrid w:linePitch="360"/>
        </w:sectPr>
      </w:pPr>
    </w:p>
    <w:p w14:paraId="3DA5D9A4" w14:textId="77777777" w:rsidR="00876165" w:rsidRDefault="00876165" w:rsidP="00876165">
      <w:pPr>
        <w:jc w:val="both"/>
      </w:pPr>
    </w:p>
    <w:p w14:paraId="7B6DC7C9" w14:textId="2449C8B7" w:rsidR="00380062" w:rsidRPr="00C934C3" w:rsidRDefault="00380062" w:rsidP="00876165">
      <w:pPr>
        <w:jc w:val="both"/>
      </w:pPr>
      <w:r w:rsidRPr="00C934C3">
        <w:t>Figure 6 is the Integrated Patient Examination Record Form. This is a form that is filled out by all providers of medical services for a patient.</w:t>
      </w:r>
    </w:p>
    <w:p w14:paraId="3D965FBB" w14:textId="77777777" w:rsidR="00380062" w:rsidRPr="00C934C3" w:rsidRDefault="00380062" w:rsidP="008A1263">
      <w:pPr>
        <w:jc w:val="both"/>
      </w:pPr>
    </w:p>
    <w:p w14:paraId="4CE3708F" w14:textId="77777777" w:rsidR="00380062" w:rsidRPr="00C934C3" w:rsidRDefault="00380062" w:rsidP="008A1263">
      <w:pPr>
        <w:jc w:val="both"/>
        <w:sectPr w:rsidR="00380062" w:rsidRPr="00C934C3" w:rsidSect="008C08D7">
          <w:type w:val="continuous"/>
          <w:pgSz w:w="11907" w:h="16840" w:code="9"/>
          <w:pgMar w:top="1440" w:right="1440" w:bottom="1440" w:left="1440" w:header="1134" w:footer="1134" w:gutter="0"/>
          <w:pgNumType w:start="1"/>
          <w:cols w:space="720"/>
          <w:titlePg/>
          <w:docGrid w:linePitch="360"/>
        </w:sectPr>
      </w:pPr>
    </w:p>
    <w:p w14:paraId="4C61FFCE" w14:textId="77777777" w:rsidR="00380062" w:rsidRPr="00C934C3" w:rsidRDefault="00380062" w:rsidP="008A1263">
      <w:pPr>
        <w:jc w:val="center"/>
      </w:pPr>
      <w:r w:rsidRPr="00C934C3">
        <w:rPr>
          <w:noProof/>
        </w:rPr>
        <w:lastRenderedPageBreak/>
        <w:drawing>
          <wp:inline distT="0" distB="0" distL="0" distR="0" wp14:anchorId="7E0926E1" wp14:editId="5E28B831">
            <wp:extent cx="5268595" cy="2636196"/>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a:extLst>
                        <a:ext uri="{28A0092B-C50C-407E-A947-70E740481C1C}">
                          <a14:useLocalDpi xmlns:a14="http://schemas.microsoft.com/office/drawing/2010/main" val="0"/>
                        </a:ext>
                      </a:extLst>
                    </a:blip>
                    <a:srcRect l="5421" t="18754" b="16099"/>
                    <a:stretch/>
                  </pic:blipFill>
                  <pic:spPr bwMode="auto">
                    <a:xfrm>
                      <a:off x="0" y="0"/>
                      <a:ext cx="5356952" cy="2680406"/>
                    </a:xfrm>
                    <a:prstGeom prst="rect">
                      <a:avLst/>
                    </a:prstGeom>
                    <a:ln>
                      <a:noFill/>
                    </a:ln>
                    <a:extLst>
                      <a:ext uri="{53640926-AAD7-44D8-BBD7-CCE9431645EC}">
                        <a14:shadowObscured xmlns:a14="http://schemas.microsoft.com/office/drawing/2010/main"/>
                      </a:ext>
                    </a:extLst>
                  </pic:spPr>
                </pic:pic>
              </a:graphicData>
            </a:graphic>
          </wp:inline>
        </w:drawing>
      </w:r>
    </w:p>
    <w:p w14:paraId="669F6437" w14:textId="7266BDE9" w:rsidR="00380062" w:rsidRPr="00C934C3" w:rsidRDefault="00380062" w:rsidP="008A1263">
      <w:pPr>
        <w:jc w:val="center"/>
        <w:rPr>
          <w:noProof/>
        </w:rPr>
      </w:pPr>
      <w:r w:rsidRPr="00C934C3">
        <w:rPr>
          <w:b/>
          <w:bCs/>
        </w:rPr>
        <w:t>Fig</w:t>
      </w:r>
      <w:r w:rsidR="00661754" w:rsidRPr="00C934C3">
        <w:rPr>
          <w:b/>
          <w:bCs/>
        </w:rPr>
        <w:t>ure</w:t>
      </w:r>
      <w:r w:rsidRPr="00C934C3">
        <w:t xml:space="preserve">. </w:t>
      </w:r>
      <w:fldSimple w:instr=" SEQ Figure \* ARABIC ">
        <w:r w:rsidRPr="00C934C3">
          <w:rPr>
            <w:noProof/>
          </w:rPr>
          <w:t>6</w:t>
        </w:r>
      </w:fldSimple>
      <w:r w:rsidRPr="00C934C3">
        <w:rPr>
          <w:noProof/>
        </w:rPr>
        <w:t xml:space="preserve"> Integrated Patient Examination Record</w:t>
      </w:r>
    </w:p>
    <w:p w14:paraId="2D4B30BB" w14:textId="77777777" w:rsidR="00661754" w:rsidRPr="00C934C3" w:rsidRDefault="00661754" w:rsidP="008A1263">
      <w:pPr>
        <w:jc w:val="center"/>
        <w:rPr>
          <w:i/>
          <w:iCs/>
          <w:noProof/>
        </w:rPr>
      </w:pPr>
    </w:p>
    <w:p w14:paraId="43530B6F" w14:textId="77777777" w:rsidR="00876165" w:rsidRDefault="00876165" w:rsidP="00CC3719">
      <w:pPr>
        <w:rPr>
          <w:b/>
          <w:bCs/>
          <w:color w:val="000000" w:themeColor="text1"/>
        </w:rPr>
      </w:pPr>
    </w:p>
    <w:p w14:paraId="0BD47EC8" w14:textId="1E9B3528" w:rsidR="00380062" w:rsidRPr="00CC3719" w:rsidRDefault="00380062" w:rsidP="00CC3719">
      <w:pPr>
        <w:rPr>
          <w:b/>
          <w:bCs/>
          <w:color w:val="000000" w:themeColor="text1"/>
        </w:rPr>
      </w:pPr>
      <w:r w:rsidRPr="00CC3719">
        <w:rPr>
          <w:b/>
          <w:bCs/>
          <w:color w:val="000000" w:themeColor="text1"/>
        </w:rPr>
        <w:t>Implementation and Evaluation</w:t>
      </w:r>
    </w:p>
    <w:p w14:paraId="7210683D" w14:textId="77777777" w:rsidR="00380062" w:rsidRPr="00CC3719" w:rsidRDefault="00380062" w:rsidP="00CC3719">
      <w:pPr>
        <w:jc w:val="both"/>
        <w:rPr>
          <w:b/>
          <w:bCs/>
        </w:rPr>
        <w:sectPr w:rsidR="00380062" w:rsidRPr="00CC3719" w:rsidSect="00FB11E6">
          <w:type w:val="continuous"/>
          <w:pgSz w:w="11907" w:h="16840" w:code="9"/>
          <w:pgMar w:top="1440" w:right="1440" w:bottom="1440" w:left="1440" w:header="1134" w:footer="1134" w:gutter="0"/>
          <w:pgNumType w:start="1"/>
          <w:cols w:space="720"/>
          <w:docGrid w:linePitch="360"/>
        </w:sectPr>
      </w:pPr>
    </w:p>
    <w:p w14:paraId="109335F8" w14:textId="77777777" w:rsidR="00CC3719" w:rsidRDefault="00CC3719" w:rsidP="00CC3719">
      <w:pPr>
        <w:jc w:val="both"/>
      </w:pPr>
    </w:p>
    <w:p w14:paraId="7A7BE517" w14:textId="5FDF3222" w:rsidR="00380062" w:rsidRPr="00C934C3" w:rsidRDefault="00380062" w:rsidP="00CC3719">
      <w:pPr>
        <w:jc w:val="both"/>
        <w:rPr>
          <w:lang w:val="en-US"/>
        </w:rPr>
      </w:pPr>
      <w:r w:rsidRPr="00C934C3">
        <w:t>The implementation and evaluation process are carried out with 8 (eight) expert</w:t>
      </w:r>
      <w:r w:rsidR="00366403" w:rsidRPr="00C934C3">
        <w:t>’</w:t>
      </w:r>
      <w:r w:rsidRPr="00C934C3">
        <w:t>s</w:t>
      </w:r>
      <w:r w:rsidR="00366403" w:rsidRPr="00C934C3">
        <w:t xml:space="preserve"> judgements</w:t>
      </w:r>
      <w:r w:rsidRPr="00C934C3">
        <w:t xml:space="preserve"> with professions as General Doctor, Psychiatrist, General Nurse, Psychiatric Nurse, Medical Record Staff, and Nutritionist through the</w:t>
      </w:r>
      <w:r w:rsidR="00F679A0" w:rsidRPr="00C934C3">
        <w:t xml:space="preserve"> 10 (ten)</w:t>
      </w:r>
      <w:r w:rsidRPr="00C934C3">
        <w:t xml:space="preserve"> indicators: </w:t>
      </w:r>
      <w:r w:rsidRPr="00C934C3">
        <w:rPr>
          <w:i/>
          <w:iCs/>
        </w:rPr>
        <w:t>user interface design, accessibility, interactivity, personalization, social learning, usability, performance, user feedback, user satisfaction, and user motivation</w:t>
      </w:r>
      <w:r w:rsidRPr="00C934C3">
        <w:t>.</w:t>
      </w:r>
      <w:r w:rsidR="00F679A0" w:rsidRPr="00C934C3">
        <w:t xml:space="preserve"> </w:t>
      </w:r>
      <w:r w:rsidRPr="00C934C3">
        <w:t xml:space="preserve">The result is shown in Table I. </w:t>
      </w:r>
    </w:p>
    <w:p w14:paraId="7E10AA26" w14:textId="77777777" w:rsidR="00380062" w:rsidRPr="00C934C3" w:rsidRDefault="00380062" w:rsidP="008A1263">
      <w:pPr>
        <w:rPr>
          <w:lang w:val="en-US"/>
        </w:rPr>
        <w:sectPr w:rsidR="00380062" w:rsidRPr="00C934C3" w:rsidSect="00AE1D2F">
          <w:type w:val="continuous"/>
          <w:pgSz w:w="11907" w:h="16840" w:code="9"/>
          <w:pgMar w:top="1440" w:right="1440" w:bottom="1440" w:left="1440" w:header="1134" w:footer="1134" w:gutter="0"/>
          <w:pgNumType w:start="1"/>
          <w:cols w:space="720"/>
          <w:titlePg/>
          <w:docGrid w:linePitch="360"/>
        </w:sectPr>
      </w:pPr>
    </w:p>
    <w:p w14:paraId="605C6B50" w14:textId="77777777" w:rsidR="00380062" w:rsidRPr="00C934C3" w:rsidRDefault="00380062" w:rsidP="008A1263">
      <w:pPr>
        <w:rPr>
          <w:lang w:val="en-US"/>
        </w:rPr>
      </w:pPr>
    </w:p>
    <w:p w14:paraId="548DD179" w14:textId="066E2700" w:rsidR="00380062" w:rsidRPr="00C934C3" w:rsidRDefault="00380062" w:rsidP="001A47FF">
      <w:pPr>
        <w:pStyle w:val="Caption"/>
        <w:spacing w:after="200" w:line="240" w:lineRule="auto"/>
        <w:rPr>
          <w:i w:val="0"/>
          <w:iCs w:val="0"/>
          <w:sz w:val="24"/>
          <w:szCs w:val="24"/>
        </w:rPr>
      </w:pPr>
      <w:bookmarkStart w:id="1" w:name="_Toc209555851"/>
      <w:r w:rsidRPr="00C934C3">
        <w:rPr>
          <w:b/>
          <w:bCs/>
          <w:i w:val="0"/>
          <w:iCs w:val="0"/>
          <w:sz w:val="24"/>
          <w:szCs w:val="24"/>
        </w:rPr>
        <w:t>T</w:t>
      </w:r>
      <w:r w:rsidR="00106A77" w:rsidRPr="00C934C3">
        <w:rPr>
          <w:b/>
          <w:bCs/>
          <w:i w:val="0"/>
          <w:iCs w:val="0"/>
          <w:sz w:val="24"/>
          <w:szCs w:val="24"/>
        </w:rPr>
        <w:t>able</w:t>
      </w:r>
      <w:r w:rsidRPr="00C934C3">
        <w:rPr>
          <w:i w:val="0"/>
          <w:iCs w:val="0"/>
          <w:sz w:val="24"/>
          <w:szCs w:val="24"/>
        </w:rPr>
        <w:t xml:space="preserve"> I. E</w:t>
      </w:r>
      <w:bookmarkEnd w:id="1"/>
      <w:r w:rsidR="00106A77" w:rsidRPr="00C934C3">
        <w:rPr>
          <w:i w:val="0"/>
          <w:iCs w:val="0"/>
          <w:sz w:val="24"/>
          <w:szCs w:val="24"/>
        </w:rPr>
        <w:t>valuations Results</w:t>
      </w:r>
    </w:p>
    <w:tbl>
      <w:tblPr>
        <w:tblW w:w="8931" w:type="dxa"/>
        <w:tblBorders>
          <w:bottom w:val="single" w:sz="2" w:space="0" w:color="auto"/>
        </w:tblBorders>
        <w:tblLayout w:type="fixed"/>
        <w:tblLook w:val="04A0" w:firstRow="1" w:lastRow="0" w:firstColumn="1" w:lastColumn="0" w:noHBand="0" w:noVBand="1"/>
      </w:tblPr>
      <w:tblGrid>
        <w:gridCol w:w="1677"/>
        <w:gridCol w:w="450"/>
        <w:gridCol w:w="515"/>
        <w:gridCol w:w="477"/>
        <w:gridCol w:w="425"/>
        <w:gridCol w:w="426"/>
        <w:gridCol w:w="425"/>
        <w:gridCol w:w="425"/>
        <w:gridCol w:w="425"/>
        <w:gridCol w:w="426"/>
        <w:gridCol w:w="425"/>
        <w:gridCol w:w="992"/>
        <w:gridCol w:w="1843"/>
      </w:tblGrid>
      <w:tr w:rsidR="00F679A0" w:rsidRPr="00C934C3" w14:paraId="144CB4A6" w14:textId="77777777" w:rsidTr="00F679A0">
        <w:trPr>
          <w:trHeight w:val="320"/>
          <w:tblHeader/>
        </w:trPr>
        <w:tc>
          <w:tcPr>
            <w:tcW w:w="1677" w:type="dxa"/>
            <w:vMerge w:val="restart"/>
            <w:tcBorders>
              <w:top w:val="single" w:sz="2" w:space="0" w:color="auto"/>
              <w:bottom w:val="single" w:sz="2" w:space="0" w:color="auto"/>
            </w:tcBorders>
            <w:noWrap/>
            <w:vAlign w:val="bottom"/>
          </w:tcPr>
          <w:p w14:paraId="5FAA00FF" w14:textId="77777777" w:rsidR="00380062" w:rsidRPr="00C934C3" w:rsidRDefault="00380062" w:rsidP="00106A77">
            <w:pPr>
              <w:rPr>
                <w:b/>
                <w:bCs/>
              </w:rPr>
            </w:pPr>
            <w:r w:rsidRPr="00C934C3">
              <w:rPr>
                <w:b/>
                <w:bCs/>
              </w:rPr>
              <w:t>Expert</w:t>
            </w:r>
          </w:p>
        </w:tc>
        <w:tc>
          <w:tcPr>
            <w:tcW w:w="4414" w:type="dxa"/>
            <w:gridSpan w:val="10"/>
            <w:tcBorders>
              <w:top w:val="single" w:sz="2" w:space="0" w:color="auto"/>
              <w:bottom w:val="single" w:sz="2" w:space="0" w:color="auto"/>
            </w:tcBorders>
            <w:noWrap/>
            <w:vAlign w:val="bottom"/>
          </w:tcPr>
          <w:p w14:paraId="17F52203" w14:textId="77777777" w:rsidR="00380062" w:rsidRPr="00C934C3" w:rsidRDefault="00380062" w:rsidP="00106A77">
            <w:pPr>
              <w:jc w:val="center"/>
              <w:rPr>
                <w:b/>
                <w:bCs/>
                <w:color w:val="000000"/>
              </w:rPr>
            </w:pPr>
            <w:r w:rsidRPr="00C934C3">
              <w:rPr>
                <w:b/>
                <w:bCs/>
                <w:color w:val="000000"/>
              </w:rPr>
              <w:t>Indicator</w:t>
            </w:r>
          </w:p>
        </w:tc>
        <w:tc>
          <w:tcPr>
            <w:tcW w:w="992" w:type="dxa"/>
            <w:tcBorders>
              <w:top w:val="single" w:sz="2" w:space="0" w:color="auto"/>
              <w:bottom w:val="single" w:sz="2" w:space="0" w:color="auto"/>
            </w:tcBorders>
            <w:noWrap/>
            <w:vAlign w:val="bottom"/>
          </w:tcPr>
          <w:p w14:paraId="32268BBB" w14:textId="77777777" w:rsidR="00380062" w:rsidRPr="00C934C3" w:rsidRDefault="00380062" w:rsidP="00106A77">
            <w:pPr>
              <w:ind w:right="-109"/>
              <w:rPr>
                <w:b/>
                <w:bCs/>
                <w:color w:val="000000"/>
              </w:rPr>
            </w:pPr>
            <w:r w:rsidRPr="00C934C3">
              <w:rPr>
                <w:b/>
                <w:bCs/>
                <w:color w:val="000000"/>
              </w:rPr>
              <w:t>Amount Score/ expert</w:t>
            </w:r>
          </w:p>
        </w:tc>
        <w:tc>
          <w:tcPr>
            <w:tcW w:w="1843" w:type="dxa"/>
            <w:tcBorders>
              <w:top w:val="single" w:sz="2" w:space="0" w:color="auto"/>
              <w:bottom w:val="single" w:sz="2" w:space="0" w:color="auto"/>
            </w:tcBorders>
            <w:noWrap/>
            <w:vAlign w:val="bottom"/>
          </w:tcPr>
          <w:p w14:paraId="0BCB5915" w14:textId="77777777" w:rsidR="00380062" w:rsidRPr="00C934C3" w:rsidRDefault="00380062" w:rsidP="00106A77">
            <w:pPr>
              <w:jc w:val="center"/>
              <w:rPr>
                <w:b/>
                <w:bCs/>
                <w:color w:val="000000"/>
              </w:rPr>
            </w:pPr>
            <w:r w:rsidRPr="00C934C3">
              <w:rPr>
                <w:b/>
                <w:bCs/>
                <w:color w:val="000000"/>
              </w:rPr>
              <w:t xml:space="preserve">% Score </w:t>
            </w:r>
          </w:p>
          <w:p w14:paraId="13252D6F" w14:textId="77777777" w:rsidR="00380062" w:rsidRPr="00C934C3" w:rsidRDefault="00380062" w:rsidP="00106A77">
            <w:pPr>
              <w:jc w:val="center"/>
              <w:rPr>
                <w:b/>
                <w:bCs/>
                <w:color w:val="000000"/>
              </w:rPr>
            </w:pPr>
            <w:r w:rsidRPr="00C934C3">
              <w:rPr>
                <w:b/>
                <w:bCs/>
                <w:color w:val="000000"/>
              </w:rPr>
              <w:t xml:space="preserve">(Amount / Total </w:t>
            </w:r>
            <w:proofErr w:type="spellStart"/>
            <w:r w:rsidRPr="00C934C3">
              <w:rPr>
                <w:b/>
                <w:bCs/>
                <w:color w:val="000000"/>
              </w:rPr>
              <w:t>Max.Score</w:t>
            </w:r>
            <w:proofErr w:type="spellEnd"/>
            <w:r w:rsidRPr="00C934C3">
              <w:rPr>
                <w:b/>
                <w:bCs/>
                <w:color w:val="000000"/>
              </w:rPr>
              <w:t xml:space="preserve"> *100%)</w:t>
            </w:r>
          </w:p>
        </w:tc>
      </w:tr>
      <w:tr w:rsidR="00F679A0" w:rsidRPr="00C934C3" w14:paraId="26CCFDF9" w14:textId="77777777" w:rsidTr="00F679A0">
        <w:trPr>
          <w:trHeight w:val="320"/>
        </w:trPr>
        <w:tc>
          <w:tcPr>
            <w:tcW w:w="1677" w:type="dxa"/>
            <w:vMerge/>
            <w:tcBorders>
              <w:top w:val="single" w:sz="2" w:space="0" w:color="auto"/>
              <w:bottom w:val="single" w:sz="2" w:space="0" w:color="auto"/>
            </w:tcBorders>
            <w:noWrap/>
            <w:vAlign w:val="bottom"/>
            <w:hideMark/>
          </w:tcPr>
          <w:p w14:paraId="5DBAF60E" w14:textId="77777777" w:rsidR="00380062" w:rsidRPr="00C934C3" w:rsidRDefault="00380062" w:rsidP="00106A77"/>
        </w:tc>
        <w:tc>
          <w:tcPr>
            <w:tcW w:w="450" w:type="dxa"/>
            <w:tcBorders>
              <w:top w:val="single" w:sz="2" w:space="0" w:color="auto"/>
              <w:bottom w:val="single" w:sz="2" w:space="0" w:color="auto"/>
            </w:tcBorders>
            <w:noWrap/>
            <w:vAlign w:val="bottom"/>
            <w:hideMark/>
          </w:tcPr>
          <w:p w14:paraId="687E684D" w14:textId="77777777" w:rsidR="00380062" w:rsidRPr="00C934C3" w:rsidRDefault="00380062" w:rsidP="00106A77">
            <w:pPr>
              <w:jc w:val="center"/>
              <w:rPr>
                <w:b/>
                <w:bCs/>
                <w:color w:val="000000"/>
              </w:rPr>
            </w:pPr>
            <w:r w:rsidRPr="00C934C3">
              <w:rPr>
                <w:b/>
                <w:bCs/>
                <w:color w:val="000000"/>
              </w:rPr>
              <w:t>1</w:t>
            </w:r>
          </w:p>
        </w:tc>
        <w:tc>
          <w:tcPr>
            <w:tcW w:w="515" w:type="dxa"/>
            <w:tcBorders>
              <w:top w:val="single" w:sz="2" w:space="0" w:color="auto"/>
              <w:bottom w:val="single" w:sz="2" w:space="0" w:color="auto"/>
            </w:tcBorders>
            <w:noWrap/>
            <w:vAlign w:val="bottom"/>
            <w:hideMark/>
          </w:tcPr>
          <w:p w14:paraId="54743D6B" w14:textId="77777777" w:rsidR="00380062" w:rsidRPr="00C934C3" w:rsidRDefault="00380062" w:rsidP="00106A77">
            <w:pPr>
              <w:jc w:val="center"/>
              <w:rPr>
                <w:b/>
                <w:bCs/>
                <w:color w:val="000000"/>
              </w:rPr>
            </w:pPr>
            <w:r w:rsidRPr="00C934C3">
              <w:rPr>
                <w:b/>
                <w:bCs/>
                <w:color w:val="000000"/>
              </w:rPr>
              <w:t>2</w:t>
            </w:r>
          </w:p>
        </w:tc>
        <w:tc>
          <w:tcPr>
            <w:tcW w:w="477" w:type="dxa"/>
            <w:tcBorders>
              <w:top w:val="single" w:sz="2" w:space="0" w:color="auto"/>
              <w:bottom w:val="single" w:sz="2" w:space="0" w:color="auto"/>
            </w:tcBorders>
            <w:noWrap/>
            <w:vAlign w:val="bottom"/>
            <w:hideMark/>
          </w:tcPr>
          <w:p w14:paraId="0A651DD9" w14:textId="77777777" w:rsidR="00380062" w:rsidRPr="00C934C3" w:rsidRDefault="00380062" w:rsidP="00106A77">
            <w:pPr>
              <w:jc w:val="center"/>
              <w:rPr>
                <w:b/>
                <w:bCs/>
                <w:color w:val="000000"/>
              </w:rPr>
            </w:pPr>
            <w:r w:rsidRPr="00C934C3">
              <w:rPr>
                <w:b/>
                <w:bCs/>
                <w:color w:val="000000"/>
              </w:rPr>
              <w:t>3</w:t>
            </w:r>
          </w:p>
        </w:tc>
        <w:tc>
          <w:tcPr>
            <w:tcW w:w="425" w:type="dxa"/>
            <w:tcBorders>
              <w:top w:val="single" w:sz="2" w:space="0" w:color="auto"/>
              <w:bottom w:val="single" w:sz="2" w:space="0" w:color="auto"/>
            </w:tcBorders>
            <w:noWrap/>
            <w:vAlign w:val="bottom"/>
            <w:hideMark/>
          </w:tcPr>
          <w:p w14:paraId="6436B77E" w14:textId="77777777" w:rsidR="00380062" w:rsidRPr="00C934C3" w:rsidRDefault="00380062" w:rsidP="00106A77">
            <w:pPr>
              <w:jc w:val="center"/>
              <w:rPr>
                <w:b/>
                <w:bCs/>
                <w:color w:val="000000"/>
              </w:rPr>
            </w:pPr>
            <w:r w:rsidRPr="00C934C3">
              <w:rPr>
                <w:b/>
                <w:bCs/>
                <w:color w:val="000000"/>
              </w:rPr>
              <w:t>4</w:t>
            </w:r>
          </w:p>
        </w:tc>
        <w:tc>
          <w:tcPr>
            <w:tcW w:w="426" w:type="dxa"/>
            <w:tcBorders>
              <w:top w:val="single" w:sz="2" w:space="0" w:color="auto"/>
              <w:bottom w:val="single" w:sz="2" w:space="0" w:color="auto"/>
            </w:tcBorders>
            <w:noWrap/>
            <w:vAlign w:val="bottom"/>
            <w:hideMark/>
          </w:tcPr>
          <w:p w14:paraId="222A3651" w14:textId="77777777" w:rsidR="00380062" w:rsidRPr="00C934C3" w:rsidRDefault="00380062" w:rsidP="00106A77">
            <w:pPr>
              <w:jc w:val="center"/>
              <w:rPr>
                <w:b/>
                <w:bCs/>
                <w:color w:val="000000"/>
              </w:rPr>
            </w:pPr>
            <w:r w:rsidRPr="00C934C3">
              <w:rPr>
                <w:b/>
                <w:bCs/>
                <w:color w:val="000000"/>
              </w:rPr>
              <w:t>5</w:t>
            </w:r>
          </w:p>
        </w:tc>
        <w:tc>
          <w:tcPr>
            <w:tcW w:w="425" w:type="dxa"/>
            <w:tcBorders>
              <w:top w:val="single" w:sz="2" w:space="0" w:color="auto"/>
              <w:bottom w:val="single" w:sz="2" w:space="0" w:color="auto"/>
            </w:tcBorders>
            <w:noWrap/>
            <w:vAlign w:val="bottom"/>
            <w:hideMark/>
          </w:tcPr>
          <w:p w14:paraId="48727739" w14:textId="77777777" w:rsidR="00380062" w:rsidRPr="00C934C3" w:rsidRDefault="00380062" w:rsidP="00106A77">
            <w:pPr>
              <w:jc w:val="center"/>
              <w:rPr>
                <w:b/>
                <w:bCs/>
                <w:color w:val="000000"/>
              </w:rPr>
            </w:pPr>
            <w:r w:rsidRPr="00C934C3">
              <w:rPr>
                <w:b/>
                <w:bCs/>
                <w:color w:val="000000"/>
              </w:rPr>
              <w:t>6</w:t>
            </w:r>
          </w:p>
        </w:tc>
        <w:tc>
          <w:tcPr>
            <w:tcW w:w="425" w:type="dxa"/>
            <w:tcBorders>
              <w:top w:val="single" w:sz="2" w:space="0" w:color="auto"/>
              <w:bottom w:val="single" w:sz="2" w:space="0" w:color="auto"/>
            </w:tcBorders>
            <w:noWrap/>
            <w:vAlign w:val="bottom"/>
            <w:hideMark/>
          </w:tcPr>
          <w:p w14:paraId="6A54AF94" w14:textId="77777777" w:rsidR="00380062" w:rsidRPr="00C934C3" w:rsidRDefault="00380062" w:rsidP="00106A77">
            <w:pPr>
              <w:jc w:val="center"/>
              <w:rPr>
                <w:b/>
                <w:bCs/>
                <w:color w:val="000000"/>
              </w:rPr>
            </w:pPr>
            <w:r w:rsidRPr="00C934C3">
              <w:rPr>
                <w:b/>
                <w:bCs/>
                <w:color w:val="000000"/>
              </w:rPr>
              <w:t>7</w:t>
            </w:r>
          </w:p>
        </w:tc>
        <w:tc>
          <w:tcPr>
            <w:tcW w:w="425" w:type="dxa"/>
            <w:tcBorders>
              <w:top w:val="single" w:sz="2" w:space="0" w:color="auto"/>
              <w:bottom w:val="single" w:sz="2" w:space="0" w:color="auto"/>
            </w:tcBorders>
            <w:noWrap/>
            <w:vAlign w:val="bottom"/>
            <w:hideMark/>
          </w:tcPr>
          <w:p w14:paraId="4DE0B3DB" w14:textId="77777777" w:rsidR="00380062" w:rsidRPr="00C934C3" w:rsidRDefault="00380062" w:rsidP="00106A77">
            <w:pPr>
              <w:jc w:val="center"/>
              <w:rPr>
                <w:b/>
                <w:bCs/>
                <w:color w:val="000000"/>
              </w:rPr>
            </w:pPr>
            <w:r w:rsidRPr="00C934C3">
              <w:rPr>
                <w:b/>
                <w:bCs/>
                <w:color w:val="000000"/>
              </w:rPr>
              <w:t>8</w:t>
            </w:r>
          </w:p>
        </w:tc>
        <w:tc>
          <w:tcPr>
            <w:tcW w:w="426" w:type="dxa"/>
            <w:tcBorders>
              <w:top w:val="single" w:sz="2" w:space="0" w:color="auto"/>
              <w:bottom w:val="single" w:sz="2" w:space="0" w:color="auto"/>
            </w:tcBorders>
            <w:vAlign w:val="bottom"/>
          </w:tcPr>
          <w:p w14:paraId="4060B266" w14:textId="77777777" w:rsidR="00380062" w:rsidRPr="00C934C3" w:rsidRDefault="00380062" w:rsidP="00106A77">
            <w:pPr>
              <w:jc w:val="center"/>
              <w:rPr>
                <w:b/>
                <w:bCs/>
                <w:color w:val="000000"/>
              </w:rPr>
            </w:pPr>
            <w:r w:rsidRPr="00C934C3">
              <w:rPr>
                <w:b/>
                <w:bCs/>
                <w:color w:val="000000"/>
              </w:rPr>
              <w:t>9</w:t>
            </w:r>
          </w:p>
        </w:tc>
        <w:tc>
          <w:tcPr>
            <w:tcW w:w="425" w:type="dxa"/>
            <w:tcBorders>
              <w:top w:val="single" w:sz="2" w:space="0" w:color="auto"/>
              <w:bottom w:val="single" w:sz="2" w:space="0" w:color="auto"/>
            </w:tcBorders>
            <w:vAlign w:val="bottom"/>
          </w:tcPr>
          <w:p w14:paraId="58A8C4BA" w14:textId="77777777" w:rsidR="00380062" w:rsidRPr="00C934C3" w:rsidRDefault="00380062" w:rsidP="00106A77">
            <w:pPr>
              <w:jc w:val="center"/>
              <w:rPr>
                <w:b/>
                <w:bCs/>
                <w:color w:val="000000"/>
              </w:rPr>
            </w:pPr>
            <w:r w:rsidRPr="00C934C3">
              <w:rPr>
                <w:b/>
                <w:bCs/>
                <w:color w:val="000000"/>
              </w:rPr>
              <w:t>10</w:t>
            </w:r>
          </w:p>
        </w:tc>
        <w:tc>
          <w:tcPr>
            <w:tcW w:w="992" w:type="dxa"/>
            <w:tcBorders>
              <w:top w:val="single" w:sz="2" w:space="0" w:color="auto"/>
              <w:bottom w:val="single" w:sz="2" w:space="0" w:color="auto"/>
            </w:tcBorders>
            <w:noWrap/>
            <w:vAlign w:val="bottom"/>
            <w:hideMark/>
          </w:tcPr>
          <w:p w14:paraId="5D8FECF5" w14:textId="77777777" w:rsidR="00380062" w:rsidRPr="00C934C3" w:rsidRDefault="00380062" w:rsidP="00106A77">
            <w:pPr>
              <w:jc w:val="center"/>
              <w:rPr>
                <w:color w:val="000000"/>
              </w:rPr>
            </w:pPr>
          </w:p>
        </w:tc>
        <w:tc>
          <w:tcPr>
            <w:tcW w:w="1843" w:type="dxa"/>
            <w:tcBorders>
              <w:top w:val="single" w:sz="2" w:space="0" w:color="auto"/>
              <w:bottom w:val="single" w:sz="2" w:space="0" w:color="auto"/>
            </w:tcBorders>
            <w:noWrap/>
            <w:vAlign w:val="bottom"/>
            <w:hideMark/>
          </w:tcPr>
          <w:p w14:paraId="75826797" w14:textId="77777777" w:rsidR="00380062" w:rsidRPr="00C934C3" w:rsidRDefault="00380062" w:rsidP="00106A77">
            <w:pPr>
              <w:jc w:val="center"/>
              <w:rPr>
                <w:color w:val="000000"/>
              </w:rPr>
            </w:pPr>
          </w:p>
        </w:tc>
      </w:tr>
      <w:tr w:rsidR="00F679A0" w:rsidRPr="00C934C3" w14:paraId="5AF5AD9B" w14:textId="77777777" w:rsidTr="00F679A0">
        <w:trPr>
          <w:trHeight w:val="320"/>
        </w:trPr>
        <w:tc>
          <w:tcPr>
            <w:tcW w:w="1677" w:type="dxa"/>
            <w:tcBorders>
              <w:top w:val="single" w:sz="2" w:space="0" w:color="auto"/>
            </w:tcBorders>
            <w:noWrap/>
            <w:vAlign w:val="center"/>
            <w:hideMark/>
          </w:tcPr>
          <w:p w14:paraId="21380583" w14:textId="77777777" w:rsidR="00380062" w:rsidRPr="00C934C3" w:rsidRDefault="00380062" w:rsidP="00106A77">
            <w:pPr>
              <w:jc w:val="center"/>
              <w:rPr>
                <w:color w:val="000000"/>
              </w:rPr>
            </w:pPr>
            <w:r w:rsidRPr="00C934C3">
              <w:rPr>
                <w:color w:val="000000"/>
              </w:rPr>
              <w:t>1</w:t>
            </w:r>
            <w:r w:rsidRPr="00C934C3">
              <w:rPr>
                <w:color w:val="000000"/>
                <w:vertAlign w:val="superscript"/>
              </w:rPr>
              <w:t>st</w:t>
            </w:r>
            <w:r w:rsidRPr="00C934C3">
              <w:rPr>
                <w:color w:val="000000"/>
              </w:rPr>
              <w:t xml:space="preserve"> Expert</w:t>
            </w:r>
          </w:p>
          <w:p w14:paraId="7D383413" w14:textId="77777777" w:rsidR="00380062" w:rsidRPr="00C934C3" w:rsidRDefault="00380062" w:rsidP="00106A77">
            <w:pPr>
              <w:jc w:val="center"/>
              <w:rPr>
                <w:color w:val="000000"/>
              </w:rPr>
            </w:pPr>
            <w:r w:rsidRPr="00C934C3">
              <w:rPr>
                <w:color w:val="000000"/>
              </w:rPr>
              <w:t>(Nutritionist)</w:t>
            </w:r>
          </w:p>
        </w:tc>
        <w:tc>
          <w:tcPr>
            <w:tcW w:w="450" w:type="dxa"/>
            <w:tcBorders>
              <w:top w:val="single" w:sz="2" w:space="0" w:color="auto"/>
            </w:tcBorders>
            <w:noWrap/>
            <w:vAlign w:val="center"/>
            <w:hideMark/>
          </w:tcPr>
          <w:p w14:paraId="7032B3A9" w14:textId="77777777" w:rsidR="00380062" w:rsidRPr="00C934C3" w:rsidRDefault="00380062" w:rsidP="00106A77">
            <w:pPr>
              <w:jc w:val="center"/>
              <w:rPr>
                <w:color w:val="000000"/>
              </w:rPr>
            </w:pPr>
            <w:r w:rsidRPr="00C934C3">
              <w:rPr>
                <w:color w:val="000000"/>
              </w:rPr>
              <w:t>5</w:t>
            </w:r>
          </w:p>
        </w:tc>
        <w:tc>
          <w:tcPr>
            <w:tcW w:w="515" w:type="dxa"/>
            <w:tcBorders>
              <w:top w:val="single" w:sz="2" w:space="0" w:color="auto"/>
            </w:tcBorders>
            <w:noWrap/>
            <w:vAlign w:val="center"/>
            <w:hideMark/>
          </w:tcPr>
          <w:p w14:paraId="642356D9" w14:textId="77777777" w:rsidR="00380062" w:rsidRPr="00C934C3" w:rsidRDefault="00380062" w:rsidP="00106A77">
            <w:pPr>
              <w:jc w:val="center"/>
              <w:rPr>
                <w:color w:val="000000"/>
              </w:rPr>
            </w:pPr>
            <w:r w:rsidRPr="00C934C3">
              <w:rPr>
                <w:color w:val="000000"/>
              </w:rPr>
              <w:t>4</w:t>
            </w:r>
          </w:p>
        </w:tc>
        <w:tc>
          <w:tcPr>
            <w:tcW w:w="477" w:type="dxa"/>
            <w:tcBorders>
              <w:top w:val="single" w:sz="2" w:space="0" w:color="auto"/>
            </w:tcBorders>
            <w:noWrap/>
            <w:vAlign w:val="center"/>
            <w:hideMark/>
          </w:tcPr>
          <w:p w14:paraId="3AC7B7CC" w14:textId="77777777" w:rsidR="00380062" w:rsidRPr="00C934C3" w:rsidRDefault="00380062" w:rsidP="00106A77">
            <w:pPr>
              <w:jc w:val="center"/>
              <w:rPr>
                <w:color w:val="000000"/>
              </w:rPr>
            </w:pPr>
            <w:r w:rsidRPr="00C934C3">
              <w:rPr>
                <w:color w:val="000000"/>
              </w:rPr>
              <w:t>5</w:t>
            </w:r>
          </w:p>
        </w:tc>
        <w:tc>
          <w:tcPr>
            <w:tcW w:w="425" w:type="dxa"/>
            <w:tcBorders>
              <w:top w:val="single" w:sz="2" w:space="0" w:color="auto"/>
            </w:tcBorders>
            <w:noWrap/>
            <w:vAlign w:val="center"/>
            <w:hideMark/>
          </w:tcPr>
          <w:p w14:paraId="1AE2D558" w14:textId="77777777" w:rsidR="00380062" w:rsidRPr="00C934C3" w:rsidRDefault="00380062" w:rsidP="00106A77">
            <w:pPr>
              <w:jc w:val="center"/>
              <w:rPr>
                <w:color w:val="000000"/>
              </w:rPr>
            </w:pPr>
            <w:r w:rsidRPr="00C934C3">
              <w:rPr>
                <w:color w:val="000000"/>
              </w:rPr>
              <w:t>5</w:t>
            </w:r>
          </w:p>
        </w:tc>
        <w:tc>
          <w:tcPr>
            <w:tcW w:w="426" w:type="dxa"/>
            <w:tcBorders>
              <w:top w:val="single" w:sz="2" w:space="0" w:color="auto"/>
            </w:tcBorders>
            <w:noWrap/>
            <w:vAlign w:val="center"/>
            <w:hideMark/>
          </w:tcPr>
          <w:p w14:paraId="0B1F4858" w14:textId="77777777" w:rsidR="00380062" w:rsidRPr="00C934C3" w:rsidRDefault="00380062" w:rsidP="00106A77">
            <w:pPr>
              <w:jc w:val="center"/>
              <w:rPr>
                <w:color w:val="000000"/>
              </w:rPr>
            </w:pPr>
            <w:r w:rsidRPr="00C934C3">
              <w:rPr>
                <w:color w:val="000000"/>
              </w:rPr>
              <w:t>5</w:t>
            </w:r>
          </w:p>
        </w:tc>
        <w:tc>
          <w:tcPr>
            <w:tcW w:w="425" w:type="dxa"/>
            <w:tcBorders>
              <w:top w:val="single" w:sz="2" w:space="0" w:color="auto"/>
            </w:tcBorders>
            <w:noWrap/>
            <w:vAlign w:val="center"/>
            <w:hideMark/>
          </w:tcPr>
          <w:p w14:paraId="4A27145C" w14:textId="77777777" w:rsidR="00380062" w:rsidRPr="00C934C3" w:rsidRDefault="00380062" w:rsidP="00106A77">
            <w:pPr>
              <w:jc w:val="center"/>
              <w:rPr>
                <w:color w:val="000000"/>
              </w:rPr>
            </w:pPr>
            <w:r w:rsidRPr="00C934C3">
              <w:rPr>
                <w:color w:val="000000"/>
              </w:rPr>
              <w:t>5</w:t>
            </w:r>
          </w:p>
        </w:tc>
        <w:tc>
          <w:tcPr>
            <w:tcW w:w="425" w:type="dxa"/>
            <w:tcBorders>
              <w:top w:val="single" w:sz="2" w:space="0" w:color="auto"/>
            </w:tcBorders>
            <w:noWrap/>
            <w:vAlign w:val="center"/>
            <w:hideMark/>
          </w:tcPr>
          <w:p w14:paraId="5844F6B2" w14:textId="77777777" w:rsidR="00380062" w:rsidRPr="00C934C3" w:rsidRDefault="00380062" w:rsidP="00106A77">
            <w:pPr>
              <w:jc w:val="center"/>
              <w:rPr>
                <w:color w:val="000000"/>
              </w:rPr>
            </w:pPr>
            <w:r w:rsidRPr="00C934C3">
              <w:rPr>
                <w:color w:val="000000"/>
              </w:rPr>
              <w:t>6</w:t>
            </w:r>
          </w:p>
        </w:tc>
        <w:tc>
          <w:tcPr>
            <w:tcW w:w="425" w:type="dxa"/>
            <w:tcBorders>
              <w:top w:val="single" w:sz="2" w:space="0" w:color="auto"/>
            </w:tcBorders>
            <w:noWrap/>
            <w:vAlign w:val="center"/>
            <w:hideMark/>
          </w:tcPr>
          <w:p w14:paraId="68B8EC5E" w14:textId="77777777" w:rsidR="00380062" w:rsidRPr="00C934C3" w:rsidRDefault="00380062" w:rsidP="00106A77">
            <w:pPr>
              <w:jc w:val="center"/>
              <w:rPr>
                <w:color w:val="000000"/>
              </w:rPr>
            </w:pPr>
            <w:r w:rsidRPr="00C934C3">
              <w:rPr>
                <w:color w:val="000000"/>
              </w:rPr>
              <w:t>6</w:t>
            </w:r>
          </w:p>
        </w:tc>
        <w:tc>
          <w:tcPr>
            <w:tcW w:w="426" w:type="dxa"/>
            <w:tcBorders>
              <w:top w:val="single" w:sz="2" w:space="0" w:color="auto"/>
            </w:tcBorders>
            <w:vAlign w:val="center"/>
          </w:tcPr>
          <w:p w14:paraId="1950CCF5" w14:textId="77777777" w:rsidR="00380062" w:rsidRPr="00C934C3" w:rsidRDefault="00380062" w:rsidP="00106A77">
            <w:pPr>
              <w:jc w:val="center"/>
              <w:rPr>
                <w:color w:val="000000"/>
              </w:rPr>
            </w:pPr>
            <w:r w:rsidRPr="00C934C3">
              <w:rPr>
                <w:color w:val="000000"/>
              </w:rPr>
              <w:t>6</w:t>
            </w:r>
          </w:p>
        </w:tc>
        <w:tc>
          <w:tcPr>
            <w:tcW w:w="425" w:type="dxa"/>
            <w:tcBorders>
              <w:top w:val="single" w:sz="2" w:space="0" w:color="auto"/>
            </w:tcBorders>
            <w:vAlign w:val="center"/>
          </w:tcPr>
          <w:p w14:paraId="4BD3A1AE" w14:textId="77777777" w:rsidR="00380062" w:rsidRPr="00C934C3" w:rsidRDefault="00380062" w:rsidP="00106A77">
            <w:pPr>
              <w:jc w:val="center"/>
              <w:rPr>
                <w:color w:val="000000"/>
              </w:rPr>
            </w:pPr>
            <w:r w:rsidRPr="00C934C3">
              <w:rPr>
                <w:color w:val="000000"/>
              </w:rPr>
              <w:t>5</w:t>
            </w:r>
          </w:p>
        </w:tc>
        <w:tc>
          <w:tcPr>
            <w:tcW w:w="992" w:type="dxa"/>
            <w:tcBorders>
              <w:top w:val="single" w:sz="2" w:space="0" w:color="auto"/>
            </w:tcBorders>
            <w:noWrap/>
            <w:vAlign w:val="center"/>
            <w:hideMark/>
          </w:tcPr>
          <w:p w14:paraId="10EE5F6A" w14:textId="77777777" w:rsidR="00380062" w:rsidRPr="00C934C3" w:rsidRDefault="00380062" w:rsidP="00106A77">
            <w:pPr>
              <w:jc w:val="center"/>
              <w:rPr>
                <w:color w:val="000000"/>
              </w:rPr>
            </w:pPr>
            <w:r w:rsidRPr="00C934C3">
              <w:rPr>
                <w:color w:val="000000"/>
              </w:rPr>
              <w:t>52</w:t>
            </w:r>
          </w:p>
        </w:tc>
        <w:tc>
          <w:tcPr>
            <w:tcW w:w="1843" w:type="dxa"/>
            <w:tcBorders>
              <w:top w:val="single" w:sz="2" w:space="0" w:color="auto"/>
            </w:tcBorders>
            <w:noWrap/>
            <w:vAlign w:val="center"/>
            <w:hideMark/>
          </w:tcPr>
          <w:p w14:paraId="23CF18C3" w14:textId="77777777" w:rsidR="00380062" w:rsidRPr="00C934C3" w:rsidRDefault="00380062" w:rsidP="00106A77">
            <w:pPr>
              <w:jc w:val="center"/>
              <w:rPr>
                <w:color w:val="000000"/>
              </w:rPr>
            </w:pPr>
            <w:r w:rsidRPr="00C934C3">
              <w:rPr>
                <w:color w:val="000000"/>
              </w:rPr>
              <w:t>86,6%</w:t>
            </w:r>
          </w:p>
        </w:tc>
      </w:tr>
      <w:tr w:rsidR="00F679A0" w:rsidRPr="00C934C3" w14:paraId="312058CE" w14:textId="77777777" w:rsidTr="00F679A0">
        <w:trPr>
          <w:trHeight w:val="320"/>
        </w:trPr>
        <w:tc>
          <w:tcPr>
            <w:tcW w:w="1677" w:type="dxa"/>
            <w:noWrap/>
            <w:vAlign w:val="center"/>
            <w:hideMark/>
          </w:tcPr>
          <w:p w14:paraId="1E11F910" w14:textId="77777777" w:rsidR="00380062" w:rsidRPr="00C934C3" w:rsidRDefault="00380062" w:rsidP="00106A77">
            <w:pPr>
              <w:jc w:val="center"/>
              <w:rPr>
                <w:color w:val="000000"/>
              </w:rPr>
            </w:pPr>
            <w:r w:rsidRPr="00C934C3">
              <w:rPr>
                <w:color w:val="000000"/>
              </w:rPr>
              <w:t>2</w:t>
            </w:r>
            <w:r w:rsidRPr="00C934C3">
              <w:rPr>
                <w:color w:val="000000"/>
                <w:vertAlign w:val="superscript"/>
              </w:rPr>
              <w:t>nd</w:t>
            </w:r>
            <w:r w:rsidRPr="00C934C3">
              <w:rPr>
                <w:color w:val="000000"/>
              </w:rPr>
              <w:t xml:space="preserve"> Expert</w:t>
            </w:r>
            <w:r w:rsidRPr="00C934C3">
              <w:rPr>
                <w:color w:val="000000"/>
              </w:rPr>
              <w:br/>
              <w:t>(Nurse)</w:t>
            </w:r>
          </w:p>
        </w:tc>
        <w:tc>
          <w:tcPr>
            <w:tcW w:w="450" w:type="dxa"/>
            <w:noWrap/>
            <w:vAlign w:val="center"/>
            <w:hideMark/>
          </w:tcPr>
          <w:p w14:paraId="328CA7EA" w14:textId="77777777" w:rsidR="00380062" w:rsidRPr="00C934C3" w:rsidRDefault="00380062" w:rsidP="00106A77">
            <w:pPr>
              <w:jc w:val="center"/>
              <w:rPr>
                <w:color w:val="000000"/>
              </w:rPr>
            </w:pPr>
            <w:r w:rsidRPr="00C934C3">
              <w:rPr>
                <w:color w:val="000000"/>
              </w:rPr>
              <w:t>5</w:t>
            </w:r>
          </w:p>
        </w:tc>
        <w:tc>
          <w:tcPr>
            <w:tcW w:w="515" w:type="dxa"/>
            <w:noWrap/>
            <w:vAlign w:val="center"/>
            <w:hideMark/>
          </w:tcPr>
          <w:p w14:paraId="59129253" w14:textId="77777777" w:rsidR="00380062" w:rsidRPr="00C934C3" w:rsidRDefault="00380062" w:rsidP="00106A77">
            <w:pPr>
              <w:jc w:val="center"/>
              <w:rPr>
                <w:color w:val="000000"/>
              </w:rPr>
            </w:pPr>
            <w:r w:rsidRPr="00C934C3">
              <w:rPr>
                <w:color w:val="000000"/>
              </w:rPr>
              <w:t>5</w:t>
            </w:r>
          </w:p>
        </w:tc>
        <w:tc>
          <w:tcPr>
            <w:tcW w:w="477" w:type="dxa"/>
            <w:noWrap/>
            <w:vAlign w:val="center"/>
            <w:hideMark/>
          </w:tcPr>
          <w:p w14:paraId="38845D95" w14:textId="77777777" w:rsidR="00380062" w:rsidRPr="00C934C3" w:rsidRDefault="00380062" w:rsidP="00106A77">
            <w:pPr>
              <w:jc w:val="center"/>
              <w:rPr>
                <w:color w:val="000000"/>
              </w:rPr>
            </w:pPr>
            <w:r w:rsidRPr="00C934C3">
              <w:rPr>
                <w:color w:val="000000"/>
              </w:rPr>
              <w:t>5</w:t>
            </w:r>
          </w:p>
        </w:tc>
        <w:tc>
          <w:tcPr>
            <w:tcW w:w="425" w:type="dxa"/>
            <w:noWrap/>
            <w:vAlign w:val="center"/>
            <w:hideMark/>
          </w:tcPr>
          <w:p w14:paraId="4906F864" w14:textId="77777777" w:rsidR="00380062" w:rsidRPr="00C934C3" w:rsidRDefault="00380062" w:rsidP="00106A77">
            <w:pPr>
              <w:jc w:val="center"/>
              <w:rPr>
                <w:color w:val="000000"/>
              </w:rPr>
            </w:pPr>
            <w:r w:rsidRPr="00C934C3">
              <w:rPr>
                <w:color w:val="000000"/>
              </w:rPr>
              <w:t>6</w:t>
            </w:r>
          </w:p>
        </w:tc>
        <w:tc>
          <w:tcPr>
            <w:tcW w:w="426" w:type="dxa"/>
            <w:noWrap/>
            <w:vAlign w:val="center"/>
            <w:hideMark/>
          </w:tcPr>
          <w:p w14:paraId="2B73F74F" w14:textId="77777777" w:rsidR="00380062" w:rsidRPr="00C934C3" w:rsidRDefault="00380062" w:rsidP="00106A77">
            <w:pPr>
              <w:jc w:val="center"/>
              <w:rPr>
                <w:color w:val="000000"/>
              </w:rPr>
            </w:pPr>
            <w:r w:rsidRPr="00C934C3">
              <w:rPr>
                <w:color w:val="000000"/>
              </w:rPr>
              <w:t>5</w:t>
            </w:r>
          </w:p>
        </w:tc>
        <w:tc>
          <w:tcPr>
            <w:tcW w:w="425" w:type="dxa"/>
            <w:noWrap/>
            <w:vAlign w:val="center"/>
            <w:hideMark/>
          </w:tcPr>
          <w:p w14:paraId="1AE36985" w14:textId="77777777" w:rsidR="00380062" w:rsidRPr="00C934C3" w:rsidRDefault="00380062" w:rsidP="00106A77">
            <w:pPr>
              <w:jc w:val="center"/>
              <w:rPr>
                <w:color w:val="000000"/>
              </w:rPr>
            </w:pPr>
            <w:r w:rsidRPr="00C934C3">
              <w:rPr>
                <w:color w:val="000000"/>
              </w:rPr>
              <w:t>5</w:t>
            </w:r>
          </w:p>
        </w:tc>
        <w:tc>
          <w:tcPr>
            <w:tcW w:w="425" w:type="dxa"/>
            <w:noWrap/>
            <w:vAlign w:val="center"/>
            <w:hideMark/>
          </w:tcPr>
          <w:p w14:paraId="2153C24C" w14:textId="77777777" w:rsidR="00380062" w:rsidRPr="00C934C3" w:rsidRDefault="00380062" w:rsidP="00106A77">
            <w:pPr>
              <w:jc w:val="center"/>
              <w:rPr>
                <w:color w:val="000000"/>
              </w:rPr>
            </w:pPr>
            <w:r w:rsidRPr="00C934C3">
              <w:rPr>
                <w:color w:val="000000"/>
              </w:rPr>
              <w:t>4</w:t>
            </w:r>
          </w:p>
        </w:tc>
        <w:tc>
          <w:tcPr>
            <w:tcW w:w="425" w:type="dxa"/>
            <w:noWrap/>
            <w:vAlign w:val="center"/>
            <w:hideMark/>
          </w:tcPr>
          <w:p w14:paraId="2551B32E" w14:textId="77777777" w:rsidR="00380062" w:rsidRPr="00C934C3" w:rsidRDefault="00380062" w:rsidP="00106A77">
            <w:pPr>
              <w:jc w:val="center"/>
              <w:rPr>
                <w:color w:val="000000"/>
              </w:rPr>
            </w:pPr>
            <w:r w:rsidRPr="00C934C3">
              <w:rPr>
                <w:color w:val="000000"/>
              </w:rPr>
              <w:t>5</w:t>
            </w:r>
          </w:p>
        </w:tc>
        <w:tc>
          <w:tcPr>
            <w:tcW w:w="426" w:type="dxa"/>
            <w:vAlign w:val="center"/>
          </w:tcPr>
          <w:p w14:paraId="4A53AFD2" w14:textId="77777777" w:rsidR="00380062" w:rsidRPr="00C934C3" w:rsidRDefault="00380062" w:rsidP="00106A77">
            <w:pPr>
              <w:jc w:val="center"/>
              <w:rPr>
                <w:color w:val="000000"/>
              </w:rPr>
            </w:pPr>
            <w:r w:rsidRPr="00C934C3">
              <w:rPr>
                <w:color w:val="000000"/>
              </w:rPr>
              <w:t>5</w:t>
            </w:r>
          </w:p>
        </w:tc>
        <w:tc>
          <w:tcPr>
            <w:tcW w:w="425" w:type="dxa"/>
            <w:vAlign w:val="center"/>
          </w:tcPr>
          <w:p w14:paraId="078CE967" w14:textId="77777777" w:rsidR="00380062" w:rsidRPr="00C934C3" w:rsidRDefault="00380062" w:rsidP="00106A77">
            <w:pPr>
              <w:jc w:val="center"/>
              <w:rPr>
                <w:color w:val="000000"/>
              </w:rPr>
            </w:pPr>
            <w:r w:rsidRPr="00C934C3">
              <w:rPr>
                <w:color w:val="000000"/>
              </w:rPr>
              <w:t>6</w:t>
            </w:r>
          </w:p>
        </w:tc>
        <w:tc>
          <w:tcPr>
            <w:tcW w:w="992" w:type="dxa"/>
            <w:noWrap/>
            <w:vAlign w:val="center"/>
            <w:hideMark/>
          </w:tcPr>
          <w:p w14:paraId="43E2CD4A" w14:textId="77777777" w:rsidR="00380062" w:rsidRPr="00C934C3" w:rsidRDefault="00380062" w:rsidP="00106A77">
            <w:pPr>
              <w:jc w:val="center"/>
              <w:rPr>
                <w:color w:val="000000"/>
              </w:rPr>
            </w:pPr>
            <w:r w:rsidRPr="00C934C3">
              <w:rPr>
                <w:color w:val="000000"/>
              </w:rPr>
              <w:t>51</w:t>
            </w:r>
          </w:p>
        </w:tc>
        <w:tc>
          <w:tcPr>
            <w:tcW w:w="1843" w:type="dxa"/>
            <w:noWrap/>
            <w:vAlign w:val="center"/>
            <w:hideMark/>
          </w:tcPr>
          <w:p w14:paraId="6EEA648D" w14:textId="77777777" w:rsidR="00380062" w:rsidRPr="00C934C3" w:rsidRDefault="00380062" w:rsidP="00106A77">
            <w:pPr>
              <w:jc w:val="center"/>
              <w:rPr>
                <w:color w:val="000000"/>
              </w:rPr>
            </w:pPr>
            <w:r w:rsidRPr="00C934C3">
              <w:rPr>
                <w:color w:val="000000"/>
              </w:rPr>
              <w:t>85%</w:t>
            </w:r>
          </w:p>
        </w:tc>
      </w:tr>
      <w:tr w:rsidR="00F679A0" w:rsidRPr="00C934C3" w14:paraId="2C2A21B1" w14:textId="77777777" w:rsidTr="00F679A0">
        <w:trPr>
          <w:trHeight w:val="320"/>
        </w:trPr>
        <w:tc>
          <w:tcPr>
            <w:tcW w:w="1677" w:type="dxa"/>
            <w:noWrap/>
            <w:vAlign w:val="center"/>
          </w:tcPr>
          <w:p w14:paraId="40FB99BF" w14:textId="77777777" w:rsidR="00380062" w:rsidRPr="00C934C3" w:rsidRDefault="00380062" w:rsidP="00106A77">
            <w:pPr>
              <w:jc w:val="center"/>
              <w:rPr>
                <w:color w:val="000000"/>
              </w:rPr>
            </w:pPr>
            <w:r w:rsidRPr="00C934C3">
              <w:rPr>
                <w:color w:val="000000"/>
              </w:rPr>
              <w:t>3</w:t>
            </w:r>
            <w:r w:rsidRPr="00C934C3">
              <w:rPr>
                <w:color w:val="000000"/>
                <w:vertAlign w:val="superscript"/>
              </w:rPr>
              <w:t>nd</w:t>
            </w:r>
            <w:r w:rsidRPr="00C934C3">
              <w:rPr>
                <w:color w:val="000000"/>
              </w:rPr>
              <w:t xml:space="preserve"> Expert</w:t>
            </w:r>
          </w:p>
          <w:p w14:paraId="0F461619" w14:textId="77777777" w:rsidR="00380062" w:rsidRPr="00C934C3" w:rsidRDefault="00380062" w:rsidP="00106A77">
            <w:pPr>
              <w:jc w:val="center"/>
              <w:rPr>
                <w:color w:val="000000"/>
              </w:rPr>
            </w:pPr>
            <w:r w:rsidRPr="00C934C3">
              <w:rPr>
                <w:color w:val="000000"/>
              </w:rPr>
              <w:t>(Nutritionist)</w:t>
            </w:r>
          </w:p>
        </w:tc>
        <w:tc>
          <w:tcPr>
            <w:tcW w:w="450" w:type="dxa"/>
            <w:noWrap/>
            <w:vAlign w:val="center"/>
          </w:tcPr>
          <w:p w14:paraId="0ECA6B2B" w14:textId="77777777" w:rsidR="00380062" w:rsidRPr="00C934C3" w:rsidRDefault="00380062" w:rsidP="00106A77">
            <w:pPr>
              <w:jc w:val="center"/>
              <w:rPr>
                <w:color w:val="000000"/>
              </w:rPr>
            </w:pPr>
            <w:r w:rsidRPr="00C934C3">
              <w:rPr>
                <w:color w:val="000000"/>
              </w:rPr>
              <w:t>4</w:t>
            </w:r>
          </w:p>
        </w:tc>
        <w:tc>
          <w:tcPr>
            <w:tcW w:w="515" w:type="dxa"/>
            <w:noWrap/>
            <w:vAlign w:val="center"/>
          </w:tcPr>
          <w:p w14:paraId="067DF8F0" w14:textId="77777777" w:rsidR="00380062" w:rsidRPr="00C934C3" w:rsidRDefault="00380062" w:rsidP="00106A77">
            <w:pPr>
              <w:jc w:val="center"/>
              <w:rPr>
                <w:color w:val="000000"/>
              </w:rPr>
            </w:pPr>
            <w:r w:rsidRPr="00C934C3">
              <w:rPr>
                <w:color w:val="000000"/>
              </w:rPr>
              <w:t>5</w:t>
            </w:r>
          </w:p>
        </w:tc>
        <w:tc>
          <w:tcPr>
            <w:tcW w:w="477" w:type="dxa"/>
            <w:noWrap/>
            <w:vAlign w:val="center"/>
          </w:tcPr>
          <w:p w14:paraId="29C3B806" w14:textId="77777777" w:rsidR="00380062" w:rsidRPr="00C934C3" w:rsidRDefault="00380062" w:rsidP="00106A77">
            <w:pPr>
              <w:jc w:val="center"/>
              <w:rPr>
                <w:color w:val="000000"/>
              </w:rPr>
            </w:pPr>
            <w:r w:rsidRPr="00C934C3">
              <w:rPr>
                <w:color w:val="000000"/>
              </w:rPr>
              <w:t>4</w:t>
            </w:r>
          </w:p>
        </w:tc>
        <w:tc>
          <w:tcPr>
            <w:tcW w:w="425" w:type="dxa"/>
            <w:noWrap/>
            <w:vAlign w:val="center"/>
          </w:tcPr>
          <w:p w14:paraId="547797CB" w14:textId="77777777" w:rsidR="00380062" w:rsidRPr="00C934C3" w:rsidRDefault="00380062" w:rsidP="00106A77">
            <w:pPr>
              <w:jc w:val="center"/>
              <w:rPr>
                <w:color w:val="000000"/>
              </w:rPr>
            </w:pPr>
            <w:r w:rsidRPr="00C934C3">
              <w:rPr>
                <w:color w:val="000000"/>
              </w:rPr>
              <w:t>5</w:t>
            </w:r>
          </w:p>
        </w:tc>
        <w:tc>
          <w:tcPr>
            <w:tcW w:w="426" w:type="dxa"/>
            <w:noWrap/>
            <w:vAlign w:val="center"/>
          </w:tcPr>
          <w:p w14:paraId="0B0729E1" w14:textId="77777777" w:rsidR="00380062" w:rsidRPr="00C934C3" w:rsidRDefault="00380062" w:rsidP="00106A77">
            <w:pPr>
              <w:jc w:val="center"/>
              <w:rPr>
                <w:color w:val="000000"/>
              </w:rPr>
            </w:pPr>
            <w:r w:rsidRPr="00C934C3">
              <w:rPr>
                <w:color w:val="000000"/>
              </w:rPr>
              <w:t>6</w:t>
            </w:r>
          </w:p>
        </w:tc>
        <w:tc>
          <w:tcPr>
            <w:tcW w:w="425" w:type="dxa"/>
            <w:noWrap/>
            <w:vAlign w:val="center"/>
          </w:tcPr>
          <w:p w14:paraId="2CDE5C21" w14:textId="77777777" w:rsidR="00380062" w:rsidRPr="00C934C3" w:rsidRDefault="00380062" w:rsidP="00106A77">
            <w:pPr>
              <w:jc w:val="center"/>
              <w:rPr>
                <w:color w:val="000000"/>
              </w:rPr>
            </w:pPr>
            <w:r w:rsidRPr="00C934C3">
              <w:rPr>
                <w:color w:val="000000"/>
              </w:rPr>
              <w:t>6</w:t>
            </w:r>
          </w:p>
        </w:tc>
        <w:tc>
          <w:tcPr>
            <w:tcW w:w="425" w:type="dxa"/>
            <w:noWrap/>
            <w:vAlign w:val="center"/>
          </w:tcPr>
          <w:p w14:paraId="69812B16" w14:textId="77777777" w:rsidR="00380062" w:rsidRPr="00C934C3" w:rsidRDefault="00380062" w:rsidP="00106A77">
            <w:pPr>
              <w:jc w:val="center"/>
              <w:rPr>
                <w:color w:val="000000"/>
              </w:rPr>
            </w:pPr>
            <w:r w:rsidRPr="00C934C3">
              <w:rPr>
                <w:color w:val="000000"/>
              </w:rPr>
              <w:t>6</w:t>
            </w:r>
          </w:p>
        </w:tc>
        <w:tc>
          <w:tcPr>
            <w:tcW w:w="425" w:type="dxa"/>
            <w:noWrap/>
            <w:vAlign w:val="center"/>
          </w:tcPr>
          <w:p w14:paraId="1B5EE7AD" w14:textId="77777777" w:rsidR="00380062" w:rsidRPr="00C934C3" w:rsidRDefault="00380062" w:rsidP="00106A77">
            <w:pPr>
              <w:jc w:val="center"/>
              <w:rPr>
                <w:color w:val="000000"/>
              </w:rPr>
            </w:pPr>
            <w:r w:rsidRPr="00C934C3">
              <w:rPr>
                <w:color w:val="000000"/>
              </w:rPr>
              <w:t>6</w:t>
            </w:r>
          </w:p>
        </w:tc>
        <w:tc>
          <w:tcPr>
            <w:tcW w:w="426" w:type="dxa"/>
            <w:vAlign w:val="center"/>
          </w:tcPr>
          <w:p w14:paraId="22EA94EB" w14:textId="77777777" w:rsidR="00380062" w:rsidRPr="00C934C3" w:rsidRDefault="00380062" w:rsidP="00106A77">
            <w:pPr>
              <w:jc w:val="center"/>
              <w:rPr>
                <w:color w:val="000000"/>
              </w:rPr>
            </w:pPr>
            <w:r w:rsidRPr="00C934C3">
              <w:rPr>
                <w:color w:val="000000"/>
              </w:rPr>
              <w:t>5</w:t>
            </w:r>
          </w:p>
        </w:tc>
        <w:tc>
          <w:tcPr>
            <w:tcW w:w="425" w:type="dxa"/>
            <w:vAlign w:val="center"/>
          </w:tcPr>
          <w:p w14:paraId="1C5FB046" w14:textId="77777777" w:rsidR="00380062" w:rsidRPr="00C934C3" w:rsidRDefault="00380062" w:rsidP="00106A77">
            <w:pPr>
              <w:jc w:val="center"/>
              <w:rPr>
                <w:color w:val="000000"/>
              </w:rPr>
            </w:pPr>
            <w:r w:rsidRPr="00C934C3">
              <w:rPr>
                <w:color w:val="000000"/>
              </w:rPr>
              <w:t>6</w:t>
            </w:r>
          </w:p>
        </w:tc>
        <w:tc>
          <w:tcPr>
            <w:tcW w:w="992" w:type="dxa"/>
            <w:noWrap/>
            <w:vAlign w:val="center"/>
          </w:tcPr>
          <w:p w14:paraId="1DFA2A0D" w14:textId="77777777" w:rsidR="00380062" w:rsidRPr="00C934C3" w:rsidRDefault="00380062" w:rsidP="00106A77">
            <w:pPr>
              <w:jc w:val="center"/>
              <w:rPr>
                <w:color w:val="000000"/>
              </w:rPr>
            </w:pPr>
            <w:r w:rsidRPr="00C934C3">
              <w:rPr>
                <w:color w:val="000000"/>
              </w:rPr>
              <w:t>53</w:t>
            </w:r>
          </w:p>
        </w:tc>
        <w:tc>
          <w:tcPr>
            <w:tcW w:w="1843" w:type="dxa"/>
            <w:noWrap/>
            <w:vAlign w:val="center"/>
          </w:tcPr>
          <w:p w14:paraId="212BE62D" w14:textId="77777777" w:rsidR="00380062" w:rsidRPr="00C934C3" w:rsidRDefault="00380062" w:rsidP="00106A77">
            <w:pPr>
              <w:jc w:val="center"/>
              <w:rPr>
                <w:color w:val="000000"/>
              </w:rPr>
            </w:pPr>
            <w:r w:rsidRPr="00C934C3">
              <w:rPr>
                <w:color w:val="000000"/>
              </w:rPr>
              <w:t>88,3%</w:t>
            </w:r>
          </w:p>
        </w:tc>
      </w:tr>
      <w:tr w:rsidR="00F679A0" w:rsidRPr="00C934C3" w14:paraId="6D13E227" w14:textId="77777777" w:rsidTr="00F679A0">
        <w:trPr>
          <w:trHeight w:val="320"/>
        </w:trPr>
        <w:tc>
          <w:tcPr>
            <w:tcW w:w="1677" w:type="dxa"/>
            <w:noWrap/>
            <w:vAlign w:val="center"/>
          </w:tcPr>
          <w:p w14:paraId="675B58DE" w14:textId="77777777" w:rsidR="00380062" w:rsidRPr="00C934C3" w:rsidRDefault="00380062" w:rsidP="00106A77">
            <w:pPr>
              <w:jc w:val="center"/>
              <w:rPr>
                <w:color w:val="000000"/>
              </w:rPr>
            </w:pPr>
            <w:r w:rsidRPr="00C934C3">
              <w:rPr>
                <w:color w:val="000000"/>
              </w:rPr>
              <w:t>4</w:t>
            </w:r>
            <w:r w:rsidRPr="00C934C3">
              <w:rPr>
                <w:color w:val="000000"/>
                <w:vertAlign w:val="superscript"/>
              </w:rPr>
              <w:t>nd</w:t>
            </w:r>
            <w:r w:rsidRPr="00C934C3">
              <w:rPr>
                <w:color w:val="000000"/>
              </w:rPr>
              <w:t xml:space="preserve"> Expert</w:t>
            </w:r>
          </w:p>
          <w:p w14:paraId="366D271F" w14:textId="77777777" w:rsidR="00380062" w:rsidRPr="00C934C3" w:rsidRDefault="00380062" w:rsidP="00106A77">
            <w:pPr>
              <w:jc w:val="center"/>
              <w:rPr>
                <w:color w:val="000000"/>
              </w:rPr>
            </w:pPr>
            <w:r w:rsidRPr="00C934C3">
              <w:rPr>
                <w:color w:val="000000"/>
              </w:rPr>
              <w:t>(Psychiatric Nurse)</w:t>
            </w:r>
          </w:p>
        </w:tc>
        <w:tc>
          <w:tcPr>
            <w:tcW w:w="450" w:type="dxa"/>
            <w:noWrap/>
            <w:vAlign w:val="center"/>
          </w:tcPr>
          <w:p w14:paraId="1482AE60" w14:textId="77777777" w:rsidR="00380062" w:rsidRPr="00C934C3" w:rsidRDefault="00380062" w:rsidP="00106A77">
            <w:pPr>
              <w:jc w:val="center"/>
              <w:rPr>
                <w:color w:val="000000"/>
              </w:rPr>
            </w:pPr>
            <w:r w:rsidRPr="00C934C3">
              <w:rPr>
                <w:color w:val="000000"/>
              </w:rPr>
              <w:t>6</w:t>
            </w:r>
          </w:p>
        </w:tc>
        <w:tc>
          <w:tcPr>
            <w:tcW w:w="515" w:type="dxa"/>
            <w:noWrap/>
            <w:vAlign w:val="center"/>
          </w:tcPr>
          <w:p w14:paraId="746851BE" w14:textId="77777777" w:rsidR="00380062" w:rsidRPr="00C934C3" w:rsidRDefault="00380062" w:rsidP="00106A77">
            <w:pPr>
              <w:jc w:val="center"/>
              <w:rPr>
                <w:color w:val="000000"/>
              </w:rPr>
            </w:pPr>
            <w:r w:rsidRPr="00C934C3">
              <w:rPr>
                <w:color w:val="000000"/>
              </w:rPr>
              <w:t>6</w:t>
            </w:r>
          </w:p>
        </w:tc>
        <w:tc>
          <w:tcPr>
            <w:tcW w:w="477" w:type="dxa"/>
            <w:noWrap/>
            <w:vAlign w:val="center"/>
          </w:tcPr>
          <w:p w14:paraId="6114E10E" w14:textId="77777777" w:rsidR="00380062" w:rsidRPr="00C934C3" w:rsidRDefault="00380062" w:rsidP="00106A77">
            <w:pPr>
              <w:jc w:val="center"/>
              <w:rPr>
                <w:color w:val="000000"/>
              </w:rPr>
            </w:pPr>
            <w:r w:rsidRPr="00C934C3">
              <w:rPr>
                <w:color w:val="000000"/>
              </w:rPr>
              <w:t>5</w:t>
            </w:r>
          </w:p>
        </w:tc>
        <w:tc>
          <w:tcPr>
            <w:tcW w:w="425" w:type="dxa"/>
            <w:noWrap/>
            <w:vAlign w:val="center"/>
          </w:tcPr>
          <w:p w14:paraId="790AB9D0" w14:textId="77777777" w:rsidR="00380062" w:rsidRPr="00C934C3" w:rsidRDefault="00380062" w:rsidP="00106A77">
            <w:pPr>
              <w:jc w:val="center"/>
              <w:rPr>
                <w:color w:val="000000"/>
              </w:rPr>
            </w:pPr>
            <w:r w:rsidRPr="00C934C3">
              <w:rPr>
                <w:color w:val="000000"/>
              </w:rPr>
              <w:t>5</w:t>
            </w:r>
          </w:p>
        </w:tc>
        <w:tc>
          <w:tcPr>
            <w:tcW w:w="426" w:type="dxa"/>
            <w:noWrap/>
            <w:vAlign w:val="center"/>
          </w:tcPr>
          <w:p w14:paraId="2B8757B3" w14:textId="77777777" w:rsidR="00380062" w:rsidRPr="00C934C3" w:rsidRDefault="00380062" w:rsidP="00106A77">
            <w:pPr>
              <w:jc w:val="center"/>
              <w:rPr>
                <w:color w:val="000000"/>
              </w:rPr>
            </w:pPr>
            <w:r w:rsidRPr="00C934C3">
              <w:rPr>
                <w:color w:val="000000"/>
              </w:rPr>
              <w:t>4</w:t>
            </w:r>
          </w:p>
        </w:tc>
        <w:tc>
          <w:tcPr>
            <w:tcW w:w="425" w:type="dxa"/>
            <w:noWrap/>
            <w:vAlign w:val="center"/>
          </w:tcPr>
          <w:p w14:paraId="023C40AD" w14:textId="77777777" w:rsidR="00380062" w:rsidRPr="00C934C3" w:rsidRDefault="00380062" w:rsidP="00106A77">
            <w:pPr>
              <w:jc w:val="center"/>
              <w:rPr>
                <w:color w:val="000000"/>
              </w:rPr>
            </w:pPr>
            <w:r w:rsidRPr="00C934C3">
              <w:rPr>
                <w:color w:val="000000"/>
              </w:rPr>
              <w:t>6</w:t>
            </w:r>
          </w:p>
        </w:tc>
        <w:tc>
          <w:tcPr>
            <w:tcW w:w="425" w:type="dxa"/>
            <w:noWrap/>
            <w:vAlign w:val="center"/>
          </w:tcPr>
          <w:p w14:paraId="5C89EDBC" w14:textId="77777777" w:rsidR="00380062" w:rsidRPr="00C934C3" w:rsidRDefault="00380062" w:rsidP="00106A77">
            <w:pPr>
              <w:jc w:val="center"/>
              <w:rPr>
                <w:color w:val="000000"/>
              </w:rPr>
            </w:pPr>
            <w:r w:rsidRPr="00C934C3">
              <w:rPr>
                <w:color w:val="000000"/>
              </w:rPr>
              <w:t>6</w:t>
            </w:r>
          </w:p>
        </w:tc>
        <w:tc>
          <w:tcPr>
            <w:tcW w:w="425" w:type="dxa"/>
            <w:noWrap/>
            <w:vAlign w:val="center"/>
          </w:tcPr>
          <w:p w14:paraId="32722AAE" w14:textId="77777777" w:rsidR="00380062" w:rsidRPr="00C934C3" w:rsidRDefault="00380062" w:rsidP="00106A77">
            <w:pPr>
              <w:jc w:val="center"/>
              <w:rPr>
                <w:color w:val="000000"/>
              </w:rPr>
            </w:pPr>
            <w:r w:rsidRPr="00C934C3">
              <w:rPr>
                <w:color w:val="000000"/>
              </w:rPr>
              <w:t>6</w:t>
            </w:r>
          </w:p>
        </w:tc>
        <w:tc>
          <w:tcPr>
            <w:tcW w:w="426" w:type="dxa"/>
            <w:vAlign w:val="center"/>
          </w:tcPr>
          <w:p w14:paraId="60DC1679" w14:textId="77777777" w:rsidR="00380062" w:rsidRPr="00C934C3" w:rsidRDefault="00380062" w:rsidP="00106A77">
            <w:pPr>
              <w:jc w:val="center"/>
              <w:rPr>
                <w:color w:val="000000"/>
              </w:rPr>
            </w:pPr>
            <w:r w:rsidRPr="00C934C3">
              <w:rPr>
                <w:color w:val="000000"/>
              </w:rPr>
              <w:t>6</w:t>
            </w:r>
          </w:p>
        </w:tc>
        <w:tc>
          <w:tcPr>
            <w:tcW w:w="425" w:type="dxa"/>
            <w:vAlign w:val="center"/>
          </w:tcPr>
          <w:p w14:paraId="765701CF" w14:textId="77777777" w:rsidR="00380062" w:rsidRPr="00C934C3" w:rsidRDefault="00380062" w:rsidP="00106A77">
            <w:pPr>
              <w:jc w:val="center"/>
              <w:rPr>
                <w:color w:val="000000"/>
              </w:rPr>
            </w:pPr>
            <w:r w:rsidRPr="00C934C3">
              <w:rPr>
                <w:color w:val="000000"/>
              </w:rPr>
              <w:t>6</w:t>
            </w:r>
          </w:p>
        </w:tc>
        <w:tc>
          <w:tcPr>
            <w:tcW w:w="992" w:type="dxa"/>
            <w:noWrap/>
            <w:vAlign w:val="center"/>
          </w:tcPr>
          <w:p w14:paraId="02ED6AF3" w14:textId="77777777" w:rsidR="00380062" w:rsidRPr="00C934C3" w:rsidRDefault="00380062" w:rsidP="00106A77">
            <w:pPr>
              <w:jc w:val="center"/>
              <w:rPr>
                <w:color w:val="000000"/>
              </w:rPr>
            </w:pPr>
            <w:r w:rsidRPr="00C934C3">
              <w:rPr>
                <w:color w:val="000000"/>
              </w:rPr>
              <w:t>56</w:t>
            </w:r>
          </w:p>
        </w:tc>
        <w:tc>
          <w:tcPr>
            <w:tcW w:w="1843" w:type="dxa"/>
            <w:noWrap/>
            <w:vAlign w:val="center"/>
          </w:tcPr>
          <w:p w14:paraId="692C8C6B" w14:textId="77777777" w:rsidR="00380062" w:rsidRPr="00C934C3" w:rsidRDefault="00380062" w:rsidP="00106A77">
            <w:pPr>
              <w:jc w:val="center"/>
              <w:rPr>
                <w:color w:val="000000"/>
              </w:rPr>
            </w:pPr>
            <w:r w:rsidRPr="00C934C3">
              <w:rPr>
                <w:color w:val="000000"/>
              </w:rPr>
              <w:t>93,3%</w:t>
            </w:r>
          </w:p>
        </w:tc>
      </w:tr>
      <w:tr w:rsidR="00F679A0" w:rsidRPr="00C934C3" w14:paraId="413DED24" w14:textId="77777777" w:rsidTr="00F679A0">
        <w:trPr>
          <w:trHeight w:val="320"/>
        </w:trPr>
        <w:tc>
          <w:tcPr>
            <w:tcW w:w="1677" w:type="dxa"/>
            <w:noWrap/>
            <w:vAlign w:val="center"/>
          </w:tcPr>
          <w:p w14:paraId="2ED7D79F" w14:textId="77777777" w:rsidR="00380062" w:rsidRPr="00C934C3" w:rsidRDefault="00380062" w:rsidP="00106A77">
            <w:pPr>
              <w:jc w:val="center"/>
              <w:rPr>
                <w:color w:val="000000"/>
              </w:rPr>
            </w:pPr>
            <w:r w:rsidRPr="00C934C3">
              <w:rPr>
                <w:color w:val="000000"/>
              </w:rPr>
              <w:t>5</w:t>
            </w:r>
            <w:r w:rsidRPr="00C934C3">
              <w:rPr>
                <w:color w:val="000000"/>
                <w:vertAlign w:val="superscript"/>
              </w:rPr>
              <w:t>nd</w:t>
            </w:r>
            <w:r w:rsidRPr="00C934C3">
              <w:rPr>
                <w:color w:val="000000"/>
              </w:rPr>
              <w:t xml:space="preserve"> Expert</w:t>
            </w:r>
          </w:p>
          <w:p w14:paraId="2977C681" w14:textId="77777777" w:rsidR="00380062" w:rsidRPr="00C934C3" w:rsidRDefault="00380062" w:rsidP="00106A77">
            <w:pPr>
              <w:jc w:val="center"/>
              <w:rPr>
                <w:color w:val="000000"/>
              </w:rPr>
            </w:pPr>
            <w:r w:rsidRPr="00C934C3">
              <w:rPr>
                <w:color w:val="000000"/>
              </w:rPr>
              <w:t>(Head of Medical Record Dept.)</w:t>
            </w:r>
          </w:p>
        </w:tc>
        <w:tc>
          <w:tcPr>
            <w:tcW w:w="450" w:type="dxa"/>
            <w:noWrap/>
            <w:vAlign w:val="center"/>
          </w:tcPr>
          <w:p w14:paraId="7307113C" w14:textId="77777777" w:rsidR="00380062" w:rsidRPr="00C934C3" w:rsidRDefault="00380062" w:rsidP="00106A77">
            <w:pPr>
              <w:jc w:val="center"/>
              <w:rPr>
                <w:color w:val="000000"/>
              </w:rPr>
            </w:pPr>
            <w:r w:rsidRPr="00C934C3">
              <w:rPr>
                <w:color w:val="000000"/>
              </w:rPr>
              <w:t>6</w:t>
            </w:r>
          </w:p>
        </w:tc>
        <w:tc>
          <w:tcPr>
            <w:tcW w:w="515" w:type="dxa"/>
            <w:noWrap/>
            <w:vAlign w:val="center"/>
          </w:tcPr>
          <w:p w14:paraId="712D2AD9" w14:textId="77777777" w:rsidR="00380062" w:rsidRPr="00C934C3" w:rsidRDefault="00380062" w:rsidP="00106A77">
            <w:pPr>
              <w:jc w:val="center"/>
              <w:rPr>
                <w:color w:val="000000"/>
              </w:rPr>
            </w:pPr>
            <w:r w:rsidRPr="00C934C3">
              <w:rPr>
                <w:color w:val="000000"/>
              </w:rPr>
              <w:t>6</w:t>
            </w:r>
          </w:p>
        </w:tc>
        <w:tc>
          <w:tcPr>
            <w:tcW w:w="477" w:type="dxa"/>
            <w:noWrap/>
            <w:vAlign w:val="center"/>
          </w:tcPr>
          <w:p w14:paraId="6CD1B101" w14:textId="77777777" w:rsidR="00380062" w:rsidRPr="00C934C3" w:rsidRDefault="00380062" w:rsidP="00106A77">
            <w:pPr>
              <w:jc w:val="center"/>
              <w:rPr>
                <w:color w:val="000000"/>
              </w:rPr>
            </w:pPr>
            <w:r w:rsidRPr="00C934C3">
              <w:rPr>
                <w:color w:val="000000"/>
              </w:rPr>
              <w:t>6</w:t>
            </w:r>
          </w:p>
        </w:tc>
        <w:tc>
          <w:tcPr>
            <w:tcW w:w="425" w:type="dxa"/>
            <w:noWrap/>
            <w:vAlign w:val="center"/>
          </w:tcPr>
          <w:p w14:paraId="43805C0A" w14:textId="77777777" w:rsidR="00380062" w:rsidRPr="00C934C3" w:rsidRDefault="00380062" w:rsidP="00106A77">
            <w:pPr>
              <w:jc w:val="center"/>
              <w:rPr>
                <w:color w:val="000000"/>
              </w:rPr>
            </w:pPr>
            <w:r w:rsidRPr="00C934C3">
              <w:rPr>
                <w:color w:val="000000"/>
              </w:rPr>
              <w:t>6</w:t>
            </w:r>
          </w:p>
        </w:tc>
        <w:tc>
          <w:tcPr>
            <w:tcW w:w="426" w:type="dxa"/>
            <w:noWrap/>
            <w:vAlign w:val="center"/>
          </w:tcPr>
          <w:p w14:paraId="2E57BC08" w14:textId="77777777" w:rsidR="00380062" w:rsidRPr="00C934C3" w:rsidRDefault="00380062" w:rsidP="00106A77">
            <w:pPr>
              <w:jc w:val="center"/>
              <w:rPr>
                <w:color w:val="000000"/>
              </w:rPr>
            </w:pPr>
            <w:r w:rsidRPr="00C934C3">
              <w:rPr>
                <w:color w:val="000000"/>
              </w:rPr>
              <w:t>6</w:t>
            </w:r>
          </w:p>
        </w:tc>
        <w:tc>
          <w:tcPr>
            <w:tcW w:w="425" w:type="dxa"/>
            <w:noWrap/>
            <w:vAlign w:val="center"/>
          </w:tcPr>
          <w:p w14:paraId="76D554EC" w14:textId="77777777" w:rsidR="00380062" w:rsidRPr="00C934C3" w:rsidRDefault="00380062" w:rsidP="00106A77">
            <w:pPr>
              <w:jc w:val="center"/>
              <w:rPr>
                <w:color w:val="000000"/>
              </w:rPr>
            </w:pPr>
            <w:r w:rsidRPr="00C934C3">
              <w:rPr>
                <w:color w:val="000000"/>
              </w:rPr>
              <w:t>6</w:t>
            </w:r>
          </w:p>
        </w:tc>
        <w:tc>
          <w:tcPr>
            <w:tcW w:w="425" w:type="dxa"/>
            <w:noWrap/>
            <w:vAlign w:val="center"/>
          </w:tcPr>
          <w:p w14:paraId="7127CFA7" w14:textId="77777777" w:rsidR="00380062" w:rsidRPr="00C934C3" w:rsidRDefault="00380062" w:rsidP="00106A77">
            <w:pPr>
              <w:jc w:val="center"/>
              <w:rPr>
                <w:color w:val="000000"/>
              </w:rPr>
            </w:pPr>
            <w:r w:rsidRPr="00C934C3">
              <w:rPr>
                <w:color w:val="000000"/>
              </w:rPr>
              <w:t>5</w:t>
            </w:r>
          </w:p>
        </w:tc>
        <w:tc>
          <w:tcPr>
            <w:tcW w:w="425" w:type="dxa"/>
            <w:noWrap/>
            <w:vAlign w:val="center"/>
          </w:tcPr>
          <w:p w14:paraId="1F56257E" w14:textId="77777777" w:rsidR="00380062" w:rsidRPr="00C934C3" w:rsidRDefault="00380062" w:rsidP="00106A77">
            <w:pPr>
              <w:jc w:val="center"/>
              <w:rPr>
                <w:color w:val="000000"/>
              </w:rPr>
            </w:pPr>
            <w:r w:rsidRPr="00C934C3">
              <w:rPr>
                <w:color w:val="000000"/>
              </w:rPr>
              <w:t>6</w:t>
            </w:r>
          </w:p>
        </w:tc>
        <w:tc>
          <w:tcPr>
            <w:tcW w:w="426" w:type="dxa"/>
            <w:vAlign w:val="center"/>
          </w:tcPr>
          <w:p w14:paraId="46E914EF" w14:textId="77777777" w:rsidR="00380062" w:rsidRPr="00C934C3" w:rsidRDefault="00380062" w:rsidP="00106A77">
            <w:pPr>
              <w:jc w:val="center"/>
              <w:rPr>
                <w:color w:val="000000"/>
              </w:rPr>
            </w:pPr>
            <w:r w:rsidRPr="00C934C3">
              <w:rPr>
                <w:color w:val="000000"/>
              </w:rPr>
              <w:t>6</w:t>
            </w:r>
          </w:p>
        </w:tc>
        <w:tc>
          <w:tcPr>
            <w:tcW w:w="425" w:type="dxa"/>
            <w:vAlign w:val="center"/>
          </w:tcPr>
          <w:p w14:paraId="76D4FD92" w14:textId="77777777" w:rsidR="00380062" w:rsidRPr="00C934C3" w:rsidRDefault="00380062" w:rsidP="00106A77">
            <w:pPr>
              <w:jc w:val="center"/>
              <w:rPr>
                <w:color w:val="000000"/>
              </w:rPr>
            </w:pPr>
            <w:r w:rsidRPr="00C934C3">
              <w:rPr>
                <w:color w:val="000000"/>
              </w:rPr>
              <w:t>6</w:t>
            </w:r>
          </w:p>
        </w:tc>
        <w:tc>
          <w:tcPr>
            <w:tcW w:w="992" w:type="dxa"/>
            <w:noWrap/>
            <w:vAlign w:val="center"/>
          </w:tcPr>
          <w:p w14:paraId="6410C7B1" w14:textId="77777777" w:rsidR="00380062" w:rsidRPr="00C934C3" w:rsidRDefault="00380062" w:rsidP="00106A77">
            <w:pPr>
              <w:jc w:val="center"/>
              <w:rPr>
                <w:color w:val="000000"/>
              </w:rPr>
            </w:pPr>
            <w:r w:rsidRPr="00C934C3">
              <w:rPr>
                <w:color w:val="000000"/>
              </w:rPr>
              <w:t>59</w:t>
            </w:r>
          </w:p>
        </w:tc>
        <w:tc>
          <w:tcPr>
            <w:tcW w:w="1843" w:type="dxa"/>
            <w:noWrap/>
            <w:vAlign w:val="center"/>
          </w:tcPr>
          <w:p w14:paraId="72C9C2AA" w14:textId="77777777" w:rsidR="00380062" w:rsidRPr="00C934C3" w:rsidRDefault="00380062" w:rsidP="00106A77">
            <w:pPr>
              <w:jc w:val="center"/>
              <w:rPr>
                <w:color w:val="000000"/>
              </w:rPr>
            </w:pPr>
            <w:r w:rsidRPr="00C934C3">
              <w:rPr>
                <w:color w:val="000000"/>
              </w:rPr>
              <w:t>98,3%</w:t>
            </w:r>
          </w:p>
        </w:tc>
      </w:tr>
      <w:tr w:rsidR="00F679A0" w:rsidRPr="00C934C3" w14:paraId="1B6B5329" w14:textId="77777777" w:rsidTr="00F679A0">
        <w:trPr>
          <w:trHeight w:val="320"/>
        </w:trPr>
        <w:tc>
          <w:tcPr>
            <w:tcW w:w="1677" w:type="dxa"/>
            <w:noWrap/>
            <w:vAlign w:val="center"/>
          </w:tcPr>
          <w:p w14:paraId="7FBF61CE" w14:textId="77777777" w:rsidR="00380062" w:rsidRPr="00C934C3" w:rsidRDefault="00380062" w:rsidP="00106A77">
            <w:pPr>
              <w:jc w:val="center"/>
              <w:rPr>
                <w:color w:val="000000"/>
              </w:rPr>
            </w:pPr>
            <w:r w:rsidRPr="00C934C3">
              <w:rPr>
                <w:color w:val="000000"/>
              </w:rPr>
              <w:lastRenderedPageBreak/>
              <w:t>6</w:t>
            </w:r>
            <w:r w:rsidRPr="00C934C3">
              <w:rPr>
                <w:color w:val="000000"/>
                <w:vertAlign w:val="superscript"/>
              </w:rPr>
              <w:t>nd</w:t>
            </w:r>
            <w:r w:rsidRPr="00C934C3">
              <w:rPr>
                <w:color w:val="000000"/>
              </w:rPr>
              <w:t xml:space="preserve"> Expert</w:t>
            </w:r>
            <w:r w:rsidRPr="00C934C3">
              <w:rPr>
                <w:color w:val="000000"/>
              </w:rPr>
              <w:br/>
              <w:t>(Medical Record Staff)</w:t>
            </w:r>
          </w:p>
        </w:tc>
        <w:tc>
          <w:tcPr>
            <w:tcW w:w="450" w:type="dxa"/>
            <w:noWrap/>
            <w:vAlign w:val="center"/>
          </w:tcPr>
          <w:p w14:paraId="6C1812F8" w14:textId="77777777" w:rsidR="00380062" w:rsidRPr="00C934C3" w:rsidRDefault="00380062" w:rsidP="00106A77">
            <w:pPr>
              <w:jc w:val="center"/>
              <w:rPr>
                <w:color w:val="000000"/>
              </w:rPr>
            </w:pPr>
            <w:r w:rsidRPr="00C934C3">
              <w:rPr>
                <w:color w:val="000000"/>
              </w:rPr>
              <w:t>5</w:t>
            </w:r>
          </w:p>
        </w:tc>
        <w:tc>
          <w:tcPr>
            <w:tcW w:w="515" w:type="dxa"/>
            <w:noWrap/>
            <w:vAlign w:val="center"/>
          </w:tcPr>
          <w:p w14:paraId="729CAD1A" w14:textId="77777777" w:rsidR="00380062" w:rsidRPr="00C934C3" w:rsidRDefault="00380062" w:rsidP="00106A77">
            <w:pPr>
              <w:jc w:val="center"/>
              <w:rPr>
                <w:color w:val="000000"/>
              </w:rPr>
            </w:pPr>
            <w:r w:rsidRPr="00C934C3">
              <w:rPr>
                <w:color w:val="000000"/>
              </w:rPr>
              <w:t>6</w:t>
            </w:r>
          </w:p>
        </w:tc>
        <w:tc>
          <w:tcPr>
            <w:tcW w:w="477" w:type="dxa"/>
            <w:noWrap/>
            <w:vAlign w:val="center"/>
          </w:tcPr>
          <w:p w14:paraId="7FA9A5C5" w14:textId="77777777" w:rsidR="00380062" w:rsidRPr="00C934C3" w:rsidRDefault="00380062" w:rsidP="00106A77">
            <w:pPr>
              <w:jc w:val="center"/>
              <w:rPr>
                <w:color w:val="000000"/>
              </w:rPr>
            </w:pPr>
            <w:r w:rsidRPr="00C934C3">
              <w:rPr>
                <w:color w:val="000000"/>
              </w:rPr>
              <w:t>5</w:t>
            </w:r>
          </w:p>
        </w:tc>
        <w:tc>
          <w:tcPr>
            <w:tcW w:w="425" w:type="dxa"/>
            <w:noWrap/>
            <w:vAlign w:val="center"/>
          </w:tcPr>
          <w:p w14:paraId="2A4962FD" w14:textId="77777777" w:rsidR="00380062" w:rsidRPr="00C934C3" w:rsidRDefault="00380062" w:rsidP="00106A77">
            <w:pPr>
              <w:jc w:val="center"/>
              <w:rPr>
                <w:color w:val="000000"/>
              </w:rPr>
            </w:pPr>
            <w:r w:rsidRPr="00C934C3">
              <w:rPr>
                <w:color w:val="000000"/>
              </w:rPr>
              <w:t>6</w:t>
            </w:r>
          </w:p>
        </w:tc>
        <w:tc>
          <w:tcPr>
            <w:tcW w:w="426" w:type="dxa"/>
            <w:noWrap/>
            <w:vAlign w:val="center"/>
          </w:tcPr>
          <w:p w14:paraId="5C675774" w14:textId="77777777" w:rsidR="00380062" w:rsidRPr="00C934C3" w:rsidRDefault="00380062" w:rsidP="00106A77">
            <w:pPr>
              <w:jc w:val="center"/>
              <w:rPr>
                <w:color w:val="000000"/>
              </w:rPr>
            </w:pPr>
            <w:r w:rsidRPr="00C934C3">
              <w:rPr>
                <w:color w:val="000000"/>
              </w:rPr>
              <w:t>6</w:t>
            </w:r>
          </w:p>
        </w:tc>
        <w:tc>
          <w:tcPr>
            <w:tcW w:w="425" w:type="dxa"/>
            <w:noWrap/>
            <w:vAlign w:val="center"/>
          </w:tcPr>
          <w:p w14:paraId="0392EB4A" w14:textId="77777777" w:rsidR="00380062" w:rsidRPr="00C934C3" w:rsidRDefault="00380062" w:rsidP="00106A77">
            <w:pPr>
              <w:jc w:val="center"/>
              <w:rPr>
                <w:color w:val="000000"/>
              </w:rPr>
            </w:pPr>
            <w:r w:rsidRPr="00C934C3">
              <w:rPr>
                <w:color w:val="000000"/>
              </w:rPr>
              <w:t>6</w:t>
            </w:r>
          </w:p>
        </w:tc>
        <w:tc>
          <w:tcPr>
            <w:tcW w:w="425" w:type="dxa"/>
            <w:noWrap/>
            <w:vAlign w:val="center"/>
          </w:tcPr>
          <w:p w14:paraId="365929CF" w14:textId="77777777" w:rsidR="00380062" w:rsidRPr="00C934C3" w:rsidRDefault="00380062" w:rsidP="00106A77">
            <w:pPr>
              <w:jc w:val="center"/>
              <w:rPr>
                <w:color w:val="000000"/>
              </w:rPr>
            </w:pPr>
            <w:r w:rsidRPr="00C934C3">
              <w:rPr>
                <w:color w:val="000000"/>
              </w:rPr>
              <w:t>5</w:t>
            </w:r>
          </w:p>
        </w:tc>
        <w:tc>
          <w:tcPr>
            <w:tcW w:w="425" w:type="dxa"/>
            <w:noWrap/>
            <w:vAlign w:val="center"/>
          </w:tcPr>
          <w:p w14:paraId="15A5BF52" w14:textId="77777777" w:rsidR="00380062" w:rsidRPr="00C934C3" w:rsidRDefault="00380062" w:rsidP="00106A77">
            <w:pPr>
              <w:jc w:val="center"/>
              <w:rPr>
                <w:color w:val="000000"/>
              </w:rPr>
            </w:pPr>
            <w:r w:rsidRPr="00C934C3">
              <w:rPr>
                <w:color w:val="000000"/>
              </w:rPr>
              <w:t>6</w:t>
            </w:r>
          </w:p>
        </w:tc>
        <w:tc>
          <w:tcPr>
            <w:tcW w:w="426" w:type="dxa"/>
            <w:vAlign w:val="center"/>
          </w:tcPr>
          <w:p w14:paraId="12A96D75" w14:textId="77777777" w:rsidR="00380062" w:rsidRPr="00C934C3" w:rsidRDefault="00380062" w:rsidP="00106A77">
            <w:pPr>
              <w:jc w:val="center"/>
              <w:rPr>
                <w:color w:val="000000"/>
              </w:rPr>
            </w:pPr>
            <w:r w:rsidRPr="00C934C3">
              <w:rPr>
                <w:color w:val="000000"/>
              </w:rPr>
              <w:t>6</w:t>
            </w:r>
          </w:p>
        </w:tc>
        <w:tc>
          <w:tcPr>
            <w:tcW w:w="425" w:type="dxa"/>
            <w:vAlign w:val="center"/>
          </w:tcPr>
          <w:p w14:paraId="08D8CB9E" w14:textId="77777777" w:rsidR="00380062" w:rsidRPr="00C934C3" w:rsidRDefault="00380062" w:rsidP="00106A77">
            <w:pPr>
              <w:jc w:val="center"/>
              <w:rPr>
                <w:color w:val="000000"/>
              </w:rPr>
            </w:pPr>
            <w:r w:rsidRPr="00C934C3">
              <w:rPr>
                <w:color w:val="000000"/>
              </w:rPr>
              <w:t>6</w:t>
            </w:r>
          </w:p>
        </w:tc>
        <w:tc>
          <w:tcPr>
            <w:tcW w:w="992" w:type="dxa"/>
            <w:noWrap/>
            <w:vAlign w:val="center"/>
          </w:tcPr>
          <w:p w14:paraId="00082307" w14:textId="77777777" w:rsidR="00380062" w:rsidRPr="00C934C3" w:rsidRDefault="00380062" w:rsidP="00106A77">
            <w:pPr>
              <w:jc w:val="center"/>
              <w:rPr>
                <w:color w:val="000000"/>
              </w:rPr>
            </w:pPr>
            <w:r w:rsidRPr="00C934C3">
              <w:rPr>
                <w:color w:val="000000"/>
              </w:rPr>
              <w:t>57</w:t>
            </w:r>
          </w:p>
        </w:tc>
        <w:tc>
          <w:tcPr>
            <w:tcW w:w="1843" w:type="dxa"/>
            <w:noWrap/>
            <w:vAlign w:val="center"/>
          </w:tcPr>
          <w:p w14:paraId="5334609D" w14:textId="77777777" w:rsidR="00380062" w:rsidRPr="00C934C3" w:rsidRDefault="00380062" w:rsidP="00106A77">
            <w:pPr>
              <w:jc w:val="center"/>
              <w:rPr>
                <w:color w:val="000000"/>
              </w:rPr>
            </w:pPr>
            <w:r w:rsidRPr="00C934C3">
              <w:rPr>
                <w:color w:val="000000"/>
              </w:rPr>
              <w:t>95%</w:t>
            </w:r>
          </w:p>
        </w:tc>
      </w:tr>
      <w:tr w:rsidR="00F679A0" w:rsidRPr="00C934C3" w14:paraId="6A1F47C6" w14:textId="77777777" w:rsidTr="00F679A0">
        <w:trPr>
          <w:trHeight w:val="320"/>
        </w:trPr>
        <w:tc>
          <w:tcPr>
            <w:tcW w:w="1677" w:type="dxa"/>
            <w:noWrap/>
            <w:vAlign w:val="center"/>
          </w:tcPr>
          <w:p w14:paraId="7F621120" w14:textId="77777777" w:rsidR="00380062" w:rsidRPr="00C934C3" w:rsidRDefault="00380062" w:rsidP="00106A77">
            <w:pPr>
              <w:jc w:val="center"/>
              <w:rPr>
                <w:color w:val="000000"/>
              </w:rPr>
            </w:pPr>
            <w:r w:rsidRPr="00C934C3">
              <w:rPr>
                <w:color w:val="000000"/>
              </w:rPr>
              <w:t>7</w:t>
            </w:r>
            <w:r w:rsidRPr="00C934C3">
              <w:rPr>
                <w:color w:val="000000"/>
                <w:vertAlign w:val="superscript"/>
              </w:rPr>
              <w:t>nd</w:t>
            </w:r>
            <w:r w:rsidRPr="00C934C3">
              <w:rPr>
                <w:color w:val="000000"/>
              </w:rPr>
              <w:t xml:space="preserve"> Expert</w:t>
            </w:r>
          </w:p>
          <w:p w14:paraId="7037F288" w14:textId="77777777" w:rsidR="00380062" w:rsidRPr="00C934C3" w:rsidRDefault="00380062" w:rsidP="00106A77">
            <w:pPr>
              <w:jc w:val="center"/>
              <w:rPr>
                <w:color w:val="000000"/>
              </w:rPr>
            </w:pPr>
            <w:r w:rsidRPr="00C934C3">
              <w:rPr>
                <w:color w:val="000000"/>
              </w:rPr>
              <w:t>(Psychiatrist)</w:t>
            </w:r>
          </w:p>
        </w:tc>
        <w:tc>
          <w:tcPr>
            <w:tcW w:w="450" w:type="dxa"/>
            <w:noWrap/>
            <w:vAlign w:val="center"/>
          </w:tcPr>
          <w:p w14:paraId="2D6039A1" w14:textId="77777777" w:rsidR="00380062" w:rsidRPr="00C934C3" w:rsidRDefault="00380062" w:rsidP="00106A77">
            <w:pPr>
              <w:jc w:val="center"/>
              <w:rPr>
                <w:color w:val="000000"/>
              </w:rPr>
            </w:pPr>
            <w:r w:rsidRPr="00C934C3">
              <w:rPr>
                <w:color w:val="000000"/>
              </w:rPr>
              <w:t>5</w:t>
            </w:r>
          </w:p>
        </w:tc>
        <w:tc>
          <w:tcPr>
            <w:tcW w:w="515" w:type="dxa"/>
            <w:noWrap/>
            <w:vAlign w:val="center"/>
          </w:tcPr>
          <w:p w14:paraId="5F8F9075" w14:textId="77777777" w:rsidR="00380062" w:rsidRPr="00C934C3" w:rsidRDefault="00380062" w:rsidP="00106A77">
            <w:pPr>
              <w:jc w:val="center"/>
              <w:rPr>
                <w:color w:val="000000"/>
              </w:rPr>
            </w:pPr>
            <w:r w:rsidRPr="00C934C3">
              <w:rPr>
                <w:color w:val="000000"/>
              </w:rPr>
              <w:t>4</w:t>
            </w:r>
          </w:p>
        </w:tc>
        <w:tc>
          <w:tcPr>
            <w:tcW w:w="477" w:type="dxa"/>
            <w:noWrap/>
            <w:vAlign w:val="center"/>
          </w:tcPr>
          <w:p w14:paraId="21A5B079" w14:textId="77777777" w:rsidR="00380062" w:rsidRPr="00C934C3" w:rsidRDefault="00380062" w:rsidP="00106A77">
            <w:pPr>
              <w:jc w:val="center"/>
              <w:rPr>
                <w:color w:val="000000"/>
              </w:rPr>
            </w:pPr>
            <w:r w:rsidRPr="00C934C3">
              <w:rPr>
                <w:color w:val="000000"/>
              </w:rPr>
              <w:t>3</w:t>
            </w:r>
          </w:p>
        </w:tc>
        <w:tc>
          <w:tcPr>
            <w:tcW w:w="425" w:type="dxa"/>
            <w:noWrap/>
            <w:vAlign w:val="center"/>
          </w:tcPr>
          <w:p w14:paraId="6C6FCEDF" w14:textId="77777777" w:rsidR="00380062" w:rsidRPr="00C934C3" w:rsidRDefault="00380062" w:rsidP="00106A77">
            <w:pPr>
              <w:jc w:val="center"/>
              <w:rPr>
                <w:color w:val="000000"/>
              </w:rPr>
            </w:pPr>
            <w:r w:rsidRPr="00C934C3">
              <w:rPr>
                <w:color w:val="000000"/>
              </w:rPr>
              <w:t>3</w:t>
            </w:r>
          </w:p>
        </w:tc>
        <w:tc>
          <w:tcPr>
            <w:tcW w:w="426" w:type="dxa"/>
            <w:noWrap/>
            <w:vAlign w:val="center"/>
          </w:tcPr>
          <w:p w14:paraId="186034B4" w14:textId="77777777" w:rsidR="00380062" w:rsidRPr="00C934C3" w:rsidRDefault="00380062" w:rsidP="00106A77">
            <w:pPr>
              <w:jc w:val="center"/>
              <w:rPr>
                <w:color w:val="000000"/>
              </w:rPr>
            </w:pPr>
            <w:r w:rsidRPr="00C934C3">
              <w:rPr>
                <w:color w:val="000000"/>
              </w:rPr>
              <w:t>3</w:t>
            </w:r>
          </w:p>
        </w:tc>
        <w:tc>
          <w:tcPr>
            <w:tcW w:w="425" w:type="dxa"/>
            <w:noWrap/>
            <w:vAlign w:val="center"/>
          </w:tcPr>
          <w:p w14:paraId="3DD2A240" w14:textId="77777777" w:rsidR="00380062" w:rsidRPr="00C934C3" w:rsidRDefault="00380062" w:rsidP="00106A77">
            <w:pPr>
              <w:jc w:val="center"/>
              <w:rPr>
                <w:color w:val="000000"/>
              </w:rPr>
            </w:pPr>
            <w:r w:rsidRPr="00C934C3">
              <w:rPr>
                <w:color w:val="000000"/>
              </w:rPr>
              <w:t>4</w:t>
            </w:r>
          </w:p>
        </w:tc>
        <w:tc>
          <w:tcPr>
            <w:tcW w:w="425" w:type="dxa"/>
            <w:noWrap/>
            <w:vAlign w:val="center"/>
          </w:tcPr>
          <w:p w14:paraId="54A74851" w14:textId="77777777" w:rsidR="00380062" w:rsidRPr="00C934C3" w:rsidRDefault="00380062" w:rsidP="00106A77">
            <w:pPr>
              <w:jc w:val="center"/>
              <w:rPr>
                <w:color w:val="000000"/>
              </w:rPr>
            </w:pPr>
            <w:r w:rsidRPr="00C934C3">
              <w:rPr>
                <w:color w:val="000000"/>
              </w:rPr>
              <w:t>5</w:t>
            </w:r>
          </w:p>
        </w:tc>
        <w:tc>
          <w:tcPr>
            <w:tcW w:w="425" w:type="dxa"/>
            <w:noWrap/>
            <w:vAlign w:val="center"/>
          </w:tcPr>
          <w:p w14:paraId="308E27D0" w14:textId="77777777" w:rsidR="00380062" w:rsidRPr="00C934C3" w:rsidRDefault="00380062" w:rsidP="00106A77">
            <w:pPr>
              <w:jc w:val="center"/>
              <w:rPr>
                <w:color w:val="000000"/>
              </w:rPr>
            </w:pPr>
            <w:r w:rsidRPr="00C934C3">
              <w:rPr>
                <w:color w:val="000000"/>
              </w:rPr>
              <w:t>6</w:t>
            </w:r>
          </w:p>
        </w:tc>
        <w:tc>
          <w:tcPr>
            <w:tcW w:w="426" w:type="dxa"/>
            <w:vAlign w:val="center"/>
          </w:tcPr>
          <w:p w14:paraId="589A2EFA" w14:textId="77777777" w:rsidR="00380062" w:rsidRPr="00C934C3" w:rsidRDefault="00380062" w:rsidP="00106A77">
            <w:pPr>
              <w:jc w:val="center"/>
              <w:rPr>
                <w:color w:val="000000"/>
              </w:rPr>
            </w:pPr>
            <w:r w:rsidRPr="00C934C3">
              <w:rPr>
                <w:color w:val="000000"/>
              </w:rPr>
              <w:t>3</w:t>
            </w:r>
          </w:p>
        </w:tc>
        <w:tc>
          <w:tcPr>
            <w:tcW w:w="425" w:type="dxa"/>
            <w:vAlign w:val="center"/>
          </w:tcPr>
          <w:p w14:paraId="2E09138C" w14:textId="77777777" w:rsidR="00380062" w:rsidRPr="00C934C3" w:rsidRDefault="00380062" w:rsidP="00106A77">
            <w:pPr>
              <w:jc w:val="center"/>
              <w:rPr>
                <w:color w:val="000000"/>
              </w:rPr>
            </w:pPr>
            <w:r w:rsidRPr="00C934C3">
              <w:rPr>
                <w:color w:val="000000"/>
              </w:rPr>
              <w:t>5</w:t>
            </w:r>
          </w:p>
        </w:tc>
        <w:tc>
          <w:tcPr>
            <w:tcW w:w="992" w:type="dxa"/>
            <w:noWrap/>
            <w:vAlign w:val="center"/>
          </w:tcPr>
          <w:p w14:paraId="2D3FBCD3" w14:textId="77777777" w:rsidR="00380062" w:rsidRPr="00C934C3" w:rsidRDefault="00380062" w:rsidP="00106A77">
            <w:pPr>
              <w:jc w:val="center"/>
              <w:rPr>
                <w:color w:val="000000"/>
              </w:rPr>
            </w:pPr>
            <w:r w:rsidRPr="00C934C3">
              <w:rPr>
                <w:color w:val="000000"/>
              </w:rPr>
              <w:t>41</w:t>
            </w:r>
          </w:p>
        </w:tc>
        <w:tc>
          <w:tcPr>
            <w:tcW w:w="1843" w:type="dxa"/>
            <w:noWrap/>
            <w:vAlign w:val="center"/>
          </w:tcPr>
          <w:p w14:paraId="013BB1C3" w14:textId="77777777" w:rsidR="00380062" w:rsidRPr="00C934C3" w:rsidRDefault="00380062" w:rsidP="00106A77">
            <w:pPr>
              <w:jc w:val="center"/>
              <w:rPr>
                <w:color w:val="000000"/>
              </w:rPr>
            </w:pPr>
            <w:r w:rsidRPr="00C934C3">
              <w:rPr>
                <w:color w:val="000000"/>
              </w:rPr>
              <w:t>68,3%</w:t>
            </w:r>
          </w:p>
        </w:tc>
      </w:tr>
      <w:tr w:rsidR="00F679A0" w:rsidRPr="00C934C3" w14:paraId="79E090FB" w14:textId="77777777" w:rsidTr="00F679A0">
        <w:trPr>
          <w:trHeight w:val="320"/>
        </w:trPr>
        <w:tc>
          <w:tcPr>
            <w:tcW w:w="1677" w:type="dxa"/>
            <w:noWrap/>
            <w:vAlign w:val="center"/>
          </w:tcPr>
          <w:p w14:paraId="4D117123" w14:textId="77777777" w:rsidR="00380062" w:rsidRPr="00C934C3" w:rsidRDefault="00380062" w:rsidP="00106A77">
            <w:pPr>
              <w:jc w:val="center"/>
              <w:rPr>
                <w:color w:val="000000"/>
              </w:rPr>
            </w:pPr>
            <w:r w:rsidRPr="00C934C3">
              <w:rPr>
                <w:color w:val="000000"/>
              </w:rPr>
              <w:t>8</w:t>
            </w:r>
            <w:r w:rsidRPr="00C934C3">
              <w:rPr>
                <w:color w:val="000000"/>
                <w:vertAlign w:val="superscript"/>
              </w:rPr>
              <w:t>nd</w:t>
            </w:r>
            <w:r w:rsidRPr="00C934C3">
              <w:rPr>
                <w:color w:val="000000"/>
              </w:rPr>
              <w:t xml:space="preserve"> Expert</w:t>
            </w:r>
          </w:p>
          <w:p w14:paraId="312E3AD6" w14:textId="77777777" w:rsidR="00380062" w:rsidRPr="00C934C3" w:rsidRDefault="00380062" w:rsidP="00106A77">
            <w:pPr>
              <w:jc w:val="center"/>
              <w:rPr>
                <w:color w:val="000000"/>
              </w:rPr>
            </w:pPr>
            <w:r w:rsidRPr="00C934C3">
              <w:rPr>
                <w:color w:val="000000"/>
              </w:rPr>
              <w:t>(General Doctor)</w:t>
            </w:r>
          </w:p>
        </w:tc>
        <w:tc>
          <w:tcPr>
            <w:tcW w:w="450" w:type="dxa"/>
            <w:noWrap/>
            <w:vAlign w:val="center"/>
          </w:tcPr>
          <w:p w14:paraId="5593E587" w14:textId="77777777" w:rsidR="00380062" w:rsidRPr="00C934C3" w:rsidRDefault="00380062" w:rsidP="00106A77">
            <w:pPr>
              <w:jc w:val="center"/>
              <w:rPr>
                <w:color w:val="000000"/>
              </w:rPr>
            </w:pPr>
            <w:r w:rsidRPr="00C934C3">
              <w:rPr>
                <w:color w:val="000000"/>
              </w:rPr>
              <w:t>5</w:t>
            </w:r>
          </w:p>
        </w:tc>
        <w:tc>
          <w:tcPr>
            <w:tcW w:w="515" w:type="dxa"/>
            <w:noWrap/>
            <w:vAlign w:val="center"/>
          </w:tcPr>
          <w:p w14:paraId="25D95851" w14:textId="77777777" w:rsidR="00380062" w:rsidRPr="00C934C3" w:rsidRDefault="00380062" w:rsidP="00106A77">
            <w:pPr>
              <w:jc w:val="center"/>
              <w:rPr>
                <w:color w:val="000000"/>
              </w:rPr>
            </w:pPr>
            <w:r w:rsidRPr="00C934C3">
              <w:rPr>
                <w:color w:val="000000"/>
              </w:rPr>
              <w:t>5</w:t>
            </w:r>
          </w:p>
        </w:tc>
        <w:tc>
          <w:tcPr>
            <w:tcW w:w="477" w:type="dxa"/>
            <w:noWrap/>
            <w:vAlign w:val="center"/>
          </w:tcPr>
          <w:p w14:paraId="1E1DE0F6" w14:textId="77777777" w:rsidR="00380062" w:rsidRPr="00C934C3" w:rsidRDefault="00380062" w:rsidP="00106A77">
            <w:pPr>
              <w:jc w:val="center"/>
              <w:rPr>
                <w:color w:val="000000"/>
              </w:rPr>
            </w:pPr>
            <w:r w:rsidRPr="00C934C3">
              <w:rPr>
                <w:color w:val="000000"/>
              </w:rPr>
              <w:t>4</w:t>
            </w:r>
          </w:p>
        </w:tc>
        <w:tc>
          <w:tcPr>
            <w:tcW w:w="425" w:type="dxa"/>
            <w:noWrap/>
            <w:vAlign w:val="center"/>
          </w:tcPr>
          <w:p w14:paraId="7B4C066B" w14:textId="77777777" w:rsidR="00380062" w:rsidRPr="00C934C3" w:rsidRDefault="00380062" w:rsidP="00106A77">
            <w:pPr>
              <w:jc w:val="center"/>
              <w:rPr>
                <w:color w:val="000000"/>
              </w:rPr>
            </w:pPr>
            <w:r w:rsidRPr="00C934C3">
              <w:rPr>
                <w:color w:val="000000"/>
              </w:rPr>
              <w:t>4</w:t>
            </w:r>
          </w:p>
        </w:tc>
        <w:tc>
          <w:tcPr>
            <w:tcW w:w="426" w:type="dxa"/>
            <w:noWrap/>
            <w:vAlign w:val="center"/>
          </w:tcPr>
          <w:p w14:paraId="2E9F3AE5" w14:textId="77777777" w:rsidR="00380062" w:rsidRPr="00C934C3" w:rsidRDefault="00380062" w:rsidP="00106A77">
            <w:pPr>
              <w:jc w:val="center"/>
              <w:rPr>
                <w:color w:val="000000"/>
              </w:rPr>
            </w:pPr>
            <w:r w:rsidRPr="00C934C3">
              <w:rPr>
                <w:color w:val="000000"/>
              </w:rPr>
              <w:t>4</w:t>
            </w:r>
          </w:p>
        </w:tc>
        <w:tc>
          <w:tcPr>
            <w:tcW w:w="425" w:type="dxa"/>
            <w:noWrap/>
            <w:vAlign w:val="center"/>
          </w:tcPr>
          <w:p w14:paraId="2DA33F21" w14:textId="77777777" w:rsidR="00380062" w:rsidRPr="00C934C3" w:rsidRDefault="00380062" w:rsidP="00106A77">
            <w:pPr>
              <w:jc w:val="center"/>
              <w:rPr>
                <w:color w:val="000000"/>
              </w:rPr>
            </w:pPr>
            <w:r w:rsidRPr="00C934C3">
              <w:rPr>
                <w:color w:val="000000"/>
              </w:rPr>
              <w:t>5</w:t>
            </w:r>
          </w:p>
        </w:tc>
        <w:tc>
          <w:tcPr>
            <w:tcW w:w="425" w:type="dxa"/>
            <w:noWrap/>
            <w:vAlign w:val="center"/>
          </w:tcPr>
          <w:p w14:paraId="6AB9A9F4" w14:textId="77777777" w:rsidR="00380062" w:rsidRPr="00C934C3" w:rsidRDefault="00380062" w:rsidP="00106A77">
            <w:pPr>
              <w:jc w:val="center"/>
              <w:rPr>
                <w:color w:val="000000"/>
              </w:rPr>
            </w:pPr>
            <w:r w:rsidRPr="00C934C3">
              <w:rPr>
                <w:color w:val="000000"/>
              </w:rPr>
              <w:t>5</w:t>
            </w:r>
          </w:p>
        </w:tc>
        <w:tc>
          <w:tcPr>
            <w:tcW w:w="425" w:type="dxa"/>
            <w:noWrap/>
            <w:vAlign w:val="center"/>
          </w:tcPr>
          <w:p w14:paraId="6FB9F517" w14:textId="77777777" w:rsidR="00380062" w:rsidRPr="00C934C3" w:rsidRDefault="00380062" w:rsidP="00106A77">
            <w:pPr>
              <w:jc w:val="center"/>
              <w:rPr>
                <w:color w:val="000000"/>
              </w:rPr>
            </w:pPr>
            <w:r w:rsidRPr="00C934C3">
              <w:rPr>
                <w:color w:val="000000"/>
              </w:rPr>
              <w:t>5</w:t>
            </w:r>
          </w:p>
        </w:tc>
        <w:tc>
          <w:tcPr>
            <w:tcW w:w="426" w:type="dxa"/>
            <w:vAlign w:val="center"/>
          </w:tcPr>
          <w:p w14:paraId="4BFC726F" w14:textId="77777777" w:rsidR="00380062" w:rsidRPr="00C934C3" w:rsidRDefault="00380062" w:rsidP="00106A77">
            <w:pPr>
              <w:jc w:val="center"/>
              <w:rPr>
                <w:color w:val="000000"/>
              </w:rPr>
            </w:pPr>
            <w:r w:rsidRPr="00C934C3">
              <w:rPr>
                <w:color w:val="000000"/>
              </w:rPr>
              <w:t>5</w:t>
            </w:r>
          </w:p>
        </w:tc>
        <w:tc>
          <w:tcPr>
            <w:tcW w:w="425" w:type="dxa"/>
            <w:vAlign w:val="center"/>
          </w:tcPr>
          <w:p w14:paraId="2EBEE890" w14:textId="77777777" w:rsidR="00380062" w:rsidRPr="00C934C3" w:rsidRDefault="00380062" w:rsidP="00106A77">
            <w:pPr>
              <w:jc w:val="center"/>
              <w:rPr>
                <w:color w:val="000000"/>
              </w:rPr>
            </w:pPr>
            <w:r w:rsidRPr="00C934C3">
              <w:rPr>
                <w:color w:val="000000"/>
              </w:rPr>
              <w:t>5</w:t>
            </w:r>
          </w:p>
        </w:tc>
        <w:tc>
          <w:tcPr>
            <w:tcW w:w="992" w:type="dxa"/>
            <w:noWrap/>
            <w:vAlign w:val="center"/>
          </w:tcPr>
          <w:p w14:paraId="6CECA6CA" w14:textId="77777777" w:rsidR="00380062" w:rsidRPr="00C934C3" w:rsidRDefault="00380062" w:rsidP="00106A77">
            <w:pPr>
              <w:jc w:val="center"/>
              <w:rPr>
                <w:color w:val="000000"/>
              </w:rPr>
            </w:pPr>
            <w:r w:rsidRPr="00C934C3">
              <w:rPr>
                <w:color w:val="000000"/>
              </w:rPr>
              <w:t>47</w:t>
            </w:r>
          </w:p>
        </w:tc>
        <w:tc>
          <w:tcPr>
            <w:tcW w:w="1843" w:type="dxa"/>
            <w:noWrap/>
            <w:vAlign w:val="center"/>
          </w:tcPr>
          <w:p w14:paraId="4DC7825A" w14:textId="77777777" w:rsidR="00380062" w:rsidRPr="00C934C3" w:rsidRDefault="00380062" w:rsidP="00106A77">
            <w:pPr>
              <w:jc w:val="center"/>
              <w:rPr>
                <w:color w:val="000000"/>
              </w:rPr>
            </w:pPr>
            <w:r w:rsidRPr="00C934C3">
              <w:rPr>
                <w:color w:val="000000"/>
              </w:rPr>
              <w:t>78,3%</w:t>
            </w:r>
          </w:p>
        </w:tc>
      </w:tr>
      <w:tr w:rsidR="00F679A0" w:rsidRPr="00C934C3" w14:paraId="0F81EE32" w14:textId="77777777" w:rsidTr="00F679A0">
        <w:trPr>
          <w:trHeight w:val="320"/>
        </w:trPr>
        <w:tc>
          <w:tcPr>
            <w:tcW w:w="1677" w:type="dxa"/>
            <w:shd w:val="clear" w:color="auto" w:fill="F2F2F2" w:themeFill="background1" w:themeFillShade="F2"/>
            <w:noWrap/>
            <w:vAlign w:val="center"/>
          </w:tcPr>
          <w:p w14:paraId="3726E8AB" w14:textId="77777777" w:rsidR="00380062" w:rsidRPr="00C934C3" w:rsidRDefault="00380062" w:rsidP="00106A77">
            <w:pPr>
              <w:jc w:val="center"/>
              <w:rPr>
                <w:color w:val="000000"/>
              </w:rPr>
            </w:pPr>
            <w:r w:rsidRPr="00C934C3">
              <w:rPr>
                <w:color w:val="000000"/>
              </w:rPr>
              <w:t>Average per indicator</w:t>
            </w:r>
          </w:p>
        </w:tc>
        <w:tc>
          <w:tcPr>
            <w:tcW w:w="450" w:type="dxa"/>
            <w:shd w:val="clear" w:color="auto" w:fill="F2F2F2" w:themeFill="background1" w:themeFillShade="F2"/>
            <w:noWrap/>
            <w:vAlign w:val="center"/>
          </w:tcPr>
          <w:p w14:paraId="6AB8A8C8" w14:textId="77777777" w:rsidR="00380062" w:rsidRPr="00C934C3" w:rsidRDefault="00380062" w:rsidP="00106A77">
            <w:pPr>
              <w:jc w:val="center"/>
              <w:rPr>
                <w:color w:val="000000"/>
              </w:rPr>
            </w:pPr>
            <w:r w:rsidRPr="00C934C3">
              <w:rPr>
                <w:color w:val="000000"/>
              </w:rPr>
              <w:t>41</w:t>
            </w:r>
          </w:p>
        </w:tc>
        <w:tc>
          <w:tcPr>
            <w:tcW w:w="515" w:type="dxa"/>
            <w:shd w:val="clear" w:color="auto" w:fill="F2F2F2" w:themeFill="background1" w:themeFillShade="F2"/>
            <w:noWrap/>
            <w:vAlign w:val="center"/>
          </w:tcPr>
          <w:p w14:paraId="492FF77E" w14:textId="77777777" w:rsidR="00380062" w:rsidRPr="00C934C3" w:rsidRDefault="00380062" w:rsidP="00106A77">
            <w:pPr>
              <w:jc w:val="center"/>
              <w:rPr>
                <w:color w:val="000000"/>
              </w:rPr>
            </w:pPr>
            <w:r w:rsidRPr="00C934C3">
              <w:rPr>
                <w:color w:val="000000"/>
              </w:rPr>
              <w:t>41</w:t>
            </w:r>
          </w:p>
        </w:tc>
        <w:tc>
          <w:tcPr>
            <w:tcW w:w="477" w:type="dxa"/>
            <w:shd w:val="clear" w:color="auto" w:fill="F2F2F2" w:themeFill="background1" w:themeFillShade="F2"/>
            <w:noWrap/>
            <w:vAlign w:val="center"/>
          </w:tcPr>
          <w:p w14:paraId="503679C2" w14:textId="77777777" w:rsidR="00380062" w:rsidRPr="00C934C3" w:rsidRDefault="00380062" w:rsidP="00106A77">
            <w:pPr>
              <w:jc w:val="center"/>
              <w:rPr>
                <w:color w:val="000000"/>
              </w:rPr>
            </w:pPr>
            <w:r w:rsidRPr="00C934C3">
              <w:rPr>
                <w:color w:val="000000"/>
              </w:rPr>
              <w:t>37</w:t>
            </w:r>
          </w:p>
        </w:tc>
        <w:tc>
          <w:tcPr>
            <w:tcW w:w="425" w:type="dxa"/>
            <w:shd w:val="clear" w:color="auto" w:fill="F2F2F2" w:themeFill="background1" w:themeFillShade="F2"/>
            <w:noWrap/>
            <w:vAlign w:val="center"/>
          </w:tcPr>
          <w:p w14:paraId="54E9F146" w14:textId="77777777" w:rsidR="00380062" w:rsidRPr="00C934C3" w:rsidRDefault="00380062" w:rsidP="00106A77">
            <w:pPr>
              <w:jc w:val="center"/>
              <w:rPr>
                <w:color w:val="000000"/>
              </w:rPr>
            </w:pPr>
            <w:r w:rsidRPr="00C934C3">
              <w:rPr>
                <w:color w:val="000000"/>
              </w:rPr>
              <w:t>40</w:t>
            </w:r>
          </w:p>
        </w:tc>
        <w:tc>
          <w:tcPr>
            <w:tcW w:w="426" w:type="dxa"/>
            <w:shd w:val="clear" w:color="auto" w:fill="F2F2F2" w:themeFill="background1" w:themeFillShade="F2"/>
            <w:noWrap/>
            <w:vAlign w:val="center"/>
          </w:tcPr>
          <w:p w14:paraId="2DD9F68D" w14:textId="77777777" w:rsidR="00380062" w:rsidRPr="00C934C3" w:rsidRDefault="00380062" w:rsidP="00106A77">
            <w:pPr>
              <w:jc w:val="center"/>
              <w:rPr>
                <w:color w:val="000000"/>
              </w:rPr>
            </w:pPr>
            <w:r w:rsidRPr="00C934C3">
              <w:rPr>
                <w:color w:val="000000"/>
              </w:rPr>
              <w:t>40</w:t>
            </w:r>
          </w:p>
        </w:tc>
        <w:tc>
          <w:tcPr>
            <w:tcW w:w="425" w:type="dxa"/>
            <w:shd w:val="clear" w:color="auto" w:fill="F2F2F2" w:themeFill="background1" w:themeFillShade="F2"/>
            <w:noWrap/>
            <w:vAlign w:val="center"/>
          </w:tcPr>
          <w:p w14:paraId="1DD45D2F" w14:textId="77777777" w:rsidR="00380062" w:rsidRPr="00C934C3" w:rsidRDefault="00380062" w:rsidP="00106A77">
            <w:pPr>
              <w:jc w:val="center"/>
              <w:rPr>
                <w:color w:val="000000"/>
              </w:rPr>
            </w:pPr>
            <w:r w:rsidRPr="00C934C3">
              <w:rPr>
                <w:color w:val="000000"/>
              </w:rPr>
              <w:t>43</w:t>
            </w:r>
          </w:p>
        </w:tc>
        <w:tc>
          <w:tcPr>
            <w:tcW w:w="425" w:type="dxa"/>
            <w:shd w:val="clear" w:color="auto" w:fill="F2F2F2" w:themeFill="background1" w:themeFillShade="F2"/>
            <w:noWrap/>
            <w:vAlign w:val="center"/>
          </w:tcPr>
          <w:p w14:paraId="7707A55E" w14:textId="77777777" w:rsidR="00380062" w:rsidRPr="00C934C3" w:rsidRDefault="00380062" w:rsidP="00106A77">
            <w:pPr>
              <w:jc w:val="center"/>
              <w:rPr>
                <w:color w:val="000000"/>
              </w:rPr>
            </w:pPr>
            <w:r w:rsidRPr="00C934C3">
              <w:rPr>
                <w:color w:val="000000"/>
              </w:rPr>
              <w:t>42</w:t>
            </w:r>
          </w:p>
        </w:tc>
        <w:tc>
          <w:tcPr>
            <w:tcW w:w="425" w:type="dxa"/>
            <w:shd w:val="clear" w:color="auto" w:fill="F2F2F2" w:themeFill="background1" w:themeFillShade="F2"/>
            <w:noWrap/>
            <w:vAlign w:val="center"/>
          </w:tcPr>
          <w:p w14:paraId="7B600A6B" w14:textId="77777777" w:rsidR="00380062" w:rsidRPr="00C934C3" w:rsidRDefault="00380062" w:rsidP="00106A77">
            <w:pPr>
              <w:jc w:val="center"/>
              <w:rPr>
                <w:color w:val="000000"/>
              </w:rPr>
            </w:pPr>
            <w:r w:rsidRPr="00C934C3">
              <w:rPr>
                <w:color w:val="000000"/>
              </w:rPr>
              <w:t>46</w:t>
            </w:r>
          </w:p>
        </w:tc>
        <w:tc>
          <w:tcPr>
            <w:tcW w:w="426" w:type="dxa"/>
            <w:shd w:val="clear" w:color="auto" w:fill="F2F2F2" w:themeFill="background1" w:themeFillShade="F2"/>
            <w:vAlign w:val="center"/>
          </w:tcPr>
          <w:p w14:paraId="2E7CB411" w14:textId="77777777" w:rsidR="00380062" w:rsidRPr="00C934C3" w:rsidRDefault="00380062" w:rsidP="00106A77">
            <w:pPr>
              <w:jc w:val="center"/>
              <w:rPr>
                <w:color w:val="000000"/>
              </w:rPr>
            </w:pPr>
            <w:r w:rsidRPr="00C934C3">
              <w:rPr>
                <w:color w:val="000000"/>
              </w:rPr>
              <w:t>43</w:t>
            </w:r>
          </w:p>
        </w:tc>
        <w:tc>
          <w:tcPr>
            <w:tcW w:w="425" w:type="dxa"/>
            <w:shd w:val="clear" w:color="auto" w:fill="F2F2F2" w:themeFill="background1" w:themeFillShade="F2"/>
            <w:vAlign w:val="center"/>
          </w:tcPr>
          <w:p w14:paraId="0114BA22" w14:textId="77777777" w:rsidR="00380062" w:rsidRPr="00C934C3" w:rsidRDefault="00380062" w:rsidP="00106A77">
            <w:pPr>
              <w:jc w:val="center"/>
              <w:rPr>
                <w:color w:val="000000"/>
              </w:rPr>
            </w:pPr>
            <w:r w:rsidRPr="00C934C3">
              <w:rPr>
                <w:color w:val="000000"/>
              </w:rPr>
              <w:t>45</w:t>
            </w:r>
          </w:p>
        </w:tc>
        <w:tc>
          <w:tcPr>
            <w:tcW w:w="992" w:type="dxa"/>
            <w:shd w:val="clear" w:color="auto" w:fill="F2F2F2" w:themeFill="background1" w:themeFillShade="F2"/>
            <w:noWrap/>
            <w:vAlign w:val="center"/>
          </w:tcPr>
          <w:p w14:paraId="1335688C" w14:textId="77777777" w:rsidR="00380062" w:rsidRPr="00C934C3" w:rsidRDefault="00380062" w:rsidP="00106A77">
            <w:pPr>
              <w:jc w:val="center"/>
              <w:rPr>
                <w:color w:val="000000"/>
              </w:rPr>
            </w:pPr>
            <w:r w:rsidRPr="00C934C3">
              <w:rPr>
                <w:color w:val="000000"/>
              </w:rPr>
              <w:t>416</w:t>
            </w:r>
          </w:p>
        </w:tc>
        <w:tc>
          <w:tcPr>
            <w:tcW w:w="1843" w:type="dxa"/>
            <w:shd w:val="clear" w:color="auto" w:fill="F2F2F2" w:themeFill="background1" w:themeFillShade="F2"/>
            <w:noWrap/>
            <w:vAlign w:val="center"/>
          </w:tcPr>
          <w:p w14:paraId="02F86D33" w14:textId="77777777" w:rsidR="00380062" w:rsidRPr="00C934C3" w:rsidRDefault="00380062" w:rsidP="00106A77">
            <w:pPr>
              <w:jc w:val="center"/>
              <w:rPr>
                <w:color w:val="000000"/>
              </w:rPr>
            </w:pPr>
            <w:r w:rsidRPr="00C934C3">
              <w:rPr>
                <w:color w:val="000000"/>
              </w:rPr>
              <w:t>86,63%</w:t>
            </w:r>
          </w:p>
        </w:tc>
      </w:tr>
    </w:tbl>
    <w:p w14:paraId="215326BD" w14:textId="77777777" w:rsidR="00380062" w:rsidRDefault="00380062" w:rsidP="008A1263">
      <w:pPr>
        <w:jc w:val="both"/>
        <w:rPr>
          <w:lang w:val="en-US"/>
        </w:rPr>
      </w:pPr>
    </w:p>
    <w:p w14:paraId="1F3717C4" w14:textId="7A8A28FB" w:rsidR="00CC3719" w:rsidRPr="00C934C3" w:rsidRDefault="00CC3719" w:rsidP="008A1263">
      <w:pPr>
        <w:jc w:val="both"/>
        <w:sectPr w:rsidR="00CC3719" w:rsidRPr="00C934C3" w:rsidSect="008C08D7">
          <w:type w:val="continuous"/>
          <w:pgSz w:w="11907" w:h="16840" w:code="9"/>
          <w:pgMar w:top="1440" w:right="1440" w:bottom="1440" w:left="1440" w:header="1134" w:footer="1134" w:gutter="0"/>
          <w:pgNumType w:start="1"/>
          <w:cols w:space="720"/>
          <w:titlePg/>
          <w:docGrid w:linePitch="360"/>
        </w:sectPr>
      </w:pPr>
    </w:p>
    <w:p w14:paraId="778A5081" w14:textId="77777777" w:rsidR="00CC3719" w:rsidRDefault="00CC3719" w:rsidP="00CC3719">
      <w:pPr>
        <w:jc w:val="both"/>
      </w:pPr>
    </w:p>
    <w:p w14:paraId="03BEF23E" w14:textId="0E01D663" w:rsidR="0002275D" w:rsidRPr="00C934C3" w:rsidRDefault="00380062" w:rsidP="00CC3719">
      <w:pPr>
        <w:jc w:val="both"/>
      </w:pPr>
      <w:r w:rsidRPr="00C934C3">
        <w:t xml:space="preserve">The </w:t>
      </w:r>
      <w:r w:rsidR="00E914EB" w:rsidRPr="00C934C3">
        <w:t>evaluation</w:t>
      </w:r>
      <w:r w:rsidRPr="00C934C3">
        <w:t xml:space="preserve"> results indicate that most </w:t>
      </w:r>
      <w:r w:rsidR="00F679A0" w:rsidRPr="00C934C3">
        <w:t xml:space="preserve">experts </w:t>
      </w:r>
      <w:r w:rsidRPr="00C934C3">
        <w:t>evaluators consider the system well aligned with user requirements, with six of eight experts assigning scores above 85%, reflecting strong performance in design, usability, functionality, and readiness for real-world hospital implementation. The highest ratings were given by the Head of the Medical Record Department (98.3%), followed by Medical Record Staff (95%) and a Psychiatric Nurse (93.3%), supporting the robustness of the data model. Nutritionists and a general nurse also reported high satisfaction (85–88.3%), highlighting system stability and interface quality. Lower scores from the psychiatrist (68.3%) and general doctor (78.3%) pointed to concerns about interactivity, personalization, and social learning features, suggesting areas for improvement. Overall, the findings confirm that the EHR system is largely deployment-ready, though enhancements in engagement and personalization could further strengthen adoption across medical professionals</w:t>
      </w:r>
      <w:r w:rsidR="00927CCF" w:rsidRPr="00C934C3">
        <w:t>.</w:t>
      </w:r>
    </w:p>
    <w:p w14:paraId="0FE2E79D" w14:textId="77777777" w:rsidR="00380062" w:rsidRPr="00C934C3" w:rsidRDefault="00380062" w:rsidP="008A1263">
      <w:pPr>
        <w:ind w:firstLine="284"/>
        <w:jc w:val="both"/>
      </w:pPr>
    </w:p>
    <w:p w14:paraId="7BD1FC8D" w14:textId="6B369497" w:rsidR="00B344D1" w:rsidRDefault="00B344D1" w:rsidP="00CC3719">
      <w:pPr>
        <w:ind w:right="-28"/>
        <w:outlineLvl w:val="0"/>
        <w:rPr>
          <w:b/>
          <w:lang w:val="en-US"/>
        </w:rPr>
      </w:pPr>
      <w:r w:rsidRPr="00CC3719">
        <w:rPr>
          <w:b/>
          <w:lang w:val="en-US"/>
        </w:rPr>
        <w:t>D</w:t>
      </w:r>
      <w:r w:rsidR="00CC3719">
        <w:rPr>
          <w:b/>
          <w:lang w:val="en-US"/>
        </w:rPr>
        <w:t>ISCUSSIONS</w:t>
      </w:r>
    </w:p>
    <w:p w14:paraId="27EF637C" w14:textId="77777777" w:rsidR="00CC3719" w:rsidRPr="00CC3719" w:rsidRDefault="00CC3719" w:rsidP="00CC3719">
      <w:pPr>
        <w:ind w:right="-28"/>
        <w:outlineLvl w:val="0"/>
        <w:rPr>
          <w:b/>
          <w:lang w:val="en-US"/>
        </w:rPr>
      </w:pPr>
    </w:p>
    <w:p w14:paraId="303181D6" w14:textId="789DD3A2" w:rsidR="00380062" w:rsidRPr="00C934C3" w:rsidRDefault="00380062" w:rsidP="00CC3719">
      <w:pPr>
        <w:spacing w:before="80"/>
        <w:jc w:val="both"/>
      </w:pPr>
      <w:r w:rsidRPr="00C934C3">
        <w:t>The findings of this study demonstrate that the developed holistic Electronic Health Record (EHR) application successfully addresses the need identified in the introduction for integrated digital systems capable of representing comprehensive hospital business processes. Prior literature emphasized that modern EHR systems should function not merely as digitized records but as interactive platforms supporting clinical communication</w:t>
      </w:r>
      <w:r w:rsidRPr="00C934C3">
        <w:fldChar w:fldCharType="begin" w:fldLock="1"/>
      </w:r>
      <w:r w:rsidR="00DC5CE9">
        <w:instrText>ADDIN CSL_CITATION {"citationItems":[{"id":"ITEM-1","itemData":{"DOI":"10.1016/j.cmpb.2021.106232","ISSN":"18727565","PMID":"34174764","abstract":"Background and objective: A mobile application for personal health records (PHR) would allow patients to access their clinical data easily. When PHR connects with multiple electronic health records (EHRs), doctors and patients can exchange large quantities of patient data from the EHR (e.g., medication list, diagnoses, allergies, and laboratory data). Furthermore, personal daily records can also be retrieved from PHR (e.g., blood pressure, pulse, dietary habits, and exercise). However, no standard interoperability between EHRs and PHR has been established. This study aims to convert clinical data in EHRs into the Health Level Seven (HL7) Fast Healthcare Interoperability Resources (FHIR) data format while developing a PHR application to present the FHIR data. Methods: In Japan, Standardized Structured Medical Information eXchange version 2 (SS-MIX2) is typically utilized as a health information exchange to preserve and elicit clinical data from EHRs. We converted clinical data in the SS-MIX2 storage at Tohoku University Hospital into the FHIR repository server using the R4 standard. Additionally, we used the Swift programming language to build a PHR application. Results: We converted patients’ basic information, disease names, diagnostic reports, prescriptions, and injection data from the SS-MIX2 to the FHIR server. Besides, we launched a PHR application that could retrieve data from the FHIR server to display patients’ clinical information. Conclusions: Our work demonstrated the conversion of SS-MIX2 data into the FHIR and presented them with our PHR application. This mechanism may be useful to accelerate the sharing of clinical information among doctors and patients.","author":[{"dropping-particle":"","family":"Xiao","given":"Dingding","non-dropping-particle":"","parse-names":false,"suffix":""},{"dropping-particle":"","family":"Song","given":"Chong","non-dropping-particle":"","parse-names":false,"suffix":""},{"dropping-particle":"","family":"Nakamura","given":"Naoki","non-dropping-particle":"","parse-names":false,"suffix":""},{"dropping-particle":"","family":"Nakayama","given":"Masaharu","non-dropping-particle":"","parse-names":false,"suffix":""}],"container-title":"Computer Methods and Programs in Biomedicine","id":"ITEM-1","issued":{"date-parts":[["2021"]]},"page":"106232","publisher":"Elsevier B.V.","title":"Development of an application concerning fast healthcare interoperability resources based on standardized structured medical information exchange version 2 data","type":"article-journal","volume":"208"},"uris":["http://www.mendeley.com/documents/?uuid=35e20f28-c7bc-465c-bf30-5beccd3d226d"]}],"mendeley":{"formattedCitation":"[23]","plainTextFormattedCitation":"[23]","previouslyFormattedCitation":"(Xiao et al., 2021)"},"properties":{"noteIndex":0},"schema":"https://github.com/citation-style-language/schema/raw/master/csl-citation.json"}</w:instrText>
      </w:r>
      <w:r w:rsidRPr="00C934C3">
        <w:fldChar w:fldCharType="separate"/>
      </w:r>
      <w:r w:rsidR="00DC5CE9" w:rsidRPr="00DC5CE9">
        <w:rPr>
          <w:noProof/>
        </w:rPr>
        <w:t>[23]</w:t>
      </w:r>
      <w:r w:rsidRPr="00C934C3">
        <w:fldChar w:fldCharType="end"/>
      </w:r>
      <w:r w:rsidRPr="00C934C3">
        <w:fldChar w:fldCharType="begin" w:fldLock="1"/>
      </w:r>
      <w:r w:rsidR="00DC5CE9">
        <w:instrText>ADDIN CSL_CITATION {"citationItems":[{"id":"ITEM-1","itemData":{"DOI":"10.1109/ACCESS.2022.3202902","ISSN":"21693536","abstract":"Due to the distributed and non-integrated nature of the healthcare systems which results from the application-centric view it leads to a challenging task to manage healthcare data exchange (heterogeneity problem). On the other hand, Blockchain technologies are emerging as promising and cost-effective means to meet some of these requirements due to their inherent design properties, such as secure cryptography and a resilient peer-to-peer network. Likewise, Blockchain-based applications can benefit the healthcare domain via their properties of asset sharing, and audit trails of data access. Existing work mainly pays attention to centralized and blockchain-based mechanisms. But it doesn't realize the increase need for better data interoperability amount multiple healthcare systems and services. This requires shifting from the application-centric solutions toward the patient-centric solutions. This paper presents A secure and efficient framework based on Blockchain, Cloud, and IoT named Patient-Centric Healthcare Framework (PCH) for better healthcare systems interoperability. A tiered-based architecture (5 tiers) with collaboration is designed for the feasible realization of PCH. Also, the design and implementation aspects start from the layering diagram, system context, and detailed reference architecture that emphasizes the detailed component topology and interactions within the framework. An electronic medical record is used to show how healthcare data is processed with the required security considerations. Then, an evaluation of PCH against the existing Blockchain-based healthcare frameworks is conducted. The results analysis demonstrates that PCH offers practical solutions to protect healthcare data and support efficient data sharing with better interoperability.","author":[{"dropping-particle":"","family":"Gohar","given":"Ahmad N.","non-dropping-particle":"","parse-names":false,"suffix":""},{"dropping-particle":"","family":"Abdelmawgoud","given":"Sayed Abdelgaber","non-dropping-particle":"","parse-names":false,"suffix":""},{"dropping-particle":"","family":"Farhan","given":"Marwa Salah","non-dropping-particle":"","parse-names":false,"suffix":""}],"container-title":"IEEE Access","id":"ITEM-1","issue":"August","issued":{"date-parts":[["2022"]]},"page":"92137-92157","publisher":"IEEE","title":"A Patient-Centric Healthcare Framework Reference Architecture for Better Semantic Interoperability Based on Blockchain, Cloud, and IoT","type":"article-journal","volume":"10"},"uris":["http://www.mendeley.com/documents/?uuid=37a2f291-ce94-41c3-8c7d-c8d2fa48c66e"]}],"mendeley":{"formattedCitation":"[24]","plainTextFormattedCitation":"[24]","previouslyFormattedCitation":"(Gohar et al., 2022)"},"properties":{"noteIndex":0},"schema":"https://github.com/citation-style-language/schema/raw/master/csl-citation.json"}</w:instrText>
      </w:r>
      <w:r w:rsidRPr="00C934C3">
        <w:fldChar w:fldCharType="separate"/>
      </w:r>
      <w:r w:rsidR="00DC5CE9" w:rsidRPr="00DC5CE9">
        <w:rPr>
          <w:noProof/>
        </w:rPr>
        <w:t>[24]</w:t>
      </w:r>
      <w:r w:rsidRPr="00C934C3">
        <w:fldChar w:fldCharType="end"/>
      </w:r>
      <w:r w:rsidRPr="00C934C3">
        <w:t xml:space="preserve">, decision-making </w:t>
      </w:r>
      <w:r w:rsidRPr="00C934C3">
        <w:fldChar w:fldCharType="begin" w:fldLock="1"/>
      </w:r>
      <w:r w:rsidR="00DC5CE9">
        <w:instrText>ADDIN CSL_CITATION {"citationItems":[{"id":"ITEM-1","itemData":{"DOI":"10.2174/18750362-v16-e230906-2023-15","ISSN":"1875-0362","abstract":"Aims: This research work aims to develop an interoperable electronic health record (EHR) system to aid the early detection of diabetes by the use of Machine Learning (ML) algorithms. A decision support system developed using many ML algorithms results in optimizing the decision in preventive care in the health information system. Methods: The proposed system consisted of two models. The first model included interoperable EHR system development using a precise database structure. The second module comprised of data extraction from the EHR system, data cleaning, and data processing and prediction. For testing and training, about 1080 patients’ health record was considered. Among 1080, 1000 records were from the Kaggle dataset, and 80 records were demographic information from patients who visited our health center of Siddaganga organization for a regular checkup or during emergencies. The demographic information was collected from the proposed EHR system. Results: The proposed system was tested for the interoperability nature of the EHR system and accuracy in diabetic disease prediction using the proposed decision support system. The proposed EHR system development was tested for interoperability by random updations from various systems maintained in the laboratory. Each system acted like the admin system of different hospitals. The EHR system was tested for handling the load and interoperability by considering user view status, system matching with the real world, consistency in data updations, security etc. However, in the prediction phase, diabetes prediction was concentrated. The features considered were not randomly chosen; however, the features were those prescribed by a doctor who insisted that the features were sufficient for initial prediction. The reports collected from the doctors revealed several features they considered before giving the test details. The proposed system dataset was split into test and train datasets with eight proper features taken as input and one set as a target variable where the result was present. After this, the model was imported using standard “sklearn” libraries, and it fit with the required number of estimators, that is, the number of decision trees. The features included pregnancies, glucose level, blood pressure, skin thickness, insulin level, bone marrow index, diabetic pedigree function, age, weight, etc. At the outset, the research work concentrated on developing an interoperable EHR system, identifying the exp…","author":[{"dropping-particle":"","family":"G","given":"Jagadamba","non-dropping-particle":"","parse-names":false,"suffix":""},{"dropping-particle":"","family":"R","given":"Shashidhar","non-dropping-particle":"","parse-names":false,"suffix":""},{"dropping-particle":"","family":"H L","given":"Gururaj","non-dropping-particle":"","parse-names":false,"suffix":""},{"dropping-particle":"","family":"Ravi","given":"Vinayakumar","non-dropping-particle":"","parse-names":false,"suffix":""},{"dropping-particle":"","family":"Almeshari","given":"Meshari","non-dropping-particle":"","parse-names":false,"suffix":""},{"dropping-particle":"","family":"Alzamil","given":"Yasser","non-dropping-particle":"","parse-names":false,"suffix":""}],"container-title":"The Open Bioinformatics Journal","id":"ITEM-1","issue":"1","issued":{"date-parts":[["2023"]]},"page":"1-18","title":"Electronic Health Record (EHR) System Development for Study on EHR Data-based Early Prediction of Diabetes Using Machine Learning Algorithms","type":"article-journal","volume":"16"},"uris":["http://www.mendeley.com/documents/?uuid=5eef9fbd-0cbb-4930-a307-74bf1c51190e"]}],"mendeley":{"formattedCitation":"[11]","plainTextFormattedCitation":"[11]","previouslyFormattedCitation":"(G et al., 2023)"},"properties":{"noteIndex":0},"schema":"https://github.com/citation-style-language/schema/raw/master/csl-citation.json"}</w:instrText>
      </w:r>
      <w:r w:rsidRPr="00C934C3">
        <w:fldChar w:fldCharType="separate"/>
      </w:r>
      <w:r w:rsidR="00DC5CE9" w:rsidRPr="00DC5CE9">
        <w:rPr>
          <w:noProof/>
        </w:rPr>
        <w:t>[11]</w:t>
      </w:r>
      <w:r w:rsidRPr="00C934C3">
        <w:fldChar w:fldCharType="end"/>
      </w:r>
      <w:r w:rsidRPr="00C934C3">
        <w:fldChar w:fldCharType="begin" w:fldLock="1"/>
      </w:r>
      <w:r w:rsidR="00DC5CE9">
        <w:instrText>ADDIN CSL_CITATION {"citationItems":[{"id":"ITEM-1","itemData":{"DOI":"10.3233/SHTI200308","ISBN":"9781643680828","ISSN":"18798365","PMID":"32570528","abstract":"Access to electronic medical record systems is limited in many medical informatics education programs. The objective of this study was to inventory open-source patient record systems with decision support capabilities, implement a system for educational use, and test the effect of the system on students' learning. We sought systems that were under active development, with source code available, having an SQL-queryable database, and having decision support capabilities. We identified 20 candidate electronic health record systems, of which 6 mentioned decision support capabilities in their documentation. Of these, the OpenMRS system appeared to meet all of the requirements for use in our course; however, decision support capabilities needed to be added by use of a custom module implementing Arden2Bytecode, an Arden Syntax interpreter. Students who used this system showed an improvement in their knowledge of decision support systems and their capabilities. We conclude that there are a number of promising open-source electronic patient record systems currently under active development, but decision support capabilities are still immature. We anticipate further developments in this area in the coming years.","author":[{"dropping-particle":"","family":"Medlock","given":"Stephanie","non-dropping-particle":"","parse-names":false,"suffix":""},{"dropping-particle":"","family":"Schermer","given":"Roland","non-dropping-particle":"","parse-names":false,"suffix":""},{"dropping-particle":"","family":"Cornet","given":"Ronald","non-dropping-particle":"","parse-names":false,"suffix":""}],"container-title":"Studies in Health Technology and Informatics","id":"ITEM-1","issued":{"date-parts":[["2020"]]},"page":"981-985","title":"Implementation of an open-source electronic health record for decision-support education in medical informatics","type":"article-journal","volume":"270"},"uris":["http://www.mendeley.com/documents/?uuid=87cd2b45-99da-4918-9189-7c0049046c11"]}],"mendeley":{"formattedCitation":"[25]","plainTextFormattedCitation":"[25]","previouslyFormattedCitation":"(Medlock et al., 2020)"},"properties":{"noteIndex":0},"schema":"https://github.com/citation-style-language/schema/raw/master/csl-citation.json"}</w:instrText>
      </w:r>
      <w:r w:rsidRPr="00C934C3">
        <w:fldChar w:fldCharType="separate"/>
      </w:r>
      <w:r w:rsidR="00DC5CE9" w:rsidRPr="00DC5CE9">
        <w:rPr>
          <w:noProof/>
        </w:rPr>
        <w:t>[25]</w:t>
      </w:r>
      <w:r w:rsidRPr="00C934C3">
        <w:fldChar w:fldCharType="end"/>
      </w:r>
      <w:r w:rsidRPr="00C934C3">
        <w:t>, and patient safety</w:t>
      </w:r>
      <w:r w:rsidRPr="00C934C3">
        <w:fldChar w:fldCharType="begin" w:fldLock="1"/>
      </w:r>
      <w:r w:rsidR="00DC5CE9">
        <w:instrText>ADDIN CSL_CITATION {"citationItems":[{"id":"ITEM-1","itemData":{"DOI":"10.1016/j.jiph.2019.07.013","ISSN":"1876035X","PMID":"31431422","abstract":"In order to meet the ever-increasing needs of health care, as well as helping patients who need continuous care after being discharged from the hospital and making modern medical technology better serve humans, the design of electronic medical records for continuous care patients, especially those with malignant tumors, is investigated. In the research process, the idea of Browser/Server (B/S) framework is adopted, and the corresponding electronic medical record system is designed based on the targets and the overall structure of the system; afterward, the black-box testing and white-box testing are carried out to test the functions, reliability, and stability of the designed electronic medical record system; in addition, combined with other research results, the feasibility of the design is proved. It can be seen that the electronic medical record system designed for patients who need continuous care in the study is absolutely feasible, which can be further researched and improved with the development of electronic medical records; therefore, it would make greater contributions to both patients and hospitals in the future.","author":[{"dropping-particle":"","family":"He","given":"Xiaolan","non-dropping-particle":"","parse-names":false,"suffix":""},{"dropping-particle":"","family":"Cai","given":"Lei","non-dropping-particle":"","parse-names":false,"suffix":""},{"dropping-particle":"","family":"Huang","given":"Shiju","non-dropping-particle":"","parse-names":false,"suffix":""},{"dropping-particle":"","family":"Ma","given":"Xiaoju","non-dropping-particle":"","parse-names":false,"suffix":""},{"dropping-particle":"","family":"Zhou","given":"Xueling","non-dropping-particle":"","parse-names":false,"suffix":""}],"container-title":"Journal of Infection and Public Health","id":"ITEM-1","issue":"1","issued":{"date-parts":[["2021"]]},"page":"117-122","publisher":"King Saud Bin Abdulaziz University for Health Sciences","title":"The design of electronic medical records for patients of continuous care","type":"article-journal","volume":"14"},"uris":["http://www.mendeley.com/documents/?uuid=f12c4ad0-574f-46dc-96f8-d9fcca84cb10"]}],"mendeley":{"formattedCitation":"[3]","plainTextFormattedCitation":"[3]","previouslyFormattedCitation":"(He et al., 2021)"},"properties":{"noteIndex":0},"schema":"https://github.com/citation-style-language/schema/raw/master/csl-citation.json"}</w:instrText>
      </w:r>
      <w:r w:rsidRPr="00C934C3">
        <w:fldChar w:fldCharType="separate"/>
      </w:r>
      <w:r w:rsidR="00DC5CE9" w:rsidRPr="00DC5CE9">
        <w:rPr>
          <w:noProof/>
        </w:rPr>
        <w:t>[3]</w:t>
      </w:r>
      <w:r w:rsidRPr="00C934C3">
        <w:fldChar w:fldCharType="end"/>
      </w:r>
      <w:r w:rsidRPr="00C934C3">
        <w:fldChar w:fldCharType="begin" w:fldLock="1"/>
      </w:r>
      <w:r w:rsidR="00DC5CE9">
        <w:instrText>ADDIN CSL_CITATION {"citationItems":[{"id":"ITEM-1","itemData":{"DOI":"10.1136/bmjqs-2018-008086","ISSN":"20445415","PMID":"30291180","abstract":"Progress in reducing diagnostic errors remains slow partly due to poorly defined methods to identify errors, high-risk situations, and adverse events. Electronic trigger (e-trigger) tools, which mine vast amounts of patient data to identify signals indicative of a likely error or adverse event, offer a promising method to efficiently identify errors. The increasing amounts of longitudinal electronic data and maturing data warehousing techniques and infrastructure offer an unprecedented opportunity to implement new types of e-trigger tools that use algorithms to identify risks and events related to the diagnostic process. We present a knowledge discovery framework, the Safer Dx Trigger Tools Framework, that enables health systems to develop and implement e-trigger tools to identify and measure diagnostic errors using comprehensive electronic health record (EHR) data. Safer Dx e-trigger tools detect potential diagnostic events, allowing health systems to monitor event rates, study contributory factors and identify targets for improving diagnostic safety. In addition to promoting organisational learning, some e-triggers can monitor data prospectively and help identify patients at high-risk for a future adverse event, enabling clinicians, patients or safety personnel to take preventive actions proactively. Successful application of electronic algorithms requires health systems to invest in clinical informaticists, information technology professionals, patient safety professionals and clinicians, all of who work closely together to overcome development and implementation challenges. We outline key future research, including advances in natural language processing and machine learning, needed to improve effectiveness of e-triggers. Integrating diagnostic safety e-triggers in institutional patient safety strategies can accelerate progress in reducing preventable harm from diagnostic errors.","author":[{"dropping-particle":"","family":"Murphy","given":"Daniel R.","non-dropping-particle":"","parse-names":false,"suffix":""},{"dropping-particle":"","family":"Meyer","given":"Ashley N.D.","non-dropping-particle":"","parse-names":false,"suffix":""},{"dropping-particle":"","family":"Sittig","given":"Dean F.","non-dropping-particle":"","parse-names":false,"suffix":""},{"dropping-particle":"","family":"Meeks","given":"Derek W.","non-dropping-particle":"","parse-names":false,"suffix":""},{"dropping-particle":"","family":"Thomas","given":"Eric J.","non-dropping-particle":"","parse-names":false,"suffix":""},{"dropping-particle":"","family":"Singh","given":"Hardeep","non-dropping-particle":"","parse-names":false,"suffix":""}],"container-title":"BMJ Quality and Safety","id":"ITEM-1","issue":"2","issued":{"date-parts":[["2019"]]},"page":"151-159","title":"Application of electronic trigger tools to identify targets for improving diagnostic safety","type":"article-journal","volume":"28"},"uris":["http://www.mendeley.com/documents/?uuid=1c91eef1-2b11-47f2-b90b-66218895cfd2"]}],"mendeley":{"formattedCitation":"[26]","plainTextFormattedCitation":"[26]","previouslyFormattedCitation":"(Murphy et al., 2019)"},"properties":{"noteIndex":0},"schema":"https://github.com/citation-style-language/schema/raw/master/csl-citation.json"}</w:instrText>
      </w:r>
      <w:r w:rsidRPr="00C934C3">
        <w:fldChar w:fldCharType="separate"/>
      </w:r>
      <w:r w:rsidR="00DC5CE9" w:rsidRPr="00DC5CE9">
        <w:rPr>
          <w:noProof/>
        </w:rPr>
        <w:t>[26]</w:t>
      </w:r>
      <w:r w:rsidRPr="00C934C3">
        <w:fldChar w:fldCharType="end"/>
      </w:r>
      <w:r w:rsidRPr="00C934C3">
        <w:t xml:space="preserve">. The results confirm this requirement, as the proposed system incorporates multidisciplinary workflows covering registration, assessment, diagnostics, prescriptions, and reporting. By structuring these processes into five phases and twenty-one sub-processes </w:t>
      </w:r>
      <w:r w:rsidRPr="00C934C3">
        <w:fldChar w:fldCharType="begin" w:fldLock="1"/>
      </w:r>
      <w:r w:rsidR="00DC5CE9">
        <w:instrText>ADDIN CSL_CITATION {"citationItems":[{"id":"ITEM-1","itemData":{"DOI":"10.14569/IJACSA.2025.0160355","ISSN":"21565570","abstract":"This study aimed to design a minimum data set (MDS) and Data Model for electronic health record system (EHRS) in Indonesia. The content of the MDS in this study is different from the MDS from the results of the study in other advanced countries. The technical preparation of the MDS in this study follows the medical service process provided to patients from the time they first enter the hospital until they complete receiving services at the hospital with the aim that the MDS designed is aligned with real-world hospital workflows. The initial stage of this research began by identifying data elements through literature reviews sourced from medical record documents of general hospitals and psychiatric hospitals in Indonesia, papers regarding minimum data set in other advanced countries, websites, and clinical guidelines. The Delphi technique was employed to validate the identified data elements through a survey of medical experts. A questionnaire was designed to determine data elements in both administrative and clinical departments. There were 5 and 21 data classes agreed upon by experts in the administrative and clinical sections with 28 and 858 data elements, respectively. This MDS could be a reliable tool for data standardization in EHRS that can improve the quality of data and medical services in hospitals. The designed data model consist of conceptual, logical and physical component. This MDS and data model can facilitate system developers to build physical EHRS database and health surveillance center for more efficient health data management.","author":[{"dropping-particle":"","family":"Darmizal","given":"Teddie","non-dropping-particle":"","parse-names":false,"suffix":""},{"dropping-particle":"","family":"Ubaidullah","given":"Nor Hasbiah","non-dropping-particle":"","parse-names":false,"suffix":""},{"dropping-particle":"","family":"Saad","given":"Aslina","non-dropping-particle":"","parse-names":false,"suffix":""}],"container-title":"International Journal of Advanced Computer Science and Applications","id":"ITEM-1","issue":"3","issued":{"date-parts":[["2025"]]},"page":"554-563","title":"Designing Minimum Data Set and Data Model for Electronic Health Record Systems in Indonesia","type":"article-journal","volume":"16"},"uris":["http://www.mendeley.com/documents/?uuid=c85fc4ad-a305-49f8-92cd-628163352779"]}],"mendeley":{"formattedCitation":"[21]","plainTextFormattedCitation":"[21]","previouslyFormattedCitation":"(Darmizal et al., 2025)"},"properties":{"noteIndex":0},"schema":"https://github.com/citation-style-language/schema/raw/master/csl-citation.json"}</w:instrText>
      </w:r>
      <w:r w:rsidRPr="00C934C3">
        <w:fldChar w:fldCharType="separate"/>
      </w:r>
      <w:r w:rsidR="00DC5CE9" w:rsidRPr="00DC5CE9">
        <w:rPr>
          <w:noProof/>
        </w:rPr>
        <w:t>[21]</w:t>
      </w:r>
      <w:r w:rsidRPr="00C934C3">
        <w:fldChar w:fldCharType="end"/>
      </w:r>
      <w:r w:rsidRPr="00C934C3">
        <w:t xml:space="preserve">, the application operationalizes the conceptual definition of EHR as a comprehensive and </w:t>
      </w:r>
      <w:proofErr w:type="spellStart"/>
      <w:r w:rsidRPr="00C934C3">
        <w:t>analyzable</w:t>
      </w:r>
      <w:proofErr w:type="spellEnd"/>
      <w:r w:rsidRPr="00C934C3">
        <w:t xml:space="preserve"> digital health information environment. </w:t>
      </w:r>
    </w:p>
    <w:p w14:paraId="13D708B1" w14:textId="77777777" w:rsidR="00CC3719" w:rsidRDefault="00CC3719" w:rsidP="00CC3719">
      <w:pPr>
        <w:spacing w:before="80"/>
        <w:jc w:val="both"/>
      </w:pPr>
    </w:p>
    <w:p w14:paraId="764EA925" w14:textId="15219EBE" w:rsidR="00380062" w:rsidRPr="00C934C3" w:rsidRDefault="00380062" w:rsidP="00CC3719">
      <w:pPr>
        <w:spacing w:before="80"/>
        <w:jc w:val="both"/>
      </w:pPr>
      <w:r w:rsidRPr="00C934C3">
        <w:t>The design outcomes also align with earlier studies highlighting the importance of standardized datasets</w:t>
      </w:r>
      <w:r w:rsidR="001F597D" w:rsidRPr="00C934C3">
        <w:t xml:space="preserve"> </w:t>
      </w:r>
      <w:r w:rsidR="001F597D" w:rsidRPr="00C934C3">
        <w:fldChar w:fldCharType="begin" w:fldLock="1"/>
      </w:r>
      <w:r w:rsidR="00DC5CE9">
        <w:instrText>ADDIN CSL_CITATION {"citationItems":[{"id":"ITEM-1","itemData":{"DOI":"10.1371/journal.pone.0253051","ISBN":"1111111111","ISSN":"19326203","PMID":"34111209","abstract":"Background Standardized collection of predictors of pediatric sepsis has enormous potential to increase data compatibility across research studies. The Pediatric Sepsis Predictor Standardization Working Group collaborated to define common data elements for pediatric sepsis predictors at the point of triage to serve as a standardized framework for data collection in resource-limited settings. Methods A preliminary list of pediatric sepsis predictor variables was compiled through a systematic literature review and examination of global guideline documents. A 5-round modified Delphi that involved independent voting and active group discussions was conducted to select, standardize, and prioritize predictors. Considerations included the perceived predictive value of the candidate predictor at the point of triage, intra- and inter-rater measurement reliability, and the amount of time and material resources required to reliably collect the predictor in resource-limited settings. Results We generated 116 common data elements for implementation in future studies. Each common data element includes a standardized prompt, suggested response values, and prioritization as tier 1 (essential), tier 2 (important), or tier 3 (exploratory). Branching logic was added to the predictors list to facilitate the design of efficient data collection methods, such as low-cost electronic case report forms on a mobile application. The set of common data elements are freely available on the Pediatric Sepsis CoLab Dataverse and a web-based feedback survey is available through the Pediatric Sepsis CoLab. Updated iterations will continuously be released based on feedback from the pediatric sepsis research community and emergence of new information. Conclusion Routine use of the common data elements in future studies can allow data sharing between studies and contribute to development of powerful risk prediction algorithms. These algorithms may then be used to support clinical decision making at triage in resource-limited settings. Continued collaboration, engagement, and feedback from the pediatric sepsis research community will be important to ensure the common data elements remain applicable across a broad range of geographical and sociocultural settings.","author":[{"dropping-particle":"","family":"Mawji","given":"Alishah","non-dropping-particle":"","parse-names":false,"suffix":""},{"dropping-particle":"","family":"Li","given":"Edmond","non-dropping-particle":"","parse-names":false,"suffix":""},{"dropping-particle":"","family":"Chandna","given":"Arjun","non-dropping-particle":"","parse-names":false,"suffix":""},{"dropping-particle":"","family":"Kortz","given":"Teresa","non-dropping-particle":"","parse-names":false,"suffix":""},{"dropping-particle":"","family":"Akech","given":"Samuel","non-dropping-particle":"","parse-names":false,"suffix":""},{"dropping-particle":"","family":"Wiens","given":"Matthew O.","non-dropping-particle":"","parse-names":false,"suffix":""},{"dropping-particle":"","family":"Kissoon","given":"Niranjan","non-dropping-particle":"","parse-names":false,"suffix":""},{"dropping-particle":"","family":"Ansermino","given":"Mark","non-dropping-particle":"","parse-names":false,"suffix":""}],"container-title":"PLoS ONE","id":"ITEM-1","issue":"6 June","issued":{"date-parts":[["2021"]]},"page":"1-12","title":"Common data elements for predictors of pediatric sepsis: A framework to standardize data collection","type":"article-journal","volume":"16"},"uris":["http://www.mendeley.com/documents/?uuid=9b84aa89-46ec-4574-8a81-e4087902f08c"]}],"mendeley":{"formattedCitation":"[27]","plainTextFormattedCitation":"[27]","previouslyFormattedCitation":"(Mawji et al., 2021)"},"properties":{"noteIndex":0},"schema":"https://github.com/citation-style-language/schema/raw/master/csl-citation.json"}</w:instrText>
      </w:r>
      <w:r w:rsidR="001F597D" w:rsidRPr="00C934C3">
        <w:fldChar w:fldCharType="separate"/>
      </w:r>
      <w:r w:rsidR="00DC5CE9" w:rsidRPr="00DC5CE9">
        <w:rPr>
          <w:noProof/>
        </w:rPr>
        <w:t>[27]</w:t>
      </w:r>
      <w:r w:rsidR="001F597D" w:rsidRPr="00C934C3">
        <w:fldChar w:fldCharType="end"/>
      </w:r>
      <w:r w:rsidRPr="00C934C3">
        <w:fldChar w:fldCharType="begin" w:fldLock="1"/>
      </w:r>
      <w:r w:rsidR="00DC5CE9">
        <w:instrText>ADDIN CSL_CITATION {"citationItems":[{"id":"ITEM-1","itemData":{"DOI":"10.1016/j.hlpt.2016.03.006","ISBN":"9810490704","ISSN":"22118845","abstract":"Digitized and standard health data is highly desirable in healthcare domain. Current research started with the aim of mining standardized electronic health records (EHRs) data. It is observed that the available column-modeled database lacks in volatility and ability to deal with sparseness. Due to highly sparse nature of EHRs, there is need of organized standard based EHRs data to ascertain the benefit of mining and also to improve storage capacity. This paper proposes an architecture for preprocessing of data that deals with the issues of volatility and sparseness, and then transforming the data in a form which is desirable for data mining. The architecture proposed in this paper can be used by the data administrator to organize standardized EHRs for the application of any type of mining which can reveal knowledge to benefit various healthcare users, such as, doctors, patient and insurance company users. Simulation of proposed architecture is done on a sample set of 6700 instances of EHRs. Results demonstrate benefits of our approach in terms of storage required and time consumed (reduced by a factor of 2.5 approximately) to retrieve the desired piece of information. Consequently, data mining techniques capable of automatically extracting useful knowledge to provide clinical decision support may be applied. The decision support thus developed can be used by stakeholders, policy makers and other persons involved directly or indirectly with EHRs to take accurate and calculative decisions.","author":[{"dropping-particle":"","family":"Batra","given":"Shivani","non-dropping-particle":"","parse-names":false,"suffix":""},{"dropping-particle":"","family":"Sachdeva","given":"Shelly","non-dropping-particle":"","parse-names":false,"suffix":""}],"container-title":"Health Policy and Technology","id":"ITEM-1","issue":"3","issued":{"date-parts":[["2016"]]},"page":"226-242","publisher":"Elsevier","title":"Organizing standardized electronic healthcare records data for mining","type":"article-journal","volume":"5"},"uris":["http://www.mendeley.com/documents/?uuid=90064a00-2be2-48f5-bcff-0bb26ffa85bc"]}],"mendeley":{"formattedCitation":"[28]","plainTextFormattedCitation":"[28]","previouslyFormattedCitation":"(Batra &amp; Sachdeva, 2016)"},"properties":{"noteIndex":0},"schema":"https://github.com/citation-style-language/schema/raw/master/csl-citation.json"}</w:instrText>
      </w:r>
      <w:r w:rsidRPr="00C934C3">
        <w:fldChar w:fldCharType="separate"/>
      </w:r>
      <w:r w:rsidR="00DC5CE9" w:rsidRPr="00DC5CE9">
        <w:rPr>
          <w:noProof/>
        </w:rPr>
        <w:t>[28]</w:t>
      </w:r>
      <w:r w:rsidRPr="00C934C3">
        <w:fldChar w:fldCharType="end"/>
      </w:r>
      <w:r w:rsidRPr="00C934C3">
        <w:fldChar w:fldCharType="begin" w:fldLock="1"/>
      </w:r>
      <w:r w:rsidR="00DC5CE9">
        <w:instrText>ADDIN CSL_CITATION {"citationItems":[{"id":"ITEM-1","itemData":{"DOI":"10.1136/bmjopen-2021-059029","ISSN":"20446055","PMID":"35922113","abstract":"Objective To investigate the existing barriers and recommendations of real-world data (RWD) standardisation for clinical research through a qualitative study on different stakeholders. Design This qualitative study involved five types of stakeholders based on five interview outlines. The data analysis was performed using the constructivist grounded theory analysis process. Setting Eight hospitals, four hospital system vendors, three big data companies, six medical products companies and four regulatory institutions were included. Participants In total, 62 participants from 25 institutions were interviewed through purposive sampling. Results The findings showed that the lack of clinical applicability in existing terminology standards, lack of generalisability in existing research databases, and lack of transparency in existing data standardisation process were the barriers of data standardisation of RWD for clinical research. Enhancing terminology standards by incorporating locally used clinical terminology, reducing burden in the usage of terminology standards, improving generalisability of RWD for research by using clinical data models, and improving traceability to source data for transparency might be feasible suggestions for solving the current problems. Conclusions Efficient and reliable data standardisation of RWD for clinical research can help generate better evidence used to support regulatory evaluation of medical products. This research suggested enhancing terminology standards by incorporating locally used clinical terminology, reducing burden in the usage of terminology standards, improving generalisability of RWD for research by using clinical data models, and improving traceability to source data for transparency to guide efforts in data standardisation in the future.","author":[{"dropping-particle":"","family":"Lai","given":"Junkai","non-dropping-particle":"","parse-names":false,"suffix":""},{"dropping-particle":"","family":"Liao","given":"Xiwen","non-dropping-particle":"","parse-names":false,"suffix":""},{"dropping-particle":"","family":"Yao","given":"Chen","non-dropping-particle":"","parse-names":false,"suffix":""},{"dropping-particle":"","family":"Jin","given":"Feifei","non-dropping-particle":"","parse-names":false,"suffix":""},{"dropping-particle":"","family":"Wang","given":"Bin","non-dropping-particle":"","parse-names":false,"suffix":""},{"dropping-particle":"","family":"Li","given":"Chen","non-dropping-particle":"","parse-names":false,"suffix":""},{"dropping-particle":"","family":"Zhang","given":"Jun","non-dropping-particle":"","parse-names":false,"suffix":""},{"dropping-particle":"","family":"Liu","given":"Larry","non-dropping-particle":"","parse-names":false,"suffix":""}],"container-title":"BMJ Open","id":"ITEM-1","issue":"8","issued":{"date-parts":[["2022"]]},"page":"1-9","title":"Existing barriers and recommendations of real-world data standardisation for clinical research in China: a qualitative study","type":"article-journal","volume":"12"},"uris":["http://www.mendeley.com/documents/?uuid=ee6fe2f6-3a06-4443-8ceb-cf964fe9a77f"]}],"mendeley":{"formattedCitation":"[29]","plainTextFormattedCitation":"[29]","previouslyFormattedCitation":"(Lai et al., 2022)"},"properties":{"noteIndex":0},"schema":"https://github.com/citation-style-language/schema/raw/master/csl-citation.json"}</w:instrText>
      </w:r>
      <w:r w:rsidRPr="00C934C3">
        <w:fldChar w:fldCharType="separate"/>
      </w:r>
      <w:r w:rsidR="00DC5CE9" w:rsidRPr="00DC5CE9">
        <w:rPr>
          <w:noProof/>
        </w:rPr>
        <w:t>[29]</w:t>
      </w:r>
      <w:r w:rsidRPr="00C934C3">
        <w:fldChar w:fldCharType="end"/>
      </w:r>
      <w:r w:rsidRPr="00C934C3">
        <w:t xml:space="preserve"> and interoperable architectures for large-scale health information utilization </w:t>
      </w:r>
      <w:r w:rsidRPr="00C934C3">
        <w:fldChar w:fldCharType="begin" w:fldLock="1"/>
      </w:r>
      <w:r w:rsidR="00DC5CE9">
        <w:instrText>ADDIN CSL_CITATION {"citationItems":[{"id":"ITEM-1","itemData":{"DOI":"10.1055/s-0042-1749331","ISSN":"18690327","PMID":"35732191","abstract":"Background Health information exchange (HIE) allows healthcare providers to access a patient's medical information to improve patient care continuity. The standardized data realize the HIE values. Since the Health Level 7 Clinical Document Architecture (CDA) is flexible, implementation guides (IG) are needed for use cases. Although many CDA IGs have been developed, they did not describe how these CDA IGs were developed. A national CDA IG that meets the local requirements is demanded since the data differs according to the digital divide and social-cultural background of the country that wants to establish HIE. Due to their localized contents, other countries cannot directly adopt the published CDA IGs. Objectives We developed the national CDA IG, namely, Korean (K)-CDA IG that meets the local requirement, including reusable structured templates, value sets, and object identifiers (OIDs). We present a detailed description of the development process and the technical methods of the national CDA IG in the Korean context. Methods The K-CDA IG was developed in the following stages: analysis, development, and evaluation. First, we investigated the health information environment and electronic health record (EHR) systems and conducted a gap analysis with published CDA IGs. Second, a templated CDA approach was taken for designing modular. Lastly, we consulted a technical advisory group for comments on the validity of the K-CDA IG. Results A total of 35 CDA templates were developed. We improved 28 value sets of which 13 were Korea specific and 15 were based on the ones used in other IGs, and made a set of rules to establish the OID structure. Conclusion We presented the development process and the technical specifications of K-CDA IG. We explored how the results can be used as interoperability criteria in the national EHR systems certification program. Finally, we provided recommendations that could guide other entities planning their HIE programs. © 2022 Georg Thieme Verlag. All rights reserved.","author":[{"dropping-particle":"","family":"Jung","given":"Sungwon","non-dropping-particle":"","parse-names":false,"suffix":""},{"dropping-particle":"","family":"Bae","given":"Sungchul","non-dropping-particle":"","parse-names":false,"suffix":""},{"dropping-particle":"","family":"Seong","given":"Donghyeong","non-dropping-particle":"","parse-names":false,"suffix":""},{"dropping-particle":"","family":"Yi","given":"Byoung-Kee","non-dropping-particle":"","parse-names":false,"suffix":""}],"container-title":"Applied Clinical Informatics","id":"ITEM-1","issue":"3","issued":{"date-parts":[["2022"]]},"note":"Cited by: 0; All Open Access, Green Open Access, Hybrid Gold Open Access","page":"592 – 601","publisher":"Georg Thieme Verlag","title":"Standard Document Development for Health Information Exchange in Korea","type":"article-journal","volume":"13"},"uris":["http://www.mendeley.com/documents/?uuid=6faa6a25-1aca-428a-a59e-280e4e341f7d"]}],"mendeley":{"formattedCitation":"[30]","plainTextFormattedCitation":"[30]","previouslyFormattedCitation":"(Jung et al., 2022)"},"properties":{"noteIndex":0},"schema":"https://github.com/citation-style-language/schema/raw/master/csl-citation.json"}</w:instrText>
      </w:r>
      <w:r w:rsidRPr="00C934C3">
        <w:fldChar w:fldCharType="separate"/>
      </w:r>
      <w:r w:rsidR="00DC5CE9" w:rsidRPr="00DC5CE9">
        <w:rPr>
          <w:noProof/>
        </w:rPr>
        <w:t>[30]</w:t>
      </w:r>
      <w:r w:rsidRPr="00C934C3">
        <w:fldChar w:fldCharType="end"/>
      </w:r>
      <w:r w:rsidRPr="00C934C3">
        <w:fldChar w:fldCharType="begin" w:fldLock="1"/>
      </w:r>
      <w:r w:rsidR="00DC5CE9">
        <w:instrText>ADDIN CSL_CITATION {"citationItems":[{"id":"ITEM-1","itemData":{"DOI":"10.30534/ijatcse/2019/63842019","ISSN":"22783091","abstract":"Since countries like India promoting their healthcare departments to be recognized as clinically advanced in the world. The worldwide recognition for the countries in the domain of healthcare is possible only when they adopt best practices like cost effective quality healthcare standards. The secure Health Information Exchange (HIE) is an important way to maintain Electronic Health Record (EHR) which improve healthcare system of a country. Development of electronic health records adds potential benefit in providing reliable access to health information and thereby improving the national healthcare system. However, the prospect of storing, transmitting, and sharing health information through electronic media raises many new challenges on information integration and protection. Protection of patient health information electronically is very crucial and need to develop systems and structures that support secure health information exchange among healthcare providers, patients and customers. The core competency of EHR and HIE is to maintain confidential and supportive relationship among patient and healthcare providers in maintaining patients health information. The confidentiality in health records can be achieved through mutual legal agreements, advocacy and technology that ensure appreciable secure information interchange. So this article also demonstrates effective practices which can be applied to the development of HIEs and presents a security architecture which can be adopted for exchange of health information to leverage common government and commercial practices in electronic health record.","author":[{"dropping-particle":"","family":"Vucha","given":"Mahendra","non-dropping-particle":"","parse-names":false,"suffix":""},{"dropping-particle":"","family":"Siridhara","given":"A. L.","non-dropping-particle":"","parse-names":false,"suffix":""}],"container-title":"International Journal of Advanced Trends in Computer Science and Engineering","id":"ITEM-1","issue":"4","issued":{"date-parts":[["2019"]]},"page":"1443-1448","title":"High speed cryptography architecture for health information exchange","type":"article-journal","volume":"8"},"uris":["http://www.mendeley.com/documents/?uuid=2f46038b-4528-46df-89d8-99d196364357"]}],"mendeley":{"formattedCitation":"[31]","plainTextFormattedCitation":"[31]","previouslyFormattedCitation":"(Vucha &amp; Siridhara, 2019)"},"properties":{"noteIndex":0},"schema":"https://github.com/citation-style-language/schema/raw/master/csl-citation.json"}</w:instrText>
      </w:r>
      <w:r w:rsidRPr="00C934C3">
        <w:fldChar w:fldCharType="separate"/>
      </w:r>
      <w:r w:rsidR="00DC5CE9" w:rsidRPr="00DC5CE9">
        <w:rPr>
          <w:noProof/>
        </w:rPr>
        <w:t>[31]</w:t>
      </w:r>
      <w:r w:rsidRPr="00C934C3">
        <w:fldChar w:fldCharType="end"/>
      </w:r>
      <w:r w:rsidRPr="00C934C3">
        <w:fldChar w:fldCharType="begin" w:fldLock="1"/>
      </w:r>
      <w:r w:rsidR="00DC5CE9">
        <w:instrText>ADDIN CSL_CITATION {"citationItems":[{"id":"ITEM-1","itemData":{"DOI":"10.1016/j.ijmedinf.2018.10.006","ISSN":"18728243","PMID":"30409336","abstract":"Objective: The development of a middleware information model to facilitate better interoperability between Personal and Electronic Health Record systems in order to allow exchange of Patient Generated Health Data and Observations of Daily Leaving between patients and providers in order to encourage patient self-management. Materials and methods: An information model based on HL7 standards for interoperability has been extended to support PGHD and ODL data types. The new information models uses HL7 CDA to represent data, is instantiated as a Protégé ontology and uses a set of mapping rules to transfer data between Personal and Electronic Health Record systems. Results: The information model was evaluated by executing a set of use case scenarios containing data exported from three consumer health apps, transformed to CDA according to developed mapping rules and validated against a CDA schema. This allowed various challenges to emerge as well as revealed gaps in current standards in use and the information model has been refined accordingly. Discussion and conclusion: Our proposed middleware solution offers a number of advantages. When modifications are made to either a Personal or Health Electronic Health Record system or any integrated consumer app, they can be incorporated by altering only the instantiation of the information model. Our proposition uses current standards in use such as CDA. The solution is applicable to any EHR system with HL7 CDA support.","author":[{"dropping-particle":"","family":"Plastiras","given":"Panagiotis","non-dropping-particle":"","parse-names":false,"suffix":""},{"dropping-particle":"","family":"O'Sullivan","given":"Dympna","non-dropping-particle":"","parse-names":false,"suffix":""}],"container-title":"International Journal of Medical Informatics","id":"ITEM-1","issued":{"date-parts":[["2018"]]},"page":"116-125","publisher":"Elsevier Ireland Ltd","title":"Exchanging personal health data with electronic health records: A standardized information model for patient generated health data and observations of daily living","type":"article-journal","volume":"120"},"uris":["http://www.mendeley.com/documents/?uuid=38197eb2-c4ae-4e4a-9d0a-eb9245b58481"]}],"mendeley":{"formattedCitation":"[32]","plainTextFormattedCitation":"[32]","previouslyFormattedCitation":"(Plastiras &amp; O’Sullivan, 2018)"},"properties":{"noteIndex":0},"schema":"https://github.com/citation-style-language/schema/raw/master/csl-citation.json"}</w:instrText>
      </w:r>
      <w:r w:rsidRPr="00C934C3">
        <w:fldChar w:fldCharType="separate"/>
      </w:r>
      <w:r w:rsidR="00DC5CE9" w:rsidRPr="00DC5CE9">
        <w:rPr>
          <w:noProof/>
        </w:rPr>
        <w:t>[32]</w:t>
      </w:r>
      <w:r w:rsidRPr="00C934C3">
        <w:fldChar w:fldCharType="end"/>
      </w:r>
      <w:r w:rsidRPr="00C934C3">
        <w:t xml:space="preserve">. The incorporation of national health datasets and data models in this EHR Application ensures structural consistency and supports interoperability, which is </w:t>
      </w:r>
      <w:r w:rsidRPr="00C934C3">
        <w:lastRenderedPageBreak/>
        <w:t xml:space="preserve">essential for secondary uses such as analytics, artificial intelligence, and cross-institutional data exchange. This confirms previous claims that standardized electronic data collection improves usability and facilitates immediate clinical and research applications. Furthermore, the modular and iterative construction approach reflects recommended software development practices for health systems. </w:t>
      </w:r>
    </w:p>
    <w:p w14:paraId="1935CE9A" w14:textId="77777777" w:rsidR="00CC3719" w:rsidRDefault="00CC3719" w:rsidP="00CC3719">
      <w:pPr>
        <w:spacing w:before="80"/>
        <w:jc w:val="both"/>
      </w:pPr>
    </w:p>
    <w:p w14:paraId="42BBF40E" w14:textId="733DFF05" w:rsidR="00380062" w:rsidRPr="00C934C3" w:rsidRDefault="00380062" w:rsidP="00CC3719">
      <w:pPr>
        <w:spacing w:before="80"/>
        <w:jc w:val="both"/>
      </w:pPr>
      <w:r w:rsidRPr="00C934C3">
        <w:t xml:space="preserve">The </w:t>
      </w:r>
      <w:r w:rsidR="001F597D" w:rsidRPr="00C934C3">
        <w:t xml:space="preserve">Evaluation </w:t>
      </w:r>
      <w:r w:rsidRPr="00C934C3">
        <w:t xml:space="preserve">Test results further validate the system's effectiveness in meeting clinical needs and real-world EHR implementation challenges </w:t>
      </w:r>
      <w:r w:rsidRPr="00C934C3">
        <w:fldChar w:fldCharType="begin" w:fldLock="1"/>
      </w:r>
      <w:r w:rsidR="00DC5CE9">
        <w:instrText>ADDIN CSL_CITATION {"citationItems":[{"id":"ITEM-1","itemData":{"DOI":"10.1590/1413-81232020254.28922019","ISSN":"16784561","PMID":"32267432","abstract":"Electronic medical records have been touted as a solution to many of the shortcomings of health care systems. The aim of this essay is to review pertinent literature and present examples and recommendations from several decades of experience in the use of medical records in primary health care, in ways that can help primary care doctors to organize their work processes to improve patient care. Considerable problems have been noted to result from a lack of interoperabili-ty and standardization of interfaces among these systems, impairing the effective collaboration and information exchange in the care of complex pa-tients. It is extremely important that regional and national health policies be established to assure standardization and interoperability of systems. Lack of interoperability contributes to the frag-mentation of the information environment. The electronic medical record (EMR) is a disruptive technology that can revolutionize the way we care for patients. The EMR has been shown to improve quality and reliability in the delivery of healthcare services when appropriately implemented. Care-ful attention to the impact of the EMR on clinical workflows, in order to take full advantage of the potential of the EMR to improve patient care, is the key lesson from our experience in the deploy-ment and use of these systems.","author":[{"dropping-particle":"","family":"Janett","given":"Robert S.","non-dropping-particle":"","parse-names":false,"suffix":""},{"dropping-particle":"","family":"Yeracaris","given":"Peter Pano","non-dropping-particle":"","parse-names":false,"suffix":""}],"container-title":"Ciencia e Saude Coletiva","id":"ITEM-1","issue":"4","issued":{"date-parts":[["2020"]]},"page":"1293-1304","title":"Electronic medical records in the american health system: Challenges and lessons learned","type":"article-journal","volume":"25"},"uris":["http://www.mendeley.com/documents/?uuid=60ca0b5a-ed50-42ca-ab41-906f3a5672e0"]}],"mendeley":{"formattedCitation":"[2]","plainTextFormattedCitation":"[2]","previouslyFormattedCitation":"(Janett &amp; Yeracaris, 2020)"},"properties":{"noteIndex":0},"schema":"https://github.com/citation-style-language/schema/raw/master/csl-citation.json"}</w:instrText>
      </w:r>
      <w:r w:rsidRPr="00C934C3">
        <w:fldChar w:fldCharType="separate"/>
      </w:r>
      <w:r w:rsidR="00DC5CE9" w:rsidRPr="00DC5CE9">
        <w:rPr>
          <w:noProof/>
        </w:rPr>
        <w:t>[2]</w:t>
      </w:r>
      <w:r w:rsidRPr="00C934C3">
        <w:fldChar w:fldCharType="end"/>
      </w:r>
      <w:r w:rsidRPr="00C934C3">
        <w:fldChar w:fldCharType="begin" w:fldLock="1"/>
      </w:r>
      <w:r w:rsidR="00DC5CE9">
        <w:instrText>ADDIN CSL_CITATION {"citationItems":[{"id":"ITEM-1","itemData":{"DOI":"10.3389/fdgth.2022.940330","ISSN":"2673253X","abstract":"Harnessing Real World Data is vital to improve health care in the 21st Century. Data from Electronic Health Records (EHRs) are a rich source of patient centred data, including information on the patient's clinical condition, laboratory results, diagnoses and treatments. They thus reflect the true state of health systems. However, access and utilisation of EHR data for research presents specific challenges. We assert that using data from EHRs effectively is dependent on synergy between researchers, clinicians and health informaticians, and only this will allow state of the art methods to be used to answer urgent and vital questions for patient care. We propose that there needs to be a paradigm shift in the way this research is conducted - appreciating that the research process is iterative rather than linear. We also make specific recommendations for organisations, based on our experience of developing and using EHR data in trusted research environments.","author":[{"dropping-particle":"","family":"Honeyford","given":"K.","non-dropping-particle":"","parse-names":false,"suffix":""},{"dropping-particle":"","family":"Expert","given":"P.","non-dropping-particle":"","parse-names":false,"suffix":""},{"dropping-particle":"","family":"Mendelsohn","given":"E. E.","non-dropping-particle":"","parse-names":false,"suffix":""},{"dropping-particle":"","family":"Post","given":"B.","non-dropping-particle":"","parse-names":false,"suffix":""},{"dropping-particle":"","family":"Faisal","given":"A. A.","non-dropping-particle":"","parse-names":false,"suffix":""},{"dropping-particle":"","family":"Glampson","given":"B.","non-dropping-particle":"","parse-names":false,"suffix":""},{"dropping-particle":"","family":"Mayer","given":"E. K.","non-dropping-particle":"","parse-names":false,"suffix":""},{"dropping-particle":"","family":"Costelloe","given":"C. E.","non-dropping-particle":"","parse-names":false,"suffix":""}],"container-title":"Frontiers in Digital Health","id":"ITEM-1","issue":"August","issued":{"date-parts":[["2022"]]},"page":"1-9","title":"Challenges and recommendations for high quality research using electronic health records","type":"article-journal","volume":"4"},"uris":["http://www.mendeley.com/documents/?uuid=16291e16-653b-4b78-9eb7-254f104c1b88"]}],"mendeley":{"formattedCitation":"[20]","plainTextFormattedCitation":"[20]","previouslyFormattedCitation":"(Honeyford et al., 2022)"},"properties":{"noteIndex":0},"schema":"https://github.com/citation-style-language/schema/raw/master/csl-citation.json"}</w:instrText>
      </w:r>
      <w:r w:rsidRPr="00C934C3">
        <w:fldChar w:fldCharType="separate"/>
      </w:r>
      <w:r w:rsidR="00DC5CE9" w:rsidRPr="00DC5CE9">
        <w:rPr>
          <w:noProof/>
        </w:rPr>
        <w:t>[20]</w:t>
      </w:r>
      <w:r w:rsidRPr="00C934C3">
        <w:fldChar w:fldCharType="end"/>
      </w:r>
      <w:r w:rsidRPr="00C934C3">
        <w:fldChar w:fldCharType="begin" w:fldLock="1"/>
      </w:r>
      <w:r w:rsidR="00DC5CE9">
        <w:instrText>ADDIN CSL_CITATION {"citationItems":[{"id":"ITEM-1","itemData":{"DOI":"10.1136/bmjopen-2021-059029","ISSN":"20446055","PMID":"35922113","abstract":"Objective To investigate the existing barriers and recommendations of real-world data (RWD) standardisation for clinical research through a qualitative study on different stakeholders. Design This qualitative study involved five types of stakeholders based on five interview outlines. The data analysis was performed using the constructivist grounded theory analysis process. Setting Eight hospitals, four hospital system vendors, three big data companies, six medical products companies and four regulatory institutions were included. Participants In total, 62 participants from 25 institutions were interviewed through purposive sampling. Results The findings showed that the lack of clinical applicability in existing terminology standards, lack of generalisability in existing research databases, and lack of transparency in existing data standardisation process were the barriers of data standardisation of RWD for clinical research. Enhancing terminology standards by incorporating locally used clinical terminology, reducing burden in the usage of terminology standards, improving generalisability of RWD for research by using clinical data models, and improving traceability to source data for transparency might be feasible suggestions for solving the current problems. Conclusions Efficient and reliable data standardisation of RWD for clinical research can help generate better evidence used to support regulatory evaluation of medical products. This research suggested enhancing terminology standards by incorporating locally used clinical terminology, reducing burden in the usage of terminology standards, improving generalisability of RWD for research by using clinical data models, and improving traceability to source data for transparency to guide efforts in data standardisation in the future.","author":[{"dropping-particle":"","family":"Lai","given":"Junkai","non-dropping-particle":"","parse-names":false,"suffix":""},{"dropping-particle":"","family":"Liao","given":"Xiwen","non-dropping-particle":"","parse-names":false,"suffix":""},{"dropping-particle":"","family":"Yao","given":"Chen","non-dropping-particle":"","parse-names":false,"suffix":""},{"dropping-particle":"","family":"Jin","given":"Feifei","non-dropping-particle":"","parse-names":false,"suffix":""},{"dropping-particle":"","family":"Wang","given":"Bin","non-dropping-particle":"","parse-names":false,"suffix":""},{"dropping-particle":"","family":"Li","given":"Chen","non-dropping-particle":"","parse-names":false,"suffix":""},{"dropping-particle":"","family":"Zhang","given":"Jun","non-dropping-particle":"","parse-names":false,"suffix":""},{"dropping-particle":"","family":"Liu","given":"Larry","non-dropping-particle":"","parse-names":false,"suffix":""}],"container-title":"BMJ Open","id":"ITEM-1","issue":"8","issued":{"date-parts":[["2022"]]},"page":"1-9","title":"Existing barriers and recommendations of real-world data standardisation for clinical research in China: a qualitative study","type":"article-journal","volume":"12"},"uris":["http://www.mendeley.com/documents/?uuid=ee6fe2f6-3a06-4443-8ceb-cf964fe9a77f"]}],"mendeley":{"formattedCitation":"[29]","plainTextFormattedCitation":"[29]","previouslyFormattedCitation":"(Lai et al., 2022)"},"properties":{"noteIndex":0},"schema":"https://github.com/citation-style-language/schema/raw/master/csl-citation.json"}</w:instrText>
      </w:r>
      <w:r w:rsidRPr="00C934C3">
        <w:fldChar w:fldCharType="separate"/>
      </w:r>
      <w:r w:rsidR="00DC5CE9" w:rsidRPr="00DC5CE9">
        <w:rPr>
          <w:noProof/>
        </w:rPr>
        <w:t>[29]</w:t>
      </w:r>
      <w:r w:rsidRPr="00C934C3">
        <w:fldChar w:fldCharType="end"/>
      </w:r>
      <w:r w:rsidRPr="00C934C3">
        <w:fldChar w:fldCharType="begin" w:fldLock="1"/>
      </w:r>
      <w:r w:rsidR="00DC5CE9">
        <w:instrText>ADDIN CSL_CITATION {"citationItems":[{"id":"ITEM-1","itemData":{"DOI":"10.47836/MJMHS.19.3.43","ISSN":"26369346","abstract":"Electronic Medical Records (EMRs) have great value in healthcare, as they enhance healthcare quality, decrease costs, optimize patient safety and health care research. Worldwide and particularly in the Middle Eastern countries have pushed for usage and implement EMR systems. However, there were some obstacles and challenges toward implementation of the EMR system. This review aims to look at the challenges and constraints of using and adopting EMR in Middle Eastern countries. Electronic databases of PubMed, country reports, newspaper, magazine articles, and hospital reports between 2008 to 2021 were used. Most common challenges highlighted were high cost of EMR implementation, lack of training, insufficient information technology personnel support, poor acceptance of new technology, confidentiality, and privacy concerns. Understanding the hurdles of using EMR technology in health care setting is essential for decision makers to focus on economic and human factors challenges to enhance the use and acceptance of EMR systems.","author":[{"dropping-particle":"","family":"Hamdan","given":"Abdullah Bany","non-dropping-particle":"","parse-names":false,"suffix":""},{"dropping-particle":"","family":"Manaf","given":"Rosliza Abdul","non-dropping-particle":"","parse-names":false,"suffix":""},{"dropping-particle":"","family":"Mahmud","given":"Aidalina","non-dropping-particle":"","parse-names":false,"suffix":""}],"container-title":"Malaysian Journal of Medicine and Health Sciences","id":"ITEM-1","issue":"3","issued":{"date-parts":[["2023"]]},"page":"334-340","title":"Challenges in the use Electronic Medical Records in Middle Eastern Countries: A Narrative Review","type":"article-journal","volume":"19"},"uris":["http://www.mendeley.com/documents/?uuid=f60a00c0-4ccd-41b1-a914-aa0cf4e0967c"]}],"mendeley":{"formattedCitation":"[33]","plainTextFormattedCitation":"[33]","previouslyFormattedCitation":"(Hamdan et al., 2023)"},"properties":{"noteIndex":0},"schema":"https://github.com/citation-style-language/schema/raw/master/csl-citation.json"}</w:instrText>
      </w:r>
      <w:r w:rsidRPr="00C934C3">
        <w:fldChar w:fldCharType="separate"/>
      </w:r>
      <w:r w:rsidR="00DC5CE9" w:rsidRPr="00DC5CE9">
        <w:rPr>
          <w:noProof/>
        </w:rPr>
        <w:t>[33]</w:t>
      </w:r>
      <w:r w:rsidRPr="00C934C3">
        <w:fldChar w:fldCharType="end"/>
      </w:r>
      <w:r w:rsidRPr="00C934C3">
        <w:fldChar w:fldCharType="begin" w:fldLock="1"/>
      </w:r>
      <w:r w:rsidR="00DC5CE9">
        <w:instrText>ADDIN CSL_CITATION {"citationItems":[{"id":"ITEM-1","itemData":{"DOI":"10.1093/jamia/ocaa186","ISSN":"1527974X","PMID":"32929458","abstract":"Objective: Disease surveillance systems are expanding using electronic health records (EHRs). However, there are many challenges in this regard. In the present study, the solutions and challenges of implementing EHR-based disease surveillance systems (EHR-DS) have been reviewed. Materials and Methods: We searched the related keywords in ProQuest, PubMed, Web of Science, Cochrane Library, Embase, and Scopus. Then, we assessed and selected articles using the inclusion and exclusion criteria and, finally, classified the identified solutions and challenges. Results: Finally, 50 studies were included, and 52 unique solutions and 47 challenges were organized into 6 main themes (policy and regulatory, technical, management, standardization, financial, and data quality). The results indicate that due to the multifaceted nature of the challenges, the implementation of EHR-DS is not low cost and easy to implement and requires a variety of interventions. On the one hand, the most common challenges include the need to invest significant time and resources; the poor data quality in EHRs; difficulty in analyzing, cleaning, and accessing unstructured data; data privacy and security; and the lack of interoperability standards. On the other hand, the most common solutions are the use of natural language processing and machine learning algorithms for unstructured data; the use of appropriate technical solutions for data retrieval, extraction, identification, and visualization; the collaboration of health and clinical departments to access data; standardizing EHR content for public health; and using a unique health identifier for individuals. Conclusions: EHR systems have an important role in modernizing disease surveillance systems. However, there are many problems and challenges facing the development and implementation of EHR-DS that need to be appropriately addressed.","author":[{"dropping-particle":"","family":"Aliabadi","given":"Ali","non-dropping-particle":"","parse-names":false,"suffix":""},{"dropping-particle":"","family":"Sheikhtaheri","given":"Abbas","non-dropping-particle":"","parse-names":false,"suffix":""},{"dropping-particle":"","family":"Ansari","given":"Hossein","non-dropping-particle":"","parse-names":false,"suffix":""}],"container-title":"Journal of the American Medical Informatics Association","id":"ITEM-1","issue":"12","issued":{"date-parts":[["2020"]]},"page":"1977-1986","title":"Electronic health record–based disease surveillance systems: A systematic literature review on challenges and solutions","type":"article-journal","volume":"27"},"uris":["http://www.mendeley.com/documents/?uuid=6a0aa2b0-2cc8-40fd-966a-7e098e7d3b1e"]}],"mendeley":{"formattedCitation":"[34]","plainTextFormattedCitation":"[34]","previouslyFormattedCitation":"(Aliabadi et al., 2020)"},"properties":{"noteIndex":0},"schema":"https://github.com/citation-style-language/schema/raw/master/csl-citation.json"}</w:instrText>
      </w:r>
      <w:r w:rsidRPr="00C934C3">
        <w:fldChar w:fldCharType="separate"/>
      </w:r>
      <w:r w:rsidR="00DC5CE9" w:rsidRPr="00DC5CE9">
        <w:rPr>
          <w:noProof/>
        </w:rPr>
        <w:t>[34]</w:t>
      </w:r>
      <w:r w:rsidRPr="00C934C3">
        <w:fldChar w:fldCharType="end"/>
      </w:r>
      <w:r w:rsidRPr="00C934C3">
        <w:fldChar w:fldCharType="begin" w:fldLock="1"/>
      </w:r>
      <w:r w:rsidR="00DC5CE9">
        <w:instrText>ADDIN CSL_CITATION {"citationItems":[{"id":"ITEM-1","itemData":{"DOI":"10.1002/wics.1549","ISSN":"19390068","abstract":"Electronic health records (EHR) contain a lot of valuable information about individual patients and the whole population. Besides structured data, unstructured data in EHRs can provide extra, valuable information but the analytics processes are complex, time-consuming, and often require excessive manual effort. Among unstructured data, clinical text and images are the two most popular and important sources of information. Advanced statistical algorithms in natural language processing, machine learning, deep learning, and radiomics have increasingly been used for analyzing clinical text and images. Although there exist many challenges that have not been fully addressed, which can hinder the use of unstructured data, there are clear opportunities for well-designed diagnosis and decision support tools that efficiently incorporate both structured and unstructured data for extracting useful information and provide better outcomes. However, access to clinical data is still very restricted due to data sensitivity and ethical issues. Data quality is also an important challenge in which methods for improving data completeness, conformity and plausibility are needed. Further, generalizing and explaining the result of machine learning models are important problems for healthcare, and these are open challenges. A possible solution to improve data quality and accessibility of unstructured data is developing machine learning methods that can generate clinically relevant synthetic data, and accelerating further research on privacy preserving techniques such as deidentification and pseudonymization of clinical text. This article is categorized under: Applications of Computational Statistics &gt; Health and Medical Data/Informatics.","author":[{"dropping-particle":"","family":"Tayefi","given":"Maryam","non-dropping-particle":"","parse-names":false,"suffix":""},{"dropping-particle":"","family":"Ngo","given":"Phuong","non-dropping-particle":"","parse-names":false,"suffix":""},{"dropping-particle":"","family":"Chomutare","given":"Taridzo","non-dropping-particle":"","parse-names":false,"suffix":""},{"dropping-particle":"","family":"Dalianis","given":"Hercules","non-dropping-particle":"","parse-names":false,"suffix":""},{"dropping-particle":"","family":"Salvi","given":"Elisa","non-dropping-particle":"","parse-names":false,"suffix":""},{"dropping-particle":"","family":"Budrionis","given":"Andrius","non-dropping-particle":"","parse-names":false,"suffix":""},{"dropping-particle":"","family":"Godtliebsen","given":"Fred","non-dropping-particle":"","parse-names":false,"suffix":""}],"container-title":"Wiley Interdisciplinary Reviews: Computational Statistics","id":"ITEM-1","issue":"6","issued":{"date-parts":[["2021"]]},"page":"1-19","title":"Challenges and opportunities beyond structured data in analysis of electronic health records","type":"article-journal","volume":"13"},"uris":["http://www.mendeley.com/documents/?uuid=c4525a9e-ead0-48ab-a3fe-ed16ba1fa5ab"]}],"mendeley":{"formattedCitation":"[35]","plainTextFormattedCitation":"[35]","previouslyFormattedCitation":"(Tayefi et al., 2021)"},"properties":{"noteIndex":0},"schema":"https://github.com/citation-style-language/schema/raw/master/csl-citation.json"}</w:instrText>
      </w:r>
      <w:r w:rsidRPr="00C934C3">
        <w:fldChar w:fldCharType="separate"/>
      </w:r>
      <w:r w:rsidR="00DC5CE9" w:rsidRPr="00DC5CE9">
        <w:rPr>
          <w:noProof/>
        </w:rPr>
        <w:t>[35]</w:t>
      </w:r>
      <w:r w:rsidRPr="00C934C3">
        <w:fldChar w:fldCharType="end"/>
      </w:r>
      <w:r w:rsidRPr="00C934C3">
        <w:t>. High evaluation scores from most experts indicate that the application’s interface design, usability, performance, and reliability correspond with expectations for hospital deployment. These findings support earlier assertions that well-designed EHR systems enhance healthcare delivery efficiency and data accessibility. Particularly strong ratings from medical record professionals suggest that the underlying data model is robust and structurally sound, which is critical given documented concerns about data quality and validity in EHR-based research.</w:t>
      </w:r>
    </w:p>
    <w:p w14:paraId="0133D949" w14:textId="77777777" w:rsidR="00CC3719" w:rsidRDefault="00CC3719" w:rsidP="00CC3719">
      <w:pPr>
        <w:spacing w:before="80"/>
        <w:jc w:val="both"/>
      </w:pPr>
    </w:p>
    <w:p w14:paraId="3F8E85D7" w14:textId="374654C2" w:rsidR="00380062" w:rsidRPr="00C934C3" w:rsidRDefault="00380062" w:rsidP="00CC3719">
      <w:pPr>
        <w:spacing w:before="80"/>
        <w:jc w:val="both"/>
      </w:pPr>
      <w:r w:rsidRPr="00C934C3">
        <w:t>Nevertheless, moderate scores from physicians highlight persistent challenges consistent with those discussed in the introduction and literature, especially regarding personalization, interactivity, and collaborative features. These limitations suggest that while structural and functional components are well established, user-</w:t>
      </w:r>
      <w:proofErr w:type="spellStart"/>
      <w:r w:rsidRPr="00C934C3">
        <w:t>centered</w:t>
      </w:r>
      <w:proofErr w:type="spellEnd"/>
      <w:r w:rsidRPr="00C934C3">
        <w:t xml:space="preserve"> enhancements remain necessary to optimize clinical engagement </w:t>
      </w:r>
      <w:r w:rsidRPr="00C934C3">
        <w:fldChar w:fldCharType="begin" w:fldLock="1"/>
      </w:r>
      <w:r w:rsidR="00DC5CE9">
        <w:instrText>ADDIN CSL_CITATION {"citationItems":[{"id":"ITEM-1","itemData":{"DOI":"10.1055/s-0040-1708050","ISSN":"18690327","PMID":"32268389","abstract":"Background With the consequences of inadequate dosing ranging from increased bleeding risk to excessive drug costs and undesirable administration regimens, the antihemophilic factors are uniquely suited to dose individualization. However, existing options for individualization are limited and exist outside the flow of care. We developed clinical decision support (CDS) software that is integrated with our electronic health record (EHR) and designed to streamline the process for our hematology providers. Objectives The aim of this study is to develop and examine the usability of a CDS tool for antihemophilic factor dose individualization. Methods Our development strategy was based on the features associated with successful CDS tools and driven by a formal requirements analysis. The back-end code was based on algorithms developed for manual individualization and unit tested with 23,000 simulated patient profiles created from the range of patient-derived pharmacokinetic parameter estimates defined in children and adults. A 296-item heuristic checklist was used to guide design of the front-end user interface. Content experts and end-users were recruited to participate in traditional usability testing under an institutional review board approved protocol. Results CDS software was developed to systematically walk the point-of-care clinician through dose individualization after seamlessly importing the requisite patient data from the EHR. Classical and population pharmacokinetic approaches were incorporated with clearly displayed estimates of reliability and uncertainty. Users can perform simulations for prophylaxis and acute bleeds by providing two of four therapeutic targets. Testers were highly satisfied with our CDS and quickly became proficient with the tool. Conclusion With early and broad stakeholder engagement, we developed a CDS tool for hematology provider that affords seamless transition from patient assessment, to pharmacokinetic modeling and simulation, and subsequent dose selection. © 2020 All rights reserved.","author":[{"dropping-particle":"","family":"Abdel-Rahman","given":"Susan M","non-dropping-particle":"","parse-names":false,"suffix":""},{"dropping-particle":"","family":"Gill","given":"Harpreet","non-dropping-particle":"","parse-names":false,"suffix":""},{"dropping-particle":"","family":"Carpenter","given":"Shannon L","non-dropping-particle":"","parse-names":false,"suffix":""},{"dropping-particle":"","family":"Gueye","given":"Pathe","non-dropping-particle":"","parse-names":false,"suffix":""},{"dropping-particle":"","family":"Wicklund","given":"Brian","non-dropping-particle":"","parse-names":false,"suffix":""},{"dropping-particle":"","family":"Breitkreutz","given":"Matt","non-dropping-particle":"","parse-names":false,"suffix":""},{"dropping-particle":"","family":"Ghosh","given":"Arindam","non-dropping-particle":"","parse-names":false,"suffix":""},{"dropping-particle":"","family":"Kollu","given":"Avinash","non-dropping-particle":"","parse-names":false,"suffix":""}],"container-title":"Applied Clinical Informatics","id":"ITEM-1","issue":"2","issued":{"date-parts":[["2020"]]},"note":"Cited by: 6; All Open Access, Bronze Open Access, Green Open Access","page":"253 – 264","publisher":"Georg Thieme Verlag","title":"Design and Usability of an Electronic Health Record-Integrated, Point-of-Care, Clinical Decision Support Tool for Modeling and Simulation of Antihemophilic Factors","type":"article-journal","volume":"11"},"uris":["http://www.mendeley.com/documents/?uuid=749a5e78-c494-4c5f-baea-905695224b1a"]}],"mendeley":{"formattedCitation":"[36]","plainTextFormattedCitation":"[36]","previouslyFormattedCitation":"(Abdel-Rahman et al., 2020)"},"properties":{"noteIndex":0},"schema":"https://github.com/citation-style-language/schema/raw/master/csl-citation.json"}</w:instrText>
      </w:r>
      <w:r w:rsidRPr="00C934C3">
        <w:fldChar w:fldCharType="separate"/>
      </w:r>
      <w:r w:rsidR="00DC5CE9" w:rsidRPr="00DC5CE9">
        <w:rPr>
          <w:noProof/>
        </w:rPr>
        <w:t>[36]</w:t>
      </w:r>
      <w:r w:rsidRPr="00C934C3">
        <w:fldChar w:fldCharType="end"/>
      </w:r>
      <w:r w:rsidRPr="00C934C3">
        <w:t>. Prior research indicates that inadequate usability or insufficient customization can hinder adoption, even when technical performance is satisfactory</w:t>
      </w:r>
      <w:r w:rsidR="00E914EB" w:rsidRPr="00C934C3">
        <w:t xml:space="preserve"> </w:t>
      </w:r>
      <w:r w:rsidRPr="00C934C3">
        <w:fldChar w:fldCharType="begin" w:fldLock="1"/>
      </w:r>
      <w:r w:rsidR="00DC5CE9">
        <w:instrText>ADDIN CSL_CITATION {"citationItems":[{"id":"ITEM-1","itemData":{"DOI":"10.1093/jamiaopen/ooac070","ISSN":"25742531","abstract":"Objective: Poor electronic health record (EHR) usability contributes to clinician burnout and poses patent safety risks. Site-specific customization and configuration of EHRs require individual EHR system usability and safety testing which is resource intensive. We developed and pilot-tested a self-administered EHR usability and safety assessment tool, focused on computerized provider order entry (CPOE), which can be used by any facility to identify specific issues. In addition, the tool provides recommendations for improvement. Materials and Methods: An assessment tool consisting of 104 questions was developed and pilot-tested at 2 hospitals, one using a Cerner EHR and the other using Epic. Five physicians at each site participated in and completed the assessment. Participant response accuracy compared to actual EHR interactions, consistency across participants, and usability issues identified through the tool were measured at each site. Results: Across sites, participants answered an average of 46 questions in 23 min with 89.9% of responses either correct or partially correct. The tool identified 8 usability and safety issues at one site and 7 at the other site across medication, laboratory, and radiology CPOE functions. Discussion: The tool shows promise as a method to rapidly evaluate EHR usability and safety and provide guidance on specific areas for improvement. Important improvements to the evaluation tool were identified including the need to clarify certain questions and provide definitions for usability terminology. Conclusion: A self-administered usability and safety assessment tool can serve to identify specific usability and safety issues in the EHR and provide guidance for improvements.","author":[{"dropping-particle":"","family":"Pruitt","given":"Zoe","non-dropping-particle":"","parse-names":false,"suffix":""},{"dropping-particle":"","family":"Howe","given":"Jessica L.","non-dropping-particle":"","parse-names":false,"suffix":""},{"dropping-particle":"","family":"Krevat","given":"Seth A.","non-dropping-particle":"","parse-names":false,"suffix":""},{"dropping-particle":"","family":"Khairat","given":"Saif","non-dropping-particle":"","parse-names":false,"suffix":""},{"dropping-particle":"","family":"Ratwani","given":"Raj M.","non-dropping-particle":"","parse-names":false,"suffix":""}],"container-title":"JAMIA Open","id":"ITEM-1","issue":"3","issued":{"date-parts":[["2022"]]},"page":"1-7","title":"Development and pilot evaluation of an electronic health record usability and safety self-assessment tool","type":"article-journal","volume":"5"},"uris":["http://www.mendeley.com/documents/?uuid=66148d2e-8bb3-4813-acbc-b8c84e4cb231"]}],"mendeley":{"formattedCitation":"[37]","plainTextFormattedCitation":"[37]","previouslyFormattedCitation":"(Pruitt et al., 2022)"},"properties":{"noteIndex":0},"schema":"https://github.com/citation-style-language/schema/raw/master/csl-citation.json"}</w:instrText>
      </w:r>
      <w:r w:rsidRPr="00C934C3">
        <w:fldChar w:fldCharType="separate"/>
      </w:r>
      <w:r w:rsidR="00DC5CE9" w:rsidRPr="00DC5CE9">
        <w:rPr>
          <w:noProof/>
        </w:rPr>
        <w:t>[37]</w:t>
      </w:r>
      <w:r w:rsidRPr="00C934C3">
        <w:fldChar w:fldCharType="end"/>
      </w:r>
      <w:r w:rsidRPr="00C934C3">
        <w:fldChar w:fldCharType="begin" w:fldLock="1"/>
      </w:r>
      <w:r w:rsidR="00DC5CE9">
        <w:instrText>ADDIN CSL_CITATION {"citationItems":[{"id":"ITEM-1","itemData":{"DOI":"10.4258/hir.2024.30.4.312","ISSN":"2093369X","abstract":"Objectives: The spread of misinformation through the internet can lead to dangerous behavioral changes and erode trust in reliable sources, especially during public health crises like coronavirus disease 2019 (COVID-19). To combat this issue, innovative strategies that leverage information technology are essential. This study focused on developing and evaluating a mobile application (app), COVID-Iran, aimed at countering COVID-19 misinformation by delivering accurate, reliable, and credible information. Methods: The development of the app involved a multi-step, user-centered approach that integrated qualitative expert consultations with quantitative survey research to pinpoint and validate key features. The app was initially prototyped using Enterprise Architect software and subsequently developed using Android Studio and MySQL. We conducted a usability evaluation using the System Usability Scale (SUS), where participants engaged in various tasks related to information seeking, self-assessment, and health management. Data were analyzed using descriptive statistics in SPSS version 19. Results: The findings revealed a high usability level (SUS score of 81.35), with participants reporting ease of use and learnability. The app effectively countered misinformation by providing access to trusted sources and evidence-based counterarguments. User feedback emphasized the app’s strengths in clarity, accuracy, trustworthiness, and its comprehensive approach. Plans for future improvements include the integration of artificial intelligence to deliver personalized content. Conclusions: Despite limitations such as the small sample size and potential self-selection bias, this study highlights the significant potential of mHealth apps to provide reliable health information and combat misinformation.","author":[{"dropping-particle":"","family":"Salari","given":"Raheleh","non-dropping-particle":"","parse-names":false,"suffix":""},{"dropping-particle":"","family":"Fatehi","given":"Farhad","non-dropping-particle":"","parse-names":false,"suffix":""},{"dropping-particle":"","family":"Mehdizadeh","given":"Hamed","non-dropping-particle":"","parse-names":false,"suffix":""}],"container-title":"Healthcare Informatics Research","id":"ITEM-1","issue":"4","issued":{"date-parts":[["2024"]]},"page":"312-323","title":"Development and Usability Evaluation of COVID-Iran: A Mobile Application for Mitigating COVID-19 Misinformation","type":"article-journal","volume":"30"},"uris":["http://www.mendeley.com/documents/?uuid=66417f2e-37cb-40d1-a2a0-847d96dedccc"]}],"mendeley":{"formattedCitation":"[38]","plainTextFormattedCitation":"[38]","previouslyFormattedCitation":"(Salari et al., 2024)"},"properties":{"noteIndex":0},"schema":"https://github.com/citation-style-language/schema/raw/master/csl-citation.json"}</w:instrText>
      </w:r>
      <w:r w:rsidRPr="00C934C3">
        <w:fldChar w:fldCharType="separate"/>
      </w:r>
      <w:r w:rsidR="00DC5CE9" w:rsidRPr="00DC5CE9">
        <w:rPr>
          <w:noProof/>
        </w:rPr>
        <w:t>[38]</w:t>
      </w:r>
      <w:r w:rsidRPr="00C934C3">
        <w:fldChar w:fldCharType="end"/>
      </w:r>
      <w:r w:rsidRPr="00C934C3">
        <w:t>. Therefore, improving adaptive interfaces and professional collaboration tools could increase acceptance across diverse clinical roles</w:t>
      </w:r>
      <w:r w:rsidR="00E914EB" w:rsidRPr="00C934C3">
        <w:t xml:space="preserve">  </w:t>
      </w:r>
      <w:r w:rsidR="00E914EB" w:rsidRPr="00C934C3">
        <w:fldChar w:fldCharType="begin" w:fldLock="1"/>
      </w:r>
      <w:r w:rsidR="00DC5CE9">
        <w:instrText>ADDIN CSL_CITATION {"citationItems":[{"id":"ITEM-1","itemData":{"DOI":"10.1055/s-0040-1714693","ISBN":"0040171469","ISSN":"18690327","PMID":"32785904","abstract":"Background â€ With the increased usage of dashboard reporting systems to monitor and track patient panels by clinical users, developers must ensure that the information displays they produce are accurate and intuitive. When evaluating usability of a clinical dashboard among potential end users, developers oftentimes rely on methods such as questionnaires as opposed to other, more time-intensive strategies that incorporate direct observation. Objectives â€ Prior to release of the potentially inappropriate medication (PIM) clinical dashboard, designed to facilitate completion of a quality improvement project by clinician scholars enrolled in the Veterans Affairs (VA) workforce development Geriatric Scholars Program (GSP), we evaluated the usability of the system. This article describes the process of usability testing a dashboard reporting system with clinicians using direct observation and think-aloud moderating techniques. Methods â€ We developed a structured interview protocol that combines virtual observation, think-aloud moderating techniques, and retrospective questioning of the overall user experience, including use of the System Usability Scale (SUS). Thematic analysis was used to analyze field notes from the interviews of three GSP alumni. Results â€ Our structured approach to usability testing identified specific functional problems with the dashboard reporting system that were missed by results from the SUS. Usability testing lead to overall improvements in the intuitive use of the system, increased data transparency, and clarification of the dashboard's purpose. Conclusion â€ Reliance solely on questionnaires and surveys at the end stages of dashboard development can mask potential functional problems that will impede proper usage and lead to misinterpretation of results. A structured approach to usability testing in the developmental phase is an important tool for developers of clinician friendly systems for displaying easily digested information and tracking outcomes for the purpose of quality improvement.","author":[{"dropping-particle":"","family":"Richter Lagha","given":"Regina","non-dropping-particle":"","parse-names":false,"suffix":""},{"dropping-particle":"","family":"Burningham","given":"Zachary","non-dropping-particle":"","parse-names":false,"suffix":""},{"dropping-particle":"","family":"Sauer","given":"Brian C.","non-dropping-particle":"","parse-names":false,"suffix":""},{"dropping-particle":"","family":"Leng","given":"Jianwei","non-dropping-particle":"","parse-names":false,"suffix":""},{"dropping-particle":"","family":"Peters","given":"Celena","non-dropping-particle":"","parse-names":false,"suffix":""},{"dropping-particle":"","family":"Huynh","given":"Tina","non-dropping-particle":"","parse-names":false,"suffix":""},{"dropping-particle":"","family":"Patel","given":"Shardool","non-dropping-particle":"","parse-names":false,"suffix":""},{"dropping-particle":"","family":"Halwani","given":"Ahmad S.","non-dropping-particle":"","parse-names":false,"suffix":""},{"dropping-particle":"","family":"Kramer","given":"B. Josea","non-dropping-particle":"","parse-names":false,"suffix":""}],"container-title":"Applied Clinical Informatics","id":"ITEM-1","issue":"4","issued":{"date-parts":[["2020"]]},"page":"528-534","title":"Usability Testing a Potentially Inappropriate Medication Dashboard: A Core Component of the Dashboard Development Process","type":"article-journal","volume":"11"},"uris":["http://www.mendeley.com/documents/?uuid=34c9b7fc-6851-4063-8dfd-21aa74d91ae9"]}],"mendeley":{"formattedCitation":"[39]","plainTextFormattedCitation":"[39]","previouslyFormattedCitation":"(Richter Lagha et al., 2020)"},"properties":{"noteIndex":0},"schema":"https://github.com/citation-style-language/schema/raw/master/csl-citation.json"}</w:instrText>
      </w:r>
      <w:r w:rsidR="00E914EB" w:rsidRPr="00C934C3">
        <w:fldChar w:fldCharType="separate"/>
      </w:r>
      <w:r w:rsidR="00DC5CE9" w:rsidRPr="00DC5CE9">
        <w:rPr>
          <w:noProof/>
        </w:rPr>
        <w:t>[39]</w:t>
      </w:r>
      <w:r w:rsidR="00E914EB" w:rsidRPr="00C934C3">
        <w:fldChar w:fldCharType="end"/>
      </w:r>
      <w:r w:rsidRPr="00C934C3">
        <w:t>.</w:t>
      </w:r>
    </w:p>
    <w:p w14:paraId="12957AF4" w14:textId="77777777" w:rsidR="00CC3719" w:rsidRDefault="00CC3719" w:rsidP="00CC3719">
      <w:pPr>
        <w:spacing w:before="80"/>
        <w:jc w:val="both"/>
      </w:pPr>
    </w:p>
    <w:p w14:paraId="2FC0FDBD" w14:textId="4DEFD855" w:rsidR="0002275D" w:rsidRPr="00C934C3" w:rsidRDefault="00380062" w:rsidP="00CC3719">
      <w:pPr>
        <w:spacing w:before="80"/>
        <w:jc w:val="both"/>
      </w:pPr>
      <w:r w:rsidRPr="00C934C3">
        <w:t xml:space="preserve">Overall, this study contributes empirical evidence that a holistic, standards-based EHR application can effectively integrate complex hospital workflows while achieving strong user acceptance. The results reinforce existing scholarship emphasizing the importance of interoperability, data quality, and multidisciplinary usability, while also extending prior work by demonstrating how these principles can be operationalized within a unified system </w:t>
      </w:r>
      <w:r w:rsidRPr="00C934C3">
        <w:fldChar w:fldCharType="begin" w:fldLock="1"/>
      </w:r>
      <w:r w:rsidR="00DC5CE9">
        <w:instrText>ADDIN CSL_CITATION {"citationItems":[{"id":"ITEM-1","itemData":{"DOI":"10.1186/s12911-021-01659-8","ISSN":"14726947","PMID":"34732176","abstract":"Background: Medication reconciliation (MedRec), a process to reduce medication error at care transitions, is labour- and resource-intensive and time-consuming. Use of Personal Electronic Records of Medications (PERMs) in health information systems to support MedRec have proven challenging. Relatively little is known about the design, use or implementation of PERMs at care transitions that impacts on MedRec in the ‘real world’. To respond to this gap in knowledge we undertook a rapid realist review (RRR). The aim was to develop theories to explain how, why, when, where and for whom PERMs are designed, implemented or used in practice at care transitions that impacts on MedRec. Methodology: We used realist methodology and undertook the RRR between August 2020 and February 2021. We collaborated with experts in the field to identify key themes. Articles were sourced from four databases (Pubmed, Embase, CINAHL Complete and OpenGrey) to contribute to the theory development. Quality assessment, screening and data extraction using NVivo was completed. Contexts, mechanisms and outcomes configurations were identified and synthesised. The experts considered these theories for relevance and practicality and suggested refinements. Results: Ten provisional theories were identified from 19 articles. Some theories relate to the design (T2 Inclusive design, T3 PERMs complement existing good processes, T7 Interoperability), some relate to the implementation (T5 Tailored training, T9 Positive impact of legislation or governance), some relate to use (T6 Support and on-demand training) and others relate iteratively to all stages of the process (T1 Engage stakeholders, T4 Build trust, T8 Resource investment, T10 Patients as users of PERMs). Conclusions: This RRR has allowed additional valuable data to be extracted from existing primary research, with minimal resources, that may impact positively on future developments in this area. The theories are interdependent to a greater or lesser extent; several or all of the theories may need to be in play to collectively impact on the design, implementation or use of PERMs for MedRec at care transitions. These theories should now be incorporated into an intervention and evaluated to further test their validity. © 2021, The Author(s).","author":[{"dropping-particle":"","family":"Waldron","given":"Catherine","non-dropping-particle":"","parse-names":false,"suffix":""},{"dropping-particle":"","family":"Cahill","given":"Joan","non-dropping-particle":"","parse-names":false,"suffix":""},{"dropping-particle":"","family":"Cromie","given":"Sam","non-dropping-particle":"","parse-names":false,"suffix":""},{"dropping-particle":"","family":"Delaney","given":"Tim","non-dropping-particle":"","parse-names":false,"suffix":""},{"dropping-particle":"","family":"Kennelly","given":"Sean P","non-dropping-particle":"","parse-names":false,"suffix":""},{"dropping-particle":"","family":"Pevnick","given":"Joshua M","non-dropping-particle":"","parse-names":false,"suffix":""},{"dropping-particle":"","family":"Grimes","given":"Tamasine","non-dropping-particle":"","parse-names":false,"suffix":""}],"container-title":"BMC Medical Informatics and Decision Making","id":"ITEM-1","issue":"1","issued":{"date-parts":[["2021"]]},"note":"Cited by: 6; All Open Access, Gold Open Access, Green Open Access","publisher":"BioMed Central Ltd","title":"Personal Electronic Records of Medications (PERMs) for medication reconciliation at care transitions: a rapid realist review","type":"article-journal","volume":"21"},"uris":["http://www.mendeley.com/documents/?uuid=8b68be5c-e3ba-40eb-8b35-70f9f8b6ceb4"]}],"mendeley":{"formattedCitation":"[40]","plainTextFormattedCitation":"[40]","previouslyFormattedCitation":"(Waldron et al., 2021)"},"properties":{"noteIndex":0},"schema":"https://github.com/citation-style-language/schema/raw/master/csl-citation.json"}</w:instrText>
      </w:r>
      <w:r w:rsidRPr="00C934C3">
        <w:fldChar w:fldCharType="separate"/>
      </w:r>
      <w:r w:rsidR="00DC5CE9" w:rsidRPr="00DC5CE9">
        <w:rPr>
          <w:noProof/>
        </w:rPr>
        <w:t>[40]</w:t>
      </w:r>
      <w:r w:rsidRPr="00C934C3">
        <w:fldChar w:fldCharType="end"/>
      </w:r>
      <w:r w:rsidRPr="00C934C3">
        <w:t xml:space="preserve">. </w:t>
      </w:r>
    </w:p>
    <w:p w14:paraId="50B06F66" w14:textId="77777777" w:rsidR="0002275D" w:rsidRPr="00C934C3" w:rsidRDefault="0002275D" w:rsidP="008A1263">
      <w:pPr>
        <w:pStyle w:val="ListParagraph"/>
        <w:widowControl w:val="0"/>
        <w:autoSpaceDE w:val="0"/>
        <w:autoSpaceDN w:val="0"/>
        <w:spacing w:after="0" w:line="240" w:lineRule="auto"/>
        <w:ind w:left="0"/>
        <w:contextualSpacing w:val="0"/>
        <w:rPr>
          <w:rFonts w:ascii="Times New Roman" w:hAnsi="Times New Roman"/>
          <w:smallCaps/>
          <w:spacing w:val="-2"/>
          <w:sz w:val="24"/>
          <w:szCs w:val="24"/>
        </w:rPr>
      </w:pPr>
    </w:p>
    <w:p w14:paraId="05FE2E7C" w14:textId="7932219E" w:rsidR="00B344D1" w:rsidRDefault="00B344D1" w:rsidP="00CC3719">
      <w:pPr>
        <w:ind w:right="-28"/>
        <w:outlineLvl w:val="0"/>
        <w:rPr>
          <w:b/>
          <w:lang w:val="en-US"/>
        </w:rPr>
      </w:pPr>
      <w:r w:rsidRPr="00CC3719">
        <w:rPr>
          <w:b/>
          <w:lang w:val="en-US"/>
        </w:rPr>
        <w:t>C</w:t>
      </w:r>
      <w:r w:rsidR="00CC3719">
        <w:rPr>
          <w:b/>
          <w:lang w:val="en-US"/>
        </w:rPr>
        <w:t>ONCLUSIONS</w:t>
      </w:r>
    </w:p>
    <w:p w14:paraId="1340ACA0" w14:textId="77777777" w:rsidR="00CC3719" w:rsidRPr="00CC3719" w:rsidRDefault="00CC3719" w:rsidP="00CC3719">
      <w:pPr>
        <w:ind w:right="-28"/>
        <w:outlineLvl w:val="0"/>
        <w:rPr>
          <w:b/>
          <w:lang w:val="en-US"/>
        </w:rPr>
      </w:pPr>
    </w:p>
    <w:p w14:paraId="0757110F" w14:textId="77777777" w:rsidR="00380062" w:rsidRPr="00C934C3" w:rsidRDefault="00380062" w:rsidP="00CC3719">
      <w:pPr>
        <w:spacing w:before="80"/>
        <w:jc w:val="both"/>
      </w:pPr>
      <w:r w:rsidRPr="00C934C3">
        <w:t>This study demonstrates that the development of a holistic Electronic Health Record (EHR) application based on standardized datasets and real-world clinical workflows can effectively represent comprehensive hospital business processes. The system successfully integrates multidisciplinary medical services into a unified digital platform encompassing patient registration, clinical assessment, diagnostic support, prescription management, and reporting. These findings confirm that a structured and standards-based design approach can operationalize theoretical EHR concepts into a functional application capable of supporting integrated healthcare delivery.</w:t>
      </w:r>
    </w:p>
    <w:p w14:paraId="1DE71C94" w14:textId="77777777" w:rsidR="00CC3719" w:rsidRDefault="00CC3719" w:rsidP="00CC3719">
      <w:pPr>
        <w:spacing w:before="80"/>
        <w:jc w:val="both"/>
      </w:pPr>
    </w:p>
    <w:p w14:paraId="323623BF" w14:textId="332B4447" w:rsidR="00380062" w:rsidRPr="00C934C3" w:rsidRDefault="00380062" w:rsidP="00CC3719">
      <w:pPr>
        <w:spacing w:before="80"/>
        <w:jc w:val="both"/>
      </w:pPr>
      <w:r w:rsidRPr="00C934C3">
        <w:t xml:space="preserve">The evaluation results indicate strong overall acceptance among healthcare </w:t>
      </w:r>
      <w:r w:rsidR="005B06A6" w:rsidRPr="00C934C3">
        <w:t xml:space="preserve">expert </w:t>
      </w:r>
      <w:r w:rsidRPr="00C934C3">
        <w:t>professionals, particularly medical record personnel, nurses, and nutritionists, suggesting that the application’s architecture, usability, and performance meet practical requirements for hospital implementation. The high scores across most indicators validate the robustness of the data model and demonstrate that iterative development combined with user feedback can produce reliable and clinically relevant health information systems.</w:t>
      </w:r>
    </w:p>
    <w:p w14:paraId="7DBF9B44" w14:textId="77777777" w:rsidR="00CC3719" w:rsidRDefault="00CC3719" w:rsidP="00CC3719">
      <w:pPr>
        <w:spacing w:before="80"/>
        <w:jc w:val="both"/>
      </w:pPr>
    </w:p>
    <w:p w14:paraId="22BFAF62" w14:textId="6C39BAC9" w:rsidR="00380062" w:rsidRPr="00C934C3" w:rsidRDefault="00CC3719" w:rsidP="00CC3719">
      <w:pPr>
        <w:spacing w:before="80"/>
        <w:jc w:val="both"/>
      </w:pPr>
      <w:r>
        <w:t>I</w:t>
      </w:r>
      <w:r w:rsidR="00380062" w:rsidRPr="00C934C3">
        <w:t xml:space="preserve">n conclusion, the proposed holistic EHR application provides empirical evidence that integrated, standards-compliant health information systems can support complex hospital </w:t>
      </w:r>
      <w:r w:rsidR="005B06A6" w:rsidRPr="00C934C3">
        <w:t xml:space="preserve">clinical workflow </w:t>
      </w:r>
      <w:r w:rsidR="00380062" w:rsidRPr="00C934C3">
        <w:t xml:space="preserve">while achieving high levels of user acceptance. </w:t>
      </w:r>
    </w:p>
    <w:p w14:paraId="2EB7FD92" w14:textId="77777777" w:rsidR="00380062" w:rsidRPr="00C934C3" w:rsidRDefault="00380062" w:rsidP="008A1263">
      <w:pPr>
        <w:spacing w:before="80"/>
        <w:jc w:val="both"/>
        <w:rPr>
          <w:smallCaps/>
          <w:spacing w:val="-2"/>
          <w:lang w:val="en-US"/>
        </w:rPr>
      </w:pPr>
    </w:p>
    <w:p w14:paraId="1636991E" w14:textId="36CB3B12" w:rsidR="00C400ED" w:rsidRPr="00C934C3" w:rsidRDefault="00C400ED" w:rsidP="00C400ED">
      <w:pPr>
        <w:ind w:right="-2"/>
        <w:jc w:val="both"/>
        <w:rPr>
          <w:b/>
          <w:bCs/>
          <w:lang w:val="en-US"/>
        </w:rPr>
      </w:pPr>
      <w:r w:rsidRPr="00C934C3">
        <w:rPr>
          <w:b/>
          <w:bCs/>
          <w:lang w:val="en-US"/>
        </w:rPr>
        <w:t>Acknowledgements</w:t>
      </w:r>
    </w:p>
    <w:p w14:paraId="6000FF25" w14:textId="14B0DFAF" w:rsidR="00252BF6" w:rsidRPr="00C934C3" w:rsidRDefault="00380062" w:rsidP="00911E5C">
      <w:pPr>
        <w:ind w:firstLine="284"/>
        <w:jc w:val="both"/>
        <w:rPr>
          <w:color w:val="000000" w:themeColor="text1"/>
          <w:lang w:val="en-US"/>
        </w:rPr>
      </w:pPr>
      <w:r w:rsidRPr="00C934C3">
        <w:rPr>
          <w:color w:val="000000" w:themeColor="text1"/>
          <w:lang w:val="en-US"/>
        </w:rPr>
        <w:t>We express our sincere appreciation to the Health Practitioners of the Riau Psychiatric Hospital who have given us the valuable opportunity to access and utilize their knowledge and knowledge in this research.</w:t>
      </w:r>
    </w:p>
    <w:p w14:paraId="60820B06" w14:textId="77777777" w:rsidR="001A47FF" w:rsidRPr="00C934C3" w:rsidRDefault="001A47FF" w:rsidP="00911E5C">
      <w:pPr>
        <w:ind w:firstLine="284"/>
        <w:jc w:val="both"/>
        <w:rPr>
          <w:color w:val="000000" w:themeColor="text1"/>
          <w:lang w:val="en-US"/>
        </w:rPr>
      </w:pPr>
    </w:p>
    <w:p w14:paraId="1DF351E3" w14:textId="77777777" w:rsidR="00380062" w:rsidRPr="00C934C3" w:rsidRDefault="00380062" w:rsidP="008A1263">
      <w:pPr>
        <w:jc w:val="both"/>
        <w:rPr>
          <w:color w:val="000000" w:themeColor="text1"/>
          <w:lang w:val="en-US"/>
        </w:rPr>
      </w:pPr>
    </w:p>
    <w:p w14:paraId="7919DFEA" w14:textId="493D914A" w:rsidR="00252BF6" w:rsidRPr="00C934C3" w:rsidRDefault="00CC3719" w:rsidP="0058777B">
      <w:pPr>
        <w:ind w:right="-2"/>
        <w:jc w:val="both"/>
        <w:rPr>
          <w:b/>
          <w:bCs/>
          <w:lang w:val="en-US"/>
        </w:rPr>
      </w:pPr>
      <w:r>
        <w:rPr>
          <w:b/>
          <w:bCs/>
          <w:lang w:val="en-US"/>
        </w:rPr>
        <w:t>REFERENCES</w:t>
      </w:r>
    </w:p>
    <w:p w14:paraId="7C558D47" w14:textId="77777777" w:rsidR="00252BF6" w:rsidRPr="00C934C3" w:rsidRDefault="00252BF6" w:rsidP="0058777B">
      <w:pPr>
        <w:widowControl w:val="0"/>
        <w:autoSpaceDE w:val="0"/>
        <w:autoSpaceDN w:val="0"/>
        <w:adjustRightInd w:val="0"/>
        <w:rPr>
          <w:noProof/>
          <w:color w:val="000000" w:themeColor="text1"/>
        </w:rPr>
      </w:pPr>
    </w:p>
    <w:p w14:paraId="67C49CF6" w14:textId="1A25D1D1" w:rsidR="00DC5CE9" w:rsidRPr="00DC5CE9" w:rsidRDefault="00380062" w:rsidP="00DC5CE9">
      <w:pPr>
        <w:widowControl w:val="0"/>
        <w:autoSpaceDE w:val="0"/>
        <w:autoSpaceDN w:val="0"/>
        <w:adjustRightInd w:val="0"/>
        <w:ind w:left="640" w:hanging="640"/>
        <w:rPr>
          <w:noProof/>
          <w:lang w:val="en-US"/>
        </w:rPr>
      </w:pPr>
      <w:r w:rsidRPr="00C934C3">
        <w:rPr>
          <w:noProof/>
          <w:color w:val="000000" w:themeColor="text1"/>
        </w:rPr>
        <w:fldChar w:fldCharType="begin" w:fldLock="1"/>
      </w:r>
      <w:r w:rsidRPr="00C934C3">
        <w:rPr>
          <w:noProof/>
          <w:color w:val="000000" w:themeColor="text1"/>
        </w:rPr>
        <w:instrText xml:space="preserve">ADDIN Mendeley Bibliography CSL_BIBLIOGRAPHY </w:instrText>
      </w:r>
      <w:r w:rsidRPr="00C934C3">
        <w:rPr>
          <w:noProof/>
          <w:color w:val="000000" w:themeColor="text1"/>
        </w:rPr>
        <w:fldChar w:fldCharType="separate"/>
      </w:r>
      <w:r w:rsidR="00DC5CE9" w:rsidRPr="00DC5CE9">
        <w:rPr>
          <w:noProof/>
          <w:lang w:val="en-US"/>
        </w:rPr>
        <w:t>[1]</w:t>
      </w:r>
      <w:r w:rsidR="00DC5CE9" w:rsidRPr="00DC5CE9">
        <w:rPr>
          <w:noProof/>
          <w:lang w:val="en-US"/>
        </w:rPr>
        <w:tab/>
        <w:t xml:space="preserve">R. R. Aguirre, O. Suarez, M. Fuentes, and M. A. Sanchez-Gonzalez, “Electronic Health Record Implementation: A Review of Resources and Tools,” </w:t>
      </w:r>
      <w:r w:rsidR="00DC5CE9" w:rsidRPr="00DC5CE9">
        <w:rPr>
          <w:i/>
          <w:iCs/>
          <w:noProof/>
          <w:lang w:val="en-US"/>
        </w:rPr>
        <w:t>Cureus</w:t>
      </w:r>
      <w:r w:rsidR="00DC5CE9" w:rsidRPr="00DC5CE9">
        <w:rPr>
          <w:noProof/>
          <w:lang w:val="en-US"/>
        </w:rPr>
        <w:t>, vol. 11, no. 9, 2019, doi: 10.7759/cureus.5649.</w:t>
      </w:r>
    </w:p>
    <w:p w14:paraId="7CC671BD"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[2]</w:t>
      </w:r>
      <w:r w:rsidRPr="00DC5CE9">
        <w:rPr>
          <w:noProof/>
          <w:lang w:val="en-US"/>
        </w:rPr>
        <w:tab/>
        <w:t xml:space="preserve">R. S. Janett and P. P. Yeracaris, “Electronic medical records in the american health system: Challenges and lessons learned,” </w:t>
      </w:r>
      <w:r w:rsidRPr="00DC5CE9">
        <w:rPr>
          <w:i/>
          <w:iCs/>
          <w:noProof/>
          <w:lang w:val="en-US"/>
        </w:rPr>
        <w:t>Cienc. e Saude Coletiva</w:t>
      </w:r>
      <w:r w:rsidRPr="00DC5CE9">
        <w:rPr>
          <w:noProof/>
          <w:lang w:val="en-US"/>
        </w:rPr>
        <w:t>, vol. 25, no. 4, pp. 1293–1304, 2020, doi: 10.1590/1413-81232020254.28922019.</w:t>
      </w:r>
    </w:p>
    <w:p w14:paraId="640660D6"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[3]</w:t>
      </w:r>
      <w:r w:rsidRPr="00DC5CE9">
        <w:rPr>
          <w:noProof/>
          <w:lang w:val="en-US"/>
        </w:rPr>
        <w:tab/>
        <w:t xml:space="preserve">X. He, L. Cai, S. Huang, X. Ma, and X. Zhou, “The design of electronic medical records for patients of continuous care,” </w:t>
      </w:r>
      <w:r w:rsidRPr="00DC5CE9">
        <w:rPr>
          <w:i/>
          <w:iCs/>
          <w:noProof/>
          <w:lang w:val="en-US"/>
        </w:rPr>
        <w:t>J. Infect. Public Health</w:t>
      </w:r>
      <w:r w:rsidRPr="00DC5CE9">
        <w:rPr>
          <w:noProof/>
          <w:lang w:val="en-US"/>
        </w:rPr>
        <w:t>, vol. 14, no. 1, pp. 117–122, 2021, doi: 10.1016/j.jiph.2019.07.013.</w:t>
      </w:r>
    </w:p>
    <w:p w14:paraId="63BDD146"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[4]</w:t>
      </w:r>
      <w:r w:rsidRPr="00DC5CE9">
        <w:rPr>
          <w:noProof/>
          <w:lang w:val="en-US"/>
        </w:rPr>
        <w:tab/>
        <w:t>R. Agudelo, J. Granados, and M. Ceballos, “Exploratory Research in Clinical and Social Pharmacy Design and development of a mobile application for drug information and other health data for users and patients of pharmacies and outpatient pharmaceutical services,” vol. 20, no. September, 2025, doi: 10.1016/j.rcsop.2025.100661.</w:t>
      </w:r>
    </w:p>
    <w:p w14:paraId="04125AFA"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[5]</w:t>
      </w:r>
      <w:r w:rsidRPr="00DC5CE9">
        <w:rPr>
          <w:noProof/>
          <w:lang w:val="en-US"/>
        </w:rPr>
        <w:tab/>
        <w:t xml:space="preserve">K. Tanaka, M. Mukai, R. Yamamoto, and N. Mihara, “Data-Sharing Gateway System Design for Large-Scale Medical Information Collection with Distributed EMR Storage,” </w:t>
      </w:r>
      <w:r w:rsidRPr="00DC5CE9">
        <w:rPr>
          <w:i/>
          <w:iCs/>
          <w:noProof/>
          <w:lang w:val="en-US"/>
        </w:rPr>
        <w:t>Stud. Health Technol. Inform.</w:t>
      </w:r>
      <w:r w:rsidRPr="00DC5CE9">
        <w:rPr>
          <w:noProof/>
          <w:lang w:val="en-US"/>
        </w:rPr>
        <w:t>, vol. 290, pp. 205–209, 2022, doi: 10.3233/SHTI220062.</w:t>
      </w:r>
    </w:p>
    <w:p w14:paraId="4F38D58D"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[6]</w:t>
      </w:r>
      <w:r w:rsidRPr="00DC5CE9">
        <w:rPr>
          <w:noProof/>
          <w:lang w:val="en-US"/>
        </w:rPr>
        <w:tab/>
        <w:t xml:space="preserve">S. Abedian, A. Biglarkhani, A. Azami Ghadikolaei, and M. Barahmand, “Development and Implementation of an Integrated Standard e-Prescription Model in Alignment with Iranian National EHR,” </w:t>
      </w:r>
      <w:r w:rsidRPr="00DC5CE9">
        <w:rPr>
          <w:i/>
          <w:iCs/>
          <w:noProof/>
          <w:lang w:val="en-US"/>
        </w:rPr>
        <w:t>Stud. Health Technol. Inform.</w:t>
      </w:r>
      <w:r w:rsidRPr="00DC5CE9">
        <w:rPr>
          <w:noProof/>
          <w:lang w:val="en-US"/>
        </w:rPr>
        <w:t>, vol. 314, pp. 139–143, 2024, doi: 10.3233/SHTI240077.</w:t>
      </w:r>
    </w:p>
    <w:p w14:paraId="52656CEB"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[7]</w:t>
      </w:r>
      <w:r w:rsidRPr="00DC5CE9">
        <w:rPr>
          <w:noProof/>
          <w:lang w:val="en-US"/>
        </w:rPr>
        <w:tab/>
        <w:t xml:space="preserve">C. Song and M. Nakayama, “Implementation of a Patient Summary Web Application According to the International Patient Summary and Validation in Common Use Cases in Japan,” </w:t>
      </w:r>
      <w:r w:rsidRPr="00DC5CE9">
        <w:rPr>
          <w:i/>
          <w:iCs/>
          <w:noProof/>
          <w:lang w:val="en-US"/>
        </w:rPr>
        <w:t>J. Med. Syst.</w:t>
      </w:r>
      <w:r w:rsidRPr="00DC5CE9">
        <w:rPr>
          <w:noProof/>
          <w:lang w:val="en-US"/>
        </w:rPr>
        <w:t>, vol. 47, no. 1, 2023, doi: 10.1007/s10916-023-01993-6.</w:t>
      </w:r>
    </w:p>
    <w:p w14:paraId="18106664"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[8]</w:t>
      </w:r>
      <w:r w:rsidRPr="00DC5CE9">
        <w:rPr>
          <w:noProof/>
          <w:lang w:val="en-US"/>
        </w:rPr>
        <w:tab/>
        <w:t xml:space="preserve">C. Robbiati </w:t>
      </w:r>
      <w:r w:rsidRPr="00DC5CE9">
        <w:rPr>
          <w:i/>
          <w:iCs/>
          <w:noProof/>
          <w:lang w:val="en-US"/>
        </w:rPr>
        <w:t>et al.</w:t>
      </w:r>
      <w:r w:rsidRPr="00DC5CE9">
        <w:rPr>
          <w:noProof/>
          <w:lang w:val="en-US"/>
        </w:rPr>
        <w:t xml:space="preserve">, “Improving TB Surveillance and Patients’ Quality of Care Through Improved Data Collection in Angola: Development of an Electronic Medical Record System in Two Health Facilities of Luanda,” </w:t>
      </w:r>
      <w:r w:rsidRPr="00DC5CE9">
        <w:rPr>
          <w:i/>
          <w:iCs/>
          <w:noProof/>
          <w:lang w:val="en-US"/>
        </w:rPr>
        <w:t>Front. Public Heal.</w:t>
      </w:r>
      <w:r w:rsidRPr="00DC5CE9">
        <w:rPr>
          <w:noProof/>
          <w:lang w:val="en-US"/>
        </w:rPr>
        <w:t>, vol. 10, no. March, pp. 1–8, 2022, doi: 10.3389/fpubh.2022.745928.</w:t>
      </w:r>
    </w:p>
    <w:p w14:paraId="4834B6D6"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[9]</w:t>
      </w:r>
      <w:r w:rsidRPr="00DC5CE9">
        <w:rPr>
          <w:noProof/>
          <w:lang w:val="en-US"/>
        </w:rPr>
        <w:tab/>
        <w:t xml:space="preserve">M. Sheykhotayefeh </w:t>
      </w:r>
      <w:r w:rsidRPr="00DC5CE9">
        <w:rPr>
          <w:i/>
          <w:iCs/>
          <w:noProof/>
          <w:lang w:val="en-US"/>
        </w:rPr>
        <w:t>et al.</w:t>
      </w:r>
      <w:r w:rsidRPr="00DC5CE9">
        <w:rPr>
          <w:noProof/>
          <w:lang w:val="en-US"/>
        </w:rPr>
        <w:t xml:space="preserve">, “Development of a Minimum Data Set (MDS) for C-section Anesthesia Information Management System (AIMS),” </w:t>
      </w:r>
      <w:r w:rsidRPr="00DC5CE9">
        <w:rPr>
          <w:i/>
          <w:iCs/>
          <w:noProof/>
          <w:lang w:val="en-US"/>
        </w:rPr>
        <w:t>Anesthesiol. Pain Med.</w:t>
      </w:r>
      <w:r w:rsidRPr="00DC5CE9">
        <w:rPr>
          <w:noProof/>
          <w:lang w:val="en-US"/>
        </w:rPr>
        <w:t>, vol. 7, no. 2, 2017, doi: 10.5812/aapm.44132.</w:t>
      </w:r>
    </w:p>
    <w:p w14:paraId="29570589"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[10]</w:t>
      </w:r>
      <w:r w:rsidRPr="00DC5CE9">
        <w:rPr>
          <w:noProof/>
          <w:lang w:val="en-US"/>
        </w:rPr>
        <w:tab/>
        <w:t xml:space="preserve">M. Jokar, M. A. Sahmeddini, F. Zand, R. Rezaee, and A. Bashiri, “Development and evaluation of an anesthesia module for electronic medical records in the operating room: an applied developmental study,” </w:t>
      </w:r>
      <w:r w:rsidRPr="00DC5CE9">
        <w:rPr>
          <w:i/>
          <w:iCs/>
          <w:noProof/>
          <w:lang w:val="en-US"/>
        </w:rPr>
        <w:t>BMC Anesthesiol.</w:t>
      </w:r>
      <w:r w:rsidRPr="00DC5CE9">
        <w:rPr>
          <w:noProof/>
          <w:lang w:val="en-US"/>
        </w:rPr>
        <w:t>, vol. 23, no. 1, pp. 1–11, 2023, doi: 10.1186/s12871-023-02335-2.</w:t>
      </w:r>
    </w:p>
    <w:p w14:paraId="0A7C31CA"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[11]</w:t>
      </w:r>
      <w:r w:rsidRPr="00DC5CE9">
        <w:rPr>
          <w:noProof/>
          <w:lang w:val="en-US"/>
        </w:rPr>
        <w:tab/>
        <w:t xml:space="preserve">J. G, S. R, G. H L, V. Ravi, M. Almeshari, and Y. Alzamil, “Electronic Health Record </w:t>
      </w:r>
      <w:r w:rsidRPr="00DC5CE9">
        <w:rPr>
          <w:noProof/>
          <w:lang w:val="en-US"/>
        </w:rPr>
        <w:lastRenderedPageBreak/>
        <w:t xml:space="preserve">(EHR) System Development for Study on EHR Data-based Early Prediction of Diabetes Using Machine Learning Algorithms,” </w:t>
      </w:r>
      <w:r w:rsidRPr="00DC5CE9">
        <w:rPr>
          <w:i/>
          <w:iCs/>
          <w:noProof/>
          <w:lang w:val="en-US"/>
        </w:rPr>
        <w:t>Open Bioinforma. J.</w:t>
      </w:r>
      <w:r w:rsidRPr="00DC5CE9">
        <w:rPr>
          <w:noProof/>
          <w:lang w:val="en-US"/>
        </w:rPr>
        <w:t>, vol. 16, no. 1, pp. 1–18, 2023, doi: 10.2174/18750362-v16-e230906-2023-15.</w:t>
      </w:r>
    </w:p>
    <w:p w14:paraId="598EBDC4"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[12]</w:t>
      </w:r>
      <w:r w:rsidRPr="00DC5CE9">
        <w:rPr>
          <w:noProof/>
          <w:lang w:val="en-US"/>
        </w:rPr>
        <w:tab/>
        <w:t xml:space="preserve">A. Ahmed, P. Guo, and Z. Jalal, “A systematic review investigating the role and impact of pharmacist interventions in cardiac rehabilitation,” </w:t>
      </w:r>
      <w:r w:rsidRPr="00DC5CE9">
        <w:rPr>
          <w:i/>
          <w:iCs/>
          <w:noProof/>
          <w:lang w:val="en-US"/>
        </w:rPr>
        <w:t>Int. J. Clin. Pharm.</w:t>
      </w:r>
      <w:r w:rsidRPr="00DC5CE9">
        <w:rPr>
          <w:noProof/>
          <w:lang w:val="en-US"/>
        </w:rPr>
        <w:t>, vol. 45, no. 2, pp. 320–329, 2023, doi: 10.1007/s11096-022-01517-1.</w:t>
      </w:r>
    </w:p>
    <w:p w14:paraId="5412E88F"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[13]</w:t>
      </w:r>
      <w:r w:rsidRPr="00DC5CE9">
        <w:rPr>
          <w:noProof/>
          <w:lang w:val="en-US"/>
        </w:rPr>
        <w:tab/>
        <w:t>H. Bakhsh, “Impact of Pharmacist Interventions on Health Outcomes of Patients with Type 2 Diabetes Mellitus in the Middle East : A Systematic Review,” no. May, 2025.</w:t>
      </w:r>
    </w:p>
    <w:p w14:paraId="7470A66A"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[14]</w:t>
      </w:r>
      <w:r w:rsidRPr="00DC5CE9">
        <w:rPr>
          <w:noProof/>
          <w:lang w:val="en-US"/>
        </w:rPr>
        <w:tab/>
        <w:t xml:space="preserve">M. Lambert </w:t>
      </w:r>
      <w:r w:rsidRPr="00DC5CE9">
        <w:rPr>
          <w:i/>
          <w:iCs/>
          <w:noProof/>
          <w:lang w:val="en-US"/>
        </w:rPr>
        <w:t>et al.</w:t>
      </w:r>
      <w:r w:rsidRPr="00DC5CE9">
        <w:rPr>
          <w:noProof/>
          <w:lang w:val="en-US"/>
        </w:rPr>
        <w:t>, “A systematic literature review and meta-analysis of community pharmacist-led interventions to optimise the use of antibiotics,” no. January, pp. 2617–2641, 2022, doi: 10.1111/bcp.15254.</w:t>
      </w:r>
    </w:p>
    <w:p w14:paraId="20AD2300"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[15]</w:t>
      </w:r>
      <w:r w:rsidRPr="00DC5CE9">
        <w:rPr>
          <w:noProof/>
          <w:lang w:val="en-US"/>
        </w:rPr>
        <w:tab/>
        <w:t xml:space="preserve">Y. D. Guracho, S. J. Thomas, and K. T. Win, “Mobile mental health application use, and app feature preferences among individuals with mental disorders in Ethiopia: A cross-sectional survey,” </w:t>
      </w:r>
      <w:r w:rsidRPr="00DC5CE9">
        <w:rPr>
          <w:i/>
          <w:iCs/>
          <w:noProof/>
          <w:lang w:val="en-US"/>
        </w:rPr>
        <w:t>Int. J. Med. Inform.</w:t>
      </w:r>
      <w:r w:rsidRPr="00DC5CE9">
        <w:rPr>
          <w:noProof/>
          <w:lang w:val="en-US"/>
        </w:rPr>
        <w:t>, vol. 192, no. September, p. 105628, 2024, doi: 10.1016/j.ijmedinf.2024.105628.</w:t>
      </w:r>
    </w:p>
    <w:p w14:paraId="2D247F75"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[16]</w:t>
      </w:r>
      <w:r w:rsidRPr="00DC5CE9">
        <w:rPr>
          <w:noProof/>
          <w:lang w:val="en-US"/>
        </w:rPr>
        <w:tab/>
        <w:t xml:space="preserve">M. Eisenstadt, S. Liverpool, E. Infanti, R. M. Ciuvat, and C. Carlsson, “Mobile apps that promote emotion regulation, positive mental health, and well-being in the general population: Systematic review and meta-analysis,” </w:t>
      </w:r>
      <w:r w:rsidRPr="00DC5CE9">
        <w:rPr>
          <w:i/>
          <w:iCs/>
          <w:noProof/>
          <w:lang w:val="en-US"/>
        </w:rPr>
        <w:t>JMIR Ment. Heal.</w:t>
      </w:r>
      <w:r w:rsidRPr="00DC5CE9">
        <w:rPr>
          <w:noProof/>
          <w:lang w:val="en-US"/>
        </w:rPr>
        <w:t>, vol. 8, no. 11, 2021, doi: 10.2196/31170.</w:t>
      </w:r>
    </w:p>
    <w:p w14:paraId="6C3A77C7"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[17]</w:t>
      </w:r>
      <w:r w:rsidRPr="00DC5CE9">
        <w:rPr>
          <w:noProof/>
          <w:lang w:val="en-US"/>
        </w:rPr>
        <w:tab/>
        <w:t xml:space="preserve">A. Polhemus </w:t>
      </w:r>
      <w:r w:rsidRPr="00DC5CE9">
        <w:rPr>
          <w:i/>
          <w:iCs/>
          <w:noProof/>
          <w:lang w:val="en-US"/>
        </w:rPr>
        <w:t>et al.</w:t>
      </w:r>
      <w:r w:rsidRPr="00DC5CE9">
        <w:rPr>
          <w:noProof/>
          <w:lang w:val="en-US"/>
        </w:rPr>
        <w:t xml:space="preserve">, “Health Tracking via Mobile Apps for Depression Self-management: Qualitative Content Analysis of User Reviews,” </w:t>
      </w:r>
      <w:r w:rsidRPr="00DC5CE9">
        <w:rPr>
          <w:i/>
          <w:iCs/>
          <w:noProof/>
          <w:lang w:val="en-US"/>
        </w:rPr>
        <w:t>JMIR Hum. Factors</w:t>
      </w:r>
      <w:r w:rsidRPr="00DC5CE9">
        <w:rPr>
          <w:noProof/>
          <w:lang w:val="en-US"/>
        </w:rPr>
        <w:t>, vol. 9, no. 4, 2022, doi: 10.2196/40133.</w:t>
      </w:r>
    </w:p>
    <w:p w14:paraId="1A120A0D"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[18]</w:t>
      </w:r>
      <w:r w:rsidRPr="00DC5CE9">
        <w:rPr>
          <w:noProof/>
          <w:lang w:val="en-US"/>
        </w:rPr>
        <w:tab/>
        <w:t>S. L. Feder, “Data Quality in Electronic Health Records Research : Quality Domains and Assessment Methods,” pp. 1–14, 2017, doi: 10.1177/0193945916689084.</w:t>
      </w:r>
    </w:p>
    <w:p w14:paraId="411858D5"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[19]</w:t>
      </w:r>
      <w:r w:rsidRPr="00DC5CE9">
        <w:rPr>
          <w:noProof/>
          <w:lang w:val="en-US"/>
        </w:rPr>
        <w:tab/>
        <w:t xml:space="preserve">M. A. Gianfrancesco and N. D. Goldstein, “A narrative review on the validity of electronic health record-based research in epidemiology,” </w:t>
      </w:r>
      <w:r w:rsidRPr="00DC5CE9">
        <w:rPr>
          <w:i/>
          <w:iCs/>
          <w:noProof/>
          <w:lang w:val="en-US"/>
        </w:rPr>
        <w:t>BMC Med. Res. Methodol.</w:t>
      </w:r>
      <w:r w:rsidRPr="00DC5CE9">
        <w:rPr>
          <w:noProof/>
          <w:lang w:val="en-US"/>
        </w:rPr>
        <w:t>, pp. 1–10, 2021, doi: 10.1186/s12874-021-01416-5.</w:t>
      </w:r>
    </w:p>
    <w:p w14:paraId="5E14C17D"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[20]</w:t>
      </w:r>
      <w:r w:rsidRPr="00DC5CE9">
        <w:rPr>
          <w:noProof/>
          <w:lang w:val="en-US"/>
        </w:rPr>
        <w:tab/>
        <w:t xml:space="preserve">K. Honeyford </w:t>
      </w:r>
      <w:r w:rsidRPr="00DC5CE9">
        <w:rPr>
          <w:i/>
          <w:iCs/>
          <w:noProof/>
          <w:lang w:val="en-US"/>
        </w:rPr>
        <w:t>et al.</w:t>
      </w:r>
      <w:r w:rsidRPr="00DC5CE9">
        <w:rPr>
          <w:noProof/>
          <w:lang w:val="en-US"/>
        </w:rPr>
        <w:t xml:space="preserve">, “Challenges and recommendations for high quality research using electronic health records,” </w:t>
      </w:r>
      <w:r w:rsidRPr="00DC5CE9">
        <w:rPr>
          <w:i/>
          <w:iCs/>
          <w:noProof/>
          <w:lang w:val="en-US"/>
        </w:rPr>
        <w:t>Front. Digit. Heal.</w:t>
      </w:r>
      <w:r w:rsidRPr="00DC5CE9">
        <w:rPr>
          <w:noProof/>
          <w:lang w:val="en-US"/>
        </w:rPr>
        <w:t>, vol. 4, no. August, pp. 1–9, 2022, doi: 10.3389/fdgth.2022.940330.</w:t>
      </w:r>
    </w:p>
    <w:p w14:paraId="5D4FB7A4"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[21]</w:t>
      </w:r>
      <w:r w:rsidRPr="00DC5CE9">
        <w:rPr>
          <w:noProof/>
          <w:lang w:val="en-US"/>
        </w:rPr>
        <w:tab/>
        <w:t xml:space="preserve">T. Darmizal, N. H. Ubaidullah, and A. Saad, “Designing Minimum Data Set and Data Model for Electronic Health Record Systems in Indonesia,” </w:t>
      </w:r>
      <w:r w:rsidRPr="00DC5CE9">
        <w:rPr>
          <w:i/>
          <w:iCs/>
          <w:noProof/>
          <w:lang w:val="en-US"/>
        </w:rPr>
        <w:t>Int. J. Adv. Comput. Sci. Appl.</w:t>
      </w:r>
      <w:r w:rsidRPr="00DC5CE9">
        <w:rPr>
          <w:noProof/>
          <w:lang w:val="en-US"/>
        </w:rPr>
        <w:t>, vol. 16, no. 3, pp. 554–563, 2025, doi: 10.14569/IJACSA.2025.0160355.</w:t>
      </w:r>
    </w:p>
    <w:p w14:paraId="5645099C"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[22]</w:t>
      </w:r>
      <w:r w:rsidRPr="00DC5CE9">
        <w:rPr>
          <w:noProof/>
          <w:lang w:val="en-US"/>
        </w:rPr>
        <w:tab/>
        <w:t xml:space="preserve">M. Eva, “Requirements acquisition for rapid applications development,” </w:t>
      </w:r>
      <w:r w:rsidRPr="00DC5CE9">
        <w:rPr>
          <w:i/>
          <w:iCs/>
          <w:noProof/>
          <w:lang w:val="en-US"/>
        </w:rPr>
        <w:t>Inf. Manag.</w:t>
      </w:r>
      <w:r w:rsidRPr="00DC5CE9">
        <w:rPr>
          <w:noProof/>
          <w:lang w:val="en-US"/>
        </w:rPr>
        <w:t>, vol. 39, no. 2, pp. 101–107, 2001, doi: 10.1016/S0378-7206(01)00082-9.</w:t>
      </w:r>
    </w:p>
    <w:p w14:paraId="318E8941"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[23]</w:t>
      </w:r>
      <w:r w:rsidRPr="00DC5CE9">
        <w:rPr>
          <w:noProof/>
          <w:lang w:val="en-US"/>
        </w:rPr>
        <w:tab/>
        <w:t xml:space="preserve">D. Xiao, C. Song, N. Nakamura, and M. Nakayama, “Development of an application concerning fast healthcare interoperability resources based on standardized structured medical information exchange version 2 data,” </w:t>
      </w:r>
      <w:r w:rsidRPr="00DC5CE9">
        <w:rPr>
          <w:i/>
          <w:iCs/>
          <w:noProof/>
          <w:lang w:val="en-US"/>
        </w:rPr>
        <w:t>Comput. Methods Programs Biomed.</w:t>
      </w:r>
      <w:r w:rsidRPr="00DC5CE9">
        <w:rPr>
          <w:noProof/>
          <w:lang w:val="en-US"/>
        </w:rPr>
        <w:t>, vol. 208, p. 106232, 2021, doi: 10.1016/j.cmpb.2021.106232.</w:t>
      </w:r>
    </w:p>
    <w:p w14:paraId="44344573"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[24]</w:t>
      </w:r>
      <w:r w:rsidRPr="00DC5CE9">
        <w:rPr>
          <w:noProof/>
          <w:lang w:val="en-US"/>
        </w:rPr>
        <w:tab/>
        <w:t xml:space="preserve">A. N. Gohar, S. A. Abdelmawgoud, and M. S. Farhan, “A Patient-Centric Healthcare Framework Reference Architecture for Better Semantic Interoperability Based on Blockchain, Cloud, and IoT,” </w:t>
      </w:r>
      <w:r w:rsidRPr="00DC5CE9">
        <w:rPr>
          <w:i/>
          <w:iCs/>
          <w:noProof/>
          <w:lang w:val="en-US"/>
        </w:rPr>
        <w:t>IEEE Access</w:t>
      </w:r>
      <w:r w:rsidRPr="00DC5CE9">
        <w:rPr>
          <w:noProof/>
          <w:lang w:val="en-US"/>
        </w:rPr>
        <w:t>, vol. 10, no. August, pp. 92137–92157, 2022, doi: 10.1109/ACCESS.2022.3202902.</w:t>
      </w:r>
    </w:p>
    <w:p w14:paraId="24592784"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[25]</w:t>
      </w:r>
      <w:r w:rsidRPr="00DC5CE9">
        <w:rPr>
          <w:noProof/>
          <w:lang w:val="en-US"/>
        </w:rPr>
        <w:tab/>
        <w:t xml:space="preserve">S. Medlock, R. Schermer, and R. Cornet, “Implementation of an open-source electronic health record for decision-support education in medical informatics,” </w:t>
      </w:r>
      <w:r w:rsidRPr="00DC5CE9">
        <w:rPr>
          <w:i/>
          <w:iCs/>
          <w:noProof/>
          <w:lang w:val="en-US"/>
        </w:rPr>
        <w:t>Stud. Health Technol. Inform.</w:t>
      </w:r>
      <w:r w:rsidRPr="00DC5CE9">
        <w:rPr>
          <w:noProof/>
          <w:lang w:val="en-US"/>
        </w:rPr>
        <w:t>, vol. 270, pp. 981–985, 2020, doi: 10.3233/SHTI200308.</w:t>
      </w:r>
    </w:p>
    <w:p w14:paraId="0B4DCB86"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[26]</w:t>
      </w:r>
      <w:r w:rsidRPr="00DC5CE9">
        <w:rPr>
          <w:noProof/>
          <w:lang w:val="en-US"/>
        </w:rPr>
        <w:tab/>
        <w:t xml:space="preserve">D. R. Murphy, A. N. D. Meyer, D. F. Sittig, D. W. Meeks, E. J. Thomas, and H. Singh, “Application of electronic trigger tools to identify targets for improving diagnostic safety,” </w:t>
      </w:r>
      <w:r w:rsidRPr="00DC5CE9">
        <w:rPr>
          <w:i/>
          <w:iCs/>
          <w:noProof/>
          <w:lang w:val="en-US"/>
        </w:rPr>
        <w:t>BMJ Qual. Saf.</w:t>
      </w:r>
      <w:r w:rsidRPr="00DC5CE9">
        <w:rPr>
          <w:noProof/>
          <w:lang w:val="en-US"/>
        </w:rPr>
        <w:t>, vol. 28, no. 2, pp. 151–159, 2019, doi: 10.1136/bmjqs-2018-008086.</w:t>
      </w:r>
    </w:p>
    <w:p w14:paraId="42857B9E"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lastRenderedPageBreak/>
        <w:t>[27]</w:t>
      </w:r>
      <w:r w:rsidRPr="00DC5CE9">
        <w:rPr>
          <w:noProof/>
          <w:lang w:val="en-US"/>
        </w:rPr>
        <w:tab/>
        <w:t xml:space="preserve">A. Mawji </w:t>
      </w:r>
      <w:r w:rsidRPr="00DC5CE9">
        <w:rPr>
          <w:i/>
          <w:iCs/>
          <w:noProof/>
          <w:lang w:val="en-US"/>
        </w:rPr>
        <w:t>et al.</w:t>
      </w:r>
      <w:r w:rsidRPr="00DC5CE9">
        <w:rPr>
          <w:noProof/>
          <w:lang w:val="en-US"/>
        </w:rPr>
        <w:t xml:space="preserve">, “Common data elements for predictors of pediatric sepsis: A framework to standardize data collection,” </w:t>
      </w:r>
      <w:r w:rsidRPr="00DC5CE9">
        <w:rPr>
          <w:i/>
          <w:iCs/>
          <w:noProof/>
          <w:lang w:val="en-US"/>
        </w:rPr>
        <w:t>PLoS One</w:t>
      </w:r>
      <w:r w:rsidRPr="00DC5CE9">
        <w:rPr>
          <w:noProof/>
          <w:lang w:val="en-US"/>
        </w:rPr>
        <w:t>, vol. 16, no. 6 June, pp. 1–12, 2021, doi: 10.1371/journal.pone.0253051.</w:t>
      </w:r>
    </w:p>
    <w:p w14:paraId="15E42F1F"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[28]</w:t>
      </w:r>
      <w:r w:rsidRPr="00DC5CE9">
        <w:rPr>
          <w:noProof/>
          <w:lang w:val="en-US"/>
        </w:rPr>
        <w:tab/>
        <w:t xml:space="preserve">S. Batra and S. Sachdeva, “Organizing standardized electronic healthcare records data for mining,” </w:t>
      </w:r>
      <w:r w:rsidRPr="00DC5CE9">
        <w:rPr>
          <w:i/>
          <w:iCs/>
          <w:noProof/>
          <w:lang w:val="en-US"/>
        </w:rPr>
        <w:t>Heal. Policy Technol.</w:t>
      </w:r>
      <w:r w:rsidRPr="00DC5CE9">
        <w:rPr>
          <w:noProof/>
          <w:lang w:val="en-US"/>
        </w:rPr>
        <w:t>, vol. 5, no. 3, pp. 226–242, 2016, doi: 10.1016/j.hlpt.2016.03.006.</w:t>
      </w:r>
    </w:p>
    <w:p w14:paraId="6DF0801E"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[29]</w:t>
      </w:r>
      <w:r w:rsidRPr="00DC5CE9">
        <w:rPr>
          <w:noProof/>
          <w:lang w:val="en-US"/>
        </w:rPr>
        <w:tab/>
        <w:t xml:space="preserve">J. Lai </w:t>
      </w:r>
      <w:r w:rsidRPr="00DC5CE9">
        <w:rPr>
          <w:i/>
          <w:iCs/>
          <w:noProof/>
          <w:lang w:val="en-US"/>
        </w:rPr>
        <w:t>et al.</w:t>
      </w:r>
      <w:r w:rsidRPr="00DC5CE9">
        <w:rPr>
          <w:noProof/>
          <w:lang w:val="en-US"/>
        </w:rPr>
        <w:t xml:space="preserve">, “Existing barriers and recommendations of real-world data standardisation for clinical research in China: a qualitative study,” </w:t>
      </w:r>
      <w:r w:rsidRPr="00DC5CE9">
        <w:rPr>
          <w:i/>
          <w:iCs/>
          <w:noProof/>
          <w:lang w:val="en-US"/>
        </w:rPr>
        <w:t>BMJ Open</w:t>
      </w:r>
      <w:r w:rsidRPr="00DC5CE9">
        <w:rPr>
          <w:noProof/>
          <w:lang w:val="en-US"/>
        </w:rPr>
        <w:t>, vol. 12, no. 8, pp. 1–9, 2022, doi: 10.1136/bmjopen-2021-059029.</w:t>
      </w:r>
    </w:p>
    <w:p w14:paraId="3E6FE028"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[30]</w:t>
      </w:r>
      <w:r w:rsidRPr="00DC5CE9">
        <w:rPr>
          <w:noProof/>
          <w:lang w:val="en-US"/>
        </w:rPr>
        <w:tab/>
        <w:t xml:space="preserve">S. Jung, S. Bae, D. Seong, and B.-K. Yi, “Standard Document Development for Health Information Exchange in Korea,” </w:t>
      </w:r>
      <w:r w:rsidRPr="00DC5CE9">
        <w:rPr>
          <w:i/>
          <w:iCs/>
          <w:noProof/>
          <w:lang w:val="en-US"/>
        </w:rPr>
        <w:t>Appl. Clin. Inform.</w:t>
      </w:r>
      <w:r w:rsidRPr="00DC5CE9">
        <w:rPr>
          <w:noProof/>
          <w:lang w:val="en-US"/>
        </w:rPr>
        <w:t>, vol. 13, no. 3, pp. 592 – 601, 2022, doi: 10.1055/s-0042-1749331.</w:t>
      </w:r>
    </w:p>
    <w:p w14:paraId="64F72FAD"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[31]</w:t>
      </w:r>
      <w:r w:rsidRPr="00DC5CE9">
        <w:rPr>
          <w:noProof/>
          <w:lang w:val="en-US"/>
        </w:rPr>
        <w:tab/>
        <w:t xml:space="preserve">M. Vucha and A. L. Siridhara, “High speed cryptography architecture for health information exchange,” </w:t>
      </w:r>
      <w:r w:rsidRPr="00DC5CE9">
        <w:rPr>
          <w:i/>
          <w:iCs/>
          <w:noProof/>
          <w:lang w:val="en-US"/>
        </w:rPr>
        <w:t>Int. J. Adv. Trends Comput. Sci. Eng.</w:t>
      </w:r>
      <w:r w:rsidRPr="00DC5CE9">
        <w:rPr>
          <w:noProof/>
          <w:lang w:val="en-US"/>
        </w:rPr>
        <w:t>, vol. 8, no. 4, pp. 1443–1448, 2019, doi: 10.30534/ijatcse/2019/63842019.</w:t>
      </w:r>
    </w:p>
    <w:p w14:paraId="79ECF52F"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[32]</w:t>
      </w:r>
      <w:r w:rsidRPr="00DC5CE9">
        <w:rPr>
          <w:noProof/>
          <w:lang w:val="en-US"/>
        </w:rPr>
        <w:tab/>
        <w:t xml:space="preserve">P. Plastiras and D. O’Sullivan, “Exchanging personal health data with electronic health records: A standardized information model for patient generated health data and observations of daily living,” </w:t>
      </w:r>
      <w:r w:rsidRPr="00DC5CE9">
        <w:rPr>
          <w:i/>
          <w:iCs/>
          <w:noProof/>
          <w:lang w:val="en-US"/>
        </w:rPr>
        <w:t>Int. J. Med. Inform.</w:t>
      </w:r>
      <w:r w:rsidRPr="00DC5CE9">
        <w:rPr>
          <w:noProof/>
          <w:lang w:val="en-US"/>
        </w:rPr>
        <w:t>, vol. 120, pp. 116–125, 2018, doi: 10.1016/j.ijmedinf.2018.10.006.</w:t>
      </w:r>
    </w:p>
    <w:p w14:paraId="1286F726"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[33]</w:t>
      </w:r>
      <w:r w:rsidRPr="00DC5CE9">
        <w:rPr>
          <w:noProof/>
          <w:lang w:val="en-US"/>
        </w:rPr>
        <w:tab/>
        <w:t xml:space="preserve">A. B. Hamdan, R. A. Manaf, and A. Mahmud, “Challenges in the use Electronic Medical Records in Middle Eastern Countries: A Narrative Review,” </w:t>
      </w:r>
      <w:r w:rsidRPr="00DC5CE9">
        <w:rPr>
          <w:i/>
          <w:iCs/>
          <w:noProof/>
          <w:lang w:val="en-US"/>
        </w:rPr>
        <w:t>Malaysian J. Med. Heal. Sci.</w:t>
      </w:r>
      <w:r w:rsidRPr="00DC5CE9">
        <w:rPr>
          <w:noProof/>
          <w:lang w:val="en-US"/>
        </w:rPr>
        <w:t>, vol. 19, no. 3, pp. 334–340, 2023, doi: 10.47836/MJMHS.19.3.43.</w:t>
      </w:r>
    </w:p>
    <w:p w14:paraId="5EC43602"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[34]</w:t>
      </w:r>
      <w:r w:rsidRPr="00DC5CE9">
        <w:rPr>
          <w:noProof/>
          <w:lang w:val="en-US"/>
        </w:rPr>
        <w:tab/>
        <w:t xml:space="preserve">A. Aliabadi, A. Sheikhtaheri, and H. Ansari, “Electronic health record–based disease surveillance systems: A systematic literature review on challenges and solutions,” </w:t>
      </w:r>
      <w:r w:rsidRPr="00DC5CE9">
        <w:rPr>
          <w:i/>
          <w:iCs/>
          <w:noProof/>
          <w:lang w:val="en-US"/>
        </w:rPr>
        <w:t>J. Am. Med. Informatics Assoc.</w:t>
      </w:r>
      <w:r w:rsidRPr="00DC5CE9">
        <w:rPr>
          <w:noProof/>
          <w:lang w:val="en-US"/>
        </w:rPr>
        <w:t>, vol. 27, no. 12, pp. 1977–1986, 2020, doi: 10.1093/jamia/ocaa186.</w:t>
      </w:r>
    </w:p>
    <w:p w14:paraId="2858D653"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[35]</w:t>
      </w:r>
      <w:r w:rsidRPr="00DC5CE9">
        <w:rPr>
          <w:noProof/>
          <w:lang w:val="en-US"/>
        </w:rPr>
        <w:tab/>
        <w:t xml:space="preserve">M. Tayefi </w:t>
      </w:r>
      <w:r w:rsidRPr="00DC5CE9">
        <w:rPr>
          <w:i/>
          <w:iCs/>
          <w:noProof/>
          <w:lang w:val="en-US"/>
        </w:rPr>
        <w:t>et al.</w:t>
      </w:r>
      <w:r w:rsidRPr="00DC5CE9">
        <w:rPr>
          <w:noProof/>
          <w:lang w:val="en-US"/>
        </w:rPr>
        <w:t xml:space="preserve">, “Challenges and opportunities beyond structured data in analysis of electronic health records,” </w:t>
      </w:r>
      <w:r w:rsidRPr="00DC5CE9">
        <w:rPr>
          <w:i/>
          <w:iCs/>
          <w:noProof/>
          <w:lang w:val="en-US"/>
        </w:rPr>
        <w:t>Wiley Interdiscip. Rev. Comput. Stat.</w:t>
      </w:r>
      <w:r w:rsidRPr="00DC5CE9">
        <w:rPr>
          <w:noProof/>
          <w:lang w:val="en-US"/>
        </w:rPr>
        <w:t>, vol. 13, no. 6, pp. 1–19, 2021, doi: 10.1002/wics.1549.</w:t>
      </w:r>
    </w:p>
    <w:p w14:paraId="732301B2"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[36]</w:t>
      </w:r>
      <w:r w:rsidRPr="00DC5CE9">
        <w:rPr>
          <w:noProof/>
          <w:lang w:val="en-US"/>
        </w:rPr>
        <w:tab/>
        <w:t xml:space="preserve">S. M. Abdel-Rahman </w:t>
      </w:r>
      <w:r w:rsidRPr="00DC5CE9">
        <w:rPr>
          <w:i/>
          <w:iCs/>
          <w:noProof/>
          <w:lang w:val="en-US"/>
        </w:rPr>
        <w:t>et al.</w:t>
      </w:r>
      <w:r w:rsidRPr="00DC5CE9">
        <w:rPr>
          <w:noProof/>
          <w:lang w:val="en-US"/>
        </w:rPr>
        <w:t xml:space="preserve">, “Design and Usability of an Electronic Health Record-Integrated, Point-of-Care, Clinical Decision Support Tool for Modeling and Simulation of Antihemophilic Factors,” </w:t>
      </w:r>
      <w:r w:rsidRPr="00DC5CE9">
        <w:rPr>
          <w:i/>
          <w:iCs/>
          <w:noProof/>
          <w:lang w:val="en-US"/>
        </w:rPr>
        <w:t>Appl. Clin. Inform.</w:t>
      </w:r>
      <w:r w:rsidRPr="00DC5CE9">
        <w:rPr>
          <w:noProof/>
          <w:lang w:val="en-US"/>
        </w:rPr>
        <w:t>, vol. 11, no. 2, pp. 253 – 264, 2020, doi: 10.1055/s-0040-1708050.</w:t>
      </w:r>
    </w:p>
    <w:p w14:paraId="2104F7D0"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[37]</w:t>
      </w:r>
      <w:r w:rsidRPr="00DC5CE9">
        <w:rPr>
          <w:noProof/>
          <w:lang w:val="en-US"/>
        </w:rPr>
        <w:tab/>
        <w:t xml:space="preserve">Z. Pruitt, J. L. Howe, S. A. Krevat, S. Khairat, and R. M. Ratwani, “Development and pilot evaluation of an electronic health record usability and safety self-assessment tool,” </w:t>
      </w:r>
      <w:r w:rsidRPr="00DC5CE9">
        <w:rPr>
          <w:i/>
          <w:iCs/>
          <w:noProof/>
          <w:lang w:val="en-US"/>
        </w:rPr>
        <w:t>JAMIA Open</w:t>
      </w:r>
      <w:r w:rsidRPr="00DC5CE9">
        <w:rPr>
          <w:noProof/>
          <w:lang w:val="en-US"/>
        </w:rPr>
        <w:t>, vol. 5, no. 3, pp. 1–7, 2022, doi: 10.1093/jamiaopen/ooac070.</w:t>
      </w:r>
    </w:p>
    <w:p w14:paraId="56A39AA3"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[38]</w:t>
      </w:r>
      <w:r w:rsidRPr="00DC5CE9">
        <w:rPr>
          <w:noProof/>
          <w:lang w:val="en-US"/>
        </w:rPr>
        <w:tab/>
        <w:t xml:space="preserve">R. Salari, F. Fatehi, and H. Mehdizadeh, “Development and Usability Evaluation of COVID-Iran: A Mobile Application for Mitigating COVID-19 Misinformation,” </w:t>
      </w:r>
      <w:r w:rsidRPr="00DC5CE9">
        <w:rPr>
          <w:i/>
          <w:iCs/>
          <w:noProof/>
          <w:lang w:val="en-US"/>
        </w:rPr>
        <w:t>Healthc. Inform. Res.</w:t>
      </w:r>
      <w:r w:rsidRPr="00DC5CE9">
        <w:rPr>
          <w:noProof/>
          <w:lang w:val="en-US"/>
        </w:rPr>
        <w:t>, vol. 30, no. 4, pp. 312–323, 2024, doi: 10.4258/hir.2024.30.4.312.</w:t>
      </w:r>
    </w:p>
    <w:p w14:paraId="5D704245" w14:textId="77777777" w:rsidR="00DC5CE9" w:rsidRPr="00DC5CE9" w:rsidRDefault="00DC5CE9" w:rsidP="00DC5CE9">
      <w:pPr>
        <w:widowControl w:val="0"/>
        <w:autoSpaceDE w:val="0"/>
        <w:autoSpaceDN w:val="0"/>
        <w:adjustRightInd w:val="0"/>
        <w:ind w:left="640" w:hanging="640"/>
        <w:rPr>
          <w:noProof/>
          <w:lang w:val="en-US"/>
        </w:rPr>
      </w:pPr>
      <w:r w:rsidRPr="00DC5CE9">
        <w:rPr>
          <w:noProof/>
          <w:lang w:val="en-US"/>
        </w:rPr>
        <w:t>[39]</w:t>
      </w:r>
      <w:r w:rsidRPr="00DC5CE9">
        <w:rPr>
          <w:noProof/>
          <w:lang w:val="en-US"/>
        </w:rPr>
        <w:tab/>
        <w:t xml:space="preserve">R. Richter Lagha </w:t>
      </w:r>
      <w:r w:rsidRPr="00DC5CE9">
        <w:rPr>
          <w:i/>
          <w:iCs/>
          <w:noProof/>
          <w:lang w:val="en-US"/>
        </w:rPr>
        <w:t>et al.</w:t>
      </w:r>
      <w:r w:rsidRPr="00DC5CE9">
        <w:rPr>
          <w:noProof/>
          <w:lang w:val="en-US"/>
        </w:rPr>
        <w:t xml:space="preserve">, “Usability Testing a Potentially Inappropriate Medication Dashboard: A Core Component of the Dashboard Development Process,” </w:t>
      </w:r>
      <w:r w:rsidRPr="00DC5CE9">
        <w:rPr>
          <w:i/>
          <w:iCs/>
          <w:noProof/>
          <w:lang w:val="en-US"/>
        </w:rPr>
        <w:t>Appl. Clin. Inform.</w:t>
      </w:r>
      <w:r w:rsidRPr="00DC5CE9">
        <w:rPr>
          <w:noProof/>
          <w:lang w:val="en-US"/>
        </w:rPr>
        <w:t>, vol. 11, no. 4, pp. 528–534, 2020, doi: 10.1055/s-0040-1714693.</w:t>
      </w:r>
    </w:p>
    <w:p w14:paraId="36AB2FDA" w14:textId="77777777" w:rsidR="00DC5CE9" w:rsidRPr="00DC5CE9" w:rsidRDefault="00DC5CE9" w:rsidP="00DC5CE9">
      <w:pPr>
        <w:widowControl w:val="0"/>
        <w:autoSpaceDE w:val="0"/>
        <w:autoSpaceDN w:val="0"/>
        <w:adjustRightInd w:val="0"/>
        <w:ind w:left="640" w:hanging="640"/>
        <w:rPr>
          <w:noProof/>
        </w:rPr>
      </w:pPr>
      <w:r w:rsidRPr="00DC5CE9">
        <w:rPr>
          <w:noProof/>
          <w:lang w:val="en-US"/>
        </w:rPr>
        <w:t>[40]</w:t>
      </w:r>
      <w:r w:rsidRPr="00DC5CE9">
        <w:rPr>
          <w:noProof/>
          <w:lang w:val="en-US"/>
        </w:rPr>
        <w:tab/>
        <w:t xml:space="preserve">C. Waldron </w:t>
      </w:r>
      <w:r w:rsidRPr="00DC5CE9">
        <w:rPr>
          <w:i/>
          <w:iCs/>
          <w:noProof/>
          <w:lang w:val="en-US"/>
        </w:rPr>
        <w:t>et al.</w:t>
      </w:r>
      <w:r w:rsidRPr="00DC5CE9">
        <w:rPr>
          <w:noProof/>
          <w:lang w:val="en-US"/>
        </w:rPr>
        <w:t xml:space="preserve">, “Personal Electronic Records of Medications (PERMs) for medication reconciliation at care transitions: a rapid realist review,” </w:t>
      </w:r>
      <w:r w:rsidRPr="00DC5CE9">
        <w:rPr>
          <w:i/>
          <w:iCs/>
          <w:noProof/>
          <w:lang w:val="en-US"/>
        </w:rPr>
        <w:t>BMC Med. Inform. Decis. Mak.</w:t>
      </w:r>
      <w:r w:rsidRPr="00DC5CE9">
        <w:rPr>
          <w:noProof/>
          <w:lang w:val="en-US"/>
        </w:rPr>
        <w:t>, vol. 21, no. 1, 2021, doi: 10.1186/s12911-021-01659-8.</w:t>
      </w:r>
    </w:p>
    <w:p w14:paraId="02E2F629" w14:textId="60578F6A" w:rsidR="00380062" w:rsidRPr="00C934C3" w:rsidRDefault="00380062" w:rsidP="00DC5CE9">
      <w:pPr>
        <w:widowControl w:val="0"/>
        <w:autoSpaceDE w:val="0"/>
        <w:autoSpaceDN w:val="0"/>
        <w:adjustRightInd w:val="0"/>
        <w:rPr>
          <w:noProof/>
          <w:color w:val="000000" w:themeColor="text1"/>
        </w:rPr>
        <w:sectPr w:rsidR="00380062" w:rsidRPr="00C934C3" w:rsidSect="00F316AD">
          <w:type w:val="continuous"/>
          <w:pgSz w:w="11907" w:h="16840" w:code="9"/>
          <w:pgMar w:top="1440" w:right="1440" w:bottom="1440" w:left="1440" w:header="1134" w:footer="1134" w:gutter="0"/>
          <w:pgNumType w:start="1"/>
          <w:cols w:space="720"/>
          <w:titlePg/>
          <w:docGrid w:linePitch="360"/>
        </w:sectPr>
      </w:pPr>
      <w:r w:rsidRPr="00C934C3">
        <w:rPr>
          <w:noProof/>
          <w:color w:val="000000" w:themeColor="text1"/>
        </w:rPr>
        <w:fldChar w:fldCharType="end"/>
      </w:r>
    </w:p>
    <w:p w14:paraId="580A3ED6" w14:textId="77777777" w:rsidR="00380062" w:rsidRPr="00C934C3" w:rsidRDefault="00380062" w:rsidP="008A1263">
      <w:pPr>
        <w:jc w:val="both"/>
        <w:rPr>
          <w:color w:val="000000" w:themeColor="text1"/>
        </w:rPr>
        <w:sectPr w:rsidR="00380062" w:rsidRPr="00C934C3" w:rsidSect="008C08D7">
          <w:type w:val="continuous"/>
          <w:pgSz w:w="11907" w:h="16840" w:code="9"/>
          <w:pgMar w:top="1440" w:right="1440" w:bottom="1440" w:left="1440" w:header="1134" w:footer="1134" w:gutter="0"/>
          <w:pgNumType w:start="1"/>
          <w:cols w:space="720"/>
          <w:titlePg/>
          <w:docGrid w:linePitch="360"/>
        </w:sectPr>
      </w:pPr>
    </w:p>
    <w:p w14:paraId="4CA6017E" w14:textId="77777777" w:rsidR="009731B4" w:rsidRPr="00C934C3" w:rsidRDefault="009731B4" w:rsidP="00876165"/>
    <w:sectPr w:rsidR="009731B4" w:rsidRPr="00C934C3">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2C0F5" w14:textId="77777777" w:rsidR="00A6018E" w:rsidRDefault="00A6018E">
      <w:r>
        <w:separator/>
      </w:r>
    </w:p>
  </w:endnote>
  <w:endnote w:type="continuationSeparator" w:id="0">
    <w:p w14:paraId="62CE3F1B" w14:textId="77777777" w:rsidR="00A6018E" w:rsidRDefault="00A60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B7BE8" w14:textId="77777777" w:rsidR="008C08D7" w:rsidRPr="00801BAD" w:rsidRDefault="008C08D7" w:rsidP="008C08D7">
    <w:pPr>
      <w:pStyle w:val="Footer"/>
      <w:spacing w:line="276" w:lineRule="auto"/>
      <w:jc w:val="center"/>
      <w:rPr>
        <w:rFonts w:ascii="Cambria" w:hAnsi="Cambria"/>
        <w:color w:val="2E5395"/>
      </w:rPr>
    </w:pPr>
  </w:p>
  <w:p w14:paraId="1AED4794" w14:textId="77777777" w:rsidR="008C08D7" w:rsidRPr="003D5B84" w:rsidRDefault="008C08D7" w:rsidP="008C08D7">
    <w:pPr>
      <w:pStyle w:val="Header"/>
      <w:tabs>
        <w:tab w:val="clear" w:pos="4320"/>
        <w:tab w:val="clear" w:pos="8640"/>
        <w:tab w:val="left" w:pos="2992"/>
      </w:tabs>
      <w:spacing w:before="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DC633" w14:textId="77777777" w:rsidR="008C08D7" w:rsidRPr="00C07BEF" w:rsidRDefault="008C08D7" w:rsidP="008C08D7">
    <w:pPr>
      <w:pStyle w:val="Footer"/>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4B61F" w14:textId="77777777" w:rsidR="008C08D7" w:rsidRPr="00801BAD" w:rsidRDefault="008C08D7" w:rsidP="008C08D7">
    <w:pPr>
      <w:pStyle w:val="Footer"/>
      <w:spacing w:line="276" w:lineRule="auto"/>
      <w:jc w:val="right"/>
      <w:rPr>
        <w:rFonts w:ascii="Cambria" w:hAnsi="Cambria"/>
        <w:color w:val="2E5395"/>
      </w:rPr>
    </w:pPr>
  </w:p>
  <w:p w14:paraId="298B8E7E" w14:textId="77777777" w:rsidR="008C08D7" w:rsidRPr="003D5B84" w:rsidRDefault="008C08D7" w:rsidP="008C08D7">
    <w:pPr>
      <w:pStyle w:val="Footer"/>
      <w:spacing w:before="240"/>
      <w:rPr>
        <w:i/>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6181E9" w14:textId="77777777" w:rsidR="00A6018E" w:rsidRDefault="00A6018E">
      <w:r>
        <w:separator/>
      </w:r>
    </w:p>
  </w:footnote>
  <w:footnote w:type="continuationSeparator" w:id="0">
    <w:p w14:paraId="699F0C35" w14:textId="77777777" w:rsidR="00A6018E" w:rsidRDefault="00A60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D34EA" w14:textId="77777777" w:rsidR="008C08D7" w:rsidRPr="000D215F" w:rsidRDefault="008C08D7" w:rsidP="008C08D7">
    <w:pPr>
      <w:pStyle w:val="Header"/>
      <w:tabs>
        <w:tab w:val="clear" w:pos="4320"/>
        <w:tab w:val="clear" w:pos="8640"/>
        <w:tab w:val="left" w:pos="284"/>
        <w:tab w:val="right" w:pos="851"/>
        <w:tab w:val="left" w:pos="3405"/>
      </w:tabs>
      <w:spacing w:after="240"/>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21D31" w14:textId="473D072F" w:rsidR="008C08D7" w:rsidRPr="00661754" w:rsidRDefault="008C08D7" w:rsidP="00661754">
    <w:pPr>
      <w:pStyle w:val="Header"/>
      <w:tabs>
        <w:tab w:val="left" w:pos="142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F03F9" w14:textId="77777777" w:rsidR="008C08D7" w:rsidRPr="00885E53" w:rsidRDefault="008C08D7" w:rsidP="00661754">
    <w:pPr>
      <w:pStyle w:val="Header"/>
      <w:jc w:val="right"/>
      <w:rPr>
        <w:rFonts w:asciiTheme="minorHAnsi" w:hAnsiTheme="minorHAnsi" w:cstheme="minorHAnsi"/>
        <w:color w:val="A6A6A6" w:themeColor="background1" w:themeShade="A6"/>
        <w:sz w:val="16"/>
        <w:szCs w:val="16"/>
      </w:rPr>
    </w:pPr>
  </w:p>
  <w:p w14:paraId="25E82DBE" w14:textId="77777777" w:rsidR="008C08D7" w:rsidRPr="00661754" w:rsidRDefault="008C08D7" w:rsidP="00661754">
    <w:pPr>
      <w:pStyle w:val="Header"/>
      <w:tabs>
        <w:tab w:val="left" w:pos="1425"/>
      </w:tabs>
    </w:pPr>
    <w:r>
      <w:rPr>
        <w:noProof/>
        <w:lang w:eastAsia="pt-BR"/>
      </w:rPr>
      <mc:AlternateContent>
        <mc:Choice Requires="wps">
          <w:drawing>
            <wp:anchor distT="4294967295" distB="4294967295" distL="114300" distR="114300" simplePos="0" relativeHeight="251673600" behindDoc="0" locked="0" layoutInCell="1" allowOverlap="1" wp14:anchorId="572F9409" wp14:editId="574EF815">
              <wp:simplePos x="0" y="0"/>
              <wp:positionH relativeFrom="column">
                <wp:posOffset>13970</wp:posOffset>
              </wp:positionH>
              <wp:positionV relativeFrom="paragraph">
                <wp:posOffset>20320</wp:posOffset>
              </wp:positionV>
              <wp:extent cx="6443980" cy="0"/>
              <wp:effectExtent l="0" t="0" r="33020" b="19050"/>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980"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225054" id="_x0000_t32" coordsize="21600,21600" o:spt="32" o:oned="t" path="m,l21600,21600e" filled="f">
              <v:path arrowok="t" fillok="f" o:connecttype="none"/>
              <o:lock v:ext="edit" shapetype="t"/>
            </v:shapetype>
            <v:shape id="AutoShape 26" o:spid="_x0000_s1026" type="#_x0000_t32" style="position:absolute;margin-left:1.1pt;margin-top:1.6pt;width:507.4pt;height:0;z-index:2516736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&#13;&#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9D4456"/>
    <w:multiLevelType w:val="multilevel"/>
    <w:tmpl w:val="A128065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63EC2FBB"/>
    <w:multiLevelType w:val="multilevel"/>
    <w:tmpl w:val="C2163D8A"/>
    <w:lvl w:ilvl="0">
      <w:start w:val="1"/>
      <w:numFmt w:val="decimal"/>
      <w:suff w:val="space"/>
      <w:lvlText w:val="%1."/>
      <w:lvlJc w:val="left"/>
      <w:pPr>
        <w:ind w:left="-247" w:firstLine="247"/>
      </w:pPr>
      <w:rPr>
        <w:rFonts w:hint="default"/>
        <w:b/>
      </w:rPr>
    </w:lvl>
    <w:lvl w:ilvl="1">
      <w:start w:val="1"/>
      <w:numFmt w:val="decimal"/>
      <w:isLgl/>
      <w:lvlText w:val="%1.%2."/>
      <w:lvlJc w:val="left"/>
      <w:pPr>
        <w:ind w:left="360" w:hanging="360"/>
      </w:pPr>
      <w:rPr>
        <w:rFonts w:hint="default"/>
        <w:sz w:val="20"/>
      </w:rPr>
    </w:lvl>
    <w:lvl w:ilvl="2">
      <w:start w:val="1"/>
      <w:numFmt w:val="decimal"/>
      <w:isLgl/>
      <w:lvlText w:val="%1.%2.%3."/>
      <w:lvlJc w:val="left"/>
      <w:pPr>
        <w:ind w:left="0" w:firstLine="0"/>
      </w:pPr>
      <w:rPr>
        <w:rFonts w:hint="default"/>
        <w:sz w:val="20"/>
      </w:rPr>
    </w:lvl>
    <w:lvl w:ilvl="3">
      <w:start w:val="1"/>
      <w:numFmt w:val="decimal"/>
      <w:isLgl/>
      <w:lvlText w:val="%1.%2.%3.%4."/>
      <w:lvlJc w:val="left"/>
      <w:pPr>
        <w:ind w:left="360" w:hanging="360"/>
      </w:pPr>
      <w:rPr>
        <w:rFonts w:hint="default"/>
        <w:sz w:val="20"/>
      </w:rPr>
    </w:lvl>
    <w:lvl w:ilvl="4">
      <w:start w:val="1"/>
      <w:numFmt w:val="decimal"/>
      <w:isLgl/>
      <w:lvlText w:val="%1.%2.%3.%4.%5."/>
      <w:lvlJc w:val="left"/>
      <w:pPr>
        <w:ind w:left="720" w:hanging="720"/>
      </w:pPr>
      <w:rPr>
        <w:rFonts w:hint="default"/>
        <w:sz w:val="20"/>
      </w:rPr>
    </w:lvl>
    <w:lvl w:ilvl="5">
      <w:start w:val="1"/>
      <w:numFmt w:val="decimal"/>
      <w:isLgl/>
      <w:lvlText w:val="%1.%2.%3.%4.%5.%6."/>
      <w:lvlJc w:val="left"/>
      <w:pPr>
        <w:ind w:left="720" w:hanging="720"/>
      </w:pPr>
      <w:rPr>
        <w:rFonts w:hint="default"/>
        <w:sz w:val="20"/>
      </w:rPr>
    </w:lvl>
    <w:lvl w:ilvl="6">
      <w:start w:val="1"/>
      <w:numFmt w:val="decimal"/>
      <w:isLgl/>
      <w:lvlText w:val="%1.%2.%3.%4.%5.%6.%7."/>
      <w:lvlJc w:val="left"/>
      <w:pPr>
        <w:ind w:left="720" w:hanging="720"/>
      </w:pPr>
      <w:rPr>
        <w:rFonts w:hint="default"/>
        <w:sz w:val="20"/>
      </w:rPr>
    </w:lvl>
    <w:lvl w:ilvl="7">
      <w:start w:val="1"/>
      <w:numFmt w:val="decimal"/>
      <w:isLgl/>
      <w:lvlText w:val="%1.%2.%3.%4.%5.%6.%7.%8."/>
      <w:lvlJc w:val="left"/>
      <w:pPr>
        <w:ind w:left="720" w:hanging="720"/>
      </w:pPr>
      <w:rPr>
        <w:rFonts w:hint="default"/>
        <w:sz w:val="20"/>
      </w:rPr>
    </w:lvl>
    <w:lvl w:ilvl="8">
      <w:start w:val="1"/>
      <w:numFmt w:val="decimal"/>
      <w:isLgl/>
      <w:lvlText w:val="%1.%2.%3.%4.%5.%6.%7.%8.%9."/>
      <w:lvlJc w:val="left"/>
      <w:pPr>
        <w:ind w:left="1080" w:hanging="1080"/>
      </w:pPr>
      <w:rPr>
        <w:rFonts w:hint="default"/>
        <w:sz w:val="20"/>
      </w:rPr>
    </w:lvl>
  </w:abstractNum>
  <w:abstractNum w:abstractNumId="2" w15:restartNumberingAfterBreak="0">
    <w:nsid w:val="6D6A5D95"/>
    <w:multiLevelType w:val="hybridMultilevel"/>
    <w:tmpl w:val="D63E8D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062"/>
    <w:rsid w:val="0002275D"/>
    <w:rsid w:val="00037BC9"/>
    <w:rsid w:val="000618A9"/>
    <w:rsid w:val="0008022F"/>
    <w:rsid w:val="00105814"/>
    <w:rsid w:val="00106A77"/>
    <w:rsid w:val="001A47FF"/>
    <w:rsid w:val="001B2C9C"/>
    <w:rsid w:val="001B46A1"/>
    <w:rsid w:val="001E5656"/>
    <w:rsid w:val="001F597D"/>
    <w:rsid w:val="002172D0"/>
    <w:rsid w:val="00222343"/>
    <w:rsid w:val="002257AF"/>
    <w:rsid w:val="00252BF6"/>
    <w:rsid w:val="00255901"/>
    <w:rsid w:val="00302C6B"/>
    <w:rsid w:val="003564AE"/>
    <w:rsid w:val="00366403"/>
    <w:rsid w:val="00380062"/>
    <w:rsid w:val="003D4521"/>
    <w:rsid w:val="003E6B36"/>
    <w:rsid w:val="00411C58"/>
    <w:rsid w:val="00457A72"/>
    <w:rsid w:val="0048090B"/>
    <w:rsid w:val="00482862"/>
    <w:rsid w:val="00484638"/>
    <w:rsid w:val="004A02B5"/>
    <w:rsid w:val="004C003C"/>
    <w:rsid w:val="00555675"/>
    <w:rsid w:val="00581B60"/>
    <w:rsid w:val="0058777B"/>
    <w:rsid w:val="005B06A6"/>
    <w:rsid w:val="00634BDE"/>
    <w:rsid w:val="00647A3C"/>
    <w:rsid w:val="00661754"/>
    <w:rsid w:val="006C4AF5"/>
    <w:rsid w:val="006D5D5E"/>
    <w:rsid w:val="0075240A"/>
    <w:rsid w:val="007578DC"/>
    <w:rsid w:val="00760A6D"/>
    <w:rsid w:val="007A59E2"/>
    <w:rsid w:val="007B6F51"/>
    <w:rsid w:val="00876165"/>
    <w:rsid w:val="008A1263"/>
    <w:rsid w:val="008C08D7"/>
    <w:rsid w:val="008C7716"/>
    <w:rsid w:val="008D7ADE"/>
    <w:rsid w:val="008F307A"/>
    <w:rsid w:val="00911E5C"/>
    <w:rsid w:val="00920E6D"/>
    <w:rsid w:val="00927CCF"/>
    <w:rsid w:val="009731B4"/>
    <w:rsid w:val="009A6DA5"/>
    <w:rsid w:val="009B2CD4"/>
    <w:rsid w:val="009E6B9D"/>
    <w:rsid w:val="009F1EAD"/>
    <w:rsid w:val="009F7B7C"/>
    <w:rsid w:val="00A6018E"/>
    <w:rsid w:val="00AE1D2F"/>
    <w:rsid w:val="00AF7998"/>
    <w:rsid w:val="00B14F67"/>
    <w:rsid w:val="00B344D1"/>
    <w:rsid w:val="00B72924"/>
    <w:rsid w:val="00BA48EB"/>
    <w:rsid w:val="00BC5DB4"/>
    <w:rsid w:val="00C00A62"/>
    <w:rsid w:val="00C400ED"/>
    <w:rsid w:val="00C447C7"/>
    <w:rsid w:val="00C72114"/>
    <w:rsid w:val="00C806CA"/>
    <w:rsid w:val="00C934C3"/>
    <w:rsid w:val="00C959FD"/>
    <w:rsid w:val="00CC3719"/>
    <w:rsid w:val="00CE5C3C"/>
    <w:rsid w:val="00D71246"/>
    <w:rsid w:val="00DC5CE9"/>
    <w:rsid w:val="00DC775F"/>
    <w:rsid w:val="00DE2911"/>
    <w:rsid w:val="00E62FDD"/>
    <w:rsid w:val="00E914EB"/>
    <w:rsid w:val="00F316AD"/>
    <w:rsid w:val="00F6526C"/>
    <w:rsid w:val="00F679A0"/>
    <w:rsid w:val="00FB11E6"/>
    <w:rsid w:val="00FB1E92"/>
    <w:rsid w:val="00FC6AF4"/>
    <w:rsid w:val="00FE687C"/>
    <w:rsid w:val="00FF0685"/>
    <w:rsid w:val="00FF2E5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434E1"/>
  <w15:chartTrackingRefBased/>
  <w15:docId w15:val="{DDB9DFCA-95C5-CB4F-8C10-B0170D806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062"/>
    <w:rPr>
      <w:rFonts w:ascii="Times New Roman" w:eastAsia="Times New Roman" w:hAnsi="Times New Roman" w:cs="Times New Roman"/>
    </w:rPr>
  </w:style>
  <w:style w:type="paragraph" w:styleId="Heading4">
    <w:name w:val="heading 4"/>
    <w:basedOn w:val="Normal"/>
    <w:next w:val="Normal"/>
    <w:link w:val="Heading4Char"/>
    <w:qFormat/>
    <w:rsid w:val="00380062"/>
    <w:pPr>
      <w:keepNext/>
      <w:spacing w:before="240" w:after="60"/>
      <w:jc w:val="both"/>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80062"/>
    <w:rPr>
      <w:rFonts w:ascii="Times New Roman" w:eastAsia="Times New Roman" w:hAnsi="Times New Roman" w:cs="Times New Roman"/>
      <w:b/>
      <w:bCs/>
      <w:sz w:val="28"/>
      <w:szCs w:val="28"/>
      <w:lang w:val="en-US"/>
    </w:rPr>
  </w:style>
  <w:style w:type="paragraph" w:styleId="Header">
    <w:name w:val="header"/>
    <w:basedOn w:val="Normal"/>
    <w:link w:val="HeaderChar"/>
    <w:uiPriority w:val="99"/>
    <w:rsid w:val="00380062"/>
    <w:pPr>
      <w:tabs>
        <w:tab w:val="center" w:pos="4320"/>
        <w:tab w:val="right" w:pos="8640"/>
      </w:tabs>
      <w:jc w:val="both"/>
    </w:pPr>
    <w:rPr>
      <w:sz w:val="20"/>
      <w:szCs w:val="20"/>
      <w:lang w:val="en-US"/>
    </w:rPr>
  </w:style>
  <w:style w:type="character" w:customStyle="1" w:styleId="HeaderChar">
    <w:name w:val="Header Char"/>
    <w:basedOn w:val="DefaultParagraphFont"/>
    <w:link w:val="Header"/>
    <w:uiPriority w:val="99"/>
    <w:rsid w:val="00380062"/>
    <w:rPr>
      <w:rFonts w:ascii="Times New Roman" w:eastAsia="Times New Roman" w:hAnsi="Times New Roman" w:cs="Times New Roman"/>
      <w:sz w:val="20"/>
      <w:szCs w:val="20"/>
      <w:lang w:val="en-US"/>
    </w:rPr>
  </w:style>
  <w:style w:type="paragraph" w:styleId="Footer">
    <w:name w:val="footer"/>
    <w:basedOn w:val="Normal"/>
    <w:link w:val="FooterChar"/>
    <w:uiPriority w:val="99"/>
    <w:rsid w:val="00380062"/>
    <w:pPr>
      <w:tabs>
        <w:tab w:val="center" w:pos="4320"/>
        <w:tab w:val="right" w:pos="8640"/>
      </w:tabs>
      <w:jc w:val="both"/>
    </w:pPr>
    <w:rPr>
      <w:sz w:val="20"/>
      <w:szCs w:val="20"/>
      <w:lang w:val="en-US"/>
    </w:rPr>
  </w:style>
  <w:style w:type="character" w:customStyle="1" w:styleId="FooterChar">
    <w:name w:val="Footer Char"/>
    <w:basedOn w:val="DefaultParagraphFont"/>
    <w:link w:val="Footer"/>
    <w:uiPriority w:val="99"/>
    <w:rsid w:val="00380062"/>
    <w:rPr>
      <w:rFonts w:ascii="Times New Roman" w:eastAsia="Times New Roman" w:hAnsi="Times New Roman" w:cs="Times New Roman"/>
      <w:sz w:val="20"/>
      <w:szCs w:val="20"/>
      <w:lang w:val="en-US"/>
    </w:rPr>
  </w:style>
  <w:style w:type="character" w:styleId="PageNumber">
    <w:name w:val="page number"/>
    <w:basedOn w:val="DefaultParagraphFont"/>
    <w:rsid w:val="00380062"/>
  </w:style>
  <w:style w:type="paragraph" w:styleId="BodyText">
    <w:name w:val="Body Text"/>
    <w:basedOn w:val="Normal"/>
    <w:link w:val="BodyTextChar"/>
    <w:rsid w:val="00380062"/>
    <w:pPr>
      <w:spacing w:after="120"/>
      <w:jc w:val="both"/>
    </w:pPr>
    <w:rPr>
      <w:sz w:val="20"/>
      <w:szCs w:val="20"/>
      <w:lang w:val="id-ID" w:eastAsia="id-ID"/>
    </w:rPr>
  </w:style>
  <w:style w:type="character" w:customStyle="1" w:styleId="BodyTextChar">
    <w:name w:val="Body Text Char"/>
    <w:basedOn w:val="DefaultParagraphFont"/>
    <w:link w:val="BodyText"/>
    <w:rsid w:val="00380062"/>
    <w:rPr>
      <w:rFonts w:ascii="Times New Roman" w:eastAsia="Times New Roman" w:hAnsi="Times New Roman" w:cs="Times New Roman"/>
      <w:sz w:val="20"/>
      <w:szCs w:val="20"/>
      <w:lang w:val="id-ID" w:eastAsia="id-ID"/>
    </w:rPr>
  </w:style>
  <w:style w:type="paragraph" w:styleId="Caption">
    <w:name w:val="caption"/>
    <w:basedOn w:val="Normal"/>
    <w:next w:val="Normal"/>
    <w:qFormat/>
    <w:rsid w:val="00380062"/>
    <w:pPr>
      <w:spacing w:line="480" w:lineRule="auto"/>
      <w:jc w:val="center"/>
    </w:pPr>
    <w:rPr>
      <w:i/>
      <w:iCs/>
      <w:sz w:val="20"/>
      <w:szCs w:val="20"/>
      <w:lang w:val="en-US"/>
    </w:rPr>
  </w:style>
  <w:style w:type="character" w:customStyle="1" w:styleId="apple-style-span">
    <w:name w:val="apple-style-span"/>
    <w:basedOn w:val="DefaultParagraphFont"/>
    <w:rsid w:val="00380062"/>
  </w:style>
  <w:style w:type="paragraph" w:styleId="ListParagraph">
    <w:name w:val="List Paragraph"/>
    <w:basedOn w:val="Normal"/>
    <w:link w:val="ListParagraphChar"/>
    <w:uiPriority w:val="34"/>
    <w:qFormat/>
    <w:rsid w:val="00380062"/>
    <w:pPr>
      <w:spacing w:after="200" w:line="276" w:lineRule="auto"/>
      <w:ind w:left="720"/>
      <w:contextualSpacing/>
      <w:jc w:val="both"/>
    </w:pPr>
    <w:rPr>
      <w:rFonts w:ascii="Calibri" w:hAnsi="Calibri"/>
      <w:sz w:val="22"/>
      <w:szCs w:val="22"/>
      <w:lang w:val="en-GB" w:eastAsia="en-GB"/>
    </w:rPr>
  </w:style>
  <w:style w:type="character" w:customStyle="1" w:styleId="ListParagraphChar">
    <w:name w:val="List Paragraph Char"/>
    <w:basedOn w:val="DefaultParagraphFont"/>
    <w:link w:val="ListParagraph"/>
    <w:uiPriority w:val="34"/>
    <w:rsid w:val="00B344D1"/>
    <w:rPr>
      <w:rFonts w:ascii="Calibri" w:eastAsia="Times New Roman" w:hAnsi="Calibri" w:cs="Times New Roman"/>
      <w:sz w:val="22"/>
      <w:szCs w:val="22"/>
      <w:lang w:val="en-GB" w:eastAsia="en-GB"/>
    </w:rPr>
  </w:style>
  <w:style w:type="character" w:styleId="Hyperlink">
    <w:name w:val="Hyperlink"/>
    <w:uiPriority w:val="99"/>
    <w:unhideWhenUsed/>
    <w:rsid w:val="00661754"/>
    <w:rPr>
      <w:color w:val="0000FF"/>
      <w:u w:val="single"/>
    </w:rPr>
  </w:style>
  <w:style w:type="table" w:styleId="TableGrid">
    <w:name w:val="Table Grid"/>
    <w:basedOn w:val="TableNormal"/>
    <w:uiPriority w:val="39"/>
    <w:rsid w:val="00661754"/>
    <w:rPr>
      <w:rFonts w:ascii="Calibri" w:eastAsia="Calibri" w:hAnsi="Calibri" w:cs="Times New Roman"/>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252BF6"/>
    <w:rPr>
      <w:rFonts w:ascii="Tahoma" w:eastAsia="Calibri" w:hAnsi="Tahoma"/>
      <w:sz w:val="16"/>
      <w:szCs w:val="16"/>
      <w:lang w:val="pt-BR"/>
    </w:rPr>
  </w:style>
  <w:style w:type="character" w:customStyle="1" w:styleId="BalloonTextChar">
    <w:name w:val="Balloon Text Char"/>
    <w:basedOn w:val="DefaultParagraphFont"/>
    <w:link w:val="BalloonText"/>
    <w:uiPriority w:val="99"/>
    <w:semiHidden/>
    <w:rsid w:val="00252BF6"/>
    <w:rPr>
      <w:rFonts w:ascii="Tahoma" w:eastAsia="Calibri" w:hAnsi="Tahoma" w:cs="Times New Roman"/>
      <w:sz w:val="16"/>
      <w:szCs w:val="16"/>
      <w:lang w:val="pt-BR"/>
    </w:rPr>
  </w:style>
  <w:style w:type="paragraph" w:styleId="NormalWeb">
    <w:name w:val="Normal (Web)"/>
    <w:basedOn w:val="Normal"/>
    <w:uiPriority w:val="99"/>
    <w:unhideWhenUsed/>
    <w:rsid w:val="007B6F51"/>
    <w:pPr>
      <w:spacing w:before="100" w:beforeAutospacing="1" w:after="100" w:afterAutospacing="1"/>
    </w:pPr>
  </w:style>
  <w:style w:type="paragraph" w:customStyle="1" w:styleId="MDPI16affiliation">
    <w:name w:val="MDPI_1.6_affiliation"/>
    <w:basedOn w:val="Normal"/>
    <w:qFormat/>
    <w:rsid w:val="00CE5C3C"/>
    <w:pPr>
      <w:adjustRightInd w:val="0"/>
      <w:snapToGrid w:val="0"/>
      <w:spacing w:line="200" w:lineRule="atLeast"/>
      <w:ind w:left="311" w:hanging="198"/>
    </w:pPr>
    <w:rPr>
      <w:rFonts w:ascii="Palatino Linotype" w:hAnsi="Palatino Linotype"/>
      <w:color w:val="000000"/>
      <w:sz w:val="18"/>
      <w:szCs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39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45438-5649-124D-AB90-FB6B0D865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14</Pages>
  <Words>24223</Words>
  <Characters>138073</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Teddy Darmizal</dc:creator>
  <cp:keywords/>
  <dc:description/>
  <cp:lastModifiedBy>Teddy Darmizal</cp:lastModifiedBy>
  <cp:revision>20</cp:revision>
  <dcterms:created xsi:type="dcterms:W3CDTF">2026-05-08T10:40:00Z</dcterms:created>
  <dcterms:modified xsi:type="dcterms:W3CDTF">2026-06-09T13:25:00Z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http://www.zotero.org/styles/vancouver</vt:lpwstr>
  </property>
  <property fmtid="{D5CDD505-2E9C-101B-9397-08002B2CF9AE}" pid="20" name="Mendeley Recent Style Name 8_1">
    <vt:lpwstr>Vancouver</vt:lpwstr>
  </property>
  <property fmtid="{D5CDD505-2E9C-101B-9397-08002B2CF9AE}" pid="21" name="Mendeley Recent Style Id 9_1">
    <vt:lpwstr>http://www.zotero.org/styles/vancouver-superscript</vt:lpwstr>
  </property>
  <property fmtid="{D5CDD505-2E9C-101B-9397-08002B2CF9AE}" pid="22" name="Mendeley Recent Style Name 9_1">
    <vt:lpwstr>Vancouver (superscript)</vt:lpwstr>
  </property>
  <property fmtid="{D5CDD505-2E9C-101B-9397-08002B2CF9AE}" pid="23" name="Mendeley Unique User Id_1">
    <vt:lpwstr>fb11a040-1f1a-3e0f-9504-d138d8b69627</vt:lpwstr>
  </property>
  <property fmtid="{D5CDD505-2E9C-101B-9397-08002B2CF9AE}" pid="24" name="Mendeley Citation Style_1">
    <vt:lpwstr>http://www.zotero.org/styles/ieee</vt:lpwstr>
  </property>
</Properties>
</file>