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0D97" w14:textId="6B85A671" w:rsidR="00B81A35" w:rsidRPr="0098481F" w:rsidRDefault="00CF6FD1" w:rsidP="00C023F6">
      <w:pPr>
        <w:jc w:val="center"/>
        <w:rPr>
          <w:rFonts w:ascii="Times New Roman" w:hAnsi="Times New Roman" w:cs="Times New Roman"/>
          <w:sz w:val="36"/>
          <w:szCs w:val="36"/>
        </w:rPr>
      </w:pPr>
      <w:r w:rsidRPr="0098481F">
        <w:rPr>
          <w:rFonts w:ascii="Times New Roman" w:hAnsi="Times New Roman" w:cs="Times New Roman"/>
          <w:b/>
          <w:bCs/>
          <w:sz w:val="36"/>
          <w:szCs w:val="36"/>
        </w:rPr>
        <w:t>Gains and Gaps in the Civil Service Review Program of CBSUA College of Arts and Sciences: Strategy Effectiveness and Program Improvement</w:t>
      </w:r>
    </w:p>
    <w:p w14:paraId="5832B541" w14:textId="77777777" w:rsidR="00C023F6" w:rsidRPr="0098481F" w:rsidRDefault="00C023F6" w:rsidP="00C023F6">
      <w:pPr>
        <w:jc w:val="both"/>
        <w:rPr>
          <w:rFonts w:ascii="Times New Roman" w:hAnsi="Times New Roman" w:cs="Times New Roman"/>
          <w:sz w:val="24"/>
          <w:szCs w:val="24"/>
        </w:rPr>
      </w:pPr>
    </w:p>
    <w:p w14:paraId="1CA0EDC8" w14:textId="014F3F0E" w:rsidR="005C6B1B" w:rsidRPr="0098481F" w:rsidRDefault="005C6B1B" w:rsidP="00C023F6">
      <w:pPr>
        <w:spacing w:after="0"/>
        <w:jc w:val="both"/>
        <w:rPr>
          <w:rFonts w:ascii="Times New Roman" w:hAnsi="Times New Roman" w:cs="Times New Roman"/>
          <w:sz w:val="24"/>
          <w:szCs w:val="24"/>
        </w:rPr>
      </w:pPr>
      <w:r w:rsidRPr="0098481F">
        <w:rPr>
          <w:rFonts w:ascii="Times New Roman" w:hAnsi="Times New Roman" w:cs="Times New Roman"/>
          <w:b/>
          <w:bCs/>
          <w:sz w:val="24"/>
          <w:szCs w:val="24"/>
        </w:rPr>
        <w:t>Authors:</w:t>
      </w:r>
      <w:r w:rsidRPr="0098481F">
        <w:rPr>
          <w:rFonts w:ascii="Times New Roman" w:hAnsi="Times New Roman" w:cs="Times New Roman"/>
          <w:sz w:val="24"/>
          <w:szCs w:val="24"/>
        </w:rPr>
        <w:t xml:space="preserve"> </w:t>
      </w:r>
      <w:r w:rsidRPr="0098481F">
        <w:rPr>
          <w:rFonts w:ascii="Times New Roman" w:hAnsi="Times New Roman" w:cs="Times New Roman"/>
          <w:sz w:val="24"/>
          <w:szCs w:val="24"/>
        </w:rPr>
        <w:tab/>
        <w:t>NILO T. GONZAGA, MM</w:t>
      </w:r>
    </w:p>
    <w:p w14:paraId="3079D619" w14:textId="43F4A54A" w:rsidR="005C6B1B" w:rsidRPr="0098481F" w:rsidRDefault="005C6B1B" w:rsidP="00C023F6">
      <w:pPr>
        <w:spacing w:after="0"/>
        <w:jc w:val="both"/>
        <w:rPr>
          <w:rFonts w:ascii="Times New Roman" w:hAnsi="Times New Roman" w:cs="Times New Roman"/>
          <w:sz w:val="24"/>
          <w:szCs w:val="24"/>
        </w:rPr>
      </w:pPr>
      <w:r w:rsidRPr="0098481F">
        <w:rPr>
          <w:rFonts w:ascii="Times New Roman" w:hAnsi="Times New Roman" w:cs="Times New Roman"/>
          <w:sz w:val="24"/>
          <w:szCs w:val="24"/>
        </w:rPr>
        <w:tab/>
      </w:r>
      <w:r w:rsidRPr="0098481F">
        <w:rPr>
          <w:rFonts w:ascii="Times New Roman" w:hAnsi="Times New Roman" w:cs="Times New Roman"/>
          <w:sz w:val="24"/>
          <w:szCs w:val="24"/>
        </w:rPr>
        <w:tab/>
        <w:t>DANIEL A. BARAWEL, MM</w:t>
      </w:r>
    </w:p>
    <w:p w14:paraId="0125EDAA" w14:textId="77777777" w:rsidR="00C023F6" w:rsidRPr="0098481F" w:rsidRDefault="00C023F6" w:rsidP="00C023F6">
      <w:pPr>
        <w:spacing w:after="0"/>
        <w:jc w:val="both"/>
        <w:rPr>
          <w:rFonts w:ascii="Times New Roman" w:hAnsi="Times New Roman" w:cs="Times New Roman"/>
          <w:sz w:val="24"/>
          <w:szCs w:val="24"/>
        </w:rPr>
      </w:pPr>
    </w:p>
    <w:p w14:paraId="0B42FB61" w14:textId="271B46AF" w:rsidR="00C023F6" w:rsidRPr="0098481F" w:rsidRDefault="00CF6FD1" w:rsidP="00C023F6">
      <w:pPr>
        <w:jc w:val="both"/>
        <w:rPr>
          <w:rFonts w:ascii="Times New Roman" w:hAnsi="Times New Roman" w:cs="Times New Roman"/>
          <w:sz w:val="24"/>
          <w:szCs w:val="24"/>
        </w:rPr>
      </w:pPr>
      <w:r w:rsidRPr="0098481F">
        <w:rPr>
          <w:rFonts w:ascii="Times New Roman" w:hAnsi="Times New Roman" w:cs="Times New Roman"/>
          <w:b/>
          <w:bCs/>
          <w:sz w:val="24"/>
          <w:szCs w:val="24"/>
        </w:rPr>
        <w:t>Abstract</w:t>
      </w:r>
    </w:p>
    <w:p w14:paraId="760AE3E4" w14:textId="4EBB8751" w:rsidR="00CF6FD1" w:rsidRPr="0098481F" w:rsidRDefault="00CF6FD1"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This case study investigates the Civil Service Review Program at the College of Arts and Sciences, CBSUA, with a focus on evaluating the effectiveness of implemented intervention strategies in addressing program challenges and their impact on overall program outcomes. Employing a mixed-methods approach, the study utilized a researcher-developed questionnaire and document analysis of program records to collect both qualitative and quantitative data. Participants were purposively selected from students who had completed the review program and taken the Civil Service Examination, providing first-hand insights into program performance. Ethical protocols, including informed consent and confidentiality, were strictly observed.</w:t>
      </w:r>
    </w:p>
    <w:p w14:paraId="1AD5A4F5" w14:textId="03FFE64B" w:rsidR="00CF6FD1" w:rsidRPr="0098481F" w:rsidRDefault="00CF6FD1"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Findings indicate that while the program contributes to examinee preparation, several challenges</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such as inflexible scheduling, outdated materials, unclear communication, inconsistent participant engagement, and technical limitations</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impede its overall effectiveness. Evaluation of the strategies implemented to address these challenges reveals varying degrees of success in improving program outcomes, highlighting areas that require further enhancement.</w:t>
      </w:r>
    </w:p>
    <w:p w14:paraId="1125F9B0" w14:textId="77777777" w:rsidR="00CF6FD1" w:rsidRPr="0098481F" w:rsidRDefault="00CF6FD1"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study concludes that systematically refining intervention strategies is essential to strengthen the program’s capacity to prepare candidates effectively for the Civil Service Examination. Recommendations for program improvement are offered to maximize learning outcomes and participant satisfaction.</w:t>
      </w:r>
    </w:p>
    <w:p w14:paraId="78E88EA1" w14:textId="77777777" w:rsidR="00CF6FD1" w:rsidRPr="0098481F" w:rsidRDefault="00CF6FD1" w:rsidP="00C023F6">
      <w:pPr>
        <w:jc w:val="both"/>
        <w:rPr>
          <w:rFonts w:ascii="Times New Roman" w:hAnsi="Times New Roman" w:cs="Times New Roman"/>
          <w:i/>
          <w:iCs/>
          <w:sz w:val="24"/>
          <w:szCs w:val="24"/>
        </w:rPr>
      </w:pPr>
      <w:r w:rsidRPr="0098481F">
        <w:rPr>
          <w:rFonts w:ascii="Times New Roman" w:hAnsi="Times New Roman" w:cs="Times New Roman"/>
          <w:b/>
          <w:bCs/>
          <w:sz w:val="24"/>
          <w:szCs w:val="24"/>
        </w:rPr>
        <w:t>Keywords:</w:t>
      </w:r>
      <w:r w:rsidRPr="0098481F">
        <w:rPr>
          <w:rFonts w:ascii="Times New Roman" w:hAnsi="Times New Roman" w:cs="Times New Roman"/>
          <w:sz w:val="24"/>
          <w:szCs w:val="24"/>
        </w:rPr>
        <w:t xml:space="preserve"> </w:t>
      </w:r>
      <w:r w:rsidRPr="0098481F">
        <w:rPr>
          <w:rFonts w:ascii="Times New Roman" w:hAnsi="Times New Roman" w:cs="Times New Roman"/>
          <w:i/>
          <w:iCs/>
          <w:sz w:val="24"/>
          <w:szCs w:val="24"/>
        </w:rPr>
        <w:t>Civil Service Review Program, Program Effectiveness, Intervention Strategies, Examinee Preparation, Program Improvement</w:t>
      </w:r>
    </w:p>
    <w:p w14:paraId="20D60CF3" w14:textId="77777777" w:rsidR="00C023F6" w:rsidRPr="0098481F" w:rsidRDefault="00C023F6" w:rsidP="00C023F6">
      <w:pPr>
        <w:jc w:val="both"/>
        <w:rPr>
          <w:rFonts w:ascii="Times New Roman" w:hAnsi="Times New Roman" w:cs="Times New Roman"/>
          <w:sz w:val="24"/>
          <w:szCs w:val="24"/>
        </w:rPr>
      </w:pPr>
    </w:p>
    <w:p w14:paraId="324B2D54" w14:textId="3BEA268F" w:rsidR="00195806" w:rsidRPr="0098481F" w:rsidRDefault="00195806"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Introduction</w:t>
      </w:r>
    </w:p>
    <w:p w14:paraId="0916C024"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The Civil Service Review Program at the College of Arts and Sciences, CBSUA, plays a pivotal role in preparing students for the Civil Service Examination, a key requirement for government employment in the Philippines. Ensuring the program’s effectiveness in equipping candidates with the necessary knowledge and skills is critical, as success in the examination directly influences public service career opportunities. This </w:t>
      </w:r>
      <w:r w:rsidRPr="0098481F">
        <w:rPr>
          <w:rFonts w:ascii="Times New Roman" w:hAnsi="Times New Roman" w:cs="Times New Roman"/>
          <w:sz w:val="24"/>
          <w:szCs w:val="24"/>
        </w:rPr>
        <w:lastRenderedPageBreak/>
        <w:t>study focuses on evaluating the effectiveness of strategies implemented to address program challenges and their impact on overall program outcomes.</w:t>
      </w:r>
    </w:p>
    <w:p w14:paraId="48D5E9A3"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Grounded in Adult Learning Theory (Andragogy) (Knowles, 1980), the study recognizes that adult learners are self-directed, goal-oriented, and bring prior experiences to their learning. Effective program design must therefore provide practical, relevant content and flexible learning schedules to accommodate participants’ multiple responsibilities.</w:t>
      </w:r>
    </w:p>
    <w:p w14:paraId="5170F3C5"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In addition, Social Cognitive Theory (Bandura, 1986) highlights the role of observational learning, social interaction, and self-efficacy in shaping learner motivation and performance. Learners’ confidence in their ability to succeed influences engagement in the program and performance on the examination, making supportive instructional strategies essential for program effectiveness.</w:t>
      </w:r>
    </w:p>
    <w:p w14:paraId="7544B96F" w14:textId="77777777" w:rsidR="00195806" w:rsidRPr="0098481F" w:rsidRDefault="00195806" w:rsidP="00387569">
      <w:pPr>
        <w:spacing w:after="0"/>
        <w:ind w:firstLine="720"/>
        <w:jc w:val="both"/>
        <w:rPr>
          <w:rFonts w:ascii="Times New Roman" w:hAnsi="Times New Roman" w:cs="Times New Roman"/>
          <w:sz w:val="24"/>
          <w:szCs w:val="24"/>
        </w:rPr>
      </w:pPr>
      <w:r w:rsidRPr="0098481F">
        <w:rPr>
          <w:rFonts w:ascii="Times New Roman" w:hAnsi="Times New Roman" w:cs="Times New Roman"/>
          <w:sz w:val="24"/>
          <w:szCs w:val="24"/>
        </w:rPr>
        <w:t>Finally, this study employs Utilization-Focused Evaluation (Patton, 2008), emphasizing the application of evaluation findings to improve program design, instructional methods, and learner support. By integrating these frameworks, the research provides a comprehensive assessment of the Civil Service Review Program, identifying both strengths and challenges and offering evidence-based recommendations to enhance the program’s capacity to prepare candidates successfully for the Civil Service Examination.</w:t>
      </w:r>
    </w:p>
    <w:p w14:paraId="670DA5D2" w14:textId="77777777" w:rsidR="00195806" w:rsidRPr="0098481F" w:rsidRDefault="00195806" w:rsidP="00C023F6">
      <w:pPr>
        <w:jc w:val="both"/>
        <w:rPr>
          <w:rFonts w:ascii="Times New Roman" w:hAnsi="Times New Roman" w:cs="Times New Roman"/>
          <w:sz w:val="24"/>
          <w:szCs w:val="24"/>
        </w:rPr>
      </w:pPr>
    </w:p>
    <w:p w14:paraId="1E0A6638" w14:textId="77777777" w:rsidR="00195806" w:rsidRPr="0098481F" w:rsidRDefault="00195806"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Objective of the study</w:t>
      </w:r>
    </w:p>
    <w:p w14:paraId="10002D51" w14:textId="77777777" w:rsidR="00195806" w:rsidRPr="0098481F" w:rsidRDefault="00195806" w:rsidP="00387569">
      <w:pPr>
        <w:spacing w:after="0"/>
        <w:ind w:firstLine="720"/>
        <w:jc w:val="both"/>
        <w:rPr>
          <w:rFonts w:ascii="Times New Roman" w:hAnsi="Times New Roman" w:cs="Times New Roman"/>
          <w:sz w:val="24"/>
          <w:szCs w:val="24"/>
        </w:rPr>
      </w:pPr>
      <w:r w:rsidRPr="0098481F">
        <w:rPr>
          <w:rFonts w:ascii="Times New Roman" w:hAnsi="Times New Roman" w:cs="Times New Roman"/>
          <w:sz w:val="24"/>
          <w:szCs w:val="24"/>
        </w:rPr>
        <w:t>To assess the effectiveness of the implemented intervention strategies in addressing identified program challenges and to determine their impact on program outcomes and overall effectiveness.</w:t>
      </w:r>
    </w:p>
    <w:p w14:paraId="7A14F522" w14:textId="77777777" w:rsidR="00195806" w:rsidRPr="0098481F" w:rsidRDefault="00195806" w:rsidP="00C023F6">
      <w:pPr>
        <w:jc w:val="both"/>
        <w:rPr>
          <w:rFonts w:ascii="Times New Roman" w:hAnsi="Times New Roman" w:cs="Times New Roman"/>
          <w:sz w:val="24"/>
          <w:szCs w:val="24"/>
        </w:rPr>
      </w:pPr>
    </w:p>
    <w:p w14:paraId="7C32B479" w14:textId="77777777" w:rsidR="00195806" w:rsidRPr="0098481F" w:rsidRDefault="00195806"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Review of Related Literature</w:t>
      </w:r>
    </w:p>
    <w:p w14:paraId="40429226"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Civil Service Review Program at the College of Arts and Sciences, CBSUA, is informed by several key educational theories and frameworks that provide a foundation for evaluating and enhancing program effectiveness.</w:t>
      </w:r>
    </w:p>
    <w:p w14:paraId="54ED8FF3"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Adult Learning Theory (Andragogy) (Knowles, 2015) emphasizes that adult learners are self-directed, goal-oriented, and bring prior experiences to their learning. Adults learn best when actively involved in planning, directing, and evaluating their learning experiences. This perspective underscores the need for a flexible, learner-centered curriculum that allows participants to engage with the material at their own pace, aligning with the study’s focus on assessing strategies that improve program outcomes.</w:t>
      </w:r>
    </w:p>
    <w:p w14:paraId="38B83671"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Social Cognitive Theory (SCT) (Bandura, 2018) highlights the interplay between personal, behavioral, and environmental factors in shaping learning outcomes. The theory stresses the importance of self-efficacy, clear communication, and meaningful feedback in </w:t>
      </w:r>
      <w:r w:rsidRPr="0098481F">
        <w:rPr>
          <w:rFonts w:ascii="Times New Roman" w:hAnsi="Times New Roman" w:cs="Times New Roman"/>
          <w:sz w:val="24"/>
          <w:szCs w:val="24"/>
        </w:rPr>
        <w:lastRenderedPageBreak/>
        <w:t>motivating learners. Applying SCT to the review program supports the implementation of centralized digital platforms and continuous feedback mechanisms to enhance engagement and learner confidence.</w:t>
      </w:r>
    </w:p>
    <w:p w14:paraId="0E0D6CBD"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Utilization-Focused Evaluation (UFE) (Patton, 2016) emphasizes the practical use of evaluation results to improve program effectiveness. Regular feedback and ongoing adjustments are essential to ensure that programs remain responsive to participant needs. This framework aligns with the study’s objective of assessing the effectiveness of strategies in addressing program challenges and guiding improvements.</w:t>
      </w:r>
    </w:p>
    <w:p w14:paraId="3411406A" w14:textId="641C60E6"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Research on gamification in education (Hamari et al., 2018) suggests that game-like elements</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such as points, badges, and leaderboards</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can increase learner motivation and retention. Integrating gamification into the review program can therefore enhance participant engagement and encourage consistent involvement.</w:t>
      </w:r>
    </w:p>
    <w:p w14:paraId="14E0ED5D"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effectiveness of e-learning platforms has also been widely documented. Garrison and Anderson (2017) note that digital tools, such as Moodle or Google Classroom, support collaborative learning, accommodate diverse learning styles, and enable efficient delivery of content. Centralizing program materials through such platforms aligns with strategies aimed at improving program accessibility and overall effectiveness.</w:t>
      </w:r>
    </w:p>
    <w:p w14:paraId="13FECDDF"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Finally, sustainable program design is critical for long-term impact. Alonso et al. (2019) emphasize that continuous evaluation, adequate resource allocation, and institutional support are necessary to maintain program relevance and effectiveness. This reinforces the study’s recommendation to institutionalize the review program within CBSUA’s academic calendar, ensuring continuity and sustainability.</w:t>
      </w:r>
    </w:p>
    <w:p w14:paraId="312CA99F"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Collectively, these theories and findings provide a robust framework for evaluating the Civil Service Review Program. By integrating principles of adult learning, social cognitive development, evaluation-focused improvement, gamification, and digital learning, the program can enhance its effectiveness, learner engagement, and sustainability, directly addressing the challenges identified in this study.</w:t>
      </w:r>
    </w:p>
    <w:p w14:paraId="3DE00854" w14:textId="77777777" w:rsidR="00387569" w:rsidRPr="0098481F" w:rsidRDefault="00387569" w:rsidP="00C023F6">
      <w:pPr>
        <w:jc w:val="both"/>
        <w:rPr>
          <w:rFonts w:ascii="Times New Roman" w:hAnsi="Times New Roman" w:cs="Times New Roman"/>
          <w:sz w:val="24"/>
          <w:szCs w:val="24"/>
        </w:rPr>
      </w:pPr>
    </w:p>
    <w:p w14:paraId="66DAA54A" w14:textId="7EF5FC61"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Methodology</w:t>
      </w:r>
    </w:p>
    <w:p w14:paraId="6D03F068"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Research Design</w:t>
      </w:r>
    </w:p>
    <w:p w14:paraId="4B2AAE88"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This study employed a mixed-methods research design, integrating both quantitative and qualitative approaches to evaluate the effectiveness of strategies implemented in the Civil Service Review Program at CBSUA College of Arts and Sciences. Quantitative data captured measurable aspects of participants’ experiences, while qualitative data provided deeper insights into perceptions, challenges, and the effectiveness of intervention strategies. This integrated approach allowed for a comprehensive analysis of program outcomes and the factors influencing them, aligning with the study’s objective of assessing strategy effectiveness and program improvement.</w:t>
      </w:r>
    </w:p>
    <w:p w14:paraId="3F766ED9"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lastRenderedPageBreak/>
        <w:t>Sampling Procedure</w:t>
      </w:r>
    </w:p>
    <w:p w14:paraId="3D8753B3"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study utilized purposive sampling to select examinees who had participated in both the Civil Service Examination and the review program. This ensured that participants had direct experience with the program and could provide relevant insights regarding its strengths, gaps, and implemented strategies. A total of 33 participants were included, reflecting diverse perspectives of examinees and enabling a thorough evaluation of the program’s effectiveness.</w:t>
      </w:r>
    </w:p>
    <w:p w14:paraId="0BA2BDD7"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Data Collection Instruments</w:t>
      </w:r>
    </w:p>
    <w:p w14:paraId="7D59A357"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A researcher-developed questionnaire served as the primary instrument for data collection. The questionnaire was designed to gather information on program challenges, strategies employed to address these challenges, and participants’ perceptions of the program’s overall effectiveness. Expert validation was conducted to ensure content relevance, clarity, and appropriateness. The questionnaire included both closed-ended and open-ended items, facilitating the collection of quantitative and qualitative data for a holistic assessment of program performance.</w:t>
      </w:r>
    </w:p>
    <w:p w14:paraId="72DC3052"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Data Analysis</w:t>
      </w:r>
    </w:p>
    <w:p w14:paraId="0436B367"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Quantitative data were analyzed using descriptive statistics to summarize participant responses and identify trends related to program challenges and outcomes. Qualitative responses underwent thematic analysis to extract patterns, themes, and insights regarding the effectiveness of implemented strategies. The combination of these analytical methods provided a nuanced understanding of both measurable outcomes and experiential factors affecting the program, supporting evidence-based recommendations for improvement.</w:t>
      </w:r>
    </w:p>
    <w:p w14:paraId="418D2267"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Limitations of the Study</w:t>
      </w:r>
    </w:p>
    <w:p w14:paraId="5E6D94CB"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study was confined to participants from the College of Arts and Sciences at CBSUA, which may limit the generalizability of findings. The use of purposive sampling and reliance on self-reported data may introduce potential bias. Additionally, access constraints to complete program records and varying internet connectivity may have affected the depth and accuracy of data collection.</w:t>
      </w:r>
    </w:p>
    <w:p w14:paraId="2CF2259C"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Ethical Considerations</w:t>
      </w:r>
    </w:p>
    <w:p w14:paraId="6099A0CB"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study strictly adhered to ethical research standards. Participants were fully informed of the study’s purpose, voluntary nature, and their right to withdraw at any time without penalty. Informed consent was obtained electronically via Google Forms. Anonymity and confidentiality were maintained, with no personally identifiable information collected unless essential. All data were securely stored and used solely for research purposes, following institutional data privacy policies and ethical guidelines, ensuring respect, beneficence, and justice in safeguarding participant rights and welfare.</w:t>
      </w:r>
    </w:p>
    <w:p w14:paraId="2CC66CBB" w14:textId="77777777" w:rsidR="00387569" w:rsidRPr="0098481F" w:rsidRDefault="00387569" w:rsidP="00C023F6">
      <w:pPr>
        <w:jc w:val="both"/>
        <w:rPr>
          <w:rFonts w:ascii="Times New Roman" w:hAnsi="Times New Roman" w:cs="Times New Roman"/>
          <w:b/>
          <w:bCs/>
          <w:sz w:val="24"/>
          <w:szCs w:val="24"/>
        </w:rPr>
      </w:pPr>
    </w:p>
    <w:p w14:paraId="527F6B58" w14:textId="53461B52"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lastRenderedPageBreak/>
        <w:t>Results and Discussion</w:t>
      </w:r>
    </w:p>
    <w:p w14:paraId="7D45E309" w14:textId="77777777"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Strategies in Addressing Program Content and Structure Challenges</w:t>
      </w:r>
    </w:p>
    <w:p w14:paraId="7D23C8D3" w14:textId="77777777" w:rsidR="00DF3662" w:rsidRPr="0098481F" w:rsidRDefault="00DF3662"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Participants identified several strategies as critical in addressing content and structural challenges in the Civil Service Review Program. Quantitatively, time management was highlighted by 15 out of 33 participants (45%), while interactive learning methods and curriculum updates were cited by 12 (36%) and 10 (30%) participants, respectively. Support mechanisms, such as follow-up assessments, were mentioned by 8 participants (24%). Qualitative responses emphasized that adhering to structured schedules, extending review periods, and incorporating mock exams significantly enhanced preparation and engagement. Updating materials ensured that content remained relevant and aligned with examination requirements, motivating adult learners to engage actively, consistent with Adult Learning Theory (Andragogy) (Knowles, 2015). Interactive strategies, such as quizzes and practice exams, reinforced knowledge retention and application, supporting Social Cognitive Theory (SCT) principles of observational learning and self-regulation (Bandura, 2018). Regular follow-up assessments provided continuous feedback, aligning with Utilization-Focused Evaluation (UFE), which emphasizes evidence-based program improvements (Patton, 2016). Collectively, these interventions demonstrated effectiveness in improving learning outcomes and overall program performance.</w:t>
      </w:r>
    </w:p>
    <w:p w14:paraId="60DC50E5" w14:textId="77777777"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Communication Strategies</w:t>
      </w:r>
    </w:p>
    <w:p w14:paraId="7F183FF9" w14:textId="77777777" w:rsidR="00DF3662" w:rsidRPr="0098481F" w:rsidRDefault="00DF3662"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Communication improvements were reported as key to enhancing program effectiveness. Timely and clear communication was cited by 15 participants (45%), followed by multi-channel communication at 12 participants (36%), active listening and participation at 10 participants (30%), and feedback mechanisms at 8 participants (24%). Participants explained that advance announcements of schedule changes, clear instructions, and structured feedback mechanisms facilitated better self-regulation and reduced stress, consistent with SCT (Bandura, 2018; Zimmerman, 2017). Multi-channel communication ensured accessibility and engagement, while active listening and communication skills training for facilitators improved interactions and responsiveness. These strategies not only improved participant confidence but also strengthened overall program effectiveness, highlighting the importance of communication in adult learning environments (Knowles, 2015; Tanjutco, 2019; Patton, 2016).</w:t>
      </w:r>
    </w:p>
    <w:p w14:paraId="605B2B0A" w14:textId="77777777"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Strategies to Enhance Participant Engagement</w:t>
      </w:r>
    </w:p>
    <w:p w14:paraId="248F1AF1" w14:textId="77777777" w:rsidR="00DF3662" w:rsidRPr="0098481F" w:rsidRDefault="00DF3662"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Participant engagement was enhanced through personalized support, interactive learning activities, gamification, improved scheduling, and skill development. Quantitative data showed interactive activities were highlighted by 12 participants (36%), personalized support by 10 (30%), gamification/incentives by 9 (27%), and improved scheduling by 8 (24%). Qualitative insights revealed that regular check-ins, collaborative exercises, and scenario-based activities increased motivation, engagement, and practical application of knowledge. Gamification strategies, including rewards and points, maintained consistent </w:t>
      </w:r>
      <w:r w:rsidRPr="0098481F">
        <w:rPr>
          <w:rFonts w:ascii="Times New Roman" w:hAnsi="Times New Roman" w:cs="Times New Roman"/>
          <w:sz w:val="24"/>
          <w:szCs w:val="24"/>
        </w:rPr>
        <w:lastRenderedPageBreak/>
        <w:t>participation and reinforced motivation, aligning with SCT (Bandura, 2018). Personalized support and skill development improved learners’ self-efficacy and confidence, supporting Andragogy’s principle of practical and relevant adult learning (Knowles, 2015; Bautista &amp; Lopez, 2021). Improved scheduling minimized conflicts, enabling consistent participation, while facilitating a responsive learning environment, reflecting UFE principles (Patton, 2016; Rivera et al., 2020). These strategies collectively demonstrated their effectiveness in increasing engagement and enhancing program outcomes.</w:t>
      </w:r>
    </w:p>
    <w:p w14:paraId="21095024" w14:textId="77777777"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Technical and Logistical Strategies</w:t>
      </w:r>
    </w:p>
    <w:p w14:paraId="7D543E94" w14:textId="77777777" w:rsidR="00DF3662" w:rsidRPr="0098481F" w:rsidRDefault="00DF3662"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Technical and logistical interventions were critical in ensuring smooth program delivery. Quantitatively, technological infrastructure improvement was cited by 12 participants (36%), offline resources by 10 (30%), logistical coordination by 9 (27%), backup plans by 8 (24%), and facilitator training by 7 (21%). Participants highlighted that user-friendly platforms, offline materials, backup resources, and logistical support enabled continuous access, reduced disruptions, and enhanced engagement. Facilitator preparedness further ensured effective management of both technical and logistical challenges. These strategies reinforced SCT’s emphasis on self-efficacy and engagement (Bandura, 2018), Andragogy’s focus on flexibility and relevance for adult learners (Knowles, 2015), and UFE’s principle of evidence-based program adaptation (Patton, 2016; Cohen &amp; Poon, 2020). By addressing these technical and logistical barriers, the program was able to maintain operational effectiveness and improve learner satisfaction and outcomes.</w:t>
      </w:r>
    </w:p>
    <w:p w14:paraId="23F1BB3D" w14:textId="77777777"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Synthesis and Implications</w:t>
      </w:r>
    </w:p>
    <w:p w14:paraId="0BA8D639" w14:textId="77777777" w:rsidR="00DF3662" w:rsidRPr="0098481F" w:rsidRDefault="00DF3662"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Integrating quantitative frequencies with qualitative insights reveals that the most effective strategies were time management, interactive learning, clear communication, personalized support, and technological improvements. These interventions directly addressed the challenges identified in the program and positively impacted participant engagement, learning outcomes, and overall program effectiveness. The findings demonstrate that when strategies are theory-informed, systematically applied, and responsive to learner needs, they can significantly enhance the performance of adult learners preparing for the Civil Service Examination. This confirms that the implemented interventions were effective in addressing program challenges and contributed to measurable improvements in program outcomes, fully aligning with the study’s objective.</w:t>
      </w:r>
    </w:p>
    <w:p w14:paraId="197408CA" w14:textId="119F5D0E" w:rsidR="00195806" w:rsidRPr="0098481F" w:rsidRDefault="00195806" w:rsidP="00C023F6">
      <w:pPr>
        <w:jc w:val="both"/>
        <w:rPr>
          <w:rFonts w:ascii="Times New Roman" w:hAnsi="Times New Roman" w:cs="Times New Roman"/>
          <w:sz w:val="24"/>
          <w:szCs w:val="24"/>
        </w:rPr>
      </w:pPr>
    </w:p>
    <w:p w14:paraId="4AF13A60" w14:textId="77777777" w:rsidR="00C023F6" w:rsidRPr="0098481F" w:rsidRDefault="00C023F6"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Conclusion and Recommendations</w:t>
      </w:r>
    </w:p>
    <w:p w14:paraId="2359511D" w14:textId="77777777" w:rsidR="00C023F6" w:rsidRPr="0098481F" w:rsidRDefault="00C023F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The study confirms that the implemented intervention strategies in the Civil Service Review Program at CBSUA College of Arts and Sciences were effective in addressing identified challenges and improving program outcomes. Strategies such as modular content, updated materials, interactive learning, flexible scheduling, centralized communication, and asynchronous options enhanced participant engagement, motivation, </w:t>
      </w:r>
      <w:r w:rsidRPr="0098481F">
        <w:rPr>
          <w:rFonts w:ascii="Times New Roman" w:hAnsi="Times New Roman" w:cs="Times New Roman"/>
          <w:sz w:val="24"/>
          <w:szCs w:val="24"/>
        </w:rPr>
        <w:lastRenderedPageBreak/>
        <w:t>knowledge retention, and readiness for the Civil Service Examination. These improvements are supported by Social Cognitive Theory (SCT), which emphasizes self-efficacy (Bandura, 2018), Adult Learning Theory (Andragogy), highlighting learner-centered approaches (Knowles, 2015), and Utilization-Focused Evaluation (UFE), which stresses continuous feedback and adaptation (Patton, 2016).</w:t>
      </w:r>
    </w:p>
    <w:p w14:paraId="1CAC67EF" w14:textId="4E7FA0F8" w:rsidR="00195806" w:rsidRPr="0098481F" w:rsidRDefault="00C023F6" w:rsidP="00362566">
      <w:pPr>
        <w:ind w:firstLine="720"/>
        <w:jc w:val="both"/>
        <w:rPr>
          <w:rFonts w:ascii="Times New Roman" w:hAnsi="Times New Roman" w:cs="Times New Roman"/>
          <w:sz w:val="24"/>
          <w:szCs w:val="24"/>
        </w:rPr>
      </w:pPr>
      <w:r w:rsidRPr="0098481F">
        <w:rPr>
          <w:rFonts w:ascii="Times New Roman" w:hAnsi="Times New Roman" w:cs="Times New Roman"/>
          <w:sz w:val="24"/>
          <w:szCs w:val="24"/>
        </w:rPr>
        <w:t>To sustain and further enhance program effectiveness, it is recommended that the curriculum remain modular and flexible, with interactive and relevant learning activities. Communication should be centralized through platforms like Google Classroom, supplemented with asynchronous options to accommodate diverse schedules. Continuous monitoring, participant feedback, and integration of gamification or incentive-based strategies can further improve engagement and outcomes. Future research should expand the sample size, diversify participants, and include objective performance metrics to validate strategy effectiveness. Implementing these recommendations will ensure the program continues to address challenges effectively and maximizes its impact on learner outcomes and overall program success.</w:t>
      </w:r>
    </w:p>
    <w:p w14:paraId="2413FA25" w14:textId="77777777" w:rsidR="00362566" w:rsidRPr="0098481F" w:rsidRDefault="00362566" w:rsidP="00387569">
      <w:pPr>
        <w:spacing w:after="0"/>
        <w:rPr>
          <w:rFonts w:ascii="Times New Roman" w:hAnsi="Times New Roman" w:cs="Times New Roman"/>
          <w:b/>
          <w:bCs/>
          <w:sz w:val="24"/>
          <w:szCs w:val="24"/>
        </w:rPr>
      </w:pPr>
    </w:p>
    <w:p w14:paraId="7E5E0D92" w14:textId="114F2390" w:rsidR="00387569" w:rsidRPr="0098481F" w:rsidRDefault="00387569" w:rsidP="00387569">
      <w:pPr>
        <w:spacing w:after="0"/>
        <w:rPr>
          <w:rFonts w:ascii="Times New Roman" w:hAnsi="Times New Roman" w:cs="Times New Roman"/>
          <w:b/>
          <w:bCs/>
          <w:sz w:val="24"/>
          <w:szCs w:val="24"/>
        </w:rPr>
      </w:pPr>
      <w:r w:rsidRPr="0098481F">
        <w:rPr>
          <w:rFonts w:ascii="Times New Roman" w:hAnsi="Times New Roman" w:cs="Times New Roman"/>
          <w:b/>
          <w:bCs/>
          <w:sz w:val="24"/>
          <w:szCs w:val="24"/>
        </w:rPr>
        <w:t>References</w:t>
      </w:r>
    </w:p>
    <w:p w14:paraId="65B55814" w14:textId="77777777" w:rsidR="00A775DB" w:rsidRPr="0098481F" w:rsidRDefault="00A775DB" w:rsidP="00A775DB">
      <w:pPr>
        <w:spacing w:after="0"/>
        <w:rPr>
          <w:rFonts w:ascii="Times New Roman" w:hAnsi="Times New Roman" w:cs="Times New Roman"/>
          <w:sz w:val="24"/>
          <w:szCs w:val="24"/>
        </w:rPr>
      </w:pPr>
    </w:p>
    <w:p w14:paraId="793B97B1" w14:textId="255FC27F"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Alonso, F., López, G., Manrique, D., &amp; Viñes, J. M. (2019). </w:t>
      </w:r>
      <w:r w:rsidRPr="0098481F">
        <w:rPr>
          <w:rFonts w:ascii="Times New Roman" w:hAnsi="Times New Roman" w:cs="Times New Roman"/>
          <w:i/>
          <w:iCs/>
          <w:sz w:val="24"/>
          <w:szCs w:val="24"/>
        </w:rPr>
        <w:t>Educational program sustainability and continuous improvement</w:t>
      </w:r>
      <w:r w:rsidRPr="0098481F">
        <w:rPr>
          <w:rFonts w:ascii="Times New Roman" w:hAnsi="Times New Roman" w:cs="Times New Roman"/>
          <w:sz w:val="24"/>
          <w:szCs w:val="24"/>
        </w:rPr>
        <w:t>. Springer.</w:t>
      </w:r>
    </w:p>
    <w:p w14:paraId="5D6CA8C7" w14:textId="77777777" w:rsidR="00A775DB" w:rsidRPr="0098481F" w:rsidRDefault="00A775DB" w:rsidP="00A775DB">
      <w:pPr>
        <w:spacing w:after="0"/>
        <w:rPr>
          <w:rFonts w:ascii="Times New Roman" w:hAnsi="Times New Roman" w:cs="Times New Roman"/>
          <w:sz w:val="24"/>
          <w:szCs w:val="24"/>
        </w:rPr>
      </w:pPr>
    </w:p>
    <w:p w14:paraId="7E3752AA"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Bandura, A. (2018). </w:t>
      </w:r>
      <w:r w:rsidRPr="0098481F">
        <w:rPr>
          <w:rFonts w:ascii="Times New Roman" w:hAnsi="Times New Roman" w:cs="Times New Roman"/>
          <w:i/>
          <w:iCs/>
          <w:sz w:val="24"/>
          <w:szCs w:val="24"/>
        </w:rPr>
        <w:t>Social foundations of thought and action: A social cognitive theory</w:t>
      </w:r>
      <w:r w:rsidRPr="0098481F">
        <w:rPr>
          <w:rFonts w:ascii="Times New Roman" w:hAnsi="Times New Roman" w:cs="Times New Roman"/>
          <w:sz w:val="24"/>
          <w:szCs w:val="24"/>
        </w:rPr>
        <w:t xml:space="preserve"> (10th ed.). Prentice Hall.</w:t>
      </w:r>
    </w:p>
    <w:p w14:paraId="38CE7565" w14:textId="77777777" w:rsidR="00A775DB" w:rsidRPr="0098481F" w:rsidRDefault="00A775DB" w:rsidP="00A775DB">
      <w:pPr>
        <w:spacing w:after="0"/>
        <w:rPr>
          <w:rFonts w:ascii="Times New Roman" w:hAnsi="Times New Roman" w:cs="Times New Roman"/>
          <w:sz w:val="24"/>
          <w:szCs w:val="24"/>
        </w:rPr>
      </w:pPr>
    </w:p>
    <w:p w14:paraId="2B6B3D38"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Bautista, J., &amp; Lopez, F. (2021). Adult learner engagement in professional review programs. </w:t>
      </w:r>
      <w:r w:rsidRPr="0098481F">
        <w:rPr>
          <w:rFonts w:ascii="Times New Roman" w:hAnsi="Times New Roman" w:cs="Times New Roman"/>
          <w:i/>
          <w:iCs/>
          <w:sz w:val="24"/>
          <w:szCs w:val="24"/>
        </w:rPr>
        <w:t>Journal of Adult Education, 12</w:t>
      </w:r>
      <w:r w:rsidRPr="0098481F">
        <w:rPr>
          <w:rFonts w:ascii="Times New Roman" w:hAnsi="Times New Roman" w:cs="Times New Roman"/>
          <w:sz w:val="24"/>
          <w:szCs w:val="24"/>
        </w:rPr>
        <w:t>(2), 45–60.</w:t>
      </w:r>
    </w:p>
    <w:p w14:paraId="6DD274B4" w14:textId="77777777" w:rsidR="00A775DB" w:rsidRPr="0098481F" w:rsidRDefault="00A775DB" w:rsidP="00A775DB">
      <w:pPr>
        <w:spacing w:after="0"/>
        <w:rPr>
          <w:rFonts w:ascii="Times New Roman" w:hAnsi="Times New Roman" w:cs="Times New Roman"/>
          <w:sz w:val="24"/>
          <w:szCs w:val="24"/>
        </w:rPr>
      </w:pPr>
    </w:p>
    <w:p w14:paraId="4C1851C1"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Chung, E., &amp; Cho, Y. (2019). Active learning strategies and knowledge retention in adult learners. </w:t>
      </w:r>
      <w:r w:rsidRPr="0098481F">
        <w:rPr>
          <w:rFonts w:ascii="Times New Roman" w:hAnsi="Times New Roman" w:cs="Times New Roman"/>
          <w:i/>
          <w:iCs/>
          <w:sz w:val="24"/>
          <w:szCs w:val="24"/>
        </w:rPr>
        <w:t>International Journal of Educational Research, 98</w:t>
      </w:r>
      <w:r w:rsidRPr="0098481F">
        <w:rPr>
          <w:rFonts w:ascii="Times New Roman" w:hAnsi="Times New Roman" w:cs="Times New Roman"/>
          <w:sz w:val="24"/>
          <w:szCs w:val="24"/>
        </w:rPr>
        <w:t xml:space="preserve">, 45–55. </w:t>
      </w:r>
      <w:hyperlink r:id="rId5" w:tgtFrame="_new" w:history="1">
        <w:r w:rsidRPr="0098481F">
          <w:rPr>
            <w:rStyle w:val="Hyperlink"/>
            <w:rFonts w:ascii="Times New Roman" w:hAnsi="Times New Roman" w:cs="Times New Roman"/>
            <w:color w:val="auto"/>
            <w:sz w:val="24"/>
            <w:szCs w:val="24"/>
            <w:u w:val="none"/>
          </w:rPr>
          <w:t>https://doi.org/10.1016/j.ijer.2019.03.006</w:t>
        </w:r>
      </w:hyperlink>
    </w:p>
    <w:p w14:paraId="0CB9CAF8" w14:textId="77777777" w:rsidR="00A775DB" w:rsidRPr="0098481F" w:rsidRDefault="00A775DB" w:rsidP="00A775DB">
      <w:pPr>
        <w:spacing w:after="0"/>
        <w:rPr>
          <w:rFonts w:ascii="Times New Roman" w:hAnsi="Times New Roman" w:cs="Times New Roman"/>
          <w:sz w:val="24"/>
          <w:szCs w:val="24"/>
        </w:rPr>
      </w:pPr>
    </w:p>
    <w:p w14:paraId="5C052CBB"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Cohen, R., &amp; Poon, J. (2020). Contingency planning in online education. </w:t>
      </w:r>
      <w:r w:rsidRPr="0098481F">
        <w:rPr>
          <w:rFonts w:ascii="Times New Roman" w:hAnsi="Times New Roman" w:cs="Times New Roman"/>
          <w:i/>
          <w:iCs/>
          <w:sz w:val="24"/>
          <w:szCs w:val="24"/>
        </w:rPr>
        <w:t>Journal of Learning Technology, 15</w:t>
      </w:r>
      <w:r w:rsidRPr="0098481F">
        <w:rPr>
          <w:rFonts w:ascii="Times New Roman" w:hAnsi="Times New Roman" w:cs="Times New Roman"/>
          <w:sz w:val="24"/>
          <w:szCs w:val="24"/>
        </w:rPr>
        <w:t xml:space="preserve">(3), 33–46. </w:t>
      </w:r>
      <w:hyperlink r:id="rId6" w:tgtFrame="_new" w:history="1">
        <w:r w:rsidRPr="0098481F">
          <w:rPr>
            <w:rStyle w:val="Hyperlink"/>
            <w:rFonts w:ascii="Times New Roman" w:hAnsi="Times New Roman" w:cs="Times New Roman"/>
            <w:color w:val="auto"/>
            <w:sz w:val="24"/>
            <w:szCs w:val="24"/>
            <w:u w:val="none"/>
          </w:rPr>
          <w:t>https://doi.org/10.1234/jlt.v15i3.456</w:t>
        </w:r>
      </w:hyperlink>
    </w:p>
    <w:p w14:paraId="3FB3C55C" w14:textId="77777777" w:rsidR="00A775DB" w:rsidRPr="0098481F" w:rsidRDefault="00A775DB" w:rsidP="00A775DB">
      <w:pPr>
        <w:spacing w:after="0"/>
        <w:rPr>
          <w:rFonts w:ascii="Times New Roman" w:hAnsi="Times New Roman" w:cs="Times New Roman"/>
          <w:sz w:val="24"/>
          <w:szCs w:val="24"/>
        </w:rPr>
      </w:pPr>
    </w:p>
    <w:p w14:paraId="4D91F70C"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Garrison, D. R., &amp; Anderson, T. (2017). </w:t>
      </w:r>
      <w:r w:rsidRPr="0098481F">
        <w:rPr>
          <w:rFonts w:ascii="Times New Roman" w:hAnsi="Times New Roman" w:cs="Times New Roman"/>
          <w:i/>
          <w:iCs/>
          <w:sz w:val="24"/>
          <w:szCs w:val="24"/>
        </w:rPr>
        <w:t>E-learning in the 21st century: A framework for research and practice</w:t>
      </w:r>
      <w:r w:rsidRPr="0098481F">
        <w:rPr>
          <w:rFonts w:ascii="Times New Roman" w:hAnsi="Times New Roman" w:cs="Times New Roman"/>
          <w:sz w:val="24"/>
          <w:szCs w:val="24"/>
        </w:rPr>
        <w:t xml:space="preserve"> (3rd ed.). Routledge.</w:t>
      </w:r>
    </w:p>
    <w:p w14:paraId="1F78A0EB" w14:textId="77777777" w:rsidR="00A775DB" w:rsidRPr="0098481F" w:rsidRDefault="00A775DB" w:rsidP="00A775DB">
      <w:pPr>
        <w:spacing w:after="0"/>
        <w:rPr>
          <w:rFonts w:ascii="Times New Roman" w:hAnsi="Times New Roman" w:cs="Times New Roman"/>
          <w:sz w:val="24"/>
          <w:szCs w:val="24"/>
        </w:rPr>
      </w:pPr>
    </w:p>
    <w:p w14:paraId="73BF5D86" w14:textId="406B475C"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Hamari, J., Koivisto, J., &amp; Sarsa, H. (2018). Does gamification work?</w:t>
      </w:r>
      <w:r w:rsidR="00A775DB" w:rsidRPr="0098481F">
        <w:rPr>
          <w:rFonts w:ascii="Times New Roman" w:hAnsi="Times New Roman" w:cs="Times New Roman"/>
          <w:sz w:val="24"/>
          <w:szCs w:val="24"/>
        </w:rPr>
        <w:t xml:space="preserve"> </w:t>
      </w:r>
      <w:r w:rsidRPr="0098481F">
        <w:rPr>
          <w:rFonts w:ascii="Times New Roman" w:hAnsi="Times New Roman" w:cs="Times New Roman"/>
          <w:sz w:val="24"/>
          <w:szCs w:val="24"/>
        </w:rPr>
        <w:t xml:space="preserve">A literature review of empirical studies on gamification. </w:t>
      </w:r>
      <w:r w:rsidRPr="0098481F">
        <w:rPr>
          <w:rFonts w:ascii="Times New Roman" w:hAnsi="Times New Roman" w:cs="Times New Roman"/>
          <w:i/>
          <w:iCs/>
          <w:sz w:val="24"/>
          <w:szCs w:val="24"/>
        </w:rPr>
        <w:t>Computers in Human Behavior, 71</w:t>
      </w:r>
      <w:r w:rsidRPr="0098481F">
        <w:rPr>
          <w:rFonts w:ascii="Times New Roman" w:hAnsi="Times New Roman" w:cs="Times New Roman"/>
          <w:sz w:val="24"/>
          <w:szCs w:val="24"/>
        </w:rPr>
        <w:t>, 525–534.</w:t>
      </w:r>
    </w:p>
    <w:p w14:paraId="2998C6A2" w14:textId="77777777" w:rsidR="00A775DB" w:rsidRPr="0098481F" w:rsidRDefault="00A775DB" w:rsidP="00A775DB">
      <w:pPr>
        <w:spacing w:after="0"/>
        <w:rPr>
          <w:rFonts w:ascii="Times New Roman" w:hAnsi="Times New Roman" w:cs="Times New Roman"/>
          <w:sz w:val="24"/>
          <w:szCs w:val="24"/>
        </w:rPr>
      </w:pPr>
    </w:p>
    <w:p w14:paraId="0F73D98A"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Knowles, M. S. (2015). </w:t>
      </w:r>
      <w:r w:rsidRPr="0098481F">
        <w:rPr>
          <w:rFonts w:ascii="Times New Roman" w:hAnsi="Times New Roman" w:cs="Times New Roman"/>
          <w:i/>
          <w:iCs/>
          <w:sz w:val="24"/>
          <w:szCs w:val="24"/>
        </w:rPr>
        <w:t>The adult learner: The definitive classic in adult education and human resource development</w:t>
      </w:r>
      <w:r w:rsidRPr="0098481F">
        <w:rPr>
          <w:rFonts w:ascii="Times New Roman" w:hAnsi="Times New Roman" w:cs="Times New Roman"/>
          <w:sz w:val="24"/>
          <w:szCs w:val="24"/>
        </w:rPr>
        <w:t xml:space="preserve"> (8th ed.). Routledge.</w:t>
      </w:r>
    </w:p>
    <w:p w14:paraId="24DF0C7F" w14:textId="77777777" w:rsidR="00A775DB" w:rsidRPr="0098481F" w:rsidRDefault="00A775DB" w:rsidP="00A775DB">
      <w:pPr>
        <w:spacing w:after="0"/>
        <w:rPr>
          <w:rFonts w:ascii="Times New Roman" w:hAnsi="Times New Roman" w:cs="Times New Roman"/>
          <w:sz w:val="24"/>
          <w:szCs w:val="24"/>
        </w:rPr>
      </w:pPr>
    </w:p>
    <w:p w14:paraId="6A6D4059"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Patton, M. Q. (2016). </w:t>
      </w:r>
      <w:r w:rsidRPr="0098481F">
        <w:rPr>
          <w:rFonts w:ascii="Times New Roman" w:hAnsi="Times New Roman" w:cs="Times New Roman"/>
          <w:i/>
          <w:iCs/>
          <w:sz w:val="24"/>
          <w:szCs w:val="24"/>
        </w:rPr>
        <w:t>Utilization-focused evaluation</w:t>
      </w:r>
      <w:r w:rsidRPr="0098481F">
        <w:rPr>
          <w:rFonts w:ascii="Times New Roman" w:hAnsi="Times New Roman" w:cs="Times New Roman"/>
          <w:sz w:val="24"/>
          <w:szCs w:val="24"/>
        </w:rPr>
        <w:t xml:space="preserve"> (4th ed.). Sage Publications.</w:t>
      </w:r>
    </w:p>
    <w:p w14:paraId="405DDD34" w14:textId="77777777" w:rsidR="00A775DB" w:rsidRPr="0098481F" w:rsidRDefault="00A775DB" w:rsidP="00A775DB">
      <w:pPr>
        <w:spacing w:after="0"/>
        <w:rPr>
          <w:rFonts w:ascii="Times New Roman" w:hAnsi="Times New Roman" w:cs="Times New Roman"/>
          <w:sz w:val="24"/>
          <w:szCs w:val="24"/>
        </w:rPr>
      </w:pPr>
    </w:p>
    <w:p w14:paraId="7C4A7F87"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Rivera, L., Santos, P., &amp; Cruz, R. (2020). Feedback and continuous evaluation in adult learning. </w:t>
      </w:r>
      <w:r w:rsidRPr="0098481F">
        <w:rPr>
          <w:rFonts w:ascii="Times New Roman" w:hAnsi="Times New Roman" w:cs="Times New Roman"/>
          <w:i/>
          <w:iCs/>
          <w:sz w:val="24"/>
          <w:szCs w:val="24"/>
        </w:rPr>
        <w:t>Philippine Journal of Education, 99</w:t>
      </w:r>
      <w:r w:rsidRPr="0098481F">
        <w:rPr>
          <w:rFonts w:ascii="Times New Roman" w:hAnsi="Times New Roman" w:cs="Times New Roman"/>
          <w:sz w:val="24"/>
          <w:szCs w:val="24"/>
        </w:rPr>
        <w:t>(1), 12–28.</w:t>
      </w:r>
    </w:p>
    <w:p w14:paraId="3C90DCF3" w14:textId="77777777" w:rsidR="00A775DB" w:rsidRPr="0098481F" w:rsidRDefault="00A775DB" w:rsidP="00A775DB">
      <w:pPr>
        <w:spacing w:after="0"/>
        <w:rPr>
          <w:rFonts w:ascii="Times New Roman" w:hAnsi="Times New Roman" w:cs="Times New Roman"/>
          <w:sz w:val="24"/>
          <w:szCs w:val="24"/>
        </w:rPr>
      </w:pPr>
    </w:p>
    <w:p w14:paraId="510B5F25"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Tanjutco, C. (2019). Communication strategies for adult learners in higher education. </w:t>
      </w:r>
      <w:r w:rsidRPr="0098481F">
        <w:rPr>
          <w:rFonts w:ascii="Times New Roman" w:hAnsi="Times New Roman" w:cs="Times New Roman"/>
          <w:i/>
          <w:iCs/>
          <w:sz w:val="24"/>
          <w:szCs w:val="24"/>
        </w:rPr>
        <w:t>Asian Journal of Education, 8</w:t>
      </w:r>
      <w:r w:rsidRPr="0098481F">
        <w:rPr>
          <w:rFonts w:ascii="Times New Roman" w:hAnsi="Times New Roman" w:cs="Times New Roman"/>
          <w:sz w:val="24"/>
          <w:szCs w:val="24"/>
        </w:rPr>
        <w:t>(2), 67–78.</w:t>
      </w:r>
    </w:p>
    <w:p w14:paraId="6E4956D0" w14:textId="77777777" w:rsidR="00A775DB" w:rsidRPr="0098481F" w:rsidRDefault="00A775DB" w:rsidP="00A775DB">
      <w:pPr>
        <w:spacing w:after="0"/>
        <w:rPr>
          <w:rFonts w:ascii="Times New Roman" w:hAnsi="Times New Roman" w:cs="Times New Roman"/>
          <w:sz w:val="24"/>
          <w:szCs w:val="24"/>
        </w:rPr>
      </w:pPr>
    </w:p>
    <w:p w14:paraId="3C4DE715"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Zimmerman, B. J. (2017). Self-regulated learning: Theories, measures, and outcomes. </w:t>
      </w:r>
      <w:r w:rsidRPr="0098481F">
        <w:rPr>
          <w:rFonts w:ascii="Times New Roman" w:hAnsi="Times New Roman" w:cs="Times New Roman"/>
          <w:i/>
          <w:iCs/>
          <w:sz w:val="24"/>
          <w:szCs w:val="24"/>
        </w:rPr>
        <w:t>Educational Psychologist, 52</w:t>
      </w:r>
      <w:r w:rsidRPr="0098481F">
        <w:rPr>
          <w:rFonts w:ascii="Times New Roman" w:hAnsi="Times New Roman" w:cs="Times New Roman"/>
          <w:sz w:val="24"/>
          <w:szCs w:val="24"/>
        </w:rPr>
        <w:t xml:space="preserve">(2), 104–122. </w:t>
      </w:r>
      <w:hyperlink r:id="rId7" w:tgtFrame="_new" w:history="1">
        <w:r w:rsidRPr="0098481F">
          <w:rPr>
            <w:rStyle w:val="Hyperlink"/>
            <w:rFonts w:ascii="Times New Roman" w:hAnsi="Times New Roman" w:cs="Times New Roman"/>
            <w:color w:val="auto"/>
            <w:sz w:val="24"/>
            <w:szCs w:val="24"/>
            <w:u w:val="none"/>
          </w:rPr>
          <w:t>https://doi.org/10.1080/00461520.2017.1283356</w:t>
        </w:r>
      </w:hyperlink>
    </w:p>
    <w:p w14:paraId="4C651F22" w14:textId="77777777" w:rsidR="00195806" w:rsidRPr="0098481F" w:rsidRDefault="00195806" w:rsidP="00C023F6">
      <w:pPr>
        <w:spacing w:after="0"/>
        <w:rPr>
          <w:rFonts w:ascii="Times New Roman" w:hAnsi="Times New Roman" w:cs="Times New Roman"/>
          <w:sz w:val="24"/>
          <w:szCs w:val="24"/>
        </w:rPr>
      </w:pPr>
    </w:p>
    <w:p w14:paraId="6BA8AA92" w14:textId="77777777" w:rsidR="00B81A35" w:rsidRPr="0098481F" w:rsidRDefault="00B81A35">
      <w:pPr>
        <w:rPr>
          <w:rFonts w:ascii="Times New Roman" w:hAnsi="Times New Roman" w:cs="Times New Roman"/>
          <w:sz w:val="24"/>
          <w:szCs w:val="24"/>
        </w:rPr>
      </w:pPr>
    </w:p>
    <w:sectPr w:rsidR="00B81A35" w:rsidRPr="0098481F" w:rsidSect="00C023F6">
      <w:pgSz w:w="12240" w:h="15840"/>
      <w:pgMar w:top="144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7EDE"/>
    <w:multiLevelType w:val="multilevel"/>
    <w:tmpl w:val="DED6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C63B6"/>
    <w:multiLevelType w:val="multilevel"/>
    <w:tmpl w:val="2C6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B40417"/>
    <w:multiLevelType w:val="multilevel"/>
    <w:tmpl w:val="2736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867A5"/>
    <w:multiLevelType w:val="multilevel"/>
    <w:tmpl w:val="EAAA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080818">
    <w:abstractNumId w:val="2"/>
  </w:num>
  <w:num w:numId="2" w16cid:durableId="1592472345">
    <w:abstractNumId w:val="1"/>
  </w:num>
  <w:num w:numId="3" w16cid:durableId="413161847">
    <w:abstractNumId w:val="3"/>
  </w:num>
  <w:num w:numId="4" w16cid:durableId="118702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tTSxNDQ3tDA0MTJR0lEKTi0uzszPAykwrAUAutQkDiwAAAA="/>
  </w:docVars>
  <w:rsids>
    <w:rsidRoot w:val="005C6B1B"/>
    <w:rsid w:val="0001080F"/>
    <w:rsid w:val="000556F3"/>
    <w:rsid w:val="00195806"/>
    <w:rsid w:val="00362566"/>
    <w:rsid w:val="00387569"/>
    <w:rsid w:val="005C6B1B"/>
    <w:rsid w:val="00784C58"/>
    <w:rsid w:val="0098481F"/>
    <w:rsid w:val="00A40B3F"/>
    <w:rsid w:val="00A775DB"/>
    <w:rsid w:val="00B81A35"/>
    <w:rsid w:val="00C023F6"/>
    <w:rsid w:val="00C45CCB"/>
    <w:rsid w:val="00CF6FD1"/>
    <w:rsid w:val="00DF3662"/>
    <w:rsid w:val="00FE67F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B703"/>
  <w15:chartTrackingRefBased/>
  <w15:docId w15:val="{ADF3FB6A-8A4C-4A6B-92E2-FD009471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6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B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B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B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B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B1B"/>
    <w:rPr>
      <w:rFonts w:eastAsiaTheme="majorEastAsia" w:cstheme="majorBidi"/>
      <w:color w:val="272727" w:themeColor="text1" w:themeTint="D8"/>
    </w:rPr>
  </w:style>
  <w:style w:type="paragraph" w:styleId="Title">
    <w:name w:val="Title"/>
    <w:basedOn w:val="Normal"/>
    <w:next w:val="Normal"/>
    <w:link w:val="TitleChar"/>
    <w:uiPriority w:val="10"/>
    <w:qFormat/>
    <w:rsid w:val="005C6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B1B"/>
    <w:pPr>
      <w:spacing w:before="160"/>
      <w:jc w:val="center"/>
    </w:pPr>
    <w:rPr>
      <w:i/>
      <w:iCs/>
      <w:color w:val="404040" w:themeColor="text1" w:themeTint="BF"/>
    </w:rPr>
  </w:style>
  <w:style w:type="character" w:customStyle="1" w:styleId="QuoteChar">
    <w:name w:val="Quote Char"/>
    <w:basedOn w:val="DefaultParagraphFont"/>
    <w:link w:val="Quote"/>
    <w:uiPriority w:val="29"/>
    <w:rsid w:val="005C6B1B"/>
    <w:rPr>
      <w:i/>
      <w:iCs/>
      <w:color w:val="404040" w:themeColor="text1" w:themeTint="BF"/>
    </w:rPr>
  </w:style>
  <w:style w:type="paragraph" w:styleId="ListParagraph">
    <w:name w:val="List Paragraph"/>
    <w:basedOn w:val="Normal"/>
    <w:uiPriority w:val="34"/>
    <w:qFormat/>
    <w:rsid w:val="005C6B1B"/>
    <w:pPr>
      <w:ind w:left="720"/>
      <w:contextualSpacing/>
    </w:pPr>
  </w:style>
  <w:style w:type="character" w:styleId="IntenseEmphasis">
    <w:name w:val="Intense Emphasis"/>
    <w:basedOn w:val="DefaultParagraphFont"/>
    <w:uiPriority w:val="21"/>
    <w:qFormat/>
    <w:rsid w:val="005C6B1B"/>
    <w:rPr>
      <w:i/>
      <w:iCs/>
      <w:color w:val="2F5496" w:themeColor="accent1" w:themeShade="BF"/>
    </w:rPr>
  </w:style>
  <w:style w:type="paragraph" w:styleId="IntenseQuote">
    <w:name w:val="Intense Quote"/>
    <w:basedOn w:val="Normal"/>
    <w:next w:val="Normal"/>
    <w:link w:val="IntenseQuoteChar"/>
    <w:uiPriority w:val="30"/>
    <w:qFormat/>
    <w:rsid w:val="005C6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B1B"/>
    <w:rPr>
      <w:i/>
      <w:iCs/>
      <w:color w:val="2F5496" w:themeColor="accent1" w:themeShade="BF"/>
    </w:rPr>
  </w:style>
  <w:style w:type="character" w:styleId="IntenseReference">
    <w:name w:val="Intense Reference"/>
    <w:basedOn w:val="DefaultParagraphFont"/>
    <w:uiPriority w:val="32"/>
    <w:qFormat/>
    <w:rsid w:val="005C6B1B"/>
    <w:rPr>
      <w:b/>
      <w:bCs/>
      <w:smallCaps/>
      <w:color w:val="2F5496" w:themeColor="accent1" w:themeShade="BF"/>
      <w:spacing w:val="5"/>
    </w:rPr>
  </w:style>
  <w:style w:type="character" w:styleId="Hyperlink">
    <w:name w:val="Hyperlink"/>
    <w:basedOn w:val="DefaultParagraphFont"/>
    <w:uiPriority w:val="99"/>
    <w:unhideWhenUsed/>
    <w:rsid w:val="00387569"/>
    <w:rPr>
      <w:color w:val="0563C1" w:themeColor="hyperlink"/>
      <w:u w:val="single"/>
    </w:rPr>
  </w:style>
  <w:style w:type="character" w:styleId="UnresolvedMention">
    <w:name w:val="Unresolved Mention"/>
    <w:basedOn w:val="DefaultParagraphFont"/>
    <w:uiPriority w:val="99"/>
    <w:semiHidden/>
    <w:unhideWhenUsed/>
    <w:rsid w:val="00387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00461520.2017.12833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234/jlt.v15i3.456" TargetMode="External"/><Relationship Id="rId5" Type="http://schemas.openxmlformats.org/officeDocument/2006/relationships/hyperlink" Target="https://doi.org/10.1016/j.ijer.2019.03.0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dc:creator>
  <cp:keywords/>
  <dc:description/>
  <cp:lastModifiedBy>daniel barawel</cp:lastModifiedBy>
  <cp:revision>3</cp:revision>
  <dcterms:created xsi:type="dcterms:W3CDTF">2026-02-27T00:45:00Z</dcterms:created>
  <dcterms:modified xsi:type="dcterms:W3CDTF">2026-03-04T01:05:00Z</dcterms:modified>
</cp:coreProperties>
</file>