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5C" w:rsidRPr="00E40ABB" w:rsidRDefault="00B97703" w:rsidP="00E2045C">
      <w:pPr>
        <w:jc w:val="both"/>
        <w:rPr>
          <w:rFonts w:ascii="Times New Roman" w:hAnsi="Times New Roman" w:cs="Times New Roman"/>
          <w:b/>
          <w:sz w:val="24"/>
          <w:szCs w:val="24"/>
        </w:rPr>
      </w:pPr>
      <w:r w:rsidRPr="00E40ABB">
        <w:rPr>
          <w:rFonts w:ascii="Times New Roman" w:hAnsi="Times New Roman" w:cs="Times New Roman"/>
          <w:b/>
          <w:sz w:val="24"/>
          <w:szCs w:val="24"/>
        </w:rPr>
        <w:t>Case report:-</w:t>
      </w:r>
    </w:p>
    <w:p w:rsidR="006E7AA6" w:rsidRPr="00E40ABB" w:rsidRDefault="00614CAE" w:rsidP="00E2045C">
      <w:pPr>
        <w:jc w:val="both"/>
        <w:rPr>
          <w:rFonts w:ascii="Times New Roman" w:hAnsi="Times New Roman" w:cs="Times New Roman"/>
          <w:sz w:val="24"/>
          <w:szCs w:val="24"/>
        </w:rPr>
      </w:pPr>
      <w:r>
        <w:rPr>
          <w:rFonts w:ascii="Times New Roman" w:hAnsi="Times New Roman" w:cs="Times New Roman"/>
          <w:sz w:val="24"/>
          <w:szCs w:val="24"/>
        </w:rPr>
        <w:t>Elizabeth</w:t>
      </w:r>
      <w:r w:rsidR="00A94F7C">
        <w:rPr>
          <w:rFonts w:ascii="Times New Roman" w:hAnsi="Times New Roman" w:cs="Times New Roman"/>
          <w:sz w:val="24"/>
          <w:szCs w:val="24"/>
        </w:rPr>
        <w:t>kingia meningoseptica meningitis in a late preterm infan</w:t>
      </w:r>
      <w:r w:rsidR="004D5117">
        <w:rPr>
          <w:rFonts w:ascii="Times New Roman" w:hAnsi="Times New Roman" w:cs="Times New Roman"/>
          <w:sz w:val="24"/>
          <w:szCs w:val="24"/>
        </w:rPr>
        <w:t>t with associated complications: A rare clinical case.</w:t>
      </w:r>
    </w:p>
    <w:p w:rsidR="00524FEC" w:rsidRPr="00E40ABB" w:rsidRDefault="00B40F1A" w:rsidP="00E2045C">
      <w:pPr>
        <w:jc w:val="both"/>
        <w:rPr>
          <w:rFonts w:ascii="Times New Roman" w:eastAsia="Times New Roman" w:hAnsi="Times New Roman" w:cs="Times New Roman"/>
          <w:sz w:val="24"/>
          <w:szCs w:val="24"/>
        </w:rPr>
      </w:pPr>
      <w:r w:rsidRPr="00E40ABB">
        <w:rPr>
          <w:rFonts w:ascii="Times New Roman" w:eastAsia="Times New Roman" w:hAnsi="Times New Roman" w:cs="Times New Roman"/>
          <w:b/>
          <w:bCs/>
          <w:color w:val="000000"/>
          <w:sz w:val="24"/>
          <w:szCs w:val="24"/>
        </w:rPr>
        <w:t>Abstract:</w:t>
      </w:r>
    </w:p>
    <w:p w:rsidR="00524FEC" w:rsidRPr="00E40ABB" w:rsidRDefault="00524FEC" w:rsidP="00E2045C">
      <w:pPr>
        <w:jc w:val="both"/>
        <w:rPr>
          <w:rFonts w:ascii="Times New Roman" w:eastAsia="Times New Roman" w:hAnsi="Times New Roman" w:cs="Times New Roman"/>
          <w:sz w:val="24"/>
          <w:szCs w:val="24"/>
        </w:rPr>
      </w:pPr>
      <w:r w:rsidRPr="00E40ABB">
        <w:rPr>
          <w:rFonts w:ascii="Times New Roman" w:eastAsia="Times New Roman" w:hAnsi="Times New Roman" w:cs="Times New Roman"/>
          <w:b/>
          <w:bCs/>
          <w:color w:val="000000"/>
          <w:sz w:val="24"/>
          <w:szCs w:val="24"/>
        </w:rPr>
        <w:t xml:space="preserve">Introduction: </w:t>
      </w:r>
      <w:r w:rsidRPr="00E40ABB">
        <w:rPr>
          <w:rFonts w:ascii="Times New Roman" w:eastAsia="Times New Roman" w:hAnsi="Times New Roman" w:cs="Times New Roman"/>
          <w:iCs/>
          <w:color w:val="000000"/>
          <w:sz w:val="24"/>
          <w:szCs w:val="24"/>
        </w:rPr>
        <w:t xml:space="preserve">Elizabethkingia meningoseptica </w:t>
      </w:r>
      <w:r w:rsidRPr="00E40ABB">
        <w:rPr>
          <w:rFonts w:ascii="Times New Roman" w:eastAsia="Times New Roman" w:hAnsi="Times New Roman" w:cs="Times New Roman"/>
          <w:color w:val="000000"/>
          <w:sz w:val="24"/>
          <w:szCs w:val="24"/>
        </w:rPr>
        <w:t>(EM) is a gram-negative aerobic organism commonly foun</w:t>
      </w:r>
      <w:r w:rsidR="005B6E00" w:rsidRPr="00E40ABB">
        <w:rPr>
          <w:rFonts w:ascii="Times New Roman" w:eastAsia="Times New Roman" w:hAnsi="Times New Roman" w:cs="Times New Roman"/>
          <w:color w:val="000000"/>
          <w:sz w:val="24"/>
          <w:szCs w:val="24"/>
        </w:rPr>
        <w:t>d in environment that can cause</w:t>
      </w:r>
      <w:r w:rsidR="005B6E00" w:rsidRPr="00E40ABB">
        <w:rPr>
          <w:rFonts w:ascii="Times New Roman" w:eastAsia="Times New Roman" w:hAnsi="Times New Roman" w:cs="Times New Roman"/>
          <w:color w:val="231F20"/>
          <w:sz w:val="24"/>
          <w:szCs w:val="24"/>
        </w:rPr>
        <w:t xml:space="preserve">, </w:t>
      </w:r>
      <w:r w:rsidR="00224325" w:rsidRPr="00E40ABB">
        <w:rPr>
          <w:rFonts w:ascii="Times New Roman" w:eastAsia="Times New Roman" w:hAnsi="Times New Roman" w:cs="Times New Roman"/>
          <w:color w:val="231F20"/>
          <w:sz w:val="24"/>
          <w:szCs w:val="24"/>
        </w:rPr>
        <w:t>outbreaks of neonatal meningitis and septicemia in immunocompromised children and adults</w:t>
      </w:r>
      <w:r w:rsidRPr="00E40ABB">
        <w:rPr>
          <w:rFonts w:ascii="Times New Roman" w:eastAsia="Times New Roman" w:hAnsi="Times New Roman" w:cs="Times New Roman"/>
          <w:color w:val="000000"/>
          <w:sz w:val="24"/>
          <w:szCs w:val="24"/>
        </w:rPr>
        <w:t>. Although the incidence is higher in devel</w:t>
      </w:r>
      <w:r w:rsidR="00CD4C1E" w:rsidRPr="00E40ABB">
        <w:rPr>
          <w:rFonts w:ascii="Times New Roman" w:eastAsia="Times New Roman" w:hAnsi="Times New Roman" w:cs="Times New Roman"/>
          <w:color w:val="000000"/>
          <w:sz w:val="24"/>
          <w:szCs w:val="24"/>
        </w:rPr>
        <w:t>oping countries, having been isolated on contaminated medical equipments, especially in neonates.</w:t>
      </w:r>
    </w:p>
    <w:p w:rsidR="001B6E52" w:rsidRPr="00967B66" w:rsidRDefault="00CD4C1E" w:rsidP="00E2045C">
      <w:pPr>
        <w:jc w:val="both"/>
        <w:rPr>
          <w:rFonts w:ascii="Times New Roman" w:eastAsia="Times New Roman" w:hAnsi="Times New Roman" w:cs="Times New Roman"/>
          <w:color w:val="231F20"/>
          <w:sz w:val="24"/>
          <w:szCs w:val="24"/>
        </w:rPr>
      </w:pPr>
      <w:r w:rsidRPr="00E40ABB">
        <w:rPr>
          <w:rFonts w:ascii="Times New Roman" w:eastAsia="Times New Roman" w:hAnsi="Times New Roman" w:cs="Times New Roman"/>
          <w:b/>
          <w:bCs/>
          <w:color w:val="000000"/>
          <w:sz w:val="24"/>
          <w:szCs w:val="24"/>
        </w:rPr>
        <w:t>Case report</w:t>
      </w:r>
      <w:r w:rsidR="00524FEC" w:rsidRPr="00E40ABB">
        <w:rPr>
          <w:rFonts w:ascii="Times New Roman" w:eastAsia="Times New Roman" w:hAnsi="Times New Roman" w:cs="Times New Roman"/>
          <w:b/>
          <w:bCs/>
          <w:color w:val="000000"/>
          <w:sz w:val="24"/>
          <w:szCs w:val="24"/>
        </w:rPr>
        <w:t xml:space="preserve">: </w:t>
      </w:r>
      <w:r w:rsidR="001B6E52" w:rsidRPr="00E40ABB">
        <w:rPr>
          <w:rFonts w:ascii="Times New Roman" w:eastAsia="Times New Roman" w:hAnsi="Times New Roman" w:cs="Times New Roman"/>
          <w:b/>
          <w:bCs/>
          <w:color w:val="000000"/>
          <w:sz w:val="24"/>
          <w:szCs w:val="24"/>
        </w:rPr>
        <w:t xml:space="preserve"> </w:t>
      </w:r>
      <w:r w:rsidR="00967B66">
        <w:rPr>
          <w:rFonts w:ascii="Times New Roman" w:eastAsia="Times New Roman" w:hAnsi="Times New Roman" w:cs="Times New Roman"/>
          <w:color w:val="231F20"/>
          <w:sz w:val="24"/>
          <w:szCs w:val="24"/>
        </w:rPr>
        <w:t xml:space="preserve"> W</w:t>
      </w:r>
      <w:r w:rsidR="001B6E52" w:rsidRPr="00E40ABB">
        <w:rPr>
          <w:rFonts w:ascii="Times New Roman" w:eastAsia="Times New Roman" w:hAnsi="Times New Roman" w:cs="Times New Roman"/>
          <w:color w:val="231F20"/>
          <w:sz w:val="24"/>
          <w:szCs w:val="24"/>
        </w:rPr>
        <w:t>e</w:t>
      </w:r>
      <w:r w:rsidR="00967B66">
        <w:rPr>
          <w:rFonts w:ascii="Times New Roman" w:eastAsia="Times New Roman" w:hAnsi="Times New Roman" w:cs="Times New Roman"/>
          <w:color w:val="231F20"/>
          <w:sz w:val="24"/>
          <w:szCs w:val="24"/>
        </w:rPr>
        <w:t xml:space="preserve"> have </w:t>
      </w:r>
      <w:r w:rsidR="00C12B11">
        <w:rPr>
          <w:rFonts w:ascii="Times New Roman" w:eastAsia="Times New Roman" w:hAnsi="Times New Roman" w:cs="Times New Roman"/>
          <w:color w:val="231F20"/>
          <w:sz w:val="24"/>
          <w:szCs w:val="24"/>
        </w:rPr>
        <w:t xml:space="preserve">reported </w:t>
      </w:r>
      <w:r w:rsidR="00C12B11" w:rsidRPr="00E40ABB">
        <w:rPr>
          <w:rFonts w:ascii="Times New Roman" w:eastAsia="Times New Roman" w:hAnsi="Times New Roman" w:cs="Times New Roman"/>
          <w:color w:val="231F20"/>
          <w:sz w:val="24"/>
          <w:szCs w:val="24"/>
        </w:rPr>
        <w:t>the</w:t>
      </w:r>
      <w:r w:rsidR="001B6E52" w:rsidRPr="00E40ABB">
        <w:rPr>
          <w:rFonts w:ascii="Times New Roman" w:eastAsia="Times New Roman" w:hAnsi="Times New Roman" w:cs="Times New Roman"/>
          <w:color w:val="231F20"/>
          <w:sz w:val="24"/>
          <w:szCs w:val="24"/>
        </w:rPr>
        <w:t xml:space="preserve"> case of </w:t>
      </w:r>
      <w:r w:rsidR="00C12B11">
        <w:rPr>
          <w:rFonts w:ascii="Times New Roman" w:eastAsia="Times New Roman" w:hAnsi="Times New Roman" w:cs="Times New Roman"/>
          <w:color w:val="231F20"/>
          <w:sz w:val="24"/>
          <w:szCs w:val="24"/>
        </w:rPr>
        <w:t>a</w:t>
      </w:r>
      <w:r w:rsidR="00704725" w:rsidRPr="00E40ABB">
        <w:rPr>
          <w:rFonts w:ascii="Times New Roman" w:eastAsia="Times New Roman" w:hAnsi="Times New Roman" w:cs="Times New Roman"/>
          <w:color w:val="231F20"/>
          <w:sz w:val="24"/>
          <w:szCs w:val="24"/>
        </w:rPr>
        <w:t xml:space="preserve"> male neonate, born </w:t>
      </w:r>
      <w:r w:rsidR="000F49A1">
        <w:rPr>
          <w:rFonts w:ascii="Times New Roman" w:eastAsia="Times New Roman" w:hAnsi="Times New Roman" w:cs="Times New Roman"/>
          <w:color w:val="231F20"/>
          <w:sz w:val="24"/>
          <w:szCs w:val="24"/>
        </w:rPr>
        <w:t xml:space="preserve">late </w:t>
      </w:r>
      <w:r w:rsidR="00704725" w:rsidRPr="00E40ABB">
        <w:rPr>
          <w:rFonts w:ascii="Times New Roman" w:eastAsia="Times New Roman" w:hAnsi="Times New Roman" w:cs="Times New Roman"/>
          <w:color w:val="231F20"/>
          <w:sz w:val="24"/>
          <w:szCs w:val="24"/>
        </w:rPr>
        <w:t>preterm at 35 weeks and 3 da</w:t>
      </w:r>
      <w:r w:rsidR="007A1CA3" w:rsidRPr="00E40ABB">
        <w:rPr>
          <w:rFonts w:ascii="Times New Roman" w:eastAsia="Times New Roman" w:hAnsi="Times New Roman" w:cs="Times New Roman"/>
          <w:color w:val="231F20"/>
          <w:sz w:val="24"/>
          <w:szCs w:val="24"/>
        </w:rPr>
        <w:t>ys of gestation,</w:t>
      </w:r>
      <w:r w:rsidR="00704725" w:rsidRPr="00E40ABB">
        <w:rPr>
          <w:rFonts w:ascii="Times New Roman" w:eastAsia="Times New Roman" w:hAnsi="Times New Roman" w:cs="Times New Roman"/>
          <w:color w:val="231F20"/>
          <w:sz w:val="24"/>
          <w:szCs w:val="24"/>
        </w:rPr>
        <w:t xml:space="preserve"> diagnosed </w:t>
      </w:r>
      <w:r w:rsidR="00967B66">
        <w:rPr>
          <w:rFonts w:ascii="Times New Roman" w:eastAsia="Times New Roman" w:hAnsi="Times New Roman" w:cs="Times New Roman"/>
          <w:color w:val="231F20"/>
          <w:sz w:val="24"/>
          <w:szCs w:val="24"/>
        </w:rPr>
        <w:t xml:space="preserve">with </w:t>
      </w:r>
      <w:r w:rsidR="00704725" w:rsidRPr="00E40ABB">
        <w:rPr>
          <w:rFonts w:ascii="Times New Roman" w:eastAsia="Times New Roman" w:hAnsi="Times New Roman" w:cs="Times New Roman"/>
          <w:color w:val="231F20"/>
          <w:sz w:val="24"/>
          <w:szCs w:val="24"/>
        </w:rPr>
        <w:t xml:space="preserve">hydrocephalus, underwent a surgical intervention for hydrocephalus in the early neonatal period. On the 28th day of life, the infant presented with fever and increased irritability. He was admitted to the NICU and commenced on intravenous amikacin. Blood cultures remained sterile; however, due to clinical suspicion of central nervous system infection, </w:t>
      </w:r>
      <w:r w:rsidR="00516D70">
        <w:rPr>
          <w:rFonts w:ascii="Times New Roman" w:eastAsia="Times New Roman" w:hAnsi="Times New Roman" w:cs="Times New Roman"/>
          <w:color w:val="231F20"/>
          <w:sz w:val="24"/>
          <w:szCs w:val="24"/>
        </w:rPr>
        <w:t>CSF culture was sent.</w:t>
      </w:r>
      <w:r w:rsidR="00704725" w:rsidRPr="00E40ABB">
        <w:rPr>
          <w:rFonts w:ascii="Times New Roman" w:eastAsia="Times New Roman" w:hAnsi="Times New Roman" w:cs="Times New Roman"/>
          <w:color w:val="231F20"/>
          <w:sz w:val="24"/>
          <w:szCs w:val="24"/>
        </w:rPr>
        <w:t xml:space="preserve"> CSF culture revealed growth of Elizabethkingia meningoseptica, identified via the VITEK automated system,</w:t>
      </w:r>
      <w:r w:rsidR="007A1CA3" w:rsidRPr="00E40ABB">
        <w:rPr>
          <w:rFonts w:ascii="Times New Roman" w:eastAsia="Times New Roman" w:hAnsi="Times New Roman" w:cs="Times New Roman"/>
          <w:color w:val="231F20"/>
          <w:sz w:val="24"/>
          <w:szCs w:val="24"/>
        </w:rPr>
        <w:t xml:space="preserve"> confirming neonatal meningitis and timely managed with antibiotic therapy based on susceptibility testing.</w:t>
      </w:r>
    </w:p>
    <w:p w:rsidR="00D75C40" w:rsidRPr="00E40ABB" w:rsidRDefault="00524FEC" w:rsidP="00E2045C">
      <w:pPr>
        <w:spacing w:after="0" w:line="240" w:lineRule="auto"/>
        <w:jc w:val="both"/>
        <w:rPr>
          <w:rFonts w:ascii="Times New Roman" w:eastAsia="Times New Roman" w:hAnsi="Times New Roman" w:cs="Times New Roman"/>
          <w:bCs/>
          <w:color w:val="000000"/>
          <w:sz w:val="24"/>
          <w:szCs w:val="24"/>
        </w:rPr>
      </w:pPr>
      <w:r w:rsidRPr="00E40ABB">
        <w:rPr>
          <w:rFonts w:ascii="Times New Roman" w:eastAsia="Times New Roman" w:hAnsi="Times New Roman" w:cs="Times New Roman"/>
          <w:b/>
          <w:bCs/>
          <w:color w:val="000000"/>
          <w:sz w:val="24"/>
          <w:szCs w:val="24"/>
        </w:rPr>
        <w:t>Conclusions</w:t>
      </w:r>
      <w:r w:rsidR="00D75C40" w:rsidRPr="00E40ABB">
        <w:rPr>
          <w:rFonts w:ascii="Times New Roman" w:eastAsia="Times New Roman" w:hAnsi="Times New Roman" w:cs="Times New Roman"/>
          <w:b/>
          <w:bCs/>
          <w:color w:val="000000"/>
          <w:sz w:val="24"/>
          <w:szCs w:val="24"/>
        </w:rPr>
        <w:t xml:space="preserve">: </w:t>
      </w:r>
      <w:r w:rsidR="00D75C40" w:rsidRPr="00E40ABB">
        <w:rPr>
          <w:rFonts w:ascii="Times New Roman" w:eastAsia="Times New Roman" w:hAnsi="Times New Roman" w:cs="Times New Roman"/>
          <w:bCs/>
          <w:color w:val="000000"/>
          <w:sz w:val="24"/>
          <w:szCs w:val="24"/>
        </w:rPr>
        <w:t>Elizabethkingia meningoseptica is associated with high morbidity and mortality, particularly in neonates. Early identification of the causative organism is critical for improving clinical outcomes.</w:t>
      </w:r>
    </w:p>
    <w:p w:rsidR="00524FEC" w:rsidRPr="00E40ABB" w:rsidRDefault="00524FEC" w:rsidP="00E2045C">
      <w:pPr>
        <w:spacing w:after="0" w:line="240" w:lineRule="auto"/>
        <w:jc w:val="both"/>
        <w:rPr>
          <w:rFonts w:ascii="Times New Roman" w:eastAsia="Times New Roman" w:hAnsi="Times New Roman" w:cs="Times New Roman"/>
          <w:sz w:val="24"/>
          <w:szCs w:val="24"/>
        </w:rPr>
      </w:pPr>
      <w:r w:rsidRPr="00E40ABB">
        <w:rPr>
          <w:rFonts w:ascii="Times New Roman" w:eastAsia="Times New Roman" w:hAnsi="Times New Roman" w:cs="Times New Roman"/>
          <w:color w:val="000000"/>
          <w:sz w:val="24"/>
          <w:szCs w:val="24"/>
        </w:rPr>
        <w:t xml:space="preserve"> </w:t>
      </w:r>
    </w:p>
    <w:p w:rsidR="00F96684" w:rsidRPr="00E40ABB" w:rsidRDefault="00524FEC" w:rsidP="00E2045C">
      <w:pPr>
        <w:jc w:val="both"/>
        <w:rPr>
          <w:rFonts w:ascii="Times New Roman" w:eastAsia="Times New Roman" w:hAnsi="Times New Roman" w:cs="Times New Roman"/>
          <w:iCs/>
          <w:color w:val="000000"/>
          <w:sz w:val="24"/>
          <w:szCs w:val="24"/>
        </w:rPr>
      </w:pPr>
      <w:r w:rsidRPr="00E40ABB">
        <w:rPr>
          <w:rFonts w:ascii="Times New Roman" w:eastAsia="Times New Roman" w:hAnsi="Times New Roman" w:cs="Times New Roman"/>
          <w:b/>
          <w:iCs/>
          <w:color w:val="000000"/>
          <w:sz w:val="24"/>
          <w:szCs w:val="24"/>
        </w:rPr>
        <w:t xml:space="preserve">Keywords: </w:t>
      </w:r>
      <w:r w:rsidRPr="00E40ABB">
        <w:rPr>
          <w:rFonts w:ascii="Times New Roman" w:eastAsia="Times New Roman" w:hAnsi="Times New Roman" w:cs="Times New Roman"/>
          <w:b/>
          <w:color w:val="000000"/>
          <w:sz w:val="24"/>
          <w:szCs w:val="24"/>
        </w:rPr>
        <w:t xml:space="preserve"> </w:t>
      </w:r>
      <w:r w:rsidRPr="00E40ABB">
        <w:rPr>
          <w:rFonts w:ascii="Times New Roman" w:eastAsia="Times New Roman" w:hAnsi="Times New Roman" w:cs="Times New Roman"/>
          <w:color w:val="000000"/>
          <w:sz w:val="24"/>
          <w:szCs w:val="24"/>
        </w:rPr>
        <w:t>B</w:t>
      </w:r>
      <w:r w:rsidR="00DA04B2">
        <w:rPr>
          <w:rFonts w:ascii="Times New Roman" w:eastAsia="Times New Roman" w:hAnsi="Times New Roman" w:cs="Times New Roman"/>
          <w:color w:val="000000"/>
          <w:sz w:val="24"/>
          <w:szCs w:val="24"/>
        </w:rPr>
        <w:t>acterial Meningitis, Neonate</w:t>
      </w:r>
      <w:r w:rsidRPr="00E40ABB">
        <w:rPr>
          <w:rFonts w:ascii="Times New Roman" w:eastAsia="Times New Roman" w:hAnsi="Times New Roman" w:cs="Times New Roman"/>
          <w:color w:val="000000"/>
          <w:sz w:val="24"/>
          <w:szCs w:val="24"/>
        </w:rPr>
        <w:t xml:space="preserve">, </w:t>
      </w:r>
      <w:r w:rsidRPr="00E40ABB">
        <w:rPr>
          <w:rFonts w:ascii="Times New Roman" w:eastAsia="Times New Roman" w:hAnsi="Times New Roman" w:cs="Times New Roman"/>
          <w:iCs/>
          <w:color w:val="000000"/>
          <w:sz w:val="24"/>
          <w:szCs w:val="24"/>
        </w:rPr>
        <w:t>Elizabethkingia meningoseptica</w:t>
      </w:r>
      <w:r w:rsidR="00F96684" w:rsidRPr="00E40ABB">
        <w:rPr>
          <w:rFonts w:ascii="Times New Roman" w:eastAsia="Times New Roman" w:hAnsi="Times New Roman" w:cs="Times New Roman"/>
          <w:iCs/>
          <w:color w:val="000000"/>
          <w:sz w:val="24"/>
          <w:szCs w:val="24"/>
        </w:rPr>
        <w:t>.</w:t>
      </w:r>
    </w:p>
    <w:p w:rsidR="00F96684" w:rsidRPr="00E40ABB" w:rsidRDefault="00F96684" w:rsidP="00E2045C">
      <w:pPr>
        <w:jc w:val="both"/>
        <w:rPr>
          <w:rFonts w:ascii="Times New Roman" w:eastAsia="Times New Roman" w:hAnsi="Times New Roman" w:cs="Times New Roman"/>
          <w:b/>
          <w:iCs/>
          <w:color w:val="000000"/>
          <w:sz w:val="24"/>
          <w:szCs w:val="24"/>
        </w:rPr>
      </w:pPr>
      <w:r w:rsidRPr="00E40ABB">
        <w:rPr>
          <w:rFonts w:ascii="Times New Roman" w:eastAsia="Times New Roman" w:hAnsi="Times New Roman" w:cs="Times New Roman"/>
          <w:b/>
          <w:iCs/>
          <w:color w:val="000000"/>
          <w:sz w:val="24"/>
          <w:szCs w:val="24"/>
        </w:rPr>
        <w:t>Introduction:</w:t>
      </w:r>
    </w:p>
    <w:p w:rsidR="00F96684" w:rsidRPr="00E40ABB" w:rsidRDefault="00F96684" w:rsidP="00E2045C">
      <w:pPr>
        <w:jc w:val="both"/>
        <w:rPr>
          <w:rFonts w:ascii="Times New Roman" w:hAnsi="Times New Roman" w:cs="Times New Roman"/>
          <w:sz w:val="24"/>
          <w:szCs w:val="24"/>
        </w:rPr>
      </w:pPr>
      <w:r w:rsidRPr="00E40ABB">
        <w:rPr>
          <w:rFonts w:ascii="Times New Roman" w:hAnsi="Times New Roman" w:cs="Times New Roman"/>
          <w:sz w:val="24"/>
          <w:szCs w:val="24"/>
        </w:rPr>
        <w:t>Previously known as Flavobacterium meningosepticum, Elizabethkingia meningoseptica is a Gram-negative, oxidase-positive, non-motile, and non-fermentative rod-shaped bacterium classified under the genus Elizabethkingia.</w:t>
      </w:r>
      <w:r w:rsidR="00237507" w:rsidRPr="00E40ABB">
        <w:rPr>
          <w:rFonts w:ascii="Times New Roman" w:hAnsi="Times New Roman" w:cs="Times New Roman"/>
          <w:sz w:val="24"/>
          <w:szCs w:val="24"/>
          <w:vertAlign w:val="superscript"/>
        </w:rPr>
        <w:t>1</w:t>
      </w:r>
      <w:r w:rsidRPr="00E40ABB">
        <w:rPr>
          <w:rFonts w:ascii="Times New Roman" w:hAnsi="Times New Roman" w:cs="Times New Roman"/>
          <w:sz w:val="24"/>
          <w:szCs w:val="24"/>
        </w:rPr>
        <w:t xml:space="preserve"> This bacterium can be found in many places, including tap water (even if treated with chlorine), medical equipment like catheters and incubators. While it's best known for causing meningitis and sepsis in neonate and young children, it can also lead to serious infections in older adults, who are more vulnerable due to weaker immune systems and other health issues.</w:t>
      </w:r>
      <w:r w:rsidR="00237507" w:rsidRPr="00E40ABB">
        <w:rPr>
          <w:rFonts w:ascii="Times New Roman" w:hAnsi="Times New Roman" w:cs="Times New Roman"/>
          <w:sz w:val="24"/>
          <w:szCs w:val="24"/>
          <w:vertAlign w:val="superscript"/>
        </w:rPr>
        <w:t>2</w:t>
      </w:r>
    </w:p>
    <w:p w:rsidR="00F96684" w:rsidRPr="00E40ABB" w:rsidRDefault="003C1BBF" w:rsidP="00E2045C">
      <w:pPr>
        <w:jc w:val="both"/>
        <w:rPr>
          <w:rFonts w:ascii="Times New Roman" w:hAnsi="Times New Roman" w:cs="Times New Roman"/>
          <w:sz w:val="24"/>
          <w:szCs w:val="24"/>
        </w:rPr>
      </w:pPr>
      <w:r w:rsidRPr="00E40ABB">
        <w:rPr>
          <w:rFonts w:ascii="Times New Roman" w:hAnsi="Times New Roman" w:cs="Times New Roman"/>
          <w:sz w:val="24"/>
          <w:szCs w:val="24"/>
        </w:rPr>
        <w:t>I</w:t>
      </w:r>
      <w:r w:rsidR="00F96684" w:rsidRPr="00E40ABB">
        <w:rPr>
          <w:rFonts w:ascii="Times New Roman" w:hAnsi="Times New Roman" w:cs="Times New Roman"/>
          <w:sz w:val="24"/>
          <w:szCs w:val="24"/>
        </w:rPr>
        <w:t>nfection in immunocompromised individuals is particularly challenging due to the organism’s intrinsic multidrug resistance. It exhibits resistance to several antibiotic classes, notably beta-lactams, ca</w:t>
      </w:r>
      <w:r w:rsidRPr="00E40ABB">
        <w:rPr>
          <w:rFonts w:ascii="Times New Roman" w:hAnsi="Times New Roman" w:cs="Times New Roman"/>
          <w:sz w:val="24"/>
          <w:szCs w:val="24"/>
        </w:rPr>
        <w:t>rbapenems, and aminoglycosides.</w:t>
      </w:r>
      <w:r w:rsidR="000F49A1">
        <w:rPr>
          <w:rFonts w:ascii="Times New Roman" w:hAnsi="Times New Roman" w:cs="Times New Roman"/>
          <w:sz w:val="24"/>
          <w:szCs w:val="24"/>
        </w:rPr>
        <w:t xml:space="preserve"> </w:t>
      </w:r>
      <w:r w:rsidR="00F96684" w:rsidRPr="00E40ABB">
        <w:rPr>
          <w:rFonts w:ascii="Times New Roman" w:hAnsi="Times New Roman" w:cs="Times New Roman"/>
          <w:sz w:val="24"/>
          <w:szCs w:val="24"/>
        </w:rPr>
        <w:t>Despite this, certain agents—including vancomycin, rifampicin, newer-generation fluoroquinolones, piperacillin-tazobactam, minocycline, and tigecycline—have demonstrated efficacy. Evidence suggests that combination therapy yields more favorable o</w:t>
      </w:r>
      <w:r w:rsidRPr="00E40ABB">
        <w:rPr>
          <w:rFonts w:ascii="Times New Roman" w:hAnsi="Times New Roman" w:cs="Times New Roman"/>
          <w:sz w:val="24"/>
          <w:szCs w:val="24"/>
        </w:rPr>
        <w:t>utcomes compared to monotherapy.</w:t>
      </w:r>
      <w:r w:rsidR="00237507" w:rsidRPr="00E40ABB">
        <w:rPr>
          <w:rFonts w:ascii="Times New Roman" w:hAnsi="Times New Roman" w:cs="Times New Roman"/>
          <w:sz w:val="24"/>
          <w:szCs w:val="24"/>
          <w:vertAlign w:val="superscript"/>
        </w:rPr>
        <w:t>3, 4</w:t>
      </w:r>
    </w:p>
    <w:p w:rsidR="003C1BBF" w:rsidRPr="00E40ABB" w:rsidRDefault="00B40F1A" w:rsidP="00E2045C">
      <w:pPr>
        <w:jc w:val="both"/>
        <w:rPr>
          <w:rFonts w:ascii="Times New Roman" w:hAnsi="Times New Roman" w:cs="Times New Roman"/>
          <w:b/>
          <w:sz w:val="24"/>
          <w:szCs w:val="24"/>
        </w:rPr>
      </w:pPr>
      <w:r w:rsidRPr="00E40ABB">
        <w:rPr>
          <w:rFonts w:ascii="Times New Roman" w:hAnsi="Times New Roman" w:cs="Times New Roman"/>
          <w:b/>
          <w:sz w:val="24"/>
          <w:szCs w:val="24"/>
        </w:rPr>
        <w:t>Case Report</w:t>
      </w:r>
      <w:r w:rsidR="003C1BBF" w:rsidRPr="00E40ABB">
        <w:rPr>
          <w:rFonts w:ascii="Times New Roman" w:hAnsi="Times New Roman" w:cs="Times New Roman"/>
          <w:b/>
          <w:sz w:val="24"/>
          <w:szCs w:val="24"/>
        </w:rPr>
        <w:t xml:space="preserve">: </w:t>
      </w:r>
    </w:p>
    <w:p w:rsidR="00E2045C" w:rsidRPr="00E40ABB" w:rsidRDefault="00E2045C" w:rsidP="00E2045C">
      <w:pPr>
        <w:jc w:val="both"/>
        <w:rPr>
          <w:rFonts w:ascii="Times New Roman" w:hAnsi="Times New Roman" w:cs="Times New Roman"/>
          <w:sz w:val="24"/>
          <w:szCs w:val="24"/>
        </w:rPr>
      </w:pPr>
      <w:r w:rsidRPr="00E40ABB">
        <w:rPr>
          <w:rFonts w:ascii="Times New Roman" w:hAnsi="Times New Roman" w:cs="Times New Roman"/>
          <w:sz w:val="24"/>
          <w:szCs w:val="24"/>
        </w:rPr>
        <w:t>A 28-day-old male infant</w:t>
      </w:r>
      <w:r w:rsidR="000F49A1">
        <w:rPr>
          <w:rFonts w:ascii="Times New Roman" w:hAnsi="Times New Roman" w:cs="Times New Roman"/>
          <w:sz w:val="24"/>
          <w:szCs w:val="24"/>
        </w:rPr>
        <w:t xml:space="preserve">, </w:t>
      </w:r>
      <w:r w:rsidRPr="00E40ABB">
        <w:rPr>
          <w:rFonts w:ascii="Times New Roman" w:hAnsi="Times New Roman" w:cs="Times New Roman"/>
          <w:sz w:val="24"/>
          <w:szCs w:val="24"/>
        </w:rPr>
        <w:t>was admitted to the Neonatal Intensive Care Unit (NICU) at Parul Seva</w:t>
      </w:r>
      <w:r w:rsidR="000F49A1">
        <w:rPr>
          <w:rFonts w:ascii="Times New Roman" w:hAnsi="Times New Roman" w:cs="Times New Roman"/>
          <w:sz w:val="24"/>
          <w:szCs w:val="24"/>
        </w:rPr>
        <w:t>shram Hospital on 3rd April 2025</w:t>
      </w:r>
      <w:r w:rsidRPr="00E40ABB">
        <w:rPr>
          <w:rFonts w:ascii="Times New Roman" w:hAnsi="Times New Roman" w:cs="Times New Roman"/>
          <w:sz w:val="24"/>
          <w:szCs w:val="24"/>
        </w:rPr>
        <w:t>. He was</w:t>
      </w:r>
      <w:r w:rsidR="00DA04B2">
        <w:rPr>
          <w:rFonts w:ascii="Times New Roman" w:hAnsi="Times New Roman" w:cs="Times New Roman"/>
          <w:sz w:val="24"/>
          <w:szCs w:val="24"/>
        </w:rPr>
        <w:t xml:space="preserve"> born </w:t>
      </w:r>
      <w:r w:rsidR="00851D3A">
        <w:rPr>
          <w:rFonts w:ascii="Times New Roman" w:hAnsi="Times New Roman" w:cs="Times New Roman"/>
          <w:sz w:val="24"/>
          <w:szCs w:val="24"/>
        </w:rPr>
        <w:t xml:space="preserve">at </w:t>
      </w:r>
      <w:r w:rsidR="006904AE">
        <w:rPr>
          <w:rFonts w:ascii="Times New Roman" w:hAnsi="Times New Roman" w:cs="Times New Roman"/>
          <w:sz w:val="24"/>
          <w:szCs w:val="24"/>
        </w:rPr>
        <w:t xml:space="preserve">out side hospital </w:t>
      </w:r>
      <w:r w:rsidR="00DA04B2">
        <w:rPr>
          <w:rFonts w:ascii="Times New Roman" w:hAnsi="Times New Roman" w:cs="Times New Roman"/>
          <w:sz w:val="24"/>
          <w:szCs w:val="24"/>
        </w:rPr>
        <w:t xml:space="preserve">as </w:t>
      </w:r>
      <w:r w:rsidRPr="00E40ABB">
        <w:rPr>
          <w:rFonts w:ascii="Times New Roman" w:hAnsi="Times New Roman" w:cs="Times New Roman"/>
          <w:sz w:val="24"/>
          <w:szCs w:val="24"/>
        </w:rPr>
        <w:t>a late preterm</w:t>
      </w:r>
      <w:r w:rsidR="00DA04B2">
        <w:rPr>
          <w:rFonts w:ascii="Times New Roman" w:hAnsi="Times New Roman" w:cs="Times New Roman"/>
          <w:sz w:val="24"/>
          <w:szCs w:val="24"/>
        </w:rPr>
        <w:t xml:space="preserve"> infant</w:t>
      </w:r>
      <w:r w:rsidR="00DD7D0D">
        <w:rPr>
          <w:rFonts w:ascii="Times New Roman" w:hAnsi="Times New Roman" w:cs="Times New Roman"/>
          <w:sz w:val="24"/>
          <w:szCs w:val="24"/>
        </w:rPr>
        <w:t xml:space="preserve"> at </w:t>
      </w:r>
      <w:r w:rsidR="00DD7D0D">
        <w:rPr>
          <w:rFonts w:ascii="Times New Roman" w:hAnsi="Times New Roman" w:cs="Times New Roman"/>
          <w:sz w:val="24"/>
          <w:szCs w:val="24"/>
        </w:rPr>
        <w:lastRenderedPageBreak/>
        <w:t>35 weeks and 3</w:t>
      </w:r>
      <w:r w:rsidRPr="00E40ABB">
        <w:rPr>
          <w:rFonts w:ascii="Times New Roman" w:hAnsi="Times New Roman" w:cs="Times New Roman"/>
          <w:sz w:val="24"/>
          <w:szCs w:val="24"/>
        </w:rPr>
        <w:t>days of gestation via lower segment cesarean section (LSCS) due to breech presentation. At birth, the infant was diagnosed with hydrocephalus. He had undergone ventriculoperitoneal (VP) shunting at an</w:t>
      </w:r>
      <w:r w:rsidR="00851D3A">
        <w:rPr>
          <w:rFonts w:ascii="Times New Roman" w:hAnsi="Times New Roman" w:cs="Times New Roman"/>
          <w:sz w:val="24"/>
          <w:szCs w:val="24"/>
        </w:rPr>
        <w:t xml:space="preserve"> outside hospital. On admission at PSH,</w:t>
      </w:r>
      <w:r w:rsidRPr="00E40ABB">
        <w:rPr>
          <w:rFonts w:ascii="Times New Roman" w:hAnsi="Times New Roman" w:cs="Times New Roman"/>
          <w:sz w:val="24"/>
          <w:szCs w:val="24"/>
        </w:rPr>
        <w:t xml:space="preserve"> the baby presented with compl</w:t>
      </w:r>
      <w:r w:rsidR="00851D3A">
        <w:rPr>
          <w:rFonts w:ascii="Times New Roman" w:hAnsi="Times New Roman" w:cs="Times New Roman"/>
          <w:sz w:val="24"/>
          <w:szCs w:val="24"/>
        </w:rPr>
        <w:t xml:space="preserve">aints of fever and irritability. </w:t>
      </w:r>
      <w:r w:rsidRPr="00E40ABB">
        <w:rPr>
          <w:rFonts w:ascii="Times New Roman" w:hAnsi="Times New Roman" w:cs="Times New Roman"/>
          <w:sz w:val="24"/>
          <w:szCs w:val="24"/>
        </w:rPr>
        <w:t>He was started on intravenous antibiotic therapy with Amikacin.</w:t>
      </w:r>
    </w:p>
    <w:p w:rsidR="00E2045C" w:rsidRPr="00E40ABB" w:rsidRDefault="00E2045C" w:rsidP="00E2045C">
      <w:pPr>
        <w:jc w:val="both"/>
        <w:rPr>
          <w:rFonts w:ascii="Times New Roman" w:hAnsi="Times New Roman" w:cs="Times New Roman"/>
          <w:sz w:val="24"/>
          <w:szCs w:val="24"/>
        </w:rPr>
      </w:pPr>
      <w:r w:rsidRPr="00E40ABB">
        <w:rPr>
          <w:rFonts w:ascii="Times New Roman" w:hAnsi="Times New Roman" w:cs="Times New Roman"/>
          <w:sz w:val="24"/>
          <w:szCs w:val="24"/>
        </w:rPr>
        <w:t>Initial blood investigations revealed a total leucocyte count of 25,230/mm³ and an elevated C-reactive protein (CRP) level of 60.86 mg/L. Blood culture was sent for microbiological analysis. The vital signs recorded at admission were: pulse ra</w:t>
      </w:r>
      <w:r w:rsidR="001A7D27">
        <w:rPr>
          <w:rFonts w:ascii="Times New Roman" w:hAnsi="Times New Roman" w:cs="Times New Roman"/>
          <w:sz w:val="24"/>
          <w:szCs w:val="24"/>
        </w:rPr>
        <w:t>te of 140 bpm, temperature of 98</w:t>
      </w:r>
      <w:r w:rsidRPr="00E40ABB">
        <w:rPr>
          <w:rFonts w:ascii="Times New Roman" w:hAnsi="Times New Roman" w:cs="Times New Roman"/>
          <w:sz w:val="24"/>
          <w:szCs w:val="24"/>
        </w:rPr>
        <w:t>.6°F, respiratory rate of 52 breaths per minute, and SpO₂ of 96% on room air. The baby's weight was noted to be 2.388 kg.</w:t>
      </w:r>
    </w:p>
    <w:p w:rsidR="00E2045C" w:rsidRPr="00E40ABB" w:rsidRDefault="00E2045C" w:rsidP="00E2045C">
      <w:pPr>
        <w:jc w:val="both"/>
        <w:rPr>
          <w:rFonts w:ascii="Times New Roman" w:hAnsi="Times New Roman" w:cs="Times New Roman"/>
          <w:sz w:val="24"/>
          <w:szCs w:val="24"/>
        </w:rPr>
      </w:pPr>
      <w:r w:rsidRPr="00E40ABB">
        <w:rPr>
          <w:rFonts w:ascii="Times New Roman" w:hAnsi="Times New Roman" w:cs="Times New Roman"/>
          <w:sz w:val="24"/>
          <w:szCs w:val="24"/>
        </w:rPr>
        <w:t>On</w:t>
      </w:r>
      <w:r w:rsidR="007C6237">
        <w:rPr>
          <w:rFonts w:ascii="Times New Roman" w:hAnsi="Times New Roman" w:cs="Times New Roman"/>
          <w:sz w:val="24"/>
          <w:szCs w:val="24"/>
        </w:rPr>
        <w:t xml:space="preserve"> 4th April 2025, </w:t>
      </w:r>
      <w:r w:rsidRPr="00E40ABB">
        <w:rPr>
          <w:rFonts w:ascii="Times New Roman" w:hAnsi="Times New Roman" w:cs="Times New Roman"/>
          <w:sz w:val="24"/>
          <w:szCs w:val="24"/>
        </w:rPr>
        <w:t xml:space="preserve">CSF routine microscopy showed a total cell count of 30 cells/mm³, with 95% polymorphonuclear cells and 5% lymphocytes. The CSF glucose level was 20 mg/dL, and protein was markedly elevated, </w:t>
      </w:r>
      <w:r w:rsidR="007C6237">
        <w:rPr>
          <w:rFonts w:ascii="Times New Roman" w:hAnsi="Times New Roman" w:cs="Times New Roman"/>
          <w:sz w:val="24"/>
          <w:szCs w:val="24"/>
        </w:rPr>
        <w:t>measured at more than 240 mg/dL suggested bacterial infection.</w:t>
      </w:r>
      <w:r w:rsidRPr="00E40ABB">
        <w:rPr>
          <w:rFonts w:ascii="Times New Roman" w:hAnsi="Times New Roman" w:cs="Times New Roman"/>
          <w:sz w:val="24"/>
          <w:szCs w:val="24"/>
        </w:rPr>
        <w:t xml:space="preserve"> The CSF sample was sent for culture and sensitivity (C/S)</w:t>
      </w:r>
      <w:r w:rsidR="007C6237">
        <w:rPr>
          <w:rFonts w:ascii="Times New Roman" w:hAnsi="Times New Roman" w:cs="Times New Roman"/>
          <w:sz w:val="24"/>
          <w:szCs w:val="24"/>
        </w:rPr>
        <w:t>.</w:t>
      </w:r>
      <w:r w:rsidR="002E7B7C">
        <w:rPr>
          <w:rFonts w:ascii="Times New Roman" w:hAnsi="Times New Roman" w:cs="Times New Roman"/>
          <w:sz w:val="24"/>
          <w:szCs w:val="24"/>
        </w:rPr>
        <w:t xml:space="preserve"> </w:t>
      </w:r>
      <w:r w:rsidR="007C6237">
        <w:rPr>
          <w:rFonts w:ascii="Times New Roman" w:hAnsi="Times New Roman" w:cs="Times New Roman"/>
          <w:sz w:val="24"/>
          <w:szCs w:val="24"/>
        </w:rPr>
        <w:t>Sample was inoculated</w:t>
      </w:r>
      <w:r w:rsidR="002E7B7C">
        <w:rPr>
          <w:rFonts w:ascii="Times New Roman" w:hAnsi="Times New Roman" w:cs="Times New Roman"/>
          <w:sz w:val="24"/>
          <w:szCs w:val="24"/>
        </w:rPr>
        <w:t xml:space="preserve"> into</w:t>
      </w:r>
      <w:r w:rsidRPr="00E40ABB">
        <w:rPr>
          <w:rFonts w:ascii="Times New Roman" w:hAnsi="Times New Roman" w:cs="Times New Roman"/>
          <w:sz w:val="24"/>
          <w:szCs w:val="24"/>
        </w:rPr>
        <w:t xml:space="preserve"> blood culture bottle, which was loaded into the BacT/ALERT</w:t>
      </w:r>
      <w:r w:rsidR="002E7B7C">
        <w:rPr>
          <w:rFonts w:ascii="Times New Roman" w:hAnsi="Times New Roman" w:cs="Times New Roman"/>
          <w:sz w:val="24"/>
          <w:szCs w:val="24"/>
        </w:rPr>
        <w:t xml:space="preserve"> automated culture system for incubation and monitoring</w:t>
      </w:r>
      <w:r w:rsidRPr="00E40ABB">
        <w:rPr>
          <w:rFonts w:ascii="Times New Roman" w:hAnsi="Times New Roman" w:cs="Times New Roman"/>
          <w:sz w:val="24"/>
          <w:szCs w:val="24"/>
        </w:rPr>
        <w:t xml:space="preserve">. After approximately one and a half days, the culture flagged positive. Gram staining </w:t>
      </w:r>
      <w:r w:rsidR="00DA04B2">
        <w:rPr>
          <w:rFonts w:ascii="Times New Roman" w:hAnsi="Times New Roman" w:cs="Times New Roman"/>
          <w:sz w:val="24"/>
          <w:szCs w:val="24"/>
        </w:rPr>
        <w:t xml:space="preserve">from that positive bottle, </w:t>
      </w:r>
      <w:r w:rsidRPr="00E40ABB">
        <w:rPr>
          <w:rFonts w:ascii="Times New Roman" w:hAnsi="Times New Roman" w:cs="Times New Roman"/>
          <w:sz w:val="24"/>
          <w:szCs w:val="24"/>
        </w:rPr>
        <w:t>revealed gram-negative bacilli.</w:t>
      </w:r>
    </w:p>
    <w:p w:rsidR="002E7B7C" w:rsidRDefault="00E2045C" w:rsidP="00E2045C">
      <w:pPr>
        <w:jc w:val="both"/>
        <w:rPr>
          <w:rFonts w:ascii="Times New Roman" w:hAnsi="Times New Roman" w:cs="Times New Roman"/>
          <w:sz w:val="24"/>
          <w:szCs w:val="24"/>
        </w:rPr>
      </w:pPr>
      <w:r w:rsidRPr="00E40ABB">
        <w:rPr>
          <w:rFonts w:ascii="Times New Roman" w:hAnsi="Times New Roman" w:cs="Times New Roman"/>
          <w:sz w:val="24"/>
          <w:szCs w:val="24"/>
        </w:rPr>
        <w:t>The positive CSF sample was then streaked onto blood agar, nutrient agar, chocolate agar, and MacConkey agar. Growth was observed on blood agar, nu</w:t>
      </w:r>
      <w:r w:rsidR="00EC2C28">
        <w:rPr>
          <w:rFonts w:ascii="Times New Roman" w:hAnsi="Times New Roman" w:cs="Times New Roman"/>
          <w:sz w:val="24"/>
          <w:szCs w:val="24"/>
        </w:rPr>
        <w:t>trient agar, and chocolate agar</w:t>
      </w:r>
      <w:r w:rsidR="00A014E8">
        <w:rPr>
          <w:rFonts w:ascii="Times New Roman" w:hAnsi="Times New Roman" w:cs="Times New Roman"/>
          <w:sz w:val="24"/>
          <w:szCs w:val="24"/>
        </w:rPr>
        <w:t xml:space="preserve"> characterized by</w:t>
      </w:r>
      <w:r w:rsidR="00EC2C28">
        <w:rPr>
          <w:rFonts w:ascii="Times New Roman" w:hAnsi="Times New Roman" w:cs="Times New Roman"/>
          <w:sz w:val="24"/>
          <w:szCs w:val="24"/>
        </w:rPr>
        <w:t xml:space="preserve"> smooth, round, </w:t>
      </w:r>
      <w:r w:rsidR="00A014E8">
        <w:rPr>
          <w:rFonts w:ascii="Times New Roman" w:hAnsi="Times New Roman" w:cs="Times New Roman"/>
          <w:sz w:val="24"/>
          <w:szCs w:val="24"/>
        </w:rPr>
        <w:t>n</w:t>
      </w:r>
      <w:r w:rsidR="00EC2C28">
        <w:rPr>
          <w:rFonts w:ascii="Times New Roman" w:hAnsi="Times New Roman" w:cs="Times New Roman"/>
          <w:sz w:val="24"/>
          <w:szCs w:val="24"/>
        </w:rPr>
        <w:t xml:space="preserve">on- hemolytic </w:t>
      </w:r>
      <w:r w:rsidRPr="00E40ABB">
        <w:rPr>
          <w:rFonts w:ascii="Times New Roman" w:hAnsi="Times New Roman" w:cs="Times New Roman"/>
          <w:sz w:val="24"/>
          <w:szCs w:val="24"/>
        </w:rPr>
        <w:t>colonies</w:t>
      </w:r>
      <w:r w:rsidR="00A014E8">
        <w:rPr>
          <w:rFonts w:ascii="Times New Roman" w:hAnsi="Times New Roman" w:cs="Times New Roman"/>
          <w:sz w:val="24"/>
          <w:szCs w:val="24"/>
        </w:rPr>
        <w:t xml:space="preserve"> with the organism exhibiting no motility. </w:t>
      </w:r>
      <w:r w:rsidR="002E7B7C" w:rsidRPr="00E40ABB">
        <w:rPr>
          <w:rFonts w:ascii="Times New Roman" w:hAnsi="Times New Roman" w:cs="Times New Roman"/>
          <w:sz w:val="24"/>
          <w:szCs w:val="24"/>
        </w:rPr>
        <w:t>The isolate was identified as Elizabethkingia meningoseptica through t</w:t>
      </w:r>
      <w:r w:rsidR="002E7B7C">
        <w:rPr>
          <w:rFonts w:ascii="Times New Roman" w:hAnsi="Times New Roman" w:cs="Times New Roman"/>
          <w:sz w:val="24"/>
          <w:szCs w:val="24"/>
        </w:rPr>
        <w:t>he VITEK ID/AST system and confirmed by</w:t>
      </w:r>
      <w:r w:rsidRPr="00E40ABB">
        <w:rPr>
          <w:rFonts w:ascii="Times New Roman" w:hAnsi="Times New Roman" w:cs="Times New Roman"/>
          <w:sz w:val="24"/>
          <w:szCs w:val="24"/>
        </w:rPr>
        <w:t xml:space="preserve"> Biochemical testing</w:t>
      </w:r>
      <w:r w:rsidR="002E7B7C">
        <w:rPr>
          <w:rFonts w:ascii="Times New Roman" w:hAnsi="Times New Roman" w:cs="Times New Roman"/>
          <w:sz w:val="24"/>
          <w:szCs w:val="24"/>
        </w:rPr>
        <w:t>. T</w:t>
      </w:r>
      <w:r w:rsidRPr="00E40ABB">
        <w:rPr>
          <w:rFonts w:ascii="Times New Roman" w:hAnsi="Times New Roman" w:cs="Times New Roman"/>
          <w:sz w:val="24"/>
          <w:szCs w:val="24"/>
        </w:rPr>
        <w:t xml:space="preserve">he isolate demonstrated a positive oxidase test, while the catalase, indole, urease, and citrate tests were negative. </w:t>
      </w:r>
    </w:p>
    <w:p w:rsidR="00E2045C" w:rsidRDefault="00E2045C" w:rsidP="00E2045C">
      <w:pPr>
        <w:jc w:val="both"/>
        <w:rPr>
          <w:rFonts w:ascii="Times New Roman" w:hAnsi="Times New Roman" w:cs="Times New Roman"/>
          <w:sz w:val="24"/>
          <w:szCs w:val="24"/>
        </w:rPr>
      </w:pPr>
      <w:r w:rsidRPr="00E40ABB">
        <w:rPr>
          <w:rFonts w:ascii="Times New Roman" w:hAnsi="Times New Roman" w:cs="Times New Roman"/>
          <w:sz w:val="24"/>
          <w:szCs w:val="24"/>
        </w:rPr>
        <w:t>Antibiotic sensitivity testing performed on the VITEK system revealed that the organism was sensitive to levofloxacin, ciprofloxacin, and minocycline. It showed intermediate sensitivity to cefoperazone-sulbactam, while it was resistant to amikacin, gentamicin, meropenem, and imipenem. Based on these results, the clinical pediatric team was advised to adjust the antibiotic therapy accordingly as per the AST report.</w:t>
      </w:r>
      <w:r w:rsidR="004B23B9" w:rsidRPr="004B23B9">
        <w:t xml:space="preserve"> </w:t>
      </w:r>
      <w:r w:rsidR="002A0EF8">
        <w:rPr>
          <w:rFonts w:ascii="Times New Roman" w:hAnsi="Times New Roman" w:cs="Times New Roman"/>
          <w:sz w:val="24"/>
          <w:szCs w:val="24"/>
        </w:rPr>
        <w:t xml:space="preserve"> T</w:t>
      </w:r>
      <w:r w:rsidR="004B23B9">
        <w:rPr>
          <w:rFonts w:ascii="Times New Roman" w:hAnsi="Times New Roman" w:cs="Times New Roman"/>
          <w:sz w:val="24"/>
          <w:szCs w:val="24"/>
        </w:rPr>
        <w:t>he</w:t>
      </w:r>
      <w:r w:rsidR="002A0EF8">
        <w:rPr>
          <w:rFonts w:ascii="Times New Roman" w:hAnsi="Times New Roman" w:cs="Times New Roman"/>
          <w:sz w:val="24"/>
          <w:szCs w:val="24"/>
        </w:rPr>
        <w:t xml:space="preserve"> </w:t>
      </w:r>
      <w:r w:rsidR="004B23B9" w:rsidRPr="004B23B9">
        <w:rPr>
          <w:rFonts w:ascii="Times New Roman" w:hAnsi="Times New Roman" w:cs="Times New Roman"/>
          <w:sz w:val="24"/>
          <w:szCs w:val="24"/>
        </w:rPr>
        <w:t>targeted antimicrobial therapy was initiated with levofloxacin and minocycline based on the antimicrobial susceptibility testing (AST) results. Subsequent to the commencement of appropriate therapy, the patient exhibited notable clinical improvement. Serial laboratory investigations demonstrated a decline in total leukocyte count to 17,000/mm³, and serum C-reactive protein (CRP) lev</w:t>
      </w:r>
      <w:r w:rsidR="00DC28FC">
        <w:rPr>
          <w:rFonts w:ascii="Times New Roman" w:hAnsi="Times New Roman" w:cs="Times New Roman"/>
          <w:sz w:val="24"/>
          <w:szCs w:val="24"/>
        </w:rPr>
        <w:t>els decreased to 1.40</w:t>
      </w:r>
      <w:r w:rsidR="004B23B9" w:rsidRPr="004B23B9">
        <w:rPr>
          <w:rFonts w:ascii="Times New Roman" w:hAnsi="Times New Roman" w:cs="Times New Roman"/>
          <w:sz w:val="24"/>
          <w:szCs w:val="24"/>
        </w:rPr>
        <w:t>mg/L. Repeat CSF analy</w:t>
      </w:r>
      <w:r w:rsidR="00DC28FC">
        <w:rPr>
          <w:rFonts w:ascii="Times New Roman" w:hAnsi="Times New Roman" w:cs="Times New Roman"/>
          <w:sz w:val="24"/>
          <w:szCs w:val="24"/>
        </w:rPr>
        <w:t>sis revealed a cell count of 10</w:t>
      </w:r>
      <w:r w:rsidR="004B23B9" w:rsidRPr="004B23B9">
        <w:rPr>
          <w:rFonts w:ascii="Times New Roman" w:hAnsi="Times New Roman" w:cs="Times New Roman"/>
          <w:sz w:val="24"/>
          <w:szCs w:val="24"/>
        </w:rPr>
        <w:t xml:space="preserve"> cells/</w:t>
      </w:r>
      <w:r w:rsidR="002A0EF8">
        <w:rPr>
          <w:rFonts w:ascii="Times New Roman" w:hAnsi="Times New Roman" w:cs="Times New Roman"/>
          <w:sz w:val="24"/>
          <w:szCs w:val="24"/>
        </w:rPr>
        <w:t>mm³, glucose concentration of 40</w:t>
      </w:r>
      <w:r w:rsidR="004B23B9" w:rsidRPr="004B23B9">
        <w:rPr>
          <w:rFonts w:ascii="Times New Roman" w:hAnsi="Times New Roman" w:cs="Times New Roman"/>
          <w:sz w:val="24"/>
          <w:szCs w:val="24"/>
        </w:rPr>
        <w:t xml:space="preserve"> mg/dL, </w:t>
      </w:r>
      <w:r w:rsidR="00DC28FC">
        <w:rPr>
          <w:rFonts w:ascii="Times New Roman" w:hAnsi="Times New Roman" w:cs="Times New Roman"/>
          <w:sz w:val="24"/>
          <w:szCs w:val="24"/>
        </w:rPr>
        <w:t>and protein level less than 142</w:t>
      </w:r>
      <w:r w:rsidR="004B23B9" w:rsidRPr="004B23B9">
        <w:rPr>
          <w:rFonts w:ascii="Times New Roman" w:hAnsi="Times New Roman" w:cs="Times New Roman"/>
          <w:sz w:val="24"/>
          <w:szCs w:val="24"/>
        </w:rPr>
        <w:t>mg/dL. These findings correlated with the patient's</w:t>
      </w:r>
      <w:r w:rsidR="00DC28FC">
        <w:rPr>
          <w:rFonts w:ascii="Times New Roman" w:hAnsi="Times New Roman" w:cs="Times New Roman"/>
          <w:sz w:val="24"/>
          <w:szCs w:val="24"/>
        </w:rPr>
        <w:t xml:space="preserve"> favorable clinical progression and discharged clinically after approximately one month of treatment.</w:t>
      </w:r>
    </w:p>
    <w:p w:rsidR="00647FC2" w:rsidRDefault="00647FC2" w:rsidP="00E2045C">
      <w:pPr>
        <w:jc w:val="both"/>
        <w:rPr>
          <w:rFonts w:ascii="Times New Roman" w:hAnsi="Times New Roman" w:cs="Times New Roman"/>
          <w:sz w:val="24"/>
          <w:szCs w:val="24"/>
        </w:rPr>
      </w:pPr>
    </w:p>
    <w:p w:rsidR="00647FC2" w:rsidRDefault="00647FC2" w:rsidP="00E2045C">
      <w:pPr>
        <w:jc w:val="both"/>
        <w:rPr>
          <w:rFonts w:ascii="Times New Roman" w:hAnsi="Times New Roman" w:cs="Times New Roman"/>
          <w:sz w:val="24"/>
          <w:szCs w:val="24"/>
        </w:rPr>
      </w:pPr>
    </w:p>
    <w:p w:rsidR="00647FC2" w:rsidRDefault="00647FC2" w:rsidP="00E2045C">
      <w:pPr>
        <w:jc w:val="both"/>
        <w:rPr>
          <w:rFonts w:ascii="Times New Roman" w:hAnsi="Times New Roman" w:cs="Times New Roman"/>
          <w:sz w:val="24"/>
          <w:szCs w:val="24"/>
        </w:rPr>
      </w:pPr>
    </w:p>
    <w:p w:rsidR="00647FC2" w:rsidRDefault="00647FC2" w:rsidP="00E2045C">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95"/>
        <w:gridCol w:w="1979"/>
        <w:gridCol w:w="2338"/>
        <w:gridCol w:w="2338"/>
      </w:tblGrid>
      <w:tr w:rsidR="00647FC2" w:rsidTr="00FA1294">
        <w:trPr>
          <w:trHeight w:val="890"/>
        </w:trPr>
        <w:tc>
          <w:tcPr>
            <w:tcW w:w="2695" w:type="dxa"/>
          </w:tcPr>
          <w:p w:rsidR="00647FC2" w:rsidRPr="00FA1294" w:rsidRDefault="00647FC2" w:rsidP="00FA1294">
            <w:pPr>
              <w:jc w:val="center"/>
              <w:rPr>
                <w:rFonts w:ascii="Times New Roman" w:hAnsi="Times New Roman" w:cs="Times New Roman"/>
                <w:b/>
                <w:sz w:val="24"/>
                <w:szCs w:val="24"/>
              </w:rPr>
            </w:pPr>
            <w:r w:rsidRPr="00FA1294">
              <w:rPr>
                <w:rFonts w:ascii="Times New Roman" w:hAnsi="Times New Roman" w:cs="Times New Roman"/>
                <w:b/>
                <w:sz w:val="24"/>
                <w:szCs w:val="24"/>
              </w:rPr>
              <w:lastRenderedPageBreak/>
              <w:t>Parameter</w:t>
            </w:r>
          </w:p>
        </w:tc>
        <w:tc>
          <w:tcPr>
            <w:tcW w:w="1979" w:type="dxa"/>
          </w:tcPr>
          <w:p w:rsidR="00647FC2" w:rsidRPr="00FA1294" w:rsidRDefault="00647FC2" w:rsidP="00FA1294">
            <w:pPr>
              <w:jc w:val="center"/>
              <w:rPr>
                <w:rFonts w:ascii="Times New Roman" w:hAnsi="Times New Roman" w:cs="Times New Roman"/>
                <w:b/>
                <w:sz w:val="24"/>
                <w:szCs w:val="24"/>
              </w:rPr>
            </w:pPr>
            <w:r w:rsidRPr="00FA1294">
              <w:rPr>
                <w:rFonts w:ascii="Times New Roman" w:hAnsi="Times New Roman" w:cs="Times New Roman"/>
                <w:b/>
                <w:sz w:val="24"/>
                <w:szCs w:val="24"/>
              </w:rPr>
              <w:t>Day 1 (Admission)</w:t>
            </w:r>
          </w:p>
        </w:tc>
        <w:tc>
          <w:tcPr>
            <w:tcW w:w="2338" w:type="dxa"/>
          </w:tcPr>
          <w:p w:rsidR="00647FC2" w:rsidRPr="00FA1294" w:rsidRDefault="00647FC2" w:rsidP="00FA1294">
            <w:pPr>
              <w:jc w:val="center"/>
              <w:rPr>
                <w:rFonts w:ascii="Times New Roman" w:hAnsi="Times New Roman" w:cs="Times New Roman"/>
                <w:b/>
                <w:sz w:val="24"/>
                <w:szCs w:val="24"/>
              </w:rPr>
            </w:pPr>
            <w:r w:rsidRPr="00FA1294">
              <w:rPr>
                <w:rFonts w:ascii="Times New Roman" w:hAnsi="Times New Roman" w:cs="Times New Roman"/>
                <w:b/>
                <w:sz w:val="24"/>
                <w:szCs w:val="24"/>
              </w:rPr>
              <w:t>Day</w:t>
            </w:r>
            <w:r w:rsidR="00FA1294" w:rsidRPr="00FA1294">
              <w:rPr>
                <w:rFonts w:ascii="Times New Roman" w:hAnsi="Times New Roman" w:cs="Times New Roman"/>
                <w:b/>
                <w:sz w:val="24"/>
                <w:szCs w:val="24"/>
              </w:rPr>
              <w:t xml:space="preserve"> 3 (After Diagnosis</w:t>
            </w:r>
            <w:r w:rsidRPr="00FA1294">
              <w:rPr>
                <w:rFonts w:ascii="Times New Roman" w:hAnsi="Times New Roman" w:cs="Times New Roman"/>
                <w:b/>
                <w:sz w:val="24"/>
                <w:szCs w:val="24"/>
              </w:rPr>
              <w:t>)</w:t>
            </w:r>
          </w:p>
        </w:tc>
        <w:tc>
          <w:tcPr>
            <w:tcW w:w="2338" w:type="dxa"/>
          </w:tcPr>
          <w:p w:rsidR="00647FC2" w:rsidRPr="00FA1294" w:rsidRDefault="00DC28FC" w:rsidP="00FA1294">
            <w:pPr>
              <w:jc w:val="center"/>
              <w:rPr>
                <w:rFonts w:ascii="Times New Roman" w:hAnsi="Times New Roman" w:cs="Times New Roman"/>
                <w:b/>
                <w:sz w:val="24"/>
                <w:szCs w:val="24"/>
              </w:rPr>
            </w:pPr>
            <w:r>
              <w:rPr>
                <w:rFonts w:ascii="Times New Roman" w:hAnsi="Times New Roman" w:cs="Times New Roman"/>
                <w:b/>
                <w:sz w:val="24"/>
                <w:szCs w:val="24"/>
              </w:rPr>
              <w:t>Day 30(before discharged)</w:t>
            </w:r>
          </w:p>
        </w:tc>
      </w:tr>
      <w:tr w:rsidR="00647FC2" w:rsidTr="00FA1294">
        <w:trPr>
          <w:trHeight w:val="800"/>
        </w:trPr>
        <w:tc>
          <w:tcPr>
            <w:tcW w:w="2695" w:type="dxa"/>
          </w:tcPr>
          <w:p w:rsidR="00647FC2" w:rsidRPr="00647FC2" w:rsidRDefault="00647FC2" w:rsidP="00FA1294">
            <w:pPr>
              <w:jc w:val="center"/>
              <w:rPr>
                <w:rFonts w:ascii="Times New Roman" w:hAnsi="Times New Roman" w:cs="Times New Roman"/>
                <w:sz w:val="24"/>
                <w:szCs w:val="24"/>
              </w:rPr>
            </w:pPr>
            <w:r>
              <w:rPr>
                <w:rFonts w:ascii="Times New Roman" w:hAnsi="Times New Roman" w:cs="Times New Roman"/>
                <w:sz w:val="24"/>
                <w:szCs w:val="24"/>
              </w:rPr>
              <w:t>CSF Cell Count(cells/mm</w:t>
            </w:r>
            <w:r w:rsidRPr="00647FC2">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979" w:type="dxa"/>
          </w:tcPr>
          <w:p w:rsidR="00647FC2" w:rsidRDefault="00FA1294" w:rsidP="00FA1294">
            <w:pPr>
              <w:jc w:val="center"/>
              <w:rPr>
                <w:rFonts w:ascii="Times New Roman" w:hAnsi="Times New Roman" w:cs="Times New Roman"/>
                <w:sz w:val="24"/>
                <w:szCs w:val="24"/>
              </w:rPr>
            </w:pPr>
            <w:r w:rsidRPr="00E40ABB">
              <w:rPr>
                <w:rFonts w:ascii="Times New Roman" w:hAnsi="Times New Roman" w:cs="Times New Roman"/>
                <w:sz w:val="24"/>
                <w:szCs w:val="24"/>
              </w:rPr>
              <w:t>30</w:t>
            </w:r>
          </w:p>
        </w:tc>
        <w:tc>
          <w:tcPr>
            <w:tcW w:w="2338" w:type="dxa"/>
          </w:tcPr>
          <w:p w:rsidR="00647FC2" w:rsidRDefault="00FA1294" w:rsidP="00FA1294">
            <w:pPr>
              <w:jc w:val="center"/>
              <w:rPr>
                <w:rFonts w:ascii="Times New Roman" w:hAnsi="Times New Roman" w:cs="Times New Roman"/>
                <w:sz w:val="24"/>
                <w:szCs w:val="24"/>
              </w:rPr>
            </w:pPr>
            <w:r>
              <w:rPr>
                <w:rFonts w:ascii="Times New Roman" w:hAnsi="Times New Roman" w:cs="Times New Roman"/>
                <w:sz w:val="24"/>
                <w:szCs w:val="24"/>
              </w:rPr>
              <w:t>500</w:t>
            </w:r>
          </w:p>
        </w:tc>
        <w:tc>
          <w:tcPr>
            <w:tcW w:w="2338" w:type="dxa"/>
          </w:tcPr>
          <w:p w:rsidR="00647FC2" w:rsidRDefault="00DC28FC" w:rsidP="00FA1294">
            <w:pPr>
              <w:jc w:val="center"/>
              <w:rPr>
                <w:rFonts w:ascii="Times New Roman" w:hAnsi="Times New Roman" w:cs="Times New Roman"/>
                <w:sz w:val="24"/>
                <w:szCs w:val="24"/>
              </w:rPr>
            </w:pPr>
            <w:r>
              <w:rPr>
                <w:rFonts w:ascii="Times New Roman" w:hAnsi="Times New Roman" w:cs="Times New Roman"/>
                <w:sz w:val="24"/>
                <w:szCs w:val="24"/>
              </w:rPr>
              <w:t>10</w:t>
            </w:r>
          </w:p>
        </w:tc>
      </w:tr>
      <w:tr w:rsidR="00647FC2" w:rsidTr="00FA1294">
        <w:trPr>
          <w:trHeight w:val="440"/>
        </w:trPr>
        <w:tc>
          <w:tcPr>
            <w:tcW w:w="2695" w:type="dxa"/>
          </w:tcPr>
          <w:p w:rsidR="00647FC2" w:rsidRDefault="00647FC2" w:rsidP="00FA1294">
            <w:pPr>
              <w:jc w:val="center"/>
              <w:rPr>
                <w:rFonts w:ascii="Times New Roman" w:hAnsi="Times New Roman" w:cs="Times New Roman"/>
                <w:sz w:val="24"/>
                <w:szCs w:val="24"/>
              </w:rPr>
            </w:pPr>
            <w:r>
              <w:rPr>
                <w:rFonts w:ascii="Times New Roman" w:hAnsi="Times New Roman" w:cs="Times New Roman"/>
                <w:sz w:val="24"/>
                <w:szCs w:val="24"/>
              </w:rPr>
              <w:t>CSF Glucose (mg/dl)</w:t>
            </w:r>
          </w:p>
        </w:tc>
        <w:tc>
          <w:tcPr>
            <w:tcW w:w="1979" w:type="dxa"/>
          </w:tcPr>
          <w:p w:rsidR="00647FC2" w:rsidRDefault="00FA1294" w:rsidP="00FA1294">
            <w:pPr>
              <w:jc w:val="center"/>
              <w:rPr>
                <w:rFonts w:ascii="Times New Roman" w:hAnsi="Times New Roman" w:cs="Times New Roman"/>
                <w:sz w:val="24"/>
                <w:szCs w:val="24"/>
              </w:rPr>
            </w:pPr>
            <w:r w:rsidRPr="00E40ABB">
              <w:rPr>
                <w:rFonts w:ascii="Times New Roman" w:hAnsi="Times New Roman" w:cs="Times New Roman"/>
                <w:sz w:val="24"/>
                <w:szCs w:val="24"/>
              </w:rPr>
              <w:t>20</w:t>
            </w:r>
          </w:p>
        </w:tc>
        <w:tc>
          <w:tcPr>
            <w:tcW w:w="2338" w:type="dxa"/>
          </w:tcPr>
          <w:p w:rsidR="00647FC2" w:rsidRDefault="002A0EF8" w:rsidP="00FA1294">
            <w:pPr>
              <w:jc w:val="center"/>
              <w:rPr>
                <w:rFonts w:ascii="Times New Roman" w:hAnsi="Times New Roman" w:cs="Times New Roman"/>
                <w:sz w:val="24"/>
                <w:szCs w:val="24"/>
              </w:rPr>
            </w:pPr>
            <w:r>
              <w:rPr>
                <w:rFonts w:ascii="Times New Roman" w:hAnsi="Times New Roman" w:cs="Times New Roman"/>
                <w:sz w:val="24"/>
                <w:szCs w:val="24"/>
              </w:rPr>
              <w:t>&gt;</w:t>
            </w:r>
            <w:r w:rsidR="00FA1294">
              <w:rPr>
                <w:rFonts w:ascii="Times New Roman" w:hAnsi="Times New Roman" w:cs="Times New Roman"/>
                <w:sz w:val="24"/>
                <w:szCs w:val="24"/>
              </w:rPr>
              <w:t>20</w:t>
            </w:r>
          </w:p>
        </w:tc>
        <w:tc>
          <w:tcPr>
            <w:tcW w:w="2338" w:type="dxa"/>
          </w:tcPr>
          <w:p w:rsidR="00647FC2" w:rsidRDefault="002A0EF8" w:rsidP="00FA1294">
            <w:pPr>
              <w:jc w:val="center"/>
              <w:rPr>
                <w:rFonts w:ascii="Times New Roman" w:hAnsi="Times New Roman" w:cs="Times New Roman"/>
                <w:sz w:val="24"/>
                <w:szCs w:val="24"/>
              </w:rPr>
            </w:pPr>
            <w:r>
              <w:rPr>
                <w:rFonts w:ascii="Times New Roman" w:hAnsi="Times New Roman" w:cs="Times New Roman"/>
                <w:sz w:val="24"/>
                <w:szCs w:val="24"/>
              </w:rPr>
              <w:t>40</w:t>
            </w:r>
          </w:p>
        </w:tc>
      </w:tr>
      <w:tr w:rsidR="00647FC2" w:rsidTr="00FA1294">
        <w:trPr>
          <w:trHeight w:val="530"/>
        </w:trPr>
        <w:tc>
          <w:tcPr>
            <w:tcW w:w="2695" w:type="dxa"/>
          </w:tcPr>
          <w:p w:rsidR="00647FC2" w:rsidRDefault="00647FC2" w:rsidP="00FA1294">
            <w:pPr>
              <w:jc w:val="center"/>
              <w:rPr>
                <w:rFonts w:ascii="Times New Roman" w:hAnsi="Times New Roman" w:cs="Times New Roman"/>
                <w:sz w:val="24"/>
                <w:szCs w:val="24"/>
              </w:rPr>
            </w:pPr>
            <w:r>
              <w:rPr>
                <w:rFonts w:ascii="Times New Roman" w:hAnsi="Times New Roman" w:cs="Times New Roman"/>
                <w:sz w:val="24"/>
                <w:szCs w:val="24"/>
              </w:rPr>
              <w:t>CSF Protein (mg/dl)</w:t>
            </w:r>
          </w:p>
        </w:tc>
        <w:tc>
          <w:tcPr>
            <w:tcW w:w="1979" w:type="dxa"/>
          </w:tcPr>
          <w:p w:rsidR="00647FC2" w:rsidRDefault="00FA1294" w:rsidP="00FA1294">
            <w:pPr>
              <w:jc w:val="center"/>
              <w:rPr>
                <w:rFonts w:ascii="Times New Roman" w:hAnsi="Times New Roman" w:cs="Times New Roman"/>
                <w:sz w:val="24"/>
                <w:szCs w:val="24"/>
              </w:rPr>
            </w:pPr>
            <w:r>
              <w:rPr>
                <w:rFonts w:ascii="Times New Roman" w:hAnsi="Times New Roman" w:cs="Times New Roman"/>
                <w:sz w:val="24"/>
                <w:szCs w:val="24"/>
              </w:rPr>
              <w:t>&gt;240</w:t>
            </w:r>
          </w:p>
        </w:tc>
        <w:tc>
          <w:tcPr>
            <w:tcW w:w="2338" w:type="dxa"/>
          </w:tcPr>
          <w:p w:rsidR="00647FC2" w:rsidRDefault="00FA1294" w:rsidP="00FA1294">
            <w:pPr>
              <w:jc w:val="center"/>
              <w:rPr>
                <w:rFonts w:ascii="Times New Roman" w:hAnsi="Times New Roman" w:cs="Times New Roman"/>
                <w:sz w:val="24"/>
                <w:szCs w:val="24"/>
              </w:rPr>
            </w:pPr>
            <w:r>
              <w:rPr>
                <w:rFonts w:ascii="Times New Roman" w:hAnsi="Times New Roman" w:cs="Times New Roman"/>
                <w:sz w:val="24"/>
                <w:szCs w:val="24"/>
              </w:rPr>
              <w:t>457</w:t>
            </w:r>
          </w:p>
        </w:tc>
        <w:tc>
          <w:tcPr>
            <w:tcW w:w="2338" w:type="dxa"/>
          </w:tcPr>
          <w:p w:rsidR="00647FC2" w:rsidRDefault="00DC28FC" w:rsidP="00FA1294">
            <w:pPr>
              <w:jc w:val="center"/>
              <w:rPr>
                <w:rFonts w:ascii="Times New Roman" w:hAnsi="Times New Roman" w:cs="Times New Roman"/>
                <w:sz w:val="24"/>
                <w:szCs w:val="24"/>
              </w:rPr>
            </w:pPr>
            <w:r>
              <w:rPr>
                <w:rFonts w:ascii="Times New Roman" w:hAnsi="Times New Roman" w:cs="Times New Roman"/>
                <w:sz w:val="24"/>
                <w:szCs w:val="24"/>
              </w:rPr>
              <w:t>142</w:t>
            </w:r>
          </w:p>
        </w:tc>
      </w:tr>
      <w:tr w:rsidR="00647FC2" w:rsidTr="00FA1294">
        <w:trPr>
          <w:trHeight w:val="440"/>
        </w:trPr>
        <w:tc>
          <w:tcPr>
            <w:tcW w:w="2695" w:type="dxa"/>
          </w:tcPr>
          <w:p w:rsidR="00647FC2" w:rsidRDefault="00647FC2" w:rsidP="00FA1294">
            <w:pPr>
              <w:jc w:val="center"/>
              <w:rPr>
                <w:rFonts w:ascii="Times New Roman" w:hAnsi="Times New Roman" w:cs="Times New Roman"/>
                <w:sz w:val="24"/>
                <w:szCs w:val="24"/>
              </w:rPr>
            </w:pPr>
            <w:r>
              <w:rPr>
                <w:rFonts w:ascii="Times New Roman" w:hAnsi="Times New Roman" w:cs="Times New Roman"/>
                <w:sz w:val="24"/>
                <w:szCs w:val="24"/>
              </w:rPr>
              <w:t>CRP (mg/L)</w:t>
            </w:r>
          </w:p>
        </w:tc>
        <w:tc>
          <w:tcPr>
            <w:tcW w:w="1979" w:type="dxa"/>
          </w:tcPr>
          <w:p w:rsidR="00647FC2" w:rsidRDefault="00FA1294" w:rsidP="00FA1294">
            <w:pPr>
              <w:jc w:val="center"/>
              <w:rPr>
                <w:rFonts w:ascii="Times New Roman" w:hAnsi="Times New Roman" w:cs="Times New Roman"/>
                <w:sz w:val="24"/>
                <w:szCs w:val="24"/>
              </w:rPr>
            </w:pPr>
            <w:r w:rsidRPr="00E40ABB">
              <w:rPr>
                <w:rFonts w:ascii="Times New Roman" w:hAnsi="Times New Roman" w:cs="Times New Roman"/>
                <w:sz w:val="24"/>
                <w:szCs w:val="24"/>
              </w:rPr>
              <w:t>60.86</w:t>
            </w:r>
          </w:p>
        </w:tc>
        <w:tc>
          <w:tcPr>
            <w:tcW w:w="2338" w:type="dxa"/>
          </w:tcPr>
          <w:p w:rsidR="00647FC2" w:rsidRDefault="00FA1294" w:rsidP="00FA1294">
            <w:pPr>
              <w:jc w:val="center"/>
              <w:rPr>
                <w:rFonts w:ascii="Times New Roman" w:hAnsi="Times New Roman" w:cs="Times New Roman"/>
                <w:sz w:val="24"/>
                <w:szCs w:val="24"/>
              </w:rPr>
            </w:pPr>
            <w:r>
              <w:rPr>
                <w:rFonts w:ascii="Times New Roman" w:hAnsi="Times New Roman" w:cs="Times New Roman"/>
                <w:sz w:val="24"/>
                <w:szCs w:val="24"/>
              </w:rPr>
              <w:t>30.6</w:t>
            </w:r>
          </w:p>
        </w:tc>
        <w:tc>
          <w:tcPr>
            <w:tcW w:w="2338" w:type="dxa"/>
          </w:tcPr>
          <w:p w:rsidR="00647FC2" w:rsidRDefault="00DC28FC" w:rsidP="00DC28FC">
            <w:pPr>
              <w:jc w:val="center"/>
              <w:rPr>
                <w:rFonts w:ascii="Times New Roman" w:hAnsi="Times New Roman" w:cs="Times New Roman"/>
                <w:sz w:val="24"/>
                <w:szCs w:val="24"/>
              </w:rPr>
            </w:pPr>
            <w:r>
              <w:rPr>
                <w:rFonts w:ascii="Times New Roman" w:hAnsi="Times New Roman" w:cs="Times New Roman"/>
                <w:sz w:val="24"/>
                <w:szCs w:val="24"/>
              </w:rPr>
              <w:t>1.40</w:t>
            </w:r>
          </w:p>
        </w:tc>
      </w:tr>
      <w:tr w:rsidR="00647FC2" w:rsidTr="00FA1294">
        <w:tc>
          <w:tcPr>
            <w:tcW w:w="2695" w:type="dxa"/>
          </w:tcPr>
          <w:p w:rsidR="00647FC2" w:rsidRPr="00647FC2" w:rsidRDefault="00647FC2" w:rsidP="00FA1294">
            <w:pPr>
              <w:jc w:val="center"/>
              <w:rPr>
                <w:rFonts w:ascii="Times New Roman" w:hAnsi="Times New Roman" w:cs="Times New Roman"/>
                <w:sz w:val="24"/>
                <w:szCs w:val="24"/>
              </w:rPr>
            </w:pPr>
            <w:r>
              <w:rPr>
                <w:rFonts w:ascii="Times New Roman" w:hAnsi="Times New Roman" w:cs="Times New Roman"/>
                <w:sz w:val="24"/>
                <w:szCs w:val="24"/>
              </w:rPr>
              <w:t>Total Leukocyte Count(/mm</w:t>
            </w:r>
            <w:r w:rsidRPr="00647FC2">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979" w:type="dxa"/>
          </w:tcPr>
          <w:p w:rsidR="00647FC2" w:rsidRDefault="00FA1294" w:rsidP="00FA1294">
            <w:pPr>
              <w:jc w:val="center"/>
              <w:rPr>
                <w:rFonts w:ascii="Times New Roman" w:hAnsi="Times New Roman" w:cs="Times New Roman"/>
                <w:sz w:val="24"/>
                <w:szCs w:val="24"/>
              </w:rPr>
            </w:pPr>
            <w:r>
              <w:rPr>
                <w:rFonts w:ascii="Times New Roman" w:hAnsi="Times New Roman" w:cs="Times New Roman"/>
                <w:sz w:val="24"/>
                <w:szCs w:val="24"/>
              </w:rPr>
              <w:t>25,230</w:t>
            </w:r>
          </w:p>
        </w:tc>
        <w:tc>
          <w:tcPr>
            <w:tcW w:w="2338" w:type="dxa"/>
          </w:tcPr>
          <w:p w:rsidR="00647FC2" w:rsidRDefault="00FA1294" w:rsidP="00FA1294">
            <w:pPr>
              <w:jc w:val="center"/>
              <w:rPr>
                <w:rFonts w:ascii="Times New Roman" w:hAnsi="Times New Roman" w:cs="Times New Roman"/>
                <w:sz w:val="24"/>
                <w:szCs w:val="24"/>
              </w:rPr>
            </w:pPr>
            <w:r>
              <w:rPr>
                <w:rFonts w:ascii="Times New Roman" w:hAnsi="Times New Roman" w:cs="Times New Roman"/>
                <w:sz w:val="24"/>
                <w:szCs w:val="24"/>
              </w:rPr>
              <w:t>22,000</w:t>
            </w:r>
          </w:p>
        </w:tc>
        <w:tc>
          <w:tcPr>
            <w:tcW w:w="2338" w:type="dxa"/>
          </w:tcPr>
          <w:p w:rsidR="00647FC2" w:rsidRDefault="00FA1294" w:rsidP="00FA1294">
            <w:pPr>
              <w:jc w:val="center"/>
              <w:rPr>
                <w:rFonts w:ascii="Times New Roman" w:hAnsi="Times New Roman" w:cs="Times New Roman"/>
                <w:sz w:val="24"/>
                <w:szCs w:val="24"/>
              </w:rPr>
            </w:pPr>
            <w:r>
              <w:rPr>
                <w:rFonts w:ascii="Times New Roman" w:hAnsi="Times New Roman" w:cs="Times New Roman"/>
                <w:sz w:val="24"/>
                <w:szCs w:val="24"/>
              </w:rPr>
              <w:t>17,000</w:t>
            </w:r>
          </w:p>
        </w:tc>
      </w:tr>
    </w:tbl>
    <w:p w:rsidR="00647FC2" w:rsidRDefault="00647FC2" w:rsidP="00E2045C">
      <w:pPr>
        <w:jc w:val="both"/>
        <w:rPr>
          <w:rFonts w:ascii="Times New Roman" w:hAnsi="Times New Roman" w:cs="Times New Roman"/>
          <w:sz w:val="24"/>
          <w:szCs w:val="24"/>
        </w:rPr>
      </w:pPr>
    </w:p>
    <w:p w:rsidR="004B23B9" w:rsidRDefault="004B23B9" w:rsidP="00E2045C">
      <w:pPr>
        <w:jc w:val="both"/>
        <w:rPr>
          <w:rFonts w:ascii="Times New Roman" w:hAnsi="Times New Roman" w:cs="Times New Roman"/>
          <w:sz w:val="24"/>
          <w:szCs w:val="24"/>
        </w:rPr>
      </w:pPr>
    </w:p>
    <w:p w:rsidR="004B23B9" w:rsidRDefault="004B23B9" w:rsidP="00E2045C">
      <w:pPr>
        <w:jc w:val="both"/>
        <w:rPr>
          <w:rFonts w:ascii="Times New Roman" w:hAnsi="Times New Roman" w:cs="Times New Roman"/>
          <w:sz w:val="24"/>
          <w:szCs w:val="24"/>
        </w:rPr>
      </w:pPr>
    </w:p>
    <w:p w:rsidR="00E2045C" w:rsidRPr="00E40ABB" w:rsidRDefault="00E2045C" w:rsidP="00E2045C">
      <w:pPr>
        <w:pStyle w:val="Heading2"/>
        <w:jc w:val="both"/>
        <w:rPr>
          <w:rFonts w:ascii="Times New Roman" w:hAnsi="Times New Roman"/>
          <w:sz w:val="24"/>
          <w:szCs w:val="24"/>
        </w:rPr>
      </w:pPr>
      <w:r w:rsidRPr="00E40ABB">
        <w:rPr>
          <w:rFonts w:ascii="Times New Roman" w:hAnsi="Times New Roman"/>
          <w:color w:val="auto"/>
          <w:sz w:val="24"/>
          <w:szCs w:val="24"/>
        </w:rPr>
        <w:t>Discussion</w:t>
      </w:r>
      <w:r w:rsidR="00B40F1A" w:rsidRPr="00E40ABB">
        <w:rPr>
          <w:rFonts w:ascii="Times New Roman" w:hAnsi="Times New Roman"/>
          <w:color w:val="auto"/>
          <w:sz w:val="24"/>
          <w:szCs w:val="24"/>
        </w:rPr>
        <w:t>:</w:t>
      </w: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Elizabethkingia meningoseptica is a non-fermentative, Gram-negative bacillus that has emerged as a significant nosocomial pathogen, particularly affecting neonates, immunocompromised adults, and patients with prolonged hospitalizations or invasive procedures. It is inherently resistant to multiple classes of antibiotics traditionally used to treat Gram-negative infections, making its management challenging.</w:t>
      </w:r>
      <w:r w:rsidR="00CC3308" w:rsidRPr="00CC3308">
        <w:rPr>
          <w:rFonts w:ascii="Times New Roman" w:hAnsi="Times New Roman" w:cs="Times New Roman"/>
          <w:sz w:val="24"/>
          <w:szCs w:val="24"/>
          <w:vertAlign w:val="superscript"/>
        </w:rPr>
        <w:t>5</w:t>
      </w: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Our case highlights the importance of early detection through appropriate microbiological techniques, allowing for timely initiation of targeted antimicrobial therapy. Upon identification of E. meningoseptica and review of the antimicrobial susceptibility profile, treatment was initiated with levofloxacin and minocycline, leading to marked clinical and laboratory improvement. The observed decrease in</w:t>
      </w:r>
      <w:r w:rsidR="00284439">
        <w:rPr>
          <w:rFonts w:ascii="Times New Roman" w:hAnsi="Times New Roman" w:cs="Times New Roman"/>
          <w:sz w:val="24"/>
          <w:szCs w:val="24"/>
        </w:rPr>
        <w:t xml:space="preserve"> inflammatory markers (CRP 1.40</w:t>
      </w:r>
      <w:r w:rsidRPr="00EA3956">
        <w:rPr>
          <w:rFonts w:ascii="Times New Roman" w:hAnsi="Times New Roman" w:cs="Times New Roman"/>
          <w:sz w:val="24"/>
          <w:szCs w:val="24"/>
        </w:rPr>
        <w:t xml:space="preserve"> mg/L), CSF parame</w:t>
      </w:r>
      <w:r w:rsidR="00284439">
        <w:rPr>
          <w:rFonts w:ascii="Times New Roman" w:hAnsi="Times New Roman" w:cs="Times New Roman"/>
          <w:sz w:val="24"/>
          <w:szCs w:val="24"/>
        </w:rPr>
        <w:t>ters (cell count reduced to 10</w:t>
      </w:r>
      <w:r w:rsidRPr="00EA3956">
        <w:rPr>
          <w:rFonts w:ascii="Times New Roman" w:hAnsi="Times New Roman" w:cs="Times New Roman"/>
          <w:sz w:val="24"/>
          <w:szCs w:val="24"/>
        </w:rPr>
        <w:t>cells/mm³</w:t>
      </w:r>
      <w:r w:rsidR="00284439">
        <w:rPr>
          <w:rFonts w:ascii="Times New Roman" w:hAnsi="Times New Roman" w:cs="Times New Roman"/>
          <w:sz w:val="24"/>
          <w:szCs w:val="24"/>
        </w:rPr>
        <w:t>, glucose 20 mg/dL, protein 142</w:t>
      </w:r>
      <w:r w:rsidRPr="00EA3956">
        <w:rPr>
          <w:rFonts w:ascii="Times New Roman" w:hAnsi="Times New Roman" w:cs="Times New Roman"/>
          <w:sz w:val="24"/>
          <w:szCs w:val="24"/>
        </w:rPr>
        <w:t xml:space="preserve"> mg/dL), and normalization of leukocyte count (17,000/mm³) correlated with clinical recovery.</w:t>
      </w:r>
    </w:p>
    <w:p w:rsidR="00EA3956" w:rsidRPr="00EA3956" w:rsidRDefault="00EA3956" w:rsidP="00EA3956">
      <w:pPr>
        <w:jc w:val="both"/>
        <w:rPr>
          <w:rFonts w:ascii="Times New Roman" w:hAnsi="Times New Roman" w:cs="Times New Roman"/>
          <w:sz w:val="24"/>
          <w:szCs w:val="24"/>
        </w:rPr>
      </w:pPr>
      <w:r w:rsidRPr="00716970">
        <w:rPr>
          <w:rFonts w:ascii="Times New Roman" w:hAnsi="Times New Roman" w:cs="Times New Roman"/>
          <w:sz w:val="24"/>
          <w:szCs w:val="24"/>
        </w:rPr>
        <w:t>Similar findings have been reported by Bloch et al. (1997), who</w:t>
      </w:r>
      <w:r w:rsidR="002B0155" w:rsidRPr="00716970">
        <w:rPr>
          <w:rFonts w:ascii="Times New Roman" w:hAnsi="Times New Roman" w:cs="Times New Roman"/>
          <w:color w:val="212121"/>
          <w:sz w:val="24"/>
          <w:szCs w:val="24"/>
          <w:shd w:val="clear" w:color="auto" w:fill="FFFFFF"/>
        </w:rPr>
        <w:t xml:space="preserve"> revealed the most efficacious antibiotics to be minocycline (100% sensitive), rifampin (93%), trimethoprim-sulfamethoxazole (67%), and ciprofloxacin (53%). were widespread resistance to vancomycin (100% resistant or intermediately sensitive), erythromycin (100%), and clindamycin (86%). </w:t>
      </w:r>
      <w:r w:rsidR="00716970" w:rsidRPr="00716970">
        <w:rPr>
          <w:rFonts w:ascii="Times New Roman" w:hAnsi="Times New Roman" w:cs="Times New Roman"/>
          <w:sz w:val="24"/>
          <w:szCs w:val="24"/>
        </w:rPr>
        <w:t xml:space="preserve">Hsu et al. (2011) </w:t>
      </w:r>
      <w:r w:rsidR="00EE4A7F">
        <w:rPr>
          <w:rFonts w:ascii="Times New Roman" w:hAnsi="Times New Roman" w:cs="Times New Roman"/>
          <w:sz w:val="24"/>
          <w:szCs w:val="24"/>
        </w:rPr>
        <w:t xml:space="preserve">also </w:t>
      </w:r>
      <w:r w:rsidR="00716970" w:rsidRPr="00716970">
        <w:rPr>
          <w:rFonts w:ascii="Times New Roman" w:hAnsi="Times New Roman" w:cs="Times New Roman"/>
          <w:sz w:val="24"/>
          <w:szCs w:val="24"/>
        </w:rPr>
        <w:t xml:space="preserve">emphasized </w:t>
      </w:r>
      <w:r w:rsidR="00716970" w:rsidRPr="00716970">
        <w:rPr>
          <w:rFonts w:ascii="Times New Roman" w:hAnsi="Times New Roman" w:cs="Times New Roman"/>
          <w:color w:val="212121"/>
          <w:sz w:val="24"/>
          <w:szCs w:val="24"/>
          <w:shd w:val="clear" w:color="auto" w:fill="FFFFFF"/>
        </w:rPr>
        <w:t>the 14-day mortality was higher among patients receiving carbapenems (p = 0.046) than fluoroquinolones or other antimicrobial agents. More than 80% of the isolates tested were susceptible to trimethoprim-sulfamethoxzole, moxifloxacin, and levofloxacin</w:t>
      </w:r>
      <w:r w:rsidR="00716970">
        <w:rPr>
          <w:rFonts w:ascii="Segoe UI" w:hAnsi="Segoe UI" w:cs="Segoe UI"/>
          <w:color w:val="212121"/>
          <w:shd w:val="clear" w:color="auto" w:fill="FFFFFF"/>
        </w:rPr>
        <w:t>. </w:t>
      </w:r>
      <w:r w:rsidRPr="00EA3956">
        <w:rPr>
          <w:rFonts w:ascii="Times New Roman" w:hAnsi="Times New Roman" w:cs="Times New Roman"/>
          <w:sz w:val="24"/>
          <w:szCs w:val="24"/>
        </w:rPr>
        <w:t>.</w:t>
      </w:r>
    </w:p>
    <w:p w:rsidR="00751B49"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The organism’s intrinsic resistance mechanisms, including the production of extended-spectrum beta-lactamases and metallo-beta-lactamases, necessitate reliance on antimicrobial stewardship and susceptibility-guided therapy.</w:t>
      </w:r>
      <w:r w:rsidR="00CC3308" w:rsidRPr="00CC3308">
        <w:rPr>
          <w:rFonts w:ascii="Times New Roman" w:hAnsi="Times New Roman" w:cs="Times New Roman"/>
          <w:sz w:val="24"/>
          <w:szCs w:val="24"/>
          <w:vertAlign w:val="superscript"/>
        </w:rPr>
        <w:t>6</w:t>
      </w:r>
      <w:r w:rsidRPr="00CC3308">
        <w:rPr>
          <w:rFonts w:ascii="Times New Roman" w:hAnsi="Times New Roman" w:cs="Times New Roman"/>
          <w:sz w:val="24"/>
          <w:szCs w:val="24"/>
          <w:vertAlign w:val="superscript"/>
        </w:rPr>
        <w:t xml:space="preserve"> </w:t>
      </w:r>
      <w:r w:rsidRPr="00EA3956">
        <w:rPr>
          <w:rFonts w:ascii="Times New Roman" w:hAnsi="Times New Roman" w:cs="Times New Roman"/>
          <w:sz w:val="24"/>
          <w:szCs w:val="24"/>
        </w:rPr>
        <w:t xml:space="preserve">In our case, the selection of levofloxacin and minocycline, to </w:t>
      </w:r>
      <w:r w:rsidRPr="00EA3956">
        <w:rPr>
          <w:rFonts w:ascii="Times New Roman" w:hAnsi="Times New Roman" w:cs="Times New Roman"/>
          <w:sz w:val="24"/>
          <w:szCs w:val="24"/>
        </w:rPr>
        <w:lastRenderedPageBreak/>
        <w:t>which the isolate was susceptible, underscores the need for case-specific antimicrobial strategies rather than empirical treatment alone.</w:t>
      </w:r>
    </w:p>
    <w:p w:rsidR="00E2045C" w:rsidRPr="00E40ABB"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Moreover, this case reinforces the clinical importance of considering Elizabethkingia meningoseptica as a differential diagnosis in nosocomial meningitis cases, especially when initial empirical therapies fail. Close microbiological surveillance and interdisciplinary collaboration between clinicians and microbiologists are crucial for improving patient outcomes.</w:t>
      </w:r>
      <w:r w:rsidR="00CC3308" w:rsidRPr="00CC3308">
        <w:rPr>
          <w:rFonts w:ascii="Times New Roman" w:hAnsi="Times New Roman" w:cs="Times New Roman"/>
          <w:sz w:val="24"/>
          <w:szCs w:val="24"/>
          <w:vertAlign w:val="superscript"/>
        </w:rPr>
        <w:t>7</w:t>
      </w:r>
    </w:p>
    <w:p w:rsidR="00E2045C" w:rsidRPr="00E40ABB" w:rsidRDefault="00E2045C" w:rsidP="00E2045C">
      <w:pPr>
        <w:pStyle w:val="Heading2"/>
        <w:jc w:val="both"/>
        <w:rPr>
          <w:rFonts w:ascii="Times New Roman" w:hAnsi="Times New Roman"/>
          <w:color w:val="auto"/>
          <w:sz w:val="24"/>
          <w:szCs w:val="24"/>
        </w:rPr>
      </w:pPr>
      <w:r w:rsidRPr="00E40ABB">
        <w:rPr>
          <w:rFonts w:ascii="Times New Roman" w:hAnsi="Times New Roman"/>
          <w:color w:val="auto"/>
          <w:sz w:val="24"/>
          <w:szCs w:val="24"/>
        </w:rPr>
        <w:t>Conclusion</w:t>
      </w:r>
      <w:r w:rsidR="00B40F1A" w:rsidRPr="00E40ABB">
        <w:rPr>
          <w:rFonts w:ascii="Times New Roman" w:hAnsi="Times New Roman"/>
          <w:color w:val="auto"/>
          <w:sz w:val="24"/>
          <w:szCs w:val="24"/>
        </w:rPr>
        <w:t>:</w:t>
      </w:r>
    </w:p>
    <w:p w:rsidR="00E2045C" w:rsidRDefault="00E2045C" w:rsidP="00E2045C">
      <w:pPr>
        <w:jc w:val="both"/>
        <w:rPr>
          <w:rFonts w:ascii="Times New Roman" w:hAnsi="Times New Roman" w:cs="Times New Roman"/>
          <w:sz w:val="24"/>
          <w:szCs w:val="24"/>
        </w:rPr>
      </w:pPr>
      <w:r w:rsidRPr="00E40ABB">
        <w:rPr>
          <w:rFonts w:ascii="Times New Roman" w:hAnsi="Times New Roman" w:cs="Times New Roman"/>
          <w:sz w:val="24"/>
          <w:szCs w:val="24"/>
        </w:rPr>
        <w:t>This case highlights the importance of considering Elizabethkingia meningoseptica in the differential diagnosis of neonatal meningitis, especially in patients with neurosurgical interventions such as VP shunting. Given the organism’s multidrug-resistant profile, early detection using automated systems like VITEK and timely adjustment of antibiotic therapy based on susceptibility results are critical for successful outcomes. This case underscores the need for vigilant microbiological surveillance and infection control practices in NICUs to prevent such opportunistic infections in vulnerable neonatal populations.</w:t>
      </w:r>
    </w:p>
    <w:p w:rsidR="00751B49" w:rsidRPr="00E40ABB" w:rsidRDefault="00751B49" w:rsidP="00E2045C">
      <w:pPr>
        <w:jc w:val="both"/>
        <w:rPr>
          <w:rFonts w:ascii="Times New Roman" w:hAnsi="Times New Roman" w:cs="Times New Roman"/>
          <w:sz w:val="24"/>
          <w:szCs w:val="24"/>
        </w:rPr>
      </w:pPr>
    </w:p>
    <w:p w:rsidR="00EA3956" w:rsidRDefault="00E2045C" w:rsidP="00EA3956">
      <w:pPr>
        <w:pStyle w:val="Heading2"/>
        <w:jc w:val="both"/>
        <w:rPr>
          <w:rFonts w:ascii="Times New Roman" w:hAnsi="Times New Roman"/>
          <w:color w:val="auto"/>
          <w:sz w:val="24"/>
          <w:szCs w:val="24"/>
        </w:rPr>
      </w:pPr>
      <w:r w:rsidRPr="00E40ABB">
        <w:rPr>
          <w:rFonts w:ascii="Times New Roman" w:hAnsi="Times New Roman"/>
          <w:color w:val="auto"/>
          <w:sz w:val="24"/>
          <w:szCs w:val="24"/>
        </w:rPr>
        <w:t>References</w:t>
      </w:r>
      <w:r w:rsidR="00B40F1A" w:rsidRPr="00E40ABB">
        <w:rPr>
          <w:rFonts w:ascii="Times New Roman" w:hAnsi="Times New Roman"/>
          <w:color w:val="auto"/>
          <w:sz w:val="24"/>
          <w:szCs w:val="24"/>
        </w:rPr>
        <w:t>:</w:t>
      </w:r>
    </w:p>
    <w:p w:rsidR="00EA3956" w:rsidRPr="00EA3956" w:rsidRDefault="00EA3956" w:rsidP="00EA3956"/>
    <w:p w:rsid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1. Bloch KC, Nadarajah R, Jacobs R. Chryseobacterium meningosepticum: an emerging pathogen among immunocompromised adults. Medicine (Baltimore). 1997;76(1):30-41.</w:t>
      </w:r>
    </w:p>
    <w:p w:rsidR="00EA3956" w:rsidRPr="00EA3956" w:rsidRDefault="00EA3956" w:rsidP="00EA3956">
      <w:pPr>
        <w:jc w:val="both"/>
        <w:rPr>
          <w:rFonts w:ascii="Times New Roman" w:hAnsi="Times New Roman" w:cs="Times New Roman"/>
          <w:sz w:val="24"/>
          <w:szCs w:val="24"/>
        </w:rPr>
      </w:pPr>
    </w:p>
    <w:p w:rsid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2. Lin PY, Chu C, Su LH, Huang CT, Chang WY, Chiu CH. Clinical and microbiological analysis of Elizabethkingia meningoseptica bacteremia in adult patients. Scand J Infect Dis. 2010;42(9):702-706.</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3. Hsu MS, Liao CH, Huang YT, Liu CY, Yang CJ, Kao KL, Hsueh PR. Clinical features and outcomes of Elizabethkingia meningoseptica bacteremia at a medical center in Taiwan. Eur J Clin Microbiol Infect Dis. 2011;30(10):1271-1278.</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4. Jean SS, Lee WS, Chen FL, Ou TY, Hsueh PR. Elizabethkingia meningoseptica: an important emerging pathogen causing healthcare-associated infections. J Hosp Infect. 2014;86(4):244-249.</w:t>
      </w:r>
    </w:p>
    <w:p w:rsidR="00EA3956" w:rsidRPr="00EA3956" w:rsidRDefault="00EA3956" w:rsidP="00EA3956">
      <w:pPr>
        <w:jc w:val="both"/>
        <w:rPr>
          <w:rFonts w:ascii="Times New Roman" w:hAnsi="Times New Roman" w:cs="Times New Roman"/>
          <w:sz w:val="24"/>
          <w:szCs w:val="24"/>
        </w:rPr>
      </w:pPr>
    </w:p>
    <w:p w:rsid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5. Kim KK, Kim MK, Lim JH, Park HY, Lee ST. Transfer of Chryseobacterium meningosepticum and Chryseobacterium miricola to Elizabethkingia gen. nov. Int J Syst Evol Micr</w:t>
      </w:r>
      <w:r>
        <w:rPr>
          <w:rFonts w:ascii="Times New Roman" w:hAnsi="Times New Roman" w:cs="Times New Roman"/>
          <w:sz w:val="24"/>
          <w:szCs w:val="24"/>
        </w:rPr>
        <w:t>obiol. 2005;55(Pt 3):1287-1293.</w:t>
      </w:r>
    </w:p>
    <w:p w:rsid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lastRenderedPageBreak/>
        <w:t>6. Lau SKP, Chow WN, Foo CH, Curreem SOT, Lo GCS, Teng JLL, et al. Elizabethkingia anophelis bacteremia is associated with clinically significant infections and high mortality. Sci Rep. 2016;6:26045.</w:t>
      </w: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7. Han MS, Kim H, Lee Y, Kim M, Ku NS, Choi JY, et al. Relative prevalence and antimicrobial susceptibility of clinical isolates of Elizabethkingia species based on 16S rRNA gene sequencing. J Clin Microbiol. 2017;55(1):274-280.</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8. Chen S, Xu L, Wang L, Hou Y, Liu J. Identification and antimicrobial susceptibility of Elizabethkingia meningoseptica isolated from a case of hospital-acquired pneumonia. BMC Infect Dis. 2019;19(1):1-5.</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9. Kirby JT, Sader HS, Walsh TR, Jones RN. Antimicrobial susceptibility and epidemiology of a worldwide collection of Chryseobacterium spp. Clinical Infectious Diseases. 2004;39(5):701-707.</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10. Weaver KN, Jones RC, Albright R, Thomas Y, Zambrano CH, Costello M, et al. Successful treatment of Elizabethkingia meningoseptica infections in neonates: case reports and review of the literature. Infection. 2010;38(3):219-224.</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11. Lin YT, Chiu CH, Chan YJ, Lin ML, Tu CC, Lee YT. Clinical and microbiological characteristics of Elizabethkingia meningoseptica infections in adults in Taiwan. J Clin Microbiol. 2009;47(6):2051-2053.</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12. Ratnamani MS, Rao R. Elizabethkingia meningoseptica: emerging nosocomial pathogen in bedside hemodialysis patients. Indian J Crit Care Med. 2013;17(5):304-307.</w:t>
      </w:r>
    </w:p>
    <w:p w:rsidR="00EA3956" w:rsidRPr="00EA3956" w:rsidRDefault="00EA3956" w:rsidP="00EA3956">
      <w:pPr>
        <w:jc w:val="both"/>
        <w:rPr>
          <w:rFonts w:ascii="Times New Roman" w:hAnsi="Times New Roman" w:cs="Times New Roman"/>
          <w:sz w:val="24"/>
          <w:szCs w:val="24"/>
        </w:rPr>
      </w:pPr>
    </w:p>
    <w:p w:rsidR="00EA3956" w:rsidRPr="00EA3956"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13. Green O, Murray PR. Elizabethkingia meningoseptica: an emerging cause of nosocomial infection. Clin Microbiol Newsl. 2005;27(16):129-131.</w:t>
      </w:r>
    </w:p>
    <w:p w:rsidR="00EA3956" w:rsidRPr="00EA3956" w:rsidRDefault="00EA3956" w:rsidP="00EA3956">
      <w:pPr>
        <w:jc w:val="both"/>
        <w:rPr>
          <w:rFonts w:ascii="Times New Roman" w:hAnsi="Times New Roman" w:cs="Times New Roman"/>
          <w:sz w:val="24"/>
          <w:szCs w:val="24"/>
        </w:rPr>
      </w:pPr>
    </w:p>
    <w:p w:rsidR="00E2045C" w:rsidRDefault="00EA3956" w:rsidP="00EA3956">
      <w:pPr>
        <w:jc w:val="both"/>
        <w:rPr>
          <w:rFonts w:ascii="Times New Roman" w:hAnsi="Times New Roman" w:cs="Times New Roman"/>
          <w:sz w:val="24"/>
          <w:szCs w:val="24"/>
        </w:rPr>
      </w:pPr>
      <w:r w:rsidRPr="00EA3956">
        <w:rPr>
          <w:rFonts w:ascii="Times New Roman" w:hAnsi="Times New Roman" w:cs="Times New Roman"/>
          <w:sz w:val="24"/>
          <w:szCs w:val="24"/>
        </w:rPr>
        <w:t>14. Teo J, Tan SY, Liu Y, Tay M, Ding Y, Li Y, et al. Comparative genomic analysis of Elizabethkingia anophelis strain NUHP1, isolated from a Singapore patient. Genome Biol Evol. 2014;6(4):932-948.</w:t>
      </w:r>
    </w:p>
    <w:p w:rsidR="00C12B11" w:rsidRDefault="00C12B11" w:rsidP="00EA3956">
      <w:pPr>
        <w:jc w:val="both"/>
        <w:rPr>
          <w:rFonts w:ascii="Times New Roman" w:hAnsi="Times New Roman" w:cs="Times New Roman"/>
          <w:sz w:val="24"/>
          <w:szCs w:val="24"/>
        </w:rPr>
      </w:pPr>
    </w:p>
    <w:p w:rsidR="00C12B11" w:rsidRDefault="00C12B11" w:rsidP="00EA3956">
      <w:pPr>
        <w:jc w:val="both"/>
        <w:rPr>
          <w:rFonts w:ascii="Times New Roman" w:hAnsi="Times New Roman" w:cs="Times New Roman"/>
          <w:sz w:val="24"/>
          <w:szCs w:val="24"/>
        </w:rPr>
      </w:pPr>
    </w:p>
    <w:p w:rsidR="00C12B11" w:rsidRDefault="00C12B11" w:rsidP="00EA3956">
      <w:pPr>
        <w:jc w:val="both"/>
        <w:rPr>
          <w:rFonts w:ascii="Times New Roman" w:hAnsi="Times New Roman" w:cs="Times New Roman"/>
          <w:sz w:val="24"/>
          <w:szCs w:val="24"/>
        </w:rPr>
      </w:pPr>
    </w:p>
    <w:p w:rsidR="00C12B11" w:rsidRDefault="00C12B11" w:rsidP="00EA3956">
      <w:pPr>
        <w:jc w:val="both"/>
        <w:rPr>
          <w:rFonts w:ascii="Times New Roman" w:hAnsi="Times New Roman" w:cs="Times New Roman"/>
          <w:sz w:val="24"/>
          <w:szCs w:val="24"/>
        </w:rPr>
      </w:pPr>
    </w:p>
    <w:p w:rsidR="00C12B11" w:rsidRDefault="00C12B11" w:rsidP="00EA3956">
      <w:pPr>
        <w:jc w:val="both"/>
        <w:rPr>
          <w:rFonts w:ascii="Times New Roman" w:hAnsi="Times New Roman" w:cs="Times New Roman"/>
          <w:sz w:val="24"/>
          <w:szCs w:val="24"/>
        </w:rPr>
      </w:pPr>
    </w:p>
    <w:p w:rsidR="00C12B11" w:rsidRDefault="00C12B11" w:rsidP="00EA3956">
      <w:pPr>
        <w:jc w:val="both"/>
        <w:rPr>
          <w:rFonts w:ascii="Times New Roman" w:hAnsi="Times New Roman" w:cs="Times New Roman"/>
          <w:sz w:val="24"/>
          <w:szCs w:val="24"/>
        </w:rPr>
      </w:pPr>
    </w:p>
    <w:p w:rsidR="00C12B11" w:rsidRDefault="00C12B11" w:rsidP="00EA3956">
      <w:pPr>
        <w:jc w:val="both"/>
        <w:rPr>
          <w:rFonts w:ascii="Times New Roman" w:hAnsi="Times New Roman" w:cs="Times New Roman"/>
          <w:sz w:val="24"/>
          <w:szCs w:val="24"/>
        </w:rPr>
      </w:pPr>
      <w:bookmarkStart w:id="0" w:name="_GoBack"/>
      <w:bookmarkEnd w:id="0"/>
    </w:p>
    <w:sectPr w:rsidR="00C12B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1C" w:rsidRDefault="00372E1C" w:rsidP="00B40F1A">
      <w:pPr>
        <w:spacing w:after="0" w:line="240" w:lineRule="auto"/>
      </w:pPr>
      <w:r>
        <w:separator/>
      </w:r>
    </w:p>
  </w:endnote>
  <w:endnote w:type="continuationSeparator" w:id="0">
    <w:p w:rsidR="00372E1C" w:rsidRDefault="00372E1C" w:rsidP="00B4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1C" w:rsidRDefault="00372E1C" w:rsidP="00B40F1A">
      <w:pPr>
        <w:spacing w:after="0" w:line="240" w:lineRule="auto"/>
      </w:pPr>
      <w:r>
        <w:separator/>
      </w:r>
    </w:p>
  </w:footnote>
  <w:footnote w:type="continuationSeparator" w:id="0">
    <w:p w:rsidR="00372E1C" w:rsidRDefault="00372E1C" w:rsidP="00B40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A5244"/>
    <w:multiLevelType w:val="multilevel"/>
    <w:tmpl w:val="878EF0A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C9"/>
    <w:rsid w:val="000C56D1"/>
    <w:rsid w:val="000F49A1"/>
    <w:rsid w:val="001757AB"/>
    <w:rsid w:val="0017730D"/>
    <w:rsid w:val="001A71D7"/>
    <w:rsid w:val="001A7D27"/>
    <w:rsid w:val="001B6E52"/>
    <w:rsid w:val="001C6CC9"/>
    <w:rsid w:val="00202DE3"/>
    <w:rsid w:val="00224325"/>
    <w:rsid w:val="00237507"/>
    <w:rsid w:val="00283BB4"/>
    <w:rsid w:val="00284439"/>
    <w:rsid w:val="00290FF3"/>
    <w:rsid w:val="002A0EF8"/>
    <w:rsid w:val="002B0155"/>
    <w:rsid w:val="002E7B7C"/>
    <w:rsid w:val="00315F05"/>
    <w:rsid w:val="00372E1C"/>
    <w:rsid w:val="00380C60"/>
    <w:rsid w:val="003C1BBF"/>
    <w:rsid w:val="00472B17"/>
    <w:rsid w:val="004846AB"/>
    <w:rsid w:val="004B23B9"/>
    <w:rsid w:val="004D5117"/>
    <w:rsid w:val="00516D70"/>
    <w:rsid w:val="00524FEC"/>
    <w:rsid w:val="005B6E00"/>
    <w:rsid w:val="00614CAE"/>
    <w:rsid w:val="00647FC2"/>
    <w:rsid w:val="006904AE"/>
    <w:rsid w:val="006E7AA6"/>
    <w:rsid w:val="00704725"/>
    <w:rsid w:val="00716970"/>
    <w:rsid w:val="00751B49"/>
    <w:rsid w:val="00781011"/>
    <w:rsid w:val="007A1CA3"/>
    <w:rsid w:val="007C6237"/>
    <w:rsid w:val="00851D3A"/>
    <w:rsid w:val="00854633"/>
    <w:rsid w:val="00931C7F"/>
    <w:rsid w:val="00967B66"/>
    <w:rsid w:val="00A014E8"/>
    <w:rsid w:val="00A94F7C"/>
    <w:rsid w:val="00AD000B"/>
    <w:rsid w:val="00B40F1A"/>
    <w:rsid w:val="00B435D1"/>
    <w:rsid w:val="00B961BD"/>
    <w:rsid w:val="00B97703"/>
    <w:rsid w:val="00BD3596"/>
    <w:rsid w:val="00BE550A"/>
    <w:rsid w:val="00C12B11"/>
    <w:rsid w:val="00CC3308"/>
    <w:rsid w:val="00CD4C1E"/>
    <w:rsid w:val="00D75C40"/>
    <w:rsid w:val="00DA04B2"/>
    <w:rsid w:val="00DC28FC"/>
    <w:rsid w:val="00DD7D0D"/>
    <w:rsid w:val="00E06B9D"/>
    <w:rsid w:val="00E2045C"/>
    <w:rsid w:val="00E40ABB"/>
    <w:rsid w:val="00EA3956"/>
    <w:rsid w:val="00EC2C28"/>
    <w:rsid w:val="00EE4A7F"/>
    <w:rsid w:val="00EE6AAA"/>
    <w:rsid w:val="00F634D0"/>
    <w:rsid w:val="00F96684"/>
    <w:rsid w:val="00FA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8DEA1-466E-4B65-89BA-6AD43195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E2045C"/>
    <w:pPr>
      <w:keepNext/>
      <w:keepLines/>
      <w:widowControl w:val="0"/>
      <w:spacing w:before="200" w:after="0" w:line="273" w:lineRule="auto"/>
      <w:outlineLvl w:val="1"/>
    </w:pPr>
    <w:rPr>
      <w:rFonts w:ascii="Calibri" w:eastAsia="MS Gothic" w:hAnsi="Calibri" w:cs="Times New Roman"/>
      <w:b/>
      <w:bCs/>
      <w:color w:val="4F81BD"/>
      <w:sz w:val="26"/>
      <w:szCs w:val="26"/>
    </w:rPr>
  </w:style>
  <w:style w:type="paragraph" w:styleId="Heading3">
    <w:name w:val="heading 3"/>
    <w:basedOn w:val="Normal"/>
    <w:next w:val="Normal"/>
    <w:link w:val="Heading3Char"/>
    <w:uiPriority w:val="9"/>
    <w:semiHidden/>
    <w:unhideWhenUsed/>
    <w:qFormat/>
    <w:rsid w:val="00C12B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2045C"/>
    <w:rPr>
      <w:rFonts w:ascii="Calibri" w:eastAsia="MS Gothic" w:hAnsi="Calibri" w:cs="Times New Roman"/>
      <w:b/>
      <w:bCs/>
      <w:color w:val="4F81BD"/>
      <w:sz w:val="26"/>
      <w:szCs w:val="26"/>
    </w:rPr>
  </w:style>
  <w:style w:type="paragraph" w:styleId="ListNumber">
    <w:name w:val="List Number"/>
    <w:basedOn w:val="Normal"/>
    <w:uiPriority w:val="99"/>
    <w:semiHidden/>
    <w:unhideWhenUsed/>
    <w:rsid w:val="00E2045C"/>
    <w:pPr>
      <w:tabs>
        <w:tab w:val="left" w:pos="360"/>
      </w:tabs>
      <w:spacing w:before="100" w:beforeAutospacing="1" w:after="200" w:line="273" w:lineRule="auto"/>
      <w:ind w:left="360" w:hanging="360"/>
      <w:contextualSpacing/>
    </w:pPr>
    <w:rPr>
      <w:rFonts w:ascii="Cambria" w:eastAsia="MS Mincho" w:hAnsi="Cambria" w:cs="Times New Roman"/>
    </w:rPr>
  </w:style>
  <w:style w:type="paragraph" w:styleId="Header">
    <w:name w:val="header"/>
    <w:basedOn w:val="Normal"/>
    <w:link w:val="HeaderChar"/>
    <w:uiPriority w:val="99"/>
    <w:unhideWhenUsed/>
    <w:rsid w:val="00B40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1A"/>
  </w:style>
  <w:style w:type="paragraph" w:styleId="Footer">
    <w:name w:val="footer"/>
    <w:basedOn w:val="Normal"/>
    <w:link w:val="FooterChar"/>
    <w:uiPriority w:val="99"/>
    <w:unhideWhenUsed/>
    <w:rsid w:val="00B40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1A"/>
  </w:style>
  <w:style w:type="table" w:styleId="TableGrid">
    <w:name w:val="Table Grid"/>
    <w:basedOn w:val="TableNormal"/>
    <w:uiPriority w:val="39"/>
    <w:rsid w:val="004B2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3956"/>
    <w:pPr>
      <w:ind w:left="720"/>
      <w:contextualSpacing/>
    </w:pPr>
  </w:style>
  <w:style w:type="character" w:customStyle="1" w:styleId="Heading3Char">
    <w:name w:val="Heading 3 Char"/>
    <w:basedOn w:val="DefaultParagraphFont"/>
    <w:link w:val="Heading3"/>
    <w:uiPriority w:val="9"/>
    <w:semiHidden/>
    <w:rsid w:val="00C12B1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12B11"/>
    <w:rPr>
      <w:b/>
      <w:bCs/>
    </w:rPr>
  </w:style>
  <w:style w:type="character" w:styleId="Emphasis">
    <w:name w:val="Emphasis"/>
    <w:basedOn w:val="DefaultParagraphFont"/>
    <w:uiPriority w:val="20"/>
    <w:qFormat/>
    <w:rsid w:val="00C12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4404">
      <w:bodyDiv w:val="1"/>
      <w:marLeft w:val="0"/>
      <w:marRight w:val="0"/>
      <w:marTop w:val="0"/>
      <w:marBottom w:val="0"/>
      <w:divBdr>
        <w:top w:val="none" w:sz="0" w:space="0" w:color="auto"/>
        <w:left w:val="none" w:sz="0" w:space="0" w:color="auto"/>
        <w:bottom w:val="none" w:sz="0" w:space="0" w:color="auto"/>
        <w:right w:val="none" w:sz="0" w:space="0" w:color="auto"/>
      </w:divBdr>
    </w:div>
    <w:div w:id="355860560">
      <w:bodyDiv w:val="1"/>
      <w:marLeft w:val="0"/>
      <w:marRight w:val="0"/>
      <w:marTop w:val="0"/>
      <w:marBottom w:val="0"/>
      <w:divBdr>
        <w:top w:val="none" w:sz="0" w:space="0" w:color="auto"/>
        <w:left w:val="none" w:sz="0" w:space="0" w:color="auto"/>
        <w:bottom w:val="none" w:sz="0" w:space="0" w:color="auto"/>
        <w:right w:val="none" w:sz="0" w:space="0" w:color="auto"/>
      </w:divBdr>
    </w:div>
    <w:div w:id="706830594">
      <w:bodyDiv w:val="1"/>
      <w:marLeft w:val="0"/>
      <w:marRight w:val="0"/>
      <w:marTop w:val="0"/>
      <w:marBottom w:val="0"/>
      <w:divBdr>
        <w:top w:val="none" w:sz="0" w:space="0" w:color="auto"/>
        <w:left w:val="none" w:sz="0" w:space="0" w:color="auto"/>
        <w:bottom w:val="none" w:sz="0" w:space="0" w:color="auto"/>
        <w:right w:val="none" w:sz="0" w:space="0" w:color="auto"/>
      </w:divBdr>
    </w:div>
    <w:div w:id="850801443">
      <w:bodyDiv w:val="1"/>
      <w:marLeft w:val="0"/>
      <w:marRight w:val="0"/>
      <w:marTop w:val="0"/>
      <w:marBottom w:val="0"/>
      <w:divBdr>
        <w:top w:val="none" w:sz="0" w:space="0" w:color="auto"/>
        <w:left w:val="none" w:sz="0" w:space="0" w:color="auto"/>
        <w:bottom w:val="none" w:sz="0" w:space="0" w:color="auto"/>
        <w:right w:val="none" w:sz="0" w:space="0" w:color="auto"/>
      </w:divBdr>
      <w:divsChild>
        <w:div w:id="680619380">
          <w:marLeft w:val="0"/>
          <w:marRight w:val="0"/>
          <w:marTop w:val="0"/>
          <w:marBottom w:val="0"/>
          <w:divBdr>
            <w:top w:val="none" w:sz="0" w:space="0" w:color="auto"/>
            <w:left w:val="none" w:sz="0" w:space="0" w:color="auto"/>
            <w:bottom w:val="none" w:sz="0" w:space="0" w:color="auto"/>
            <w:right w:val="none" w:sz="0" w:space="0" w:color="auto"/>
          </w:divBdr>
        </w:div>
        <w:div w:id="738022622">
          <w:marLeft w:val="0"/>
          <w:marRight w:val="0"/>
          <w:marTop w:val="0"/>
          <w:marBottom w:val="0"/>
          <w:divBdr>
            <w:top w:val="none" w:sz="0" w:space="0" w:color="auto"/>
            <w:left w:val="none" w:sz="0" w:space="0" w:color="auto"/>
            <w:bottom w:val="none" w:sz="0" w:space="0" w:color="auto"/>
            <w:right w:val="none" w:sz="0" w:space="0" w:color="auto"/>
          </w:divBdr>
        </w:div>
      </w:divsChild>
    </w:div>
    <w:div w:id="902060958">
      <w:bodyDiv w:val="1"/>
      <w:marLeft w:val="0"/>
      <w:marRight w:val="0"/>
      <w:marTop w:val="0"/>
      <w:marBottom w:val="0"/>
      <w:divBdr>
        <w:top w:val="none" w:sz="0" w:space="0" w:color="auto"/>
        <w:left w:val="none" w:sz="0" w:space="0" w:color="auto"/>
        <w:bottom w:val="none" w:sz="0" w:space="0" w:color="auto"/>
        <w:right w:val="none" w:sz="0" w:space="0" w:color="auto"/>
      </w:divBdr>
    </w:div>
    <w:div w:id="1256939637">
      <w:bodyDiv w:val="1"/>
      <w:marLeft w:val="0"/>
      <w:marRight w:val="0"/>
      <w:marTop w:val="0"/>
      <w:marBottom w:val="0"/>
      <w:divBdr>
        <w:top w:val="none" w:sz="0" w:space="0" w:color="auto"/>
        <w:left w:val="none" w:sz="0" w:space="0" w:color="auto"/>
        <w:bottom w:val="none" w:sz="0" w:space="0" w:color="auto"/>
        <w:right w:val="none" w:sz="0" w:space="0" w:color="auto"/>
      </w:divBdr>
      <w:divsChild>
        <w:div w:id="1804688634">
          <w:marLeft w:val="0"/>
          <w:marRight w:val="0"/>
          <w:marTop w:val="0"/>
          <w:marBottom w:val="0"/>
          <w:divBdr>
            <w:top w:val="none" w:sz="0" w:space="0" w:color="auto"/>
            <w:left w:val="none" w:sz="0" w:space="0" w:color="auto"/>
            <w:bottom w:val="none" w:sz="0" w:space="0" w:color="auto"/>
            <w:right w:val="none" w:sz="0" w:space="0" w:color="auto"/>
          </w:divBdr>
        </w:div>
        <w:div w:id="2037196089">
          <w:marLeft w:val="0"/>
          <w:marRight w:val="0"/>
          <w:marTop w:val="0"/>
          <w:marBottom w:val="0"/>
          <w:divBdr>
            <w:top w:val="none" w:sz="0" w:space="0" w:color="auto"/>
            <w:left w:val="none" w:sz="0" w:space="0" w:color="auto"/>
            <w:bottom w:val="none" w:sz="0" w:space="0" w:color="auto"/>
            <w:right w:val="none" w:sz="0" w:space="0" w:color="auto"/>
          </w:divBdr>
        </w:div>
        <w:div w:id="340163139">
          <w:marLeft w:val="0"/>
          <w:marRight w:val="0"/>
          <w:marTop w:val="0"/>
          <w:marBottom w:val="0"/>
          <w:divBdr>
            <w:top w:val="none" w:sz="0" w:space="0" w:color="auto"/>
            <w:left w:val="none" w:sz="0" w:space="0" w:color="auto"/>
            <w:bottom w:val="none" w:sz="0" w:space="0" w:color="auto"/>
            <w:right w:val="none" w:sz="0" w:space="0" w:color="auto"/>
          </w:divBdr>
        </w:div>
        <w:div w:id="181170375">
          <w:marLeft w:val="0"/>
          <w:marRight w:val="0"/>
          <w:marTop w:val="0"/>
          <w:marBottom w:val="0"/>
          <w:divBdr>
            <w:top w:val="none" w:sz="0" w:space="0" w:color="auto"/>
            <w:left w:val="none" w:sz="0" w:space="0" w:color="auto"/>
            <w:bottom w:val="none" w:sz="0" w:space="0" w:color="auto"/>
            <w:right w:val="none" w:sz="0" w:space="0" w:color="auto"/>
          </w:divBdr>
        </w:div>
        <w:div w:id="882182386">
          <w:marLeft w:val="0"/>
          <w:marRight w:val="0"/>
          <w:marTop w:val="0"/>
          <w:marBottom w:val="0"/>
          <w:divBdr>
            <w:top w:val="none" w:sz="0" w:space="0" w:color="auto"/>
            <w:left w:val="none" w:sz="0" w:space="0" w:color="auto"/>
            <w:bottom w:val="none" w:sz="0" w:space="0" w:color="auto"/>
            <w:right w:val="none" w:sz="0" w:space="0" w:color="auto"/>
          </w:divBdr>
        </w:div>
        <w:div w:id="947782014">
          <w:marLeft w:val="0"/>
          <w:marRight w:val="0"/>
          <w:marTop w:val="0"/>
          <w:marBottom w:val="0"/>
          <w:divBdr>
            <w:top w:val="none" w:sz="0" w:space="0" w:color="auto"/>
            <w:left w:val="none" w:sz="0" w:space="0" w:color="auto"/>
            <w:bottom w:val="none" w:sz="0" w:space="0" w:color="auto"/>
            <w:right w:val="none" w:sz="0" w:space="0" w:color="auto"/>
          </w:divBdr>
        </w:div>
        <w:div w:id="1211530533">
          <w:marLeft w:val="0"/>
          <w:marRight w:val="0"/>
          <w:marTop w:val="0"/>
          <w:marBottom w:val="0"/>
          <w:divBdr>
            <w:top w:val="none" w:sz="0" w:space="0" w:color="auto"/>
            <w:left w:val="none" w:sz="0" w:space="0" w:color="auto"/>
            <w:bottom w:val="none" w:sz="0" w:space="0" w:color="auto"/>
            <w:right w:val="none" w:sz="0" w:space="0" w:color="auto"/>
          </w:divBdr>
        </w:div>
        <w:div w:id="549197617">
          <w:marLeft w:val="0"/>
          <w:marRight w:val="0"/>
          <w:marTop w:val="0"/>
          <w:marBottom w:val="0"/>
          <w:divBdr>
            <w:top w:val="none" w:sz="0" w:space="0" w:color="auto"/>
            <w:left w:val="none" w:sz="0" w:space="0" w:color="auto"/>
            <w:bottom w:val="none" w:sz="0" w:space="0" w:color="auto"/>
            <w:right w:val="none" w:sz="0" w:space="0" w:color="auto"/>
          </w:divBdr>
        </w:div>
        <w:div w:id="931159202">
          <w:marLeft w:val="0"/>
          <w:marRight w:val="0"/>
          <w:marTop w:val="0"/>
          <w:marBottom w:val="0"/>
          <w:divBdr>
            <w:top w:val="none" w:sz="0" w:space="0" w:color="auto"/>
            <w:left w:val="none" w:sz="0" w:space="0" w:color="auto"/>
            <w:bottom w:val="none" w:sz="0" w:space="0" w:color="auto"/>
            <w:right w:val="none" w:sz="0" w:space="0" w:color="auto"/>
          </w:divBdr>
        </w:div>
      </w:divsChild>
    </w:div>
    <w:div w:id="1578590807">
      <w:bodyDiv w:val="1"/>
      <w:marLeft w:val="0"/>
      <w:marRight w:val="0"/>
      <w:marTop w:val="0"/>
      <w:marBottom w:val="0"/>
      <w:divBdr>
        <w:top w:val="none" w:sz="0" w:space="0" w:color="auto"/>
        <w:left w:val="none" w:sz="0" w:space="0" w:color="auto"/>
        <w:bottom w:val="none" w:sz="0" w:space="0" w:color="auto"/>
        <w:right w:val="none" w:sz="0" w:space="0" w:color="auto"/>
      </w:divBdr>
      <w:divsChild>
        <w:div w:id="334113810">
          <w:marLeft w:val="0"/>
          <w:marRight w:val="0"/>
          <w:marTop w:val="0"/>
          <w:marBottom w:val="0"/>
          <w:divBdr>
            <w:top w:val="none" w:sz="0" w:space="0" w:color="auto"/>
            <w:left w:val="none" w:sz="0" w:space="0" w:color="auto"/>
            <w:bottom w:val="none" w:sz="0" w:space="0" w:color="auto"/>
            <w:right w:val="none" w:sz="0" w:space="0" w:color="auto"/>
          </w:divBdr>
        </w:div>
        <w:div w:id="1250314073">
          <w:marLeft w:val="0"/>
          <w:marRight w:val="0"/>
          <w:marTop w:val="0"/>
          <w:marBottom w:val="0"/>
          <w:divBdr>
            <w:top w:val="none" w:sz="0" w:space="0" w:color="auto"/>
            <w:left w:val="none" w:sz="0" w:space="0" w:color="auto"/>
            <w:bottom w:val="none" w:sz="0" w:space="0" w:color="auto"/>
            <w:right w:val="none" w:sz="0" w:space="0" w:color="auto"/>
          </w:divBdr>
        </w:div>
        <w:div w:id="1133794716">
          <w:marLeft w:val="0"/>
          <w:marRight w:val="0"/>
          <w:marTop w:val="0"/>
          <w:marBottom w:val="0"/>
          <w:divBdr>
            <w:top w:val="none" w:sz="0" w:space="0" w:color="auto"/>
            <w:left w:val="none" w:sz="0" w:space="0" w:color="auto"/>
            <w:bottom w:val="none" w:sz="0" w:space="0" w:color="auto"/>
            <w:right w:val="none" w:sz="0" w:space="0" w:color="auto"/>
          </w:divBdr>
        </w:div>
        <w:div w:id="1658074321">
          <w:marLeft w:val="0"/>
          <w:marRight w:val="0"/>
          <w:marTop w:val="0"/>
          <w:marBottom w:val="0"/>
          <w:divBdr>
            <w:top w:val="none" w:sz="0" w:space="0" w:color="auto"/>
            <w:left w:val="none" w:sz="0" w:space="0" w:color="auto"/>
            <w:bottom w:val="none" w:sz="0" w:space="0" w:color="auto"/>
            <w:right w:val="none" w:sz="0" w:space="0" w:color="auto"/>
          </w:divBdr>
        </w:div>
        <w:div w:id="1512329975">
          <w:marLeft w:val="0"/>
          <w:marRight w:val="0"/>
          <w:marTop w:val="0"/>
          <w:marBottom w:val="0"/>
          <w:divBdr>
            <w:top w:val="none" w:sz="0" w:space="0" w:color="auto"/>
            <w:left w:val="none" w:sz="0" w:space="0" w:color="auto"/>
            <w:bottom w:val="none" w:sz="0" w:space="0" w:color="auto"/>
            <w:right w:val="none" w:sz="0" w:space="0" w:color="auto"/>
          </w:divBdr>
        </w:div>
        <w:div w:id="1565212551">
          <w:marLeft w:val="0"/>
          <w:marRight w:val="0"/>
          <w:marTop w:val="0"/>
          <w:marBottom w:val="0"/>
          <w:divBdr>
            <w:top w:val="none" w:sz="0" w:space="0" w:color="auto"/>
            <w:left w:val="none" w:sz="0" w:space="0" w:color="auto"/>
            <w:bottom w:val="none" w:sz="0" w:space="0" w:color="auto"/>
            <w:right w:val="none" w:sz="0" w:space="0" w:color="auto"/>
          </w:divBdr>
        </w:div>
        <w:div w:id="896739353">
          <w:marLeft w:val="0"/>
          <w:marRight w:val="0"/>
          <w:marTop w:val="0"/>
          <w:marBottom w:val="0"/>
          <w:divBdr>
            <w:top w:val="none" w:sz="0" w:space="0" w:color="auto"/>
            <w:left w:val="none" w:sz="0" w:space="0" w:color="auto"/>
            <w:bottom w:val="none" w:sz="0" w:space="0" w:color="auto"/>
            <w:right w:val="none" w:sz="0" w:space="0" w:color="auto"/>
          </w:divBdr>
        </w:div>
        <w:div w:id="1314607553">
          <w:marLeft w:val="0"/>
          <w:marRight w:val="0"/>
          <w:marTop w:val="0"/>
          <w:marBottom w:val="0"/>
          <w:divBdr>
            <w:top w:val="none" w:sz="0" w:space="0" w:color="auto"/>
            <w:left w:val="none" w:sz="0" w:space="0" w:color="auto"/>
            <w:bottom w:val="none" w:sz="0" w:space="0" w:color="auto"/>
            <w:right w:val="none" w:sz="0" w:space="0" w:color="auto"/>
          </w:divBdr>
        </w:div>
        <w:div w:id="157768935">
          <w:marLeft w:val="0"/>
          <w:marRight w:val="0"/>
          <w:marTop w:val="0"/>
          <w:marBottom w:val="0"/>
          <w:divBdr>
            <w:top w:val="none" w:sz="0" w:space="0" w:color="auto"/>
            <w:left w:val="none" w:sz="0" w:space="0" w:color="auto"/>
            <w:bottom w:val="none" w:sz="0" w:space="0" w:color="auto"/>
            <w:right w:val="none" w:sz="0" w:space="0" w:color="auto"/>
          </w:divBdr>
        </w:div>
        <w:div w:id="956066788">
          <w:marLeft w:val="0"/>
          <w:marRight w:val="0"/>
          <w:marTop w:val="0"/>
          <w:marBottom w:val="0"/>
          <w:divBdr>
            <w:top w:val="none" w:sz="0" w:space="0" w:color="auto"/>
            <w:left w:val="none" w:sz="0" w:space="0" w:color="auto"/>
            <w:bottom w:val="none" w:sz="0" w:space="0" w:color="auto"/>
            <w:right w:val="none" w:sz="0" w:space="0" w:color="auto"/>
          </w:divBdr>
        </w:div>
      </w:divsChild>
    </w:div>
    <w:div w:id="1656760498">
      <w:bodyDiv w:val="1"/>
      <w:marLeft w:val="0"/>
      <w:marRight w:val="0"/>
      <w:marTop w:val="0"/>
      <w:marBottom w:val="0"/>
      <w:divBdr>
        <w:top w:val="none" w:sz="0" w:space="0" w:color="auto"/>
        <w:left w:val="none" w:sz="0" w:space="0" w:color="auto"/>
        <w:bottom w:val="none" w:sz="0" w:space="0" w:color="auto"/>
        <w:right w:val="none" w:sz="0" w:space="0" w:color="auto"/>
      </w:divBdr>
    </w:div>
    <w:div w:id="1669138893">
      <w:bodyDiv w:val="1"/>
      <w:marLeft w:val="0"/>
      <w:marRight w:val="0"/>
      <w:marTop w:val="0"/>
      <w:marBottom w:val="0"/>
      <w:divBdr>
        <w:top w:val="none" w:sz="0" w:space="0" w:color="auto"/>
        <w:left w:val="none" w:sz="0" w:space="0" w:color="auto"/>
        <w:bottom w:val="none" w:sz="0" w:space="0" w:color="auto"/>
        <w:right w:val="none" w:sz="0" w:space="0" w:color="auto"/>
      </w:divBdr>
    </w:div>
    <w:div w:id="1826510190">
      <w:bodyDiv w:val="1"/>
      <w:marLeft w:val="0"/>
      <w:marRight w:val="0"/>
      <w:marTop w:val="0"/>
      <w:marBottom w:val="0"/>
      <w:divBdr>
        <w:top w:val="none" w:sz="0" w:space="0" w:color="auto"/>
        <w:left w:val="none" w:sz="0" w:space="0" w:color="auto"/>
        <w:bottom w:val="none" w:sz="0" w:space="0" w:color="auto"/>
        <w:right w:val="none" w:sz="0" w:space="0" w:color="auto"/>
      </w:divBdr>
      <w:divsChild>
        <w:div w:id="1014962838">
          <w:marLeft w:val="0"/>
          <w:marRight w:val="0"/>
          <w:marTop w:val="0"/>
          <w:marBottom w:val="0"/>
          <w:divBdr>
            <w:top w:val="none" w:sz="0" w:space="0" w:color="auto"/>
            <w:left w:val="none" w:sz="0" w:space="0" w:color="auto"/>
            <w:bottom w:val="none" w:sz="0" w:space="0" w:color="auto"/>
            <w:right w:val="none" w:sz="0" w:space="0" w:color="auto"/>
          </w:divBdr>
          <w:divsChild>
            <w:div w:id="15407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A239-04F5-4E74-A536-E49CE979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12525</TotalTime>
  <Pages>6</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60</cp:revision>
  <dcterms:created xsi:type="dcterms:W3CDTF">2025-04-08T15:42:00Z</dcterms:created>
  <dcterms:modified xsi:type="dcterms:W3CDTF">2025-05-30T08:31:00Z</dcterms:modified>
</cp:coreProperties>
</file>