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507CB" w14:textId="5C43DFA8" w:rsidR="007E68EA" w:rsidRPr="00967F86" w:rsidRDefault="00514410" w:rsidP="00035456">
      <w:pPr>
        <w:pStyle w:val="NoSpacing"/>
        <w:jc w:val="center"/>
        <w:rPr>
          <w:rFonts w:ascii="Times New Roman" w:hAnsi="Times New Roman" w:cs="Times New Roman"/>
          <w:b/>
          <w:sz w:val="36"/>
          <w:szCs w:val="36"/>
        </w:rPr>
      </w:pPr>
      <w:r w:rsidRPr="00967F86">
        <w:rPr>
          <w:rFonts w:ascii="Times New Roman" w:hAnsi="Times New Roman" w:cs="Times New Roman"/>
          <w:b/>
          <w:sz w:val="36"/>
          <w:szCs w:val="36"/>
        </w:rPr>
        <w:t xml:space="preserve">Reframing Local Governance </w:t>
      </w:r>
      <w:r>
        <w:rPr>
          <w:rFonts w:ascii="Times New Roman" w:hAnsi="Times New Roman" w:cs="Times New Roman"/>
          <w:b/>
          <w:sz w:val="36"/>
          <w:szCs w:val="36"/>
        </w:rPr>
        <w:t>f</w:t>
      </w:r>
      <w:r w:rsidRPr="00967F86">
        <w:rPr>
          <w:rFonts w:ascii="Times New Roman" w:hAnsi="Times New Roman" w:cs="Times New Roman"/>
          <w:b/>
          <w:sz w:val="36"/>
          <w:szCs w:val="36"/>
        </w:rPr>
        <w:t xml:space="preserve">or </w:t>
      </w:r>
      <w:r>
        <w:rPr>
          <w:rFonts w:ascii="Times New Roman" w:hAnsi="Times New Roman" w:cs="Times New Roman"/>
          <w:b/>
          <w:sz w:val="36"/>
          <w:szCs w:val="36"/>
        </w:rPr>
        <w:t>t</w:t>
      </w:r>
      <w:r w:rsidRPr="00967F86">
        <w:rPr>
          <w:rFonts w:ascii="Times New Roman" w:hAnsi="Times New Roman" w:cs="Times New Roman"/>
          <w:b/>
          <w:sz w:val="36"/>
          <w:szCs w:val="36"/>
        </w:rPr>
        <w:t>he Aging Population:</w:t>
      </w:r>
      <w:r>
        <w:rPr>
          <w:rFonts w:ascii="Times New Roman" w:hAnsi="Times New Roman" w:cs="Times New Roman"/>
          <w:b/>
          <w:sz w:val="36"/>
          <w:szCs w:val="36"/>
        </w:rPr>
        <w:t xml:space="preserve"> </w:t>
      </w:r>
      <w:r w:rsidRPr="00967F86">
        <w:rPr>
          <w:rFonts w:ascii="Times New Roman" w:hAnsi="Times New Roman" w:cs="Times New Roman"/>
          <w:b/>
          <w:sz w:val="36"/>
          <w:szCs w:val="36"/>
        </w:rPr>
        <w:t xml:space="preserve">A Study </w:t>
      </w:r>
      <w:r>
        <w:rPr>
          <w:rFonts w:ascii="Times New Roman" w:hAnsi="Times New Roman" w:cs="Times New Roman"/>
          <w:b/>
          <w:sz w:val="36"/>
          <w:szCs w:val="36"/>
        </w:rPr>
        <w:t>o</w:t>
      </w:r>
      <w:r w:rsidRPr="00967F86">
        <w:rPr>
          <w:rFonts w:ascii="Times New Roman" w:hAnsi="Times New Roman" w:cs="Times New Roman"/>
          <w:b/>
          <w:sz w:val="36"/>
          <w:szCs w:val="36"/>
        </w:rPr>
        <w:t xml:space="preserve">n Establishing an Elderly Home Care Facility </w:t>
      </w:r>
      <w:r>
        <w:rPr>
          <w:rFonts w:ascii="Times New Roman" w:hAnsi="Times New Roman" w:cs="Times New Roman"/>
          <w:b/>
          <w:sz w:val="36"/>
          <w:szCs w:val="36"/>
        </w:rPr>
        <w:t>i</w:t>
      </w:r>
      <w:r w:rsidRPr="00967F86">
        <w:rPr>
          <w:rFonts w:ascii="Times New Roman" w:hAnsi="Times New Roman" w:cs="Times New Roman"/>
          <w:b/>
          <w:sz w:val="36"/>
          <w:szCs w:val="36"/>
        </w:rPr>
        <w:t>n Panabo City</w:t>
      </w:r>
    </w:p>
    <w:p w14:paraId="3878B024" w14:textId="77777777" w:rsidR="007E68EA" w:rsidRPr="00967F86" w:rsidRDefault="007E68EA" w:rsidP="00967F86">
      <w:pPr>
        <w:pStyle w:val="NoSpacing"/>
        <w:jc w:val="both"/>
        <w:rPr>
          <w:rFonts w:ascii="Times New Roman" w:hAnsi="Times New Roman" w:cs="Times New Roman"/>
          <w:b/>
          <w:sz w:val="24"/>
          <w:szCs w:val="24"/>
        </w:rPr>
      </w:pPr>
    </w:p>
    <w:p w14:paraId="6AA3C73D" w14:textId="77777777" w:rsidR="00514410" w:rsidRPr="00CD2755" w:rsidRDefault="007E68EA" w:rsidP="00514410">
      <w:pPr>
        <w:spacing w:after="0" w:line="240" w:lineRule="auto"/>
        <w:jc w:val="center"/>
        <w:rPr>
          <w:rFonts w:ascii="Times New Roman" w:hAnsi="Times New Roman" w:cs="Times New Roman"/>
          <w:b/>
          <w:bCs/>
          <w:sz w:val="24"/>
          <w:szCs w:val="24"/>
        </w:rPr>
      </w:pPr>
      <w:r w:rsidRPr="00967F86">
        <w:rPr>
          <w:rFonts w:ascii="Times New Roman" w:hAnsi="Times New Roman" w:cs="Times New Roman"/>
          <w:b/>
          <w:bCs/>
          <w:sz w:val="24"/>
          <w:szCs w:val="24"/>
        </w:rPr>
        <w:t>Authors:</w:t>
      </w:r>
      <w:r w:rsidRPr="00967F86">
        <w:rPr>
          <w:rFonts w:ascii="Times New Roman" w:hAnsi="Times New Roman" w:cs="Times New Roman"/>
          <w:b/>
          <w:bCs/>
          <w:sz w:val="24"/>
          <w:szCs w:val="24"/>
        </w:rPr>
        <w:br/>
      </w:r>
      <w:r w:rsidR="00514410" w:rsidRPr="00CD2755">
        <w:rPr>
          <w:rFonts w:ascii="Times New Roman" w:hAnsi="Times New Roman" w:cs="Times New Roman"/>
          <w:b/>
          <w:bCs/>
          <w:sz w:val="24"/>
          <w:szCs w:val="24"/>
        </w:rPr>
        <w:t xml:space="preserve">Rachelle T. Velasquez¹, </w:t>
      </w:r>
      <w:proofErr w:type="spellStart"/>
      <w:r w:rsidR="00514410" w:rsidRPr="00CD2755">
        <w:rPr>
          <w:rFonts w:ascii="Times New Roman" w:hAnsi="Times New Roman" w:cs="Times New Roman"/>
          <w:b/>
          <w:bCs/>
          <w:sz w:val="24"/>
          <w:szCs w:val="24"/>
        </w:rPr>
        <w:t>Rodalyn</w:t>
      </w:r>
      <w:proofErr w:type="spellEnd"/>
      <w:r w:rsidR="00514410" w:rsidRPr="00CD2755">
        <w:rPr>
          <w:rFonts w:ascii="Times New Roman" w:hAnsi="Times New Roman" w:cs="Times New Roman"/>
          <w:b/>
          <w:bCs/>
          <w:sz w:val="24"/>
          <w:szCs w:val="24"/>
        </w:rPr>
        <w:t xml:space="preserve"> L. Dulla², Yasmen L. Bonza³, </w:t>
      </w:r>
      <w:proofErr w:type="spellStart"/>
      <w:r w:rsidR="00514410" w:rsidRPr="00CD2755">
        <w:rPr>
          <w:rFonts w:ascii="Times New Roman" w:hAnsi="Times New Roman" w:cs="Times New Roman"/>
          <w:b/>
          <w:bCs/>
          <w:sz w:val="24"/>
          <w:szCs w:val="24"/>
        </w:rPr>
        <w:t>Noelmer</w:t>
      </w:r>
      <w:proofErr w:type="spellEnd"/>
      <w:r w:rsidR="00514410" w:rsidRPr="00CD2755">
        <w:rPr>
          <w:rFonts w:ascii="Times New Roman" w:hAnsi="Times New Roman" w:cs="Times New Roman"/>
          <w:b/>
          <w:bCs/>
          <w:sz w:val="24"/>
          <w:szCs w:val="24"/>
        </w:rPr>
        <w:t xml:space="preserve"> B. Gepullano⁴,</w:t>
      </w:r>
    </w:p>
    <w:p w14:paraId="281F54C4" w14:textId="77777777" w:rsidR="00514410" w:rsidRPr="00CD2755" w:rsidRDefault="00514410" w:rsidP="00514410">
      <w:pPr>
        <w:spacing w:after="0" w:line="240" w:lineRule="auto"/>
        <w:jc w:val="center"/>
        <w:rPr>
          <w:rFonts w:ascii="Times New Roman" w:hAnsi="Times New Roman" w:cs="Times New Roman"/>
          <w:b/>
          <w:bCs/>
          <w:sz w:val="24"/>
          <w:szCs w:val="24"/>
        </w:rPr>
      </w:pPr>
      <w:r w:rsidRPr="00CD2755">
        <w:rPr>
          <w:rFonts w:ascii="Times New Roman" w:hAnsi="Times New Roman" w:cs="Times New Roman"/>
          <w:b/>
          <w:bCs/>
          <w:sz w:val="24"/>
          <w:szCs w:val="24"/>
        </w:rPr>
        <w:t xml:space="preserve"> Glenne B. </w:t>
      </w:r>
      <w:proofErr w:type="spellStart"/>
      <w:r w:rsidRPr="00CD2755">
        <w:rPr>
          <w:rFonts w:ascii="Times New Roman" w:hAnsi="Times New Roman" w:cs="Times New Roman"/>
          <w:b/>
          <w:bCs/>
          <w:sz w:val="24"/>
          <w:szCs w:val="24"/>
        </w:rPr>
        <w:t>Lagura</w:t>
      </w:r>
      <w:proofErr w:type="spellEnd"/>
      <w:r w:rsidRPr="00CD2755">
        <w:rPr>
          <w:rFonts w:ascii="Times New Roman" w:hAnsi="Times New Roman" w:cs="Times New Roman"/>
          <w:b/>
          <w:bCs/>
          <w:sz w:val="24"/>
          <w:szCs w:val="24"/>
        </w:rPr>
        <w:t xml:space="preserve">⁵, </w:t>
      </w:r>
      <w:proofErr w:type="spellStart"/>
      <w:r w:rsidRPr="00CD2755">
        <w:rPr>
          <w:rFonts w:ascii="Times New Roman" w:hAnsi="Times New Roman" w:cs="Times New Roman"/>
          <w:b/>
          <w:bCs/>
          <w:sz w:val="24"/>
          <w:szCs w:val="24"/>
        </w:rPr>
        <w:t>Joanaros</w:t>
      </w:r>
      <w:proofErr w:type="spellEnd"/>
      <w:r w:rsidRPr="00CD2755">
        <w:rPr>
          <w:rFonts w:ascii="Times New Roman" w:hAnsi="Times New Roman" w:cs="Times New Roman"/>
          <w:b/>
          <w:bCs/>
          <w:sz w:val="24"/>
          <w:szCs w:val="24"/>
        </w:rPr>
        <w:t xml:space="preserve"> Precillo-</w:t>
      </w:r>
      <w:proofErr w:type="spellStart"/>
      <w:r w:rsidRPr="00CD2755">
        <w:rPr>
          <w:rFonts w:ascii="Times New Roman" w:hAnsi="Times New Roman" w:cs="Times New Roman"/>
          <w:b/>
          <w:bCs/>
          <w:sz w:val="24"/>
          <w:szCs w:val="24"/>
        </w:rPr>
        <w:t>Fahit</w:t>
      </w:r>
      <w:proofErr w:type="spellEnd"/>
      <w:r w:rsidRPr="00CD2755">
        <w:rPr>
          <w:rFonts w:ascii="Times New Roman" w:hAnsi="Times New Roman" w:cs="Times New Roman"/>
          <w:b/>
          <w:bCs/>
          <w:sz w:val="24"/>
          <w:szCs w:val="24"/>
        </w:rPr>
        <w:t xml:space="preserve">⁶, Ronel </w:t>
      </w:r>
      <w:proofErr w:type="spellStart"/>
      <w:r w:rsidRPr="00CD2755">
        <w:rPr>
          <w:rFonts w:ascii="Times New Roman" w:hAnsi="Times New Roman" w:cs="Times New Roman"/>
          <w:b/>
          <w:bCs/>
          <w:sz w:val="24"/>
          <w:szCs w:val="24"/>
        </w:rPr>
        <w:t>Geraldizo</w:t>
      </w:r>
      <w:proofErr w:type="spellEnd"/>
      <w:r w:rsidRPr="00CD2755">
        <w:rPr>
          <w:rFonts w:ascii="Times New Roman" w:hAnsi="Times New Roman" w:cs="Times New Roman"/>
          <w:b/>
          <w:bCs/>
          <w:sz w:val="24"/>
          <w:szCs w:val="24"/>
        </w:rPr>
        <w:t xml:space="preserve"> Dagohoy⁷, </w:t>
      </w:r>
    </w:p>
    <w:p w14:paraId="5503A25E" w14:textId="77777777" w:rsidR="00514410" w:rsidRPr="00CD2755" w:rsidRDefault="00514410" w:rsidP="00514410">
      <w:pPr>
        <w:spacing w:after="0" w:line="240" w:lineRule="auto"/>
        <w:jc w:val="center"/>
        <w:rPr>
          <w:rFonts w:ascii="Times New Roman" w:hAnsi="Times New Roman" w:cs="Times New Roman"/>
          <w:b/>
          <w:bCs/>
          <w:sz w:val="24"/>
          <w:szCs w:val="24"/>
        </w:rPr>
      </w:pPr>
      <w:r w:rsidRPr="00CD2755">
        <w:rPr>
          <w:rFonts w:ascii="Times New Roman" w:hAnsi="Times New Roman" w:cs="Times New Roman"/>
          <w:b/>
          <w:bCs/>
          <w:sz w:val="24"/>
          <w:szCs w:val="24"/>
        </w:rPr>
        <w:t xml:space="preserve">Troy Jon N. Ancho⁸, </w:t>
      </w:r>
      <w:proofErr w:type="spellStart"/>
      <w:r w:rsidRPr="00CD2755">
        <w:rPr>
          <w:rFonts w:ascii="Times New Roman" w:hAnsi="Times New Roman" w:cs="Times New Roman"/>
          <w:b/>
          <w:bCs/>
          <w:sz w:val="24"/>
          <w:szCs w:val="24"/>
        </w:rPr>
        <w:t>Libh</w:t>
      </w:r>
      <w:proofErr w:type="spellEnd"/>
      <w:r w:rsidRPr="00CD2755">
        <w:rPr>
          <w:rFonts w:ascii="Times New Roman" w:hAnsi="Times New Roman" w:cs="Times New Roman"/>
          <w:b/>
          <w:bCs/>
          <w:sz w:val="24"/>
          <w:szCs w:val="24"/>
        </w:rPr>
        <w:t xml:space="preserve"> Anthony L. Limama⁹</w:t>
      </w:r>
    </w:p>
    <w:p w14:paraId="0778CEB6" w14:textId="77777777" w:rsidR="00514410" w:rsidRPr="004548C7" w:rsidRDefault="00514410" w:rsidP="00514410">
      <w:pPr>
        <w:spacing w:after="0" w:line="240" w:lineRule="auto"/>
        <w:jc w:val="center"/>
        <w:rPr>
          <w:rFonts w:ascii="Times New Roman" w:hAnsi="Times New Roman" w:cs="Times New Roman"/>
          <w:i/>
          <w:iCs/>
          <w:szCs w:val="24"/>
        </w:rPr>
      </w:pPr>
    </w:p>
    <w:p w14:paraId="409ED86F" w14:textId="77777777" w:rsidR="00514410" w:rsidRPr="00CD2755" w:rsidRDefault="00514410" w:rsidP="00514410">
      <w:pPr>
        <w:spacing w:after="0" w:line="240" w:lineRule="auto"/>
        <w:jc w:val="center"/>
        <w:rPr>
          <w:rFonts w:ascii="Times New Roman" w:hAnsi="Times New Roman" w:cs="Times New Roman"/>
          <w:sz w:val="24"/>
          <w:szCs w:val="24"/>
        </w:rPr>
      </w:pPr>
      <w:r w:rsidRPr="00845EFC">
        <w:rPr>
          <w:rFonts w:ascii="Times New Roman" w:hAnsi="Times New Roman" w:cs="Times New Roman"/>
          <w:sz w:val="24"/>
          <w:szCs w:val="24"/>
        </w:rPr>
        <w:t>¹Department of Public Administration, Davao del Norte State College, Philippines</w:t>
      </w:r>
      <w:r w:rsidRPr="00845EFC">
        <w:rPr>
          <w:rFonts w:ascii="Times New Roman" w:hAnsi="Times New Roman" w:cs="Times New Roman"/>
          <w:sz w:val="24"/>
          <w:szCs w:val="24"/>
        </w:rPr>
        <w:br/>
        <w:t>²Department of Public Administration, Davao del Norte State College, Philippines</w:t>
      </w:r>
      <w:r w:rsidRPr="00845EFC">
        <w:rPr>
          <w:rFonts w:ascii="Times New Roman" w:hAnsi="Times New Roman" w:cs="Times New Roman"/>
          <w:sz w:val="24"/>
          <w:szCs w:val="24"/>
        </w:rPr>
        <w:br/>
        <w:t>³Department of Public Administration, Davao del Norte State College, Philippines</w:t>
      </w:r>
      <w:r w:rsidRPr="00845EFC">
        <w:rPr>
          <w:rFonts w:ascii="Times New Roman" w:hAnsi="Times New Roman" w:cs="Times New Roman"/>
          <w:sz w:val="24"/>
          <w:szCs w:val="24"/>
        </w:rPr>
        <w:br/>
        <w:t>⁴Department of Public Administration, Davao del Norte State College, Philippines</w:t>
      </w:r>
      <w:r w:rsidRPr="00845EFC">
        <w:rPr>
          <w:rFonts w:ascii="Times New Roman" w:hAnsi="Times New Roman" w:cs="Times New Roman"/>
          <w:sz w:val="24"/>
          <w:szCs w:val="24"/>
        </w:rPr>
        <w:br/>
        <w:t>⁵Department of Public Administration, Davao del Norte State College, Philippines</w:t>
      </w:r>
      <w:r w:rsidRPr="00845EFC">
        <w:rPr>
          <w:rFonts w:ascii="Times New Roman" w:hAnsi="Times New Roman" w:cs="Times New Roman"/>
          <w:sz w:val="24"/>
          <w:szCs w:val="24"/>
        </w:rPr>
        <w:br/>
        <w:t>⁶Department of Social Work, Davao del Norte State College, Philippines</w:t>
      </w:r>
      <w:r w:rsidRPr="00845EFC">
        <w:rPr>
          <w:rFonts w:ascii="Times New Roman" w:hAnsi="Times New Roman" w:cs="Times New Roman"/>
          <w:sz w:val="24"/>
          <w:szCs w:val="24"/>
        </w:rPr>
        <w:br/>
        <w:t>⁷</w:t>
      </w:r>
      <w:proofErr w:type="spellStart"/>
      <w:r w:rsidRPr="00845EFC">
        <w:rPr>
          <w:rFonts w:ascii="Times New Roman" w:hAnsi="Times New Roman" w:cs="Times New Roman"/>
          <w:sz w:val="24"/>
          <w:szCs w:val="24"/>
        </w:rPr>
        <w:t>Kapalong</w:t>
      </w:r>
      <w:proofErr w:type="spellEnd"/>
      <w:r w:rsidRPr="00845EFC">
        <w:rPr>
          <w:rFonts w:ascii="Times New Roman" w:hAnsi="Times New Roman" w:cs="Times New Roman"/>
          <w:sz w:val="24"/>
          <w:szCs w:val="24"/>
        </w:rPr>
        <w:t xml:space="preserve"> College of Arts, Sciences and Technology, Philippines</w:t>
      </w:r>
      <w:r w:rsidRPr="00845EFC">
        <w:rPr>
          <w:rFonts w:ascii="Times New Roman" w:hAnsi="Times New Roman" w:cs="Times New Roman"/>
          <w:sz w:val="24"/>
          <w:szCs w:val="24"/>
        </w:rPr>
        <w:br/>
        <w:t>⁸Department of Public Administration, Davao del Norte State College, Philippines</w:t>
      </w:r>
      <w:r w:rsidRPr="00845EFC">
        <w:rPr>
          <w:rFonts w:ascii="Times New Roman" w:hAnsi="Times New Roman" w:cs="Times New Roman"/>
          <w:sz w:val="24"/>
          <w:szCs w:val="24"/>
        </w:rPr>
        <w:br/>
        <w:t>⁹Department of Public Administration, Davao del Norte State College, Philippines</w:t>
      </w:r>
    </w:p>
    <w:p w14:paraId="6513A113" w14:textId="77777777" w:rsidR="00CD2755" w:rsidRPr="00CD2755" w:rsidRDefault="00CD2755" w:rsidP="00514410">
      <w:pPr>
        <w:spacing w:after="0" w:line="240" w:lineRule="auto"/>
        <w:jc w:val="center"/>
        <w:rPr>
          <w:rFonts w:ascii="Times New Roman" w:hAnsi="Times New Roman" w:cs="Times New Roman"/>
          <w:sz w:val="24"/>
          <w:szCs w:val="24"/>
        </w:rPr>
      </w:pPr>
    </w:p>
    <w:p w14:paraId="65C796D3" w14:textId="3061384D" w:rsidR="009E25A2" w:rsidRPr="00CD2755" w:rsidRDefault="00CD2755" w:rsidP="00CD2755">
      <w:pPr>
        <w:spacing w:after="0" w:line="240" w:lineRule="auto"/>
        <w:jc w:val="center"/>
        <w:rPr>
          <w:rFonts w:ascii="Times New Roman" w:hAnsi="Times New Roman" w:cs="Times New Roman"/>
          <w:sz w:val="24"/>
          <w:szCs w:val="24"/>
        </w:rPr>
      </w:pPr>
      <w:r w:rsidRPr="00CD2755">
        <w:rPr>
          <w:rFonts w:ascii="Times New Roman" w:hAnsi="Times New Roman" w:cs="Times New Roman"/>
          <w:sz w:val="24"/>
          <w:szCs w:val="24"/>
        </w:rPr>
        <w:t>Corresponding author: Rachelle T. Velasquez (velasquez.rachelle@dnsc.edu.ph)</w:t>
      </w:r>
    </w:p>
    <w:p w14:paraId="2AE2EEDB" w14:textId="77777777" w:rsidR="00514410" w:rsidRPr="00845EFC" w:rsidRDefault="00514410" w:rsidP="00514410">
      <w:pPr>
        <w:spacing w:after="0" w:line="240" w:lineRule="auto"/>
        <w:jc w:val="center"/>
        <w:rPr>
          <w:rFonts w:ascii="Times New Roman" w:hAnsi="Times New Roman" w:cs="Times New Roman"/>
          <w:i/>
          <w:iCs/>
          <w:szCs w:val="24"/>
        </w:rPr>
      </w:pPr>
    </w:p>
    <w:p w14:paraId="0B5120C7" w14:textId="3CFA65B6" w:rsidR="00FC70FB" w:rsidRDefault="00514410" w:rsidP="00514410">
      <w:pPr>
        <w:spacing w:after="0" w:line="240" w:lineRule="auto"/>
        <w:rPr>
          <w:rFonts w:ascii="Times New Roman" w:hAnsi="Times New Roman" w:cs="Times New Roman"/>
          <w:b/>
          <w:bCs/>
          <w:sz w:val="28"/>
          <w:szCs w:val="28"/>
        </w:rPr>
      </w:pPr>
      <w:r w:rsidRPr="00514410">
        <w:rPr>
          <w:rFonts w:ascii="Times New Roman" w:hAnsi="Times New Roman" w:cs="Times New Roman"/>
          <w:b/>
          <w:bCs/>
          <w:sz w:val="28"/>
          <w:szCs w:val="28"/>
        </w:rPr>
        <w:t>ABSTRACT</w:t>
      </w:r>
    </w:p>
    <w:p w14:paraId="46B455F5" w14:textId="77777777" w:rsidR="009E25A2" w:rsidRPr="00514410" w:rsidRDefault="009E25A2" w:rsidP="00514410">
      <w:pPr>
        <w:spacing w:after="0" w:line="240" w:lineRule="auto"/>
        <w:rPr>
          <w:rFonts w:ascii="Times New Roman" w:hAnsi="Times New Roman" w:cs="Times New Roman"/>
          <w:b/>
          <w:bCs/>
          <w:sz w:val="28"/>
          <w:szCs w:val="28"/>
        </w:rPr>
      </w:pPr>
    </w:p>
    <w:p w14:paraId="42631EE0" w14:textId="71AF84C3" w:rsidR="00FC70FB" w:rsidRPr="00035456" w:rsidRDefault="00EC7A7C" w:rsidP="00967F86">
      <w:pPr>
        <w:spacing w:line="240" w:lineRule="auto"/>
        <w:jc w:val="both"/>
        <w:rPr>
          <w:rFonts w:ascii="Times New Roman" w:hAnsi="Times New Roman" w:cs="Times New Roman"/>
          <w:sz w:val="24"/>
          <w:szCs w:val="24"/>
          <w:lang w:val="en-PH"/>
        </w:rPr>
      </w:pPr>
      <w:r w:rsidRPr="00EC7A7C">
        <w:rPr>
          <w:rFonts w:ascii="Times New Roman" w:hAnsi="Times New Roman" w:cs="Times New Roman"/>
          <w:sz w:val="24"/>
          <w:szCs w:val="24"/>
          <w:lang w:val="en-PH"/>
        </w:rPr>
        <w:t>Panabo City, located in Davao del Norte, Philippines, is home to over 17,000 senior citizens, yet it lacks a dedicated facility to provide full-time elderly care. Many seniors live alone or in poverty, facing abandonment and inadequate access to health services. This situation reflects a broader concern on how local governments respond to the growing needs of an aging population, particularly in providing long-term and continuous care. In this context, the study aims to examine the governance and implementation challenges in establishing an elderly home care facility in Panabo City.</w:t>
      </w:r>
      <w:r w:rsidR="0077388A">
        <w:rPr>
          <w:rFonts w:ascii="Times New Roman" w:hAnsi="Times New Roman" w:cs="Times New Roman"/>
          <w:sz w:val="24"/>
          <w:szCs w:val="24"/>
          <w:lang w:val="en-PH"/>
        </w:rPr>
        <w:t xml:space="preserve"> </w:t>
      </w:r>
      <w:r w:rsidRPr="00EC7A7C">
        <w:rPr>
          <w:rFonts w:ascii="Times New Roman" w:hAnsi="Times New Roman" w:cs="Times New Roman"/>
          <w:sz w:val="24"/>
          <w:szCs w:val="24"/>
          <w:lang w:val="en-PH"/>
        </w:rPr>
        <w:t>This study employed a qualitative exploratory design, conducting interviews with nine key informants from city government offices. Thematic analysis revealed four themes: (1) the current condition of older adults, including poverty, neglect, and limited pension access; (2) the perceived importance of a home care facility in promoting dignity, well-being, and family relief; (3) challenges in establishing such a facility, including funding, manpower shortages, cultural resistance, and bureaucracy; and (4) enabling conditions, such as legislation, interagency collaboration, and community engagement. These findings provide a clearer understanding of both the gaps and opportunities in developing elderly care services at the local level.</w:t>
      </w:r>
      <w:r w:rsidR="0077388A">
        <w:rPr>
          <w:rFonts w:ascii="Times New Roman" w:hAnsi="Times New Roman" w:cs="Times New Roman"/>
          <w:sz w:val="24"/>
          <w:szCs w:val="24"/>
          <w:lang w:val="en-PH"/>
        </w:rPr>
        <w:t xml:space="preserve"> </w:t>
      </w:r>
      <w:r w:rsidRPr="00EC7A7C">
        <w:rPr>
          <w:rFonts w:ascii="Times New Roman" w:hAnsi="Times New Roman" w:cs="Times New Roman"/>
          <w:sz w:val="24"/>
          <w:szCs w:val="24"/>
          <w:lang w:val="en-PH"/>
        </w:rPr>
        <w:t>Findings highlight that while barriers are significant, feasible pathways exist through inclusive governance, policy support, and national-local partnerships. Establishing a home care facility is both urgent and necessary to strengthen community welfare, create local employment, and align with global sustainable development goals. Overall, the study points to the need for stronger coordination, clearer policy direction, and sustained resource allocation to support elderly care at the local level.</w:t>
      </w:r>
    </w:p>
    <w:p w14:paraId="0F5151E3" w14:textId="7F17E8CC" w:rsidR="00D4023D" w:rsidRPr="00035456" w:rsidRDefault="00FC70FB" w:rsidP="00967F86">
      <w:pPr>
        <w:spacing w:line="240" w:lineRule="auto"/>
        <w:jc w:val="both"/>
        <w:rPr>
          <w:rFonts w:ascii="Times New Roman" w:hAnsi="Times New Roman" w:cs="Times New Roman"/>
          <w:sz w:val="24"/>
          <w:szCs w:val="24"/>
          <w:lang w:val="en-PH"/>
        </w:rPr>
      </w:pPr>
      <w:r w:rsidRPr="00967F86">
        <w:rPr>
          <w:rFonts w:ascii="Times New Roman" w:hAnsi="Times New Roman" w:cs="Times New Roman"/>
          <w:b/>
          <w:sz w:val="24"/>
        </w:rPr>
        <w:t>Keywords:</w:t>
      </w:r>
      <w:r w:rsidRPr="00967F86">
        <w:rPr>
          <w:rFonts w:ascii="Times New Roman" w:hAnsi="Times New Roman" w:cs="Times New Roman"/>
          <w:sz w:val="24"/>
          <w:szCs w:val="24"/>
        </w:rPr>
        <w:t xml:space="preserve"> </w:t>
      </w:r>
      <w:r w:rsidR="00035456" w:rsidRPr="00035456">
        <w:rPr>
          <w:rFonts w:ascii="Times New Roman" w:hAnsi="Times New Roman" w:cs="Times New Roman"/>
          <w:sz w:val="24"/>
          <w:szCs w:val="24"/>
          <w:lang w:val="en-PH"/>
        </w:rPr>
        <w:t>elderly care, local governance, public administration, home care facility, Philippines</w:t>
      </w:r>
    </w:p>
    <w:p w14:paraId="2B931210" w14:textId="77777777" w:rsidR="0077388A" w:rsidRDefault="0077388A" w:rsidP="00967F86">
      <w:pPr>
        <w:spacing w:line="240" w:lineRule="auto"/>
        <w:jc w:val="both"/>
        <w:rPr>
          <w:rFonts w:ascii="Times New Roman" w:hAnsi="Times New Roman" w:cs="Times New Roman"/>
          <w:sz w:val="24"/>
          <w:szCs w:val="24"/>
        </w:rPr>
      </w:pPr>
    </w:p>
    <w:p w14:paraId="698277B8" w14:textId="77777777" w:rsidR="0077388A" w:rsidRPr="00967F86" w:rsidRDefault="0077388A" w:rsidP="00967F86">
      <w:pPr>
        <w:spacing w:line="240" w:lineRule="auto"/>
        <w:jc w:val="both"/>
        <w:rPr>
          <w:rFonts w:ascii="Times New Roman" w:hAnsi="Times New Roman" w:cs="Times New Roman"/>
          <w:sz w:val="24"/>
          <w:szCs w:val="24"/>
          <w:lang w:val="en-PH"/>
        </w:rPr>
      </w:pPr>
    </w:p>
    <w:p w14:paraId="66FF19FB" w14:textId="77777777" w:rsidR="00D4023D" w:rsidRDefault="00D4023D" w:rsidP="00967F86">
      <w:pPr>
        <w:spacing w:line="240" w:lineRule="auto"/>
        <w:jc w:val="both"/>
        <w:rPr>
          <w:rFonts w:ascii="Times New Roman" w:hAnsi="Times New Roman" w:cs="Times New Roman"/>
          <w:sz w:val="24"/>
          <w:szCs w:val="24"/>
          <w:lang w:val="en-PH"/>
        </w:rPr>
      </w:pPr>
    </w:p>
    <w:p w14:paraId="1D099BE9" w14:textId="77777777" w:rsidR="009E25A2" w:rsidRDefault="009E25A2" w:rsidP="00967F86">
      <w:pPr>
        <w:spacing w:line="240" w:lineRule="auto"/>
        <w:jc w:val="both"/>
        <w:rPr>
          <w:rFonts w:ascii="Times New Roman" w:hAnsi="Times New Roman" w:cs="Times New Roman"/>
          <w:sz w:val="24"/>
          <w:szCs w:val="24"/>
          <w:lang w:val="en-PH"/>
        </w:rPr>
      </w:pPr>
    </w:p>
    <w:p w14:paraId="15E28EE7" w14:textId="77777777" w:rsidR="009E25A2" w:rsidRPr="00967F86" w:rsidRDefault="009E25A2" w:rsidP="00967F86">
      <w:pPr>
        <w:spacing w:line="240" w:lineRule="auto"/>
        <w:jc w:val="both"/>
        <w:rPr>
          <w:rFonts w:ascii="Times New Roman" w:hAnsi="Times New Roman" w:cs="Times New Roman"/>
          <w:sz w:val="24"/>
          <w:szCs w:val="24"/>
          <w:lang w:val="en-PH"/>
        </w:rPr>
      </w:pPr>
    </w:p>
    <w:p w14:paraId="3F9F8FF3" w14:textId="5CD79431" w:rsidR="009E25A2" w:rsidRPr="009E25A2" w:rsidRDefault="00EC7A7C" w:rsidP="009E25A2">
      <w:pPr>
        <w:pStyle w:val="Heading1"/>
        <w:spacing w:before="240" w:after="240" w:line="240" w:lineRule="auto"/>
        <w:jc w:val="both"/>
        <w:rPr>
          <w:rFonts w:ascii="Times New Roman" w:hAnsi="Times New Roman" w:cs="Times New Roman"/>
          <w:b/>
          <w:bCs/>
          <w:color w:val="auto"/>
          <w:sz w:val="28"/>
          <w:szCs w:val="28"/>
        </w:rPr>
      </w:pPr>
      <w:r w:rsidRPr="00EC7A7C">
        <w:rPr>
          <w:rFonts w:ascii="Times New Roman" w:hAnsi="Times New Roman" w:cs="Times New Roman"/>
          <w:b/>
          <w:bCs/>
          <w:color w:val="auto"/>
          <w:sz w:val="28"/>
          <w:szCs w:val="28"/>
        </w:rPr>
        <w:lastRenderedPageBreak/>
        <w:t>INTRODUCTION</w:t>
      </w:r>
    </w:p>
    <w:p w14:paraId="32311780" w14:textId="011938AA"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The world is undergoing a significant demographic transformation marked by rapid population aging. The United Nations (2019, 2022) projects that by 2050, the number of individuals aged 60 and above will be more than double, surpassing two billion globally. This shift presents substantial challenges for social protection, healthcare and governance, particularly in developing nations with limited resources. In the Philippines, senior citizens currently comprise over 8.5% of the national population, a proportion expected to rise steadily in the coming decades (Philippine Statistics Authority, 2020). These demographic changes necessitate a thorough reassessment of how services, policies, institutions and communities respond to the evolving needs of an aging society.</w:t>
      </w:r>
    </w:p>
    <w:p w14:paraId="205F5CAC"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 xml:space="preserve">With this in view, Panabo City, in Davao del Norte province, provides a pertinent case for examining these issues. As of 2024, the city recorded 17,742 senior citizens (Panabo City Social Welfare and Development Office), highlighting a rapidly growing elderly population. Despite national legislation such as the Expanded Senior Citizens Act of 2010 and related social welfare programs, Panabo lacks a dedicated facility for full-time elderly care. </w:t>
      </w:r>
      <w:r w:rsidRPr="00967F86">
        <w:rPr>
          <w:rFonts w:ascii="Times New Roman" w:hAnsi="Times New Roman" w:cs="Times New Roman"/>
          <w:sz w:val="24"/>
          <w:szCs w:val="24"/>
        </w:rPr>
        <w:t>Many older adults still depend on their families for support, but poverty, scarce resources, changing household arrangements and the migration of younger relatives make this difficult. As a result, some seniors suffer from neglect, abandonment or social isolation. This highlights a serious governance gap—although protective laws are in place, their local implementation is often weak and inconsistent</w:t>
      </w:r>
      <w:r w:rsidRPr="00967F86">
        <w:rPr>
          <w:rFonts w:ascii="Times New Roman" w:hAnsi="Times New Roman" w:cs="Times New Roman"/>
          <w:sz w:val="24"/>
          <w:szCs w:val="24"/>
          <w:lang w:val="en-PH"/>
        </w:rPr>
        <w:t>.</w:t>
      </w:r>
    </w:p>
    <w:p w14:paraId="0572FDCB"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Elderly care in the Philippines has long been centered on families, reflecting deep cultural traditions. Yet, with more young people moving to cities, smaller households and mounting financial pressures, the family’s ability to provide consistent support is becoming harder to sustain</w:t>
      </w:r>
      <w:r w:rsidRPr="00967F86">
        <w:rPr>
          <w:rFonts w:ascii="Times New Roman" w:hAnsi="Times New Roman" w:cs="Times New Roman"/>
          <w:sz w:val="24"/>
          <w:szCs w:val="24"/>
          <w:lang w:val="en-PH"/>
        </w:rPr>
        <w:t>. Adult children working far from home leave older adults with minimal care, creating vulnerabilities that government institutions often cannot fully address. For Panabo City, the growing number of seniors without sufficient family or community support underscores the urgency of exploring alternative models, such as a city-managed home care facility.</w:t>
      </w:r>
    </w:p>
    <w:p w14:paraId="277EF6EA"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 xml:space="preserve">Globally and regionally, local-level interventions have demonstrated the value of structured elderly care. Studies in Thailand, Japan and South Korea indicate that municipalities can operate elderly care homes, day centers and community-based programs that balance cultural expectations with modern social demands (Teo, 2021; Japan Ministry of Health, </w:t>
      </w:r>
      <w:proofErr w:type="spellStart"/>
      <w:r w:rsidRPr="00967F86">
        <w:rPr>
          <w:rFonts w:ascii="Times New Roman" w:hAnsi="Times New Roman" w:cs="Times New Roman"/>
          <w:sz w:val="24"/>
          <w:szCs w:val="24"/>
          <w:lang w:val="en-PH"/>
        </w:rPr>
        <w:t>Labour</w:t>
      </w:r>
      <w:proofErr w:type="spellEnd"/>
      <w:r w:rsidRPr="00967F86">
        <w:rPr>
          <w:rFonts w:ascii="Times New Roman" w:hAnsi="Times New Roman" w:cs="Times New Roman"/>
          <w:sz w:val="24"/>
          <w:szCs w:val="24"/>
          <w:lang w:val="en-PH"/>
        </w:rPr>
        <w:t xml:space="preserve"> and Welfare, 2020). These models enhance seniors’ well-being, reduce caregiving burdens and create employment opportunities. In line with the Sustainable Development Goals, particularly Goal 3 (good health and well-being) and Goal 11 (sustainable cities and communities), such interventions offer practical guidance for the Philippines.</w:t>
      </w:r>
    </w:p>
    <w:p w14:paraId="4CD34241" w14:textId="3E869F26"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Moreover, national laws provide a framework for elderly care. The Senior Citizens’ Center Act of 2013 (RA 10645) mandates centers offering healthcare, leisure and social support, while the Senior Citizens Act of 2003 (RA 9257) and the Expanded Senior Citizens Act of 2010 (RA 9994) provide benefits including discounts, free public healthcare, caregiver training</w:t>
      </w:r>
      <w:r w:rsidR="00CD2755">
        <w:rPr>
          <w:rFonts w:ascii="Times New Roman" w:hAnsi="Times New Roman" w:cs="Times New Roman"/>
          <w:sz w:val="24"/>
          <w:szCs w:val="24"/>
          <w:lang w:val="en-PH"/>
        </w:rPr>
        <w:t>,</w:t>
      </w:r>
      <w:r w:rsidRPr="00967F86">
        <w:rPr>
          <w:rFonts w:ascii="Times New Roman" w:hAnsi="Times New Roman" w:cs="Times New Roman"/>
          <w:sz w:val="24"/>
          <w:szCs w:val="24"/>
          <w:lang w:val="en-PH"/>
        </w:rPr>
        <w:t xml:space="preserve"> and social pensions. Nevertheless, rural areas like Panabo face challenges in fully implementing these laws due to low awareness, poor infrastructure</w:t>
      </w:r>
      <w:r w:rsidR="00CD2755">
        <w:rPr>
          <w:rFonts w:ascii="Times New Roman" w:hAnsi="Times New Roman" w:cs="Times New Roman"/>
          <w:sz w:val="24"/>
          <w:szCs w:val="24"/>
          <w:lang w:val="en-PH"/>
        </w:rPr>
        <w:t>,</w:t>
      </w:r>
      <w:r w:rsidRPr="00967F86">
        <w:rPr>
          <w:rFonts w:ascii="Times New Roman" w:hAnsi="Times New Roman" w:cs="Times New Roman"/>
          <w:sz w:val="24"/>
          <w:szCs w:val="24"/>
          <w:lang w:val="en-PH"/>
        </w:rPr>
        <w:t xml:space="preserve"> and limited transportation. Barangay-level reports from 2024 noted three cases of neglect or abandonment, underscoring gaps in existing support systems. Although these cases represented only one percent of the city’s elderly population, they reflect significant vulnerabilities among those lacking adequate family or community care.</w:t>
      </w:r>
    </w:p>
    <w:p w14:paraId="5FA189E2" w14:textId="555CF364"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In line with these, functional difficulties among seniors are also prevalent. According to the University of the Philippines Population Institute (UPPI, 2022), approximately 18.8% of elderly Filipinos report at least one functional limitation, including vision, hearing, mobility, memory or communication issues. Loss of vision affects 13.4%, walking problems 5.8%, and hearing 5.6%. These conditions, compounded by limited income or education, highlight the need for specialized care programs. A dedicated home care facility in Panabo would address these needs, offering structured support for seniors unable to live independently while enhancing their dignity, safety and well-being.</w:t>
      </w:r>
    </w:p>
    <w:p w14:paraId="53338DE0"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Similarly, family</w:t>
      </w:r>
      <w:r w:rsidRPr="00967F86">
        <w:rPr>
          <w:rFonts w:ascii="Times New Roman" w:hAnsi="Times New Roman" w:cs="Times New Roman"/>
          <w:sz w:val="24"/>
          <w:lang w:val="en-PH"/>
        </w:rPr>
        <w:t>-based</w:t>
      </w:r>
      <w:r w:rsidRPr="00967F86">
        <w:rPr>
          <w:rFonts w:ascii="Times New Roman" w:hAnsi="Times New Roman" w:cs="Times New Roman"/>
          <w:sz w:val="24"/>
          <w:szCs w:val="24"/>
          <w:lang w:val="en-PH"/>
        </w:rPr>
        <w:t xml:space="preserve"> care alone is increasingly insufficient. Rising costs, geographic dispersion of family members and limited resources hinder families’ ability to provide adequate support. Home care facilities can alleviate this burden, offering professional, consistent and culturally sensitive services (WHO, 2015). Evidence </w:t>
      </w:r>
      <w:r w:rsidRPr="00967F86">
        <w:rPr>
          <w:rFonts w:ascii="Times New Roman" w:hAnsi="Times New Roman" w:cs="Times New Roman"/>
          <w:sz w:val="24"/>
          <w:szCs w:val="24"/>
          <w:lang w:val="en-PH"/>
        </w:rPr>
        <w:lastRenderedPageBreak/>
        <w:t>from the UK demonstrates that home-based care improves both physical and mental well-being among seniors while reducing stress on caregivers (National Institute for Health and Care Excellence, 2022). Similar outcomes are observed in Japan and other Southeast Asian contexts, where community-based elderly care programs enhance independence, reduce hospitalization rates, and improve quality of life (Teo, 2021).</w:t>
      </w:r>
    </w:p>
    <w:p w14:paraId="7BD69DFE"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This study employs a pragmatist approach, enabling researchers to investigate practical solutions for real-life challenges. Erikson’s Psychosocial Development Theory (1982) underscores the importance of emotional support, autonomy and social connectedness among older adults, while Homans’ Social Exchange Theory (1958) emphasizes reciprocal support in sustaining relationships. These frameworks guided the study’s examination of community needs and potential institutional interventions in Panabo City.</w:t>
      </w:r>
    </w:p>
    <w:p w14:paraId="73780E62"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 xml:space="preserve">Nine local officials, directly involved in elderly care programs, were interviewed to assess current practices, challenges and opportunities in establishing a home care facility. The identified key themes include caregiving burdens on families, resource limitations and the prevention of neglect and abandonment. The study addressed four central questions: (1) What is the </w:t>
      </w:r>
      <w:proofErr w:type="gramStart"/>
      <w:r w:rsidRPr="00967F86">
        <w:rPr>
          <w:rFonts w:ascii="Times New Roman" w:hAnsi="Times New Roman" w:cs="Times New Roman"/>
          <w:sz w:val="24"/>
          <w:szCs w:val="24"/>
          <w:lang w:val="en-PH"/>
        </w:rPr>
        <w:t>current status</w:t>
      </w:r>
      <w:proofErr w:type="gramEnd"/>
      <w:r w:rsidRPr="00967F86">
        <w:rPr>
          <w:rFonts w:ascii="Times New Roman" w:hAnsi="Times New Roman" w:cs="Times New Roman"/>
          <w:sz w:val="24"/>
          <w:szCs w:val="24"/>
          <w:lang w:val="en-PH"/>
        </w:rPr>
        <w:t xml:space="preserve"> of the elderly sector in Panabo City? (2) How important is establishing a home care facility? (3) What barriers exist in creating such a facility? and (4) What strategies are necessary to ensure feasibility and sustainability?</w:t>
      </w:r>
    </w:p>
    <w:p w14:paraId="5FCCC235"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The findings reveal an urgent need for localized, structured interventions to support seniors. Home care facilities offer the potential to enhance well-being, foster social engagement and provide professional support, complementing national policies while addressing community-specific challenges. Beyond health outcomes, such facilities serve as a mechanism for proactive governance, demonstrating how LGUs can adapt to demographic change and improve institutional responsiveness.</w:t>
      </w:r>
    </w:p>
    <w:p w14:paraId="4D4347CA" w14:textId="77777777"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The significance of this study lies in its contributions to both local policy development and global literature on elderly care. Insights can inform LGUs, healthcare providers and NGOs, offering guidance for program development and resource allocation. Limitations include a small sample size and difficulties accessing comprehensive barangay-level data. Nonetheless, the study provides actionable recommendations for policymakers and community leaders seeking to enhance the welfare of older adults.</w:t>
      </w:r>
    </w:p>
    <w:p w14:paraId="2925F6BD" w14:textId="26BCD334" w:rsidR="00D4023D" w:rsidRPr="00967F86" w:rsidRDefault="00D4023D" w:rsidP="009E25A2">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 xml:space="preserve">To date, Panabo City’s aging population faces challenges such as functional decline, limited family caregiving capacity and inadequate local support systems. While national laws like Republic Act No. 9994 or the Expanded Senior Citizens Act of 2010, provide a legal foundation for elderly care, gaps in implementation at the local level persist (Republic Act No. 9994, 2010). Studies in Southeast Asia highlight how elderly home care facilities enhance the well-being of older adults while easing family burdens (Knodel &amp; </w:t>
      </w:r>
      <w:proofErr w:type="spellStart"/>
      <w:r w:rsidRPr="00967F86">
        <w:rPr>
          <w:rFonts w:ascii="Times New Roman" w:hAnsi="Times New Roman" w:cs="Times New Roman"/>
          <w:sz w:val="24"/>
          <w:szCs w:val="24"/>
        </w:rPr>
        <w:t>Chayovan</w:t>
      </w:r>
      <w:proofErr w:type="spellEnd"/>
      <w:r w:rsidRPr="00967F86">
        <w:rPr>
          <w:rFonts w:ascii="Times New Roman" w:hAnsi="Times New Roman" w:cs="Times New Roman"/>
          <w:sz w:val="24"/>
          <w:szCs w:val="24"/>
        </w:rPr>
        <w:t>, 2012). Guided by these insights, this study adopts a framework where the inputs are the existing conditions of seniors and governance gaps</w:t>
      </w:r>
      <w:r w:rsidR="004E7DED" w:rsidRPr="00967F86">
        <w:rPr>
          <w:rFonts w:ascii="Times New Roman" w:hAnsi="Times New Roman" w:cs="Times New Roman"/>
          <w:sz w:val="24"/>
          <w:szCs w:val="24"/>
        </w:rPr>
        <w:t>. The</w:t>
      </w:r>
      <w:r w:rsidRPr="00967F86">
        <w:rPr>
          <w:rFonts w:ascii="Times New Roman" w:hAnsi="Times New Roman" w:cs="Times New Roman"/>
          <w:sz w:val="24"/>
          <w:szCs w:val="24"/>
        </w:rPr>
        <w:t xml:space="preserve"> process is a qualitative exploration through key informant interviews and thematic </w:t>
      </w:r>
      <w:proofErr w:type="gramStart"/>
      <w:r w:rsidRPr="00967F86">
        <w:rPr>
          <w:rFonts w:ascii="Times New Roman" w:hAnsi="Times New Roman" w:cs="Times New Roman"/>
          <w:sz w:val="24"/>
          <w:szCs w:val="24"/>
        </w:rPr>
        <w:t>analysis</w:t>
      </w:r>
      <w:proofErr w:type="gramEnd"/>
      <w:r w:rsidRPr="00967F86">
        <w:rPr>
          <w:rFonts w:ascii="Times New Roman" w:hAnsi="Times New Roman" w:cs="Times New Roman"/>
          <w:sz w:val="24"/>
          <w:szCs w:val="24"/>
        </w:rPr>
        <w:t xml:space="preserve"> and the outputs are evidence-based recommendations for establishing an elderly home care facility in Panabo City.</w:t>
      </w:r>
    </w:p>
    <w:p w14:paraId="4DC4A3EC" w14:textId="5B5E003E" w:rsidR="009E25A2" w:rsidRPr="006C09ED" w:rsidRDefault="009E25A2" w:rsidP="009E25A2">
      <w:pPr>
        <w:pStyle w:val="NormalWeb"/>
        <w:spacing w:before="240" w:after="240" w:line="240" w:lineRule="auto"/>
        <w:jc w:val="both"/>
        <w:rPr>
          <w:b/>
          <w:bCs/>
        </w:rPr>
      </w:pPr>
      <w:r w:rsidRPr="006C09ED">
        <w:rPr>
          <w:b/>
          <w:bCs/>
        </w:rPr>
        <w:t>Figure 1</w:t>
      </w:r>
      <w:r w:rsidR="001E4A33">
        <w:rPr>
          <w:b/>
          <w:bCs/>
        </w:rPr>
        <w:t>.</w:t>
      </w:r>
      <w:r w:rsidRPr="006C09ED">
        <w:rPr>
          <w:b/>
          <w:bCs/>
        </w:rPr>
        <w:t xml:space="preserve"> Conceptual Paradigm of the Study</w:t>
      </w:r>
    </w:p>
    <w:p w14:paraId="7F8B4FC3" w14:textId="57AB85DF" w:rsidR="009E25A2" w:rsidRDefault="00745E74" w:rsidP="00967F86">
      <w:pPr>
        <w:spacing w:line="240" w:lineRule="auto"/>
        <w:jc w:val="both"/>
        <w:rPr>
          <w:rFonts w:ascii="Times New Roman" w:hAnsi="Times New Roman" w:cs="Times New Roman"/>
          <w:b/>
          <w:bCs/>
          <w:sz w:val="28"/>
          <w:szCs w:val="28"/>
        </w:rPr>
      </w:pPr>
      <w:r w:rsidRPr="00745E74">
        <w:drawing>
          <wp:inline distT="0" distB="0" distL="0" distR="0" wp14:anchorId="5068A549" wp14:editId="307A1FD3">
            <wp:extent cx="6534150" cy="1332230"/>
            <wp:effectExtent l="0" t="0" r="0" b="0"/>
            <wp:docPr id="1377091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alphaModFix/>
                      <a:lum/>
                      <a:extLst>
                        <a:ext uri="{28A0092B-C50C-407E-A947-70E740481C1C}">
                          <a14:useLocalDpi xmlns:a14="http://schemas.microsoft.com/office/drawing/2010/main" val="0"/>
                        </a:ext>
                      </a:extLst>
                    </a:blip>
                    <a:srcRect/>
                    <a:stretch>
                      <a:fillRect/>
                    </a:stretch>
                  </pic:blipFill>
                  <pic:spPr bwMode="auto">
                    <a:xfrm>
                      <a:off x="0" y="0"/>
                      <a:ext cx="6534150" cy="1332230"/>
                    </a:xfrm>
                    <a:prstGeom prst="rect">
                      <a:avLst/>
                    </a:prstGeom>
                    <a:noFill/>
                    <a:ln>
                      <a:noFill/>
                    </a:ln>
                  </pic:spPr>
                </pic:pic>
              </a:graphicData>
            </a:graphic>
          </wp:inline>
        </w:drawing>
      </w:r>
    </w:p>
    <w:p w14:paraId="2D278CD1" w14:textId="77777777" w:rsidR="009E25A2" w:rsidRDefault="009E25A2" w:rsidP="00967F86">
      <w:pPr>
        <w:spacing w:line="240" w:lineRule="auto"/>
        <w:jc w:val="both"/>
        <w:rPr>
          <w:rFonts w:ascii="Times New Roman" w:hAnsi="Times New Roman" w:cs="Times New Roman"/>
          <w:b/>
          <w:bCs/>
          <w:sz w:val="28"/>
          <w:szCs w:val="28"/>
        </w:rPr>
      </w:pPr>
    </w:p>
    <w:p w14:paraId="1EF30A90" w14:textId="77777777" w:rsidR="009E25A2" w:rsidRDefault="009E25A2" w:rsidP="00967F86">
      <w:pPr>
        <w:spacing w:line="240" w:lineRule="auto"/>
        <w:jc w:val="both"/>
        <w:rPr>
          <w:rFonts w:ascii="Times New Roman" w:hAnsi="Times New Roman" w:cs="Times New Roman"/>
          <w:b/>
          <w:bCs/>
          <w:sz w:val="28"/>
          <w:szCs w:val="28"/>
        </w:rPr>
      </w:pPr>
    </w:p>
    <w:p w14:paraId="42C7693B" w14:textId="77777777" w:rsidR="009E25A2" w:rsidRDefault="009E25A2" w:rsidP="00967F86">
      <w:pPr>
        <w:spacing w:line="240" w:lineRule="auto"/>
        <w:jc w:val="both"/>
        <w:rPr>
          <w:rFonts w:ascii="Times New Roman" w:hAnsi="Times New Roman" w:cs="Times New Roman"/>
          <w:b/>
          <w:bCs/>
          <w:sz w:val="28"/>
          <w:szCs w:val="28"/>
        </w:rPr>
      </w:pPr>
    </w:p>
    <w:p w14:paraId="6FFB9C5E" w14:textId="1062D615" w:rsidR="00D4023D" w:rsidRPr="009E25A2" w:rsidRDefault="009E25A2" w:rsidP="006C09ED">
      <w:pPr>
        <w:spacing w:before="240" w:after="240" w:line="240" w:lineRule="auto"/>
        <w:jc w:val="both"/>
        <w:rPr>
          <w:rFonts w:ascii="Times New Roman" w:hAnsi="Times New Roman" w:cs="Times New Roman"/>
          <w:b/>
          <w:bCs/>
          <w:sz w:val="28"/>
          <w:szCs w:val="28"/>
          <w:lang w:val="en-PH"/>
        </w:rPr>
      </w:pPr>
      <w:r w:rsidRPr="009E25A2">
        <w:rPr>
          <w:rFonts w:ascii="Times New Roman" w:hAnsi="Times New Roman" w:cs="Times New Roman"/>
          <w:b/>
          <w:bCs/>
          <w:sz w:val="28"/>
          <w:szCs w:val="28"/>
        </w:rPr>
        <w:lastRenderedPageBreak/>
        <w:t>METHOD</w:t>
      </w:r>
    </w:p>
    <w:p w14:paraId="22AAA894" w14:textId="77777777" w:rsidR="00D4023D" w:rsidRPr="009E25A2" w:rsidRDefault="00D4023D" w:rsidP="006C09ED">
      <w:pPr>
        <w:spacing w:before="240" w:after="240" w:line="240" w:lineRule="auto"/>
        <w:jc w:val="both"/>
        <w:rPr>
          <w:rFonts w:ascii="Times New Roman" w:hAnsi="Times New Roman" w:cs="Times New Roman"/>
          <w:b/>
          <w:bCs/>
          <w:sz w:val="24"/>
          <w:szCs w:val="24"/>
        </w:rPr>
      </w:pPr>
      <w:r w:rsidRPr="009E25A2">
        <w:rPr>
          <w:rFonts w:ascii="Times New Roman" w:hAnsi="Times New Roman" w:cs="Times New Roman"/>
          <w:b/>
          <w:bCs/>
          <w:sz w:val="24"/>
          <w:szCs w:val="24"/>
        </w:rPr>
        <w:t>Research Design</w:t>
      </w:r>
    </w:p>
    <w:p w14:paraId="0811F4EF" w14:textId="77777777" w:rsidR="00D4023D" w:rsidRPr="00967F86" w:rsidRDefault="00D4023D" w:rsidP="006C09ED">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 xml:space="preserve">This study applied a qualitative exploratory design, which is well-suited in examining social issues that are complex, specific to context and scarcely studied. Unlike quantitative methods that depend on numerical measures, qualitative research focuses on the experiences, perspectives and meanings shared by participants (Creswell &amp; Poth, 2018). Since there are no earlier studies on elderly care facilities in Panabo City, this approach made it possible to </w:t>
      </w:r>
      <w:proofErr w:type="gramStart"/>
      <w:r w:rsidRPr="00967F86">
        <w:rPr>
          <w:rFonts w:ascii="Times New Roman" w:hAnsi="Times New Roman" w:cs="Times New Roman"/>
          <w:sz w:val="24"/>
          <w:szCs w:val="24"/>
          <w:lang w:val="en-PH"/>
        </w:rPr>
        <w:t>look into</w:t>
      </w:r>
      <w:proofErr w:type="gramEnd"/>
      <w:r w:rsidRPr="00967F86">
        <w:rPr>
          <w:rFonts w:ascii="Times New Roman" w:hAnsi="Times New Roman" w:cs="Times New Roman"/>
          <w:sz w:val="24"/>
          <w:szCs w:val="24"/>
          <w:lang w:val="en-PH"/>
        </w:rPr>
        <w:t xml:space="preserve"> the matter in detail, identify themes shaped by local situations and offer insights that are relevant for both community needs and policy development.</w:t>
      </w:r>
    </w:p>
    <w:p w14:paraId="33EE2D06" w14:textId="77777777" w:rsidR="00D4023D" w:rsidRPr="00967F86" w:rsidRDefault="00D4023D" w:rsidP="006C09ED">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The study employed an exploratory design because it began with open questions about gaps in support for older adults, rather than examining a fixed hypothesis. This approach is advantageous when little research exists, as it allows practical insights to emerge that can guide local policy and practice (Stebbins, 2001). It enabled the researchers to understand how stakeholders view the situation of seniors in Panabo, the potential benefits of a home care facility and the governance issues of establishing one.</w:t>
      </w:r>
    </w:p>
    <w:p w14:paraId="5341FB7F" w14:textId="582195FD" w:rsidR="00D4023D" w:rsidRDefault="00D4023D" w:rsidP="006C09ED">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Consequently, a constructivist approach led the study, observing knowledge as created through interactions between researchers and participants (Lincoln &amp; Guba, 1985). This perspective is common in social policy studies, as it facilitates capturing diverse viewpoints and local realities (Schwandt, 1994). The study ensured that the findings reflected genuine experiences, enhancing both credibility and relevance for policy by engaging participants as partners.</w:t>
      </w:r>
    </w:p>
    <w:p w14:paraId="1FCABFC8" w14:textId="152E8CEB" w:rsidR="006C09ED" w:rsidRPr="006C09ED" w:rsidRDefault="006C09ED" w:rsidP="006C09ED">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Figure 2. Research Design of the Study</w:t>
      </w:r>
    </w:p>
    <w:p w14:paraId="700F0715" w14:textId="7E9C08FC" w:rsidR="006C09ED" w:rsidRPr="00967F86" w:rsidRDefault="00745E74" w:rsidP="006C09ED">
      <w:pPr>
        <w:pStyle w:val="NormalWeb"/>
        <w:spacing w:before="240" w:after="240" w:line="240" w:lineRule="auto"/>
        <w:jc w:val="both"/>
      </w:pPr>
      <w:r w:rsidRPr="00745E74">
        <w:drawing>
          <wp:inline distT="0" distB="0" distL="0" distR="0" wp14:anchorId="1C64C458" wp14:editId="45BBBA75">
            <wp:extent cx="5943600" cy="5275580"/>
            <wp:effectExtent l="0" t="0" r="0" b="0"/>
            <wp:docPr id="1610814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275580"/>
                    </a:xfrm>
                    <a:prstGeom prst="rect">
                      <a:avLst/>
                    </a:prstGeom>
                    <a:noFill/>
                    <a:ln>
                      <a:noFill/>
                    </a:ln>
                  </pic:spPr>
                </pic:pic>
              </a:graphicData>
            </a:graphic>
          </wp:inline>
        </w:drawing>
      </w:r>
    </w:p>
    <w:p w14:paraId="0C8EE9E2" w14:textId="77777777" w:rsidR="00D4023D" w:rsidRPr="006C09ED" w:rsidRDefault="00D4023D" w:rsidP="006C09ED">
      <w:pPr>
        <w:spacing w:before="240" w:after="240" w:line="240" w:lineRule="auto"/>
        <w:jc w:val="both"/>
        <w:rPr>
          <w:rFonts w:ascii="Times New Roman" w:hAnsi="Times New Roman" w:cs="Times New Roman"/>
          <w:b/>
          <w:bCs/>
          <w:sz w:val="24"/>
          <w:szCs w:val="24"/>
        </w:rPr>
      </w:pPr>
      <w:r w:rsidRPr="006C09ED">
        <w:rPr>
          <w:rFonts w:ascii="Times New Roman" w:hAnsi="Times New Roman" w:cs="Times New Roman"/>
          <w:b/>
          <w:bCs/>
          <w:sz w:val="24"/>
          <w:szCs w:val="24"/>
        </w:rPr>
        <w:lastRenderedPageBreak/>
        <w:t>Research Site</w:t>
      </w:r>
    </w:p>
    <w:p w14:paraId="61AF30CE"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 xml:space="preserve">The study was conducted in </w:t>
      </w:r>
      <w:r w:rsidRPr="00967F86">
        <w:rPr>
          <w:rFonts w:ascii="Times New Roman" w:hAnsi="Times New Roman" w:cs="Times New Roman"/>
          <w:sz w:val="24"/>
        </w:rPr>
        <w:t>Panabo,</w:t>
      </w:r>
      <w:r w:rsidRPr="00967F86">
        <w:rPr>
          <w:rFonts w:ascii="Times New Roman" w:hAnsi="Times New Roman" w:cs="Times New Roman"/>
          <w:sz w:val="24"/>
          <w:szCs w:val="24"/>
        </w:rPr>
        <w:t xml:space="preserve"> a city in Davao del Norte, Philippines, with a population of over 200,000. The city has grown rapidly, fueled by agriculture and emerging industries. Among its residents are approximately 17,000 older adults, a group with distinct needs that require attention. While national laws provide benefits for senior citizens, Panabo </w:t>
      </w:r>
      <w:proofErr w:type="gramStart"/>
      <w:r w:rsidRPr="00967F86">
        <w:rPr>
          <w:rFonts w:ascii="Times New Roman" w:hAnsi="Times New Roman" w:cs="Times New Roman"/>
          <w:sz w:val="24"/>
          <w:szCs w:val="24"/>
        </w:rPr>
        <w:t>City  does</w:t>
      </w:r>
      <w:proofErr w:type="gramEnd"/>
      <w:r w:rsidRPr="00967F86">
        <w:rPr>
          <w:rFonts w:ascii="Times New Roman" w:hAnsi="Times New Roman" w:cs="Times New Roman"/>
          <w:sz w:val="24"/>
          <w:szCs w:val="24"/>
        </w:rPr>
        <w:t xml:space="preserve"> not have an established elderly care facility. This made the city a relevant setting to explore the feasibility and challenges of creating such a facility, </w:t>
      </w:r>
      <w:proofErr w:type="gramStart"/>
      <w:r w:rsidRPr="00967F86">
        <w:rPr>
          <w:rFonts w:ascii="Times New Roman" w:hAnsi="Times New Roman" w:cs="Times New Roman"/>
          <w:sz w:val="24"/>
          <w:szCs w:val="24"/>
        </w:rPr>
        <w:t>similar to</w:t>
      </w:r>
      <w:proofErr w:type="gramEnd"/>
      <w:r w:rsidRPr="00967F86">
        <w:rPr>
          <w:rFonts w:ascii="Times New Roman" w:hAnsi="Times New Roman" w:cs="Times New Roman"/>
          <w:sz w:val="24"/>
          <w:szCs w:val="24"/>
        </w:rPr>
        <w:t xml:space="preserve"> findings in other Philippine cities where the absence of institutional care limits support for vulnerable older adults (Cruz &amp; Cruz, 2020).</w:t>
      </w:r>
    </w:p>
    <w:p w14:paraId="18F04766" w14:textId="77777777" w:rsidR="00D4023D" w:rsidRPr="006C09ED" w:rsidRDefault="00D4023D" w:rsidP="006C09ED">
      <w:pPr>
        <w:spacing w:before="240" w:after="240" w:line="240" w:lineRule="auto"/>
        <w:jc w:val="both"/>
        <w:rPr>
          <w:rFonts w:ascii="Times New Roman" w:hAnsi="Times New Roman" w:cs="Times New Roman"/>
          <w:b/>
          <w:bCs/>
          <w:sz w:val="24"/>
          <w:szCs w:val="24"/>
        </w:rPr>
      </w:pPr>
      <w:r w:rsidRPr="006C09ED">
        <w:rPr>
          <w:rFonts w:ascii="Times New Roman" w:hAnsi="Times New Roman" w:cs="Times New Roman"/>
          <w:b/>
          <w:bCs/>
          <w:sz w:val="24"/>
          <w:szCs w:val="24"/>
        </w:rPr>
        <w:t>Participants</w:t>
      </w:r>
    </w:p>
    <w:p w14:paraId="54EFD17F"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The study involved nine participants purposively selected as</w:t>
      </w:r>
      <w:r w:rsidRPr="00967F86">
        <w:rPr>
          <w:rFonts w:ascii="Times New Roman" w:hAnsi="Times New Roman" w:cs="Times New Roman"/>
          <w:sz w:val="24"/>
          <w:lang w:val="en-PH"/>
        </w:rPr>
        <w:t xml:space="preserve"> </w:t>
      </w:r>
      <w:r w:rsidRPr="00967F86">
        <w:rPr>
          <w:rFonts w:ascii="Times New Roman" w:hAnsi="Times New Roman" w:cs="Times New Roman"/>
          <w:sz w:val="24"/>
          <w:szCs w:val="24"/>
          <w:lang w:val="en-PH"/>
        </w:rPr>
        <w:t>they work directly in local government and social services. They came from city offices that handle health, social welfare and administrative planning. The group was composed of department heads, assistant heads and program coordinators. Their roles gave them firsthand knowledge of programs for senior citizens, the challenges of running these programs and ideas for improving them. Similar methods are used in Southeast Asian studies, where talking to officials responsible for programs helps capture practical insights about elderly care (Teo, 2021).</w:t>
      </w:r>
    </w:p>
    <w:p w14:paraId="0F44CCE2"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 xml:space="preserve">In this study, the participants </w:t>
      </w:r>
      <w:proofErr w:type="gramStart"/>
      <w:r w:rsidRPr="00967F86">
        <w:rPr>
          <w:rFonts w:ascii="Times New Roman" w:hAnsi="Times New Roman" w:cs="Times New Roman"/>
          <w:sz w:val="24"/>
          <w:szCs w:val="24"/>
        </w:rPr>
        <w:t>had been</w:t>
      </w:r>
      <w:proofErr w:type="gramEnd"/>
      <w:r w:rsidRPr="00967F86">
        <w:rPr>
          <w:rFonts w:ascii="Times New Roman" w:hAnsi="Times New Roman" w:cs="Times New Roman"/>
          <w:sz w:val="24"/>
          <w:szCs w:val="24"/>
        </w:rPr>
        <w:t xml:space="preserve"> chosen on purpose because they had a </w:t>
      </w:r>
      <w:r w:rsidRPr="00967F86">
        <w:rPr>
          <w:rFonts w:ascii="Times New Roman" w:hAnsi="Times New Roman" w:cs="Times New Roman"/>
          <w:sz w:val="24"/>
        </w:rPr>
        <w:t>direct</w:t>
      </w:r>
      <w:r w:rsidRPr="00967F86">
        <w:rPr>
          <w:rFonts w:ascii="Times New Roman" w:hAnsi="Times New Roman" w:cs="Times New Roman"/>
          <w:sz w:val="24"/>
          <w:szCs w:val="24"/>
        </w:rPr>
        <w:t xml:space="preserve"> experience and understanding of the topic. The goal was never to pick people randomly but to talk with those who really have the knowledge about elderly care work in the city. Each person shared his/her story and opinions about how caring for older adults is managed in their area.</w:t>
      </w:r>
    </w:p>
    <w:p w14:paraId="5D74A21D" w14:textId="77777777" w:rsidR="00D4023D" w:rsidRPr="00967F86" w:rsidRDefault="00D4023D" w:rsidP="00D1509C">
      <w:pPr>
        <w:spacing w:before="240" w:after="240" w:line="240" w:lineRule="auto"/>
        <w:jc w:val="both"/>
        <w:rPr>
          <w:rFonts w:ascii="Times New Roman" w:hAnsi="Times New Roman" w:cs="Times New Roman"/>
          <w:sz w:val="24"/>
          <w:szCs w:val="24"/>
        </w:rPr>
      </w:pPr>
      <w:r w:rsidRPr="00967F86">
        <w:rPr>
          <w:rFonts w:ascii="Times New Roman" w:hAnsi="Times New Roman" w:cs="Times New Roman"/>
          <w:sz w:val="24"/>
          <w:szCs w:val="24"/>
        </w:rPr>
        <w:t xml:space="preserve">Earlier studies from Thailand, Malaysia and the Philippines have shown that meeting and talking with local officials and community members is an effective way to see what services are missing and what kind of help fits the customs and needs of older people (Chan et al., 2020; </w:t>
      </w:r>
      <w:proofErr w:type="spellStart"/>
      <w:r w:rsidRPr="00967F86">
        <w:rPr>
          <w:rFonts w:ascii="Times New Roman" w:hAnsi="Times New Roman" w:cs="Times New Roman"/>
          <w:sz w:val="24"/>
          <w:szCs w:val="24"/>
        </w:rPr>
        <w:t>Phongpaichit</w:t>
      </w:r>
      <w:proofErr w:type="spellEnd"/>
      <w:r w:rsidRPr="00967F86">
        <w:rPr>
          <w:rFonts w:ascii="Times New Roman" w:hAnsi="Times New Roman" w:cs="Times New Roman"/>
          <w:sz w:val="24"/>
          <w:szCs w:val="24"/>
        </w:rPr>
        <w:t xml:space="preserve"> &amp; Baker, 2019; De Guzman &amp; Perez, 2018). Using a similar idea, this study gathered information from people with </w:t>
      </w:r>
      <w:proofErr w:type="gramStart"/>
      <w:r w:rsidRPr="00967F86">
        <w:rPr>
          <w:rFonts w:ascii="Times New Roman" w:hAnsi="Times New Roman" w:cs="Times New Roman"/>
          <w:sz w:val="24"/>
          <w:szCs w:val="24"/>
        </w:rPr>
        <w:t>firsthand  experiences</w:t>
      </w:r>
      <w:proofErr w:type="gramEnd"/>
      <w:r w:rsidRPr="00967F86">
        <w:rPr>
          <w:rFonts w:ascii="Times New Roman" w:hAnsi="Times New Roman" w:cs="Times New Roman"/>
          <w:sz w:val="24"/>
        </w:rPr>
        <w:t>.</w:t>
      </w:r>
      <w:r w:rsidRPr="00967F86">
        <w:rPr>
          <w:rFonts w:ascii="Times New Roman" w:hAnsi="Times New Roman" w:cs="Times New Roman"/>
          <w:sz w:val="24"/>
          <w:szCs w:val="24"/>
        </w:rPr>
        <w:t xml:space="preserve"> Their stories revealed gaps in resources and policies, as well as practical suggestions for setting up a home care facility for the elderly in Panabo City.</w:t>
      </w:r>
    </w:p>
    <w:p w14:paraId="5E7C0C39" w14:textId="77777777" w:rsidR="00D4023D" w:rsidRPr="006C09ED" w:rsidRDefault="00D4023D" w:rsidP="006C09ED">
      <w:pPr>
        <w:spacing w:before="240" w:after="240" w:line="240" w:lineRule="auto"/>
        <w:jc w:val="both"/>
        <w:rPr>
          <w:rFonts w:ascii="Times New Roman" w:hAnsi="Times New Roman" w:cs="Times New Roman"/>
          <w:b/>
          <w:bCs/>
          <w:sz w:val="24"/>
          <w:szCs w:val="24"/>
        </w:rPr>
      </w:pPr>
      <w:r w:rsidRPr="006C09ED">
        <w:rPr>
          <w:rFonts w:ascii="Times New Roman" w:hAnsi="Times New Roman" w:cs="Times New Roman"/>
          <w:b/>
          <w:bCs/>
          <w:sz w:val="24"/>
          <w:szCs w:val="24"/>
        </w:rPr>
        <w:t>Data Collection</w:t>
      </w:r>
    </w:p>
    <w:p w14:paraId="57EDD0CE"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The researchers have collected the data through face-to-face, semi-structured</w:t>
      </w:r>
      <w:r w:rsidRPr="00967F86">
        <w:rPr>
          <w:rFonts w:ascii="Times New Roman" w:hAnsi="Times New Roman" w:cs="Times New Roman"/>
          <w:b/>
          <w:bCs/>
          <w:sz w:val="24"/>
          <w:szCs w:val="24"/>
          <w:lang w:val="en-PH"/>
        </w:rPr>
        <w:t xml:space="preserve"> </w:t>
      </w:r>
      <w:r w:rsidRPr="00967F86">
        <w:rPr>
          <w:rFonts w:ascii="Times New Roman" w:hAnsi="Times New Roman" w:cs="Times New Roman"/>
          <w:sz w:val="24"/>
          <w:szCs w:val="24"/>
          <w:lang w:val="en-PH"/>
        </w:rPr>
        <w:t>interviews. While there were main questions to guide the conversation, participants were encouraged to share their personal stories and experiences in their own way. The interview guide helped make sure that important topics were covered — such as the situation of older people in Panabo City, their opinions on building a home care facility and the challenges and ideas for improving it. Similar interviews were likewise done in Thailand and Malaysia, where local officials and community members discussed how culture and everyday life shape elderly care and public services (Teo, 2021; Chan et al., 2020).</w:t>
      </w:r>
    </w:p>
    <w:p w14:paraId="59705077"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The interviews were done face-to-face, either in the participants’ offices or in quiet, safe spaces inside the city government buildings. Each session lasted 45 to 60 minutes, depending on how the conversation flowed. With their permission, the talks were recorded to capture all the</w:t>
      </w:r>
      <w:r w:rsidRPr="00967F86">
        <w:rPr>
          <w:rFonts w:ascii="Times New Roman" w:hAnsi="Times New Roman" w:cs="Times New Roman"/>
          <w:sz w:val="24"/>
        </w:rPr>
        <w:t xml:space="preserve"> </w:t>
      </w:r>
      <w:proofErr w:type="gramStart"/>
      <w:r w:rsidRPr="00967F86">
        <w:rPr>
          <w:rFonts w:ascii="Times New Roman" w:hAnsi="Times New Roman" w:cs="Times New Roman"/>
          <w:sz w:val="24"/>
        </w:rPr>
        <w:t xml:space="preserve">important </w:t>
      </w:r>
      <w:r w:rsidRPr="00967F86">
        <w:rPr>
          <w:rFonts w:ascii="Times New Roman" w:hAnsi="Times New Roman" w:cs="Times New Roman"/>
          <w:sz w:val="24"/>
          <w:szCs w:val="24"/>
        </w:rPr>
        <w:t xml:space="preserve"> details</w:t>
      </w:r>
      <w:proofErr w:type="gramEnd"/>
      <w:r w:rsidRPr="00967F86">
        <w:rPr>
          <w:rFonts w:ascii="Times New Roman" w:hAnsi="Times New Roman" w:cs="Times New Roman"/>
          <w:sz w:val="24"/>
        </w:rPr>
        <w:t>.</w:t>
      </w:r>
      <w:r w:rsidRPr="00967F86">
        <w:rPr>
          <w:rFonts w:ascii="Times New Roman" w:hAnsi="Times New Roman" w:cs="Times New Roman"/>
          <w:sz w:val="24"/>
          <w:szCs w:val="24"/>
        </w:rPr>
        <w:t xml:space="preserve"> The researcher also noted simple gestures and other non-verbal expressions during the discussions. The interviews were spread out over two months, following the participants’ available time. This setup helped gather clearer stories and useful context about elderly care in the city (</w:t>
      </w:r>
      <w:proofErr w:type="spellStart"/>
      <w:r w:rsidRPr="00967F86">
        <w:rPr>
          <w:rFonts w:ascii="Times New Roman" w:hAnsi="Times New Roman" w:cs="Times New Roman"/>
          <w:sz w:val="24"/>
          <w:szCs w:val="24"/>
        </w:rPr>
        <w:t>Phongpaichit</w:t>
      </w:r>
      <w:proofErr w:type="spellEnd"/>
      <w:r w:rsidRPr="00967F86">
        <w:rPr>
          <w:rFonts w:ascii="Times New Roman" w:hAnsi="Times New Roman" w:cs="Times New Roman"/>
          <w:sz w:val="24"/>
          <w:szCs w:val="24"/>
        </w:rPr>
        <w:t xml:space="preserve"> &amp; Baker, 2019; De Guzman &amp; Perez, 2018).</w:t>
      </w:r>
    </w:p>
    <w:p w14:paraId="44CBD912" w14:textId="77777777" w:rsidR="00D4023D" w:rsidRPr="006C09ED" w:rsidRDefault="00D4023D" w:rsidP="006C09ED">
      <w:pPr>
        <w:spacing w:before="240" w:after="240" w:line="240" w:lineRule="auto"/>
        <w:jc w:val="both"/>
        <w:rPr>
          <w:rFonts w:ascii="Times New Roman" w:hAnsi="Times New Roman" w:cs="Times New Roman"/>
          <w:b/>
          <w:bCs/>
          <w:sz w:val="24"/>
          <w:szCs w:val="24"/>
        </w:rPr>
      </w:pPr>
      <w:r w:rsidRPr="006C09ED">
        <w:rPr>
          <w:rFonts w:ascii="Times New Roman" w:hAnsi="Times New Roman" w:cs="Times New Roman"/>
          <w:b/>
          <w:bCs/>
          <w:sz w:val="24"/>
          <w:szCs w:val="24"/>
        </w:rPr>
        <w:t>Data Analysis</w:t>
      </w:r>
    </w:p>
    <w:p w14:paraId="5B535A55"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The interview results were studied through thematic analysis, following the steps suggested by Braun and Clarke (2006). The research team read each transcript several times to get a deeper sense of the participants’ responses</w:t>
      </w:r>
      <w:r w:rsidRPr="00967F86">
        <w:rPr>
          <w:rFonts w:ascii="Times New Roman" w:hAnsi="Times New Roman" w:cs="Times New Roman"/>
          <w:sz w:val="24"/>
        </w:rPr>
        <w:t xml:space="preserve"> </w:t>
      </w:r>
      <w:proofErr w:type="gramStart"/>
      <w:r w:rsidRPr="00967F86">
        <w:rPr>
          <w:rFonts w:ascii="Times New Roman" w:hAnsi="Times New Roman" w:cs="Times New Roman"/>
          <w:sz w:val="24"/>
        </w:rPr>
        <w:t xml:space="preserve">to </w:t>
      </w:r>
      <w:r w:rsidRPr="00967F86">
        <w:rPr>
          <w:rFonts w:ascii="Times New Roman" w:hAnsi="Times New Roman" w:cs="Times New Roman"/>
          <w:sz w:val="24"/>
          <w:szCs w:val="24"/>
        </w:rPr>
        <w:t xml:space="preserve"> the</w:t>
      </w:r>
      <w:proofErr w:type="gramEnd"/>
      <w:r w:rsidRPr="00967F86">
        <w:rPr>
          <w:rFonts w:ascii="Times New Roman" w:hAnsi="Times New Roman" w:cs="Times New Roman"/>
          <w:sz w:val="24"/>
          <w:szCs w:val="24"/>
        </w:rPr>
        <w:t xml:space="preserve"> interviews. Notes were made on important points, which were later grouped into codes and then combined into broader themes. Each theme was reviewed to make sure it was clear, distinct and truly reflected the participants’ views. For every theme, a short summary was written and supported with examples or short quotes taken directly from the interviews.</w:t>
      </w:r>
    </w:p>
    <w:p w14:paraId="27BD6412"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lastRenderedPageBreak/>
        <w:t xml:space="preserve">From the analysis, four main themes emerged from the interviews. These include: (1) the current condition of older adults in Panabo City; (2) how people see the need for a home care facility; (3) the difficulties in putting up such a facility and (4) the factors that may help it succeed. After identifying these themes, the </w:t>
      </w:r>
      <w:proofErr w:type="gramStart"/>
      <w:r w:rsidRPr="00967F86">
        <w:rPr>
          <w:rFonts w:ascii="Times New Roman" w:hAnsi="Times New Roman" w:cs="Times New Roman"/>
          <w:sz w:val="24"/>
          <w:szCs w:val="24"/>
        </w:rPr>
        <w:t>researchers  analyzed</w:t>
      </w:r>
      <w:proofErr w:type="gramEnd"/>
      <w:r w:rsidRPr="00967F86">
        <w:rPr>
          <w:rFonts w:ascii="Times New Roman" w:hAnsi="Times New Roman" w:cs="Times New Roman"/>
          <w:sz w:val="24"/>
        </w:rPr>
        <w:t xml:space="preserve"> them</w:t>
      </w:r>
      <w:r w:rsidRPr="00967F86">
        <w:rPr>
          <w:rFonts w:ascii="Times New Roman" w:hAnsi="Times New Roman" w:cs="Times New Roman"/>
          <w:sz w:val="24"/>
          <w:szCs w:val="24"/>
        </w:rPr>
        <w:t xml:space="preserve"> and compared the results with studies from other Southeast Asian countries to see if they matched similar experiences (Teo, 2021; Chan et al., 2020).</w:t>
      </w:r>
    </w:p>
    <w:p w14:paraId="27B4BD50" w14:textId="77777777" w:rsidR="00D4023D" w:rsidRPr="006C09ED" w:rsidRDefault="00D4023D" w:rsidP="006C09ED">
      <w:pPr>
        <w:spacing w:before="240" w:after="240" w:line="240" w:lineRule="auto"/>
        <w:jc w:val="both"/>
        <w:rPr>
          <w:rFonts w:ascii="Times New Roman" w:hAnsi="Times New Roman" w:cs="Times New Roman"/>
          <w:b/>
          <w:bCs/>
          <w:sz w:val="24"/>
          <w:szCs w:val="24"/>
        </w:rPr>
      </w:pPr>
      <w:r w:rsidRPr="006C09ED">
        <w:rPr>
          <w:rFonts w:ascii="Times New Roman" w:hAnsi="Times New Roman" w:cs="Times New Roman"/>
          <w:b/>
          <w:bCs/>
          <w:sz w:val="24"/>
          <w:szCs w:val="24"/>
        </w:rPr>
        <w:t>Ethical Considerations</w:t>
      </w:r>
    </w:p>
    <w:p w14:paraId="5BCF776F" w14:textId="77777777" w:rsidR="00D4023D" w:rsidRPr="00967F86" w:rsidRDefault="00D4023D" w:rsidP="00D1509C">
      <w:pPr>
        <w:spacing w:before="240" w:after="240" w:line="240" w:lineRule="auto"/>
        <w:jc w:val="both"/>
        <w:rPr>
          <w:rFonts w:ascii="Times New Roman" w:hAnsi="Times New Roman" w:cs="Times New Roman"/>
          <w:sz w:val="24"/>
          <w:szCs w:val="24"/>
        </w:rPr>
      </w:pPr>
      <w:r w:rsidRPr="00967F86">
        <w:rPr>
          <w:rFonts w:ascii="Times New Roman" w:hAnsi="Times New Roman" w:cs="Times New Roman"/>
          <w:sz w:val="24"/>
          <w:szCs w:val="24"/>
        </w:rPr>
        <w:t xml:space="preserve">The study observed specific ethical guidelines from start to finish. Before joining, each participant was </w:t>
      </w:r>
      <w:proofErr w:type="gramStart"/>
      <w:r w:rsidRPr="00967F86">
        <w:rPr>
          <w:rFonts w:ascii="Times New Roman" w:hAnsi="Times New Roman" w:cs="Times New Roman"/>
          <w:sz w:val="24"/>
          <w:szCs w:val="24"/>
        </w:rPr>
        <w:t>clearly  informed</w:t>
      </w:r>
      <w:proofErr w:type="gramEnd"/>
      <w:r w:rsidRPr="00967F86">
        <w:rPr>
          <w:rFonts w:ascii="Times New Roman" w:hAnsi="Times New Roman" w:cs="Times New Roman"/>
          <w:sz w:val="24"/>
          <w:szCs w:val="24"/>
        </w:rPr>
        <w:t xml:space="preserve"> about the purpose of the study, what would be asked of them and any possible risks or benefits. Everyone gave their consent by signing a form and understood that joining was voluntary and they may choose to stop at any time. To protect their privacy, all names and personal details were removed from the </w:t>
      </w:r>
      <w:proofErr w:type="gramStart"/>
      <w:r w:rsidRPr="00967F86">
        <w:rPr>
          <w:rFonts w:ascii="Times New Roman" w:hAnsi="Times New Roman" w:cs="Times New Roman"/>
          <w:sz w:val="24"/>
          <w:szCs w:val="24"/>
        </w:rPr>
        <w:t>transcripts</w:t>
      </w:r>
      <w:proofErr w:type="gramEnd"/>
      <w:r w:rsidRPr="00967F86">
        <w:rPr>
          <w:rFonts w:ascii="Times New Roman" w:hAnsi="Times New Roman" w:cs="Times New Roman"/>
          <w:sz w:val="24"/>
          <w:szCs w:val="24"/>
        </w:rPr>
        <w:t xml:space="preserve"> and the files were kept safe and only used for this research. </w:t>
      </w:r>
    </w:p>
    <w:p w14:paraId="4125C134"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rPr>
        <w:t>Ethical practices like these are important in qualitative research, especially when working with government officials, to ensure both participant safety and research integrity (Palinkas et al., 2015; Teo, 2021). Since the participants were officials and not vulnerable groups, the risks were considered minimal</w:t>
      </w:r>
      <w:r w:rsidRPr="00967F86">
        <w:rPr>
          <w:rFonts w:ascii="Times New Roman" w:hAnsi="Times New Roman" w:cs="Times New Roman"/>
          <w:sz w:val="24"/>
          <w:szCs w:val="24"/>
          <w:lang w:val="en-PH"/>
        </w:rPr>
        <w:t xml:space="preserve">. The researchers still conducted the interviews respectfully, ensuring </w:t>
      </w:r>
      <w:proofErr w:type="gramStart"/>
      <w:r w:rsidRPr="00967F86">
        <w:rPr>
          <w:rFonts w:ascii="Times New Roman" w:hAnsi="Times New Roman" w:cs="Times New Roman"/>
          <w:sz w:val="24"/>
          <w:szCs w:val="24"/>
          <w:lang w:val="en-PH"/>
        </w:rPr>
        <w:t>questions  never</w:t>
      </w:r>
      <w:proofErr w:type="gramEnd"/>
      <w:r w:rsidRPr="00967F86">
        <w:rPr>
          <w:rFonts w:ascii="Times New Roman" w:hAnsi="Times New Roman" w:cs="Times New Roman"/>
          <w:sz w:val="24"/>
          <w:szCs w:val="24"/>
          <w:lang w:val="en-PH"/>
        </w:rPr>
        <w:t xml:space="preserve"> put participants’ roles at risk. Ethical approval was granted by Davao del Norte State College before fieldwork began.</w:t>
      </w:r>
    </w:p>
    <w:p w14:paraId="6071C699" w14:textId="77777777" w:rsidR="00D4023D" w:rsidRPr="006C09ED" w:rsidRDefault="00D4023D" w:rsidP="006C09ED">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Trustworthiness of the Study</w:t>
      </w:r>
    </w:p>
    <w:p w14:paraId="07DCCC34" w14:textId="77777777" w:rsidR="00D4023D" w:rsidRPr="00967F86" w:rsidRDefault="00D4023D" w:rsidP="00D1509C">
      <w:pPr>
        <w:spacing w:before="240" w:after="240" w:line="240" w:lineRule="auto"/>
        <w:jc w:val="both"/>
        <w:rPr>
          <w:rFonts w:ascii="Times New Roman" w:hAnsi="Times New Roman" w:cs="Times New Roman"/>
          <w:sz w:val="24"/>
          <w:szCs w:val="24"/>
          <w:lang w:val="en-PH"/>
        </w:rPr>
      </w:pPr>
      <w:r w:rsidRPr="00967F86">
        <w:rPr>
          <w:rFonts w:ascii="Times New Roman" w:hAnsi="Times New Roman" w:cs="Times New Roman"/>
          <w:sz w:val="24"/>
          <w:szCs w:val="24"/>
          <w:lang w:val="en-PH"/>
        </w:rPr>
        <w:t xml:space="preserve">The study followed steps to make sure the findings were trustworthy. Credibility was supported by comparing data from different offices and roles and by discussing interpretations within the research team, a method often used in Southeast Asian governance studies (Chan et al., 2020; </w:t>
      </w:r>
      <w:proofErr w:type="spellStart"/>
      <w:r w:rsidRPr="00967F86">
        <w:rPr>
          <w:rFonts w:ascii="Times New Roman" w:hAnsi="Times New Roman" w:cs="Times New Roman"/>
          <w:sz w:val="24"/>
          <w:szCs w:val="24"/>
          <w:lang w:val="en-PH"/>
        </w:rPr>
        <w:t>Phongpaichit</w:t>
      </w:r>
      <w:proofErr w:type="spellEnd"/>
      <w:r w:rsidRPr="00967F86">
        <w:rPr>
          <w:rFonts w:ascii="Times New Roman" w:hAnsi="Times New Roman" w:cs="Times New Roman"/>
          <w:sz w:val="24"/>
          <w:szCs w:val="24"/>
          <w:lang w:val="en-PH"/>
        </w:rPr>
        <w:t xml:space="preserve"> &amp; Baker, 2019). Transferability was considered by giving detailed descriptions of the study setting, allowing readers to judge if the results apply elsewhere. Dependability was ensured by keeping a clear record of all research procedures and confirmability was strengthened through reflective notes and careful documentation of key decisions, following established qualitative research practices (Braun &amp; Clarke, 2006; Palinkas et al., 2015).</w:t>
      </w:r>
    </w:p>
    <w:p w14:paraId="3C929A97" w14:textId="42F18282" w:rsidR="00D4023D" w:rsidRPr="00967F86" w:rsidRDefault="00D4023D" w:rsidP="006C09ED">
      <w:pPr>
        <w:spacing w:before="240" w:after="240" w:line="240" w:lineRule="auto"/>
        <w:jc w:val="both"/>
        <w:rPr>
          <w:rFonts w:ascii="Times New Roman" w:hAnsi="Times New Roman" w:cs="Times New Roman"/>
          <w:sz w:val="24"/>
          <w:szCs w:val="24"/>
        </w:rPr>
      </w:pPr>
      <w:r w:rsidRPr="006C09ED">
        <w:rPr>
          <w:rFonts w:ascii="Times New Roman" w:hAnsi="Times New Roman" w:cs="Times New Roman"/>
          <w:b/>
          <w:bCs/>
          <w:sz w:val="24"/>
          <w:szCs w:val="24"/>
          <w:lang w:val="en-PH"/>
        </w:rPr>
        <w:t>Limitations</w:t>
      </w:r>
      <w:r w:rsidRPr="00967F86">
        <w:rPr>
          <w:rFonts w:ascii="Times New Roman" w:hAnsi="Times New Roman" w:cs="Times New Roman"/>
          <w:sz w:val="24"/>
          <w:szCs w:val="24"/>
          <w:lang w:val="en-PH"/>
        </w:rPr>
        <w:br/>
        <w:t xml:space="preserve"> </w:t>
      </w:r>
      <w:r w:rsidRPr="00967F86">
        <w:rPr>
          <w:rFonts w:ascii="Times New Roman" w:hAnsi="Times New Roman" w:cs="Times New Roman"/>
          <w:sz w:val="24"/>
          <w:szCs w:val="24"/>
        </w:rPr>
        <w:t xml:space="preserve">While qualitative exploratory research provides detailed and context-rich insights, some limitations should be noted. The study involved only nine participants, all from government offices. As a result, the perspectives of older adults, family caregivers and non-government </w:t>
      </w:r>
      <w:proofErr w:type="gramStart"/>
      <w:r w:rsidRPr="00967F86">
        <w:rPr>
          <w:rFonts w:ascii="Times New Roman" w:hAnsi="Times New Roman" w:cs="Times New Roman"/>
          <w:sz w:val="24"/>
          <w:szCs w:val="24"/>
        </w:rPr>
        <w:t>organizations  had</w:t>
      </w:r>
      <w:proofErr w:type="gramEnd"/>
      <w:r w:rsidRPr="00967F86">
        <w:rPr>
          <w:rFonts w:ascii="Times New Roman" w:hAnsi="Times New Roman" w:cs="Times New Roman"/>
          <w:sz w:val="24"/>
          <w:szCs w:val="24"/>
        </w:rPr>
        <w:t xml:space="preserve"> been excluded so that the findings mainly reflect institutional viewpoints (De Guzman &amp; Perez, 2018; Teo, 2021). In addition, because the research focused on a single city, the results may not fully apply to other areas with different governance, resources or cultural practices. Still, the study offers a useful foundation for future research and policy development, supporting prior work that highlights the value of local-level qualitative studies for guiding governance and social service programs (UPPI, 2022; Chan et al., 2020).</w:t>
      </w:r>
    </w:p>
    <w:p w14:paraId="5F41796E" w14:textId="1DD428FE" w:rsidR="00D4023D" w:rsidRPr="006C09ED" w:rsidRDefault="006C09ED" w:rsidP="006C09ED">
      <w:pPr>
        <w:pStyle w:val="Heading1"/>
        <w:spacing w:before="240" w:after="240" w:line="240" w:lineRule="auto"/>
        <w:jc w:val="both"/>
        <w:rPr>
          <w:rFonts w:ascii="Times New Roman" w:hAnsi="Times New Roman" w:cs="Times New Roman"/>
          <w:b/>
          <w:bCs/>
          <w:color w:val="auto"/>
          <w:sz w:val="28"/>
          <w:szCs w:val="28"/>
        </w:rPr>
      </w:pPr>
      <w:r w:rsidRPr="006C09ED">
        <w:rPr>
          <w:rFonts w:ascii="Times New Roman" w:hAnsi="Times New Roman" w:cs="Times New Roman"/>
          <w:b/>
          <w:bCs/>
          <w:color w:val="auto"/>
          <w:sz w:val="28"/>
          <w:szCs w:val="28"/>
        </w:rPr>
        <w:t xml:space="preserve">RESULTS </w:t>
      </w:r>
    </w:p>
    <w:p w14:paraId="53A48C04" w14:textId="6F3565E6" w:rsidR="004E7DE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Thematic analysis of interviews with nine participants revealed four broad themes: (1) the current condition of older adults in Panabo City; (2) the perceived importance of establishing a home care facility; (3) challenges and barriers and (4) enabling conditions for the establishment and sustainability of such a facility. These themes reflect the lived experiences of local stakeholders while aligning with patterns observed in Southeast Asia.</w:t>
      </w:r>
    </w:p>
    <w:p w14:paraId="3B02A00C" w14:textId="77777777" w:rsidR="00D4023D" w:rsidRPr="006C09ED" w:rsidRDefault="00D4023D" w:rsidP="006C09ED">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Current Condition of Older Adults in Panabo City</w:t>
      </w:r>
    </w:p>
    <w:p w14:paraId="6EC2AD9F"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Participants consistently highlighted multiple vulnerabilities among older adults. Although national policies guarantee rights and benefits, implementation is uneven. Only about 43% of seniors receive the monthly social pension, leaving many without a stable income. Others depend on irregular family remittances or informal work, which is neither sustainable nor safe at their age (UPPI, 2022; De Guzman &amp; Perez, 2018).</w:t>
      </w:r>
    </w:p>
    <w:p w14:paraId="3D8B8E9E" w14:textId="33D9D41A" w:rsidR="00D4023D" w:rsidRDefault="00D4023D" w:rsidP="006C09ED">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w:t>
      </w:r>
    </w:p>
    <w:p w14:paraId="34F9B1E2" w14:textId="56218480" w:rsidR="00D1509C" w:rsidRPr="00D1509C" w:rsidRDefault="00D1509C" w:rsidP="00D1509C">
      <w:pPr>
        <w:pStyle w:val="NormalWeb"/>
        <w:spacing w:before="100" w:beforeAutospacing="1" w:after="100" w:afterAutospacing="1" w:line="240" w:lineRule="auto"/>
        <w:jc w:val="both"/>
        <w:rPr>
          <w:b/>
          <w:bCs/>
          <w:lang w:val="en-PH"/>
        </w:rPr>
      </w:pPr>
      <w:r w:rsidRPr="00D1509C">
        <w:rPr>
          <w:b/>
          <w:bCs/>
        </w:rPr>
        <w:lastRenderedPageBreak/>
        <w:t>Figure 3</w:t>
      </w:r>
      <w:r w:rsidR="00B2115B">
        <w:rPr>
          <w:b/>
          <w:bCs/>
        </w:rPr>
        <w:t>.</w:t>
      </w:r>
      <w:r w:rsidRPr="00D1509C">
        <w:rPr>
          <w:b/>
          <w:bCs/>
        </w:rPr>
        <w:t xml:space="preserve"> </w:t>
      </w:r>
      <w:r w:rsidR="000D0B04">
        <w:rPr>
          <w:b/>
          <w:bCs/>
          <w:lang w:val="en-PH"/>
        </w:rPr>
        <w:t>S</w:t>
      </w:r>
      <w:r w:rsidRPr="00D1509C">
        <w:rPr>
          <w:b/>
          <w:bCs/>
          <w:lang w:val="en-PH"/>
        </w:rPr>
        <w:t>tatus of the elderly sector in Panabo City in terms of pensions.</w:t>
      </w:r>
    </w:p>
    <w:p w14:paraId="6A2A0730" w14:textId="08DE6646" w:rsidR="00D1509C" w:rsidRPr="00967F86" w:rsidRDefault="00745E74" w:rsidP="00D1509C">
      <w:pPr>
        <w:pStyle w:val="NormalWeb"/>
        <w:spacing w:before="100" w:beforeAutospacing="1" w:after="100" w:afterAutospacing="1" w:line="240" w:lineRule="auto"/>
        <w:jc w:val="both"/>
        <w:rPr>
          <w14:reflection w14:blurRad="0" w14:stA="0" w14:stPos="0" w14:endA="0" w14:endPos="24000" w14:dist="0" w14:dir="0" w14:fadeDir="0" w14:sx="0" w14:sy="0" w14:kx="0" w14:ky="0" w14:algn="b"/>
        </w:rPr>
      </w:pPr>
      <w:r>
        <w:rPr>
          <w:noProof/>
          <w14:reflection w14:blurRad="0" w14:stA="0" w14:stPos="0" w14:endA="0" w14:endPos="24000" w14:dist="0" w14:dir="0" w14:fadeDir="0" w14:sx="0" w14:sy="0" w14:kx="0" w14:ky="0" w14:algn="b"/>
        </w:rPr>
        <w:drawing>
          <wp:inline distT="0" distB="0" distL="0" distR="0" wp14:anchorId="712F4393" wp14:editId="35A9CAB2">
            <wp:extent cx="6005195" cy="3091180"/>
            <wp:effectExtent l="0" t="0" r="0" b="0"/>
            <wp:docPr id="1464193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5195" cy="3091180"/>
                    </a:xfrm>
                    <a:prstGeom prst="rect">
                      <a:avLst/>
                    </a:prstGeom>
                    <a:noFill/>
                  </pic:spPr>
                </pic:pic>
              </a:graphicData>
            </a:graphic>
          </wp:inline>
        </w:drawing>
      </w:r>
    </w:p>
    <w:p w14:paraId="2DEB25EE"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Neglect and abandonment were recurrently mentioned. At </w:t>
      </w:r>
      <w:proofErr w:type="gramStart"/>
      <w:r w:rsidRPr="006C09ED">
        <w:rPr>
          <w:rFonts w:ascii="Times New Roman" w:hAnsi="Times New Roman" w:cs="Times New Roman"/>
          <w:sz w:val="24"/>
          <w:szCs w:val="24"/>
          <w:lang w:val="en-PH"/>
        </w:rPr>
        <w:t>least  one</w:t>
      </w:r>
      <w:proofErr w:type="gramEnd"/>
      <w:r w:rsidRPr="006C09ED">
        <w:rPr>
          <w:rFonts w:ascii="Times New Roman" w:hAnsi="Times New Roman" w:cs="Times New Roman"/>
          <w:sz w:val="24"/>
          <w:szCs w:val="24"/>
          <w:lang w:val="en-PH"/>
        </w:rPr>
        <w:t xml:space="preserve"> percent of seniors is formally documented as neglected or abandoned, though actual numbers are likely higher due to underreporting, stigma or fear of family shame. Some older adults live in inadequate housing, face food insecurity and have limited access to healthcare. Barangay health stations exist but are often under-resourced, resulting in long waits and inconsistent follow-up for chronic illnesses. Comparable challenges have been reported in Southeast Asia, where family-based care is increasingly strained by migration and economic pressures (Teo, 2021; Chan et al., 2020).</w:t>
      </w:r>
    </w:p>
    <w:p w14:paraId="0B637D86" w14:textId="6F7ADDB6" w:rsidR="00D1509C" w:rsidRPr="00D1509C" w:rsidRDefault="00D1509C" w:rsidP="00D1509C">
      <w:pPr>
        <w:pStyle w:val="NormalWeb"/>
        <w:spacing w:before="100" w:beforeAutospacing="1" w:after="100" w:afterAutospacing="1" w:line="240" w:lineRule="auto"/>
        <w:jc w:val="both"/>
        <w:rPr>
          <w:b/>
          <w:bCs/>
        </w:rPr>
      </w:pPr>
      <w:r w:rsidRPr="00D1509C">
        <w:rPr>
          <w:b/>
          <w:bCs/>
        </w:rPr>
        <w:t xml:space="preserve">Figure 4. </w:t>
      </w:r>
      <w:r w:rsidR="000D0B04">
        <w:rPr>
          <w:b/>
          <w:bCs/>
        </w:rPr>
        <w:t>S</w:t>
      </w:r>
      <w:r w:rsidRPr="00D1509C">
        <w:rPr>
          <w:b/>
          <w:bCs/>
        </w:rPr>
        <w:t>tatus of the elderly sector in Panabo City in terms of neglect or abandonment as of December 2024.</w:t>
      </w:r>
    </w:p>
    <w:p w14:paraId="02D324A5" w14:textId="09DFA20C" w:rsidR="00D1509C" w:rsidRPr="00967F86" w:rsidRDefault="00745E74" w:rsidP="00D1509C">
      <w:pPr>
        <w:pStyle w:val="NormalWeb"/>
        <w:spacing w:before="100" w:beforeAutospacing="1" w:after="100" w:afterAutospacing="1" w:line="240" w:lineRule="auto"/>
        <w:jc w:val="both"/>
      </w:pPr>
      <w:r>
        <w:rPr>
          <w:noProof/>
        </w:rPr>
        <w:drawing>
          <wp:inline distT="0" distB="0" distL="0" distR="0" wp14:anchorId="4A5B923A" wp14:editId="5683F661">
            <wp:extent cx="6139180" cy="3133725"/>
            <wp:effectExtent l="0" t="0" r="0" b="9525"/>
            <wp:docPr id="4462192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9180" cy="3133725"/>
                    </a:xfrm>
                    <a:prstGeom prst="rect">
                      <a:avLst/>
                    </a:prstGeom>
                    <a:noFill/>
                  </pic:spPr>
                </pic:pic>
              </a:graphicData>
            </a:graphic>
          </wp:inline>
        </w:drawing>
      </w:r>
    </w:p>
    <w:p w14:paraId="716F8615"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Isolation was another problem. Urban migration has left many older adults alone as younger family members move to cities or abroad, eroding traditional family-based support. Studies in Thailand and Malaysia indicate that declining intergenerational co-residence increases vulnerability among seniors and highlights the need for formal care solutions (</w:t>
      </w:r>
      <w:proofErr w:type="spellStart"/>
      <w:r w:rsidRPr="006C09ED">
        <w:rPr>
          <w:rFonts w:ascii="Times New Roman" w:hAnsi="Times New Roman" w:cs="Times New Roman"/>
          <w:sz w:val="24"/>
          <w:szCs w:val="24"/>
          <w:lang w:val="en-PH"/>
        </w:rPr>
        <w:t>Phongpaichit</w:t>
      </w:r>
      <w:proofErr w:type="spellEnd"/>
      <w:r w:rsidRPr="006C09ED">
        <w:rPr>
          <w:rFonts w:ascii="Times New Roman" w:hAnsi="Times New Roman" w:cs="Times New Roman"/>
          <w:sz w:val="24"/>
          <w:szCs w:val="24"/>
          <w:lang w:val="en-PH"/>
        </w:rPr>
        <w:t xml:space="preserve"> &amp; Baker, 2019; Teo, 2021).</w:t>
      </w:r>
    </w:p>
    <w:p w14:paraId="5E77CD50" w14:textId="77777777" w:rsidR="00D4023D" w:rsidRPr="006C09ED" w:rsidRDefault="00D4023D" w:rsidP="00D1509C">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lastRenderedPageBreak/>
        <w:t>Perceived Importance of a Home Care Facility</w:t>
      </w:r>
    </w:p>
    <w:p w14:paraId="350C4F4E"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Participants widely agreed that a home care facility would be highly beneficial. Three dimensions of importance emerged. First, welfare and dignity: the facility would provide safe housing, nutritious food and medical support, ensuring seniors live with dignity. One participant described it as “a place where seniors are treated not as a burden, but as valuable members of society.” Second, relief for families: caregivers often struggle to balance work, economic demands, and caregiving responsibilities. </w:t>
      </w:r>
    </w:p>
    <w:p w14:paraId="344B23A0"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A facility would provide respite, allowing families to maintain livelihoods while ensuring proper care (Teo, 2021). Third, broader community value: the facility could serve as a hub for intergenerational programs, health promotion and volunteerism, while creating employment for caregivers, social workers and medical staff. Similar community-integrated models in Japan, South Korea and Thailand have demonstrated that local eldercare facilities can enhance both social welfare and economic opportunities (WHO, 2015; </w:t>
      </w:r>
      <w:proofErr w:type="spellStart"/>
      <w:r w:rsidRPr="006C09ED">
        <w:rPr>
          <w:rFonts w:ascii="Times New Roman" w:hAnsi="Times New Roman" w:cs="Times New Roman"/>
          <w:sz w:val="24"/>
          <w:szCs w:val="24"/>
          <w:lang w:val="en-PH"/>
        </w:rPr>
        <w:t>Phongpaichit</w:t>
      </w:r>
      <w:proofErr w:type="spellEnd"/>
      <w:r w:rsidRPr="006C09ED">
        <w:rPr>
          <w:rFonts w:ascii="Times New Roman" w:hAnsi="Times New Roman" w:cs="Times New Roman"/>
          <w:sz w:val="24"/>
          <w:szCs w:val="24"/>
          <w:lang w:val="en-PH"/>
        </w:rPr>
        <w:t xml:space="preserve"> &amp; Baker, 2019).</w:t>
      </w:r>
    </w:p>
    <w:p w14:paraId="41A2851F"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Challenges and Barriers</w:t>
      </w:r>
    </w:p>
    <w:p w14:paraId="12D9C17E"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Despite agreement on its value, participants identified notable challenges. Financial constraints were the most cited barrier, as local resources are limited. Sustaining operational costs, in addition to construction expenses, was a key concern, consistent with findings from Southeast Asian eldercare programs (Teo, 2021). </w:t>
      </w:r>
    </w:p>
    <w:p w14:paraId="43642202" w14:textId="77777777" w:rsidR="00D1509C"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In addition, manpower shortages were also highlighted; there is a limited pool of trained caregivers and social workers skilled in geriatric care (Chan et al., 2020; UPPI, 2022). Cultural resistance was another challenge: institutional elderly care remains stigmatized, with some equating placement in a facility to family neglect. Administrative and logistical hurdles, such as coordination with multiple offices and securing funding, were also noted, echoing governance challenges identified in Philippine local government studies (De Guzman &amp; Perez, 2018).</w:t>
      </w:r>
    </w:p>
    <w:p w14:paraId="194F8492" w14:textId="376BF35E" w:rsidR="00D4023D" w:rsidRPr="00D1509C"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Enabling Conditions</w:t>
      </w:r>
    </w:p>
    <w:p w14:paraId="1A9D9CF9"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To support the feasibility and sustainability of a home care facility, participants identified several enabling factors. Legislative support through local ordinances may institutionalize funding and align the project with national programs, enhancing legitimacy and access to resources. Interagency collaboration across health, social welfare, planning and administrative departments can reduce duplication and strengthen governance. </w:t>
      </w:r>
    </w:p>
    <w:p w14:paraId="2B9BBE52"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rPr>
        <w:t xml:space="preserve">Community engagement, through partnerships with religious groups, NGOs, and civic organizations, can help overcome cultural resistance, encourage volunteerism, and embed traditional Filipino values of respect for elders into the daily operations of the facility. Collaborations with private hospitals, universities and international donors may further contribute by offering technical expertise, training, and financial support. Similar multi-sectoral models have been shown to strengthen elderly care initiatives in Southeast Asia (Teo, 2021; </w:t>
      </w:r>
      <w:proofErr w:type="spellStart"/>
      <w:r w:rsidRPr="006C09ED">
        <w:rPr>
          <w:rFonts w:ascii="Times New Roman" w:hAnsi="Times New Roman" w:cs="Times New Roman"/>
          <w:sz w:val="24"/>
          <w:szCs w:val="24"/>
        </w:rPr>
        <w:t>Phongpaichit</w:t>
      </w:r>
      <w:proofErr w:type="spellEnd"/>
      <w:r w:rsidRPr="006C09ED">
        <w:rPr>
          <w:rFonts w:ascii="Times New Roman" w:hAnsi="Times New Roman" w:cs="Times New Roman"/>
          <w:sz w:val="24"/>
          <w:szCs w:val="24"/>
        </w:rPr>
        <w:t xml:space="preserve"> &amp; Baker, 2019)</w:t>
      </w:r>
      <w:r w:rsidRPr="006C09ED">
        <w:rPr>
          <w:rFonts w:ascii="Times New Roman" w:hAnsi="Times New Roman" w:cs="Times New Roman"/>
          <w:sz w:val="24"/>
          <w:szCs w:val="24"/>
          <w:lang w:val="en-PH"/>
        </w:rPr>
        <w:t>.</w:t>
      </w:r>
    </w:p>
    <w:p w14:paraId="10E11CAB" w14:textId="7AAB1095" w:rsidR="00D4023D" w:rsidRPr="00D1509C" w:rsidRDefault="00D1509C" w:rsidP="00D1509C">
      <w:pPr>
        <w:spacing w:before="240" w:after="240" w:line="240" w:lineRule="auto"/>
        <w:jc w:val="both"/>
        <w:rPr>
          <w:rFonts w:ascii="Times New Roman" w:hAnsi="Times New Roman" w:cs="Times New Roman"/>
          <w:b/>
          <w:bCs/>
          <w:sz w:val="28"/>
          <w:szCs w:val="28"/>
          <w:lang w:val="en-PH"/>
        </w:rPr>
      </w:pPr>
      <w:r w:rsidRPr="00D1509C">
        <w:rPr>
          <w:rFonts w:ascii="Times New Roman" w:hAnsi="Times New Roman" w:cs="Times New Roman"/>
          <w:b/>
          <w:bCs/>
          <w:sz w:val="28"/>
          <w:szCs w:val="28"/>
          <w:lang w:val="en-PH"/>
        </w:rPr>
        <w:t>DISCUSSION</w:t>
      </w:r>
    </w:p>
    <w:p w14:paraId="27158D89"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rPr>
        <w:t xml:space="preserve">The results indicate that many older people in Panabo City continue to face different kinds of challenges in their daily lives. Local officials and community members agree that there is a real need for a care facility, but several issues still make it hard to start one. Addressing this situation goes beyond simply putting up a building; it also needs a steady local system that can handle funding, maintain good services and earn the trust and support of the community. </w:t>
      </w:r>
    </w:p>
    <w:p w14:paraId="00E38A34" w14:textId="77777777" w:rsidR="00D4023D" w:rsidRPr="006C09ED" w:rsidRDefault="00D4023D" w:rsidP="00D1509C">
      <w:pPr>
        <w:spacing w:before="240" w:after="240" w:line="240" w:lineRule="auto"/>
        <w:jc w:val="both"/>
        <w:rPr>
          <w:rFonts w:ascii="Times New Roman" w:hAnsi="Times New Roman" w:cs="Times New Roman"/>
          <w:sz w:val="24"/>
          <w:szCs w:val="24"/>
        </w:rPr>
      </w:pPr>
      <w:r w:rsidRPr="006C09ED">
        <w:rPr>
          <w:rFonts w:ascii="Times New Roman" w:hAnsi="Times New Roman" w:cs="Times New Roman"/>
          <w:sz w:val="24"/>
          <w:szCs w:val="24"/>
        </w:rPr>
        <w:t xml:space="preserve">These findings highlight how important it is to include local voices, cultural values, and clear policy direction when planning care for the elderly. This idea also reflects what other studies in the region have found about making eldercare programs sustainable (WHO, 2015; Chan et al., 2020). In Panabo City, there is a clear and urgent need for stronger formal support for older adults. National laws already exist to protect them, but many of these programs are still not fully carried out at the local level. </w:t>
      </w:r>
    </w:p>
    <w:p w14:paraId="3439A0AB"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lastRenderedPageBreak/>
        <w:t xml:space="preserve">At present, only about 43% of older adults receive social pensions and roughly one percent </w:t>
      </w:r>
      <w:proofErr w:type="gramStart"/>
      <w:r w:rsidRPr="006C09ED">
        <w:rPr>
          <w:rFonts w:ascii="Times New Roman" w:hAnsi="Times New Roman" w:cs="Times New Roman"/>
          <w:sz w:val="24"/>
          <w:szCs w:val="24"/>
          <w:lang w:val="en-PH"/>
        </w:rPr>
        <w:t>have</w:t>
      </w:r>
      <w:proofErr w:type="gramEnd"/>
      <w:r w:rsidRPr="006C09ED">
        <w:rPr>
          <w:rFonts w:ascii="Times New Roman" w:hAnsi="Times New Roman" w:cs="Times New Roman"/>
          <w:sz w:val="24"/>
          <w:szCs w:val="24"/>
          <w:lang w:val="en-PH"/>
        </w:rPr>
        <w:t xml:space="preserve"> been officially recorded as neglected or abandoned. These figures suggest that the problem goes beyond individual families. They show that local offices still need to strengthen their social services, improve how programs reach people and make sure that older citizens get the proper care and protection they deserve.</w:t>
      </w:r>
    </w:p>
    <w:p w14:paraId="17B48FBF"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Elderly Vulnerability and Weak Safety Nets</w:t>
      </w:r>
    </w:p>
    <w:p w14:paraId="04FB4A66"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rPr>
        <w:t xml:space="preserve">These gaps </w:t>
      </w:r>
      <w:proofErr w:type="gramStart"/>
      <w:r w:rsidRPr="006C09ED">
        <w:rPr>
          <w:rFonts w:ascii="Times New Roman" w:hAnsi="Times New Roman" w:cs="Times New Roman"/>
          <w:sz w:val="24"/>
          <w:szCs w:val="24"/>
        </w:rPr>
        <w:t>echo</w:t>
      </w:r>
      <w:proofErr w:type="gramEnd"/>
      <w:r w:rsidRPr="006C09ED">
        <w:rPr>
          <w:rFonts w:ascii="Times New Roman" w:hAnsi="Times New Roman" w:cs="Times New Roman"/>
          <w:sz w:val="24"/>
          <w:szCs w:val="24"/>
        </w:rPr>
        <w:t xml:space="preserve"> earlier findings showing that many older adults in Panabo City still struggle with poverty, loneliness and limited access to health services (Cruz &amp; Cruz, 2020). For a long time, family care was the main source of support for seniors in the Philippines. On the other hand, this setup is now under strain because of urban migration, financial stress and smaller families</w:t>
      </w:r>
      <w:r w:rsidRPr="006C09ED">
        <w:rPr>
          <w:rFonts w:ascii="Times New Roman" w:hAnsi="Times New Roman" w:cs="Times New Roman"/>
        </w:rPr>
        <w:t xml:space="preserve"> </w:t>
      </w:r>
      <w:r w:rsidRPr="006C09ED">
        <w:rPr>
          <w:rFonts w:ascii="Times New Roman" w:hAnsi="Times New Roman" w:cs="Times New Roman"/>
          <w:sz w:val="24"/>
          <w:szCs w:val="24"/>
        </w:rPr>
        <w:t>(Cruz &amp; Natividad, 2019). In Panabo, some older people live alone and rely on small pensions or irregular work, revealing how current social protection programs still fail to reach a large part of the elderly population</w:t>
      </w:r>
      <w:r w:rsidRPr="006C09ED">
        <w:rPr>
          <w:rFonts w:ascii="Times New Roman" w:hAnsi="Times New Roman" w:cs="Times New Roman"/>
          <w:sz w:val="24"/>
          <w:szCs w:val="24"/>
          <w:lang w:val="en-PH"/>
        </w:rPr>
        <w:t>.</w:t>
      </w:r>
    </w:p>
    <w:p w14:paraId="3761E922"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rPr>
        <w:t xml:space="preserve">These findings are consistent with research in Southeast Asia, where demographic changes put pressure on traditional caregiving. In countries like Thailand and Vietnam, many older adults face greater risks as migration and economic demands reduce the ability of families to provide steady support (Knodel &amp; </w:t>
      </w:r>
      <w:proofErr w:type="spellStart"/>
      <w:r w:rsidRPr="006C09ED">
        <w:rPr>
          <w:rFonts w:ascii="Times New Roman" w:hAnsi="Times New Roman" w:cs="Times New Roman"/>
          <w:sz w:val="24"/>
          <w:szCs w:val="24"/>
        </w:rPr>
        <w:t>Chayovan</w:t>
      </w:r>
      <w:proofErr w:type="spellEnd"/>
      <w:r w:rsidRPr="006C09ED">
        <w:rPr>
          <w:rFonts w:ascii="Times New Roman" w:hAnsi="Times New Roman" w:cs="Times New Roman"/>
          <w:sz w:val="24"/>
          <w:szCs w:val="24"/>
        </w:rPr>
        <w:t>, 2012; Teo, 2021)</w:t>
      </w:r>
      <w:r w:rsidRPr="006C09ED">
        <w:rPr>
          <w:rFonts w:ascii="Times New Roman" w:hAnsi="Times New Roman" w:cs="Times New Roman"/>
          <w:sz w:val="24"/>
          <w:szCs w:val="24"/>
          <w:lang w:val="en-PH"/>
        </w:rPr>
        <w:t xml:space="preserve">. Without institutional interventions, these populations are exposed to neglect, health risks and social isolation. </w:t>
      </w:r>
    </w:p>
    <w:p w14:paraId="365A3526"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Importance of Institutional Care Facilities</w:t>
      </w:r>
    </w:p>
    <w:p w14:paraId="3DB5B903"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Participants consistently affirmed the value of establishing a home care facility. Such a facility will provide safety, dignity and continuous support to older adults while simultaneously relieving caregiving burdens on families. Similar dual benefits have been documented in Southeast Asian contexts: community- and government-managed elderly homes in Thailand, Vietnam and Malaysia support older adults without replacing family care, improving both quality of life and household well-being (Phillips et al., 2017; Teo, 2021).</w:t>
      </w:r>
    </w:p>
    <w:p w14:paraId="7F87897E"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Beyond individual care, the facility generates broader social and economic benefits. Respondents emphasized employment creation for caregivers, social workers and medical staff, as well as opportunities for intergenerational engagement and community volunteerism. These “co-benefits” align with governance literature emphasizing that well-designed social interventions can produce multiple societal returns (Howlett, 2019). Establishing a home care facility in Panabo can therefore be framed not only as a welfare measure but as an investment in human capital, social cohesion and local development.</w:t>
      </w:r>
    </w:p>
    <w:p w14:paraId="0DB2AC13"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Challenges: Financial, Manpower and Cultural Barriers</w:t>
      </w:r>
    </w:p>
    <w:p w14:paraId="1A800DC7"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Despite the perceived importance, participants highlighted significant barriers to implementation. Financial constraints were the most frequently mentioned, reflecting a common trend in Philippine LGUs where social welfare allocations are limited relative to other sectors like infrastructure (Reyes &amp; </w:t>
      </w:r>
      <w:proofErr w:type="spellStart"/>
      <w:r w:rsidRPr="006C09ED">
        <w:rPr>
          <w:rFonts w:ascii="Times New Roman" w:hAnsi="Times New Roman" w:cs="Times New Roman"/>
          <w:sz w:val="24"/>
          <w:szCs w:val="24"/>
          <w:lang w:val="en-PH"/>
        </w:rPr>
        <w:t>Tabuga</w:t>
      </w:r>
      <w:proofErr w:type="spellEnd"/>
      <w:r w:rsidRPr="006C09ED">
        <w:rPr>
          <w:rFonts w:ascii="Times New Roman" w:hAnsi="Times New Roman" w:cs="Times New Roman"/>
          <w:sz w:val="24"/>
          <w:szCs w:val="24"/>
          <w:lang w:val="en-PH"/>
        </w:rPr>
        <w:t>, 2018). Funding challenges include both the initial construction and ongoing operational costs, necessitating innovative financing strategies and political commitment, potentially through public-private partnerships or NGO support.</w:t>
      </w:r>
    </w:p>
    <w:p w14:paraId="3D9D3999"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What’s more, manpower shortages were also noted. Geriatric care requires specialized skills, yet provincial cities often have limited access to trained caregivers and social workers (Chan et al., 2020; Yeoh &amp; Huang, 2010). Addressing this challenge will require recruitment, capacity-building and partnerships with universities, hospitals and training institutions, as demonstrated in Southeast Asian eldercare programs.</w:t>
      </w:r>
    </w:p>
    <w:p w14:paraId="53B78629" w14:textId="77777777" w:rsidR="00D4023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Nevertheless, cultural resistance remains a complex barrier. In the Philippines, institutional care is sometimes perceived as family abandonment. However, evidence from other Asian societies suggests that cultural opposition can be mitigated when facilities provide high-quality, dignified care and complement family involvement rather than replace it (</w:t>
      </w:r>
      <w:proofErr w:type="spellStart"/>
      <w:r w:rsidRPr="006C09ED">
        <w:rPr>
          <w:rFonts w:ascii="Times New Roman" w:hAnsi="Times New Roman" w:cs="Times New Roman"/>
          <w:sz w:val="24"/>
          <w:szCs w:val="24"/>
          <w:lang w:val="en-PH"/>
        </w:rPr>
        <w:t>Teerawichitchainan</w:t>
      </w:r>
      <w:proofErr w:type="spellEnd"/>
      <w:r w:rsidRPr="006C09ED">
        <w:rPr>
          <w:rFonts w:ascii="Times New Roman" w:hAnsi="Times New Roman" w:cs="Times New Roman"/>
          <w:sz w:val="24"/>
          <w:szCs w:val="24"/>
          <w:lang w:val="en-PH"/>
        </w:rPr>
        <w:t xml:space="preserve"> et al., 2015). Public education and community engagement in Panabo can play a crucial role in reshaping perceptions, emphasizing care, respect and dignity for older adults.</w:t>
      </w:r>
    </w:p>
    <w:p w14:paraId="16DBB123" w14:textId="77777777" w:rsidR="00D1509C" w:rsidRPr="006C09ED" w:rsidRDefault="00D1509C" w:rsidP="00D1509C">
      <w:pPr>
        <w:spacing w:before="240" w:after="240" w:line="240" w:lineRule="auto"/>
        <w:ind w:firstLine="720"/>
        <w:jc w:val="both"/>
        <w:rPr>
          <w:rFonts w:ascii="Times New Roman" w:hAnsi="Times New Roman" w:cs="Times New Roman"/>
          <w:sz w:val="24"/>
          <w:szCs w:val="24"/>
          <w:lang w:val="en-PH"/>
        </w:rPr>
      </w:pPr>
    </w:p>
    <w:p w14:paraId="42A2BC18"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lastRenderedPageBreak/>
        <w:t>Enabling Conditions and Governance Implications</w:t>
      </w:r>
    </w:p>
    <w:p w14:paraId="7816BF74"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Participants identified several enabling conditions, including legislative support, interagency collaboration and community engagement. These align with governance scholarship emphasizing institutional frameworks and collaborative networks for addressing complex social problems (Ansell &amp; Gash, 2008). Local ordinances securing budget allocations for elderly care may provide continuity, while interdepartmental </w:t>
      </w:r>
      <w:proofErr w:type="gramStart"/>
      <w:r w:rsidRPr="006C09ED">
        <w:rPr>
          <w:rFonts w:ascii="Times New Roman" w:hAnsi="Times New Roman" w:cs="Times New Roman"/>
          <w:sz w:val="24"/>
          <w:szCs w:val="24"/>
          <w:lang w:val="en-PH"/>
        </w:rPr>
        <w:t>coordination  can</w:t>
      </w:r>
      <w:proofErr w:type="gramEnd"/>
      <w:r w:rsidRPr="006C09ED">
        <w:rPr>
          <w:rFonts w:ascii="Times New Roman" w:hAnsi="Times New Roman" w:cs="Times New Roman"/>
          <w:sz w:val="24"/>
          <w:szCs w:val="24"/>
          <w:lang w:val="en-PH"/>
        </w:rPr>
        <w:t xml:space="preserve"> streamline implementation and reduce duplication of services.</w:t>
      </w:r>
    </w:p>
    <w:p w14:paraId="1BBBC412"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 As a result, community engagement, particularly partnerships with NGOs, religious groups and civic organizations, was also highlighted. These </w:t>
      </w:r>
      <w:proofErr w:type="gramStart"/>
      <w:r w:rsidRPr="006C09ED">
        <w:rPr>
          <w:rFonts w:ascii="Times New Roman" w:hAnsi="Times New Roman" w:cs="Times New Roman"/>
          <w:sz w:val="24"/>
          <w:szCs w:val="24"/>
          <w:lang w:val="en-PH"/>
        </w:rPr>
        <w:t>collaborations  are</w:t>
      </w:r>
      <w:proofErr w:type="gramEnd"/>
      <w:r w:rsidRPr="006C09ED">
        <w:rPr>
          <w:rFonts w:ascii="Times New Roman" w:hAnsi="Times New Roman" w:cs="Times New Roman"/>
          <w:sz w:val="24"/>
          <w:szCs w:val="24"/>
          <w:lang w:val="en-PH"/>
        </w:rPr>
        <w:t xml:space="preserve"> expected to mobilize volunteers, resources and public support while integrating cultural norms of respect for elders into facility operations. Citizen involvement enhances the legitimacy, accountability and effectiveness of social programs (Fung, 2015), an approach suggested by participatory governance.</w:t>
      </w:r>
    </w:p>
    <w:p w14:paraId="0D5DB4FE"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Contribution to Policy and Practice</w:t>
      </w:r>
    </w:p>
    <w:p w14:paraId="5EF52E91"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This study contributes to discussions on elderly care by showing the actual conditions of older adults in a mid-sized Philippine city, an area often overlooked in research focused on national policy or large urban centers. </w:t>
      </w:r>
      <w:r w:rsidRPr="006C09ED">
        <w:rPr>
          <w:rFonts w:ascii="Times New Roman" w:hAnsi="Times New Roman" w:cs="Times New Roman"/>
          <w:sz w:val="24"/>
          <w:szCs w:val="24"/>
        </w:rPr>
        <w:t xml:space="preserve">The results also show that even though local officials and community leaders recognize the need for an institutional care facility, many structural and practical issues still slow down progress. The findings point </w:t>
      </w:r>
      <w:proofErr w:type="gramStart"/>
      <w:r w:rsidRPr="006C09ED">
        <w:rPr>
          <w:rFonts w:ascii="Times New Roman" w:hAnsi="Times New Roman" w:cs="Times New Roman"/>
          <w:sz w:val="24"/>
          <w:szCs w:val="24"/>
        </w:rPr>
        <w:t>to</w:t>
      </w:r>
      <w:proofErr w:type="gramEnd"/>
      <w:r w:rsidRPr="006C09ED">
        <w:rPr>
          <w:rFonts w:ascii="Times New Roman" w:hAnsi="Times New Roman" w:cs="Times New Roman"/>
          <w:sz w:val="24"/>
          <w:szCs w:val="24"/>
        </w:rPr>
        <w:t xml:space="preserve"> how local governance can better respond to these changes in the city’s aging population by balancing cultural expectations with the real demands of providing services. Similar challenges have also been seen in other parts of Southeast Asia, where local governments are learning to combine traditional family care with newer forms of institutional support (Knodel &amp; </w:t>
      </w:r>
      <w:proofErr w:type="spellStart"/>
      <w:r w:rsidRPr="006C09ED">
        <w:rPr>
          <w:rFonts w:ascii="Times New Roman" w:hAnsi="Times New Roman" w:cs="Times New Roman"/>
          <w:sz w:val="24"/>
          <w:szCs w:val="24"/>
        </w:rPr>
        <w:t>Chayovan</w:t>
      </w:r>
      <w:proofErr w:type="spellEnd"/>
      <w:r w:rsidRPr="006C09ED">
        <w:rPr>
          <w:rFonts w:ascii="Times New Roman" w:hAnsi="Times New Roman" w:cs="Times New Roman"/>
          <w:sz w:val="24"/>
          <w:szCs w:val="24"/>
        </w:rPr>
        <w:t>, 2012)</w:t>
      </w:r>
      <w:r w:rsidRPr="006C09ED">
        <w:rPr>
          <w:rFonts w:ascii="Times New Roman" w:hAnsi="Times New Roman" w:cs="Times New Roman"/>
          <w:sz w:val="24"/>
          <w:szCs w:val="24"/>
          <w:lang w:val="en-PH"/>
        </w:rPr>
        <w:t>.</w:t>
      </w:r>
    </w:p>
    <w:p w14:paraId="7DF126AC" w14:textId="1ED38674"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rPr>
        <w:t xml:space="preserve">In practice, setting up a home care facility in Panabo City is not just about putting up a building. It will take good planning, clear policies, enough funding and teamwork among local offices. The process also needs the support of the community and respect for local traditions and values. When done well, </w:t>
      </w:r>
      <w:proofErr w:type="spellStart"/>
      <w:r w:rsidRPr="006C09ED">
        <w:rPr>
          <w:rFonts w:ascii="Times New Roman" w:hAnsi="Times New Roman" w:cs="Times New Roman"/>
          <w:sz w:val="24"/>
          <w:szCs w:val="24"/>
        </w:rPr>
        <w:t>Panabo’s</w:t>
      </w:r>
      <w:proofErr w:type="spellEnd"/>
      <w:r w:rsidRPr="006C09ED">
        <w:rPr>
          <w:rFonts w:ascii="Times New Roman" w:hAnsi="Times New Roman" w:cs="Times New Roman"/>
          <w:sz w:val="24"/>
          <w:szCs w:val="24"/>
        </w:rPr>
        <w:t xml:space="preserve"> </w:t>
      </w:r>
      <w:proofErr w:type="gramStart"/>
      <w:r w:rsidRPr="006C09ED">
        <w:rPr>
          <w:rFonts w:ascii="Times New Roman" w:hAnsi="Times New Roman" w:cs="Times New Roman"/>
          <w:sz w:val="24"/>
          <w:szCs w:val="24"/>
        </w:rPr>
        <w:t>effort  is</w:t>
      </w:r>
      <w:proofErr w:type="gramEnd"/>
      <w:r w:rsidRPr="006C09ED">
        <w:rPr>
          <w:rFonts w:ascii="Times New Roman" w:hAnsi="Times New Roman" w:cs="Times New Roman"/>
          <w:sz w:val="24"/>
          <w:szCs w:val="24"/>
        </w:rPr>
        <w:t xml:space="preserve"> seen to guide other local governments in the Philippines, showing what works and what challenges to watch out for when helping an aging population. Experiences from other Southeast Asian countries also show that local governments often lead the way in trying out community-based eldercare programs that later shape national plans (Teo, 2021)</w:t>
      </w:r>
      <w:r w:rsidRPr="006C09ED">
        <w:rPr>
          <w:rFonts w:ascii="Times New Roman" w:hAnsi="Times New Roman" w:cs="Times New Roman"/>
          <w:sz w:val="24"/>
          <w:szCs w:val="24"/>
          <w:lang w:val="en-PH"/>
        </w:rPr>
        <w:t>.</w:t>
      </w:r>
    </w:p>
    <w:p w14:paraId="276584CE"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b/>
          <w:bCs/>
          <w:sz w:val="24"/>
          <w:szCs w:val="24"/>
          <w:lang w:val="en-PH"/>
        </w:rPr>
        <w:t>Limitations and Future Research</w:t>
      </w:r>
    </w:p>
    <w:p w14:paraId="7CA49119" w14:textId="77777777" w:rsidR="00D4023D" w:rsidRPr="006C09E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rPr>
        <w:t xml:space="preserve">As with any qualitative study, the findings are limited by sample size and scope. This research concentrated on the perspectives of key stakeholders involved in local programs and services for seniors, excluding the direct voices of older adults, their families and community-based organizations. Future studies are recommended to include these groups to provide a more holistic understanding of needs and preferences. Quantitative research </w:t>
      </w:r>
      <w:proofErr w:type="gramStart"/>
      <w:r w:rsidRPr="006C09ED">
        <w:rPr>
          <w:rFonts w:ascii="Times New Roman" w:hAnsi="Times New Roman" w:cs="Times New Roman"/>
          <w:sz w:val="24"/>
          <w:szCs w:val="24"/>
        </w:rPr>
        <w:t>also  complements</w:t>
      </w:r>
      <w:proofErr w:type="gramEnd"/>
      <w:r w:rsidRPr="006C09ED">
        <w:rPr>
          <w:rFonts w:ascii="Times New Roman" w:hAnsi="Times New Roman" w:cs="Times New Roman"/>
          <w:sz w:val="24"/>
          <w:szCs w:val="24"/>
        </w:rPr>
        <w:t xml:space="preserve"> this work by estimating the scale of unmet needs, operational costs and potential economic impacts of a facility. Comparative studies across </w:t>
      </w:r>
      <w:proofErr w:type="gramStart"/>
      <w:r w:rsidRPr="006C09ED">
        <w:rPr>
          <w:rFonts w:ascii="Times New Roman" w:hAnsi="Times New Roman" w:cs="Times New Roman"/>
          <w:sz w:val="24"/>
          <w:szCs w:val="24"/>
        </w:rPr>
        <w:t>LGUs  will</w:t>
      </w:r>
      <w:proofErr w:type="gramEnd"/>
      <w:r w:rsidRPr="006C09ED">
        <w:rPr>
          <w:rFonts w:ascii="Times New Roman" w:hAnsi="Times New Roman" w:cs="Times New Roman"/>
          <w:sz w:val="24"/>
          <w:szCs w:val="24"/>
        </w:rPr>
        <w:t xml:space="preserve"> further clarify how local contexts shape the feasibility and effectiveness of elderly care initiatives, consistent with earlier calls for </w:t>
      </w:r>
      <w:proofErr w:type="gramStart"/>
      <w:r w:rsidRPr="006C09ED">
        <w:rPr>
          <w:rFonts w:ascii="Times New Roman" w:hAnsi="Times New Roman" w:cs="Times New Roman"/>
          <w:sz w:val="24"/>
          <w:szCs w:val="24"/>
        </w:rPr>
        <w:t>mixed-methods</w:t>
      </w:r>
      <w:proofErr w:type="gramEnd"/>
      <w:r w:rsidRPr="006C09ED">
        <w:rPr>
          <w:rFonts w:ascii="Times New Roman" w:hAnsi="Times New Roman" w:cs="Times New Roman"/>
          <w:sz w:val="24"/>
          <w:szCs w:val="24"/>
        </w:rPr>
        <w:t xml:space="preserve"> approaches in aging research in the Philippines (Cruz &amp; Cruz, 2020)</w:t>
      </w:r>
      <w:r w:rsidRPr="006C09ED">
        <w:rPr>
          <w:rFonts w:ascii="Times New Roman" w:hAnsi="Times New Roman" w:cs="Times New Roman"/>
          <w:sz w:val="24"/>
          <w:szCs w:val="24"/>
          <w:lang w:val="en-PH"/>
        </w:rPr>
        <w:t>.</w:t>
      </w:r>
    </w:p>
    <w:p w14:paraId="505F6A1C" w14:textId="30000C1D" w:rsidR="00D4023D" w:rsidRPr="00D1509C" w:rsidRDefault="00D1509C" w:rsidP="00D1509C">
      <w:pPr>
        <w:spacing w:before="240" w:after="240" w:line="240" w:lineRule="auto"/>
        <w:jc w:val="both"/>
        <w:rPr>
          <w:rFonts w:ascii="Times New Roman" w:eastAsiaTheme="majorEastAsia" w:hAnsi="Times New Roman" w:cs="Times New Roman"/>
          <w:b/>
          <w:bCs/>
          <w:sz w:val="28"/>
          <w:szCs w:val="28"/>
          <w:lang w:val="en-PH"/>
        </w:rPr>
      </w:pPr>
      <w:r w:rsidRPr="00D1509C">
        <w:rPr>
          <w:rFonts w:ascii="Times New Roman" w:eastAsiaTheme="majorEastAsia" w:hAnsi="Times New Roman" w:cs="Times New Roman"/>
          <w:b/>
          <w:bCs/>
          <w:sz w:val="28"/>
          <w:szCs w:val="28"/>
          <w:lang w:val="en-PH"/>
        </w:rPr>
        <w:t>CONCLUSION</w:t>
      </w:r>
    </w:p>
    <w:p w14:paraId="7776A217" w14:textId="77777777" w:rsidR="00D4023D" w:rsidRDefault="00D4023D" w:rsidP="00D1509C">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This study examined the feasibility, challenges and governance implications of constructing an elderly home care facility in Panabo City. Drawing on interviews with nine key stakeholders engaged in elderly services and analyzed through thematic analysis, the research identified four major insights: the precarious condition of older adults, the perceived importance of a dedicated facility, multiple barriers to its establishment and enabling conditions that could support sustainability. Together, these findings reveal a paradox: while the need for institutionalized care is urgent and widely recognized, systemic and contextual constraints continue to limit practical action.</w:t>
      </w:r>
    </w:p>
    <w:p w14:paraId="3EE5D574" w14:textId="77777777" w:rsidR="00D1509C" w:rsidRPr="006C09ED" w:rsidRDefault="00D1509C" w:rsidP="00D1509C">
      <w:pPr>
        <w:spacing w:before="240" w:after="240" w:line="240" w:lineRule="auto"/>
        <w:jc w:val="both"/>
        <w:rPr>
          <w:rFonts w:ascii="Times New Roman" w:hAnsi="Times New Roman" w:cs="Times New Roman"/>
          <w:sz w:val="24"/>
          <w:szCs w:val="24"/>
          <w:lang w:val="en-PH"/>
        </w:rPr>
      </w:pPr>
    </w:p>
    <w:p w14:paraId="6ED30FBD" w14:textId="6D3ABFA3" w:rsidR="00D4023D" w:rsidRPr="00D1509C" w:rsidRDefault="00D1509C" w:rsidP="00D1509C">
      <w:pPr>
        <w:spacing w:before="240" w:after="240" w:line="240" w:lineRule="auto"/>
        <w:jc w:val="both"/>
        <w:rPr>
          <w:rFonts w:ascii="Times New Roman" w:hAnsi="Times New Roman" w:cs="Times New Roman"/>
          <w:b/>
          <w:bCs/>
          <w:sz w:val="28"/>
          <w:szCs w:val="28"/>
          <w:lang w:val="en-PH"/>
        </w:rPr>
      </w:pPr>
      <w:r w:rsidRPr="00D1509C">
        <w:rPr>
          <w:rFonts w:ascii="Times New Roman" w:hAnsi="Times New Roman" w:cs="Times New Roman"/>
          <w:b/>
          <w:bCs/>
          <w:sz w:val="28"/>
          <w:szCs w:val="28"/>
          <w:lang w:val="en-PH"/>
        </w:rPr>
        <w:lastRenderedPageBreak/>
        <w:t>SUMMARY OF FINDINGS</w:t>
      </w:r>
    </w:p>
    <w:p w14:paraId="320FBED2"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A substantial number of older adults in Panabo City remain vulnerable to poverty, neglect and social isolation. Despite national laws guaranteeing pensions and other benefits (RA 9994, Expanded Senior Citizens Act, 2010), local implementation is inconsistent. Only 43% of seniors receive pensions and documented cases of neglect and abandonment persist. These findings reflect broader Southeast Asian trends, where rapid demographic changes and economic pressures erode traditional family-based support systems, leaving older adults at risk (Knodel &amp; </w:t>
      </w:r>
      <w:proofErr w:type="spellStart"/>
      <w:r w:rsidRPr="006C09ED">
        <w:rPr>
          <w:rFonts w:ascii="Times New Roman" w:hAnsi="Times New Roman" w:cs="Times New Roman"/>
          <w:sz w:val="24"/>
          <w:szCs w:val="24"/>
          <w:lang w:val="en-PH"/>
        </w:rPr>
        <w:t>Chayovan</w:t>
      </w:r>
      <w:proofErr w:type="spellEnd"/>
      <w:r w:rsidRPr="006C09ED">
        <w:rPr>
          <w:rFonts w:ascii="Times New Roman" w:hAnsi="Times New Roman" w:cs="Times New Roman"/>
          <w:sz w:val="24"/>
          <w:szCs w:val="24"/>
          <w:lang w:val="en-PH"/>
        </w:rPr>
        <w:t>, 2012; Teo, 2021).</w:t>
      </w:r>
    </w:p>
    <w:p w14:paraId="21184D31"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Participants highlighted strong support for a home care facility. A dedicated facility was seen </w:t>
      </w:r>
      <w:proofErr w:type="gramStart"/>
      <w:r w:rsidRPr="006C09ED">
        <w:rPr>
          <w:rFonts w:ascii="Times New Roman" w:hAnsi="Times New Roman" w:cs="Times New Roman"/>
          <w:sz w:val="24"/>
          <w:szCs w:val="24"/>
          <w:lang w:val="en-PH"/>
        </w:rPr>
        <w:t>as a means to</w:t>
      </w:r>
      <w:proofErr w:type="gramEnd"/>
      <w:r w:rsidRPr="006C09ED">
        <w:rPr>
          <w:rFonts w:ascii="Times New Roman" w:hAnsi="Times New Roman" w:cs="Times New Roman"/>
          <w:sz w:val="24"/>
          <w:szCs w:val="24"/>
          <w:lang w:val="en-PH"/>
        </w:rPr>
        <w:t xml:space="preserve"> safeguard the dignity and welfare of older adults, relieve family caregiving burdens, create local employment and promote social cohesion. </w:t>
      </w:r>
      <w:r w:rsidRPr="006C09ED">
        <w:rPr>
          <w:rFonts w:ascii="Times New Roman" w:hAnsi="Times New Roman" w:cs="Times New Roman"/>
          <w:sz w:val="24"/>
          <w:szCs w:val="24"/>
        </w:rPr>
        <w:t xml:space="preserve">Studies from Thailand, Vietnam and Malaysia have shown similar positive results. Community-run and government-supported elderly homes in these countries work alongside traditional family care instead of replacing it, helping improve both the well-being of older people and their families (Phillips et al., 2017; </w:t>
      </w:r>
      <w:proofErr w:type="spellStart"/>
      <w:r w:rsidRPr="006C09ED">
        <w:rPr>
          <w:rFonts w:ascii="Times New Roman" w:hAnsi="Times New Roman" w:cs="Times New Roman"/>
          <w:sz w:val="24"/>
          <w:szCs w:val="24"/>
        </w:rPr>
        <w:t>Teerawichitchainan</w:t>
      </w:r>
      <w:proofErr w:type="spellEnd"/>
      <w:r w:rsidRPr="006C09ED">
        <w:rPr>
          <w:rFonts w:ascii="Times New Roman" w:hAnsi="Times New Roman" w:cs="Times New Roman"/>
          <w:sz w:val="24"/>
          <w:szCs w:val="24"/>
        </w:rPr>
        <w:t xml:space="preserve"> et al., 2015)</w:t>
      </w:r>
      <w:r w:rsidRPr="006C09ED">
        <w:rPr>
          <w:rFonts w:ascii="Times New Roman" w:hAnsi="Times New Roman" w:cs="Times New Roman"/>
          <w:sz w:val="24"/>
          <w:szCs w:val="24"/>
          <w:lang w:val="en-PH"/>
        </w:rPr>
        <w:t>.</w:t>
      </w:r>
    </w:p>
    <w:p w14:paraId="3C560E8B"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Still, several problems came out during the study. The most common ones were lack of funds, too few trained caregivers and the hesitation of some families to accept institutional care. These issues are </w:t>
      </w:r>
      <w:proofErr w:type="gramStart"/>
      <w:r w:rsidRPr="006C09ED">
        <w:rPr>
          <w:rFonts w:ascii="Times New Roman" w:hAnsi="Times New Roman" w:cs="Times New Roman"/>
          <w:sz w:val="24"/>
          <w:szCs w:val="24"/>
          <w:lang w:val="en-PH"/>
        </w:rPr>
        <w:t>similar to</w:t>
      </w:r>
      <w:proofErr w:type="gramEnd"/>
      <w:r w:rsidRPr="006C09ED">
        <w:rPr>
          <w:rFonts w:ascii="Times New Roman" w:hAnsi="Times New Roman" w:cs="Times New Roman"/>
          <w:sz w:val="24"/>
          <w:szCs w:val="24"/>
          <w:lang w:val="en-PH"/>
        </w:rPr>
        <w:t xml:space="preserve"> what other studies in Southeast Asia have found about local governance challenges (Yeoh &amp; Huang, 2010; Chan et al., 2020). There were also bureaucratic delays, such as getting policy approval and coordinating across different offices. To move forward, local leaders will need creative ways to manage resources and a steady commitment to keep the plans going.</w:t>
      </w:r>
    </w:p>
    <w:p w14:paraId="4C78B7BF" w14:textId="77777777" w:rsidR="00D4023D" w:rsidRPr="006C09ED" w:rsidRDefault="00D4023D" w:rsidP="00D1509C">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Policy and Governance Implications</w:t>
      </w:r>
    </w:p>
    <w:p w14:paraId="4E2DFEA4"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 xml:space="preserve">The findings have several implications for local governance. First, demographic change cannot be addressed through piecemeal interventions. Institutionalizing elderly care within local development agendas ensures it is prioritized alongside infrastructure, economic development and other competing needs (Reyes &amp; </w:t>
      </w:r>
      <w:proofErr w:type="spellStart"/>
      <w:r w:rsidRPr="006C09ED">
        <w:rPr>
          <w:rFonts w:ascii="Times New Roman" w:hAnsi="Times New Roman" w:cs="Times New Roman"/>
          <w:sz w:val="24"/>
          <w:szCs w:val="24"/>
          <w:lang w:val="en-PH"/>
        </w:rPr>
        <w:t>Tabuga</w:t>
      </w:r>
      <w:proofErr w:type="spellEnd"/>
      <w:r w:rsidRPr="006C09ED">
        <w:rPr>
          <w:rFonts w:ascii="Times New Roman" w:hAnsi="Times New Roman" w:cs="Times New Roman"/>
          <w:sz w:val="24"/>
          <w:szCs w:val="24"/>
          <w:lang w:val="en-PH"/>
        </w:rPr>
        <w:t xml:space="preserve">, 2018). In Panabo, </w:t>
      </w:r>
      <w:proofErr w:type="gramStart"/>
      <w:r w:rsidRPr="006C09ED">
        <w:rPr>
          <w:rFonts w:ascii="Times New Roman" w:hAnsi="Times New Roman" w:cs="Times New Roman"/>
          <w:sz w:val="24"/>
          <w:szCs w:val="24"/>
          <w:lang w:val="en-PH"/>
        </w:rPr>
        <w:t>this  involves</w:t>
      </w:r>
      <w:proofErr w:type="gramEnd"/>
      <w:r w:rsidRPr="006C09ED">
        <w:rPr>
          <w:rFonts w:ascii="Times New Roman" w:hAnsi="Times New Roman" w:cs="Times New Roman"/>
          <w:sz w:val="24"/>
          <w:szCs w:val="24"/>
          <w:lang w:val="en-PH"/>
        </w:rPr>
        <w:t xml:space="preserve"> enacting ordinances that allocate dedicated funds for elderly services, ensuring continuity across political cycles.</w:t>
      </w:r>
    </w:p>
    <w:p w14:paraId="558EB4C4"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Second, capacity-building is essential. Quality geriatric care depends on trained caregivers and social workers, requiring partnerships with universities, hospitals and training institutions. Investment in human capital is as critical as investment in physical infrastructure (Cruz &amp; Cruz, 2020; Teo, 2021).</w:t>
      </w:r>
    </w:p>
    <w:p w14:paraId="5EB99F37"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Third, cultural resistance must be addressed through engagement rather than confrontation. Public education campaigns, community forums and collaborations with faith-based and civic organizations can help reframe institutional care as complementary to family caregiving. Evidence from Southeast Asia suggests that stigma decreases when facilities provide high-quality, respectful and culturally sensitive care (</w:t>
      </w:r>
      <w:proofErr w:type="spellStart"/>
      <w:r w:rsidRPr="006C09ED">
        <w:rPr>
          <w:rFonts w:ascii="Times New Roman" w:hAnsi="Times New Roman" w:cs="Times New Roman"/>
          <w:sz w:val="24"/>
          <w:szCs w:val="24"/>
          <w:lang w:val="en-PH"/>
        </w:rPr>
        <w:t>Teerawichitchainan</w:t>
      </w:r>
      <w:proofErr w:type="spellEnd"/>
      <w:r w:rsidRPr="006C09ED">
        <w:rPr>
          <w:rFonts w:ascii="Times New Roman" w:hAnsi="Times New Roman" w:cs="Times New Roman"/>
          <w:sz w:val="24"/>
          <w:szCs w:val="24"/>
          <w:lang w:val="en-PH"/>
        </w:rPr>
        <w:t xml:space="preserve"> et al., 2015).</w:t>
      </w:r>
    </w:p>
    <w:p w14:paraId="1EB0F858" w14:textId="1A28806D"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Fourth, collaborative governance is crucial. Multi-sectoral partnerships involving local authorities, national agencies, NGOs, private sector actors and the community are needed to pool resources, share expertise and ensure sustainability. Participatory governance frameworks demonstrate that citizen engagement enhances both policy legitimacy and effectiveness (Ansell &amp; Gash, 2008; Fung, 2015).</w:t>
      </w:r>
    </w:p>
    <w:p w14:paraId="0633FAB3" w14:textId="77777777" w:rsidR="00D4023D" w:rsidRPr="006C09ED" w:rsidRDefault="00D4023D" w:rsidP="00D1509C">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Contributions to Scholarship and Practice</w:t>
      </w:r>
    </w:p>
    <w:p w14:paraId="13255762" w14:textId="77777777" w:rsidR="00D4023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This study contributes to the literature on aging and local governance in the Philippines, particularly in mid-sized cities where empirical evidence is limited. By documenting the perspectives of key stakeholders, it illuminates both gaps and opportunities in local elderly care services. Practically, it offers a governance framework that other LGUs can adapt, highlighting that establishing an elderly care facility is not solely a social welfare initiative but also a mechanism to strengthen inclusivity, social cohesion and alignment with Sustainable Development Goals (SDGs 3 and 11).</w:t>
      </w:r>
    </w:p>
    <w:p w14:paraId="28CFCD00" w14:textId="77777777" w:rsidR="00D1509C" w:rsidRPr="006C09ED" w:rsidRDefault="00D1509C" w:rsidP="00D1509C">
      <w:pPr>
        <w:spacing w:before="240" w:after="240" w:line="240" w:lineRule="auto"/>
        <w:ind w:firstLine="720"/>
        <w:jc w:val="both"/>
        <w:rPr>
          <w:rFonts w:ascii="Times New Roman" w:hAnsi="Times New Roman" w:cs="Times New Roman"/>
          <w:sz w:val="24"/>
          <w:szCs w:val="24"/>
          <w:lang w:val="en-PH"/>
        </w:rPr>
      </w:pPr>
    </w:p>
    <w:p w14:paraId="1A96007A" w14:textId="77777777" w:rsidR="00D4023D" w:rsidRPr="006C09ED" w:rsidRDefault="00D4023D" w:rsidP="00D1509C">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lastRenderedPageBreak/>
        <w:t>Limitations and Future Research</w:t>
      </w:r>
    </w:p>
    <w:p w14:paraId="079D12CE"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The study is limited by its qualitative design and focus on stakeholders rather than directly including older adults, their families or community-based organizations.   It is suggested that future</w:t>
      </w:r>
      <w:r w:rsidRPr="006C09ED">
        <w:rPr>
          <w:rFonts w:ascii="Times New Roman" w:hAnsi="Times New Roman" w:cs="Times New Roman"/>
          <w:sz w:val="24"/>
          <w:lang w:val="en-PH"/>
        </w:rPr>
        <w:t xml:space="preserve"> </w:t>
      </w:r>
      <w:proofErr w:type="gramStart"/>
      <w:r w:rsidRPr="006C09ED">
        <w:rPr>
          <w:rFonts w:ascii="Times New Roman" w:hAnsi="Times New Roman" w:cs="Times New Roman"/>
          <w:sz w:val="24"/>
          <w:lang w:val="en-PH"/>
        </w:rPr>
        <w:t xml:space="preserve">research </w:t>
      </w:r>
      <w:r w:rsidRPr="006C09ED">
        <w:rPr>
          <w:rFonts w:ascii="Times New Roman" w:hAnsi="Times New Roman" w:cs="Times New Roman"/>
          <w:sz w:val="24"/>
          <w:szCs w:val="24"/>
          <w:lang w:val="en-PH"/>
        </w:rPr>
        <w:t xml:space="preserve"> incorporates</w:t>
      </w:r>
      <w:proofErr w:type="gramEnd"/>
      <w:r w:rsidRPr="006C09ED">
        <w:rPr>
          <w:rFonts w:ascii="Times New Roman" w:hAnsi="Times New Roman" w:cs="Times New Roman"/>
          <w:sz w:val="24"/>
          <w:szCs w:val="24"/>
          <w:lang w:val="en-PH"/>
        </w:rPr>
        <w:t xml:space="preserve"> these voices to better capture the lived experiences and preferences. Mixed-method approaches can </w:t>
      </w:r>
      <w:r w:rsidRPr="006C09ED">
        <w:rPr>
          <w:rFonts w:ascii="Times New Roman" w:hAnsi="Times New Roman" w:cs="Times New Roman"/>
          <w:sz w:val="24"/>
          <w:lang w:val="en-PH"/>
        </w:rPr>
        <w:t>quantify</w:t>
      </w:r>
      <w:r w:rsidRPr="006C09ED">
        <w:rPr>
          <w:rFonts w:ascii="Times New Roman" w:hAnsi="Times New Roman" w:cs="Times New Roman"/>
          <w:sz w:val="24"/>
          <w:szCs w:val="24"/>
          <w:lang w:val="en-PH"/>
        </w:rPr>
        <w:t xml:space="preserve"> unmet needs, estimate operational costs and evaluate cost-benefit outcomes of a home care facility. Comparative studies across LGUs can further elucidate how local contexts influence feasibility, acceptance and sustainability of elderly care initiatives.</w:t>
      </w:r>
    </w:p>
    <w:p w14:paraId="2FE70B14" w14:textId="77777777" w:rsidR="00D4023D" w:rsidRPr="006C09ED" w:rsidRDefault="00D4023D" w:rsidP="00D1509C">
      <w:pPr>
        <w:spacing w:before="240" w:after="240" w:line="240" w:lineRule="auto"/>
        <w:jc w:val="both"/>
        <w:rPr>
          <w:rFonts w:ascii="Times New Roman" w:hAnsi="Times New Roman" w:cs="Times New Roman"/>
          <w:b/>
          <w:bCs/>
          <w:sz w:val="24"/>
          <w:szCs w:val="24"/>
          <w:lang w:val="en-PH"/>
        </w:rPr>
      </w:pPr>
      <w:r w:rsidRPr="006C09ED">
        <w:rPr>
          <w:rFonts w:ascii="Times New Roman" w:hAnsi="Times New Roman" w:cs="Times New Roman"/>
          <w:b/>
          <w:bCs/>
          <w:sz w:val="24"/>
          <w:szCs w:val="24"/>
          <w:lang w:val="en-PH"/>
        </w:rPr>
        <w:t>Toward Inclusive Elderly Care in Panabo City</w:t>
      </w:r>
    </w:p>
    <w:p w14:paraId="4DA0D87B" w14:textId="77777777" w:rsidR="00D4023D" w:rsidRPr="006C09ED" w:rsidRDefault="00D4023D" w:rsidP="008472FA">
      <w:pPr>
        <w:spacing w:before="240" w:after="240" w:line="240" w:lineRule="auto"/>
        <w:jc w:val="both"/>
        <w:rPr>
          <w:rFonts w:ascii="Times New Roman" w:hAnsi="Times New Roman" w:cs="Times New Roman"/>
          <w:sz w:val="24"/>
          <w:szCs w:val="24"/>
          <w:lang w:val="en-PH"/>
        </w:rPr>
      </w:pPr>
      <w:r w:rsidRPr="006C09ED">
        <w:rPr>
          <w:rFonts w:ascii="Times New Roman" w:hAnsi="Times New Roman" w:cs="Times New Roman"/>
          <w:sz w:val="24"/>
          <w:szCs w:val="24"/>
          <w:lang w:val="en-PH"/>
        </w:rPr>
        <w:t>Establishing an elderly home care facility in Panabo City is not merely a policy option but a moral and governance imperative. Reliance on family-based care alone is increasingly inadequate and without institutional alternatives, older adults remain at risk of poverty, neglect and social isolation. A local facility offers an opportunity to reframe governance around inclusivity, ensuring that the city’s most vulnerable citizens are not left behind.</w:t>
      </w:r>
    </w:p>
    <w:p w14:paraId="2E9DB4D6" w14:textId="77777777" w:rsidR="00D4023D" w:rsidRDefault="00D4023D" w:rsidP="008472FA">
      <w:pPr>
        <w:spacing w:before="240" w:after="240" w:line="240" w:lineRule="auto"/>
        <w:jc w:val="both"/>
        <w:rPr>
          <w:rFonts w:ascii="Times New Roman" w:eastAsiaTheme="majorEastAsia" w:hAnsi="Times New Roman" w:cs="Times New Roman"/>
          <w:sz w:val="24"/>
          <w:szCs w:val="24"/>
          <w:lang w:val="en-PH"/>
        </w:rPr>
      </w:pPr>
      <w:r w:rsidRPr="006C09ED">
        <w:rPr>
          <w:rFonts w:ascii="Times New Roman" w:hAnsi="Times New Roman" w:cs="Times New Roman"/>
          <w:sz w:val="24"/>
          <w:szCs w:val="24"/>
          <w:lang w:val="en-PH"/>
        </w:rPr>
        <w:t>While challenges exist, they are surmountable. Through political will, legislative action, capacity-building, and community engagement, Panabo City can model a sustainable, culturally sensitive approach to elderly care. In doing so, the city would address immediate needs while contributing to long-term goals of building resilient, inclusive and compassionate communities, lessons that can inform other LGUs across the Philippines and comparable Southeast Asian contexts</w:t>
      </w:r>
      <w:r w:rsidRPr="006C09ED">
        <w:rPr>
          <w:rFonts w:ascii="Times New Roman" w:eastAsiaTheme="majorEastAsia" w:hAnsi="Times New Roman" w:cs="Times New Roman"/>
          <w:sz w:val="24"/>
          <w:szCs w:val="24"/>
          <w:lang w:val="en-PH"/>
        </w:rPr>
        <w:t>.</w:t>
      </w:r>
    </w:p>
    <w:p w14:paraId="260E58A9" w14:textId="77777777" w:rsidR="00224646" w:rsidRDefault="00224646" w:rsidP="00224646">
      <w:pPr>
        <w:spacing w:before="240" w:after="240" w:line="240" w:lineRule="auto"/>
        <w:jc w:val="both"/>
        <w:rPr>
          <w:rFonts w:ascii="Times New Roman" w:hAnsi="Times New Roman" w:cs="Times New Roman"/>
          <w:b/>
          <w:bCs/>
          <w:sz w:val="28"/>
          <w:szCs w:val="28"/>
          <w:lang w:val="en-PH"/>
        </w:rPr>
      </w:pPr>
      <w:r w:rsidRPr="00224646">
        <w:rPr>
          <w:rFonts w:ascii="Times New Roman" w:hAnsi="Times New Roman" w:cs="Times New Roman"/>
          <w:b/>
          <w:bCs/>
          <w:sz w:val="28"/>
          <w:szCs w:val="28"/>
          <w:lang w:val="en-PH"/>
        </w:rPr>
        <w:t>ACKNOWLEDGMENTS</w:t>
      </w:r>
    </w:p>
    <w:p w14:paraId="0EB80A6E" w14:textId="6354D703" w:rsidR="00224646" w:rsidRPr="00224646" w:rsidRDefault="00224646" w:rsidP="008472FA">
      <w:pPr>
        <w:spacing w:before="240" w:after="240" w:line="240" w:lineRule="auto"/>
        <w:jc w:val="both"/>
        <w:rPr>
          <w:rFonts w:ascii="Times New Roman" w:hAnsi="Times New Roman" w:cs="Times New Roman"/>
          <w:sz w:val="24"/>
          <w:szCs w:val="24"/>
          <w:lang w:val="en-PH"/>
        </w:rPr>
      </w:pPr>
      <w:r w:rsidRPr="00224646">
        <w:rPr>
          <w:rFonts w:ascii="Times New Roman" w:hAnsi="Times New Roman" w:cs="Times New Roman"/>
          <w:sz w:val="24"/>
          <w:szCs w:val="24"/>
          <w:lang w:val="en-PH"/>
        </w:rPr>
        <w:t>The authors wish to thank the City Government of Panabo, the City Social Welfare and Development Office and Davao del Norte State College for their support in the conduct of this study. This research did not receive any external funding.</w:t>
      </w:r>
    </w:p>
    <w:p w14:paraId="732F3A86" w14:textId="3FBA08D7" w:rsidR="00D4023D" w:rsidRPr="00D1509C" w:rsidRDefault="00D1509C" w:rsidP="00967F86">
      <w:pPr>
        <w:pStyle w:val="Heading1"/>
        <w:spacing w:line="240" w:lineRule="auto"/>
        <w:jc w:val="both"/>
        <w:rPr>
          <w:rFonts w:ascii="Times New Roman" w:hAnsi="Times New Roman" w:cs="Times New Roman"/>
          <w:b/>
          <w:bCs/>
          <w:color w:val="auto"/>
          <w:sz w:val="28"/>
          <w:szCs w:val="28"/>
        </w:rPr>
      </w:pPr>
      <w:r w:rsidRPr="00D1509C">
        <w:rPr>
          <w:rFonts w:ascii="Times New Roman" w:hAnsi="Times New Roman" w:cs="Times New Roman"/>
          <w:b/>
          <w:bCs/>
          <w:color w:val="auto"/>
          <w:sz w:val="28"/>
          <w:szCs w:val="28"/>
        </w:rPr>
        <w:t>REFERENCES</w:t>
      </w:r>
    </w:p>
    <w:p w14:paraId="75E51D23"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Ansell, C., &amp; Gash, A. (2008). Collaborative governance in theory and practice. </w:t>
      </w:r>
      <w:r w:rsidRPr="00967F86">
        <w:rPr>
          <w:i/>
          <w:iCs/>
        </w:rPr>
        <w:t>Journal of Public Administration Research and Theory, 18</w:t>
      </w:r>
      <w:r w:rsidRPr="00967F86">
        <w:t xml:space="preserve">(4), 543–571. </w:t>
      </w:r>
      <w:hyperlink r:id="rId11" w:tgtFrame="_new" w:history="1">
        <w:r w:rsidRPr="00967F86">
          <w:rPr>
            <w:rStyle w:val="Hyperlink"/>
            <w:color w:val="auto"/>
            <w:u w:val="none"/>
          </w:rPr>
          <w:t>https://doi.org/10.1093/jopart/mum032</w:t>
        </w:r>
      </w:hyperlink>
    </w:p>
    <w:p w14:paraId="719BCEA8"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Braun, V., &amp; Clarke, V. (2006). Using thematic analysis in psychology. </w:t>
      </w:r>
      <w:r w:rsidRPr="00967F86">
        <w:rPr>
          <w:i/>
          <w:iCs/>
          <w:lang w:val="en-PH"/>
        </w:rPr>
        <w:t>Qualitative Research in Psychology</w:t>
      </w:r>
      <w:r w:rsidRPr="00967F86">
        <w:rPr>
          <w:lang w:val="en-PH"/>
        </w:rPr>
        <w:t xml:space="preserve">, </w:t>
      </w:r>
      <w:r w:rsidRPr="00967F86">
        <w:rPr>
          <w:i/>
          <w:iCs/>
          <w:lang w:val="en-PH"/>
        </w:rPr>
        <w:t>3</w:t>
      </w:r>
      <w:r w:rsidRPr="00967F86">
        <w:rPr>
          <w:lang w:val="en-PH"/>
        </w:rPr>
        <w:t xml:space="preserve">(2), 77–101. </w:t>
      </w:r>
      <w:hyperlink r:id="rId12" w:tgtFrame="_new" w:history="1">
        <w:r w:rsidRPr="00967F86">
          <w:rPr>
            <w:rStyle w:val="Hyperlink"/>
            <w:color w:val="auto"/>
            <w:u w:val="none"/>
            <w:lang w:val="en-PH"/>
          </w:rPr>
          <w:t>https://doi.org/10.1191/1478088706qp063oa</w:t>
        </w:r>
      </w:hyperlink>
    </w:p>
    <w:p w14:paraId="0154087C"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Chan, A., Yeoh, B. S. A., &amp; Huang, S. (2020). Ageing in Southeast Asia: Family, social protection, and policy challenges. </w:t>
      </w:r>
      <w:r w:rsidRPr="00967F86">
        <w:rPr>
          <w:i/>
          <w:iCs/>
          <w:lang w:val="en-PH"/>
        </w:rPr>
        <w:t>Asian Population Studies</w:t>
      </w:r>
      <w:r w:rsidRPr="00967F86">
        <w:rPr>
          <w:lang w:val="en-PH"/>
        </w:rPr>
        <w:t xml:space="preserve">, </w:t>
      </w:r>
      <w:r w:rsidRPr="00967F86">
        <w:rPr>
          <w:i/>
          <w:iCs/>
          <w:lang w:val="en-PH"/>
        </w:rPr>
        <w:t>16</w:t>
      </w:r>
      <w:r w:rsidRPr="00967F86">
        <w:rPr>
          <w:lang w:val="en-PH"/>
        </w:rPr>
        <w:t>(1), 1–18. https://doi.org/10.1080/17441730.2020.1725078</w:t>
      </w:r>
    </w:p>
    <w:p w14:paraId="0FD61D7E"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Congress of the Philippines. (2003</w:t>
      </w:r>
      <w:r w:rsidRPr="00967F86">
        <w:rPr>
          <w:i/>
          <w:iCs/>
          <w:lang w:val="en-PH"/>
        </w:rPr>
        <w:t>). Republic Act No. 9257:</w:t>
      </w:r>
      <w:r w:rsidRPr="00967F86">
        <w:rPr>
          <w:lang w:val="en-PH"/>
        </w:rPr>
        <w:t xml:space="preserve"> </w:t>
      </w:r>
      <w:r w:rsidRPr="00967F86">
        <w:rPr>
          <w:i/>
          <w:iCs/>
          <w:lang w:val="en-PH"/>
        </w:rPr>
        <w:t>Senior Citizens Act</w:t>
      </w:r>
      <w:r w:rsidRPr="00967F86">
        <w:rPr>
          <w:lang w:val="en-PH"/>
        </w:rPr>
        <w:t>. https://lawphil.net/statutes/repacts/ra2003/ra_9257_2003.html</w:t>
      </w:r>
    </w:p>
    <w:p w14:paraId="24363734"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Congress of the Philippines. (2010). </w:t>
      </w:r>
      <w:r w:rsidRPr="00967F86">
        <w:rPr>
          <w:i/>
          <w:iCs/>
          <w:lang w:val="en-PH"/>
        </w:rPr>
        <w:t>Republic Act No. 9994: Expanded Senior Citizens Act of 2010</w:t>
      </w:r>
      <w:r w:rsidRPr="00967F86">
        <w:rPr>
          <w:lang w:val="en-PH"/>
        </w:rPr>
        <w:t xml:space="preserve">. </w:t>
      </w:r>
      <w:hyperlink r:id="rId13" w:tgtFrame="_new" w:history="1">
        <w:r w:rsidRPr="00967F86">
          <w:rPr>
            <w:rStyle w:val="Hyperlink"/>
            <w:color w:val="auto"/>
            <w:u w:val="none"/>
            <w:lang w:val="en-PH"/>
          </w:rPr>
          <w:t>https://lawphil.net/statutes/repacts/ra2010/ra_9994_2010.html</w:t>
        </w:r>
      </w:hyperlink>
    </w:p>
    <w:p w14:paraId="4EF08F5B"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Congress of the Philippines. (2013). </w:t>
      </w:r>
      <w:r w:rsidRPr="00967F86">
        <w:rPr>
          <w:i/>
          <w:iCs/>
          <w:lang w:val="en-PH"/>
        </w:rPr>
        <w:t>Republic Act No. 10645: Senior Citizens’ Center Act of 2013</w:t>
      </w:r>
      <w:r w:rsidRPr="00967F86">
        <w:rPr>
          <w:lang w:val="en-PH"/>
        </w:rPr>
        <w:t>. https://lawphil.net/statutes/repacts/ra2013/ra_10645_2013.html</w:t>
      </w:r>
    </w:p>
    <w:p w14:paraId="7DB886DC"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Creswell, J. W., &amp; Poth, C. N. (2018). </w:t>
      </w:r>
      <w:r w:rsidRPr="00967F86">
        <w:rPr>
          <w:i/>
          <w:iCs/>
          <w:lang w:val="en-PH"/>
        </w:rPr>
        <w:t>Qualitative inquiry and research design: Choosing among five approaches</w:t>
      </w:r>
      <w:r w:rsidRPr="00967F86">
        <w:rPr>
          <w:lang w:val="en-PH"/>
        </w:rPr>
        <w:t xml:space="preserve"> (4th ed.). SAGE Publications. </w:t>
      </w:r>
    </w:p>
    <w:p w14:paraId="2B1AA48D"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Cruz, G. T., &amp; Cruz, C. J. (2020). Ageing and health in the Philippines: </w:t>
      </w:r>
      <w:r w:rsidRPr="00967F86">
        <w:rPr>
          <w:i/>
          <w:iCs/>
          <w:lang w:val="en-PH"/>
        </w:rPr>
        <w:t>Challenges and policy directions. Asia-Pacific Population Journal</w:t>
      </w:r>
      <w:r w:rsidRPr="00967F86">
        <w:rPr>
          <w:lang w:val="en-PH"/>
        </w:rPr>
        <w:t xml:space="preserve">, </w:t>
      </w:r>
      <w:r w:rsidRPr="00967F86">
        <w:rPr>
          <w:i/>
          <w:iCs/>
          <w:lang w:val="en-PH"/>
        </w:rPr>
        <w:t>35</w:t>
      </w:r>
      <w:r w:rsidRPr="00967F86">
        <w:rPr>
          <w:lang w:val="en-PH"/>
        </w:rPr>
        <w:t xml:space="preserve">(1), 1–23. </w:t>
      </w:r>
      <w:hyperlink r:id="rId14" w:history="1">
        <w:r w:rsidRPr="00967F86">
          <w:rPr>
            <w:rStyle w:val="Hyperlink"/>
            <w:color w:val="auto"/>
            <w:u w:val="none"/>
            <w:lang w:val="en-PH"/>
          </w:rPr>
          <w:t>https://doi.org/10.18356/15643926</w:t>
        </w:r>
      </w:hyperlink>
    </w:p>
    <w:p w14:paraId="38278E2A"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Cruz, G. T., &amp; Natividad, J. N. (2019). The aging population in the Philippines: Health and social challenges. </w:t>
      </w:r>
      <w:r w:rsidRPr="00967F86">
        <w:rPr>
          <w:i/>
          <w:iCs/>
          <w:lang w:val="en-PH"/>
        </w:rPr>
        <w:t>Philippine Population Review</w:t>
      </w:r>
      <w:r w:rsidRPr="00967F86">
        <w:rPr>
          <w:lang w:val="en-PH"/>
        </w:rPr>
        <w:t xml:space="preserve">, </w:t>
      </w:r>
      <w:r w:rsidRPr="00967F86">
        <w:rPr>
          <w:i/>
          <w:iCs/>
          <w:lang w:val="en-PH"/>
        </w:rPr>
        <w:t>19</w:t>
      </w:r>
      <w:r w:rsidRPr="00967F86">
        <w:rPr>
          <w:lang w:val="en-PH"/>
        </w:rPr>
        <w:t>(1), 45–67.</w:t>
      </w:r>
    </w:p>
    <w:p w14:paraId="6085AC09"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De Guzman, A. B., &amp; Perez, C. E. (2018). Living arrangements, social support, and well-being of Filipino older persons. </w:t>
      </w:r>
      <w:r w:rsidRPr="00967F86">
        <w:rPr>
          <w:i/>
          <w:iCs/>
          <w:lang w:val="en-PH"/>
        </w:rPr>
        <w:t>Educational Gerontology, 44</w:t>
      </w:r>
      <w:r w:rsidRPr="00967F86">
        <w:rPr>
          <w:lang w:val="en-PH"/>
        </w:rPr>
        <w:t>(8), 489–501. https://doi.org/10.1080/03601277.2018.1507433</w:t>
      </w:r>
    </w:p>
    <w:p w14:paraId="0325B9C1"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Erikson, E. H. (1982). </w:t>
      </w:r>
      <w:r w:rsidRPr="00967F86">
        <w:rPr>
          <w:i/>
          <w:iCs/>
          <w:lang w:val="en-PH"/>
        </w:rPr>
        <w:t>The life cycle completed: Extended version</w:t>
      </w:r>
      <w:r w:rsidRPr="00967F86">
        <w:rPr>
          <w:lang w:val="en-PH"/>
        </w:rPr>
        <w:t>. W. W. Norton &amp; Company.</w:t>
      </w:r>
    </w:p>
    <w:p w14:paraId="5953C47A"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lastRenderedPageBreak/>
        <w:t xml:space="preserve">Fung, A. (2015). Putting the public back into governance: The challenges of citizen participation and its future. </w:t>
      </w:r>
      <w:r w:rsidRPr="00967F86">
        <w:rPr>
          <w:i/>
          <w:iCs/>
          <w:lang w:val="en-PH"/>
        </w:rPr>
        <w:t>Public Administration Review, 75</w:t>
      </w:r>
      <w:r w:rsidRPr="00967F86">
        <w:rPr>
          <w:lang w:val="en-PH"/>
        </w:rPr>
        <w:t>(4), 513–522. https://doi.org/10.1111/puar.12361</w:t>
      </w:r>
    </w:p>
    <w:p w14:paraId="7DA57255"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Homans, G. C. (1958). Social behavior as exchange. </w:t>
      </w:r>
      <w:r w:rsidRPr="00967F86">
        <w:rPr>
          <w:i/>
          <w:iCs/>
          <w:lang w:val="en-PH"/>
        </w:rPr>
        <w:t>American Journal of Sociology, 63</w:t>
      </w:r>
      <w:r w:rsidRPr="00967F86">
        <w:rPr>
          <w:lang w:val="en-PH"/>
        </w:rPr>
        <w:t xml:space="preserve">(6), 597–606. </w:t>
      </w:r>
      <w:hyperlink r:id="rId15" w:tgtFrame="_new" w:history="1">
        <w:r w:rsidRPr="00967F86">
          <w:rPr>
            <w:rStyle w:val="Hyperlink"/>
            <w:color w:val="auto"/>
            <w:u w:val="none"/>
            <w:lang w:val="en-PH"/>
          </w:rPr>
          <w:t>https://doi.org/10.1086/222355</w:t>
        </w:r>
      </w:hyperlink>
    </w:p>
    <w:p w14:paraId="4F201AF1"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Howlett, M. (2019). </w:t>
      </w:r>
      <w:r w:rsidRPr="00967F86">
        <w:rPr>
          <w:i/>
          <w:iCs/>
          <w:lang w:val="en-PH"/>
        </w:rPr>
        <w:t>Designing public policies: Principles and instruments.</w:t>
      </w:r>
      <w:r w:rsidRPr="00967F86">
        <w:rPr>
          <w:lang w:val="en-PH"/>
        </w:rPr>
        <w:t xml:space="preserve"> Routledge.</w:t>
      </w:r>
    </w:p>
    <w:p w14:paraId="1DB67754"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Japan Ministry of Health, </w:t>
      </w:r>
      <w:proofErr w:type="spellStart"/>
      <w:r w:rsidRPr="00967F86">
        <w:t>Labour</w:t>
      </w:r>
      <w:proofErr w:type="spellEnd"/>
      <w:r w:rsidRPr="00967F86">
        <w:t xml:space="preserve"> and Welfare. (2020). </w:t>
      </w:r>
      <w:r w:rsidRPr="00967F86">
        <w:rPr>
          <w:i/>
        </w:rPr>
        <w:t>Annual report on health and welfare for the elderly</w:t>
      </w:r>
      <w:r w:rsidRPr="00967F86">
        <w:t xml:space="preserve">. </w:t>
      </w:r>
      <w:hyperlink r:id="rId16" w:tgtFrame="_new" w:history="1">
        <w:r w:rsidRPr="00967F86">
          <w:rPr>
            <w:rStyle w:val="Hyperlink"/>
            <w:color w:val="auto"/>
            <w:u w:val="none"/>
          </w:rPr>
          <w:t>https://www.mhlw.go.jp/english/</w:t>
        </w:r>
      </w:hyperlink>
      <w:r w:rsidRPr="00967F86">
        <w:rPr>
          <w:lang w:val="en-PH"/>
        </w:rPr>
        <w:t xml:space="preserve"> </w:t>
      </w:r>
    </w:p>
    <w:p w14:paraId="7C0C9AF1"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Knodel, J., &amp; </w:t>
      </w:r>
      <w:proofErr w:type="spellStart"/>
      <w:r w:rsidRPr="00967F86">
        <w:rPr>
          <w:lang w:val="en-PH"/>
        </w:rPr>
        <w:t>Chayovan</w:t>
      </w:r>
      <w:proofErr w:type="spellEnd"/>
      <w:r w:rsidRPr="00967F86">
        <w:rPr>
          <w:lang w:val="en-PH"/>
        </w:rPr>
        <w:t xml:space="preserve">, N. (2012). Intergenerational family care for and by older people in Thailand. </w:t>
      </w:r>
      <w:r w:rsidRPr="00967F86">
        <w:rPr>
          <w:i/>
          <w:iCs/>
          <w:lang w:val="en-PH"/>
        </w:rPr>
        <w:t>International Journal of Sociology and Social Policy, 32</w:t>
      </w:r>
      <w:r w:rsidRPr="00967F86">
        <w:rPr>
          <w:lang w:val="en-PH"/>
        </w:rPr>
        <w:t xml:space="preserve">(11/12), 682–694. </w:t>
      </w:r>
      <w:hyperlink r:id="rId17" w:tgtFrame="_new" w:history="1">
        <w:r w:rsidRPr="00967F86">
          <w:rPr>
            <w:rStyle w:val="Hyperlink"/>
            <w:color w:val="auto"/>
            <w:u w:val="none"/>
            <w:lang w:val="en-PH"/>
          </w:rPr>
          <w:t>https://doi.org/10.1108/01443331211280719</w:t>
        </w:r>
      </w:hyperlink>
    </w:p>
    <w:p w14:paraId="0AA1100E"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Lincoln, Y. S., &amp; Guba, E. G. (1985). </w:t>
      </w:r>
      <w:r w:rsidRPr="00967F86">
        <w:rPr>
          <w:i/>
          <w:iCs/>
          <w:lang w:val="en-PH"/>
        </w:rPr>
        <w:t>Naturalistic inquiry</w:t>
      </w:r>
      <w:r w:rsidRPr="00967F86">
        <w:rPr>
          <w:lang w:val="en-PH"/>
        </w:rPr>
        <w:t>. SAGE Publications.</w:t>
      </w:r>
    </w:p>
    <w:p w14:paraId="5FF1B057"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National Institute for Health and Care Excellence. (2022). </w:t>
      </w:r>
      <w:r w:rsidRPr="00967F86">
        <w:rPr>
          <w:i/>
        </w:rPr>
        <w:t>Home-based care guidelines</w:t>
      </w:r>
      <w:r w:rsidRPr="00967F86">
        <w:t xml:space="preserve">. </w:t>
      </w:r>
      <w:hyperlink r:id="rId18" w:history="1">
        <w:r w:rsidRPr="00967F86">
          <w:rPr>
            <w:rStyle w:val="Hyperlink"/>
            <w:color w:val="auto"/>
            <w:u w:val="none"/>
          </w:rPr>
          <w:t>https://www.nice.org.uk/guidance</w:t>
        </w:r>
      </w:hyperlink>
    </w:p>
    <w:p w14:paraId="5606EFD7"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Palinkas, L. A., Horwitz, S. M., Green, C. A., Wisdom, J. P., Duan, N., &amp; </w:t>
      </w:r>
      <w:proofErr w:type="spellStart"/>
      <w:r w:rsidRPr="00967F86">
        <w:rPr>
          <w:lang w:val="en-PH"/>
        </w:rPr>
        <w:t>Hoagwood</w:t>
      </w:r>
      <w:proofErr w:type="spellEnd"/>
      <w:r w:rsidRPr="00967F86">
        <w:rPr>
          <w:lang w:val="en-PH"/>
        </w:rPr>
        <w:t xml:space="preserve">, K. (2015). Purposeful sampling for qualitative data collection and analysis in mixed method implementation research. </w:t>
      </w:r>
      <w:r w:rsidRPr="00967F86">
        <w:rPr>
          <w:i/>
          <w:iCs/>
          <w:lang w:val="en-PH"/>
        </w:rPr>
        <w:t>Administration and Policy in Mental Health and Mental Health Services Research, 42</w:t>
      </w:r>
      <w:r w:rsidRPr="00967F86">
        <w:rPr>
          <w:lang w:val="en-PH"/>
        </w:rPr>
        <w:t>(5), 533–544. https://doi.org/10.1007/s10488-013-0528-y</w:t>
      </w:r>
    </w:p>
    <w:p w14:paraId="632BFD12"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Panabo City Social Welfare and Development Office. (2024). </w:t>
      </w:r>
      <w:r w:rsidRPr="00967F86">
        <w:rPr>
          <w:i/>
          <w:iCs/>
          <w:lang w:val="en-PH"/>
        </w:rPr>
        <w:t>Senior citizens’ records</w:t>
      </w:r>
      <w:r w:rsidRPr="00967F86">
        <w:rPr>
          <w:lang w:val="en-PH"/>
        </w:rPr>
        <w:t>. Panabo City Government.</w:t>
      </w:r>
    </w:p>
    <w:p w14:paraId="29987FF2"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Philippine Statistics Authority. (2020). </w:t>
      </w:r>
      <w:r w:rsidRPr="00967F86">
        <w:rPr>
          <w:i/>
        </w:rPr>
        <w:t>Highlights of the Philippine population 2020 census</w:t>
      </w:r>
      <w:r w:rsidRPr="00967F86">
        <w:t xml:space="preserve">. </w:t>
      </w:r>
      <w:hyperlink r:id="rId19" w:tgtFrame="_new" w:history="1">
        <w:r w:rsidRPr="00967F86">
          <w:rPr>
            <w:rStyle w:val="Hyperlink"/>
            <w:color w:val="auto"/>
            <w:u w:val="none"/>
          </w:rPr>
          <w:t>https://psa.gov.ph/</w:t>
        </w:r>
      </w:hyperlink>
    </w:p>
    <w:p w14:paraId="5A7129AD"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Phillips, D. R., Chan, A. C. M., &amp; Cheng, K. H. C. (2017). The impact of family and community support on the well-being of older persons in Asia. </w:t>
      </w:r>
      <w:r w:rsidRPr="00967F86">
        <w:rPr>
          <w:i/>
          <w:iCs/>
          <w:lang w:val="en-PH"/>
        </w:rPr>
        <w:t>Asian Social Work and Policy Review, 11</w:t>
      </w:r>
      <w:r w:rsidRPr="00967F86">
        <w:rPr>
          <w:lang w:val="en-PH"/>
        </w:rPr>
        <w:t>(2), 128–139. https://doi.org/10.1111/aswp.12112</w:t>
      </w:r>
    </w:p>
    <w:p w14:paraId="4258A59E" w14:textId="77777777" w:rsidR="00D4023D" w:rsidRPr="00967F86" w:rsidRDefault="00D4023D" w:rsidP="008472FA">
      <w:pPr>
        <w:pStyle w:val="NormalWeb"/>
        <w:numPr>
          <w:ilvl w:val="0"/>
          <w:numId w:val="1"/>
        </w:numPr>
        <w:spacing w:after="0" w:line="240" w:lineRule="auto"/>
        <w:ind w:left="714" w:hanging="357"/>
        <w:jc w:val="both"/>
        <w:rPr>
          <w:lang w:val="en-PH"/>
        </w:rPr>
      </w:pPr>
      <w:proofErr w:type="spellStart"/>
      <w:r w:rsidRPr="00967F86">
        <w:rPr>
          <w:lang w:val="en-PH"/>
        </w:rPr>
        <w:t>Phongpaichit</w:t>
      </w:r>
      <w:proofErr w:type="spellEnd"/>
      <w:r w:rsidRPr="00967F86">
        <w:rPr>
          <w:lang w:val="en-PH"/>
        </w:rPr>
        <w:t xml:space="preserve">, P., &amp; Baker, C. (2019). </w:t>
      </w:r>
      <w:r w:rsidRPr="00967F86">
        <w:rPr>
          <w:i/>
          <w:iCs/>
          <w:lang w:val="en-PH"/>
        </w:rPr>
        <w:t xml:space="preserve">Unequal ageing: </w:t>
      </w:r>
      <w:proofErr w:type="gramStart"/>
      <w:r w:rsidRPr="00967F86">
        <w:rPr>
          <w:i/>
          <w:iCs/>
          <w:lang w:val="en-PH"/>
        </w:rPr>
        <w:t>Older</w:t>
      </w:r>
      <w:proofErr w:type="gramEnd"/>
      <w:r w:rsidRPr="00967F86">
        <w:rPr>
          <w:i/>
          <w:iCs/>
          <w:lang w:val="en-PH"/>
        </w:rPr>
        <w:t xml:space="preserve"> people, community and policy in Thailand.</w:t>
      </w:r>
      <w:r w:rsidRPr="00967F86">
        <w:rPr>
          <w:lang w:val="en-PH"/>
        </w:rPr>
        <w:t xml:space="preserve"> Chulalongkorn University Press.</w:t>
      </w:r>
    </w:p>
    <w:p w14:paraId="5DD67B15" w14:textId="77777777" w:rsidR="00D4023D" w:rsidRPr="00967F86" w:rsidRDefault="00D4023D" w:rsidP="008472FA">
      <w:pPr>
        <w:pStyle w:val="NormalWeb"/>
        <w:numPr>
          <w:ilvl w:val="0"/>
          <w:numId w:val="1"/>
        </w:numPr>
        <w:spacing w:after="0" w:line="240" w:lineRule="auto"/>
        <w:ind w:left="714" w:hanging="357"/>
        <w:jc w:val="both"/>
      </w:pPr>
      <w:r w:rsidRPr="00967F86">
        <w:t xml:space="preserve">Reyes, C. M., &amp; </w:t>
      </w:r>
      <w:proofErr w:type="spellStart"/>
      <w:r w:rsidRPr="00967F86">
        <w:t>Tabuga</w:t>
      </w:r>
      <w:proofErr w:type="spellEnd"/>
      <w:r w:rsidRPr="00967F86">
        <w:t xml:space="preserve">, A. D. (2018). </w:t>
      </w:r>
      <w:r w:rsidRPr="00967F86">
        <w:rPr>
          <w:i/>
        </w:rPr>
        <w:t>Poverty, vulnerability, and the welfare of the elderly in the Philippines</w:t>
      </w:r>
      <w:r w:rsidRPr="00967F86">
        <w:t>. Philippine Institute for Development Studies.</w:t>
      </w:r>
    </w:p>
    <w:p w14:paraId="083CC8EC" w14:textId="77777777" w:rsidR="00D4023D" w:rsidRPr="00967F86" w:rsidRDefault="00D4023D" w:rsidP="008472FA">
      <w:pPr>
        <w:pStyle w:val="NormalWeb"/>
        <w:numPr>
          <w:ilvl w:val="0"/>
          <w:numId w:val="1"/>
        </w:numPr>
        <w:tabs>
          <w:tab w:val="left" w:pos="142"/>
        </w:tabs>
        <w:spacing w:after="0" w:line="240" w:lineRule="auto"/>
        <w:ind w:left="714" w:hanging="357"/>
        <w:jc w:val="both"/>
      </w:pPr>
      <w:r w:rsidRPr="00967F86">
        <w:t xml:space="preserve">Schwandt, T. A. (1994). </w:t>
      </w:r>
      <w:proofErr w:type="gramStart"/>
      <w:r w:rsidRPr="00967F86">
        <w:t>Constructivist</w:t>
      </w:r>
      <w:proofErr w:type="gramEnd"/>
      <w:r w:rsidRPr="00967F86">
        <w:t xml:space="preserve">, interpretivist approaches to human inquiry. In N. K. Denzin &amp; Y. S. Lincoln (Eds.), </w:t>
      </w:r>
      <w:r w:rsidRPr="00967F86">
        <w:rPr>
          <w:i/>
        </w:rPr>
        <w:t>Handbook of qualitative research</w:t>
      </w:r>
      <w:r w:rsidRPr="00967F86">
        <w:t xml:space="preserve"> (pp. 118–137). SAGE Publications.</w:t>
      </w:r>
    </w:p>
    <w:p w14:paraId="1EF4B59E" w14:textId="77777777" w:rsidR="00D4023D" w:rsidRPr="00967F86" w:rsidRDefault="00D4023D" w:rsidP="008472FA">
      <w:pPr>
        <w:pStyle w:val="NormalWeb"/>
        <w:numPr>
          <w:ilvl w:val="0"/>
          <w:numId w:val="1"/>
        </w:numPr>
        <w:tabs>
          <w:tab w:val="left" w:pos="142"/>
        </w:tabs>
        <w:spacing w:after="0" w:line="240" w:lineRule="auto"/>
        <w:ind w:left="714" w:hanging="357"/>
        <w:jc w:val="both"/>
        <w:rPr>
          <w:lang w:val="en-PH"/>
        </w:rPr>
      </w:pPr>
      <w:r w:rsidRPr="00967F86">
        <w:rPr>
          <w:lang w:val="en-PH"/>
        </w:rPr>
        <w:t xml:space="preserve">Stebbins, R. A. (2001). </w:t>
      </w:r>
      <w:r w:rsidRPr="00967F86">
        <w:rPr>
          <w:i/>
          <w:iCs/>
          <w:lang w:val="en-PH"/>
        </w:rPr>
        <w:t>Exploratory research in the social sciences</w:t>
      </w:r>
      <w:r w:rsidRPr="00967F86">
        <w:rPr>
          <w:lang w:val="en-PH"/>
        </w:rPr>
        <w:t>. Qualitative Research Methods Series, 48. SAGE Publications.</w:t>
      </w:r>
    </w:p>
    <w:p w14:paraId="2CE82480" w14:textId="5CD63643" w:rsidR="00D4023D" w:rsidRPr="00967F86" w:rsidRDefault="00D4023D" w:rsidP="008472FA">
      <w:pPr>
        <w:pStyle w:val="NormalWeb"/>
        <w:numPr>
          <w:ilvl w:val="0"/>
          <w:numId w:val="1"/>
        </w:numPr>
        <w:spacing w:after="0" w:line="240" w:lineRule="auto"/>
        <w:ind w:left="714" w:hanging="357"/>
        <w:jc w:val="both"/>
        <w:rPr>
          <w:lang w:val="en-PH"/>
        </w:rPr>
      </w:pPr>
      <w:proofErr w:type="spellStart"/>
      <w:r w:rsidRPr="00967F86">
        <w:rPr>
          <w:lang w:val="en-PH"/>
        </w:rPr>
        <w:t>Teerawichitchainan</w:t>
      </w:r>
      <w:proofErr w:type="spellEnd"/>
      <w:r w:rsidRPr="00967F86">
        <w:rPr>
          <w:lang w:val="en-PH"/>
        </w:rPr>
        <w:t xml:space="preserve">, B., Knodel, J., &amp; </w:t>
      </w:r>
      <w:proofErr w:type="spellStart"/>
      <w:r w:rsidRPr="00967F86">
        <w:rPr>
          <w:lang w:val="en-PH"/>
        </w:rPr>
        <w:t>Pothisiri</w:t>
      </w:r>
      <w:proofErr w:type="spellEnd"/>
      <w:r w:rsidRPr="00967F86">
        <w:rPr>
          <w:lang w:val="en-PH"/>
        </w:rPr>
        <w:t xml:space="preserve">, W. (2015). Long-term care needs in the context of rapid ageing: The case of Thailand. </w:t>
      </w:r>
      <w:r w:rsidRPr="00967F86">
        <w:rPr>
          <w:i/>
          <w:iCs/>
          <w:lang w:val="en-PH"/>
        </w:rPr>
        <w:t>Social Science &amp; Medicine, 136</w:t>
      </w:r>
      <w:r w:rsidRPr="00967F86">
        <w:rPr>
          <w:lang w:val="en-PH"/>
        </w:rPr>
        <w:t>, 213–221. https://doi.org/10.1016/j.socscimed.2015.05.006</w:t>
      </w:r>
    </w:p>
    <w:p w14:paraId="60CCFB85"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rPr>
          <w:lang w:val="en-PH"/>
        </w:rPr>
        <w:t xml:space="preserve">Teo, P. (2021). Community-based elderly care in Southeast Asia: Practices and outcomes. </w:t>
      </w:r>
      <w:r w:rsidRPr="00967F86">
        <w:rPr>
          <w:i/>
          <w:iCs/>
          <w:lang w:val="en-PH"/>
        </w:rPr>
        <w:t>Asian Social Work and Policy Review, 15</w:t>
      </w:r>
      <w:r w:rsidRPr="00967F86">
        <w:rPr>
          <w:lang w:val="en-PH"/>
        </w:rPr>
        <w:t>(2), 123–136. https://doi.org/10.1111/aswp.12208</w:t>
      </w:r>
    </w:p>
    <w:p w14:paraId="32D9FFEC" w14:textId="6FD38E1A"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United Nations. (2019). </w:t>
      </w:r>
      <w:r w:rsidRPr="00967F86">
        <w:rPr>
          <w:i/>
        </w:rPr>
        <w:t>World population prospects 2019: Highlights</w:t>
      </w:r>
      <w:r w:rsidRPr="00967F86">
        <w:t xml:space="preserve">. Department of Economic and Social Affairs. </w:t>
      </w:r>
      <w:hyperlink r:id="rId20" w:tgtFrame="_new" w:history="1">
        <w:r w:rsidRPr="00967F86">
          <w:rPr>
            <w:rStyle w:val="Hyperlink"/>
            <w:color w:val="auto"/>
            <w:u w:val="none"/>
          </w:rPr>
          <w:t>https://population.un.org/wpp/Publications/</w:t>
        </w:r>
      </w:hyperlink>
    </w:p>
    <w:p w14:paraId="703BDC12" w14:textId="5A0085B3"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United Nations. (2022). </w:t>
      </w:r>
      <w:proofErr w:type="gramStart"/>
      <w:r w:rsidRPr="00967F86">
        <w:rPr>
          <w:i/>
        </w:rPr>
        <w:t>World population prospects 2022</w:t>
      </w:r>
      <w:proofErr w:type="gramEnd"/>
      <w:r w:rsidRPr="00967F86">
        <w:t xml:space="preserve">. Department of Economic and Social Affairs. </w:t>
      </w:r>
      <w:hyperlink r:id="rId21" w:tgtFrame="_new" w:history="1">
        <w:r w:rsidRPr="00967F86">
          <w:rPr>
            <w:rStyle w:val="Hyperlink"/>
            <w:color w:val="auto"/>
            <w:u w:val="none"/>
          </w:rPr>
          <w:t>https://population.un.org/wpp/</w:t>
        </w:r>
      </w:hyperlink>
    </w:p>
    <w:p w14:paraId="4376887D" w14:textId="77777777" w:rsidR="00D4023D" w:rsidRPr="00967F86" w:rsidRDefault="00D4023D" w:rsidP="008472FA">
      <w:pPr>
        <w:pStyle w:val="NormalWeb"/>
        <w:numPr>
          <w:ilvl w:val="0"/>
          <w:numId w:val="1"/>
        </w:numPr>
        <w:spacing w:after="0" w:line="240" w:lineRule="auto"/>
        <w:ind w:left="714" w:hanging="357"/>
        <w:jc w:val="both"/>
      </w:pPr>
      <w:r w:rsidRPr="00967F86">
        <w:t xml:space="preserve">University of the Philippines Population Institute. (2022). </w:t>
      </w:r>
      <w:r w:rsidRPr="00967F86">
        <w:rPr>
          <w:i/>
        </w:rPr>
        <w:t>Older persons in the Philippines: Facts and prospects</w:t>
      </w:r>
      <w:r w:rsidRPr="00967F86">
        <w:t>. UPPI.</w:t>
      </w:r>
    </w:p>
    <w:p w14:paraId="355EF742" w14:textId="53358683"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World Health Organization. (2015). </w:t>
      </w:r>
      <w:r w:rsidRPr="00967F86">
        <w:rPr>
          <w:i/>
        </w:rPr>
        <w:t>World report on ageing and health</w:t>
      </w:r>
      <w:r w:rsidRPr="00967F86">
        <w:t xml:space="preserve">. </w:t>
      </w:r>
      <w:hyperlink r:id="rId22" w:tgtFrame="_new" w:history="1">
        <w:r w:rsidRPr="00967F86">
          <w:rPr>
            <w:rStyle w:val="Hyperlink"/>
            <w:color w:val="auto"/>
            <w:u w:val="none"/>
          </w:rPr>
          <w:t>https://apps.who.int/iris/handle/10665/186463</w:t>
        </w:r>
      </w:hyperlink>
    </w:p>
    <w:p w14:paraId="17405C45" w14:textId="77777777" w:rsidR="00D4023D" w:rsidRPr="00967F86" w:rsidRDefault="00D4023D" w:rsidP="008472FA">
      <w:pPr>
        <w:pStyle w:val="NormalWeb"/>
        <w:numPr>
          <w:ilvl w:val="0"/>
          <w:numId w:val="1"/>
        </w:numPr>
        <w:spacing w:after="0" w:line="240" w:lineRule="auto"/>
        <w:ind w:left="714" w:hanging="357"/>
        <w:jc w:val="both"/>
        <w:rPr>
          <w:lang w:val="en-PH"/>
        </w:rPr>
      </w:pPr>
      <w:r w:rsidRPr="00967F86">
        <w:t xml:space="preserve">World Health Organization. (2021). </w:t>
      </w:r>
      <w:r w:rsidRPr="00967F86">
        <w:rPr>
          <w:i/>
        </w:rPr>
        <w:t>Decade of healthy ageing: Baseline report</w:t>
      </w:r>
      <w:r w:rsidRPr="00967F86">
        <w:t xml:space="preserve">. </w:t>
      </w:r>
      <w:hyperlink r:id="rId23" w:tgtFrame="_new" w:history="1">
        <w:r w:rsidRPr="00967F86">
          <w:rPr>
            <w:rStyle w:val="Hyperlink"/>
            <w:color w:val="auto"/>
            <w:u w:val="none"/>
          </w:rPr>
          <w:t>https://www.who.int/publications/i/item/9789240017900</w:t>
        </w:r>
      </w:hyperlink>
    </w:p>
    <w:p w14:paraId="1B208CE0" w14:textId="77777777" w:rsidR="00D4023D" w:rsidRPr="00967F86" w:rsidRDefault="00D4023D" w:rsidP="008472FA">
      <w:pPr>
        <w:pStyle w:val="NormalWeb"/>
        <w:numPr>
          <w:ilvl w:val="0"/>
          <w:numId w:val="1"/>
        </w:numPr>
        <w:spacing w:after="0" w:line="240" w:lineRule="auto"/>
        <w:ind w:left="714" w:hanging="357"/>
        <w:jc w:val="both"/>
      </w:pPr>
      <w:r w:rsidRPr="00967F86">
        <w:rPr>
          <w:lang w:val="en-PH"/>
        </w:rPr>
        <w:t xml:space="preserve">Yeoh, B. S. A., &amp; Huang, S. (2010). Transnational domestic workers and the negotiation of eldercare in Southeast Asia. </w:t>
      </w:r>
      <w:r w:rsidRPr="00967F86">
        <w:rPr>
          <w:i/>
          <w:iCs/>
          <w:lang w:val="en-PH"/>
        </w:rPr>
        <w:t>Population, Space and Place, 16</w:t>
      </w:r>
      <w:r w:rsidRPr="00967F86">
        <w:rPr>
          <w:lang w:val="en-PH"/>
        </w:rPr>
        <w:t>(2), 145–159. https://doi.org/10.1002/psp.553</w:t>
      </w:r>
    </w:p>
    <w:p w14:paraId="1B6E392C" w14:textId="77777777" w:rsidR="007E68EA" w:rsidRPr="00967F86" w:rsidRDefault="007E68EA" w:rsidP="00967F86">
      <w:pPr>
        <w:spacing w:line="240" w:lineRule="auto"/>
        <w:jc w:val="both"/>
        <w:rPr>
          <w:rFonts w:ascii="Times New Roman" w:hAnsi="Times New Roman" w:cs="Times New Roman"/>
        </w:rPr>
      </w:pPr>
    </w:p>
    <w:sectPr w:rsidR="007E68EA" w:rsidRPr="00967F86" w:rsidSect="00967F86">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E702" w14:textId="77777777" w:rsidR="00293F5B" w:rsidRDefault="00293F5B" w:rsidP="00967F86">
      <w:pPr>
        <w:spacing w:after="0" w:line="240" w:lineRule="auto"/>
      </w:pPr>
      <w:r>
        <w:separator/>
      </w:r>
    </w:p>
  </w:endnote>
  <w:endnote w:type="continuationSeparator" w:id="0">
    <w:p w14:paraId="71CD836F" w14:textId="77777777" w:rsidR="00293F5B" w:rsidRDefault="00293F5B" w:rsidP="0096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5797" w14:textId="77777777" w:rsidR="00293F5B" w:rsidRDefault="00293F5B" w:rsidP="00967F86">
      <w:pPr>
        <w:spacing w:after="0" w:line="240" w:lineRule="auto"/>
      </w:pPr>
      <w:r>
        <w:separator/>
      </w:r>
    </w:p>
  </w:footnote>
  <w:footnote w:type="continuationSeparator" w:id="0">
    <w:p w14:paraId="63537EA2" w14:textId="77777777" w:rsidR="00293F5B" w:rsidRDefault="00293F5B" w:rsidP="00967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B22"/>
    <w:multiLevelType w:val="hybridMultilevel"/>
    <w:tmpl w:val="3E6E67F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788623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EA"/>
    <w:rsid w:val="00035456"/>
    <w:rsid w:val="000A6294"/>
    <w:rsid w:val="000D0B04"/>
    <w:rsid w:val="001E4A33"/>
    <w:rsid w:val="00224646"/>
    <w:rsid w:val="00293F5B"/>
    <w:rsid w:val="004E7DED"/>
    <w:rsid w:val="00514410"/>
    <w:rsid w:val="005A2F1A"/>
    <w:rsid w:val="006C09ED"/>
    <w:rsid w:val="00745E74"/>
    <w:rsid w:val="0077388A"/>
    <w:rsid w:val="007E68EA"/>
    <w:rsid w:val="008472FA"/>
    <w:rsid w:val="00967F86"/>
    <w:rsid w:val="00987AA8"/>
    <w:rsid w:val="009E25A2"/>
    <w:rsid w:val="00B2115B"/>
    <w:rsid w:val="00CD2755"/>
    <w:rsid w:val="00D1509C"/>
    <w:rsid w:val="00D4023D"/>
    <w:rsid w:val="00EC7A7C"/>
    <w:rsid w:val="00FC70FB"/>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6E10"/>
  <w15:chartTrackingRefBased/>
  <w15:docId w15:val="{0048F7DD-9082-41C4-9869-C757FF33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PH"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8EA"/>
    <w:pPr>
      <w:spacing w:after="200" w:line="276" w:lineRule="auto"/>
    </w:pPr>
    <w:rPr>
      <w:kern w:val="0"/>
      <w:sz w:val="22"/>
      <w:szCs w:val="22"/>
      <w:lang w:val="en-US" w:eastAsia="en-US" w:bidi="ar-SA"/>
      <w14:ligatures w14:val="none"/>
    </w:rPr>
  </w:style>
  <w:style w:type="paragraph" w:styleId="Heading1">
    <w:name w:val="heading 1"/>
    <w:basedOn w:val="Normal"/>
    <w:next w:val="Normal"/>
    <w:link w:val="Heading1Char"/>
    <w:uiPriority w:val="9"/>
    <w:qFormat/>
    <w:rsid w:val="007E68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val="en-PH" w:eastAsia="zh-CN" w:bidi="th-TH"/>
      <w14:ligatures w14:val="standardContextual"/>
    </w:rPr>
  </w:style>
  <w:style w:type="paragraph" w:styleId="Heading2">
    <w:name w:val="heading 2"/>
    <w:basedOn w:val="Normal"/>
    <w:next w:val="Normal"/>
    <w:link w:val="Heading2Char"/>
    <w:uiPriority w:val="9"/>
    <w:semiHidden/>
    <w:unhideWhenUsed/>
    <w:qFormat/>
    <w:rsid w:val="007E68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val="en-PH" w:eastAsia="zh-CN" w:bidi="th-TH"/>
      <w14:ligatures w14:val="standardContextual"/>
    </w:rPr>
  </w:style>
  <w:style w:type="paragraph" w:styleId="Heading3">
    <w:name w:val="heading 3"/>
    <w:basedOn w:val="Normal"/>
    <w:next w:val="Normal"/>
    <w:link w:val="Heading3Char"/>
    <w:uiPriority w:val="9"/>
    <w:semiHidden/>
    <w:unhideWhenUsed/>
    <w:qFormat/>
    <w:rsid w:val="007E68EA"/>
    <w:pPr>
      <w:keepNext/>
      <w:keepLines/>
      <w:spacing w:before="160" w:after="80" w:line="278" w:lineRule="auto"/>
      <w:outlineLvl w:val="2"/>
    </w:pPr>
    <w:rPr>
      <w:rFonts w:eastAsiaTheme="majorEastAsia" w:cstheme="majorBidi"/>
      <w:color w:val="0F4761" w:themeColor="accent1" w:themeShade="BF"/>
      <w:kern w:val="2"/>
      <w:sz w:val="28"/>
      <w:szCs w:val="35"/>
      <w:lang w:val="en-PH" w:eastAsia="zh-CN" w:bidi="th-TH"/>
      <w14:ligatures w14:val="standardContextual"/>
    </w:rPr>
  </w:style>
  <w:style w:type="paragraph" w:styleId="Heading4">
    <w:name w:val="heading 4"/>
    <w:basedOn w:val="Normal"/>
    <w:next w:val="Normal"/>
    <w:link w:val="Heading4Char"/>
    <w:uiPriority w:val="9"/>
    <w:semiHidden/>
    <w:unhideWhenUsed/>
    <w:qFormat/>
    <w:rsid w:val="007E68EA"/>
    <w:pPr>
      <w:keepNext/>
      <w:keepLines/>
      <w:spacing w:before="80" w:after="40" w:line="278" w:lineRule="auto"/>
      <w:outlineLvl w:val="3"/>
    </w:pPr>
    <w:rPr>
      <w:rFonts w:eastAsiaTheme="majorEastAsia" w:cstheme="majorBidi"/>
      <w:i/>
      <w:iCs/>
      <w:color w:val="0F4761" w:themeColor="accent1" w:themeShade="BF"/>
      <w:kern w:val="2"/>
      <w:sz w:val="24"/>
      <w:szCs w:val="30"/>
      <w:lang w:val="en-PH" w:eastAsia="zh-CN" w:bidi="th-TH"/>
      <w14:ligatures w14:val="standardContextual"/>
    </w:rPr>
  </w:style>
  <w:style w:type="paragraph" w:styleId="Heading5">
    <w:name w:val="heading 5"/>
    <w:basedOn w:val="Normal"/>
    <w:next w:val="Normal"/>
    <w:link w:val="Heading5Char"/>
    <w:uiPriority w:val="9"/>
    <w:semiHidden/>
    <w:unhideWhenUsed/>
    <w:qFormat/>
    <w:rsid w:val="007E68EA"/>
    <w:pPr>
      <w:keepNext/>
      <w:keepLines/>
      <w:spacing w:before="80" w:after="40" w:line="278" w:lineRule="auto"/>
      <w:outlineLvl w:val="4"/>
    </w:pPr>
    <w:rPr>
      <w:rFonts w:eastAsiaTheme="majorEastAsia" w:cstheme="majorBidi"/>
      <w:color w:val="0F4761" w:themeColor="accent1" w:themeShade="BF"/>
      <w:kern w:val="2"/>
      <w:sz w:val="24"/>
      <w:szCs w:val="30"/>
      <w:lang w:val="en-PH" w:eastAsia="zh-CN" w:bidi="th-TH"/>
      <w14:ligatures w14:val="standardContextual"/>
    </w:rPr>
  </w:style>
  <w:style w:type="paragraph" w:styleId="Heading6">
    <w:name w:val="heading 6"/>
    <w:basedOn w:val="Normal"/>
    <w:next w:val="Normal"/>
    <w:link w:val="Heading6Char"/>
    <w:uiPriority w:val="9"/>
    <w:semiHidden/>
    <w:unhideWhenUsed/>
    <w:qFormat/>
    <w:rsid w:val="007E68EA"/>
    <w:pPr>
      <w:keepNext/>
      <w:keepLines/>
      <w:spacing w:before="40" w:after="0" w:line="278" w:lineRule="auto"/>
      <w:outlineLvl w:val="5"/>
    </w:pPr>
    <w:rPr>
      <w:rFonts w:eastAsiaTheme="majorEastAsia" w:cstheme="majorBidi"/>
      <w:i/>
      <w:iCs/>
      <w:color w:val="595959" w:themeColor="text1" w:themeTint="A6"/>
      <w:kern w:val="2"/>
      <w:sz w:val="24"/>
      <w:szCs w:val="30"/>
      <w:lang w:val="en-PH" w:eastAsia="zh-CN" w:bidi="th-TH"/>
      <w14:ligatures w14:val="standardContextual"/>
    </w:rPr>
  </w:style>
  <w:style w:type="paragraph" w:styleId="Heading7">
    <w:name w:val="heading 7"/>
    <w:basedOn w:val="Normal"/>
    <w:next w:val="Normal"/>
    <w:link w:val="Heading7Char"/>
    <w:uiPriority w:val="9"/>
    <w:semiHidden/>
    <w:unhideWhenUsed/>
    <w:qFormat/>
    <w:rsid w:val="007E68EA"/>
    <w:pPr>
      <w:keepNext/>
      <w:keepLines/>
      <w:spacing w:before="40" w:after="0" w:line="278" w:lineRule="auto"/>
      <w:outlineLvl w:val="6"/>
    </w:pPr>
    <w:rPr>
      <w:rFonts w:eastAsiaTheme="majorEastAsia" w:cstheme="majorBidi"/>
      <w:color w:val="595959" w:themeColor="text1" w:themeTint="A6"/>
      <w:kern w:val="2"/>
      <w:sz w:val="24"/>
      <w:szCs w:val="30"/>
      <w:lang w:val="en-PH" w:eastAsia="zh-CN" w:bidi="th-TH"/>
      <w14:ligatures w14:val="standardContextual"/>
    </w:rPr>
  </w:style>
  <w:style w:type="paragraph" w:styleId="Heading8">
    <w:name w:val="heading 8"/>
    <w:basedOn w:val="Normal"/>
    <w:next w:val="Normal"/>
    <w:link w:val="Heading8Char"/>
    <w:uiPriority w:val="9"/>
    <w:semiHidden/>
    <w:unhideWhenUsed/>
    <w:qFormat/>
    <w:rsid w:val="007E68EA"/>
    <w:pPr>
      <w:keepNext/>
      <w:keepLines/>
      <w:spacing w:after="0" w:line="278" w:lineRule="auto"/>
      <w:outlineLvl w:val="7"/>
    </w:pPr>
    <w:rPr>
      <w:rFonts w:eastAsiaTheme="majorEastAsia" w:cstheme="majorBidi"/>
      <w:i/>
      <w:iCs/>
      <w:color w:val="272727" w:themeColor="text1" w:themeTint="D8"/>
      <w:kern w:val="2"/>
      <w:sz w:val="24"/>
      <w:szCs w:val="30"/>
      <w:lang w:val="en-PH" w:eastAsia="zh-CN" w:bidi="th-TH"/>
      <w14:ligatures w14:val="standardContextual"/>
    </w:rPr>
  </w:style>
  <w:style w:type="paragraph" w:styleId="Heading9">
    <w:name w:val="heading 9"/>
    <w:basedOn w:val="Normal"/>
    <w:next w:val="Normal"/>
    <w:link w:val="Heading9Char"/>
    <w:uiPriority w:val="9"/>
    <w:semiHidden/>
    <w:unhideWhenUsed/>
    <w:qFormat/>
    <w:rsid w:val="007E68EA"/>
    <w:pPr>
      <w:keepNext/>
      <w:keepLines/>
      <w:spacing w:after="0" w:line="278" w:lineRule="auto"/>
      <w:outlineLvl w:val="8"/>
    </w:pPr>
    <w:rPr>
      <w:rFonts w:eastAsiaTheme="majorEastAsia" w:cstheme="majorBidi"/>
      <w:color w:val="272727" w:themeColor="text1" w:themeTint="D8"/>
      <w:kern w:val="2"/>
      <w:sz w:val="24"/>
      <w:szCs w:val="30"/>
      <w:lang w:val="en-PH" w:eastAsia="zh-CN" w:bidi="th-TH"/>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8E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E68E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E68E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68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8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8EA"/>
    <w:rPr>
      <w:rFonts w:eastAsiaTheme="majorEastAsia" w:cstheme="majorBidi"/>
      <w:color w:val="272727" w:themeColor="text1" w:themeTint="D8"/>
    </w:rPr>
  </w:style>
  <w:style w:type="paragraph" w:styleId="Title">
    <w:name w:val="Title"/>
    <w:basedOn w:val="Normal"/>
    <w:next w:val="Normal"/>
    <w:link w:val="TitleChar"/>
    <w:uiPriority w:val="10"/>
    <w:qFormat/>
    <w:rsid w:val="007E68EA"/>
    <w:pPr>
      <w:spacing w:after="80" w:line="240" w:lineRule="auto"/>
      <w:contextualSpacing/>
    </w:pPr>
    <w:rPr>
      <w:rFonts w:asciiTheme="majorHAnsi" w:eastAsiaTheme="majorEastAsia" w:hAnsiTheme="majorHAnsi" w:cstheme="majorBidi"/>
      <w:spacing w:val="-10"/>
      <w:kern w:val="28"/>
      <w:sz w:val="56"/>
      <w:szCs w:val="71"/>
      <w:lang w:val="en-PH" w:eastAsia="zh-CN" w:bidi="th-TH"/>
      <w14:ligatures w14:val="standardContextual"/>
    </w:rPr>
  </w:style>
  <w:style w:type="character" w:customStyle="1" w:styleId="TitleChar">
    <w:name w:val="Title Char"/>
    <w:basedOn w:val="DefaultParagraphFont"/>
    <w:link w:val="Title"/>
    <w:uiPriority w:val="10"/>
    <w:rsid w:val="007E68E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68EA"/>
    <w:pPr>
      <w:numPr>
        <w:ilvl w:val="1"/>
      </w:numPr>
      <w:spacing w:after="160" w:line="278" w:lineRule="auto"/>
    </w:pPr>
    <w:rPr>
      <w:rFonts w:eastAsiaTheme="majorEastAsia" w:cstheme="majorBidi"/>
      <w:color w:val="595959" w:themeColor="text1" w:themeTint="A6"/>
      <w:spacing w:val="15"/>
      <w:kern w:val="2"/>
      <w:sz w:val="28"/>
      <w:szCs w:val="35"/>
      <w:lang w:val="en-PH" w:eastAsia="zh-CN" w:bidi="th-TH"/>
      <w14:ligatures w14:val="standardContextual"/>
    </w:rPr>
  </w:style>
  <w:style w:type="character" w:customStyle="1" w:styleId="SubtitleChar">
    <w:name w:val="Subtitle Char"/>
    <w:basedOn w:val="DefaultParagraphFont"/>
    <w:link w:val="Subtitle"/>
    <w:uiPriority w:val="11"/>
    <w:rsid w:val="007E68E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68EA"/>
    <w:pPr>
      <w:spacing w:before="160" w:after="160" w:line="278" w:lineRule="auto"/>
      <w:jc w:val="center"/>
    </w:pPr>
    <w:rPr>
      <w:i/>
      <w:iCs/>
      <w:color w:val="404040" w:themeColor="text1" w:themeTint="BF"/>
      <w:kern w:val="2"/>
      <w:sz w:val="24"/>
      <w:szCs w:val="30"/>
      <w:lang w:val="en-PH" w:eastAsia="zh-CN" w:bidi="th-TH"/>
      <w14:ligatures w14:val="standardContextual"/>
    </w:rPr>
  </w:style>
  <w:style w:type="character" w:customStyle="1" w:styleId="QuoteChar">
    <w:name w:val="Quote Char"/>
    <w:basedOn w:val="DefaultParagraphFont"/>
    <w:link w:val="Quote"/>
    <w:uiPriority w:val="29"/>
    <w:rsid w:val="007E68EA"/>
    <w:rPr>
      <w:i/>
      <w:iCs/>
      <w:color w:val="404040" w:themeColor="text1" w:themeTint="BF"/>
    </w:rPr>
  </w:style>
  <w:style w:type="paragraph" w:styleId="ListParagraph">
    <w:name w:val="List Paragraph"/>
    <w:basedOn w:val="Normal"/>
    <w:uiPriority w:val="34"/>
    <w:qFormat/>
    <w:rsid w:val="007E68EA"/>
    <w:pPr>
      <w:spacing w:after="160" w:line="278" w:lineRule="auto"/>
      <w:ind w:left="720"/>
      <w:contextualSpacing/>
    </w:pPr>
    <w:rPr>
      <w:kern w:val="2"/>
      <w:sz w:val="24"/>
      <w:szCs w:val="30"/>
      <w:lang w:val="en-PH" w:eastAsia="zh-CN" w:bidi="th-TH"/>
      <w14:ligatures w14:val="standardContextual"/>
    </w:rPr>
  </w:style>
  <w:style w:type="character" w:styleId="IntenseEmphasis">
    <w:name w:val="Intense Emphasis"/>
    <w:basedOn w:val="DefaultParagraphFont"/>
    <w:uiPriority w:val="21"/>
    <w:qFormat/>
    <w:rsid w:val="007E68EA"/>
    <w:rPr>
      <w:i/>
      <w:iCs/>
      <w:color w:val="0F4761" w:themeColor="accent1" w:themeShade="BF"/>
    </w:rPr>
  </w:style>
  <w:style w:type="paragraph" w:styleId="IntenseQuote">
    <w:name w:val="Intense Quote"/>
    <w:basedOn w:val="Normal"/>
    <w:next w:val="Normal"/>
    <w:link w:val="IntenseQuoteChar"/>
    <w:uiPriority w:val="30"/>
    <w:qFormat/>
    <w:rsid w:val="007E68E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30"/>
      <w:lang w:val="en-PH" w:eastAsia="zh-CN" w:bidi="th-TH"/>
      <w14:ligatures w14:val="standardContextual"/>
    </w:rPr>
  </w:style>
  <w:style w:type="character" w:customStyle="1" w:styleId="IntenseQuoteChar">
    <w:name w:val="Intense Quote Char"/>
    <w:basedOn w:val="DefaultParagraphFont"/>
    <w:link w:val="IntenseQuote"/>
    <w:uiPriority w:val="30"/>
    <w:rsid w:val="007E68EA"/>
    <w:rPr>
      <w:i/>
      <w:iCs/>
      <w:color w:val="0F4761" w:themeColor="accent1" w:themeShade="BF"/>
    </w:rPr>
  </w:style>
  <w:style w:type="character" w:styleId="IntenseReference">
    <w:name w:val="Intense Reference"/>
    <w:basedOn w:val="DefaultParagraphFont"/>
    <w:uiPriority w:val="32"/>
    <w:qFormat/>
    <w:rsid w:val="007E68EA"/>
    <w:rPr>
      <w:b/>
      <w:bCs/>
      <w:smallCaps/>
      <w:color w:val="0F4761" w:themeColor="accent1" w:themeShade="BF"/>
      <w:spacing w:val="5"/>
    </w:rPr>
  </w:style>
  <w:style w:type="paragraph" w:styleId="NoSpacing">
    <w:name w:val="No Spacing"/>
    <w:uiPriority w:val="1"/>
    <w:qFormat/>
    <w:rsid w:val="007E68EA"/>
    <w:pPr>
      <w:spacing w:after="0" w:line="240" w:lineRule="auto"/>
    </w:pPr>
    <w:rPr>
      <w:kern w:val="0"/>
      <w:sz w:val="22"/>
      <w:szCs w:val="22"/>
      <w:lang w:val="en-US" w:eastAsia="en-US" w:bidi="ar-SA"/>
      <w14:ligatures w14:val="none"/>
    </w:rPr>
  </w:style>
  <w:style w:type="character" w:styleId="Hyperlink">
    <w:name w:val="Hyperlink"/>
    <w:basedOn w:val="DefaultParagraphFont"/>
    <w:uiPriority w:val="99"/>
    <w:unhideWhenUsed/>
    <w:rsid w:val="007E68EA"/>
    <w:rPr>
      <w:color w:val="467886" w:themeColor="hyperlink"/>
      <w:u w:val="single"/>
    </w:rPr>
  </w:style>
  <w:style w:type="character" w:styleId="UnresolvedMention">
    <w:name w:val="Unresolved Mention"/>
    <w:basedOn w:val="DefaultParagraphFont"/>
    <w:uiPriority w:val="99"/>
    <w:semiHidden/>
    <w:unhideWhenUsed/>
    <w:rsid w:val="00FC70FB"/>
    <w:rPr>
      <w:color w:val="605E5C"/>
      <w:shd w:val="clear" w:color="auto" w:fill="E1DFDD"/>
    </w:rPr>
  </w:style>
  <w:style w:type="paragraph" w:styleId="NormalWeb">
    <w:name w:val="Normal (Web)"/>
    <w:basedOn w:val="Normal"/>
    <w:uiPriority w:val="99"/>
    <w:unhideWhenUsed/>
    <w:rsid w:val="00D4023D"/>
    <w:rPr>
      <w:rFonts w:ascii="Times New Roman" w:hAnsi="Times New Roman" w:cs="Times New Roman"/>
      <w:sz w:val="24"/>
      <w:szCs w:val="24"/>
    </w:rPr>
  </w:style>
  <w:style w:type="paragraph" w:styleId="Header">
    <w:name w:val="header"/>
    <w:basedOn w:val="Normal"/>
    <w:link w:val="HeaderChar"/>
    <w:uiPriority w:val="99"/>
    <w:unhideWhenUsed/>
    <w:rsid w:val="00967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F86"/>
    <w:rPr>
      <w:kern w:val="0"/>
      <w:sz w:val="22"/>
      <w:szCs w:val="22"/>
      <w:lang w:val="en-US" w:eastAsia="en-US" w:bidi="ar-SA"/>
      <w14:ligatures w14:val="none"/>
    </w:rPr>
  </w:style>
  <w:style w:type="paragraph" w:styleId="Footer">
    <w:name w:val="footer"/>
    <w:basedOn w:val="Normal"/>
    <w:link w:val="FooterChar"/>
    <w:uiPriority w:val="99"/>
    <w:unhideWhenUsed/>
    <w:rsid w:val="00967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F86"/>
    <w:rPr>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lawphil.net/statutes/repacts/ra2010/ra_9994_2010.html" TargetMode="External"/><Relationship Id="rId18" Type="http://schemas.openxmlformats.org/officeDocument/2006/relationships/hyperlink" Target="https://www.nice.org.uk/guidance" TargetMode="External"/><Relationship Id="rId3" Type="http://schemas.openxmlformats.org/officeDocument/2006/relationships/settings" Target="settings.xml"/><Relationship Id="rId21" Type="http://schemas.openxmlformats.org/officeDocument/2006/relationships/hyperlink" Target="https://population.un.org/wpp/" TargetMode="External"/><Relationship Id="rId7" Type="http://schemas.openxmlformats.org/officeDocument/2006/relationships/image" Target="media/image1.emf"/><Relationship Id="rId12" Type="http://schemas.openxmlformats.org/officeDocument/2006/relationships/hyperlink" Target="https://doi.org/10.1191/1478088706qp063oa" TargetMode="External"/><Relationship Id="rId17" Type="http://schemas.openxmlformats.org/officeDocument/2006/relationships/hyperlink" Target="https://doi.org/10.1108/014433312112807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hlw.go.jp/english/" TargetMode="External"/><Relationship Id="rId20" Type="http://schemas.openxmlformats.org/officeDocument/2006/relationships/hyperlink" Target="https://population.un.org/wpp/Public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jopart/mum032"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86/222355" TargetMode="External"/><Relationship Id="rId23" Type="http://schemas.openxmlformats.org/officeDocument/2006/relationships/hyperlink" Target="https://www.who.int/publications/i/item/9789240017900" TargetMode="External"/><Relationship Id="rId10" Type="http://schemas.openxmlformats.org/officeDocument/2006/relationships/image" Target="media/image4.png"/><Relationship Id="rId19" Type="http://schemas.openxmlformats.org/officeDocument/2006/relationships/hyperlink" Target="https://psa.gov.ph/"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8356/15643926" TargetMode="External"/><Relationship Id="rId22" Type="http://schemas.openxmlformats.org/officeDocument/2006/relationships/hyperlink" Target="https://apps.who.int/iris/handle/10665/186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1569</TotalTime>
  <Pages>13</Pages>
  <Words>7273</Words>
  <Characters>39785</Characters>
  <Application>Microsoft Office Word</Application>
  <DocSecurity>0</DocSecurity>
  <Lines>1326</Lines>
  <Paragraphs>1344</Paragraphs>
  <ScaleCrop>false</ScaleCrop>
  <Company/>
  <LinksUpToDate>false</LinksUpToDate>
  <CharactersWithSpaces>45714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Frenchmel Cadayona</dc:creator>
  <cp:keywords/>
  <dc:description/>
  <cp:lastModifiedBy>Frenchmel Cadayona</cp:lastModifiedBy>
  <cp:revision>6</cp:revision>
  <cp:lastPrinted>2026-04-15T15:30:00Z</cp:lastPrinted>
  <dcterms:created xsi:type="dcterms:W3CDTF">2026-04-14T13:03:00Z</dcterms:created>
  <dcterms:modified xsi:type="dcterms:W3CDTF">2026-04-15T17:46:00Z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2c7f4146-b0bb-46c6-8240-1eaa7875c0de</vt:lpwstr>
  </property>
</Properties>
</file>