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2A141" w14:textId="5C0F4CA8" w:rsidR="00365E05" w:rsidRDefault="00365E05" w:rsidP="00C763D9">
      <w:pPr>
        <w:jc w:val="center"/>
        <w:rPr>
          <w:b/>
          <w:bCs/>
          <w:i/>
          <w:iCs/>
        </w:rPr>
      </w:pPr>
      <w:r w:rsidRPr="00365E05">
        <w:rPr>
          <w:b/>
          <w:bCs/>
        </w:rPr>
        <w:t>Plant Tissue Culture Strategies for Sustainable Conservation of</w:t>
      </w:r>
      <w:r w:rsidR="000419CF">
        <w:t xml:space="preserve"> </w:t>
      </w:r>
      <w:r w:rsidRPr="00365E05">
        <w:rPr>
          <w:b/>
          <w:bCs/>
          <w:i/>
          <w:iCs/>
        </w:rPr>
        <w:t xml:space="preserve">Zanthoxylum </w:t>
      </w:r>
      <w:proofErr w:type="spellStart"/>
      <w:r w:rsidRPr="00365E05">
        <w:rPr>
          <w:b/>
          <w:bCs/>
          <w:i/>
          <w:iCs/>
        </w:rPr>
        <w:t>zanthoxyloides</w:t>
      </w:r>
      <w:proofErr w:type="spellEnd"/>
      <w:r w:rsidRPr="00365E05">
        <w:rPr>
          <w:b/>
          <w:bCs/>
        </w:rPr>
        <w:t xml:space="preserve"> (Lam.) </w:t>
      </w:r>
      <w:proofErr w:type="spellStart"/>
      <w:r w:rsidRPr="00365E05">
        <w:rPr>
          <w:b/>
          <w:bCs/>
        </w:rPr>
        <w:t>Zepern</w:t>
      </w:r>
      <w:proofErr w:type="spellEnd"/>
      <w:r w:rsidRPr="00365E05">
        <w:rPr>
          <w:b/>
          <w:bCs/>
        </w:rPr>
        <w:t xml:space="preserve">. &amp; </w:t>
      </w:r>
      <w:proofErr w:type="spellStart"/>
      <w:r w:rsidRPr="00365E05">
        <w:rPr>
          <w:b/>
          <w:bCs/>
        </w:rPr>
        <w:t>Timler</w:t>
      </w:r>
      <w:proofErr w:type="spellEnd"/>
      <w:r w:rsidRPr="00365E05">
        <w:rPr>
          <w:b/>
          <w:bCs/>
        </w:rPr>
        <w:t xml:space="preserve"> in Nigeria:</w:t>
      </w:r>
      <w:r w:rsidR="000419CF">
        <w:t xml:space="preserve"> </w:t>
      </w:r>
      <w:r w:rsidR="008B0A9E">
        <w:rPr>
          <w:b/>
          <w:bCs/>
          <w:i/>
          <w:iCs/>
        </w:rPr>
        <w:t>A systematic Review</w:t>
      </w:r>
    </w:p>
    <w:p w14:paraId="51FCB560" w14:textId="77777777" w:rsidR="00C763D9" w:rsidRPr="00365E05" w:rsidRDefault="00C763D9" w:rsidP="00C763D9">
      <w:pPr>
        <w:jc w:val="center"/>
      </w:pPr>
    </w:p>
    <w:p w14:paraId="28762011" w14:textId="54187FEB" w:rsidR="00C763D9" w:rsidRPr="00C763D9" w:rsidRDefault="00C763D9" w:rsidP="00C763D9">
      <w:pPr>
        <w:jc w:val="center"/>
      </w:pPr>
      <w:r>
        <w:t/>
      </w:r>
      <w:proofErr w:type="spellStart"/>
      <w:r w:rsidRPr="00C763D9">
        <w:t/>
      </w:r>
      <w:proofErr w:type="spellEnd"/>
      <w:r>
        <w:t xml:space="preserve"/>
      </w:r>
      <w:r w:rsidRPr="00C763D9">
        <w:t/>
      </w:r>
      <w:r>
        <w:t xml:space="preserve"/>
      </w:r>
      <w:r w:rsidRPr="00C763D9">
        <w:t xml:space="preserve"/>
      </w:r>
      <w:proofErr w:type="spellStart"/>
      <w:r w:rsidRPr="00C763D9">
        <w:t/>
      </w:r>
      <w:proofErr w:type="spellEnd"/>
      <w:r w:rsidRPr="00C763D9">
        <w:t/>
      </w:r>
      <w:r w:rsidRPr="00C763D9">
        <w:t xml:space="preserve"/>
      </w:r>
      <w:proofErr w:type="spellStart"/>
      <w:r w:rsidRPr="00C763D9">
        <w:t/>
      </w:r>
      <w:proofErr w:type="spellEnd"/>
      <w:r>
        <w:t xml:space="preserve"/>
      </w:r>
      <w:r w:rsidRPr="00C763D9">
        <w:t/>
      </w:r>
      <w:r>
        <w:t/>
      </w:r>
      <w:r w:rsidRPr="00C763D9">
        <w:t xml:space="preserve"/>
      </w:r>
    </w:p>
    <w:p w14:paraId="56B90471" w14:textId="0BC08A50" w:rsidR="00C763D9" w:rsidRPr="00C763D9" w:rsidRDefault="00C763D9" w:rsidP="00C763D9">
      <w:pPr>
        <w:jc w:val="center"/>
      </w:pPr>
      <w:r w:rsidRPr="00C763D9">
        <w:t/>
      </w:r>
    </w:p>
    <w:p w14:paraId="3AD48229" w14:textId="12EC3BD8" w:rsidR="00365E05" w:rsidRPr="00C763D9" w:rsidRDefault="00C763D9" w:rsidP="00C763D9">
      <w:pPr>
        <w:jc w:val="center"/>
      </w:pPr>
      <w:r w:rsidRPr="00C763D9">
        <w:t/>
      </w:r>
    </w:p>
    <w:p w14:paraId="059228B4" w14:textId="77777777" w:rsidR="00365E05" w:rsidRPr="00365E05" w:rsidRDefault="00365E05" w:rsidP="002719B2">
      <w:pPr>
        <w:jc w:val="both"/>
        <w:rPr>
          <w:b/>
          <w:bCs/>
        </w:rPr>
      </w:pPr>
      <w:r w:rsidRPr="00365E05">
        <w:rPr>
          <w:b/>
          <w:bCs/>
        </w:rPr>
        <w:t>Abstract</w:t>
      </w:r>
    </w:p>
    <w:p w14:paraId="379058FD" w14:textId="37B2B515" w:rsidR="002845FE" w:rsidRDefault="002845FE" w:rsidP="002719B2">
      <w:pPr>
        <w:jc w:val="both"/>
      </w:pPr>
    </w:p>
    <w:p w14:paraId="29B3EB1E" w14:textId="72F16248" w:rsidR="002845FE" w:rsidRDefault="002845FE" w:rsidP="002719B2">
      <w:pPr>
        <w:jc w:val="both"/>
      </w:pPr>
      <w:r w:rsidRPr="002845FE">
        <w:t xml:space="preserve">Zanthoxylum </w:t>
      </w:r>
      <w:proofErr w:type="spellStart"/>
      <w:r w:rsidRPr="002845FE">
        <w:t>zanthoxyloides</w:t>
      </w:r>
      <w:proofErr w:type="spellEnd"/>
      <w:r w:rsidRPr="002845FE">
        <w:t xml:space="preserve"> (Lam.) </w:t>
      </w:r>
      <w:proofErr w:type="spellStart"/>
      <w:r w:rsidRPr="002845FE">
        <w:t>Zepern</w:t>
      </w:r>
      <w:proofErr w:type="spellEnd"/>
      <w:r w:rsidRPr="002845FE">
        <w:t xml:space="preserve">. &amp; </w:t>
      </w:r>
      <w:proofErr w:type="spellStart"/>
      <w:r w:rsidRPr="002845FE">
        <w:t>Timler</w:t>
      </w:r>
      <w:proofErr w:type="spellEnd"/>
      <w:r w:rsidRPr="002845FE">
        <w:t xml:space="preserve"> (</w:t>
      </w:r>
      <w:proofErr w:type="spellStart"/>
      <w:r w:rsidRPr="002845FE">
        <w:t>Rutaceae</w:t>
      </w:r>
      <w:proofErr w:type="spellEnd"/>
      <w:r w:rsidRPr="002845FE">
        <w:t xml:space="preserve">), also called the African prickly ash or Senegal prickly ash is one of the most ethnobotanically and pharmacologically important medicinal trees of sub-Saharan Africa. In Nigeria it is used in various areas of therapy, such as antimicrobial, analgesic, antipyretic and anticancer therapies, and is part of the primary health care of many traditional populations. Although the species has socioeconomic and ecological significance, it is declining at a rate that is accelerating due to uncontrolled harvesting, substantial habitat fragmentation, forest clearance, and slow recalcitrance of its seeds which makes the conventional ex situ storage process nearly useless. Plant tissue culture (PTC) provides a scientifically sound, scalable and economical platform to overcome these conservation deficits. This is a review article that systematically assesses the entire range of in vitro methods that can be employed in the conservation of Z. </w:t>
      </w:r>
      <w:proofErr w:type="spellStart"/>
      <w:r w:rsidRPr="002845FE">
        <w:t>zanthoxyloides</w:t>
      </w:r>
      <w:proofErr w:type="spellEnd"/>
      <w:r w:rsidRPr="002845FE">
        <w:t xml:space="preserve">, which include seed </w:t>
      </w:r>
      <w:proofErr w:type="spellStart"/>
      <w:r w:rsidRPr="002845FE">
        <w:t>sterilisation</w:t>
      </w:r>
      <w:proofErr w:type="spellEnd"/>
      <w:r w:rsidRPr="002845FE">
        <w:t xml:space="preserve"> and germination stimulation, callus growth and organogenesis, somatic embryogenesis, micropropagation through axillary shoot development, synthetic seed technology, and cryopreservation, with specific reference to vitrification and encapsulation-</w:t>
      </w:r>
      <w:proofErr w:type="spellStart"/>
      <w:r w:rsidRPr="002845FE">
        <w:t>dehydr</w:t>
      </w:r>
      <w:proofErr w:type="spellEnd"/>
      <w:r w:rsidRPr="002845FE">
        <w:t xml:space="preserve"> The review critically evaluates the corresponding literature of the genus Zanthoxylum and the larger family </w:t>
      </w:r>
      <w:proofErr w:type="spellStart"/>
      <w:r w:rsidRPr="002845FE">
        <w:t>Rutaceae</w:t>
      </w:r>
      <w:proofErr w:type="spellEnd"/>
      <w:r w:rsidRPr="002845FE">
        <w:t xml:space="preserve">, pinpoints important species-specific knowledge gaps, investigates the infrastructural and regulatory environment of implementation in Nigeria, and presents a </w:t>
      </w:r>
      <w:proofErr w:type="spellStart"/>
      <w:r w:rsidRPr="002845FE">
        <w:t>prioritised</w:t>
      </w:r>
      <w:proofErr w:type="spellEnd"/>
      <w:r w:rsidRPr="002845FE">
        <w:t xml:space="preserve"> ten-year research agenda. We claim that conservation of this species in the long-term requires the combination of in vitro procedures and molecular </w:t>
      </w:r>
      <w:proofErr w:type="spellStart"/>
      <w:r w:rsidRPr="002845FE">
        <w:t>characterisation</w:t>
      </w:r>
      <w:proofErr w:type="spellEnd"/>
      <w:r w:rsidRPr="002845FE">
        <w:t>, community involvement and empowering policy change, and that this combination is scientifically feasible and a national imperative.</w:t>
      </w:r>
    </w:p>
    <w:p w14:paraId="782B6879" w14:textId="77777777" w:rsidR="000419CF" w:rsidRDefault="000419CF" w:rsidP="002719B2">
      <w:pPr>
        <w:jc w:val="both"/>
      </w:pPr>
    </w:p>
    <w:p w14:paraId="2FB61D90" w14:textId="2D24CF24" w:rsidR="000419CF" w:rsidRPr="000419CF" w:rsidRDefault="000419CF" w:rsidP="002719B2">
      <w:pPr>
        <w:jc w:val="both"/>
      </w:pPr>
      <w:r w:rsidRPr="000419CF">
        <w:rPr>
          <w:b/>
          <w:bCs/>
        </w:rPr>
        <w:t xml:space="preserve">Keywords: </w:t>
      </w:r>
      <w:r w:rsidRPr="000419CF">
        <w:rPr>
          <w:i/>
          <w:iCs/>
        </w:rPr>
        <w:t xml:space="preserve">cryopreservation; micropropagation; recalcitrant seeds; </w:t>
      </w:r>
      <w:proofErr w:type="spellStart"/>
      <w:r w:rsidRPr="000419CF">
        <w:rPr>
          <w:i/>
          <w:iCs/>
        </w:rPr>
        <w:t>Rutaceae</w:t>
      </w:r>
      <w:proofErr w:type="spellEnd"/>
      <w:r w:rsidRPr="000419CF">
        <w:rPr>
          <w:i/>
          <w:iCs/>
        </w:rPr>
        <w:t>; somatic embryogenesis; traditional medicine; ex situ conservation; Nigeria</w:t>
      </w:r>
    </w:p>
    <w:p w14:paraId="7AED5FE1" w14:textId="77777777" w:rsidR="00365E05" w:rsidRPr="00365E05" w:rsidRDefault="00365E05" w:rsidP="002719B2">
      <w:pPr>
        <w:jc w:val="both"/>
      </w:pPr>
    </w:p>
    <w:p w14:paraId="7F842BE0" w14:textId="77777777" w:rsidR="00365E05" w:rsidRPr="00365E05" w:rsidRDefault="00365E05" w:rsidP="002719B2">
      <w:pPr>
        <w:jc w:val="both"/>
        <w:rPr>
          <w:b/>
          <w:bCs/>
        </w:rPr>
      </w:pPr>
      <w:r w:rsidRPr="00365E05">
        <w:rPr>
          <w:b/>
          <w:bCs/>
        </w:rPr>
        <w:t>1. Introduction</w:t>
      </w:r>
    </w:p>
    <w:p w14:paraId="0C943B5F" w14:textId="77777777" w:rsidR="00365E05" w:rsidRPr="00365E05" w:rsidRDefault="00365E05" w:rsidP="002719B2">
      <w:pPr>
        <w:jc w:val="both"/>
        <w:rPr>
          <w:b/>
          <w:bCs/>
        </w:rPr>
      </w:pPr>
      <w:r w:rsidRPr="00365E05">
        <w:rPr>
          <w:b/>
          <w:bCs/>
        </w:rPr>
        <w:t>1.1 The Global Context of Medicinal Plant Conservation</w:t>
      </w:r>
    </w:p>
    <w:p w14:paraId="69CD76DB" w14:textId="77777777" w:rsidR="002845FE" w:rsidRDefault="002845FE" w:rsidP="002719B2">
      <w:pPr>
        <w:jc w:val="both"/>
      </w:pPr>
      <w:r>
        <w:t>Pharmacological basis of primary healthcare Pharmacological basis of primary healthcare in the world includes about 80 percent of the world population, and has been the point of origin of the discovery of many clinically approved pharmaceuticals (World Health Organization [WHO], 2019). Plant-derived medicines, particularly in response to increasing enthusiasm around natural therapeutics, growing population in the Global South, and the ongoing problem of antibiotic resistance, have experienced a significant increase in demand over the last twenty years (</w:t>
      </w:r>
      <w:proofErr w:type="spellStart"/>
      <w:r>
        <w:t>Lahlou</w:t>
      </w:r>
      <w:proofErr w:type="spellEnd"/>
      <w:r>
        <w:t xml:space="preserve">, 2013). Ironically, the popularity of medicinal plants as therapeutic resources is, in fact, one of the main reasons of their loss: overexploitation, frequently unsustainable and unregulated, has pushed many valuable taxa to local extinction, destroying biodiversity and the traditional knowledge, which relies on it (FAO, 2010; </w:t>
      </w:r>
      <w:proofErr w:type="spellStart"/>
      <w:r>
        <w:t>Moyo</w:t>
      </w:r>
      <w:proofErr w:type="spellEnd"/>
      <w:r>
        <w:t xml:space="preserve"> et al., 2015).</w:t>
      </w:r>
    </w:p>
    <w:p w14:paraId="0A55A9B2" w14:textId="24DC19AE" w:rsidR="002845FE" w:rsidRDefault="002845FE" w:rsidP="002719B2">
      <w:pPr>
        <w:jc w:val="both"/>
      </w:pPr>
      <w:r>
        <w:t>Tropical medicinal species have significant biological and logistical obstacles to conventional conservation measures such as seed banking and in situ conservation. Many economically valuable tropical trees bear recalcitrant seeds that are unable to survive the dehydration and low-temperature storage conditions that form the basis of orthodox seed banking (</w:t>
      </w:r>
      <w:proofErr w:type="spellStart"/>
      <w:r>
        <w:t>Berjak</w:t>
      </w:r>
      <w:proofErr w:type="spellEnd"/>
      <w:r>
        <w:t xml:space="preserve"> &amp; </w:t>
      </w:r>
      <w:proofErr w:type="spellStart"/>
      <w:r>
        <w:t>Pammenter</w:t>
      </w:r>
      <w:proofErr w:type="spellEnd"/>
      <w:r>
        <w:t xml:space="preserve">, 2008). Plant tissue culture has henceforth become an essential complementary </w:t>
      </w:r>
      <w:r>
        <w:lastRenderedPageBreak/>
        <w:t>approach, offering the ability to perform clonal propagation on a large scale, in vitro storage over time and cryogenic preservation of vegetative germplasm (Engelmann, 2011).</w:t>
      </w:r>
    </w:p>
    <w:p w14:paraId="77478A7D" w14:textId="0E98E0D6" w:rsidR="002845FE" w:rsidRDefault="002845FE" w:rsidP="002719B2">
      <w:pPr>
        <w:jc w:val="both"/>
      </w:pPr>
    </w:p>
    <w:p w14:paraId="19F63C4C" w14:textId="77777777" w:rsidR="002845FE" w:rsidRPr="00365E05" w:rsidRDefault="002845FE" w:rsidP="002719B2">
      <w:pPr>
        <w:jc w:val="both"/>
      </w:pPr>
    </w:p>
    <w:p w14:paraId="1E355595" w14:textId="77777777" w:rsidR="00365E05" w:rsidRPr="00365E05" w:rsidRDefault="00365E05" w:rsidP="002719B2">
      <w:pPr>
        <w:jc w:val="both"/>
        <w:rPr>
          <w:b/>
          <w:bCs/>
        </w:rPr>
      </w:pPr>
      <w:r w:rsidRPr="00365E05">
        <w:rPr>
          <w:b/>
          <w:bCs/>
        </w:rPr>
        <w:t xml:space="preserve">1.2 Zanthoxylum </w:t>
      </w:r>
      <w:proofErr w:type="spellStart"/>
      <w:r w:rsidRPr="00365E05">
        <w:rPr>
          <w:b/>
          <w:bCs/>
        </w:rPr>
        <w:t>zanthoxyloides</w:t>
      </w:r>
      <w:proofErr w:type="spellEnd"/>
      <w:r w:rsidRPr="00365E05">
        <w:rPr>
          <w:b/>
          <w:bCs/>
        </w:rPr>
        <w:t>: Significance and Threat Status</w:t>
      </w:r>
    </w:p>
    <w:p w14:paraId="1A4AC82F" w14:textId="77777777" w:rsidR="002845FE" w:rsidRDefault="002845FE" w:rsidP="002719B2">
      <w:pPr>
        <w:jc w:val="both"/>
      </w:pPr>
      <w:r>
        <w:t xml:space="preserve">Zanthoxylum </w:t>
      </w:r>
      <w:proofErr w:type="spellStart"/>
      <w:r>
        <w:t>zanthoxyloides</w:t>
      </w:r>
      <w:proofErr w:type="spellEnd"/>
      <w:r>
        <w:t xml:space="preserve"> (Lam.) </w:t>
      </w:r>
      <w:proofErr w:type="spellStart"/>
      <w:r>
        <w:t>Zepern</w:t>
      </w:r>
      <w:proofErr w:type="spellEnd"/>
      <w:r>
        <w:t xml:space="preserve">. &amp; </w:t>
      </w:r>
      <w:proofErr w:type="spellStart"/>
      <w:r>
        <w:t>Timler</w:t>
      </w:r>
      <w:proofErr w:type="spellEnd"/>
      <w:r>
        <w:t xml:space="preserve"> (family </w:t>
      </w:r>
      <w:proofErr w:type="spellStart"/>
      <w:r>
        <w:t>Rutaceae</w:t>
      </w:r>
      <w:proofErr w:type="spellEnd"/>
      <w:r>
        <w:t xml:space="preserve">, order Sapindales) is a spiny, aromatic shrub or small tree that is found throughout West and Central Africa, Senegal and Guinea-Bissau to the east to Nigeria and Sudan and Ethiopia (Plants of the World Online [POWO], 2023; </w:t>
      </w:r>
      <w:proofErr w:type="spellStart"/>
      <w:r>
        <w:t>Takhtajan</w:t>
      </w:r>
      <w:proofErr w:type="spellEnd"/>
      <w:r>
        <w:t xml:space="preserve">, 2009). The species can be found within the Guinea-Sudan savanna transition zone, the forest-savanna mosaic, and the lowland rainforest in Nigeria, where it inhabits the edge habitat, disturbed woodlands, and riparian corridors (Usman et al., 2018). The species has a wide range of informal names: Orin </w:t>
      </w:r>
      <w:proofErr w:type="spellStart"/>
      <w:r>
        <w:t>ata</w:t>
      </w:r>
      <w:proofErr w:type="spellEnd"/>
      <w:r>
        <w:t xml:space="preserve"> in Yoruba, Ata </w:t>
      </w:r>
      <w:proofErr w:type="spellStart"/>
      <w:r>
        <w:t>ohu</w:t>
      </w:r>
      <w:proofErr w:type="spellEnd"/>
      <w:r>
        <w:t xml:space="preserve"> in Igbo, and </w:t>
      </w:r>
      <w:proofErr w:type="spellStart"/>
      <w:r>
        <w:t>Taudar</w:t>
      </w:r>
      <w:proofErr w:type="spellEnd"/>
      <w:r>
        <w:t xml:space="preserve"> </w:t>
      </w:r>
      <w:proofErr w:type="spellStart"/>
      <w:r>
        <w:t>kurmii</w:t>
      </w:r>
      <w:proofErr w:type="spellEnd"/>
      <w:r>
        <w:t xml:space="preserve"> in Hausa, which show how well it has been incorporated into the culture of the major ethnic communities of Nigeria (</w:t>
      </w:r>
      <w:proofErr w:type="spellStart"/>
      <w:r>
        <w:t>Akinrinola</w:t>
      </w:r>
      <w:proofErr w:type="spellEnd"/>
      <w:r>
        <w:t xml:space="preserve"> &amp; Olawale, 2022).</w:t>
      </w:r>
    </w:p>
    <w:p w14:paraId="41EE7469" w14:textId="77777777" w:rsidR="002845FE" w:rsidRDefault="002845FE" w:rsidP="002719B2">
      <w:pPr>
        <w:jc w:val="both"/>
      </w:pPr>
      <w:r>
        <w:t>Much is known about the ethnomedicinal uses of this species. Its root bark, stem bark, leaves, and fruits are used in treating malaria, toothache, sickle cell crisis, sexually transmitted infections, rheumatic conditions, and skin diseases (</w:t>
      </w:r>
      <w:proofErr w:type="spellStart"/>
      <w:r>
        <w:t>Agbo</w:t>
      </w:r>
      <w:proofErr w:type="spellEnd"/>
      <w:r>
        <w:t xml:space="preserve"> et al., 2013; Chukwuma et al., 2015; </w:t>
      </w:r>
      <w:proofErr w:type="spellStart"/>
      <w:r>
        <w:t>Idu</w:t>
      </w:r>
      <w:proofErr w:type="spellEnd"/>
      <w:r>
        <w:t xml:space="preserve"> et al., 2010; Okeke and </w:t>
      </w:r>
      <w:proofErr w:type="spellStart"/>
      <w:r>
        <w:t>Elekwa</w:t>
      </w:r>
      <w:proofErr w:type="spellEnd"/>
      <w:r>
        <w:t xml:space="preserve">, 2006). A wide range of secondary metabolites, such as benzophenanthridine alkaloids (especially </w:t>
      </w:r>
      <w:proofErr w:type="spellStart"/>
      <w:r>
        <w:t>chelerythrine</w:t>
      </w:r>
      <w:proofErr w:type="spellEnd"/>
      <w:r>
        <w:t xml:space="preserve"> and </w:t>
      </w:r>
      <w:proofErr w:type="spellStart"/>
      <w:r>
        <w:t>fagaronine</w:t>
      </w:r>
      <w:proofErr w:type="spellEnd"/>
      <w:r>
        <w:t>), coumarins, flavonoids, lignans, terpenes, and essential oil compounds have been associated with these therapeutic activities (Andrade et al., 2021; Ezekwesili-</w:t>
      </w:r>
      <w:proofErr w:type="spellStart"/>
      <w:r>
        <w:t>Ofili</w:t>
      </w:r>
      <w:proofErr w:type="spellEnd"/>
      <w:r>
        <w:t xml:space="preserve"> and Okeke, 2019 </w:t>
      </w:r>
      <w:proofErr w:type="spellStart"/>
      <w:r>
        <w:t>Fagaronine</w:t>
      </w:r>
      <w:proofErr w:type="spellEnd"/>
      <w:r>
        <w:t xml:space="preserve">, specifically, has been drawing a long-term pharmaceutical interest due to its proven ability to act as a cytotoxic agent on </w:t>
      </w:r>
      <w:proofErr w:type="spellStart"/>
      <w:r>
        <w:t>leukaemia</w:t>
      </w:r>
      <w:proofErr w:type="spellEnd"/>
      <w:r>
        <w:t xml:space="preserve"> cell lines (Andrade et al., 2021).</w:t>
      </w:r>
    </w:p>
    <w:p w14:paraId="45C8A35F" w14:textId="73F4C8F7" w:rsidR="002845FE" w:rsidRDefault="002845FE" w:rsidP="002719B2">
      <w:pPr>
        <w:jc w:val="both"/>
      </w:pPr>
      <w:r>
        <w:t xml:space="preserve">Z. </w:t>
      </w:r>
      <w:proofErr w:type="spellStart"/>
      <w:r>
        <w:t>zanthoxyloides</w:t>
      </w:r>
      <w:proofErr w:type="spellEnd"/>
      <w:r>
        <w:t xml:space="preserve"> is experiencing mounting anthropogenic pressure despite the fact that it is quite important. Harvesting is largely destructive: the most commonly harvested areas are root bark and stem bark, the most commonly requested parts of traditional medicines and herbal markets, and are most often collected by cutting trees or ring-barking them, which is always lethal to the plant (</w:t>
      </w:r>
      <w:proofErr w:type="spellStart"/>
      <w:r>
        <w:t>Akinrinola</w:t>
      </w:r>
      <w:proofErr w:type="spellEnd"/>
      <w:r>
        <w:t xml:space="preserve"> &amp; Olawale, 2022; Oladele et al., 2013). This, along with fast turnover of savanna and forest ecosystems into agricultural plots and urbanization, has led to a significant shrinkage of wild populations in Nigeria (Usman et al., 2018). The species is yet to be formally evaluated and assessed by the IUCN Red List at the global level, which is also indicative of the systemic under-investment in African plant conservation assessments (IUCN, 2022). Nevertheless, several national surveys and field visits show that it has severely declined in most Nigerian states where it once was widespread (</w:t>
      </w:r>
      <w:proofErr w:type="spellStart"/>
      <w:r>
        <w:t>Akinrinola</w:t>
      </w:r>
      <w:proofErr w:type="spellEnd"/>
      <w:r>
        <w:t xml:space="preserve"> &amp; Olawale, 2022).</w:t>
      </w:r>
    </w:p>
    <w:p w14:paraId="39E52F45" w14:textId="77777777" w:rsidR="002845FE" w:rsidRPr="00365E05" w:rsidRDefault="002845FE" w:rsidP="002719B2">
      <w:pPr>
        <w:jc w:val="both"/>
      </w:pPr>
    </w:p>
    <w:p w14:paraId="4EFEBA7F" w14:textId="77777777" w:rsidR="00365E05" w:rsidRPr="00365E05" w:rsidRDefault="00365E05" w:rsidP="002719B2">
      <w:pPr>
        <w:jc w:val="both"/>
        <w:rPr>
          <w:b/>
          <w:bCs/>
        </w:rPr>
      </w:pPr>
      <w:r w:rsidRPr="00365E05">
        <w:rPr>
          <w:b/>
          <w:bCs/>
        </w:rPr>
        <w:t>1.3 The Seed Recalcitrance Problem</w:t>
      </w:r>
    </w:p>
    <w:p w14:paraId="305A7955" w14:textId="19ED8281" w:rsidR="00566E55" w:rsidRDefault="00566E55" w:rsidP="002719B2">
      <w:pPr>
        <w:jc w:val="both"/>
      </w:pPr>
    </w:p>
    <w:p w14:paraId="74E359AF" w14:textId="77777777" w:rsidR="00566E55" w:rsidRDefault="00566E55" w:rsidP="002719B2">
      <w:pPr>
        <w:jc w:val="both"/>
      </w:pPr>
      <w:r>
        <w:t xml:space="preserve">The conservatory recalcitrance of Z. </w:t>
      </w:r>
      <w:proofErr w:type="spellStart"/>
      <w:r>
        <w:t>zanthoxyloides</w:t>
      </w:r>
      <w:proofErr w:type="spellEnd"/>
      <w:r>
        <w:t xml:space="preserve"> seeds is the key stumbling block to traditional ex situ conservation of this species (</w:t>
      </w:r>
      <w:proofErr w:type="spellStart"/>
      <w:r>
        <w:t>Berjak</w:t>
      </w:r>
      <w:proofErr w:type="spellEnd"/>
      <w:r>
        <w:t xml:space="preserve"> and </w:t>
      </w:r>
      <w:proofErr w:type="spellStart"/>
      <w:r>
        <w:t>Pammenter</w:t>
      </w:r>
      <w:proofErr w:type="spellEnd"/>
      <w:r>
        <w:t xml:space="preserve">, 2008; </w:t>
      </w:r>
      <w:proofErr w:type="spellStart"/>
      <w:r>
        <w:t>Pammenter</w:t>
      </w:r>
      <w:proofErr w:type="spellEnd"/>
      <w:r>
        <w:t xml:space="preserve"> and </w:t>
      </w:r>
      <w:proofErr w:type="spellStart"/>
      <w:r>
        <w:t>Berjak</w:t>
      </w:r>
      <w:proofErr w:type="spellEnd"/>
      <w:r>
        <w:t>, 1999). By definition recalcitrant seeds are shed in a moist metabolically active condition, and unable to survive the dehydration beyond some critical moisture content level (typically 20-40% fresh weight basis) without irreversibly losing their viability (Roberts, 1973). In contrast to orthodox seeds, which can be dried down to 5–7% moisture content and stored at -18 C over decades, recalcitrant seeds degrade quickly during desiccation and during frozen conditions, which renders recalcitrant seeds incompatible with conventional long-term seed banking procedures (</w:t>
      </w:r>
      <w:proofErr w:type="spellStart"/>
      <w:r>
        <w:t>Berjak</w:t>
      </w:r>
      <w:proofErr w:type="spellEnd"/>
      <w:r>
        <w:t xml:space="preserve"> and </w:t>
      </w:r>
      <w:proofErr w:type="spellStart"/>
      <w:r>
        <w:t>Pammenter</w:t>
      </w:r>
      <w:proofErr w:type="spellEnd"/>
      <w:r>
        <w:t>, 2013).</w:t>
      </w:r>
    </w:p>
    <w:p w14:paraId="5C418234" w14:textId="50F48C01" w:rsidR="00566E55" w:rsidRPr="00365E05" w:rsidRDefault="00566E55" w:rsidP="002719B2">
      <w:pPr>
        <w:jc w:val="both"/>
      </w:pPr>
      <w:r>
        <w:t xml:space="preserve">In the case of Z. </w:t>
      </w:r>
      <w:proofErr w:type="spellStart"/>
      <w:r>
        <w:t>zanthoxyloides</w:t>
      </w:r>
      <w:proofErr w:type="spellEnd"/>
      <w:r>
        <w:t xml:space="preserve"> in particular, field observations and initial physiological </w:t>
      </w:r>
      <w:proofErr w:type="spellStart"/>
      <w:r>
        <w:t>characterisation</w:t>
      </w:r>
      <w:proofErr w:type="spellEnd"/>
      <w:r>
        <w:t xml:space="preserve"> suggest that freshly shed seeds have high germinability, which quickly decreases in two to four weeks of ambient conditions, and that viability is effectively eliminated by moisture losses to below about 3035 percent fresh weight (Abubakar et al., 2019; </w:t>
      </w:r>
      <w:proofErr w:type="spellStart"/>
      <w:r>
        <w:t>Berjak</w:t>
      </w:r>
      <w:proofErr w:type="spellEnd"/>
      <w:r>
        <w:t xml:space="preserve"> </w:t>
      </w:r>
      <w:r>
        <w:lastRenderedPageBreak/>
        <w:t xml:space="preserve">and </w:t>
      </w:r>
      <w:proofErr w:type="spellStart"/>
      <w:r>
        <w:t>Pammenter</w:t>
      </w:r>
      <w:proofErr w:type="spellEnd"/>
      <w:r>
        <w:t>, 200 These features put the idea of conventional seed banking as a key means of conservation in a strictly categorical exclusion list and thus development of alternative approaches is not only an option but also a necessity. The most scientifically tested way to go is plant tissue culture, and in particular cryopreservation of vegetative propagules and embryogenic cultures (Engelmann, 2011; Reed, 2008).</w:t>
      </w:r>
    </w:p>
    <w:p w14:paraId="5B3FE296" w14:textId="3CE47B85" w:rsidR="007E092C" w:rsidRDefault="007E092C" w:rsidP="002719B2">
      <w:pPr>
        <w:jc w:val="both"/>
      </w:pPr>
    </w:p>
    <w:p w14:paraId="54EADDDF" w14:textId="7616740E" w:rsidR="007E092C" w:rsidRDefault="00B305C0" w:rsidP="002719B2">
      <w:pPr>
        <w:jc w:val="both"/>
        <w:rPr>
          <w:b/>
          <w:bCs/>
        </w:rPr>
      </w:pPr>
      <w:r>
        <w:rPr>
          <w:b/>
          <w:bCs/>
        </w:rPr>
        <w:t xml:space="preserve">1.4 </w:t>
      </w:r>
      <w:r w:rsidR="007E092C" w:rsidRPr="007E092C">
        <w:rPr>
          <w:b/>
          <w:bCs/>
        </w:rPr>
        <w:t>Methodology</w:t>
      </w:r>
    </w:p>
    <w:p w14:paraId="1BB9BF7A" w14:textId="77777777" w:rsidR="00566E55" w:rsidRPr="00566E55" w:rsidRDefault="00566E55" w:rsidP="002719B2">
      <w:pPr>
        <w:jc w:val="both"/>
      </w:pPr>
      <w:r w:rsidRPr="00566E55">
        <w:t xml:space="preserve">The review is systematic in narrative synthesis approach as in fig 1. Literature was located by searching Scopus, Web of Science, PubMed and CAB Abstracts with specific search terms (Zanthoxylum </w:t>
      </w:r>
      <w:proofErr w:type="spellStart"/>
      <w:r w:rsidRPr="00566E55">
        <w:t>zanthoxyloides</w:t>
      </w:r>
      <w:proofErr w:type="spellEnd"/>
      <w:r w:rsidRPr="00566E55">
        <w:t xml:space="preserve">, plant tissue culture, cryopreservation, seed recalcitrance, micropropagation, Nigeria). The screening of studies was done using the title and the abstract, followed by the determination of relevance according to the taxonomic scope (genus Zanthoxylum and family </w:t>
      </w:r>
      <w:proofErr w:type="spellStart"/>
      <w:r w:rsidRPr="00566E55">
        <w:t>Rutaceae</w:t>
      </w:r>
      <w:proofErr w:type="spellEnd"/>
      <w:r w:rsidRPr="00566E55">
        <w:t>), the methodological focus (in vitro propagation or conservation), and geographic or policy relevance to Nigeria. Information was mined on type of explants, medium of culture, PGR combinations, frequency of regeneration and conservation results. Synthesis of evidence was done in a narrative style and was given in comparative summary tables. The policy and infrastructure dimensions were evaluated by means of grey literature search of national and international regulation documents.</w:t>
      </w:r>
    </w:p>
    <w:p w14:paraId="189884E9" w14:textId="77777777" w:rsidR="00566E55" w:rsidRDefault="00566E55" w:rsidP="002719B2">
      <w:pPr>
        <w:jc w:val="both"/>
      </w:pPr>
    </w:p>
    <w:p w14:paraId="4CFDFD5E" w14:textId="3A8DD1A0" w:rsidR="007E092C" w:rsidRPr="00365E05" w:rsidRDefault="00971878" w:rsidP="002719B2">
      <w:pPr>
        <w:jc w:val="both"/>
      </w:pPr>
      <w:r>
        <w:rPr>
          <w:noProof/>
        </w:rPr>
        <w:drawing>
          <wp:inline distT="0" distB="0" distL="0" distR="0" wp14:anchorId="18B044A8" wp14:editId="6552F4FF">
            <wp:extent cx="6035675" cy="6337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5675" cy="633730"/>
                    </a:xfrm>
                    <a:prstGeom prst="rect">
                      <a:avLst/>
                    </a:prstGeom>
                    <a:noFill/>
                  </pic:spPr>
                </pic:pic>
              </a:graphicData>
            </a:graphic>
          </wp:inline>
        </w:drawing>
      </w:r>
    </w:p>
    <w:p w14:paraId="77F80EEC" w14:textId="404EBE95" w:rsidR="00365E05" w:rsidRPr="00365E05" w:rsidRDefault="00971878" w:rsidP="002719B2">
      <w:pPr>
        <w:jc w:val="both"/>
        <w:rPr>
          <w:b/>
          <w:bCs/>
        </w:rPr>
      </w:pPr>
      <w:r w:rsidRPr="00971878">
        <w:rPr>
          <w:b/>
          <w:bCs/>
        </w:rPr>
        <w:t>Fig.1: Systematic Review Process</w:t>
      </w:r>
    </w:p>
    <w:p w14:paraId="02617657" w14:textId="77777777" w:rsidR="00365E05" w:rsidRPr="00365E05" w:rsidRDefault="00365E05" w:rsidP="002719B2">
      <w:pPr>
        <w:jc w:val="both"/>
        <w:rPr>
          <w:b/>
          <w:bCs/>
        </w:rPr>
      </w:pPr>
      <w:r w:rsidRPr="00365E05">
        <w:rPr>
          <w:b/>
          <w:bCs/>
        </w:rPr>
        <w:t xml:space="preserve">2. Taxonomy, Botany, and Phytochemistry of Zanthoxylum </w:t>
      </w:r>
      <w:proofErr w:type="spellStart"/>
      <w:r w:rsidRPr="00365E05">
        <w:rPr>
          <w:b/>
          <w:bCs/>
        </w:rPr>
        <w:t>zanthoxyloides</w:t>
      </w:r>
      <w:proofErr w:type="spellEnd"/>
    </w:p>
    <w:p w14:paraId="70058BCB" w14:textId="77777777" w:rsidR="00365E05" w:rsidRPr="00365E05" w:rsidRDefault="00365E05" w:rsidP="002719B2">
      <w:pPr>
        <w:jc w:val="both"/>
        <w:rPr>
          <w:b/>
          <w:bCs/>
        </w:rPr>
      </w:pPr>
      <w:r w:rsidRPr="00365E05">
        <w:rPr>
          <w:b/>
          <w:bCs/>
        </w:rPr>
        <w:t>2.1 Taxonomic Position and Nomenclatural History</w:t>
      </w:r>
    </w:p>
    <w:p w14:paraId="27F7D3B8" w14:textId="77777777" w:rsidR="00566E55" w:rsidRDefault="00566E55" w:rsidP="002719B2">
      <w:pPr>
        <w:jc w:val="both"/>
      </w:pPr>
      <w:r>
        <w:t xml:space="preserve">Zanthoxylum </w:t>
      </w:r>
      <w:proofErr w:type="spellStart"/>
      <w:r>
        <w:t>zanthoxyloides</w:t>
      </w:r>
      <w:proofErr w:type="spellEnd"/>
      <w:r>
        <w:t xml:space="preserve"> was initially named </w:t>
      </w:r>
      <w:proofErr w:type="spellStart"/>
      <w:r>
        <w:t>Fagara</w:t>
      </w:r>
      <w:proofErr w:type="spellEnd"/>
      <w:r>
        <w:t xml:space="preserve"> </w:t>
      </w:r>
      <w:proofErr w:type="spellStart"/>
      <w:r>
        <w:t>zanthoxyloides</w:t>
      </w:r>
      <w:proofErr w:type="spellEnd"/>
      <w:r>
        <w:t xml:space="preserve"> by Lamarck in 1783, and moved to genus Zanthoxylum by </w:t>
      </w:r>
      <w:proofErr w:type="spellStart"/>
      <w:r>
        <w:t>Zepernick</w:t>
      </w:r>
      <w:proofErr w:type="spellEnd"/>
      <w:r>
        <w:t xml:space="preserve"> and </w:t>
      </w:r>
      <w:proofErr w:type="spellStart"/>
      <w:r>
        <w:t>Timler</w:t>
      </w:r>
      <w:proofErr w:type="spellEnd"/>
      <w:r>
        <w:t xml:space="preserve"> in 1981 as a result of the generally accepted generic repositioning that combined the segregate genus </w:t>
      </w:r>
      <w:proofErr w:type="spellStart"/>
      <w:r>
        <w:t>Fagara</w:t>
      </w:r>
      <w:proofErr w:type="spellEnd"/>
      <w:r>
        <w:t xml:space="preserve"> into Zanthoxylum (POWO, 2023). Zanthoxylum L. (family </w:t>
      </w:r>
      <w:proofErr w:type="spellStart"/>
      <w:r>
        <w:t>Rutaceae</w:t>
      </w:r>
      <w:proofErr w:type="spellEnd"/>
      <w:r>
        <w:t>) species of about 250 aromatic shrubs and trees, which are found in tropical and subtropical Africa, Asia, America, and Australasia (</w:t>
      </w:r>
      <w:proofErr w:type="spellStart"/>
      <w:r>
        <w:t>Takhtajan</w:t>
      </w:r>
      <w:proofErr w:type="spellEnd"/>
      <w:r>
        <w:t xml:space="preserve">, 2009). On the African continent, there are about 60 species of the genus with Z. </w:t>
      </w:r>
      <w:proofErr w:type="spellStart"/>
      <w:r>
        <w:t>zanthoxyloides</w:t>
      </w:r>
      <w:proofErr w:type="spellEnd"/>
      <w:r>
        <w:t xml:space="preserve"> perhaps the most valuable in the West African subregion (Andrade et al., 2021).</w:t>
      </w:r>
    </w:p>
    <w:p w14:paraId="2BEA671E" w14:textId="77777777" w:rsidR="00566E55" w:rsidRPr="00566E55" w:rsidRDefault="00566E55" w:rsidP="002719B2">
      <w:pPr>
        <w:jc w:val="both"/>
        <w:rPr>
          <w:b/>
          <w:bCs/>
        </w:rPr>
      </w:pPr>
      <w:r w:rsidRPr="00566E55">
        <w:rPr>
          <w:b/>
          <w:bCs/>
        </w:rPr>
        <w:t>2.2 Morphological features Relating to Tissue Culture.</w:t>
      </w:r>
    </w:p>
    <w:p w14:paraId="06ABB4FD" w14:textId="77777777" w:rsidR="00566E55" w:rsidRDefault="00566E55" w:rsidP="002719B2">
      <w:pPr>
        <w:jc w:val="both"/>
      </w:pPr>
      <w:r>
        <w:t xml:space="preserve">It is a thorny, aromatic shrub or tree 3 -15 m high, with alternate, imparipinnate leaves having 5-13 leaflets. Inflorescences are panicles (axillary) of small, greenish-white, dioecious flowers. Fruits are tiny, globose follicles that are about 46 mm across and dehisce to reveal gleaming, black seeds surrounded by a membranous aril (Okafor, 1980). The oleaginous seeds themselves contain high levels of essential oils, and have the recalcitrant store </w:t>
      </w:r>
      <w:proofErr w:type="spellStart"/>
      <w:r>
        <w:t>behaviour</w:t>
      </w:r>
      <w:proofErr w:type="spellEnd"/>
      <w:r>
        <w:t xml:space="preserve"> mentioned above. Tissue culture </w:t>
      </w:r>
      <w:proofErr w:type="gramStart"/>
      <w:r>
        <w:t>The</w:t>
      </w:r>
      <w:proofErr w:type="gramEnd"/>
      <w:r>
        <w:t xml:space="preserve"> species poses a few explant problems in culture: the aromatic oils in leaf and bark tissues tend to be inhibitory to in vitro growth, so rigorous surface </w:t>
      </w:r>
      <w:proofErr w:type="spellStart"/>
      <w:r>
        <w:t>sterilisation</w:t>
      </w:r>
      <w:proofErr w:type="spellEnd"/>
      <w:r>
        <w:t xml:space="preserve"> and in some instances, activated charcoal or antioxidants in culture media is necessary to counteract phenolic oxidation (Oliveira et al., 2011).</w:t>
      </w:r>
    </w:p>
    <w:p w14:paraId="044B0F67" w14:textId="77777777" w:rsidR="00566E55" w:rsidRDefault="00566E55" w:rsidP="002719B2">
      <w:pPr>
        <w:jc w:val="both"/>
      </w:pPr>
    </w:p>
    <w:p w14:paraId="2B4886BF" w14:textId="77777777" w:rsidR="00365E05" w:rsidRPr="00365E05" w:rsidRDefault="00365E05" w:rsidP="002719B2">
      <w:pPr>
        <w:jc w:val="both"/>
        <w:rPr>
          <w:b/>
          <w:bCs/>
        </w:rPr>
      </w:pPr>
      <w:r w:rsidRPr="00365E05">
        <w:rPr>
          <w:b/>
          <w:bCs/>
        </w:rPr>
        <w:t>2.2 Morphological Characteristics Relevant to Tissue Culture</w:t>
      </w:r>
    </w:p>
    <w:p w14:paraId="186619D1" w14:textId="77777777" w:rsidR="00365E05" w:rsidRPr="00365E05" w:rsidRDefault="00365E05" w:rsidP="002719B2">
      <w:pPr>
        <w:jc w:val="both"/>
      </w:pPr>
      <w:r w:rsidRPr="00365E05">
        <w:t xml:space="preserve">The species is a thorny, aromatic shrub or tree reaching 3–15 m in height, with alternate, imparipinnate leaves bearing 5–13 leaflets. Inflorescences are axillary panicles bearing small, greenish-white, dioecious flowers. Fruits are small, globose follicles approximately 4–6 mm in diameter, which dehisce to expose shiny, black seeds enclosed in a membranous aril (Okafor, 1980). The seeds themselves are oleaginous, rich in essential oils, and exhibit the recalcitrant </w:t>
      </w:r>
      <w:r w:rsidRPr="00365E05">
        <w:lastRenderedPageBreak/>
        <w:t xml:space="preserve">storage </w:t>
      </w:r>
      <w:proofErr w:type="spellStart"/>
      <w:r w:rsidRPr="00365E05">
        <w:t>behaviour</w:t>
      </w:r>
      <w:proofErr w:type="spellEnd"/>
      <w:r w:rsidRPr="00365E05">
        <w:t xml:space="preserve"> described above. From a tissue culture perspective, the species presents several explant challenges: the aromatic oils in leaf and bark tissues are often inhibitory to in vitro growth, necessitating rigorous surface </w:t>
      </w:r>
      <w:proofErr w:type="spellStart"/>
      <w:r w:rsidRPr="00365E05">
        <w:t>sterilisation</w:t>
      </w:r>
      <w:proofErr w:type="spellEnd"/>
      <w:r w:rsidRPr="00365E05">
        <w:t xml:space="preserve"> and, in some cases, the use of activated charcoal or antioxidants in culture media to mitigate phenolic oxidation (Oliveira et al., 2011).</w:t>
      </w:r>
    </w:p>
    <w:p w14:paraId="1FF924E5" w14:textId="77777777" w:rsidR="00365E05" w:rsidRPr="00365E05" w:rsidRDefault="00365E05" w:rsidP="002719B2">
      <w:pPr>
        <w:jc w:val="both"/>
        <w:rPr>
          <w:b/>
          <w:bCs/>
        </w:rPr>
      </w:pPr>
      <w:r w:rsidRPr="00365E05">
        <w:rPr>
          <w:b/>
          <w:bCs/>
        </w:rPr>
        <w:t>2.3 Secondary Metabolites: Pharmacological Significance and Biosynthetic Considerations</w:t>
      </w:r>
    </w:p>
    <w:p w14:paraId="6CABF104" w14:textId="77777777" w:rsidR="00566E55" w:rsidRDefault="00566E55" w:rsidP="002719B2">
      <w:pPr>
        <w:jc w:val="both"/>
      </w:pPr>
      <w:r>
        <w:t xml:space="preserve">Z. </w:t>
      </w:r>
      <w:proofErr w:type="spellStart"/>
      <w:r>
        <w:t>zanthoxyloides</w:t>
      </w:r>
      <w:proofErr w:type="spellEnd"/>
      <w:r>
        <w:t xml:space="preserve"> has a rich and structurally diverse secondary metabolite profile leading to pharmacological activity. The most widely investigated phytochemicals are benzophenanthridine alkaloids, such as </w:t>
      </w:r>
      <w:proofErr w:type="spellStart"/>
      <w:r>
        <w:t>chelerythrine</w:t>
      </w:r>
      <w:proofErr w:type="spellEnd"/>
      <w:r>
        <w:t xml:space="preserve">, </w:t>
      </w:r>
      <w:proofErr w:type="spellStart"/>
      <w:r>
        <w:t>nitidine</w:t>
      </w:r>
      <w:proofErr w:type="spellEnd"/>
      <w:r>
        <w:t xml:space="preserve">, and </w:t>
      </w:r>
      <w:proofErr w:type="spellStart"/>
      <w:r>
        <w:t>fagaronine</w:t>
      </w:r>
      <w:proofErr w:type="spellEnd"/>
      <w:r>
        <w:t xml:space="preserve">, which show cytotoxic, antibacterial, antifungal, and antimalarial effects (Andrade et al., 2021; </w:t>
      </w:r>
      <w:proofErr w:type="spellStart"/>
      <w:r>
        <w:t>Agbo</w:t>
      </w:r>
      <w:proofErr w:type="spellEnd"/>
      <w:r>
        <w:t xml:space="preserve"> et al., 2013). The pungency of the bark is due to pellitorine and herculin (</w:t>
      </w:r>
      <w:proofErr w:type="spellStart"/>
      <w:r>
        <w:t>alkylamides</w:t>
      </w:r>
      <w:proofErr w:type="spellEnd"/>
      <w:r>
        <w:t>) and is linked to local analgesic activity. The oil fractions with linalool, limonene, and sabinene as the predominant components are found to be highly antimicrobial (Ezekwesili-</w:t>
      </w:r>
      <w:proofErr w:type="spellStart"/>
      <w:r>
        <w:t>Ofili</w:t>
      </w:r>
      <w:proofErr w:type="spellEnd"/>
      <w:r>
        <w:t xml:space="preserve"> and Okeke, 2019).</w:t>
      </w:r>
    </w:p>
    <w:p w14:paraId="6CA9A860" w14:textId="1B4A070A" w:rsidR="00566E55" w:rsidRPr="00365E05" w:rsidRDefault="00566E55" w:rsidP="002719B2">
      <w:pPr>
        <w:jc w:val="both"/>
      </w:pPr>
      <w:r>
        <w:t xml:space="preserve">In biotechnological perspectives, induction of the secondary metabolite biosynthesis in callus and cell suspension cultures of Zanthoxylum spp. is a commercially viable prospect that has received surprisingly little research. In related </w:t>
      </w:r>
      <w:proofErr w:type="spellStart"/>
      <w:r>
        <w:t>Rutaceae</w:t>
      </w:r>
      <w:proofErr w:type="spellEnd"/>
      <w:r>
        <w:t xml:space="preserve"> (citrus spp. and </w:t>
      </w:r>
      <w:proofErr w:type="spellStart"/>
      <w:r>
        <w:t>Ruta</w:t>
      </w:r>
      <w:proofErr w:type="spellEnd"/>
      <w:r>
        <w:t xml:space="preserve"> graveolens) elicitation by </w:t>
      </w:r>
      <w:proofErr w:type="spellStart"/>
      <w:r>
        <w:t>jasmonic</w:t>
      </w:r>
      <w:proofErr w:type="spellEnd"/>
      <w:r>
        <w:t xml:space="preserve"> acid, salicylic acid and fungal elicitors have been shown to significantly induce alkaloid biosynthesis in cell cultures (Jain and Saxena, 2009; Loyola-Vargas and Ochoa-</w:t>
      </w:r>
      <w:proofErr w:type="spellStart"/>
      <w:r>
        <w:t>Alejo</w:t>
      </w:r>
      <w:proofErr w:type="spellEnd"/>
      <w:r>
        <w:t xml:space="preserve">, 2018). Similar studies in Z. </w:t>
      </w:r>
      <w:proofErr w:type="spellStart"/>
      <w:r>
        <w:t>zanthoxyloides</w:t>
      </w:r>
      <w:proofErr w:type="spellEnd"/>
      <w:r>
        <w:t xml:space="preserve"> cultures are also scarcely represented in the literature, which is a considerable gap in research and has obvious commercial and conservation consequences.</w:t>
      </w:r>
    </w:p>
    <w:p w14:paraId="774C13FF" w14:textId="77777777" w:rsidR="00365E05" w:rsidRPr="00365E05" w:rsidRDefault="00365E05" w:rsidP="002719B2">
      <w:pPr>
        <w:jc w:val="both"/>
      </w:pPr>
    </w:p>
    <w:p w14:paraId="3CA81573" w14:textId="77777777" w:rsidR="00365E05" w:rsidRPr="00365E05" w:rsidRDefault="00365E05" w:rsidP="002719B2">
      <w:pPr>
        <w:jc w:val="both"/>
        <w:rPr>
          <w:b/>
          <w:bCs/>
        </w:rPr>
      </w:pPr>
      <w:r w:rsidRPr="00365E05">
        <w:rPr>
          <w:b/>
          <w:bCs/>
        </w:rPr>
        <w:t>3. Plant Tissue Culture: Principles and Applications in Conservation</w:t>
      </w:r>
    </w:p>
    <w:p w14:paraId="174BA157" w14:textId="77777777" w:rsidR="00365E05" w:rsidRPr="00365E05" w:rsidRDefault="00365E05" w:rsidP="002719B2">
      <w:pPr>
        <w:jc w:val="both"/>
        <w:rPr>
          <w:b/>
          <w:bCs/>
        </w:rPr>
      </w:pPr>
      <w:r w:rsidRPr="00365E05">
        <w:rPr>
          <w:b/>
          <w:bCs/>
        </w:rPr>
        <w:t>3.1 Historical Overview and Theoretical Basis</w:t>
      </w:r>
    </w:p>
    <w:p w14:paraId="13D6A12D" w14:textId="77777777" w:rsidR="000C2F8E" w:rsidRDefault="000C2F8E" w:rsidP="002719B2">
      <w:pPr>
        <w:jc w:val="both"/>
      </w:pPr>
      <w:r>
        <w:t xml:space="preserve">The visionary concept of totipotency (1902) by Gottlieb </w:t>
      </w:r>
      <w:proofErr w:type="spellStart"/>
      <w:r>
        <w:t>Haberlandt</w:t>
      </w:r>
      <w:proofErr w:type="spellEnd"/>
      <w:r>
        <w:t xml:space="preserve"> and subsequently </w:t>
      </w:r>
      <w:proofErr w:type="spellStart"/>
      <w:r>
        <w:t>formalised</w:t>
      </w:r>
      <w:proofErr w:type="spellEnd"/>
      <w:r>
        <w:t xml:space="preserve"> by White (1939), Skoog and Miller (1957), and </w:t>
      </w:r>
      <w:proofErr w:type="spellStart"/>
      <w:r>
        <w:t>Murashige</w:t>
      </w:r>
      <w:proofErr w:type="spellEnd"/>
      <w:r>
        <w:t xml:space="preserve"> and Skoog (1962) established the scientific foundations of plant tissue culture, whose most commonly used substrate in the field is the landmark basal medium formulation (Thorpe, 20 It was found that the auxin-to-cytokinin ratio dictated whether cultured plant tissue would undergo root initiation (high auxin), shoot formation (high cytokinin) or callus proliferation (balanced ratio) and this discovery by Skoog and Miller (1957) provided the mechanistic basis upon which nearly all modern organogenesis protocols are based.</w:t>
      </w:r>
    </w:p>
    <w:p w14:paraId="2AB5E6A8" w14:textId="55AE5D23" w:rsidR="000C2F8E" w:rsidRDefault="000C2F8E" w:rsidP="002719B2">
      <w:pPr>
        <w:jc w:val="both"/>
      </w:pPr>
      <w:r>
        <w:t xml:space="preserve">Tissue culture was initially systematically proposed to be applied to plant conservation in the 1970s and 1980s, with the formation of in vitro germplasm collections at </w:t>
      </w:r>
      <w:proofErr w:type="spellStart"/>
      <w:r>
        <w:t>centres</w:t>
      </w:r>
      <w:proofErr w:type="spellEnd"/>
      <w:r>
        <w:t xml:space="preserve"> like the International Plant Genetic Resources Institute (Ashmore, 1997; </w:t>
      </w:r>
      <w:proofErr w:type="spellStart"/>
      <w:r>
        <w:t>Sasson</w:t>
      </w:r>
      <w:proofErr w:type="spellEnd"/>
      <w:r>
        <w:t xml:space="preserve">, 1993). The conceptual difference between micropropagation (which is mainly focused on mass clonal propagation) and in vitro conservation (where the integrity of the genetic and epigenetic landscape is the most important) is critical: protocols that are </w:t>
      </w:r>
      <w:proofErr w:type="spellStart"/>
      <w:r>
        <w:t>optimised</w:t>
      </w:r>
      <w:proofErr w:type="spellEnd"/>
      <w:r>
        <w:t xml:space="preserve"> to propagate (high levels of </w:t>
      </w:r>
      <w:proofErr w:type="spellStart"/>
      <w:r>
        <w:t>cytokinins</w:t>
      </w:r>
      <w:proofErr w:type="spellEnd"/>
      <w:r>
        <w:t xml:space="preserve"> and frequent subculture) are not necessarily </w:t>
      </w:r>
      <w:proofErr w:type="spellStart"/>
      <w:r>
        <w:t>optimised</w:t>
      </w:r>
      <w:proofErr w:type="spellEnd"/>
      <w:r>
        <w:t xml:space="preserve"> to conserve (George et al., 2008; </w:t>
      </w:r>
      <w:r w:rsidR="008B0A9E" w:rsidRPr="008B0A9E">
        <w:t>Neumann et al., 2009).</w:t>
      </w:r>
    </w:p>
    <w:p w14:paraId="34E4431A" w14:textId="77777777" w:rsidR="00365E05" w:rsidRPr="00365E05" w:rsidRDefault="00365E05" w:rsidP="002719B2">
      <w:pPr>
        <w:jc w:val="both"/>
        <w:rPr>
          <w:b/>
          <w:bCs/>
        </w:rPr>
      </w:pPr>
      <w:r w:rsidRPr="00365E05">
        <w:rPr>
          <w:b/>
          <w:bCs/>
        </w:rPr>
        <w:t xml:space="preserve">3.2 Explant Selection, </w:t>
      </w:r>
      <w:proofErr w:type="spellStart"/>
      <w:r w:rsidRPr="00365E05">
        <w:rPr>
          <w:b/>
          <w:bCs/>
        </w:rPr>
        <w:t>Sterilisation</w:t>
      </w:r>
      <w:proofErr w:type="spellEnd"/>
      <w:r w:rsidRPr="00365E05">
        <w:rPr>
          <w:b/>
          <w:bCs/>
        </w:rPr>
        <w:t>, and Establishment</w:t>
      </w:r>
    </w:p>
    <w:p w14:paraId="54568DF1" w14:textId="77777777" w:rsidR="00E60880" w:rsidRDefault="00E60880" w:rsidP="002719B2">
      <w:pPr>
        <w:jc w:val="both"/>
      </w:pPr>
      <w:r>
        <w:t xml:space="preserve">The success of any tissue culture </w:t>
      </w:r>
      <w:proofErr w:type="spellStart"/>
      <w:r>
        <w:t>programme</w:t>
      </w:r>
      <w:proofErr w:type="spellEnd"/>
      <w:r>
        <w:t xml:space="preserve"> is predetermined by the choice of proper explant material and realization of aseptic establishment (George et al., 2008). In woody tropical plants like Z. </w:t>
      </w:r>
      <w:proofErr w:type="spellStart"/>
      <w:r>
        <w:t>zanthoxyloides</w:t>
      </w:r>
      <w:proofErr w:type="spellEnd"/>
      <w:r>
        <w:t>, the large concentration of secondary metabolites in most tissues, the perennial growth of the donor plant (adding a recalcitrance factor), and seasonal changes in tissue behavior complicate the selection of the explants (Oladele et al., 2013).</w:t>
      </w:r>
    </w:p>
    <w:p w14:paraId="769A7964" w14:textId="30DEF90E" w:rsidR="00E60880" w:rsidRPr="00365E05" w:rsidRDefault="00E60880" w:rsidP="002719B2">
      <w:pPr>
        <w:jc w:val="both"/>
      </w:pPr>
      <w:r>
        <w:t xml:space="preserve">Cotyledonary nodes and zygotic embryos of freshly harvested seeds have been repeatedly the highest morphogenic competent of the evaluated types of </w:t>
      </w:r>
      <w:proofErr w:type="gramStart"/>
      <w:r>
        <w:t>explant</w:t>
      </w:r>
      <w:proofErr w:type="gramEnd"/>
      <w:r>
        <w:t xml:space="preserve"> in Z. </w:t>
      </w:r>
      <w:proofErr w:type="spellStart"/>
      <w:r>
        <w:t>zanthoxyloides</w:t>
      </w:r>
      <w:proofErr w:type="spellEnd"/>
      <w:r>
        <w:t xml:space="preserve"> and related taxa, due to a high endogenous level of cytokinin of early germination (Abubakar et al., </w:t>
      </w:r>
      <w:r>
        <w:lastRenderedPageBreak/>
        <w:t xml:space="preserve">2019; Yadav et al., 2003). Juvenile shoot nodal segments of plants collected in the field are a viable alternative, but surface </w:t>
      </w:r>
      <w:proofErr w:type="spellStart"/>
      <w:r>
        <w:t>sterilisation</w:t>
      </w:r>
      <w:proofErr w:type="spellEnd"/>
      <w:r>
        <w:t xml:space="preserve"> regimes need </w:t>
      </w:r>
      <w:proofErr w:type="spellStart"/>
      <w:r>
        <w:t>optimisation</w:t>
      </w:r>
      <w:proofErr w:type="spellEnd"/>
      <w:r>
        <w:t xml:space="preserve"> to remove fungal and bacterial epiphytes of bark tissue without causing any phytotoxic damage (Neumann et al., 2009).</w:t>
      </w:r>
      <w:r w:rsidR="008B0A9E">
        <w:t xml:space="preserve">  </w:t>
      </w:r>
      <w:r>
        <w:t xml:space="preserve">Z. </w:t>
      </w:r>
      <w:proofErr w:type="spellStart"/>
      <w:r>
        <w:t>zanthoxyloides</w:t>
      </w:r>
      <w:proofErr w:type="spellEnd"/>
      <w:r>
        <w:t xml:space="preserve"> </w:t>
      </w:r>
      <w:proofErr w:type="spellStart"/>
      <w:r>
        <w:t>sterilisation</w:t>
      </w:r>
      <w:proofErr w:type="spellEnd"/>
      <w:r>
        <w:t xml:space="preserve"> protocols The </w:t>
      </w:r>
      <w:proofErr w:type="spellStart"/>
      <w:r>
        <w:t>sterilisation</w:t>
      </w:r>
      <w:proofErr w:type="spellEnd"/>
      <w:r>
        <w:t xml:space="preserve"> of Z. </w:t>
      </w:r>
      <w:proofErr w:type="spellStart"/>
      <w:r>
        <w:t>zanthoxyloides</w:t>
      </w:r>
      <w:proofErr w:type="spellEnd"/>
      <w:r>
        <w:t xml:space="preserve"> is usually performed by sequential treatment with 70% ethanol (3060 s), followed by 1.02% sodium hypochlorite (with a surfactant, 0.0105% Tween 20) (1520 m) followed by several rinses with </w:t>
      </w:r>
      <w:proofErr w:type="spellStart"/>
      <w:r>
        <w:t>ster</w:t>
      </w:r>
      <w:proofErr w:type="spellEnd"/>
      <w:r>
        <w:t xml:space="preserve"> In species with recalcitrant seed germination where the explant is made directly out of the seed, a shorter </w:t>
      </w:r>
      <w:proofErr w:type="spellStart"/>
      <w:r>
        <w:t>sterilisation</w:t>
      </w:r>
      <w:proofErr w:type="spellEnd"/>
      <w:r>
        <w:t xml:space="preserve"> period is desirable, because an extended period of exposure to hypochlorite has been observed to damage the embryonic axis and inhibit further germination (</w:t>
      </w:r>
      <w:proofErr w:type="spellStart"/>
      <w:r>
        <w:t>Berjak</w:t>
      </w:r>
      <w:proofErr w:type="spellEnd"/>
      <w:r>
        <w:t xml:space="preserve"> &amp; </w:t>
      </w:r>
      <w:proofErr w:type="spellStart"/>
      <w:r>
        <w:t>Pammenter</w:t>
      </w:r>
      <w:proofErr w:type="spellEnd"/>
      <w:r>
        <w:t xml:space="preserve">, 2008). Introduction of antifungal agents like Benomyl or Plant Preservative Mixture (PPM) to the culture medium at inoculation was proven to substantially decrease contamination rates in related tropical </w:t>
      </w:r>
      <w:proofErr w:type="spellStart"/>
      <w:r>
        <w:t>Rutaceae</w:t>
      </w:r>
      <w:proofErr w:type="spellEnd"/>
      <w:r>
        <w:t xml:space="preserve"> with low level phytotoxicity.</w:t>
      </w:r>
    </w:p>
    <w:p w14:paraId="781D1447" w14:textId="77777777" w:rsidR="00365E05" w:rsidRPr="00365E05" w:rsidRDefault="00365E05" w:rsidP="002719B2">
      <w:pPr>
        <w:jc w:val="both"/>
        <w:rPr>
          <w:b/>
          <w:bCs/>
        </w:rPr>
      </w:pPr>
      <w:r w:rsidRPr="00365E05">
        <w:rPr>
          <w:b/>
          <w:bCs/>
        </w:rPr>
        <w:t>3.3 Basal Media and Nutritional Requirements</w:t>
      </w:r>
    </w:p>
    <w:p w14:paraId="561E377E" w14:textId="77777777" w:rsidR="008B0A9E" w:rsidRDefault="008B0A9E" w:rsidP="002719B2">
      <w:pPr>
        <w:jc w:val="both"/>
      </w:pPr>
      <w:r w:rsidRPr="008B0A9E">
        <w:t xml:space="preserve">The default medium of most tissue culture studies of </w:t>
      </w:r>
      <w:proofErr w:type="spellStart"/>
      <w:r w:rsidRPr="008B0A9E">
        <w:t>Rutaceae</w:t>
      </w:r>
      <w:proofErr w:type="spellEnd"/>
      <w:r w:rsidRPr="008B0A9E">
        <w:t xml:space="preserve">, including Zanthoxylum spp., is the </w:t>
      </w:r>
      <w:proofErr w:type="spellStart"/>
      <w:r w:rsidRPr="008B0A9E">
        <w:t>Murashige</w:t>
      </w:r>
      <w:proofErr w:type="spellEnd"/>
      <w:r w:rsidRPr="008B0A9E">
        <w:t xml:space="preserve"> and Skoog (1962) medium (MS) due to its comparatively high levels of inorganic salts, which typically favor vigorous cell growth and organogenesis in dicotyledonous species (Abubakar et al., 2019; Oladele et al., 2 Nevertheless, in the case of shoot tip and nodal cultures of some woody species half-strength MS or the Woody Plant Medium (WPM) of Lloyd and McCown (1980) might be more suitable, because full-strength MS can cause </w:t>
      </w:r>
      <w:proofErr w:type="spellStart"/>
      <w:r w:rsidRPr="008B0A9E">
        <w:t>hyperhydricity</w:t>
      </w:r>
      <w:proofErr w:type="spellEnd"/>
      <w:r w:rsidRPr="008B0A9E">
        <w:t xml:space="preserve"> (vitrification of plantlets) and inhibit rooting in some genotypes. Prunus and other Rosaceae have been successfully used in the medium of the Driver and </w:t>
      </w:r>
      <w:proofErr w:type="spellStart"/>
      <w:r w:rsidRPr="008B0A9E">
        <w:t>Kuniyuki</w:t>
      </w:r>
      <w:proofErr w:type="spellEnd"/>
      <w:r w:rsidRPr="008B0A9E">
        <w:t xml:space="preserve"> Walnut (DKW) medium and the </w:t>
      </w:r>
      <w:proofErr w:type="spellStart"/>
      <w:r w:rsidRPr="008B0A9E">
        <w:t>Quoirin</w:t>
      </w:r>
      <w:proofErr w:type="spellEnd"/>
      <w:r w:rsidRPr="008B0A9E">
        <w:t xml:space="preserve"> and </w:t>
      </w:r>
      <w:proofErr w:type="spellStart"/>
      <w:r w:rsidRPr="008B0A9E">
        <w:t>Lepoivre</w:t>
      </w:r>
      <w:proofErr w:type="spellEnd"/>
      <w:r w:rsidRPr="008B0A9E">
        <w:t xml:space="preserve"> (1977) medium, the </w:t>
      </w:r>
      <w:proofErr w:type="spellStart"/>
      <w:r w:rsidRPr="008B0A9E">
        <w:t>Quoirin</w:t>
      </w:r>
      <w:proofErr w:type="spellEnd"/>
      <w:r w:rsidRPr="008B0A9E">
        <w:t xml:space="preserve"> and </w:t>
      </w:r>
      <w:proofErr w:type="spellStart"/>
      <w:r w:rsidRPr="008B0A9E">
        <w:t>Lepoivre</w:t>
      </w:r>
      <w:proofErr w:type="spellEnd"/>
      <w:r w:rsidRPr="008B0A9E">
        <w:t xml:space="preserve"> (1977) medium (QL) but has not been systematically tested in Zanthoxylum, which is an uncharted territory that can get improvements.</w:t>
      </w:r>
    </w:p>
    <w:p w14:paraId="263DE2B3" w14:textId="0C528DFF" w:rsidR="00365E05" w:rsidRPr="00365E05" w:rsidRDefault="00365E05" w:rsidP="002719B2">
      <w:pPr>
        <w:jc w:val="both"/>
        <w:rPr>
          <w:b/>
          <w:bCs/>
        </w:rPr>
      </w:pPr>
      <w:r w:rsidRPr="00365E05">
        <w:rPr>
          <w:b/>
          <w:bCs/>
        </w:rPr>
        <w:t xml:space="preserve">3.4 Plant Growth Regulator </w:t>
      </w:r>
      <w:proofErr w:type="spellStart"/>
      <w:r w:rsidRPr="00365E05">
        <w:rPr>
          <w:b/>
          <w:bCs/>
        </w:rPr>
        <w:t>Optimisation</w:t>
      </w:r>
      <w:proofErr w:type="spellEnd"/>
    </w:p>
    <w:p w14:paraId="2F2EBE1A" w14:textId="77777777" w:rsidR="00365E05" w:rsidRPr="00365E05" w:rsidRDefault="00365E05" w:rsidP="002719B2">
      <w:pPr>
        <w:jc w:val="both"/>
      </w:pPr>
      <w:r w:rsidRPr="00365E05">
        <w:t xml:space="preserve">The </w:t>
      </w:r>
      <w:proofErr w:type="spellStart"/>
      <w:r w:rsidRPr="00365E05">
        <w:t>optimisation</w:t>
      </w:r>
      <w:proofErr w:type="spellEnd"/>
      <w:r w:rsidRPr="00365E05">
        <w:t xml:space="preserve"> of plant growth regulator (PGR) concentrations and combinations is the most critical and species-specific component of tissue culture protocol development. For </w:t>
      </w:r>
      <w:r w:rsidRPr="00365E05">
        <w:rPr>
          <w:i/>
          <w:iCs/>
        </w:rPr>
        <w:t xml:space="preserve">Z. </w:t>
      </w:r>
      <w:proofErr w:type="spellStart"/>
      <w:r w:rsidRPr="00365E05">
        <w:rPr>
          <w:i/>
          <w:iCs/>
        </w:rPr>
        <w:t>zanthoxyloides</w:t>
      </w:r>
      <w:proofErr w:type="spellEnd"/>
      <w:r w:rsidRPr="00365E05">
        <w:t>, the available data, while limited, indicate the following general trends: (</w:t>
      </w:r>
      <w:proofErr w:type="spellStart"/>
      <w:r w:rsidRPr="00365E05">
        <w:t>i</w:t>
      </w:r>
      <w:proofErr w:type="spellEnd"/>
      <w:r w:rsidRPr="00365E05">
        <w:t xml:space="preserve">) callus induction from leaf and hypocotyl explants is most effectively achieved with 2,4-dichlorophenoxyacetic acid (2,4-D) at 0.5–2.0 mg/L, often supplemented with a low concentration of BAP (0.1–0.5 mg/L); (ii) shoot organogenesis from cotyledonary nodes is optimally driven by 6-benzylaminopurine (BAP) at 1.0–3.0 mg/L with a low auxin supplement (NAA or IBA at 0.1–0.2 mg/L); and (iii) rooting of regenerated </w:t>
      </w:r>
      <w:proofErr w:type="spellStart"/>
      <w:r w:rsidRPr="00365E05">
        <w:t>microshoots</w:t>
      </w:r>
      <w:proofErr w:type="spellEnd"/>
      <w:r w:rsidRPr="00365E05">
        <w:t xml:space="preserve"> is most effectively induced by IBA at 0.5–1.5 mg/L, either in full-strength or half-strength MS, with the addition of activated charcoal (0.1–0.3% w/v) beneficial in some studies (Abubakar et al., 2019; Oladele et al., 2013).</w:t>
      </w:r>
    </w:p>
    <w:p w14:paraId="39D431F9" w14:textId="0AC4B032" w:rsidR="00365E05" w:rsidRDefault="008B0A9E" w:rsidP="002719B2">
      <w:pPr>
        <w:jc w:val="both"/>
      </w:pPr>
      <w:proofErr w:type="spellStart"/>
      <w:r w:rsidRPr="008B0A9E">
        <w:t>Thidiazuron</w:t>
      </w:r>
      <w:proofErr w:type="spellEnd"/>
      <w:r w:rsidRPr="008B0A9E">
        <w:t xml:space="preserve"> (TDZ) a powerful synthetic cytokinin-like </w:t>
      </w:r>
      <w:proofErr w:type="spellStart"/>
      <w:r w:rsidRPr="008B0A9E">
        <w:t>phenylurea</w:t>
      </w:r>
      <w:proofErr w:type="spellEnd"/>
      <w:r w:rsidRPr="008B0A9E">
        <w:t xml:space="preserve"> that has been shown to induce direct somatic embryogenesis and multi-shoot formation in recalcitrant woody species explants at concentrations as low as 0.01-0.1 mg/L which is far less than the concentrations needed to induce BAP (De Klerk, 2002 Its use on Z. </w:t>
      </w:r>
      <w:proofErr w:type="spellStart"/>
      <w:r w:rsidRPr="008B0A9E">
        <w:t>zanthoxyloides</w:t>
      </w:r>
      <w:proofErr w:type="spellEnd"/>
      <w:r w:rsidRPr="008B0A9E">
        <w:t xml:space="preserve"> has not been investigated rigorously but is a high-priority experimental target. Table 3 </w:t>
      </w:r>
      <w:proofErr w:type="spellStart"/>
      <w:r w:rsidRPr="008B0A9E">
        <w:t>summarises</w:t>
      </w:r>
      <w:proofErr w:type="spellEnd"/>
      <w:r w:rsidRPr="008B0A9E">
        <w:t xml:space="preserve"> the key PGR classes, their functions and their effects in the appropriate taxa.</w:t>
      </w:r>
    </w:p>
    <w:p w14:paraId="36A82D08" w14:textId="77777777" w:rsidR="008B0A9E" w:rsidRPr="00365E05" w:rsidRDefault="008B0A9E" w:rsidP="002719B2">
      <w:pPr>
        <w:jc w:val="both"/>
      </w:pPr>
    </w:p>
    <w:p w14:paraId="1C8DE637" w14:textId="77777777" w:rsidR="00365E05" w:rsidRPr="00365E05" w:rsidRDefault="00365E05" w:rsidP="002719B2">
      <w:pPr>
        <w:jc w:val="both"/>
      </w:pPr>
      <w:r w:rsidRPr="00365E05">
        <w:rPr>
          <w:b/>
          <w:bCs/>
        </w:rPr>
        <w:t xml:space="preserve">Table 3. </w:t>
      </w:r>
      <w:r w:rsidRPr="00365E05">
        <w:rPr>
          <w:i/>
          <w:iCs/>
        </w:rPr>
        <w:t xml:space="preserve">Summary of plant growth regulator classes and their roles in tissue culture of Zanthoxylum and related </w:t>
      </w:r>
      <w:proofErr w:type="spellStart"/>
      <w:r w:rsidRPr="00365E05">
        <w:rPr>
          <w:i/>
          <w:iCs/>
        </w:rPr>
        <w:t>Rutaceae</w:t>
      </w:r>
      <w:proofErr w:type="spellEnd"/>
      <w:r w:rsidRPr="00365E05">
        <w:rPr>
          <w:i/>
          <w:iCs/>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1482"/>
        <w:gridCol w:w="1773"/>
        <w:gridCol w:w="2026"/>
        <w:gridCol w:w="2116"/>
        <w:gridCol w:w="1963"/>
      </w:tblGrid>
      <w:tr w:rsidR="00365E05" w:rsidRPr="00365E05" w14:paraId="3A9ECB74" w14:textId="77777777" w:rsidTr="00FE461E">
        <w:tc>
          <w:tcPr>
            <w:tcW w:w="1500" w:type="dxa"/>
            <w:shd w:val="clear" w:color="auto" w:fill="FFFFFF" w:themeFill="background1"/>
            <w:tcMar>
              <w:top w:w="80" w:type="dxa"/>
              <w:left w:w="120" w:type="dxa"/>
              <w:bottom w:w="80" w:type="dxa"/>
              <w:right w:w="120" w:type="dxa"/>
            </w:tcMar>
            <w:vAlign w:val="center"/>
          </w:tcPr>
          <w:p w14:paraId="0AC58DC5" w14:textId="77777777" w:rsidR="00365E05" w:rsidRPr="00365E05" w:rsidRDefault="00365E05" w:rsidP="002719B2">
            <w:pPr>
              <w:jc w:val="both"/>
            </w:pPr>
            <w:r w:rsidRPr="00365E05">
              <w:rPr>
                <w:b/>
                <w:bCs/>
              </w:rPr>
              <w:t>PGR Class</w:t>
            </w:r>
          </w:p>
        </w:tc>
        <w:tc>
          <w:tcPr>
            <w:tcW w:w="1600" w:type="dxa"/>
            <w:shd w:val="clear" w:color="auto" w:fill="FFFFFF" w:themeFill="background1"/>
            <w:tcMar>
              <w:top w:w="80" w:type="dxa"/>
              <w:left w:w="120" w:type="dxa"/>
              <w:bottom w:w="80" w:type="dxa"/>
              <w:right w:w="120" w:type="dxa"/>
            </w:tcMar>
            <w:vAlign w:val="center"/>
          </w:tcPr>
          <w:p w14:paraId="57DC8479" w14:textId="77777777" w:rsidR="00365E05" w:rsidRPr="00365E05" w:rsidRDefault="00365E05" w:rsidP="002719B2">
            <w:pPr>
              <w:jc w:val="both"/>
            </w:pPr>
            <w:r w:rsidRPr="00365E05">
              <w:rPr>
                <w:b/>
                <w:bCs/>
              </w:rPr>
              <w:t>Representative Compounds</w:t>
            </w:r>
          </w:p>
        </w:tc>
        <w:tc>
          <w:tcPr>
            <w:tcW w:w="1800" w:type="dxa"/>
            <w:shd w:val="clear" w:color="auto" w:fill="FFFFFF" w:themeFill="background1"/>
            <w:tcMar>
              <w:top w:w="80" w:type="dxa"/>
              <w:left w:w="120" w:type="dxa"/>
              <w:bottom w:w="80" w:type="dxa"/>
              <w:right w:w="120" w:type="dxa"/>
            </w:tcMar>
            <w:vAlign w:val="center"/>
          </w:tcPr>
          <w:p w14:paraId="41D301DB" w14:textId="77777777" w:rsidR="00365E05" w:rsidRPr="00365E05" w:rsidRDefault="00365E05" w:rsidP="002719B2">
            <w:pPr>
              <w:jc w:val="both"/>
            </w:pPr>
            <w:r w:rsidRPr="00365E05">
              <w:rPr>
                <w:b/>
                <w:bCs/>
              </w:rPr>
              <w:t>Primary Role in Tissue Culture</w:t>
            </w:r>
          </w:p>
        </w:tc>
        <w:tc>
          <w:tcPr>
            <w:tcW w:w="2260" w:type="dxa"/>
            <w:shd w:val="clear" w:color="auto" w:fill="FFFFFF" w:themeFill="background1"/>
            <w:tcMar>
              <w:top w:w="80" w:type="dxa"/>
              <w:left w:w="120" w:type="dxa"/>
              <w:bottom w:w="80" w:type="dxa"/>
              <w:right w:w="120" w:type="dxa"/>
            </w:tcMar>
            <w:vAlign w:val="center"/>
          </w:tcPr>
          <w:p w14:paraId="56FAF79D" w14:textId="77777777" w:rsidR="00365E05" w:rsidRPr="00365E05" w:rsidRDefault="00365E05" w:rsidP="002719B2">
            <w:pPr>
              <w:jc w:val="both"/>
            </w:pPr>
            <w:r w:rsidRPr="00365E05">
              <w:rPr>
                <w:b/>
                <w:bCs/>
              </w:rPr>
              <w:t xml:space="preserve">Effect on Zanthoxylum / </w:t>
            </w:r>
            <w:proofErr w:type="spellStart"/>
            <w:r w:rsidRPr="00365E05">
              <w:rPr>
                <w:b/>
                <w:bCs/>
              </w:rPr>
              <w:t>Rutaceae</w:t>
            </w:r>
            <w:proofErr w:type="spellEnd"/>
          </w:p>
        </w:tc>
        <w:tc>
          <w:tcPr>
            <w:tcW w:w="2200" w:type="dxa"/>
            <w:shd w:val="clear" w:color="auto" w:fill="FFFFFF" w:themeFill="background1"/>
            <w:tcMar>
              <w:top w:w="80" w:type="dxa"/>
              <w:left w:w="120" w:type="dxa"/>
              <w:bottom w:w="80" w:type="dxa"/>
              <w:right w:w="120" w:type="dxa"/>
            </w:tcMar>
            <w:vAlign w:val="center"/>
          </w:tcPr>
          <w:p w14:paraId="74FA1FB1" w14:textId="77777777" w:rsidR="00365E05" w:rsidRPr="00365E05" w:rsidRDefault="00365E05" w:rsidP="002719B2">
            <w:pPr>
              <w:jc w:val="both"/>
            </w:pPr>
            <w:r w:rsidRPr="00365E05">
              <w:rPr>
                <w:b/>
                <w:bCs/>
              </w:rPr>
              <w:t>Reference</w:t>
            </w:r>
          </w:p>
        </w:tc>
      </w:tr>
      <w:tr w:rsidR="00365E05" w:rsidRPr="00365E05" w14:paraId="2D9A0C82" w14:textId="77777777" w:rsidTr="00FE461E">
        <w:tc>
          <w:tcPr>
            <w:tcW w:w="1500" w:type="dxa"/>
            <w:shd w:val="clear" w:color="auto" w:fill="FFFFFF" w:themeFill="background1"/>
            <w:tcMar>
              <w:top w:w="60" w:type="dxa"/>
              <w:left w:w="120" w:type="dxa"/>
              <w:bottom w:w="60" w:type="dxa"/>
              <w:right w:w="120" w:type="dxa"/>
            </w:tcMar>
            <w:vAlign w:val="center"/>
          </w:tcPr>
          <w:p w14:paraId="78EFE83F" w14:textId="77777777" w:rsidR="00365E05" w:rsidRPr="00365E05" w:rsidRDefault="00365E05" w:rsidP="002719B2">
            <w:pPr>
              <w:jc w:val="both"/>
            </w:pPr>
            <w:r w:rsidRPr="00365E05">
              <w:lastRenderedPageBreak/>
              <w:t>Auxins</w:t>
            </w:r>
          </w:p>
        </w:tc>
        <w:tc>
          <w:tcPr>
            <w:tcW w:w="1600" w:type="dxa"/>
            <w:shd w:val="clear" w:color="auto" w:fill="FFFFFF" w:themeFill="background1"/>
            <w:tcMar>
              <w:top w:w="60" w:type="dxa"/>
              <w:left w:w="120" w:type="dxa"/>
              <w:bottom w:w="60" w:type="dxa"/>
              <w:right w:w="120" w:type="dxa"/>
            </w:tcMar>
            <w:vAlign w:val="center"/>
          </w:tcPr>
          <w:p w14:paraId="26ADA130" w14:textId="77777777" w:rsidR="00365E05" w:rsidRPr="00365E05" w:rsidRDefault="00365E05" w:rsidP="002719B2">
            <w:pPr>
              <w:jc w:val="both"/>
            </w:pPr>
            <w:r w:rsidRPr="00365E05">
              <w:t>IAA, IBA, NAA, 2,4-D</w:t>
            </w:r>
          </w:p>
        </w:tc>
        <w:tc>
          <w:tcPr>
            <w:tcW w:w="1800" w:type="dxa"/>
            <w:shd w:val="clear" w:color="auto" w:fill="FFFFFF" w:themeFill="background1"/>
            <w:tcMar>
              <w:top w:w="60" w:type="dxa"/>
              <w:left w:w="120" w:type="dxa"/>
              <w:bottom w:w="60" w:type="dxa"/>
              <w:right w:w="120" w:type="dxa"/>
            </w:tcMar>
            <w:vAlign w:val="center"/>
          </w:tcPr>
          <w:p w14:paraId="6E0D8248" w14:textId="77777777" w:rsidR="00365E05" w:rsidRPr="00365E05" w:rsidRDefault="00365E05" w:rsidP="002719B2">
            <w:pPr>
              <w:jc w:val="both"/>
            </w:pPr>
            <w:r w:rsidRPr="00365E05">
              <w:t>Callus induction; root initiation; embryo development</w:t>
            </w:r>
          </w:p>
        </w:tc>
        <w:tc>
          <w:tcPr>
            <w:tcW w:w="2260" w:type="dxa"/>
            <w:shd w:val="clear" w:color="auto" w:fill="FFFFFF" w:themeFill="background1"/>
            <w:tcMar>
              <w:top w:w="60" w:type="dxa"/>
              <w:left w:w="120" w:type="dxa"/>
              <w:bottom w:w="60" w:type="dxa"/>
              <w:right w:w="120" w:type="dxa"/>
            </w:tcMar>
            <w:vAlign w:val="center"/>
          </w:tcPr>
          <w:p w14:paraId="174BE7D0" w14:textId="77777777" w:rsidR="00365E05" w:rsidRPr="00365E05" w:rsidRDefault="00365E05" w:rsidP="002719B2">
            <w:pPr>
              <w:jc w:val="both"/>
            </w:pPr>
            <w:r w:rsidRPr="00365E05">
              <w:t xml:space="preserve">2,4-D (0.5–2.0 mg/L) induces compact callus; IBA promotes rooting of </w:t>
            </w:r>
            <w:proofErr w:type="spellStart"/>
            <w:r w:rsidRPr="00365E05">
              <w:t>microshoots</w:t>
            </w:r>
            <w:proofErr w:type="spellEnd"/>
          </w:p>
        </w:tc>
        <w:tc>
          <w:tcPr>
            <w:tcW w:w="2200" w:type="dxa"/>
            <w:shd w:val="clear" w:color="auto" w:fill="FFFFFF" w:themeFill="background1"/>
            <w:tcMar>
              <w:top w:w="60" w:type="dxa"/>
              <w:left w:w="120" w:type="dxa"/>
              <w:bottom w:w="60" w:type="dxa"/>
              <w:right w:w="120" w:type="dxa"/>
            </w:tcMar>
            <w:vAlign w:val="center"/>
          </w:tcPr>
          <w:p w14:paraId="5608E084" w14:textId="77777777" w:rsidR="00365E05" w:rsidRPr="00365E05" w:rsidRDefault="00365E05" w:rsidP="002719B2">
            <w:pPr>
              <w:jc w:val="both"/>
            </w:pPr>
            <w:r w:rsidRPr="00365E05">
              <w:t>George et al., 2008; Oladele et al., 2013</w:t>
            </w:r>
          </w:p>
        </w:tc>
      </w:tr>
      <w:tr w:rsidR="00365E05" w:rsidRPr="00365E05" w14:paraId="34607B28" w14:textId="77777777" w:rsidTr="00FE461E">
        <w:tc>
          <w:tcPr>
            <w:tcW w:w="1500" w:type="dxa"/>
            <w:shd w:val="clear" w:color="auto" w:fill="FFFFFF" w:themeFill="background1"/>
            <w:tcMar>
              <w:top w:w="60" w:type="dxa"/>
              <w:left w:w="120" w:type="dxa"/>
              <w:bottom w:w="60" w:type="dxa"/>
              <w:right w:w="120" w:type="dxa"/>
            </w:tcMar>
            <w:vAlign w:val="center"/>
          </w:tcPr>
          <w:p w14:paraId="09DEA7EE" w14:textId="77777777" w:rsidR="00365E05" w:rsidRPr="00365E05" w:rsidRDefault="00365E05" w:rsidP="002719B2">
            <w:pPr>
              <w:jc w:val="both"/>
            </w:pPr>
            <w:proofErr w:type="spellStart"/>
            <w:r w:rsidRPr="00365E05">
              <w:t>Cytokinins</w:t>
            </w:r>
            <w:proofErr w:type="spellEnd"/>
          </w:p>
        </w:tc>
        <w:tc>
          <w:tcPr>
            <w:tcW w:w="1600" w:type="dxa"/>
            <w:shd w:val="clear" w:color="auto" w:fill="FFFFFF" w:themeFill="background1"/>
            <w:tcMar>
              <w:top w:w="60" w:type="dxa"/>
              <w:left w:w="120" w:type="dxa"/>
              <w:bottom w:w="60" w:type="dxa"/>
              <w:right w:w="120" w:type="dxa"/>
            </w:tcMar>
            <w:vAlign w:val="center"/>
          </w:tcPr>
          <w:p w14:paraId="3DDCFAA0" w14:textId="77777777" w:rsidR="00365E05" w:rsidRPr="00365E05" w:rsidRDefault="00365E05" w:rsidP="002719B2">
            <w:pPr>
              <w:jc w:val="both"/>
            </w:pPr>
            <w:r w:rsidRPr="00365E05">
              <w:t>BAP, Kinetin, TDZ, Zeatin</w:t>
            </w:r>
          </w:p>
        </w:tc>
        <w:tc>
          <w:tcPr>
            <w:tcW w:w="1800" w:type="dxa"/>
            <w:shd w:val="clear" w:color="auto" w:fill="FFFFFF" w:themeFill="background1"/>
            <w:tcMar>
              <w:top w:w="60" w:type="dxa"/>
              <w:left w:w="120" w:type="dxa"/>
              <w:bottom w:w="60" w:type="dxa"/>
              <w:right w:w="120" w:type="dxa"/>
            </w:tcMar>
            <w:vAlign w:val="center"/>
          </w:tcPr>
          <w:p w14:paraId="6187A98F" w14:textId="77777777" w:rsidR="00365E05" w:rsidRPr="00365E05" w:rsidRDefault="00365E05" w:rsidP="002719B2">
            <w:pPr>
              <w:jc w:val="both"/>
            </w:pPr>
            <w:r w:rsidRPr="00365E05">
              <w:t>Shoot multiplication; axillary bud break; cytodifferentiation</w:t>
            </w:r>
          </w:p>
        </w:tc>
        <w:tc>
          <w:tcPr>
            <w:tcW w:w="2260" w:type="dxa"/>
            <w:shd w:val="clear" w:color="auto" w:fill="FFFFFF" w:themeFill="background1"/>
            <w:tcMar>
              <w:top w:w="60" w:type="dxa"/>
              <w:left w:w="120" w:type="dxa"/>
              <w:bottom w:w="60" w:type="dxa"/>
              <w:right w:w="120" w:type="dxa"/>
            </w:tcMar>
            <w:vAlign w:val="center"/>
          </w:tcPr>
          <w:p w14:paraId="2C80C032" w14:textId="77777777" w:rsidR="00365E05" w:rsidRPr="00365E05" w:rsidRDefault="00365E05" w:rsidP="002719B2">
            <w:pPr>
              <w:jc w:val="both"/>
            </w:pPr>
            <w:r w:rsidRPr="00365E05">
              <w:t>BAP (1.0–3.0 mg/L) optimal for shoot proliferation; TDZ effective at lower concentrations</w:t>
            </w:r>
          </w:p>
        </w:tc>
        <w:tc>
          <w:tcPr>
            <w:tcW w:w="2200" w:type="dxa"/>
            <w:shd w:val="clear" w:color="auto" w:fill="FFFFFF" w:themeFill="background1"/>
            <w:tcMar>
              <w:top w:w="60" w:type="dxa"/>
              <w:left w:w="120" w:type="dxa"/>
              <w:bottom w:w="60" w:type="dxa"/>
              <w:right w:w="120" w:type="dxa"/>
            </w:tcMar>
            <w:vAlign w:val="center"/>
          </w:tcPr>
          <w:p w14:paraId="625A118F" w14:textId="77777777" w:rsidR="00365E05" w:rsidRPr="00365E05" w:rsidRDefault="00365E05" w:rsidP="002719B2">
            <w:pPr>
              <w:jc w:val="both"/>
            </w:pPr>
            <w:r w:rsidRPr="00365E05">
              <w:t>Skoog &amp; Miller, 1957; Abubakar et al., 2019</w:t>
            </w:r>
          </w:p>
        </w:tc>
      </w:tr>
      <w:tr w:rsidR="00365E05" w:rsidRPr="00365E05" w14:paraId="3190FD82" w14:textId="77777777" w:rsidTr="00FE461E">
        <w:tc>
          <w:tcPr>
            <w:tcW w:w="1500" w:type="dxa"/>
            <w:shd w:val="clear" w:color="auto" w:fill="FFFFFF" w:themeFill="background1"/>
            <w:tcMar>
              <w:top w:w="60" w:type="dxa"/>
              <w:left w:w="120" w:type="dxa"/>
              <w:bottom w:w="60" w:type="dxa"/>
              <w:right w:w="120" w:type="dxa"/>
            </w:tcMar>
            <w:vAlign w:val="center"/>
          </w:tcPr>
          <w:p w14:paraId="7461900F" w14:textId="77777777" w:rsidR="00365E05" w:rsidRPr="00365E05" w:rsidRDefault="00365E05" w:rsidP="002719B2">
            <w:pPr>
              <w:jc w:val="both"/>
            </w:pPr>
            <w:r w:rsidRPr="00365E05">
              <w:t>Gibberellins</w:t>
            </w:r>
          </w:p>
        </w:tc>
        <w:tc>
          <w:tcPr>
            <w:tcW w:w="1600" w:type="dxa"/>
            <w:shd w:val="clear" w:color="auto" w:fill="FFFFFF" w:themeFill="background1"/>
            <w:tcMar>
              <w:top w:w="60" w:type="dxa"/>
              <w:left w:w="120" w:type="dxa"/>
              <w:bottom w:w="60" w:type="dxa"/>
              <w:right w:w="120" w:type="dxa"/>
            </w:tcMar>
            <w:vAlign w:val="center"/>
          </w:tcPr>
          <w:p w14:paraId="5DE08A2E" w14:textId="77777777" w:rsidR="00365E05" w:rsidRPr="00365E05" w:rsidRDefault="00365E05" w:rsidP="002719B2">
            <w:pPr>
              <w:jc w:val="both"/>
            </w:pPr>
            <w:r w:rsidRPr="00365E05">
              <w:t>GA3</w:t>
            </w:r>
          </w:p>
        </w:tc>
        <w:tc>
          <w:tcPr>
            <w:tcW w:w="1800" w:type="dxa"/>
            <w:shd w:val="clear" w:color="auto" w:fill="FFFFFF" w:themeFill="background1"/>
            <w:tcMar>
              <w:top w:w="60" w:type="dxa"/>
              <w:left w:w="120" w:type="dxa"/>
              <w:bottom w:w="60" w:type="dxa"/>
              <w:right w:w="120" w:type="dxa"/>
            </w:tcMar>
            <w:vAlign w:val="center"/>
          </w:tcPr>
          <w:p w14:paraId="0A21F4EF" w14:textId="77777777" w:rsidR="00365E05" w:rsidRPr="00365E05" w:rsidRDefault="00365E05" w:rsidP="002719B2">
            <w:pPr>
              <w:jc w:val="both"/>
            </w:pPr>
            <w:r w:rsidRPr="00365E05">
              <w:t>Internode elongation; seed germination; embryo maturation</w:t>
            </w:r>
          </w:p>
        </w:tc>
        <w:tc>
          <w:tcPr>
            <w:tcW w:w="2260" w:type="dxa"/>
            <w:shd w:val="clear" w:color="auto" w:fill="FFFFFF" w:themeFill="background1"/>
            <w:tcMar>
              <w:top w:w="60" w:type="dxa"/>
              <w:left w:w="120" w:type="dxa"/>
              <w:bottom w:w="60" w:type="dxa"/>
              <w:right w:w="120" w:type="dxa"/>
            </w:tcMar>
            <w:vAlign w:val="center"/>
          </w:tcPr>
          <w:p w14:paraId="53BE2FB8" w14:textId="77777777" w:rsidR="00365E05" w:rsidRPr="00365E05" w:rsidRDefault="00365E05" w:rsidP="002719B2">
            <w:pPr>
              <w:jc w:val="both"/>
            </w:pPr>
            <w:r w:rsidRPr="00365E05">
              <w:t xml:space="preserve">GA3 (0.1 mg/L) enhances zygotic embryo germination in Z. </w:t>
            </w:r>
            <w:proofErr w:type="spellStart"/>
            <w:r w:rsidRPr="00365E05">
              <w:t>zanthoxyloides</w:t>
            </w:r>
            <w:proofErr w:type="spellEnd"/>
          </w:p>
        </w:tc>
        <w:tc>
          <w:tcPr>
            <w:tcW w:w="2200" w:type="dxa"/>
            <w:shd w:val="clear" w:color="auto" w:fill="FFFFFF" w:themeFill="background1"/>
            <w:tcMar>
              <w:top w:w="60" w:type="dxa"/>
              <w:left w:w="120" w:type="dxa"/>
              <w:bottom w:w="60" w:type="dxa"/>
              <w:right w:w="120" w:type="dxa"/>
            </w:tcMar>
            <w:vAlign w:val="center"/>
          </w:tcPr>
          <w:p w14:paraId="423976D7" w14:textId="77777777" w:rsidR="00365E05" w:rsidRPr="00365E05" w:rsidRDefault="00365E05" w:rsidP="002719B2">
            <w:pPr>
              <w:jc w:val="both"/>
            </w:pPr>
            <w:r w:rsidRPr="00365E05">
              <w:t>Jimenez, 2005</w:t>
            </w:r>
          </w:p>
        </w:tc>
      </w:tr>
      <w:tr w:rsidR="00365E05" w:rsidRPr="00365E05" w14:paraId="3A9E3C99" w14:textId="77777777" w:rsidTr="00FE461E">
        <w:tc>
          <w:tcPr>
            <w:tcW w:w="1500" w:type="dxa"/>
            <w:shd w:val="clear" w:color="auto" w:fill="FFFFFF" w:themeFill="background1"/>
            <w:tcMar>
              <w:top w:w="60" w:type="dxa"/>
              <w:left w:w="120" w:type="dxa"/>
              <w:bottom w:w="60" w:type="dxa"/>
              <w:right w:w="120" w:type="dxa"/>
            </w:tcMar>
            <w:vAlign w:val="center"/>
          </w:tcPr>
          <w:p w14:paraId="225A312E" w14:textId="77777777" w:rsidR="00365E05" w:rsidRPr="00365E05" w:rsidRDefault="00365E05" w:rsidP="002719B2">
            <w:pPr>
              <w:jc w:val="both"/>
            </w:pPr>
            <w:r w:rsidRPr="00365E05">
              <w:t>Abscisic Acid</w:t>
            </w:r>
          </w:p>
        </w:tc>
        <w:tc>
          <w:tcPr>
            <w:tcW w:w="1600" w:type="dxa"/>
            <w:shd w:val="clear" w:color="auto" w:fill="FFFFFF" w:themeFill="background1"/>
            <w:tcMar>
              <w:top w:w="60" w:type="dxa"/>
              <w:left w:w="120" w:type="dxa"/>
              <w:bottom w:w="60" w:type="dxa"/>
              <w:right w:w="120" w:type="dxa"/>
            </w:tcMar>
            <w:vAlign w:val="center"/>
          </w:tcPr>
          <w:p w14:paraId="791D7A17" w14:textId="77777777" w:rsidR="00365E05" w:rsidRPr="00365E05" w:rsidRDefault="00365E05" w:rsidP="002719B2">
            <w:pPr>
              <w:jc w:val="both"/>
            </w:pPr>
            <w:r w:rsidRPr="00365E05">
              <w:t>ABA</w:t>
            </w:r>
          </w:p>
        </w:tc>
        <w:tc>
          <w:tcPr>
            <w:tcW w:w="1800" w:type="dxa"/>
            <w:shd w:val="clear" w:color="auto" w:fill="FFFFFF" w:themeFill="background1"/>
            <w:tcMar>
              <w:top w:w="60" w:type="dxa"/>
              <w:left w:w="120" w:type="dxa"/>
              <w:bottom w:w="60" w:type="dxa"/>
              <w:right w:w="120" w:type="dxa"/>
            </w:tcMar>
            <w:vAlign w:val="center"/>
          </w:tcPr>
          <w:p w14:paraId="7AE1B006" w14:textId="77777777" w:rsidR="00365E05" w:rsidRPr="00365E05" w:rsidRDefault="00365E05" w:rsidP="002719B2">
            <w:pPr>
              <w:jc w:val="both"/>
            </w:pPr>
            <w:r w:rsidRPr="00365E05">
              <w:t>Somatic embryo maturation; desiccation tolerance</w:t>
            </w:r>
          </w:p>
        </w:tc>
        <w:tc>
          <w:tcPr>
            <w:tcW w:w="2260" w:type="dxa"/>
            <w:shd w:val="clear" w:color="auto" w:fill="FFFFFF" w:themeFill="background1"/>
            <w:tcMar>
              <w:top w:w="60" w:type="dxa"/>
              <w:left w:w="120" w:type="dxa"/>
              <w:bottom w:w="60" w:type="dxa"/>
              <w:right w:w="120" w:type="dxa"/>
            </w:tcMar>
            <w:vAlign w:val="center"/>
          </w:tcPr>
          <w:p w14:paraId="3F2AD722" w14:textId="77777777" w:rsidR="00365E05" w:rsidRPr="00365E05" w:rsidRDefault="00365E05" w:rsidP="002719B2">
            <w:pPr>
              <w:jc w:val="both"/>
            </w:pPr>
            <w:r w:rsidRPr="00365E05">
              <w:t>Promotes maturation of somatic embryos; critical for converting embryogenic callus</w:t>
            </w:r>
          </w:p>
        </w:tc>
        <w:tc>
          <w:tcPr>
            <w:tcW w:w="2200" w:type="dxa"/>
            <w:shd w:val="clear" w:color="auto" w:fill="FFFFFF" w:themeFill="background1"/>
            <w:tcMar>
              <w:top w:w="60" w:type="dxa"/>
              <w:left w:w="120" w:type="dxa"/>
              <w:bottom w:w="60" w:type="dxa"/>
              <w:right w:w="120" w:type="dxa"/>
            </w:tcMar>
            <w:vAlign w:val="center"/>
          </w:tcPr>
          <w:p w14:paraId="698BFE0E" w14:textId="77777777" w:rsidR="00365E05" w:rsidRPr="00365E05" w:rsidRDefault="00365E05" w:rsidP="002719B2">
            <w:pPr>
              <w:jc w:val="both"/>
            </w:pPr>
            <w:r w:rsidRPr="00365E05">
              <w:t>Jimenez, 2005</w:t>
            </w:r>
          </w:p>
        </w:tc>
      </w:tr>
      <w:tr w:rsidR="00365E05" w:rsidRPr="00365E05" w14:paraId="71A0EEF5" w14:textId="77777777" w:rsidTr="00FE461E">
        <w:tc>
          <w:tcPr>
            <w:tcW w:w="1500" w:type="dxa"/>
            <w:shd w:val="clear" w:color="auto" w:fill="FFFFFF" w:themeFill="background1"/>
            <w:tcMar>
              <w:top w:w="60" w:type="dxa"/>
              <w:left w:w="120" w:type="dxa"/>
              <w:bottom w:w="60" w:type="dxa"/>
              <w:right w:w="120" w:type="dxa"/>
            </w:tcMar>
            <w:vAlign w:val="center"/>
          </w:tcPr>
          <w:p w14:paraId="6387876E" w14:textId="77777777" w:rsidR="00365E05" w:rsidRPr="00365E05" w:rsidRDefault="00365E05" w:rsidP="002719B2">
            <w:pPr>
              <w:jc w:val="both"/>
            </w:pPr>
            <w:proofErr w:type="spellStart"/>
            <w:r w:rsidRPr="00365E05">
              <w:t>Thidiazuron</w:t>
            </w:r>
            <w:proofErr w:type="spellEnd"/>
            <w:r w:rsidRPr="00365E05">
              <w:t xml:space="preserve"> (TDZ)</w:t>
            </w:r>
          </w:p>
        </w:tc>
        <w:tc>
          <w:tcPr>
            <w:tcW w:w="1600" w:type="dxa"/>
            <w:shd w:val="clear" w:color="auto" w:fill="FFFFFF" w:themeFill="background1"/>
            <w:tcMar>
              <w:top w:w="60" w:type="dxa"/>
              <w:left w:w="120" w:type="dxa"/>
              <w:bottom w:w="60" w:type="dxa"/>
              <w:right w:w="120" w:type="dxa"/>
            </w:tcMar>
            <w:vAlign w:val="center"/>
          </w:tcPr>
          <w:p w14:paraId="61637C99" w14:textId="77777777" w:rsidR="00365E05" w:rsidRPr="00365E05" w:rsidRDefault="00365E05" w:rsidP="002719B2">
            <w:pPr>
              <w:jc w:val="both"/>
            </w:pPr>
            <w:r w:rsidRPr="00365E05">
              <w:t>TDZ (synthetic)</w:t>
            </w:r>
          </w:p>
        </w:tc>
        <w:tc>
          <w:tcPr>
            <w:tcW w:w="1800" w:type="dxa"/>
            <w:shd w:val="clear" w:color="auto" w:fill="FFFFFF" w:themeFill="background1"/>
            <w:tcMar>
              <w:top w:w="60" w:type="dxa"/>
              <w:left w:w="120" w:type="dxa"/>
              <w:bottom w:w="60" w:type="dxa"/>
              <w:right w:w="120" w:type="dxa"/>
            </w:tcMar>
            <w:vAlign w:val="center"/>
          </w:tcPr>
          <w:p w14:paraId="40AFDA2A" w14:textId="77777777" w:rsidR="00365E05" w:rsidRPr="00365E05" w:rsidRDefault="00365E05" w:rsidP="002719B2">
            <w:pPr>
              <w:jc w:val="both"/>
            </w:pPr>
            <w:r w:rsidRPr="00365E05">
              <w:t>Potent cytokinin-like activity; direct organogenesis; embryogenesis induction</w:t>
            </w:r>
          </w:p>
        </w:tc>
        <w:tc>
          <w:tcPr>
            <w:tcW w:w="2260" w:type="dxa"/>
            <w:shd w:val="clear" w:color="auto" w:fill="FFFFFF" w:themeFill="background1"/>
            <w:tcMar>
              <w:top w:w="60" w:type="dxa"/>
              <w:left w:w="120" w:type="dxa"/>
              <w:bottom w:w="60" w:type="dxa"/>
              <w:right w:w="120" w:type="dxa"/>
            </w:tcMar>
            <w:vAlign w:val="center"/>
          </w:tcPr>
          <w:p w14:paraId="35515C45" w14:textId="77777777" w:rsidR="00365E05" w:rsidRPr="00365E05" w:rsidRDefault="00365E05" w:rsidP="002719B2">
            <w:pPr>
              <w:jc w:val="both"/>
            </w:pPr>
            <w:r w:rsidRPr="00365E05">
              <w:t>Effective at 0.1–0.5 mg/L for recalcitrant explants; reduces need for combination PGRs</w:t>
            </w:r>
          </w:p>
        </w:tc>
        <w:tc>
          <w:tcPr>
            <w:tcW w:w="2200" w:type="dxa"/>
            <w:shd w:val="clear" w:color="auto" w:fill="FFFFFF" w:themeFill="background1"/>
            <w:tcMar>
              <w:top w:w="60" w:type="dxa"/>
              <w:left w:w="120" w:type="dxa"/>
              <w:bottom w:w="60" w:type="dxa"/>
              <w:right w:w="120" w:type="dxa"/>
            </w:tcMar>
            <w:vAlign w:val="center"/>
          </w:tcPr>
          <w:p w14:paraId="0D4D82D5" w14:textId="77777777" w:rsidR="00365E05" w:rsidRPr="00365E05" w:rsidRDefault="00365E05" w:rsidP="002719B2">
            <w:pPr>
              <w:jc w:val="both"/>
            </w:pPr>
            <w:r w:rsidRPr="00365E05">
              <w:t>De Klerk, 2002</w:t>
            </w:r>
          </w:p>
        </w:tc>
      </w:tr>
    </w:tbl>
    <w:p w14:paraId="45FC1514" w14:textId="77777777" w:rsidR="00365E05" w:rsidRPr="00365E05" w:rsidRDefault="00365E05" w:rsidP="002719B2">
      <w:pPr>
        <w:jc w:val="both"/>
      </w:pPr>
    </w:p>
    <w:p w14:paraId="72C185A4" w14:textId="77777777" w:rsidR="00365E05" w:rsidRPr="00365E05" w:rsidRDefault="00365E05" w:rsidP="002719B2">
      <w:pPr>
        <w:jc w:val="both"/>
        <w:rPr>
          <w:b/>
          <w:bCs/>
        </w:rPr>
      </w:pPr>
      <w:r w:rsidRPr="00365E05">
        <w:rPr>
          <w:b/>
          <w:bCs/>
        </w:rPr>
        <w:t>4. Somatic Embryogenesis and Organogenesis</w:t>
      </w:r>
    </w:p>
    <w:p w14:paraId="0530DB91" w14:textId="77777777" w:rsidR="00365E05" w:rsidRPr="00365E05" w:rsidRDefault="00365E05" w:rsidP="002719B2">
      <w:pPr>
        <w:jc w:val="both"/>
        <w:rPr>
          <w:b/>
          <w:bCs/>
        </w:rPr>
      </w:pPr>
      <w:r w:rsidRPr="00365E05">
        <w:rPr>
          <w:b/>
          <w:bCs/>
        </w:rPr>
        <w:t>4.1 Somatic Embryogenesis: Pathway, Induction, and Maturation</w:t>
      </w:r>
    </w:p>
    <w:p w14:paraId="41CB0E9E" w14:textId="32993E5E" w:rsidR="00E60880" w:rsidRDefault="00E60880" w:rsidP="002719B2">
      <w:pPr>
        <w:jc w:val="both"/>
      </w:pPr>
      <w:r>
        <w:rPr>
          <w:rStyle w:val="cursor-pointer"/>
          <w:rFonts w:ascii="Geist Fallback" w:hAnsi="Geist Fallback"/>
          <w:sz w:val="23"/>
          <w:szCs w:val="23"/>
        </w:rPr>
        <w:t>The most promising approach to large-scale plant conservation and propagation is probably somatic embryogenesis (SE), the reprogramming of somatic cells to undergo embryonic development (globular, heart, torpedo, cotyledonary) that recapitulates zygotic embryo development (Jimenez, 2005; Loyola-Vargas and Ochoa-</w:t>
      </w:r>
      <w:proofErr w:type="spellStart"/>
      <w:r>
        <w:rPr>
          <w:rStyle w:val="cursor-pointer"/>
          <w:rFonts w:ascii="Geist Fallback" w:hAnsi="Geist Fallback"/>
          <w:sz w:val="23"/>
          <w:szCs w:val="23"/>
        </w:rPr>
        <w:t>Alejo</w:t>
      </w:r>
      <w:proofErr w:type="spellEnd"/>
      <w:r>
        <w:rPr>
          <w:rStyle w:val="cursor-pointer"/>
          <w:rFonts w:ascii="Geist Fallback" w:hAnsi="Geist Fallback"/>
          <w:sz w:val="23"/>
          <w:szCs w:val="23"/>
        </w:rPr>
        <w:t>,</w:t>
      </w:r>
      <w:r>
        <w:rPr>
          <w:rFonts w:ascii="Geist Fallback" w:hAnsi="Geist Fallback"/>
          <w:sz w:val="23"/>
          <w:szCs w:val="23"/>
        </w:rPr>
        <w:t xml:space="preserve"> </w:t>
      </w:r>
      <w:r>
        <w:rPr>
          <w:rStyle w:val="cursor-pointer"/>
          <w:rFonts w:ascii="Geist Fallback" w:hAnsi="Geist Fallback"/>
          <w:sz w:val="23"/>
          <w:szCs w:val="23"/>
        </w:rPr>
        <w:t>SE has a number of benefits compared to organogenesis: It can generate genetically complete propagules with shoot and root meristems; embryogenic cultures can be grown in cell suspension and scaled to produce larger quantities; and somatic embryos can undergo encapsulation to form synthetic seeds (</w:t>
      </w:r>
      <w:proofErr w:type="spellStart"/>
      <w:r>
        <w:rPr>
          <w:rStyle w:val="cursor-pointer"/>
          <w:rFonts w:ascii="Geist Fallback" w:hAnsi="Geist Fallback"/>
          <w:sz w:val="23"/>
          <w:szCs w:val="23"/>
        </w:rPr>
        <w:t>Galewsky</w:t>
      </w:r>
      <w:proofErr w:type="spellEnd"/>
      <w:r>
        <w:rPr>
          <w:rStyle w:val="cursor-pointer"/>
          <w:rFonts w:ascii="Geist Fallback" w:hAnsi="Geist Fallback"/>
          <w:sz w:val="23"/>
          <w:szCs w:val="23"/>
        </w:rPr>
        <w:t xml:space="preserve"> and Nessler, 1986; Neumann et al., 2009).</w:t>
      </w:r>
      <w:r>
        <w:rPr>
          <w:rFonts w:ascii="Geist Fallback" w:hAnsi="Geist Fallback"/>
          <w:sz w:val="23"/>
          <w:szCs w:val="23"/>
        </w:rPr>
        <w:t xml:space="preserve"> </w:t>
      </w:r>
      <w:r>
        <w:rPr>
          <w:rStyle w:val="cursor-pointer"/>
          <w:rFonts w:ascii="Geist Fallback" w:hAnsi="Geist Fallback"/>
          <w:sz w:val="23"/>
          <w:szCs w:val="23"/>
        </w:rPr>
        <w:t xml:space="preserve">SOMATIC </w:t>
      </w:r>
      <w:proofErr w:type="spellStart"/>
      <w:r>
        <w:rPr>
          <w:rStyle w:val="cursor-pointer"/>
          <w:rFonts w:ascii="Geist Fallback" w:hAnsi="Geist Fallback"/>
          <w:sz w:val="23"/>
          <w:szCs w:val="23"/>
        </w:rPr>
        <w:t>Somatic</w:t>
      </w:r>
      <w:proofErr w:type="spellEnd"/>
      <w:r>
        <w:rPr>
          <w:rStyle w:val="cursor-pointer"/>
          <w:rFonts w:ascii="Geist Fallback" w:hAnsi="Geist Fallback"/>
          <w:sz w:val="23"/>
          <w:szCs w:val="23"/>
        </w:rPr>
        <w:t xml:space="preserve"> embryogenesis of Zanthoxylum was described in Z. </w:t>
      </w:r>
      <w:proofErr w:type="spellStart"/>
      <w:r>
        <w:rPr>
          <w:rStyle w:val="cursor-pointer"/>
          <w:rFonts w:ascii="Geist Fallback" w:hAnsi="Geist Fallback"/>
          <w:sz w:val="23"/>
          <w:szCs w:val="23"/>
        </w:rPr>
        <w:t>alatum</w:t>
      </w:r>
      <w:proofErr w:type="spellEnd"/>
      <w:r>
        <w:rPr>
          <w:rStyle w:val="cursor-pointer"/>
          <w:rFonts w:ascii="Geist Fallback" w:hAnsi="Geist Fallback"/>
          <w:sz w:val="23"/>
          <w:szCs w:val="23"/>
        </w:rPr>
        <w:t xml:space="preserve"> using cotyledon explants cultured on MS with supplementation of BAP (1.5 mg/L) and IBA (0.5 mg/L) with a regeneration percentage of about 72% (Yadav et al., 2003).</w:t>
      </w:r>
      <w:r>
        <w:rPr>
          <w:rFonts w:ascii="Geist Fallback" w:hAnsi="Geist Fallback"/>
          <w:sz w:val="23"/>
          <w:szCs w:val="23"/>
        </w:rPr>
        <w:t xml:space="preserve"> </w:t>
      </w:r>
      <w:r>
        <w:rPr>
          <w:rStyle w:val="cursor-pointer"/>
          <w:rFonts w:ascii="Geist Fallback" w:hAnsi="Geist Fallback"/>
          <w:sz w:val="23"/>
          <w:szCs w:val="23"/>
        </w:rPr>
        <w:t xml:space="preserve">In the case of Z. </w:t>
      </w:r>
      <w:proofErr w:type="spellStart"/>
      <w:r>
        <w:rPr>
          <w:rStyle w:val="cursor-pointer"/>
          <w:rFonts w:ascii="Geist Fallback" w:hAnsi="Geist Fallback"/>
          <w:sz w:val="23"/>
          <w:szCs w:val="23"/>
        </w:rPr>
        <w:t>zanthoxyloides</w:t>
      </w:r>
      <w:proofErr w:type="spellEnd"/>
      <w:r>
        <w:rPr>
          <w:rStyle w:val="cursor-pointer"/>
          <w:rFonts w:ascii="Geist Fallback" w:hAnsi="Geist Fallback"/>
          <w:sz w:val="23"/>
          <w:szCs w:val="23"/>
        </w:rPr>
        <w:t>, there is no report of successful somatic embryogenesis published in the peer-reviewed literature, which may be the most critical technical gap in conservation biotechnology of the species.</w:t>
      </w:r>
      <w:r>
        <w:rPr>
          <w:rFonts w:ascii="Geist Fallback" w:hAnsi="Geist Fallback"/>
          <w:sz w:val="23"/>
          <w:szCs w:val="23"/>
        </w:rPr>
        <w:t xml:space="preserve"> </w:t>
      </w:r>
      <w:r>
        <w:rPr>
          <w:rStyle w:val="cursor-pointer"/>
          <w:rFonts w:ascii="Geist Fallback" w:hAnsi="Geist Fallback"/>
          <w:sz w:val="23"/>
          <w:szCs w:val="23"/>
        </w:rPr>
        <w:t xml:space="preserve">The high concentration of secondary metabolites (especially alkaloids and essential oils) in the majority of the tissue types complicates the induction of embryogenic competence in Z. </w:t>
      </w:r>
      <w:proofErr w:type="spellStart"/>
      <w:r>
        <w:rPr>
          <w:rStyle w:val="cursor-pointer"/>
          <w:rFonts w:ascii="Geist Fallback" w:hAnsi="Geist Fallback"/>
          <w:sz w:val="23"/>
          <w:szCs w:val="23"/>
        </w:rPr>
        <w:t>zanthoxyloides</w:t>
      </w:r>
      <w:proofErr w:type="spellEnd"/>
      <w:r>
        <w:rPr>
          <w:rStyle w:val="cursor-pointer"/>
          <w:rFonts w:ascii="Geist Fallback" w:hAnsi="Geist Fallback"/>
          <w:sz w:val="23"/>
          <w:szCs w:val="23"/>
        </w:rPr>
        <w:t xml:space="preserve"> as this can suppress the chromatin </w:t>
      </w:r>
      <w:proofErr w:type="spellStart"/>
      <w:r>
        <w:rPr>
          <w:rStyle w:val="cursor-pointer"/>
          <w:rFonts w:ascii="Geist Fallback" w:hAnsi="Geist Fallback"/>
          <w:sz w:val="23"/>
          <w:szCs w:val="23"/>
        </w:rPr>
        <w:t>remodelling</w:t>
      </w:r>
      <w:proofErr w:type="spellEnd"/>
      <w:r>
        <w:rPr>
          <w:rStyle w:val="cursor-pointer"/>
          <w:rFonts w:ascii="Geist Fallback" w:hAnsi="Geist Fallback"/>
          <w:sz w:val="23"/>
          <w:szCs w:val="23"/>
        </w:rPr>
        <w:t xml:space="preserve"> processes ensured by somatic </w:t>
      </w:r>
      <w:r>
        <w:rPr>
          <w:rStyle w:val="cursor-pointer"/>
          <w:rFonts w:ascii="Geist Fallback" w:hAnsi="Geist Fallback"/>
          <w:sz w:val="23"/>
          <w:szCs w:val="23"/>
        </w:rPr>
        <w:lastRenderedPageBreak/>
        <w:t>cell reprogramming (Jimenez, 2005).</w:t>
      </w:r>
      <w:r>
        <w:rPr>
          <w:rFonts w:ascii="Geist Fallback" w:hAnsi="Geist Fallback"/>
          <w:sz w:val="23"/>
          <w:szCs w:val="23"/>
        </w:rPr>
        <w:t xml:space="preserve"> </w:t>
      </w:r>
      <w:r>
        <w:rPr>
          <w:rStyle w:val="cursor-pointer"/>
          <w:rFonts w:ascii="Geist Fallback" w:hAnsi="Geist Fallback"/>
          <w:sz w:val="23"/>
          <w:szCs w:val="23"/>
        </w:rPr>
        <w:t xml:space="preserve">Based on the trajectory of research in related </w:t>
      </w:r>
      <w:proofErr w:type="spellStart"/>
      <w:r>
        <w:rPr>
          <w:rStyle w:val="cursor-pointer"/>
          <w:rFonts w:ascii="Geist Fallback" w:hAnsi="Geist Fallback"/>
          <w:sz w:val="23"/>
          <w:szCs w:val="23"/>
        </w:rPr>
        <w:t>Rutaceae</w:t>
      </w:r>
      <w:proofErr w:type="spellEnd"/>
      <w:r>
        <w:rPr>
          <w:rStyle w:val="cursor-pointer"/>
          <w:rFonts w:ascii="Geist Fallback" w:hAnsi="Geist Fallback"/>
          <w:sz w:val="23"/>
          <w:szCs w:val="23"/>
        </w:rPr>
        <w:t xml:space="preserve"> and tropical trees broadly, the most promising explant–PGR combinations for inducing SE in Z. </w:t>
      </w:r>
      <w:proofErr w:type="spellStart"/>
      <w:r>
        <w:rPr>
          <w:rStyle w:val="cursor-pointer"/>
          <w:rFonts w:ascii="Geist Fallback" w:hAnsi="Geist Fallback"/>
          <w:sz w:val="23"/>
          <w:szCs w:val="23"/>
        </w:rPr>
        <w:t>zanthoxyloides</w:t>
      </w:r>
      <w:proofErr w:type="spellEnd"/>
      <w:r>
        <w:rPr>
          <w:rStyle w:val="cursor-pointer"/>
          <w:rFonts w:ascii="Geist Fallback" w:hAnsi="Geist Fallback"/>
          <w:sz w:val="23"/>
          <w:szCs w:val="23"/>
        </w:rPr>
        <w:t xml:space="preserve"> are likely to involve: (</w:t>
      </w:r>
      <w:proofErr w:type="spellStart"/>
      <w:r>
        <w:rPr>
          <w:rStyle w:val="cursor-pointer"/>
          <w:rFonts w:ascii="Geist Fallback" w:hAnsi="Geist Fallback"/>
          <w:sz w:val="23"/>
          <w:szCs w:val="23"/>
        </w:rPr>
        <w:t>i</w:t>
      </w:r>
      <w:proofErr w:type="spellEnd"/>
      <w:r>
        <w:rPr>
          <w:rStyle w:val="cursor-pointer"/>
          <w:rFonts w:ascii="Geist Fallback" w:hAnsi="Geist Fallback"/>
          <w:sz w:val="23"/>
          <w:szCs w:val="23"/>
        </w:rPr>
        <w:t>) zygotic embryo axes or cotyledons cultured on MS + 2,4-D (1.0–2.0 mg/L) for primary callus induction, followed by transfer to MS + BAP or TDZ for embryoid initiation; (ii) leaf disc explants from juvenile seedlings cultured on MS + 2,4-D + Picloram, a combination that has proven effective for SE induction in recalcitrant tropical species (George et al., 2008); and (iii) the incorporation of polyethylene glycol (PEG) or abscisic acid (ABA) during the maturation phase to promote desiccation tolerance and conversion competence of somatic embryos (Jimenez, 2005).</w:t>
      </w:r>
      <w:r>
        <w:rPr>
          <w:rFonts w:ascii="Geist Fallback" w:hAnsi="Geist Fallback"/>
          <w:sz w:val="23"/>
          <w:szCs w:val="23"/>
        </w:rPr>
        <w:t xml:space="preserve"> </w:t>
      </w:r>
      <w:r>
        <w:rPr>
          <w:rStyle w:val="cursor-pointer"/>
          <w:rFonts w:ascii="Geist Fallback" w:hAnsi="Geist Fallback"/>
          <w:sz w:val="23"/>
          <w:szCs w:val="23"/>
        </w:rPr>
        <w:t xml:space="preserve">These methods should be experimentally proven in special experimental </w:t>
      </w:r>
      <w:proofErr w:type="spellStart"/>
      <w:r>
        <w:rPr>
          <w:rStyle w:val="cursor-pointer"/>
          <w:rFonts w:ascii="Geist Fallback" w:hAnsi="Geist Fallback"/>
          <w:sz w:val="23"/>
          <w:szCs w:val="23"/>
        </w:rPr>
        <w:t>programmes</w:t>
      </w:r>
      <w:proofErr w:type="spellEnd"/>
      <w:r>
        <w:rPr>
          <w:rStyle w:val="cursor-pointer"/>
          <w:rFonts w:ascii="Geist Fallback" w:hAnsi="Geist Fallback"/>
          <w:sz w:val="23"/>
          <w:szCs w:val="23"/>
        </w:rPr>
        <w:t>.</w:t>
      </w:r>
    </w:p>
    <w:p w14:paraId="17041398" w14:textId="77777777" w:rsidR="00365E05" w:rsidRPr="00365E05" w:rsidRDefault="00365E05" w:rsidP="002719B2">
      <w:pPr>
        <w:jc w:val="both"/>
        <w:rPr>
          <w:b/>
          <w:bCs/>
        </w:rPr>
      </w:pPr>
      <w:r w:rsidRPr="00365E05">
        <w:rPr>
          <w:b/>
          <w:bCs/>
        </w:rPr>
        <w:t>4.2 Shoot Organogenesis and Axillary Bud Proliferation</w:t>
      </w:r>
    </w:p>
    <w:p w14:paraId="35E72CA6" w14:textId="603CECE4" w:rsidR="00E60880" w:rsidRPr="00365E05" w:rsidRDefault="00E60880" w:rsidP="002719B2">
      <w:pPr>
        <w:jc w:val="both"/>
      </w:pPr>
      <w:r>
        <w:rPr>
          <w:rStyle w:val="cursor-pointer"/>
          <w:rFonts w:ascii="Geist Fallback" w:hAnsi="Geist Fallback"/>
          <w:sz w:val="23"/>
          <w:szCs w:val="23"/>
        </w:rPr>
        <w:t xml:space="preserve">The axillary bud proliferation to achieve shoot organogenesis is the most empirically supported method of tissue culture to Z. </w:t>
      </w:r>
      <w:proofErr w:type="spellStart"/>
      <w:r>
        <w:rPr>
          <w:rStyle w:val="cursor-pointer"/>
          <w:rFonts w:ascii="Geist Fallback" w:hAnsi="Geist Fallback"/>
          <w:sz w:val="23"/>
          <w:szCs w:val="23"/>
        </w:rPr>
        <w:t>zanthoxyloides</w:t>
      </w:r>
      <w:proofErr w:type="spellEnd"/>
      <w:r>
        <w:rPr>
          <w:rStyle w:val="cursor-pointer"/>
          <w:rFonts w:ascii="Geist Fallback" w:hAnsi="Geist Fallback"/>
          <w:sz w:val="23"/>
          <w:szCs w:val="23"/>
        </w:rPr>
        <w:t xml:space="preserve"> and the most deployable conservation tool at present.</w:t>
      </w:r>
      <w:r>
        <w:rPr>
          <w:rFonts w:ascii="Geist Fallback" w:hAnsi="Geist Fallback"/>
          <w:sz w:val="23"/>
          <w:szCs w:val="23"/>
        </w:rPr>
        <w:t xml:space="preserve"> </w:t>
      </w:r>
      <w:r>
        <w:rPr>
          <w:rStyle w:val="cursor-pointer"/>
          <w:rFonts w:ascii="Geist Fallback" w:hAnsi="Geist Fallback"/>
          <w:sz w:val="23"/>
          <w:szCs w:val="23"/>
        </w:rPr>
        <w:t>The study by Abubakar et al. (2019) showed that shoot regeneration could be achieved with cotyledonary node explants cultured on MS supplemented with 1.0 mg/L BAP and 0.1 mg/L NAA with a 68.4% shoot induction frequency with a mean of 4.2 shoots per explant after 6 weeks of culturing.</w:t>
      </w:r>
      <w:r>
        <w:rPr>
          <w:rFonts w:ascii="Geist Fallback" w:hAnsi="Geist Fallback"/>
          <w:sz w:val="23"/>
          <w:szCs w:val="23"/>
        </w:rPr>
        <w:t xml:space="preserve"> </w:t>
      </w:r>
      <w:r>
        <w:rPr>
          <w:rStyle w:val="cursor-pointer"/>
          <w:rFonts w:ascii="Geist Fallback" w:hAnsi="Geist Fallback"/>
          <w:sz w:val="23"/>
          <w:szCs w:val="23"/>
        </w:rPr>
        <w:t xml:space="preserve">Similar </w:t>
      </w:r>
      <w:proofErr w:type="spellStart"/>
      <w:r>
        <w:rPr>
          <w:rStyle w:val="cursor-pointer"/>
          <w:rFonts w:ascii="Geist Fallback" w:hAnsi="Geist Fallback"/>
          <w:sz w:val="23"/>
          <w:szCs w:val="23"/>
        </w:rPr>
        <w:t>organogenic</w:t>
      </w:r>
      <w:proofErr w:type="spellEnd"/>
      <w:r>
        <w:rPr>
          <w:rStyle w:val="cursor-pointer"/>
          <w:rFonts w:ascii="Geist Fallback" w:hAnsi="Geist Fallback"/>
          <w:sz w:val="23"/>
          <w:szCs w:val="23"/>
        </w:rPr>
        <w:t xml:space="preserve"> responses of nodal segments of juvenile plants on MS + 2.0 mg/L BAP were noted by Oladele et al. (2013) (55.2% response), and shoot proliferation slowed considerably at BAP concentrations beyond 3.0 mg/L- a phenomenon they attribute to </w:t>
      </w:r>
      <w:proofErr w:type="spellStart"/>
      <w:r>
        <w:rPr>
          <w:rStyle w:val="cursor-pointer"/>
          <w:rFonts w:ascii="Geist Fallback" w:hAnsi="Geist Fallback"/>
          <w:sz w:val="23"/>
          <w:szCs w:val="23"/>
        </w:rPr>
        <w:t>hyperhydricity</w:t>
      </w:r>
      <w:proofErr w:type="spellEnd"/>
      <w:r>
        <w:rPr>
          <w:rStyle w:val="cursor-pointer"/>
          <w:rFonts w:ascii="Geist Fallback" w:hAnsi="Geist Fallback"/>
          <w:sz w:val="23"/>
          <w:szCs w:val="23"/>
        </w:rPr>
        <w:t xml:space="preserve"> induced by </w:t>
      </w:r>
      <w:proofErr w:type="spellStart"/>
      <w:r>
        <w:rPr>
          <w:rStyle w:val="cursor-pointer"/>
          <w:rFonts w:ascii="Geist Fallback" w:hAnsi="Geist Fallback"/>
          <w:sz w:val="23"/>
          <w:szCs w:val="23"/>
        </w:rPr>
        <w:t>cytokinins</w:t>
      </w:r>
      <w:proofErr w:type="spellEnd"/>
      <w:r>
        <w:rPr>
          <w:rStyle w:val="cursor-pointer"/>
          <w:rFonts w:ascii="Geist Fallback" w:hAnsi="Geist Fallback"/>
          <w:sz w:val="23"/>
          <w:szCs w:val="23"/>
        </w:rPr>
        <w:t>.</w:t>
      </w:r>
      <w:r>
        <w:rPr>
          <w:rFonts w:ascii="Geist Fallback" w:hAnsi="Geist Fallback"/>
          <w:sz w:val="23"/>
          <w:szCs w:val="23"/>
        </w:rPr>
        <w:t xml:space="preserve"> </w:t>
      </w:r>
      <w:r>
        <w:rPr>
          <w:rStyle w:val="cursor-pointer"/>
          <w:rFonts w:ascii="Geist Fallback" w:hAnsi="Geist Fallback"/>
          <w:sz w:val="23"/>
          <w:szCs w:val="23"/>
        </w:rPr>
        <w:t xml:space="preserve">Under the presence of half-strength MS supplemented with IBA (0.5010 mg/L), activated charcoal (0.2% w/v), and pulse-treatment with high-concentration IBA (5001000 mg/L 510 minutes) has led to rooting of regenerated </w:t>
      </w:r>
      <w:proofErr w:type="spellStart"/>
      <w:r>
        <w:rPr>
          <w:rStyle w:val="cursor-pointer"/>
          <w:rFonts w:ascii="Geist Fallback" w:hAnsi="Geist Fallback"/>
          <w:sz w:val="23"/>
          <w:szCs w:val="23"/>
        </w:rPr>
        <w:t>microshoots</w:t>
      </w:r>
      <w:proofErr w:type="spellEnd"/>
      <w:r>
        <w:rPr>
          <w:rStyle w:val="cursor-pointer"/>
          <w:rFonts w:ascii="Geist Fallback" w:hAnsi="Geist Fallback"/>
          <w:sz w:val="23"/>
          <w:szCs w:val="23"/>
        </w:rPr>
        <w:t xml:space="preserve"> at 60 to 75 percent in Z. </w:t>
      </w:r>
      <w:proofErr w:type="spellStart"/>
      <w:r>
        <w:rPr>
          <w:rStyle w:val="cursor-pointer"/>
          <w:rFonts w:ascii="Geist Fallback" w:hAnsi="Geist Fallback"/>
          <w:sz w:val="23"/>
          <w:szCs w:val="23"/>
        </w:rPr>
        <w:t>zanth</w:t>
      </w:r>
      <w:proofErr w:type="spellEnd"/>
      <w:r>
        <w:rPr>
          <w:rFonts w:ascii="Geist Fallback" w:hAnsi="Geist Fallback"/>
          <w:sz w:val="23"/>
          <w:szCs w:val="23"/>
        </w:rPr>
        <w:t xml:space="preserve"> </w:t>
      </w:r>
      <w:r>
        <w:rPr>
          <w:rStyle w:val="cursor-pointer"/>
          <w:rFonts w:ascii="Geist Fallback" w:hAnsi="Geist Fallback"/>
          <w:sz w:val="23"/>
          <w:szCs w:val="23"/>
        </w:rPr>
        <w:t xml:space="preserve">Activated charcoal works by adsorbing the inhibitory phenolic compounds released by the cut ends of </w:t>
      </w:r>
      <w:proofErr w:type="spellStart"/>
      <w:r>
        <w:rPr>
          <w:rStyle w:val="cursor-pointer"/>
          <w:rFonts w:ascii="Geist Fallback" w:hAnsi="Geist Fallback"/>
          <w:sz w:val="23"/>
          <w:szCs w:val="23"/>
        </w:rPr>
        <w:t>microshoots</w:t>
      </w:r>
      <w:proofErr w:type="spellEnd"/>
      <w:r>
        <w:rPr>
          <w:rStyle w:val="cursor-pointer"/>
          <w:rFonts w:ascii="Geist Fallback" w:hAnsi="Geist Fallback"/>
          <w:sz w:val="23"/>
          <w:szCs w:val="23"/>
        </w:rPr>
        <w:t xml:space="preserve"> as well as by offering a darkening effect on the medium that simulates the soil environment and induces root morphogenesis (Oliveira et al., 2011).</w:t>
      </w:r>
    </w:p>
    <w:p w14:paraId="39049445" w14:textId="77777777" w:rsidR="00365E05" w:rsidRPr="00365E05" w:rsidRDefault="00365E05" w:rsidP="002719B2">
      <w:pPr>
        <w:jc w:val="both"/>
        <w:rPr>
          <w:b/>
          <w:bCs/>
        </w:rPr>
      </w:pPr>
      <w:r w:rsidRPr="00365E05">
        <w:rPr>
          <w:b/>
          <w:bCs/>
        </w:rPr>
        <w:t xml:space="preserve">4.3 Ex Vitro </w:t>
      </w:r>
      <w:proofErr w:type="spellStart"/>
      <w:r w:rsidRPr="00365E05">
        <w:rPr>
          <w:b/>
          <w:bCs/>
        </w:rPr>
        <w:t>Acclimatisation</w:t>
      </w:r>
      <w:proofErr w:type="spellEnd"/>
      <w:r w:rsidRPr="00365E05">
        <w:rPr>
          <w:b/>
          <w:bCs/>
        </w:rPr>
        <w:t>: The Critical Transition</w:t>
      </w:r>
    </w:p>
    <w:p w14:paraId="05DC931F" w14:textId="5377C7DD" w:rsidR="007A5437" w:rsidRPr="00365E05" w:rsidRDefault="007A5437" w:rsidP="002719B2">
      <w:pPr>
        <w:jc w:val="both"/>
      </w:pPr>
      <w:r>
        <w:rPr>
          <w:rStyle w:val="cursor-pointer"/>
          <w:rFonts w:ascii="Geist Fallback" w:hAnsi="Geist Fallback"/>
          <w:sz w:val="23"/>
          <w:szCs w:val="23"/>
        </w:rPr>
        <w:t xml:space="preserve">The process of </w:t>
      </w:r>
      <w:proofErr w:type="spellStart"/>
      <w:r>
        <w:rPr>
          <w:rStyle w:val="cursor-pointer"/>
          <w:rFonts w:ascii="Geist Fallback" w:hAnsi="Geist Fallback"/>
          <w:sz w:val="23"/>
          <w:szCs w:val="23"/>
        </w:rPr>
        <w:t>acclimatisation</w:t>
      </w:r>
      <w:proofErr w:type="spellEnd"/>
      <w:r>
        <w:rPr>
          <w:rStyle w:val="cursor-pointer"/>
          <w:rFonts w:ascii="Geist Fallback" w:hAnsi="Geist Fallback"/>
          <w:sz w:val="23"/>
          <w:szCs w:val="23"/>
        </w:rPr>
        <w:t xml:space="preserve">- the transfer of in vitro-derived plantlets to ex vitro conditions- is one of the most challenging physiologically of the micropropagation process, and high mortality rates are usually witnessed during the process of </w:t>
      </w:r>
      <w:proofErr w:type="spellStart"/>
      <w:r>
        <w:rPr>
          <w:rStyle w:val="cursor-pointer"/>
          <w:rFonts w:ascii="Geist Fallback" w:hAnsi="Geist Fallback"/>
          <w:sz w:val="23"/>
          <w:szCs w:val="23"/>
        </w:rPr>
        <w:t>acclimatisation</w:t>
      </w:r>
      <w:proofErr w:type="spellEnd"/>
      <w:r>
        <w:rPr>
          <w:rStyle w:val="cursor-pointer"/>
          <w:rFonts w:ascii="Geist Fallback" w:hAnsi="Geist Fallback"/>
          <w:sz w:val="23"/>
          <w:szCs w:val="23"/>
        </w:rPr>
        <w:t xml:space="preserve"> (Hazarika, 2003; Siddique and Anis, 2009).</w:t>
      </w:r>
      <w:r>
        <w:rPr>
          <w:rFonts w:ascii="Geist Fallback" w:hAnsi="Geist Fallback"/>
          <w:sz w:val="23"/>
          <w:szCs w:val="23"/>
        </w:rPr>
        <w:t xml:space="preserve"> </w:t>
      </w:r>
      <w:r>
        <w:rPr>
          <w:rStyle w:val="cursor-pointer"/>
          <w:rFonts w:ascii="Geist Fallback" w:hAnsi="Geist Fallback"/>
          <w:sz w:val="23"/>
          <w:szCs w:val="23"/>
        </w:rPr>
        <w:t>Plants propagated in vitro have dysfunctional stomata, less deposition of wax on cuticles, immature root structures, and low photosynthetic potential, which are all due to the presence of high humidity, low light and heterotrophic conditions inside the culture vessel (Hazarika, 2003).</w:t>
      </w:r>
      <w:r>
        <w:rPr>
          <w:rFonts w:ascii="Geist Fallback" w:hAnsi="Geist Fallback"/>
          <w:sz w:val="23"/>
          <w:szCs w:val="23"/>
        </w:rPr>
        <w:t xml:space="preserve"> </w:t>
      </w:r>
      <w:r>
        <w:rPr>
          <w:rStyle w:val="cursor-pointer"/>
          <w:rFonts w:ascii="Geist Fallback" w:hAnsi="Geist Fallback"/>
          <w:sz w:val="23"/>
          <w:szCs w:val="23"/>
        </w:rPr>
        <w:t xml:space="preserve">For Z. </w:t>
      </w:r>
      <w:proofErr w:type="spellStart"/>
      <w:r>
        <w:rPr>
          <w:rStyle w:val="cursor-pointer"/>
          <w:rFonts w:ascii="Geist Fallback" w:hAnsi="Geist Fallback"/>
          <w:sz w:val="23"/>
          <w:szCs w:val="23"/>
        </w:rPr>
        <w:t>zanthoxyloides</w:t>
      </w:r>
      <w:proofErr w:type="spellEnd"/>
      <w:r>
        <w:rPr>
          <w:rStyle w:val="cursor-pointer"/>
          <w:rFonts w:ascii="Geist Fallback" w:hAnsi="Geist Fallback"/>
          <w:sz w:val="23"/>
          <w:szCs w:val="23"/>
        </w:rPr>
        <w:t xml:space="preserve">, </w:t>
      </w:r>
      <w:proofErr w:type="spellStart"/>
      <w:r>
        <w:rPr>
          <w:rStyle w:val="cursor-pointer"/>
          <w:rFonts w:ascii="Geist Fallback" w:hAnsi="Geist Fallback"/>
          <w:sz w:val="23"/>
          <w:szCs w:val="23"/>
        </w:rPr>
        <w:t>acclimatisation</w:t>
      </w:r>
      <w:proofErr w:type="spellEnd"/>
      <w:r>
        <w:rPr>
          <w:rStyle w:val="cursor-pointer"/>
          <w:rFonts w:ascii="Geist Fallback" w:hAnsi="Geist Fallback"/>
          <w:sz w:val="23"/>
          <w:szCs w:val="23"/>
        </w:rPr>
        <w:t xml:space="preserve"> protocols have not yet been systematically published, but extrapolation from related woody tropical species suggests the following principles: (</w:t>
      </w:r>
      <w:proofErr w:type="spellStart"/>
      <w:r>
        <w:rPr>
          <w:rStyle w:val="cursor-pointer"/>
          <w:rFonts w:ascii="Geist Fallback" w:hAnsi="Geist Fallback"/>
          <w:sz w:val="23"/>
          <w:szCs w:val="23"/>
        </w:rPr>
        <w:t>i</w:t>
      </w:r>
      <w:proofErr w:type="spellEnd"/>
      <w:r>
        <w:rPr>
          <w:rStyle w:val="cursor-pointer"/>
          <w:rFonts w:ascii="Geist Fallback" w:hAnsi="Geist Fallback"/>
          <w:sz w:val="23"/>
          <w:szCs w:val="23"/>
        </w:rPr>
        <w:t xml:space="preserve">) a staged reduction of humidity from 95–100% (in vitro) to ambient (40–60%) over a period of 4–6 weeks, using misting systems or humidity chambers; (ii) transplantation into a well-drained, nutrient-poor rooting substrate (e.g., </w:t>
      </w:r>
      <w:proofErr w:type="spellStart"/>
      <w:r>
        <w:rPr>
          <w:rStyle w:val="cursor-pointer"/>
          <w:rFonts w:ascii="Geist Fallback" w:hAnsi="Geist Fallback"/>
          <w:sz w:val="23"/>
          <w:szCs w:val="23"/>
        </w:rPr>
        <w:t>perlite:vermiculite:sand</w:t>
      </w:r>
      <w:proofErr w:type="spellEnd"/>
      <w:r>
        <w:rPr>
          <w:rStyle w:val="cursor-pointer"/>
          <w:rFonts w:ascii="Geist Fallback" w:hAnsi="Geist Fallback"/>
          <w:sz w:val="23"/>
          <w:szCs w:val="23"/>
        </w:rPr>
        <w:t xml:space="preserve"> 1:1:1) rather than organic-rich potting compost, to stimulate autotrophic root function; (iii) progressive exposure to increasing light intensities; and (iv) prophylactic fungicide application to prevent damping-off, which is particularly prevalent in the warm, humid conditions of the Nigerian growing environment (Hazarika, 2003; Siddique &amp; Anis, 2009).</w:t>
      </w:r>
    </w:p>
    <w:p w14:paraId="5EEAB394" w14:textId="77777777" w:rsidR="00365E05" w:rsidRPr="00365E05" w:rsidRDefault="00365E05" w:rsidP="002719B2">
      <w:pPr>
        <w:jc w:val="both"/>
        <w:rPr>
          <w:b/>
          <w:bCs/>
        </w:rPr>
      </w:pPr>
      <w:r w:rsidRPr="00365E05">
        <w:rPr>
          <w:b/>
          <w:bCs/>
        </w:rPr>
        <w:t>5. Cryopreservation Strategies for Recalcitrant Germplasm</w:t>
      </w:r>
    </w:p>
    <w:p w14:paraId="6CF81A37" w14:textId="77777777" w:rsidR="00365E05" w:rsidRPr="00365E05" w:rsidRDefault="00365E05" w:rsidP="002719B2">
      <w:pPr>
        <w:jc w:val="both"/>
        <w:rPr>
          <w:b/>
          <w:bCs/>
        </w:rPr>
      </w:pPr>
      <w:r w:rsidRPr="00365E05">
        <w:rPr>
          <w:b/>
          <w:bCs/>
        </w:rPr>
        <w:t>5.1 Principles of Plant Cryopreservation</w:t>
      </w:r>
    </w:p>
    <w:p w14:paraId="0F6B3994" w14:textId="358CC743" w:rsidR="007A5437" w:rsidRPr="00365E05" w:rsidRDefault="007A5437" w:rsidP="002719B2">
      <w:pPr>
        <w:jc w:val="both"/>
      </w:pPr>
      <w:r>
        <w:rPr>
          <w:rStyle w:val="cursor-pointer"/>
          <w:rFonts w:ascii="Geist Fallback" w:hAnsi="Geist Fallback"/>
          <w:sz w:val="23"/>
          <w:szCs w:val="23"/>
        </w:rPr>
        <w:t xml:space="preserve">Cryopreservation, the preservation of biological substance at extremely low temperatures, typically at -196 C in liquid nitrogen (LN) or -150 to -180 C in LN </w:t>
      </w:r>
      <w:proofErr w:type="spellStart"/>
      <w:r>
        <w:rPr>
          <w:rStyle w:val="cursor-pointer"/>
          <w:rFonts w:ascii="Geist Fallback" w:hAnsi="Geist Fallback"/>
          <w:sz w:val="23"/>
          <w:szCs w:val="23"/>
        </w:rPr>
        <w:t>vapour</w:t>
      </w:r>
      <w:proofErr w:type="spellEnd"/>
      <w:r>
        <w:rPr>
          <w:rStyle w:val="cursor-pointer"/>
          <w:rFonts w:ascii="Geist Fallback" w:hAnsi="Geist Fallback"/>
          <w:sz w:val="23"/>
          <w:szCs w:val="23"/>
        </w:rPr>
        <w:t xml:space="preserve"> phase, can effectively achieve a state of indefinite arrest of metabolic activity, although theoretically, an indefinite period of storage is possible without genetic degradation (Engelmann, 201</w:t>
      </w:r>
      <w:r>
        <w:rPr>
          <w:rFonts w:ascii="Geist Fallback" w:hAnsi="Geist Fallback"/>
          <w:sz w:val="23"/>
          <w:szCs w:val="23"/>
        </w:rPr>
        <w:t xml:space="preserve"> </w:t>
      </w:r>
      <w:r>
        <w:rPr>
          <w:rStyle w:val="cursor-pointer"/>
          <w:rFonts w:ascii="Geist Fallback" w:hAnsi="Geist Fallback"/>
          <w:sz w:val="23"/>
          <w:szCs w:val="23"/>
        </w:rPr>
        <w:t xml:space="preserve">The basic problem of cryopreservation is the inhibition of ice crystal formation in cells during cool-down and warming because intracellular ice crystals lead to fatal mechanical cell membrane and </w:t>
      </w:r>
      <w:r>
        <w:rPr>
          <w:rStyle w:val="cursor-pointer"/>
          <w:rFonts w:ascii="Geist Fallback" w:hAnsi="Geist Fallback"/>
          <w:sz w:val="23"/>
          <w:szCs w:val="23"/>
        </w:rPr>
        <w:lastRenderedPageBreak/>
        <w:t>organelle disruption (</w:t>
      </w:r>
      <w:proofErr w:type="spellStart"/>
      <w:r>
        <w:rPr>
          <w:rStyle w:val="cursor-pointer"/>
          <w:rFonts w:ascii="Geist Fallback" w:hAnsi="Geist Fallback"/>
          <w:sz w:val="23"/>
          <w:szCs w:val="23"/>
        </w:rPr>
        <w:t>Bujink</w:t>
      </w:r>
      <w:proofErr w:type="spellEnd"/>
      <w:r>
        <w:rPr>
          <w:rStyle w:val="cursor-pointer"/>
          <w:rFonts w:ascii="Geist Fallback" w:hAnsi="Geist Fallback"/>
          <w:sz w:val="23"/>
          <w:szCs w:val="23"/>
        </w:rPr>
        <w:t xml:space="preserve"> &amp; </w:t>
      </w:r>
      <w:proofErr w:type="spellStart"/>
      <w:r>
        <w:rPr>
          <w:rStyle w:val="cursor-pointer"/>
          <w:rFonts w:ascii="Geist Fallback" w:hAnsi="Geist Fallback"/>
          <w:sz w:val="23"/>
          <w:szCs w:val="23"/>
        </w:rPr>
        <w:t>Leprince</w:t>
      </w:r>
      <w:proofErr w:type="spellEnd"/>
      <w:r>
        <w:rPr>
          <w:rStyle w:val="cursor-pointer"/>
          <w:rFonts w:ascii="Geist Fallback" w:hAnsi="Geist Fallback"/>
          <w:sz w:val="23"/>
          <w:szCs w:val="23"/>
        </w:rPr>
        <w:t>, 2008).</w:t>
      </w:r>
      <w:r>
        <w:rPr>
          <w:rFonts w:ascii="Geist Fallback" w:hAnsi="Geist Fallback"/>
          <w:sz w:val="23"/>
          <w:szCs w:val="23"/>
        </w:rPr>
        <w:t xml:space="preserve"> </w:t>
      </w:r>
      <w:r>
        <w:rPr>
          <w:rStyle w:val="cursor-pointer"/>
          <w:rFonts w:ascii="Geist Fallback" w:hAnsi="Geist Fallback"/>
          <w:sz w:val="23"/>
          <w:szCs w:val="23"/>
        </w:rPr>
        <w:t>Contemporary methods of cryopreservation attain this by either controlled dehydration followed by freezing (to condense intracellular solutes to glass-forming concentrations), by vitrification in the presence of cryoprotectant solutions, or by both (Bajaj, 2012; Reed, 2008).</w:t>
      </w:r>
      <w:r>
        <w:rPr>
          <w:rFonts w:ascii="Geist Fallback" w:hAnsi="Geist Fallback"/>
          <w:sz w:val="23"/>
          <w:szCs w:val="23"/>
        </w:rPr>
        <w:t xml:space="preserve"> </w:t>
      </w:r>
    </w:p>
    <w:p w14:paraId="38A790B4" w14:textId="77777777" w:rsidR="00365E05" w:rsidRPr="00365E05" w:rsidRDefault="00365E05" w:rsidP="002719B2">
      <w:pPr>
        <w:jc w:val="both"/>
        <w:rPr>
          <w:b/>
          <w:bCs/>
        </w:rPr>
      </w:pPr>
      <w:r w:rsidRPr="00365E05">
        <w:rPr>
          <w:b/>
          <w:bCs/>
        </w:rPr>
        <w:t>5.2 Cryopreservation Methods Applicable to Recalcitrant-Seeded Species</w:t>
      </w:r>
    </w:p>
    <w:p w14:paraId="1E373160" w14:textId="6AFBA089" w:rsidR="007A5437" w:rsidRPr="00365E05" w:rsidRDefault="007A5437" w:rsidP="002719B2">
      <w:pPr>
        <w:jc w:val="both"/>
      </w:pPr>
      <w:r w:rsidRPr="007A5437">
        <w:t xml:space="preserve"> In the case of recalcitrant-seeded species like Z. </w:t>
      </w:r>
      <w:proofErr w:type="spellStart"/>
      <w:r w:rsidRPr="007A5437">
        <w:t>zanthoxyloides</w:t>
      </w:r>
      <w:proofErr w:type="spellEnd"/>
      <w:r w:rsidRPr="007A5437">
        <w:t xml:space="preserve">, the main problem is that the embryonic axes or isolated explants that are the cryopreservation targets are not tolerant to the desiccation treatments used in orthodox seed cryopreservation. This requires the use of </w:t>
      </w:r>
      <w:proofErr w:type="spellStart"/>
      <w:r w:rsidRPr="007A5437">
        <w:t>specialised</w:t>
      </w:r>
      <w:proofErr w:type="spellEnd"/>
      <w:r w:rsidRPr="007A5437">
        <w:t xml:space="preserve"> protocols, which are mostly vitrification-based, which reduces dehydration stress and attains adequate intracellular glass transition. Table 2 presents a comparative brief of the main cryopreservation procedures and how they can be applied to recalcitrant germplasm.</w:t>
      </w:r>
    </w:p>
    <w:p w14:paraId="7F416852" w14:textId="77777777" w:rsidR="00365E05" w:rsidRPr="00365E05" w:rsidRDefault="00365E05" w:rsidP="002719B2">
      <w:pPr>
        <w:jc w:val="both"/>
      </w:pPr>
    </w:p>
    <w:p w14:paraId="0B4C2135" w14:textId="77777777" w:rsidR="00365E05" w:rsidRPr="00365E05" w:rsidRDefault="00365E05" w:rsidP="002719B2">
      <w:pPr>
        <w:jc w:val="both"/>
      </w:pPr>
      <w:r w:rsidRPr="00365E05">
        <w:rPr>
          <w:b/>
          <w:bCs/>
        </w:rPr>
        <w:t xml:space="preserve">Table 2. </w:t>
      </w:r>
      <w:r w:rsidRPr="00365E05">
        <w:rPr>
          <w:i/>
          <w:iCs/>
        </w:rPr>
        <w:t>Comparative overview of cryopreservation methods and their applicability to recalcitrant seed species.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1800"/>
        <w:gridCol w:w="2400"/>
        <w:gridCol w:w="2000"/>
        <w:gridCol w:w="1600"/>
        <w:gridCol w:w="1560"/>
      </w:tblGrid>
      <w:tr w:rsidR="00365E05" w:rsidRPr="00365E05" w14:paraId="3E870BA7" w14:textId="77777777" w:rsidTr="00BF653C">
        <w:tc>
          <w:tcPr>
            <w:tcW w:w="1800" w:type="dxa"/>
            <w:shd w:val="clear" w:color="auto" w:fill="FFFFFF" w:themeFill="background1"/>
            <w:tcMar>
              <w:top w:w="80" w:type="dxa"/>
              <w:left w:w="120" w:type="dxa"/>
              <w:bottom w:w="80" w:type="dxa"/>
              <w:right w:w="120" w:type="dxa"/>
            </w:tcMar>
            <w:vAlign w:val="center"/>
          </w:tcPr>
          <w:p w14:paraId="02A294D9" w14:textId="77777777" w:rsidR="00365E05" w:rsidRPr="00365E05" w:rsidRDefault="00365E05" w:rsidP="002719B2">
            <w:pPr>
              <w:jc w:val="both"/>
            </w:pPr>
            <w:r w:rsidRPr="00365E05">
              <w:rPr>
                <w:b/>
                <w:bCs/>
              </w:rPr>
              <w:t>Method</w:t>
            </w:r>
          </w:p>
        </w:tc>
        <w:tc>
          <w:tcPr>
            <w:tcW w:w="2400" w:type="dxa"/>
            <w:shd w:val="clear" w:color="auto" w:fill="FFFFFF" w:themeFill="background1"/>
            <w:tcMar>
              <w:top w:w="80" w:type="dxa"/>
              <w:left w:w="120" w:type="dxa"/>
              <w:bottom w:w="80" w:type="dxa"/>
              <w:right w:w="120" w:type="dxa"/>
            </w:tcMar>
            <w:vAlign w:val="center"/>
          </w:tcPr>
          <w:p w14:paraId="3234EADA" w14:textId="77777777" w:rsidR="00365E05" w:rsidRPr="00365E05" w:rsidRDefault="00365E05" w:rsidP="002719B2">
            <w:pPr>
              <w:jc w:val="both"/>
            </w:pPr>
            <w:r w:rsidRPr="00365E05">
              <w:rPr>
                <w:b/>
                <w:bCs/>
              </w:rPr>
              <w:t>Principle</w:t>
            </w:r>
          </w:p>
        </w:tc>
        <w:tc>
          <w:tcPr>
            <w:tcW w:w="2000" w:type="dxa"/>
            <w:shd w:val="clear" w:color="auto" w:fill="FFFFFF" w:themeFill="background1"/>
            <w:tcMar>
              <w:top w:w="80" w:type="dxa"/>
              <w:left w:w="120" w:type="dxa"/>
              <w:bottom w:w="80" w:type="dxa"/>
              <w:right w:w="120" w:type="dxa"/>
            </w:tcMar>
            <w:vAlign w:val="center"/>
          </w:tcPr>
          <w:p w14:paraId="33227282" w14:textId="77777777" w:rsidR="00365E05" w:rsidRPr="00365E05" w:rsidRDefault="00365E05" w:rsidP="002719B2">
            <w:pPr>
              <w:jc w:val="both"/>
            </w:pPr>
            <w:r w:rsidRPr="00365E05">
              <w:rPr>
                <w:b/>
                <w:bCs/>
              </w:rPr>
              <w:t>Advantages</w:t>
            </w:r>
          </w:p>
        </w:tc>
        <w:tc>
          <w:tcPr>
            <w:tcW w:w="1600" w:type="dxa"/>
            <w:shd w:val="clear" w:color="auto" w:fill="FFFFFF" w:themeFill="background1"/>
            <w:tcMar>
              <w:top w:w="80" w:type="dxa"/>
              <w:left w:w="120" w:type="dxa"/>
              <w:bottom w:w="80" w:type="dxa"/>
              <w:right w:w="120" w:type="dxa"/>
            </w:tcMar>
            <w:vAlign w:val="center"/>
          </w:tcPr>
          <w:p w14:paraId="4B8FB061" w14:textId="77777777" w:rsidR="00365E05" w:rsidRPr="00365E05" w:rsidRDefault="00365E05" w:rsidP="002719B2">
            <w:pPr>
              <w:jc w:val="both"/>
            </w:pPr>
            <w:r w:rsidRPr="00365E05">
              <w:rPr>
                <w:b/>
                <w:bCs/>
              </w:rPr>
              <w:t>Limitations</w:t>
            </w:r>
          </w:p>
        </w:tc>
        <w:tc>
          <w:tcPr>
            <w:tcW w:w="1560" w:type="dxa"/>
            <w:shd w:val="clear" w:color="auto" w:fill="FFFFFF" w:themeFill="background1"/>
            <w:tcMar>
              <w:top w:w="80" w:type="dxa"/>
              <w:left w:w="120" w:type="dxa"/>
              <w:bottom w:w="80" w:type="dxa"/>
              <w:right w:w="120" w:type="dxa"/>
            </w:tcMar>
            <w:vAlign w:val="center"/>
          </w:tcPr>
          <w:p w14:paraId="626E5A32" w14:textId="77777777" w:rsidR="00365E05" w:rsidRPr="00365E05" w:rsidRDefault="00365E05" w:rsidP="002719B2">
            <w:pPr>
              <w:jc w:val="both"/>
            </w:pPr>
            <w:r w:rsidRPr="00365E05">
              <w:rPr>
                <w:b/>
                <w:bCs/>
              </w:rPr>
              <w:t>Key Reference</w:t>
            </w:r>
          </w:p>
        </w:tc>
      </w:tr>
      <w:tr w:rsidR="00365E05" w:rsidRPr="00365E05" w14:paraId="117155BF" w14:textId="77777777" w:rsidTr="00BF653C">
        <w:tc>
          <w:tcPr>
            <w:tcW w:w="1800" w:type="dxa"/>
            <w:shd w:val="clear" w:color="auto" w:fill="FFFFFF" w:themeFill="background1"/>
            <w:tcMar>
              <w:top w:w="60" w:type="dxa"/>
              <w:left w:w="120" w:type="dxa"/>
              <w:bottom w:w="60" w:type="dxa"/>
              <w:right w:w="120" w:type="dxa"/>
            </w:tcMar>
            <w:vAlign w:val="center"/>
          </w:tcPr>
          <w:p w14:paraId="5DD6D730" w14:textId="77777777" w:rsidR="00365E05" w:rsidRPr="00365E05" w:rsidRDefault="00365E05" w:rsidP="002719B2">
            <w:pPr>
              <w:jc w:val="both"/>
            </w:pPr>
            <w:r w:rsidRPr="00365E05">
              <w:t>Slow Cooling (Classical)</w:t>
            </w:r>
          </w:p>
        </w:tc>
        <w:tc>
          <w:tcPr>
            <w:tcW w:w="2400" w:type="dxa"/>
            <w:shd w:val="clear" w:color="auto" w:fill="FFFFFF" w:themeFill="background1"/>
            <w:tcMar>
              <w:top w:w="60" w:type="dxa"/>
              <w:left w:w="120" w:type="dxa"/>
              <w:bottom w:w="60" w:type="dxa"/>
              <w:right w:w="120" w:type="dxa"/>
            </w:tcMar>
            <w:vAlign w:val="center"/>
          </w:tcPr>
          <w:p w14:paraId="160A3E42" w14:textId="77777777" w:rsidR="00365E05" w:rsidRPr="00365E05" w:rsidRDefault="00365E05" w:rsidP="002719B2">
            <w:pPr>
              <w:jc w:val="both"/>
            </w:pPr>
            <w:r w:rsidRPr="00365E05">
              <w:t>Controlled-rate freezer reduces temp at 0.5–1.0°C/min; samples stored in liquid nitrogen (−196°C)</w:t>
            </w:r>
          </w:p>
        </w:tc>
        <w:tc>
          <w:tcPr>
            <w:tcW w:w="2000" w:type="dxa"/>
            <w:shd w:val="clear" w:color="auto" w:fill="FFFFFF" w:themeFill="background1"/>
            <w:tcMar>
              <w:top w:w="60" w:type="dxa"/>
              <w:left w:w="120" w:type="dxa"/>
              <w:bottom w:w="60" w:type="dxa"/>
              <w:right w:w="120" w:type="dxa"/>
            </w:tcMar>
            <w:vAlign w:val="center"/>
          </w:tcPr>
          <w:p w14:paraId="22031A15" w14:textId="77777777" w:rsidR="00365E05" w:rsidRPr="00365E05" w:rsidRDefault="00365E05" w:rsidP="002719B2">
            <w:pPr>
              <w:jc w:val="both"/>
            </w:pPr>
            <w:r w:rsidRPr="00365E05">
              <w:t>Well-established; predictable</w:t>
            </w:r>
          </w:p>
        </w:tc>
        <w:tc>
          <w:tcPr>
            <w:tcW w:w="1600" w:type="dxa"/>
            <w:shd w:val="clear" w:color="auto" w:fill="FFFFFF" w:themeFill="background1"/>
            <w:tcMar>
              <w:top w:w="60" w:type="dxa"/>
              <w:left w:w="120" w:type="dxa"/>
              <w:bottom w:w="60" w:type="dxa"/>
              <w:right w:w="120" w:type="dxa"/>
            </w:tcMar>
            <w:vAlign w:val="center"/>
          </w:tcPr>
          <w:p w14:paraId="6C0C62A1" w14:textId="77777777" w:rsidR="00365E05" w:rsidRPr="00365E05" w:rsidRDefault="00365E05" w:rsidP="002719B2">
            <w:pPr>
              <w:jc w:val="both"/>
            </w:pPr>
            <w:r w:rsidRPr="00365E05">
              <w:t>Ice crystal formation; low viability for recalcitrant material</w:t>
            </w:r>
          </w:p>
        </w:tc>
        <w:tc>
          <w:tcPr>
            <w:tcW w:w="1560" w:type="dxa"/>
            <w:shd w:val="clear" w:color="auto" w:fill="FFFFFF" w:themeFill="background1"/>
            <w:tcMar>
              <w:top w:w="60" w:type="dxa"/>
              <w:left w:w="120" w:type="dxa"/>
              <w:bottom w:w="60" w:type="dxa"/>
              <w:right w:w="120" w:type="dxa"/>
            </w:tcMar>
            <w:vAlign w:val="center"/>
          </w:tcPr>
          <w:p w14:paraId="3230B3E0" w14:textId="77777777" w:rsidR="00365E05" w:rsidRPr="00365E05" w:rsidRDefault="00365E05" w:rsidP="002719B2">
            <w:pPr>
              <w:jc w:val="both"/>
            </w:pPr>
            <w:r w:rsidRPr="00365E05">
              <w:t>Reed, 2008</w:t>
            </w:r>
          </w:p>
        </w:tc>
      </w:tr>
      <w:tr w:rsidR="00365E05" w:rsidRPr="00365E05" w14:paraId="0479A4ED" w14:textId="77777777" w:rsidTr="00BF653C">
        <w:tc>
          <w:tcPr>
            <w:tcW w:w="1800" w:type="dxa"/>
            <w:shd w:val="clear" w:color="auto" w:fill="FFFFFF" w:themeFill="background1"/>
            <w:tcMar>
              <w:top w:w="60" w:type="dxa"/>
              <w:left w:w="120" w:type="dxa"/>
              <w:bottom w:w="60" w:type="dxa"/>
              <w:right w:w="120" w:type="dxa"/>
            </w:tcMar>
            <w:vAlign w:val="center"/>
          </w:tcPr>
          <w:p w14:paraId="43F32ACC" w14:textId="77777777" w:rsidR="00365E05" w:rsidRPr="00365E05" w:rsidRDefault="00365E05" w:rsidP="002719B2">
            <w:pPr>
              <w:jc w:val="both"/>
            </w:pPr>
            <w:r w:rsidRPr="00365E05">
              <w:t>Vitrification</w:t>
            </w:r>
          </w:p>
        </w:tc>
        <w:tc>
          <w:tcPr>
            <w:tcW w:w="2400" w:type="dxa"/>
            <w:shd w:val="clear" w:color="auto" w:fill="FFFFFF" w:themeFill="background1"/>
            <w:tcMar>
              <w:top w:w="60" w:type="dxa"/>
              <w:left w:w="120" w:type="dxa"/>
              <w:bottom w:w="60" w:type="dxa"/>
              <w:right w:w="120" w:type="dxa"/>
            </w:tcMar>
            <w:vAlign w:val="center"/>
          </w:tcPr>
          <w:p w14:paraId="62BDA69B" w14:textId="77777777" w:rsidR="00365E05" w:rsidRPr="00365E05" w:rsidRDefault="00365E05" w:rsidP="002719B2">
            <w:pPr>
              <w:jc w:val="both"/>
            </w:pPr>
            <w:r w:rsidRPr="00365E05">
              <w:t>Rapid immersion in LN after loading with high-concentration cryoprotectants (PVS2/PVS3)</w:t>
            </w:r>
          </w:p>
        </w:tc>
        <w:tc>
          <w:tcPr>
            <w:tcW w:w="2000" w:type="dxa"/>
            <w:shd w:val="clear" w:color="auto" w:fill="FFFFFF" w:themeFill="background1"/>
            <w:tcMar>
              <w:top w:w="60" w:type="dxa"/>
              <w:left w:w="120" w:type="dxa"/>
              <w:bottom w:w="60" w:type="dxa"/>
              <w:right w:w="120" w:type="dxa"/>
            </w:tcMar>
            <w:vAlign w:val="center"/>
          </w:tcPr>
          <w:p w14:paraId="20AD61A0" w14:textId="77777777" w:rsidR="00365E05" w:rsidRPr="00365E05" w:rsidRDefault="00365E05" w:rsidP="002719B2">
            <w:pPr>
              <w:jc w:val="both"/>
            </w:pPr>
            <w:r w:rsidRPr="00365E05">
              <w:t>No ice crystals; high survival rates</w:t>
            </w:r>
          </w:p>
        </w:tc>
        <w:tc>
          <w:tcPr>
            <w:tcW w:w="1600" w:type="dxa"/>
            <w:shd w:val="clear" w:color="auto" w:fill="FFFFFF" w:themeFill="background1"/>
            <w:tcMar>
              <w:top w:w="60" w:type="dxa"/>
              <w:left w:w="120" w:type="dxa"/>
              <w:bottom w:w="60" w:type="dxa"/>
              <w:right w:w="120" w:type="dxa"/>
            </w:tcMar>
            <w:vAlign w:val="center"/>
          </w:tcPr>
          <w:p w14:paraId="3686FE62" w14:textId="77777777" w:rsidR="00365E05" w:rsidRPr="00365E05" w:rsidRDefault="00365E05" w:rsidP="002719B2">
            <w:pPr>
              <w:jc w:val="both"/>
            </w:pPr>
            <w:r w:rsidRPr="00365E05">
              <w:t>Chemical toxicity; requires optimization per species</w:t>
            </w:r>
          </w:p>
        </w:tc>
        <w:tc>
          <w:tcPr>
            <w:tcW w:w="1560" w:type="dxa"/>
            <w:shd w:val="clear" w:color="auto" w:fill="FFFFFF" w:themeFill="background1"/>
            <w:tcMar>
              <w:top w:w="60" w:type="dxa"/>
              <w:left w:w="120" w:type="dxa"/>
              <w:bottom w:w="60" w:type="dxa"/>
              <w:right w:w="120" w:type="dxa"/>
            </w:tcMar>
            <w:vAlign w:val="center"/>
          </w:tcPr>
          <w:p w14:paraId="73D9C579" w14:textId="77777777" w:rsidR="00365E05" w:rsidRPr="00365E05" w:rsidRDefault="00365E05" w:rsidP="002719B2">
            <w:pPr>
              <w:jc w:val="both"/>
            </w:pPr>
            <w:r w:rsidRPr="00365E05">
              <w:t>Engelmann, 2011</w:t>
            </w:r>
          </w:p>
        </w:tc>
      </w:tr>
      <w:tr w:rsidR="00365E05" w:rsidRPr="00365E05" w14:paraId="2C937CD0" w14:textId="77777777" w:rsidTr="00BF653C">
        <w:tc>
          <w:tcPr>
            <w:tcW w:w="1800" w:type="dxa"/>
            <w:shd w:val="clear" w:color="auto" w:fill="FFFFFF" w:themeFill="background1"/>
            <w:tcMar>
              <w:top w:w="60" w:type="dxa"/>
              <w:left w:w="120" w:type="dxa"/>
              <w:bottom w:w="60" w:type="dxa"/>
              <w:right w:w="120" w:type="dxa"/>
            </w:tcMar>
            <w:vAlign w:val="center"/>
          </w:tcPr>
          <w:p w14:paraId="49B8D637" w14:textId="77777777" w:rsidR="00365E05" w:rsidRPr="00365E05" w:rsidRDefault="00365E05" w:rsidP="002719B2">
            <w:pPr>
              <w:jc w:val="both"/>
            </w:pPr>
            <w:r w:rsidRPr="00365E05">
              <w:t>Encapsulation-Dehydration</w:t>
            </w:r>
          </w:p>
        </w:tc>
        <w:tc>
          <w:tcPr>
            <w:tcW w:w="2400" w:type="dxa"/>
            <w:shd w:val="clear" w:color="auto" w:fill="FFFFFF" w:themeFill="background1"/>
            <w:tcMar>
              <w:top w:w="60" w:type="dxa"/>
              <w:left w:w="120" w:type="dxa"/>
              <w:bottom w:w="60" w:type="dxa"/>
              <w:right w:w="120" w:type="dxa"/>
            </w:tcMar>
            <w:vAlign w:val="center"/>
          </w:tcPr>
          <w:p w14:paraId="52FEC5B6" w14:textId="77777777" w:rsidR="00365E05" w:rsidRPr="00365E05" w:rsidRDefault="00365E05" w:rsidP="002719B2">
            <w:pPr>
              <w:jc w:val="both"/>
            </w:pPr>
            <w:r w:rsidRPr="00365E05">
              <w:t>Explants encapsulated in alginate beads, partially desiccated before LN immersion</w:t>
            </w:r>
          </w:p>
        </w:tc>
        <w:tc>
          <w:tcPr>
            <w:tcW w:w="2000" w:type="dxa"/>
            <w:shd w:val="clear" w:color="auto" w:fill="FFFFFF" w:themeFill="background1"/>
            <w:tcMar>
              <w:top w:w="60" w:type="dxa"/>
              <w:left w:w="120" w:type="dxa"/>
              <w:bottom w:w="60" w:type="dxa"/>
              <w:right w:w="120" w:type="dxa"/>
            </w:tcMar>
            <w:vAlign w:val="center"/>
          </w:tcPr>
          <w:p w14:paraId="12F3A6C5" w14:textId="77777777" w:rsidR="00365E05" w:rsidRPr="00365E05" w:rsidRDefault="00365E05" w:rsidP="002719B2">
            <w:pPr>
              <w:jc w:val="both"/>
            </w:pPr>
            <w:r w:rsidRPr="00365E05">
              <w:t>Avoids chemical toxicity</w:t>
            </w:r>
          </w:p>
        </w:tc>
        <w:tc>
          <w:tcPr>
            <w:tcW w:w="1600" w:type="dxa"/>
            <w:shd w:val="clear" w:color="auto" w:fill="FFFFFF" w:themeFill="background1"/>
            <w:tcMar>
              <w:top w:w="60" w:type="dxa"/>
              <w:left w:w="120" w:type="dxa"/>
              <w:bottom w:w="60" w:type="dxa"/>
              <w:right w:w="120" w:type="dxa"/>
            </w:tcMar>
            <w:vAlign w:val="center"/>
          </w:tcPr>
          <w:p w14:paraId="28518A44" w14:textId="77777777" w:rsidR="00365E05" w:rsidRPr="00365E05" w:rsidRDefault="00365E05" w:rsidP="002719B2">
            <w:pPr>
              <w:jc w:val="both"/>
            </w:pPr>
            <w:r w:rsidRPr="00365E05">
              <w:t>Desiccation damage risk for recalcitrant taxa</w:t>
            </w:r>
          </w:p>
        </w:tc>
        <w:tc>
          <w:tcPr>
            <w:tcW w:w="1560" w:type="dxa"/>
            <w:shd w:val="clear" w:color="auto" w:fill="FFFFFF" w:themeFill="background1"/>
            <w:tcMar>
              <w:top w:w="60" w:type="dxa"/>
              <w:left w:w="120" w:type="dxa"/>
              <w:bottom w:w="60" w:type="dxa"/>
              <w:right w:w="120" w:type="dxa"/>
            </w:tcMar>
            <w:vAlign w:val="center"/>
          </w:tcPr>
          <w:p w14:paraId="5B321D1B" w14:textId="77777777" w:rsidR="00365E05" w:rsidRPr="00365E05" w:rsidRDefault="00365E05" w:rsidP="002719B2">
            <w:pPr>
              <w:jc w:val="both"/>
            </w:pPr>
            <w:r w:rsidRPr="00365E05">
              <w:t>Withers &amp; Engelmann, 1998</w:t>
            </w:r>
          </w:p>
        </w:tc>
      </w:tr>
      <w:tr w:rsidR="00365E05" w:rsidRPr="00365E05" w14:paraId="72AF93B9" w14:textId="77777777" w:rsidTr="00BF653C">
        <w:tc>
          <w:tcPr>
            <w:tcW w:w="1800" w:type="dxa"/>
            <w:shd w:val="clear" w:color="auto" w:fill="FFFFFF" w:themeFill="background1"/>
            <w:tcMar>
              <w:top w:w="60" w:type="dxa"/>
              <w:left w:w="120" w:type="dxa"/>
              <w:bottom w:w="60" w:type="dxa"/>
              <w:right w:w="120" w:type="dxa"/>
            </w:tcMar>
            <w:vAlign w:val="center"/>
          </w:tcPr>
          <w:p w14:paraId="3127EF89" w14:textId="77777777" w:rsidR="00365E05" w:rsidRPr="00365E05" w:rsidRDefault="00365E05" w:rsidP="002719B2">
            <w:pPr>
              <w:jc w:val="both"/>
            </w:pPr>
            <w:r w:rsidRPr="00365E05">
              <w:t>Droplet-Vitrification</w:t>
            </w:r>
          </w:p>
        </w:tc>
        <w:tc>
          <w:tcPr>
            <w:tcW w:w="2400" w:type="dxa"/>
            <w:shd w:val="clear" w:color="auto" w:fill="FFFFFF" w:themeFill="background1"/>
            <w:tcMar>
              <w:top w:w="60" w:type="dxa"/>
              <w:left w:w="120" w:type="dxa"/>
              <w:bottom w:w="60" w:type="dxa"/>
              <w:right w:w="120" w:type="dxa"/>
            </w:tcMar>
            <w:vAlign w:val="center"/>
          </w:tcPr>
          <w:p w14:paraId="641D288B" w14:textId="77777777" w:rsidR="00365E05" w:rsidRPr="00365E05" w:rsidRDefault="00365E05" w:rsidP="002719B2">
            <w:pPr>
              <w:jc w:val="both"/>
            </w:pPr>
            <w:r w:rsidRPr="00365E05">
              <w:t xml:space="preserve">Cryoprotected explants placed on </w:t>
            </w:r>
            <w:proofErr w:type="spellStart"/>
            <w:r w:rsidRPr="00365E05">
              <w:t>aluminium</w:t>
            </w:r>
            <w:proofErr w:type="spellEnd"/>
            <w:r w:rsidRPr="00365E05">
              <w:t xml:space="preserve"> foil strips, plunged into LN</w:t>
            </w:r>
          </w:p>
        </w:tc>
        <w:tc>
          <w:tcPr>
            <w:tcW w:w="2000" w:type="dxa"/>
            <w:shd w:val="clear" w:color="auto" w:fill="FFFFFF" w:themeFill="background1"/>
            <w:tcMar>
              <w:top w:w="60" w:type="dxa"/>
              <w:left w:w="120" w:type="dxa"/>
              <w:bottom w:w="60" w:type="dxa"/>
              <w:right w:w="120" w:type="dxa"/>
            </w:tcMar>
            <w:vAlign w:val="center"/>
          </w:tcPr>
          <w:p w14:paraId="4DA94B2A" w14:textId="77777777" w:rsidR="00365E05" w:rsidRPr="00365E05" w:rsidRDefault="00365E05" w:rsidP="002719B2">
            <w:pPr>
              <w:jc w:val="both"/>
            </w:pPr>
            <w:r w:rsidRPr="00365E05">
              <w:t>Ultra-rapid; high throughput</w:t>
            </w:r>
          </w:p>
        </w:tc>
        <w:tc>
          <w:tcPr>
            <w:tcW w:w="1600" w:type="dxa"/>
            <w:shd w:val="clear" w:color="auto" w:fill="FFFFFF" w:themeFill="background1"/>
            <w:tcMar>
              <w:top w:w="60" w:type="dxa"/>
              <w:left w:w="120" w:type="dxa"/>
              <w:bottom w:w="60" w:type="dxa"/>
              <w:right w:w="120" w:type="dxa"/>
            </w:tcMar>
            <w:vAlign w:val="center"/>
          </w:tcPr>
          <w:p w14:paraId="72B56EF5" w14:textId="77777777" w:rsidR="00365E05" w:rsidRPr="00365E05" w:rsidRDefault="00365E05" w:rsidP="002719B2">
            <w:pPr>
              <w:jc w:val="both"/>
            </w:pPr>
            <w:r w:rsidRPr="00365E05">
              <w:t>Requires sterile foil handling</w:t>
            </w:r>
          </w:p>
        </w:tc>
        <w:tc>
          <w:tcPr>
            <w:tcW w:w="1560" w:type="dxa"/>
            <w:shd w:val="clear" w:color="auto" w:fill="FFFFFF" w:themeFill="background1"/>
            <w:tcMar>
              <w:top w:w="60" w:type="dxa"/>
              <w:left w:w="120" w:type="dxa"/>
              <w:bottom w:w="60" w:type="dxa"/>
              <w:right w:w="120" w:type="dxa"/>
            </w:tcMar>
            <w:vAlign w:val="center"/>
          </w:tcPr>
          <w:p w14:paraId="356EB201" w14:textId="77777777" w:rsidR="00365E05" w:rsidRPr="00365E05" w:rsidRDefault="00365E05" w:rsidP="002719B2">
            <w:pPr>
              <w:jc w:val="both"/>
            </w:pPr>
            <w:r w:rsidRPr="00365E05">
              <w:t>Volk, 2010</w:t>
            </w:r>
          </w:p>
        </w:tc>
      </w:tr>
      <w:tr w:rsidR="00365E05" w:rsidRPr="00365E05" w14:paraId="473967B9" w14:textId="77777777" w:rsidTr="00BF653C">
        <w:tc>
          <w:tcPr>
            <w:tcW w:w="1800" w:type="dxa"/>
            <w:shd w:val="clear" w:color="auto" w:fill="FFFFFF" w:themeFill="background1"/>
            <w:tcMar>
              <w:top w:w="60" w:type="dxa"/>
              <w:left w:w="120" w:type="dxa"/>
              <w:bottom w:w="60" w:type="dxa"/>
              <w:right w:w="120" w:type="dxa"/>
            </w:tcMar>
            <w:vAlign w:val="center"/>
          </w:tcPr>
          <w:p w14:paraId="54C3055C" w14:textId="77777777" w:rsidR="00365E05" w:rsidRPr="00365E05" w:rsidRDefault="00365E05" w:rsidP="002719B2">
            <w:pPr>
              <w:jc w:val="both"/>
            </w:pPr>
            <w:r w:rsidRPr="00365E05">
              <w:t>Encapsulation-Vitrification</w:t>
            </w:r>
          </w:p>
        </w:tc>
        <w:tc>
          <w:tcPr>
            <w:tcW w:w="2400" w:type="dxa"/>
            <w:shd w:val="clear" w:color="auto" w:fill="FFFFFF" w:themeFill="background1"/>
            <w:tcMar>
              <w:top w:w="60" w:type="dxa"/>
              <w:left w:w="120" w:type="dxa"/>
              <w:bottom w:w="60" w:type="dxa"/>
              <w:right w:w="120" w:type="dxa"/>
            </w:tcMar>
            <w:vAlign w:val="center"/>
          </w:tcPr>
          <w:p w14:paraId="58B17CA7" w14:textId="77777777" w:rsidR="00365E05" w:rsidRPr="00365E05" w:rsidRDefault="00365E05" w:rsidP="002719B2">
            <w:pPr>
              <w:jc w:val="both"/>
            </w:pPr>
            <w:r w:rsidRPr="00365E05">
              <w:t>Alginate-encapsulated explants treated with vitrification solutions</w:t>
            </w:r>
          </w:p>
        </w:tc>
        <w:tc>
          <w:tcPr>
            <w:tcW w:w="2000" w:type="dxa"/>
            <w:shd w:val="clear" w:color="auto" w:fill="FFFFFF" w:themeFill="background1"/>
            <w:tcMar>
              <w:top w:w="60" w:type="dxa"/>
              <w:left w:w="120" w:type="dxa"/>
              <w:bottom w:w="60" w:type="dxa"/>
              <w:right w:w="120" w:type="dxa"/>
            </w:tcMar>
            <w:vAlign w:val="center"/>
          </w:tcPr>
          <w:p w14:paraId="2C07F187" w14:textId="77777777" w:rsidR="00365E05" w:rsidRPr="00365E05" w:rsidRDefault="00365E05" w:rsidP="002719B2">
            <w:pPr>
              <w:jc w:val="both"/>
            </w:pPr>
            <w:r w:rsidRPr="00365E05">
              <w:t>Combines benefits of both methods</w:t>
            </w:r>
          </w:p>
        </w:tc>
        <w:tc>
          <w:tcPr>
            <w:tcW w:w="1600" w:type="dxa"/>
            <w:shd w:val="clear" w:color="auto" w:fill="FFFFFF" w:themeFill="background1"/>
            <w:tcMar>
              <w:top w:w="60" w:type="dxa"/>
              <w:left w:w="120" w:type="dxa"/>
              <w:bottom w:w="60" w:type="dxa"/>
              <w:right w:w="120" w:type="dxa"/>
            </w:tcMar>
            <w:vAlign w:val="center"/>
          </w:tcPr>
          <w:p w14:paraId="47C9A03C" w14:textId="77777777" w:rsidR="00365E05" w:rsidRPr="00365E05" w:rsidRDefault="00365E05" w:rsidP="002719B2">
            <w:pPr>
              <w:jc w:val="both"/>
            </w:pPr>
            <w:r w:rsidRPr="00365E05">
              <w:t>Technically demanding</w:t>
            </w:r>
          </w:p>
        </w:tc>
        <w:tc>
          <w:tcPr>
            <w:tcW w:w="1560" w:type="dxa"/>
            <w:shd w:val="clear" w:color="auto" w:fill="FFFFFF" w:themeFill="background1"/>
            <w:tcMar>
              <w:top w:w="60" w:type="dxa"/>
              <w:left w:w="120" w:type="dxa"/>
              <w:bottom w:w="60" w:type="dxa"/>
              <w:right w:w="120" w:type="dxa"/>
            </w:tcMar>
            <w:vAlign w:val="center"/>
          </w:tcPr>
          <w:p w14:paraId="1D14EF9F" w14:textId="77777777" w:rsidR="00365E05" w:rsidRPr="00365E05" w:rsidRDefault="00365E05" w:rsidP="002719B2">
            <w:pPr>
              <w:jc w:val="both"/>
            </w:pPr>
            <w:proofErr w:type="spellStart"/>
            <w:r w:rsidRPr="00365E05">
              <w:t>Shatnawi</w:t>
            </w:r>
            <w:proofErr w:type="spellEnd"/>
            <w:r w:rsidRPr="00365E05">
              <w:t xml:space="preserve"> et al., 2004</w:t>
            </w:r>
          </w:p>
        </w:tc>
      </w:tr>
    </w:tbl>
    <w:p w14:paraId="004D108F" w14:textId="77777777" w:rsidR="00365E05" w:rsidRPr="00365E05" w:rsidRDefault="00365E05" w:rsidP="002719B2">
      <w:pPr>
        <w:jc w:val="both"/>
      </w:pPr>
    </w:p>
    <w:p w14:paraId="2780E417" w14:textId="77777777" w:rsidR="00365E05" w:rsidRPr="00365E05" w:rsidRDefault="00365E05" w:rsidP="002719B2">
      <w:pPr>
        <w:jc w:val="both"/>
        <w:rPr>
          <w:b/>
          <w:bCs/>
        </w:rPr>
      </w:pPr>
      <w:r w:rsidRPr="00365E05">
        <w:rPr>
          <w:b/>
          <w:bCs/>
        </w:rPr>
        <w:t>5.3 Vitrification Protocols for Zanthoxylum</w:t>
      </w:r>
    </w:p>
    <w:p w14:paraId="3CF7013F" w14:textId="0C639BFA" w:rsidR="007A5437" w:rsidRPr="00365E05" w:rsidRDefault="007A5437" w:rsidP="002719B2">
      <w:pPr>
        <w:jc w:val="both"/>
      </w:pPr>
      <w:r>
        <w:rPr>
          <w:rStyle w:val="cursor-pointer"/>
          <w:rFonts w:ascii="Geist Fallback" w:hAnsi="Geist Fallback"/>
          <w:sz w:val="23"/>
          <w:szCs w:val="23"/>
        </w:rPr>
        <w:t>The vitrification technique originally designed to preserve plant tissues by Sakai et al. (1990) and later optimized into a plant vitrification solution PVS2 protocol (30% glycerol, 15% DMSO, 15% ethylene glycol, 0.4 M sucrose in MS medium) has proven to be the most generally applicable across tropical recalcitrant-seeded species</w:t>
      </w:r>
      <w:r>
        <w:rPr>
          <w:rFonts w:ascii="Geist Fallback" w:hAnsi="Geist Fallback"/>
          <w:sz w:val="23"/>
          <w:szCs w:val="23"/>
        </w:rPr>
        <w:t xml:space="preserve"> </w:t>
      </w:r>
      <w:r>
        <w:rPr>
          <w:rStyle w:val="cursor-pointer"/>
          <w:rFonts w:ascii="Geist Fallback" w:hAnsi="Geist Fallback"/>
          <w:sz w:val="23"/>
          <w:szCs w:val="23"/>
        </w:rPr>
        <w:t>The standard vitrification regime is: (</w:t>
      </w:r>
      <w:proofErr w:type="spellStart"/>
      <w:r>
        <w:rPr>
          <w:rStyle w:val="cursor-pointer"/>
          <w:rFonts w:ascii="Geist Fallback" w:hAnsi="Geist Fallback"/>
          <w:sz w:val="23"/>
          <w:szCs w:val="23"/>
        </w:rPr>
        <w:t>i</w:t>
      </w:r>
      <w:proofErr w:type="spellEnd"/>
      <w:r>
        <w:rPr>
          <w:rStyle w:val="cursor-pointer"/>
          <w:rFonts w:ascii="Geist Fallback" w:hAnsi="Geist Fallback"/>
          <w:sz w:val="23"/>
          <w:szCs w:val="23"/>
        </w:rPr>
        <w:t xml:space="preserve">) pre culture of explants on sucrose-enriched medium to cause osmotic stress tolerance; (ii) loading with a loading solution (LS: 2.0 M glycerol + 0.4 M sucrose in MS) over </w:t>
      </w:r>
      <w:r>
        <w:rPr>
          <w:rStyle w:val="cursor-pointer"/>
          <w:rFonts w:ascii="Geist Fallback" w:hAnsi="Geist Fallback"/>
          <w:sz w:val="23"/>
          <w:szCs w:val="23"/>
        </w:rPr>
        <w:lastRenderedPageBreak/>
        <w:t>20</w:t>
      </w:r>
      <w:r>
        <w:rPr>
          <w:rFonts w:ascii="Geist Fallback" w:hAnsi="Geist Fallback"/>
          <w:sz w:val="23"/>
          <w:szCs w:val="23"/>
        </w:rPr>
        <w:t xml:space="preserve"> </w:t>
      </w:r>
      <w:r>
        <w:rPr>
          <w:rStyle w:val="cursor-pointer"/>
          <w:rFonts w:ascii="Geist Fallback" w:hAnsi="Geist Fallback"/>
          <w:sz w:val="23"/>
          <w:szCs w:val="23"/>
        </w:rPr>
        <w:t xml:space="preserve">In the case of Z. </w:t>
      </w:r>
      <w:proofErr w:type="spellStart"/>
      <w:r>
        <w:rPr>
          <w:rStyle w:val="cursor-pointer"/>
          <w:rFonts w:ascii="Geist Fallback" w:hAnsi="Geist Fallback"/>
          <w:sz w:val="23"/>
          <w:szCs w:val="23"/>
        </w:rPr>
        <w:t>zanthoxyloides</w:t>
      </w:r>
      <w:proofErr w:type="spellEnd"/>
      <w:r>
        <w:rPr>
          <w:rStyle w:val="cursor-pointer"/>
          <w:rFonts w:ascii="Geist Fallback" w:hAnsi="Geist Fallback"/>
          <w:sz w:val="23"/>
          <w:szCs w:val="23"/>
        </w:rPr>
        <w:t>, there is no published vitrification protocol in the primary literature.</w:t>
      </w:r>
      <w:r>
        <w:rPr>
          <w:rFonts w:ascii="Geist Fallback" w:hAnsi="Geist Fallback"/>
          <w:sz w:val="23"/>
          <w:szCs w:val="23"/>
        </w:rPr>
        <w:t xml:space="preserve"> </w:t>
      </w:r>
      <w:r>
        <w:rPr>
          <w:rStyle w:val="cursor-pointer"/>
          <w:rFonts w:ascii="Geist Fallback" w:hAnsi="Geist Fallback"/>
          <w:sz w:val="23"/>
          <w:szCs w:val="23"/>
        </w:rPr>
        <w:t xml:space="preserve">The most applicable points of reference are: the vitrification of embryonic axes of </w:t>
      </w:r>
      <w:proofErr w:type="spellStart"/>
      <w:r>
        <w:rPr>
          <w:rStyle w:val="cursor-pointer"/>
          <w:rFonts w:ascii="Geist Fallback" w:hAnsi="Geist Fallback"/>
          <w:sz w:val="23"/>
          <w:szCs w:val="23"/>
        </w:rPr>
        <w:t>Avicennia</w:t>
      </w:r>
      <w:proofErr w:type="spellEnd"/>
      <w:r>
        <w:rPr>
          <w:rStyle w:val="cursor-pointer"/>
          <w:rFonts w:ascii="Geist Fallback" w:hAnsi="Geist Fallback"/>
          <w:sz w:val="23"/>
          <w:szCs w:val="23"/>
        </w:rPr>
        <w:t xml:space="preserve"> marina (mangrove), which is a highly recalcitrant species, with 47-65% post-thaw survival using droplet vitrification (</w:t>
      </w:r>
      <w:proofErr w:type="spellStart"/>
      <w:r>
        <w:rPr>
          <w:rStyle w:val="cursor-pointer"/>
          <w:rFonts w:ascii="Geist Fallback" w:hAnsi="Geist Fallback"/>
          <w:sz w:val="23"/>
          <w:szCs w:val="23"/>
        </w:rPr>
        <w:t>Berjak</w:t>
      </w:r>
      <w:proofErr w:type="spellEnd"/>
      <w:r>
        <w:rPr>
          <w:rStyle w:val="cursor-pointer"/>
          <w:rFonts w:ascii="Geist Fallback" w:hAnsi="Geist Fallback"/>
          <w:sz w:val="23"/>
          <w:szCs w:val="23"/>
        </w:rPr>
        <w:t xml:space="preserve"> and </w:t>
      </w:r>
      <w:proofErr w:type="spellStart"/>
      <w:r>
        <w:rPr>
          <w:rStyle w:val="cursor-pointer"/>
          <w:rFonts w:ascii="Geist Fallback" w:hAnsi="Geist Fallback"/>
          <w:sz w:val="23"/>
          <w:szCs w:val="23"/>
        </w:rPr>
        <w:t>Pammenter</w:t>
      </w:r>
      <w:proofErr w:type="spellEnd"/>
      <w:r>
        <w:rPr>
          <w:rStyle w:val="cursor-pointer"/>
          <w:rFonts w:ascii="Geist Fallback" w:hAnsi="Geist Fallback"/>
          <w:sz w:val="23"/>
          <w:szCs w:val="23"/>
        </w:rPr>
        <w:t xml:space="preserve">, 2008); and the successful cryopreservation of shoot tips of </w:t>
      </w:r>
      <w:proofErr w:type="spellStart"/>
      <w:r>
        <w:rPr>
          <w:rStyle w:val="cursor-pointer"/>
          <w:rFonts w:ascii="Geist Fallback" w:hAnsi="Geist Fallback"/>
          <w:sz w:val="23"/>
          <w:szCs w:val="23"/>
        </w:rPr>
        <w:t>Syzygium</w:t>
      </w:r>
      <w:proofErr w:type="spellEnd"/>
      <w:r>
        <w:rPr>
          <w:rStyle w:val="cursor-pointer"/>
          <w:rFonts w:ascii="Geist Fallback" w:hAnsi="Geist Fallback"/>
          <w:sz w:val="23"/>
          <w:szCs w:val="23"/>
        </w:rPr>
        <w:t xml:space="preserve"> </w:t>
      </w:r>
      <w:proofErr w:type="spellStart"/>
      <w:r>
        <w:rPr>
          <w:rStyle w:val="cursor-pointer"/>
          <w:rFonts w:ascii="Geist Fallback" w:hAnsi="Geist Fallback"/>
          <w:sz w:val="23"/>
          <w:szCs w:val="23"/>
        </w:rPr>
        <w:t>luehmannii</w:t>
      </w:r>
      <w:proofErr w:type="spellEnd"/>
      <w:r>
        <w:rPr>
          <w:rStyle w:val="cursor-pointer"/>
          <w:rFonts w:ascii="Geist Fallback" w:hAnsi="Geist Fallback"/>
          <w:sz w:val="23"/>
          <w:szCs w:val="23"/>
        </w:rPr>
        <w:t xml:space="preserve"> (</w:t>
      </w:r>
      <w:r>
        <w:rPr>
          <w:rFonts w:ascii="Geist Fallback" w:hAnsi="Geist Fallback"/>
          <w:sz w:val="23"/>
          <w:szCs w:val="23"/>
        </w:rPr>
        <w:t xml:space="preserve"> </w:t>
      </w:r>
      <w:r>
        <w:rPr>
          <w:rStyle w:val="cursor-pointer"/>
          <w:rFonts w:ascii="Geist Fallback" w:hAnsi="Geist Fallback"/>
          <w:sz w:val="23"/>
          <w:szCs w:val="23"/>
        </w:rPr>
        <w:t xml:space="preserve">Such findings cannot be directly transferred but can offer a physiological and procedural model on the basis of which protocols specific to Z. </w:t>
      </w:r>
      <w:proofErr w:type="spellStart"/>
      <w:r>
        <w:rPr>
          <w:rStyle w:val="cursor-pointer"/>
          <w:rFonts w:ascii="Geist Fallback" w:hAnsi="Geist Fallback"/>
          <w:sz w:val="23"/>
          <w:szCs w:val="23"/>
        </w:rPr>
        <w:t>zanthoxyloides</w:t>
      </w:r>
      <w:proofErr w:type="spellEnd"/>
      <w:r>
        <w:rPr>
          <w:rStyle w:val="cursor-pointer"/>
          <w:rFonts w:ascii="Geist Fallback" w:hAnsi="Geist Fallback"/>
          <w:sz w:val="23"/>
          <w:szCs w:val="23"/>
        </w:rPr>
        <w:t xml:space="preserve"> can be developed through trial and error.</w:t>
      </w:r>
      <w:r>
        <w:rPr>
          <w:rFonts w:ascii="Geist Fallback" w:hAnsi="Geist Fallback"/>
          <w:sz w:val="23"/>
          <w:szCs w:val="23"/>
        </w:rPr>
        <w:t xml:space="preserve"> </w:t>
      </w:r>
      <w:r>
        <w:rPr>
          <w:rStyle w:val="cursor-pointer"/>
          <w:rFonts w:ascii="Geist Fallback" w:hAnsi="Geist Fallback"/>
          <w:sz w:val="23"/>
          <w:szCs w:val="23"/>
        </w:rPr>
        <w:t xml:space="preserve">Such critical </w:t>
      </w:r>
      <w:proofErr w:type="spellStart"/>
      <w:r>
        <w:rPr>
          <w:rStyle w:val="cursor-pointer"/>
          <w:rFonts w:ascii="Geist Fallback" w:hAnsi="Geist Fallback"/>
          <w:sz w:val="23"/>
          <w:szCs w:val="23"/>
        </w:rPr>
        <w:t>optimisation</w:t>
      </w:r>
      <w:proofErr w:type="spellEnd"/>
      <w:r>
        <w:rPr>
          <w:rStyle w:val="cursor-pointer"/>
          <w:rFonts w:ascii="Geist Fallback" w:hAnsi="Geist Fallback"/>
          <w:sz w:val="23"/>
          <w:szCs w:val="23"/>
        </w:rPr>
        <w:t xml:space="preserve"> parameters would be: PVS2 exposure time, pre-culture sucrose concentration and the type of explant (embryonic axis vs. shoot tip vs. embryogenic callus).</w:t>
      </w:r>
    </w:p>
    <w:p w14:paraId="283E3DCF" w14:textId="77777777" w:rsidR="00365E05" w:rsidRPr="00365E05" w:rsidRDefault="00365E05" w:rsidP="002719B2">
      <w:pPr>
        <w:jc w:val="both"/>
        <w:rPr>
          <w:b/>
          <w:bCs/>
        </w:rPr>
      </w:pPr>
      <w:r w:rsidRPr="00365E05">
        <w:rPr>
          <w:b/>
          <w:bCs/>
        </w:rPr>
        <w:t>5.4 Encapsulation-Dehydration and Synthetic Seeds</w:t>
      </w:r>
    </w:p>
    <w:p w14:paraId="5EA7C756" w14:textId="40C74290" w:rsidR="007A5437" w:rsidRPr="00365E05" w:rsidRDefault="007A5437" w:rsidP="002719B2">
      <w:pPr>
        <w:jc w:val="both"/>
      </w:pPr>
      <w:r>
        <w:rPr>
          <w:rStyle w:val="cursor-pointer"/>
          <w:rFonts w:ascii="Geist Fallback" w:hAnsi="Geist Fallback"/>
          <w:sz w:val="23"/>
          <w:szCs w:val="23"/>
        </w:rPr>
        <w:t>Synthetic seed technology- encapsulation of somatic embryos or shoot tips in sodium alginate beads that act as artificial seed coat is a complementary approach that facilitates the gap between propagation and conservation (Engelmann &amp; Engels, 2002).</w:t>
      </w:r>
      <w:r>
        <w:rPr>
          <w:rFonts w:ascii="Geist Fallback" w:hAnsi="Geist Fallback"/>
          <w:sz w:val="23"/>
          <w:szCs w:val="23"/>
        </w:rPr>
        <w:t xml:space="preserve"> </w:t>
      </w:r>
      <w:r>
        <w:rPr>
          <w:rStyle w:val="cursor-pointer"/>
          <w:rFonts w:ascii="Geist Fallback" w:hAnsi="Geist Fallback"/>
          <w:sz w:val="23"/>
          <w:szCs w:val="23"/>
        </w:rPr>
        <w:t>Encapsulated propagules may be stored at 4oC on a week to months (medium-term conservation), distributed on a germplasm exchange basis, without the biosecurity risk of open plant material and in selected protocols cryopreserved by a dehydration-then LN immersion (encapsulation-dehydration) (Withers and Engelmann, 1998).</w:t>
      </w:r>
      <w:r>
        <w:rPr>
          <w:rFonts w:ascii="Geist Fallback" w:hAnsi="Geist Fallback"/>
          <w:sz w:val="23"/>
          <w:szCs w:val="23"/>
        </w:rPr>
        <w:t xml:space="preserve"> </w:t>
      </w:r>
      <w:r>
        <w:rPr>
          <w:rStyle w:val="cursor-pointer"/>
          <w:rFonts w:ascii="Geist Fallback" w:hAnsi="Geist Fallback"/>
          <w:sz w:val="23"/>
          <w:szCs w:val="23"/>
        </w:rPr>
        <w:t xml:space="preserve">The encapsulation of cotyledonary somatic embryos of Z. </w:t>
      </w:r>
      <w:proofErr w:type="spellStart"/>
      <w:r>
        <w:rPr>
          <w:rStyle w:val="cursor-pointer"/>
          <w:rFonts w:ascii="Geist Fallback" w:hAnsi="Geist Fallback"/>
          <w:sz w:val="23"/>
          <w:szCs w:val="23"/>
        </w:rPr>
        <w:t>alatum</w:t>
      </w:r>
      <w:proofErr w:type="spellEnd"/>
      <w:r>
        <w:rPr>
          <w:rStyle w:val="cursor-pointer"/>
          <w:rFonts w:ascii="Geist Fallback" w:hAnsi="Geist Fallback"/>
          <w:sz w:val="23"/>
          <w:szCs w:val="23"/>
        </w:rPr>
        <w:t xml:space="preserve"> with alginate has been shown with reasonable germination rates of 4862% after four weeks of cold storage at 4C which is evidence of principle to the Zanthoxylum genus.</w:t>
      </w:r>
      <w:r>
        <w:rPr>
          <w:rFonts w:ascii="Geist Fallback" w:hAnsi="Geist Fallback"/>
          <w:sz w:val="23"/>
          <w:szCs w:val="23"/>
        </w:rPr>
        <w:t xml:space="preserve"> </w:t>
      </w:r>
      <w:r>
        <w:rPr>
          <w:rStyle w:val="cursor-pointer"/>
          <w:rFonts w:ascii="Geist Fallback" w:hAnsi="Geist Fallback"/>
          <w:sz w:val="23"/>
          <w:szCs w:val="23"/>
        </w:rPr>
        <w:t xml:space="preserve">In the case of Z. </w:t>
      </w:r>
      <w:proofErr w:type="spellStart"/>
      <w:r>
        <w:rPr>
          <w:rStyle w:val="cursor-pointer"/>
          <w:rFonts w:ascii="Geist Fallback" w:hAnsi="Geist Fallback"/>
          <w:sz w:val="23"/>
          <w:szCs w:val="23"/>
        </w:rPr>
        <w:t>zanthoxyloides</w:t>
      </w:r>
      <w:proofErr w:type="spellEnd"/>
      <w:r>
        <w:rPr>
          <w:rStyle w:val="cursor-pointer"/>
          <w:rFonts w:ascii="Geist Fallback" w:hAnsi="Geist Fallback"/>
          <w:sz w:val="23"/>
          <w:szCs w:val="23"/>
        </w:rPr>
        <w:t xml:space="preserve">, synthetic seed technology can only be developed after </w:t>
      </w:r>
      <w:proofErr w:type="spellStart"/>
      <w:r>
        <w:rPr>
          <w:rStyle w:val="cursor-pointer"/>
          <w:rFonts w:ascii="Geist Fallback" w:hAnsi="Geist Fallback"/>
          <w:sz w:val="23"/>
          <w:szCs w:val="23"/>
        </w:rPr>
        <w:t>optimisation</w:t>
      </w:r>
      <w:proofErr w:type="spellEnd"/>
      <w:r>
        <w:rPr>
          <w:rStyle w:val="cursor-pointer"/>
          <w:rFonts w:ascii="Geist Fallback" w:hAnsi="Geist Fallback"/>
          <w:sz w:val="23"/>
          <w:szCs w:val="23"/>
        </w:rPr>
        <w:t xml:space="preserve"> of the somatic embryogenesis, as explained in Section 4.</w:t>
      </w:r>
      <w:r>
        <w:rPr>
          <w:rFonts w:ascii="Geist Fallback" w:hAnsi="Geist Fallback"/>
          <w:sz w:val="23"/>
          <w:szCs w:val="23"/>
        </w:rPr>
        <w:t xml:space="preserve"> </w:t>
      </w:r>
      <w:r>
        <w:rPr>
          <w:rStyle w:val="cursor-pointer"/>
          <w:rFonts w:ascii="Geist Fallback" w:hAnsi="Geist Fallback"/>
          <w:sz w:val="23"/>
          <w:szCs w:val="23"/>
        </w:rPr>
        <w:t>The usual method is that of encapsulation of single somatic embryos in 3 percent sodium alginate solution, cross-linked in 100 mM CaCl2 during 30 minutes to give firm, spherical beads measuring 35 mm in diameter, and then culture in hormone-free MS medium or storage in 4 C in sterile distilled water (Ashmore, 1997).</w:t>
      </w:r>
    </w:p>
    <w:p w14:paraId="7968173E" w14:textId="77777777" w:rsidR="00365E05" w:rsidRPr="00365E05" w:rsidRDefault="00365E05" w:rsidP="002719B2">
      <w:pPr>
        <w:jc w:val="both"/>
      </w:pPr>
    </w:p>
    <w:p w14:paraId="29509013" w14:textId="77777777" w:rsidR="00365E05" w:rsidRPr="00365E05" w:rsidRDefault="00365E05" w:rsidP="002719B2">
      <w:pPr>
        <w:jc w:val="both"/>
        <w:rPr>
          <w:b/>
          <w:bCs/>
        </w:rPr>
      </w:pPr>
      <w:r w:rsidRPr="00365E05">
        <w:rPr>
          <w:b/>
          <w:bCs/>
        </w:rPr>
        <w:t xml:space="preserve">6. Synthesis of Tissue Culture Studies: Evidence from Zanthoxylum and </w:t>
      </w:r>
      <w:proofErr w:type="spellStart"/>
      <w:r w:rsidRPr="00365E05">
        <w:rPr>
          <w:b/>
          <w:bCs/>
        </w:rPr>
        <w:t>Rutaceae</w:t>
      </w:r>
      <w:proofErr w:type="spellEnd"/>
    </w:p>
    <w:p w14:paraId="27C63106" w14:textId="494D494D" w:rsidR="007A5437" w:rsidRPr="00365E05" w:rsidRDefault="007A5437" w:rsidP="002719B2">
      <w:pPr>
        <w:jc w:val="both"/>
      </w:pPr>
      <w:r>
        <w:t xml:space="preserve">Table 1 offers a summary of published tissue culture research of direct relevance to Z. </w:t>
      </w:r>
      <w:proofErr w:type="spellStart"/>
      <w:r>
        <w:t>zanthoxyloides</w:t>
      </w:r>
      <w:proofErr w:type="spellEnd"/>
      <w:r>
        <w:t xml:space="preserve"> and related species based on the peer-reviewed literature that was available on the date of this review. The data demonstrate the potential of in vitro methods to this genus and also depict the significant gaps in the species-specific experimental evidence.</w:t>
      </w:r>
    </w:p>
    <w:p w14:paraId="1ACF3341" w14:textId="77777777" w:rsidR="00365E05" w:rsidRPr="00365E05" w:rsidRDefault="00365E05" w:rsidP="002719B2">
      <w:pPr>
        <w:jc w:val="both"/>
      </w:pPr>
    </w:p>
    <w:p w14:paraId="19EE116B" w14:textId="77777777" w:rsidR="00365E05" w:rsidRPr="00365E05" w:rsidRDefault="00365E05" w:rsidP="002719B2">
      <w:pPr>
        <w:jc w:val="both"/>
      </w:pPr>
      <w:r w:rsidRPr="00365E05">
        <w:rPr>
          <w:b/>
          <w:bCs/>
        </w:rPr>
        <w:t xml:space="preserve">Table 1. </w:t>
      </w:r>
      <w:r w:rsidRPr="00365E05">
        <w:rPr>
          <w:i/>
          <w:iCs/>
        </w:rPr>
        <w:t xml:space="preserve">Summary of published plant tissue culture studies on Zanthoxylum </w:t>
      </w:r>
      <w:proofErr w:type="spellStart"/>
      <w:r w:rsidRPr="00365E05">
        <w:rPr>
          <w:i/>
          <w:iCs/>
        </w:rPr>
        <w:t>zanthoxyloides</w:t>
      </w:r>
      <w:proofErr w:type="spellEnd"/>
      <w:r w:rsidRPr="00365E05">
        <w:rPr>
          <w:i/>
          <w:iCs/>
        </w:rPr>
        <w:t xml:space="preserve"> and selected congeneric species.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1667"/>
        <w:gridCol w:w="1414"/>
        <w:gridCol w:w="1290"/>
        <w:gridCol w:w="1973"/>
        <w:gridCol w:w="1613"/>
        <w:gridCol w:w="1403"/>
      </w:tblGrid>
      <w:tr w:rsidR="005726B7" w:rsidRPr="00365E05" w14:paraId="3F36FBCE" w14:textId="77777777" w:rsidTr="005726B7">
        <w:tc>
          <w:tcPr>
            <w:tcW w:w="1600" w:type="dxa"/>
            <w:shd w:val="clear" w:color="auto" w:fill="FFFFFF" w:themeFill="background1"/>
            <w:tcMar>
              <w:top w:w="80" w:type="dxa"/>
              <w:left w:w="120" w:type="dxa"/>
              <w:bottom w:w="80" w:type="dxa"/>
              <w:right w:w="120" w:type="dxa"/>
            </w:tcMar>
            <w:vAlign w:val="center"/>
          </w:tcPr>
          <w:p w14:paraId="5D1EF050" w14:textId="77777777" w:rsidR="00365E05" w:rsidRPr="00365E05" w:rsidRDefault="00365E05" w:rsidP="002719B2">
            <w:pPr>
              <w:jc w:val="both"/>
            </w:pPr>
            <w:r w:rsidRPr="00365E05">
              <w:rPr>
                <w:b/>
                <w:bCs/>
              </w:rPr>
              <w:t>Species</w:t>
            </w:r>
          </w:p>
        </w:tc>
        <w:tc>
          <w:tcPr>
            <w:tcW w:w="1600" w:type="dxa"/>
            <w:shd w:val="clear" w:color="auto" w:fill="FFFFFF" w:themeFill="background1"/>
            <w:tcMar>
              <w:top w:w="80" w:type="dxa"/>
              <w:left w:w="120" w:type="dxa"/>
              <w:bottom w:w="80" w:type="dxa"/>
              <w:right w:w="120" w:type="dxa"/>
            </w:tcMar>
            <w:vAlign w:val="center"/>
          </w:tcPr>
          <w:p w14:paraId="06F620FB" w14:textId="77777777" w:rsidR="00365E05" w:rsidRPr="00365E05" w:rsidRDefault="00365E05" w:rsidP="002719B2">
            <w:pPr>
              <w:jc w:val="both"/>
            </w:pPr>
            <w:r w:rsidRPr="00365E05">
              <w:rPr>
                <w:b/>
                <w:bCs/>
              </w:rPr>
              <w:t>Explant Type</w:t>
            </w:r>
          </w:p>
        </w:tc>
        <w:tc>
          <w:tcPr>
            <w:tcW w:w="1500" w:type="dxa"/>
            <w:shd w:val="clear" w:color="auto" w:fill="FFFFFF" w:themeFill="background1"/>
            <w:tcMar>
              <w:top w:w="80" w:type="dxa"/>
              <w:left w:w="120" w:type="dxa"/>
              <w:bottom w:w="80" w:type="dxa"/>
              <w:right w:w="120" w:type="dxa"/>
            </w:tcMar>
            <w:vAlign w:val="center"/>
          </w:tcPr>
          <w:p w14:paraId="2B5BF096" w14:textId="77777777" w:rsidR="00365E05" w:rsidRPr="00365E05" w:rsidRDefault="00365E05" w:rsidP="002719B2">
            <w:pPr>
              <w:jc w:val="both"/>
            </w:pPr>
            <w:r w:rsidRPr="00365E05">
              <w:rPr>
                <w:b/>
                <w:bCs/>
              </w:rPr>
              <w:t>Medium / PGR</w:t>
            </w:r>
          </w:p>
        </w:tc>
        <w:tc>
          <w:tcPr>
            <w:tcW w:w="1500" w:type="dxa"/>
            <w:shd w:val="clear" w:color="auto" w:fill="FFFFFF" w:themeFill="background1"/>
            <w:tcMar>
              <w:top w:w="80" w:type="dxa"/>
              <w:left w:w="120" w:type="dxa"/>
              <w:bottom w:w="80" w:type="dxa"/>
              <w:right w:w="120" w:type="dxa"/>
            </w:tcMar>
            <w:vAlign w:val="center"/>
          </w:tcPr>
          <w:p w14:paraId="01297533" w14:textId="77777777" w:rsidR="00365E05" w:rsidRPr="00365E05" w:rsidRDefault="00365E05" w:rsidP="002719B2">
            <w:pPr>
              <w:jc w:val="both"/>
            </w:pPr>
            <w:r w:rsidRPr="00365E05">
              <w:rPr>
                <w:b/>
                <w:bCs/>
              </w:rPr>
              <w:t>Response Obtained</w:t>
            </w:r>
          </w:p>
        </w:tc>
        <w:tc>
          <w:tcPr>
            <w:tcW w:w="1600" w:type="dxa"/>
            <w:shd w:val="clear" w:color="auto" w:fill="FFFFFF" w:themeFill="background1"/>
            <w:tcMar>
              <w:top w:w="80" w:type="dxa"/>
              <w:left w:w="120" w:type="dxa"/>
              <w:bottom w:w="80" w:type="dxa"/>
              <w:right w:w="120" w:type="dxa"/>
            </w:tcMar>
            <w:vAlign w:val="center"/>
          </w:tcPr>
          <w:p w14:paraId="2E81DCAD" w14:textId="77777777" w:rsidR="00365E05" w:rsidRPr="00365E05" w:rsidRDefault="00365E05" w:rsidP="002719B2">
            <w:pPr>
              <w:jc w:val="both"/>
            </w:pPr>
            <w:r w:rsidRPr="00365E05">
              <w:rPr>
                <w:b/>
                <w:bCs/>
              </w:rPr>
              <w:t>Regeneration Frequency (%)</w:t>
            </w:r>
          </w:p>
        </w:tc>
        <w:tc>
          <w:tcPr>
            <w:tcW w:w="1560" w:type="dxa"/>
            <w:shd w:val="clear" w:color="auto" w:fill="FFFFFF" w:themeFill="background1"/>
            <w:tcMar>
              <w:top w:w="80" w:type="dxa"/>
              <w:left w:w="120" w:type="dxa"/>
              <w:bottom w:w="80" w:type="dxa"/>
              <w:right w:w="120" w:type="dxa"/>
            </w:tcMar>
            <w:vAlign w:val="center"/>
          </w:tcPr>
          <w:p w14:paraId="46FBA6B3" w14:textId="77777777" w:rsidR="00365E05" w:rsidRPr="00365E05" w:rsidRDefault="00365E05" w:rsidP="002719B2">
            <w:pPr>
              <w:jc w:val="both"/>
            </w:pPr>
            <w:r w:rsidRPr="00365E05">
              <w:rPr>
                <w:b/>
                <w:bCs/>
              </w:rPr>
              <w:t>Reference</w:t>
            </w:r>
          </w:p>
        </w:tc>
      </w:tr>
      <w:tr w:rsidR="005726B7" w:rsidRPr="00365E05" w14:paraId="312F757C" w14:textId="77777777" w:rsidTr="005726B7">
        <w:tc>
          <w:tcPr>
            <w:tcW w:w="1600" w:type="dxa"/>
            <w:shd w:val="clear" w:color="auto" w:fill="FFFFFF" w:themeFill="background1"/>
            <w:tcMar>
              <w:top w:w="60" w:type="dxa"/>
              <w:left w:w="120" w:type="dxa"/>
              <w:bottom w:w="60" w:type="dxa"/>
              <w:right w:w="120" w:type="dxa"/>
            </w:tcMar>
            <w:vAlign w:val="center"/>
          </w:tcPr>
          <w:p w14:paraId="3B66D6AB" w14:textId="77777777" w:rsidR="00365E05" w:rsidRPr="00365E05" w:rsidRDefault="00365E05" w:rsidP="002719B2">
            <w:pPr>
              <w:jc w:val="both"/>
            </w:pPr>
            <w:r w:rsidRPr="00365E05">
              <w:rPr>
                <w:i/>
                <w:iCs/>
              </w:rPr>
              <w:t xml:space="preserve">Z. </w:t>
            </w:r>
            <w:proofErr w:type="spellStart"/>
            <w:r w:rsidRPr="00365E05">
              <w:rPr>
                <w:i/>
                <w:iCs/>
              </w:rPr>
              <w:t>zanthoxyloides</w:t>
            </w:r>
            <w:proofErr w:type="spellEnd"/>
          </w:p>
        </w:tc>
        <w:tc>
          <w:tcPr>
            <w:tcW w:w="1600" w:type="dxa"/>
            <w:shd w:val="clear" w:color="auto" w:fill="FFFFFF" w:themeFill="background1"/>
            <w:tcMar>
              <w:top w:w="60" w:type="dxa"/>
              <w:left w:w="120" w:type="dxa"/>
              <w:bottom w:w="60" w:type="dxa"/>
              <w:right w:w="120" w:type="dxa"/>
            </w:tcMar>
            <w:vAlign w:val="center"/>
          </w:tcPr>
          <w:p w14:paraId="734626E0" w14:textId="77777777" w:rsidR="00365E05" w:rsidRPr="00365E05" w:rsidRDefault="00365E05" w:rsidP="002719B2">
            <w:pPr>
              <w:jc w:val="both"/>
            </w:pPr>
            <w:r w:rsidRPr="00365E05">
              <w:t>Cotyledon</w:t>
            </w:r>
          </w:p>
        </w:tc>
        <w:tc>
          <w:tcPr>
            <w:tcW w:w="1500" w:type="dxa"/>
            <w:shd w:val="clear" w:color="auto" w:fill="FFFFFF" w:themeFill="background1"/>
            <w:tcMar>
              <w:top w:w="60" w:type="dxa"/>
              <w:left w:w="120" w:type="dxa"/>
              <w:bottom w:w="60" w:type="dxa"/>
              <w:right w:w="120" w:type="dxa"/>
            </w:tcMar>
            <w:vAlign w:val="center"/>
          </w:tcPr>
          <w:p w14:paraId="654E4786" w14:textId="77777777" w:rsidR="00365E05" w:rsidRPr="00365E05" w:rsidRDefault="00365E05" w:rsidP="002719B2">
            <w:pPr>
              <w:jc w:val="both"/>
            </w:pPr>
            <w:r w:rsidRPr="00365E05">
              <w:t>MS + 1.0 mg/L BAP + 0.1 mg/L NAA</w:t>
            </w:r>
          </w:p>
        </w:tc>
        <w:tc>
          <w:tcPr>
            <w:tcW w:w="1500" w:type="dxa"/>
            <w:shd w:val="clear" w:color="auto" w:fill="FFFFFF" w:themeFill="background1"/>
            <w:tcMar>
              <w:top w:w="60" w:type="dxa"/>
              <w:left w:w="120" w:type="dxa"/>
              <w:bottom w:w="60" w:type="dxa"/>
              <w:right w:w="120" w:type="dxa"/>
            </w:tcMar>
            <w:vAlign w:val="center"/>
          </w:tcPr>
          <w:p w14:paraId="071ACC1B" w14:textId="77777777" w:rsidR="00365E05" w:rsidRPr="00365E05" w:rsidRDefault="00365E05" w:rsidP="002719B2">
            <w:pPr>
              <w:jc w:val="both"/>
            </w:pPr>
            <w:r w:rsidRPr="00365E05">
              <w:t>Shoot organogenesis</w:t>
            </w:r>
          </w:p>
        </w:tc>
        <w:tc>
          <w:tcPr>
            <w:tcW w:w="1600" w:type="dxa"/>
            <w:shd w:val="clear" w:color="auto" w:fill="FFFFFF" w:themeFill="background1"/>
            <w:tcMar>
              <w:top w:w="60" w:type="dxa"/>
              <w:left w:w="120" w:type="dxa"/>
              <w:bottom w:w="60" w:type="dxa"/>
              <w:right w:w="120" w:type="dxa"/>
            </w:tcMar>
            <w:vAlign w:val="center"/>
          </w:tcPr>
          <w:p w14:paraId="2A14D4EB" w14:textId="77777777" w:rsidR="00365E05" w:rsidRPr="00365E05" w:rsidRDefault="00365E05" w:rsidP="002719B2">
            <w:pPr>
              <w:jc w:val="both"/>
            </w:pPr>
            <w:r w:rsidRPr="00365E05">
              <w:t>68.4</w:t>
            </w:r>
          </w:p>
        </w:tc>
        <w:tc>
          <w:tcPr>
            <w:tcW w:w="1560" w:type="dxa"/>
            <w:shd w:val="clear" w:color="auto" w:fill="FFFFFF" w:themeFill="background1"/>
            <w:tcMar>
              <w:top w:w="60" w:type="dxa"/>
              <w:left w:w="120" w:type="dxa"/>
              <w:bottom w:w="60" w:type="dxa"/>
              <w:right w:w="120" w:type="dxa"/>
            </w:tcMar>
            <w:vAlign w:val="center"/>
          </w:tcPr>
          <w:p w14:paraId="7C38FC2E" w14:textId="77777777" w:rsidR="00365E05" w:rsidRPr="00365E05" w:rsidRDefault="00365E05" w:rsidP="002719B2">
            <w:pPr>
              <w:jc w:val="both"/>
            </w:pPr>
            <w:r w:rsidRPr="00365E05">
              <w:t>Abubakar et al., 2019</w:t>
            </w:r>
          </w:p>
        </w:tc>
      </w:tr>
      <w:tr w:rsidR="005726B7" w:rsidRPr="00365E05" w14:paraId="586BBAC8" w14:textId="77777777" w:rsidTr="005726B7">
        <w:tc>
          <w:tcPr>
            <w:tcW w:w="1600" w:type="dxa"/>
            <w:shd w:val="clear" w:color="auto" w:fill="FFFFFF" w:themeFill="background1"/>
            <w:tcMar>
              <w:top w:w="60" w:type="dxa"/>
              <w:left w:w="120" w:type="dxa"/>
              <w:bottom w:w="60" w:type="dxa"/>
              <w:right w:w="120" w:type="dxa"/>
            </w:tcMar>
            <w:vAlign w:val="center"/>
          </w:tcPr>
          <w:p w14:paraId="04BAEACB" w14:textId="77777777" w:rsidR="00365E05" w:rsidRPr="00365E05" w:rsidRDefault="00365E05" w:rsidP="002719B2">
            <w:pPr>
              <w:jc w:val="both"/>
            </w:pPr>
            <w:r w:rsidRPr="00365E05">
              <w:rPr>
                <w:i/>
                <w:iCs/>
              </w:rPr>
              <w:t xml:space="preserve">Z. </w:t>
            </w:r>
            <w:proofErr w:type="spellStart"/>
            <w:r w:rsidRPr="00365E05">
              <w:rPr>
                <w:i/>
                <w:iCs/>
              </w:rPr>
              <w:t>zanthoxyloides</w:t>
            </w:r>
            <w:proofErr w:type="spellEnd"/>
          </w:p>
        </w:tc>
        <w:tc>
          <w:tcPr>
            <w:tcW w:w="1600" w:type="dxa"/>
            <w:shd w:val="clear" w:color="auto" w:fill="FFFFFF" w:themeFill="background1"/>
            <w:tcMar>
              <w:top w:w="60" w:type="dxa"/>
              <w:left w:w="120" w:type="dxa"/>
              <w:bottom w:w="60" w:type="dxa"/>
              <w:right w:w="120" w:type="dxa"/>
            </w:tcMar>
            <w:vAlign w:val="center"/>
          </w:tcPr>
          <w:p w14:paraId="11CE31EF" w14:textId="77777777" w:rsidR="00365E05" w:rsidRPr="00365E05" w:rsidRDefault="00365E05" w:rsidP="002719B2">
            <w:pPr>
              <w:jc w:val="both"/>
            </w:pPr>
            <w:r w:rsidRPr="00365E05">
              <w:t>Nodal segment</w:t>
            </w:r>
          </w:p>
        </w:tc>
        <w:tc>
          <w:tcPr>
            <w:tcW w:w="1500" w:type="dxa"/>
            <w:shd w:val="clear" w:color="auto" w:fill="FFFFFF" w:themeFill="background1"/>
            <w:tcMar>
              <w:top w:w="60" w:type="dxa"/>
              <w:left w:w="120" w:type="dxa"/>
              <w:bottom w:w="60" w:type="dxa"/>
              <w:right w:w="120" w:type="dxa"/>
            </w:tcMar>
            <w:vAlign w:val="center"/>
          </w:tcPr>
          <w:p w14:paraId="2E5E5C8A" w14:textId="77777777" w:rsidR="00365E05" w:rsidRPr="00365E05" w:rsidRDefault="00365E05" w:rsidP="002719B2">
            <w:pPr>
              <w:jc w:val="both"/>
            </w:pPr>
            <w:r w:rsidRPr="00365E05">
              <w:t>MS + 2.0 mg/L BAP</w:t>
            </w:r>
          </w:p>
        </w:tc>
        <w:tc>
          <w:tcPr>
            <w:tcW w:w="1500" w:type="dxa"/>
            <w:shd w:val="clear" w:color="auto" w:fill="FFFFFF" w:themeFill="background1"/>
            <w:tcMar>
              <w:top w:w="60" w:type="dxa"/>
              <w:left w:w="120" w:type="dxa"/>
              <w:bottom w:w="60" w:type="dxa"/>
              <w:right w:w="120" w:type="dxa"/>
            </w:tcMar>
            <w:vAlign w:val="center"/>
          </w:tcPr>
          <w:p w14:paraId="7510F53E" w14:textId="77777777" w:rsidR="00365E05" w:rsidRPr="00365E05" w:rsidRDefault="00365E05" w:rsidP="002719B2">
            <w:pPr>
              <w:jc w:val="both"/>
            </w:pPr>
            <w:r w:rsidRPr="00365E05">
              <w:t>Axillary shoot proliferation</w:t>
            </w:r>
          </w:p>
        </w:tc>
        <w:tc>
          <w:tcPr>
            <w:tcW w:w="1600" w:type="dxa"/>
            <w:shd w:val="clear" w:color="auto" w:fill="FFFFFF" w:themeFill="background1"/>
            <w:tcMar>
              <w:top w:w="60" w:type="dxa"/>
              <w:left w:w="120" w:type="dxa"/>
              <w:bottom w:w="60" w:type="dxa"/>
              <w:right w:w="120" w:type="dxa"/>
            </w:tcMar>
            <w:vAlign w:val="center"/>
          </w:tcPr>
          <w:p w14:paraId="269D46EF" w14:textId="77777777" w:rsidR="00365E05" w:rsidRPr="00365E05" w:rsidRDefault="00365E05" w:rsidP="002719B2">
            <w:pPr>
              <w:jc w:val="both"/>
            </w:pPr>
            <w:r w:rsidRPr="00365E05">
              <w:t>55.2</w:t>
            </w:r>
          </w:p>
        </w:tc>
        <w:tc>
          <w:tcPr>
            <w:tcW w:w="1560" w:type="dxa"/>
            <w:shd w:val="clear" w:color="auto" w:fill="FFFFFF" w:themeFill="background1"/>
            <w:tcMar>
              <w:top w:w="60" w:type="dxa"/>
              <w:left w:w="120" w:type="dxa"/>
              <w:bottom w:w="60" w:type="dxa"/>
              <w:right w:w="120" w:type="dxa"/>
            </w:tcMar>
            <w:vAlign w:val="center"/>
          </w:tcPr>
          <w:p w14:paraId="7AB6F897" w14:textId="77777777" w:rsidR="00365E05" w:rsidRPr="00365E05" w:rsidRDefault="00365E05" w:rsidP="002719B2">
            <w:pPr>
              <w:jc w:val="both"/>
            </w:pPr>
            <w:r w:rsidRPr="00365E05">
              <w:t>Oladele et al., 2013</w:t>
            </w:r>
          </w:p>
        </w:tc>
      </w:tr>
      <w:tr w:rsidR="005726B7" w:rsidRPr="00365E05" w14:paraId="7BF40653" w14:textId="77777777" w:rsidTr="005726B7">
        <w:tc>
          <w:tcPr>
            <w:tcW w:w="1600" w:type="dxa"/>
            <w:shd w:val="clear" w:color="auto" w:fill="FFFFFF" w:themeFill="background1"/>
            <w:tcMar>
              <w:top w:w="60" w:type="dxa"/>
              <w:left w:w="120" w:type="dxa"/>
              <w:bottom w:w="60" w:type="dxa"/>
              <w:right w:w="120" w:type="dxa"/>
            </w:tcMar>
            <w:vAlign w:val="center"/>
          </w:tcPr>
          <w:p w14:paraId="37E9634C" w14:textId="77777777" w:rsidR="00365E05" w:rsidRPr="00365E05" w:rsidRDefault="00365E05" w:rsidP="002719B2">
            <w:pPr>
              <w:jc w:val="both"/>
            </w:pPr>
            <w:r w:rsidRPr="00365E05">
              <w:rPr>
                <w:i/>
                <w:iCs/>
              </w:rPr>
              <w:t xml:space="preserve">Z. </w:t>
            </w:r>
            <w:proofErr w:type="spellStart"/>
            <w:r w:rsidRPr="00365E05">
              <w:rPr>
                <w:i/>
                <w:iCs/>
              </w:rPr>
              <w:t>alatum</w:t>
            </w:r>
            <w:proofErr w:type="spellEnd"/>
          </w:p>
        </w:tc>
        <w:tc>
          <w:tcPr>
            <w:tcW w:w="1600" w:type="dxa"/>
            <w:shd w:val="clear" w:color="auto" w:fill="FFFFFF" w:themeFill="background1"/>
            <w:tcMar>
              <w:top w:w="60" w:type="dxa"/>
              <w:left w:w="120" w:type="dxa"/>
              <w:bottom w:w="60" w:type="dxa"/>
              <w:right w:w="120" w:type="dxa"/>
            </w:tcMar>
            <w:vAlign w:val="center"/>
          </w:tcPr>
          <w:p w14:paraId="0F932FE2" w14:textId="77777777" w:rsidR="00365E05" w:rsidRPr="00365E05" w:rsidRDefault="00365E05" w:rsidP="002719B2">
            <w:pPr>
              <w:jc w:val="both"/>
            </w:pPr>
            <w:r w:rsidRPr="00365E05">
              <w:t>Cotyledon</w:t>
            </w:r>
          </w:p>
        </w:tc>
        <w:tc>
          <w:tcPr>
            <w:tcW w:w="1500" w:type="dxa"/>
            <w:shd w:val="clear" w:color="auto" w:fill="FFFFFF" w:themeFill="background1"/>
            <w:tcMar>
              <w:top w:w="60" w:type="dxa"/>
              <w:left w:w="120" w:type="dxa"/>
              <w:bottom w:w="60" w:type="dxa"/>
              <w:right w:w="120" w:type="dxa"/>
            </w:tcMar>
            <w:vAlign w:val="center"/>
          </w:tcPr>
          <w:p w14:paraId="1CA09957" w14:textId="77777777" w:rsidR="00365E05" w:rsidRPr="00365E05" w:rsidRDefault="00365E05" w:rsidP="002719B2">
            <w:pPr>
              <w:jc w:val="both"/>
            </w:pPr>
            <w:r w:rsidRPr="00365E05">
              <w:t>MS + 1.5 mg/L BAP + 0.5 mg/L IBA</w:t>
            </w:r>
          </w:p>
        </w:tc>
        <w:tc>
          <w:tcPr>
            <w:tcW w:w="1500" w:type="dxa"/>
            <w:shd w:val="clear" w:color="auto" w:fill="FFFFFF" w:themeFill="background1"/>
            <w:tcMar>
              <w:top w:w="60" w:type="dxa"/>
              <w:left w:w="120" w:type="dxa"/>
              <w:bottom w:w="60" w:type="dxa"/>
              <w:right w:w="120" w:type="dxa"/>
            </w:tcMar>
            <w:vAlign w:val="center"/>
          </w:tcPr>
          <w:p w14:paraId="582766D6" w14:textId="77777777" w:rsidR="00365E05" w:rsidRPr="00365E05" w:rsidRDefault="00365E05" w:rsidP="002719B2">
            <w:pPr>
              <w:jc w:val="both"/>
            </w:pPr>
            <w:r w:rsidRPr="00365E05">
              <w:t>Somatic embryogenesis</w:t>
            </w:r>
          </w:p>
        </w:tc>
        <w:tc>
          <w:tcPr>
            <w:tcW w:w="1600" w:type="dxa"/>
            <w:shd w:val="clear" w:color="auto" w:fill="FFFFFF" w:themeFill="background1"/>
            <w:tcMar>
              <w:top w:w="60" w:type="dxa"/>
              <w:left w:w="120" w:type="dxa"/>
              <w:bottom w:w="60" w:type="dxa"/>
              <w:right w:w="120" w:type="dxa"/>
            </w:tcMar>
            <w:vAlign w:val="center"/>
          </w:tcPr>
          <w:p w14:paraId="7AA0FD79" w14:textId="77777777" w:rsidR="00365E05" w:rsidRPr="00365E05" w:rsidRDefault="00365E05" w:rsidP="002719B2">
            <w:pPr>
              <w:jc w:val="both"/>
            </w:pPr>
            <w:r w:rsidRPr="00365E05">
              <w:t>72.0</w:t>
            </w:r>
          </w:p>
        </w:tc>
        <w:tc>
          <w:tcPr>
            <w:tcW w:w="1560" w:type="dxa"/>
            <w:shd w:val="clear" w:color="auto" w:fill="FFFFFF" w:themeFill="background1"/>
            <w:tcMar>
              <w:top w:w="60" w:type="dxa"/>
              <w:left w:w="120" w:type="dxa"/>
              <w:bottom w:w="60" w:type="dxa"/>
              <w:right w:w="120" w:type="dxa"/>
            </w:tcMar>
            <w:vAlign w:val="center"/>
          </w:tcPr>
          <w:p w14:paraId="0D291414" w14:textId="77777777" w:rsidR="00365E05" w:rsidRPr="00365E05" w:rsidRDefault="00365E05" w:rsidP="002719B2">
            <w:pPr>
              <w:jc w:val="both"/>
            </w:pPr>
            <w:r w:rsidRPr="00365E05">
              <w:t>Yadav et al., 2003</w:t>
            </w:r>
          </w:p>
        </w:tc>
      </w:tr>
      <w:tr w:rsidR="005726B7" w:rsidRPr="00365E05" w14:paraId="28A112D0" w14:textId="77777777" w:rsidTr="005726B7">
        <w:tc>
          <w:tcPr>
            <w:tcW w:w="1600" w:type="dxa"/>
            <w:shd w:val="clear" w:color="auto" w:fill="FFFFFF" w:themeFill="background1"/>
            <w:tcMar>
              <w:top w:w="60" w:type="dxa"/>
              <w:left w:w="120" w:type="dxa"/>
              <w:bottom w:w="60" w:type="dxa"/>
              <w:right w:w="120" w:type="dxa"/>
            </w:tcMar>
            <w:vAlign w:val="center"/>
          </w:tcPr>
          <w:p w14:paraId="5BA38DCB" w14:textId="77777777" w:rsidR="00365E05" w:rsidRPr="00365E05" w:rsidRDefault="00365E05" w:rsidP="002719B2">
            <w:pPr>
              <w:jc w:val="both"/>
            </w:pPr>
            <w:r w:rsidRPr="00365E05">
              <w:rPr>
                <w:i/>
                <w:iCs/>
              </w:rPr>
              <w:lastRenderedPageBreak/>
              <w:t xml:space="preserve">Z. </w:t>
            </w:r>
            <w:proofErr w:type="spellStart"/>
            <w:r w:rsidRPr="00365E05">
              <w:rPr>
                <w:i/>
                <w:iCs/>
              </w:rPr>
              <w:t>zanthoxyloides</w:t>
            </w:r>
            <w:proofErr w:type="spellEnd"/>
          </w:p>
        </w:tc>
        <w:tc>
          <w:tcPr>
            <w:tcW w:w="1600" w:type="dxa"/>
            <w:shd w:val="clear" w:color="auto" w:fill="FFFFFF" w:themeFill="background1"/>
            <w:tcMar>
              <w:top w:w="60" w:type="dxa"/>
              <w:left w:w="120" w:type="dxa"/>
              <w:bottom w:w="60" w:type="dxa"/>
              <w:right w:w="120" w:type="dxa"/>
            </w:tcMar>
            <w:vAlign w:val="center"/>
          </w:tcPr>
          <w:p w14:paraId="2C839776" w14:textId="77777777" w:rsidR="00365E05" w:rsidRPr="00365E05" w:rsidRDefault="00365E05" w:rsidP="002719B2">
            <w:pPr>
              <w:jc w:val="both"/>
            </w:pPr>
            <w:r w:rsidRPr="00365E05">
              <w:t>Leaf disc</w:t>
            </w:r>
          </w:p>
        </w:tc>
        <w:tc>
          <w:tcPr>
            <w:tcW w:w="1500" w:type="dxa"/>
            <w:shd w:val="clear" w:color="auto" w:fill="FFFFFF" w:themeFill="background1"/>
            <w:tcMar>
              <w:top w:w="60" w:type="dxa"/>
              <w:left w:w="120" w:type="dxa"/>
              <w:bottom w:w="60" w:type="dxa"/>
              <w:right w:w="120" w:type="dxa"/>
            </w:tcMar>
            <w:vAlign w:val="center"/>
          </w:tcPr>
          <w:p w14:paraId="4F56673A" w14:textId="77777777" w:rsidR="00365E05" w:rsidRPr="00365E05" w:rsidRDefault="00365E05" w:rsidP="002719B2">
            <w:pPr>
              <w:jc w:val="both"/>
            </w:pPr>
            <w:r w:rsidRPr="00365E05">
              <w:t>MS + 2,4-D 1.0 mg/L</w:t>
            </w:r>
          </w:p>
        </w:tc>
        <w:tc>
          <w:tcPr>
            <w:tcW w:w="1500" w:type="dxa"/>
            <w:shd w:val="clear" w:color="auto" w:fill="FFFFFF" w:themeFill="background1"/>
            <w:tcMar>
              <w:top w:w="60" w:type="dxa"/>
              <w:left w:w="120" w:type="dxa"/>
              <w:bottom w:w="60" w:type="dxa"/>
              <w:right w:w="120" w:type="dxa"/>
            </w:tcMar>
            <w:vAlign w:val="center"/>
          </w:tcPr>
          <w:p w14:paraId="40C30259" w14:textId="77777777" w:rsidR="00365E05" w:rsidRPr="00365E05" w:rsidRDefault="00365E05" w:rsidP="002719B2">
            <w:pPr>
              <w:jc w:val="both"/>
            </w:pPr>
            <w:r w:rsidRPr="00365E05">
              <w:t>Callus induction</w:t>
            </w:r>
          </w:p>
        </w:tc>
        <w:tc>
          <w:tcPr>
            <w:tcW w:w="1600" w:type="dxa"/>
            <w:shd w:val="clear" w:color="auto" w:fill="FFFFFF" w:themeFill="background1"/>
            <w:tcMar>
              <w:top w:w="60" w:type="dxa"/>
              <w:left w:w="120" w:type="dxa"/>
              <w:bottom w:w="60" w:type="dxa"/>
              <w:right w:w="120" w:type="dxa"/>
            </w:tcMar>
            <w:vAlign w:val="center"/>
          </w:tcPr>
          <w:p w14:paraId="143DE7DA" w14:textId="77777777" w:rsidR="00365E05" w:rsidRPr="00365E05" w:rsidRDefault="00365E05" w:rsidP="002719B2">
            <w:pPr>
              <w:jc w:val="both"/>
            </w:pPr>
            <w:r w:rsidRPr="00365E05">
              <w:t>88.7</w:t>
            </w:r>
          </w:p>
        </w:tc>
        <w:tc>
          <w:tcPr>
            <w:tcW w:w="1560" w:type="dxa"/>
            <w:shd w:val="clear" w:color="auto" w:fill="FFFFFF" w:themeFill="background1"/>
            <w:tcMar>
              <w:top w:w="60" w:type="dxa"/>
              <w:left w:w="120" w:type="dxa"/>
              <w:bottom w:w="60" w:type="dxa"/>
              <w:right w:w="120" w:type="dxa"/>
            </w:tcMar>
            <w:vAlign w:val="center"/>
          </w:tcPr>
          <w:p w14:paraId="25F44FAB" w14:textId="77777777" w:rsidR="00365E05" w:rsidRPr="00365E05" w:rsidRDefault="00365E05" w:rsidP="002719B2">
            <w:pPr>
              <w:jc w:val="both"/>
            </w:pPr>
            <w:r w:rsidRPr="00365E05">
              <w:t>Oladele et al., 2013</w:t>
            </w:r>
          </w:p>
        </w:tc>
      </w:tr>
      <w:tr w:rsidR="005726B7" w:rsidRPr="00365E05" w14:paraId="78AA096B" w14:textId="77777777" w:rsidTr="005726B7">
        <w:tc>
          <w:tcPr>
            <w:tcW w:w="1600" w:type="dxa"/>
            <w:shd w:val="clear" w:color="auto" w:fill="FFFFFF" w:themeFill="background1"/>
            <w:tcMar>
              <w:top w:w="60" w:type="dxa"/>
              <w:left w:w="120" w:type="dxa"/>
              <w:bottom w:w="60" w:type="dxa"/>
              <w:right w:w="120" w:type="dxa"/>
            </w:tcMar>
            <w:vAlign w:val="center"/>
          </w:tcPr>
          <w:p w14:paraId="465B782C" w14:textId="77777777" w:rsidR="00365E05" w:rsidRPr="00365E05" w:rsidRDefault="00365E05" w:rsidP="002719B2">
            <w:pPr>
              <w:jc w:val="both"/>
            </w:pPr>
            <w:r w:rsidRPr="00365E05">
              <w:rPr>
                <w:i/>
                <w:iCs/>
              </w:rPr>
              <w:t xml:space="preserve">Z. </w:t>
            </w:r>
            <w:proofErr w:type="spellStart"/>
            <w:r w:rsidRPr="00365E05">
              <w:rPr>
                <w:i/>
                <w:iCs/>
              </w:rPr>
              <w:t>simulans</w:t>
            </w:r>
            <w:proofErr w:type="spellEnd"/>
          </w:p>
        </w:tc>
        <w:tc>
          <w:tcPr>
            <w:tcW w:w="1600" w:type="dxa"/>
            <w:shd w:val="clear" w:color="auto" w:fill="FFFFFF" w:themeFill="background1"/>
            <w:tcMar>
              <w:top w:w="60" w:type="dxa"/>
              <w:left w:w="120" w:type="dxa"/>
              <w:bottom w:w="60" w:type="dxa"/>
              <w:right w:w="120" w:type="dxa"/>
            </w:tcMar>
            <w:vAlign w:val="center"/>
          </w:tcPr>
          <w:p w14:paraId="3E1E1C2E" w14:textId="77777777" w:rsidR="00365E05" w:rsidRPr="00365E05" w:rsidRDefault="00365E05" w:rsidP="002719B2">
            <w:pPr>
              <w:jc w:val="both"/>
            </w:pPr>
            <w:r w:rsidRPr="00365E05">
              <w:t>Shoot tip</w:t>
            </w:r>
          </w:p>
        </w:tc>
        <w:tc>
          <w:tcPr>
            <w:tcW w:w="1500" w:type="dxa"/>
            <w:shd w:val="clear" w:color="auto" w:fill="FFFFFF" w:themeFill="background1"/>
            <w:tcMar>
              <w:top w:w="60" w:type="dxa"/>
              <w:left w:w="120" w:type="dxa"/>
              <w:bottom w:w="60" w:type="dxa"/>
              <w:right w:w="120" w:type="dxa"/>
            </w:tcMar>
            <w:vAlign w:val="center"/>
          </w:tcPr>
          <w:p w14:paraId="242BF5A4" w14:textId="77777777" w:rsidR="00365E05" w:rsidRPr="00365E05" w:rsidRDefault="00365E05" w:rsidP="002719B2">
            <w:pPr>
              <w:jc w:val="both"/>
            </w:pPr>
            <w:r w:rsidRPr="00365E05">
              <w:t>WPM + 0.5 mg/L Kin + 0.05 mg/L IBA</w:t>
            </w:r>
          </w:p>
        </w:tc>
        <w:tc>
          <w:tcPr>
            <w:tcW w:w="1500" w:type="dxa"/>
            <w:shd w:val="clear" w:color="auto" w:fill="FFFFFF" w:themeFill="background1"/>
            <w:tcMar>
              <w:top w:w="60" w:type="dxa"/>
              <w:left w:w="120" w:type="dxa"/>
              <w:bottom w:w="60" w:type="dxa"/>
              <w:right w:w="120" w:type="dxa"/>
            </w:tcMar>
            <w:vAlign w:val="center"/>
          </w:tcPr>
          <w:p w14:paraId="457B61C1" w14:textId="77777777" w:rsidR="00365E05" w:rsidRPr="00365E05" w:rsidRDefault="00365E05" w:rsidP="002719B2">
            <w:pPr>
              <w:jc w:val="both"/>
            </w:pPr>
            <w:r w:rsidRPr="00365E05">
              <w:t>Micropropagation</w:t>
            </w:r>
          </w:p>
        </w:tc>
        <w:tc>
          <w:tcPr>
            <w:tcW w:w="1600" w:type="dxa"/>
            <w:shd w:val="clear" w:color="auto" w:fill="FFFFFF" w:themeFill="background1"/>
            <w:tcMar>
              <w:top w:w="60" w:type="dxa"/>
              <w:left w:w="120" w:type="dxa"/>
              <w:bottom w:w="60" w:type="dxa"/>
              <w:right w:w="120" w:type="dxa"/>
            </w:tcMar>
            <w:vAlign w:val="center"/>
          </w:tcPr>
          <w:p w14:paraId="29620667" w14:textId="77777777" w:rsidR="00365E05" w:rsidRPr="00365E05" w:rsidRDefault="00365E05" w:rsidP="002719B2">
            <w:pPr>
              <w:jc w:val="both"/>
            </w:pPr>
            <w:r w:rsidRPr="00365E05">
              <w:t>61.3</w:t>
            </w:r>
          </w:p>
        </w:tc>
        <w:tc>
          <w:tcPr>
            <w:tcW w:w="1560" w:type="dxa"/>
            <w:shd w:val="clear" w:color="auto" w:fill="FFFFFF" w:themeFill="background1"/>
            <w:tcMar>
              <w:top w:w="60" w:type="dxa"/>
              <w:left w:w="120" w:type="dxa"/>
              <w:bottom w:w="60" w:type="dxa"/>
              <w:right w:w="120" w:type="dxa"/>
            </w:tcMar>
            <w:vAlign w:val="center"/>
          </w:tcPr>
          <w:p w14:paraId="309C565D" w14:textId="77777777" w:rsidR="00365E05" w:rsidRPr="00365E05" w:rsidRDefault="00365E05" w:rsidP="002719B2">
            <w:pPr>
              <w:jc w:val="both"/>
            </w:pPr>
            <w:r w:rsidRPr="00365E05">
              <w:t>Adapted from George et al., 2008</w:t>
            </w:r>
          </w:p>
        </w:tc>
      </w:tr>
      <w:tr w:rsidR="005726B7" w:rsidRPr="00365E05" w14:paraId="4281E980" w14:textId="77777777" w:rsidTr="005726B7">
        <w:tc>
          <w:tcPr>
            <w:tcW w:w="1600" w:type="dxa"/>
            <w:shd w:val="clear" w:color="auto" w:fill="FFFFFF" w:themeFill="background1"/>
            <w:tcMar>
              <w:top w:w="60" w:type="dxa"/>
              <w:left w:w="120" w:type="dxa"/>
              <w:bottom w:w="60" w:type="dxa"/>
              <w:right w:w="120" w:type="dxa"/>
            </w:tcMar>
            <w:vAlign w:val="center"/>
          </w:tcPr>
          <w:p w14:paraId="2E3853B2" w14:textId="77777777" w:rsidR="00365E05" w:rsidRPr="00365E05" w:rsidRDefault="00365E05" w:rsidP="002719B2">
            <w:pPr>
              <w:jc w:val="both"/>
            </w:pPr>
            <w:r w:rsidRPr="00365E05">
              <w:rPr>
                <w:i/>
                <w:iCs/>
              </w:rPr>
              <w:t xml:space="preserve">Z. </w:t>
            </w:r>
            <w:proofErr w:type="spellStart"/>
            <w:r w:rsidRPr="00365E05">
              <w:rPr>
                <w:i/>
                <w:iCs/>
              </w:rPr>
              <w:t>armatum</w:t>
            </w:r>
            <w:proofErr w:type="spellEnd"/>
          </w:p>
        </w:tc>
        <w:tc>
          <w:tcPr>
            <w:tcW w:w="1600" w:type="dxa"/>
            <w:shd w:val="clear" w:color="auto" w:fill="FFFFFF" w:themeFill="background1"/>
            <w:tcMar>
              <w:top w:w="60" w:type="dxa"/>
              <w:left w:w="120" w:type="dxa"/>
              <w:bottom w:w="60" w:type="dxa"/>
              <w:right w:w="120" w:type="dxa"/>
            </w:tcMar>
            <w:vAlign w:val="center"/>
          </w:tcPr>
          <w:p w14:paraId="41EF9706" w14:textId="77777777" w:rsidR="00365E05" w:rsidRPr="00365E05" w:rsidRDefault="00365E05" w:rsidP="002719B2">
            <w:pPr>
              <w:jc w:val="both"/>
            </w:pPr>
            <w:r w:rsidRPr="00365E05">
              <w:t>Hypocotyl</w:t>
            </w:r>
          </w:p>
        </w:tc>
        <w:tc>
          <w:tcPr>
            <w:tcW w:w="1500" w:type="dxa"/>
            <w:shd w:val="clear" w:color="auto" w:fill="FFFFFF" w:themeFill="background1"/>
            <w:tcMar>
              <w:top w:w="60" w:type="dxa"/>
              <w:left w:w="120" w:type="dxa"/>
              <w:bottom w:w="60" w:type="dxa"/>
              <w:right w:w="120" w:type="dxa"/>
            </w:tcMar>
            <w:vAlign w:val="center"/>
          </w:tcPr>
          <w:p w14:paraId="1F81A656" w14:textId="77777777" w:rsidR="00365E05" w:rsidRPr="00365E05" w:rsidRDefault="00365E05" w:rsidP="002719B2">
            <w:pPr>
              <w:jc w:val="both"/>
            </w:pPr>
            <w:r w:rsidRPr="00365E05">
              <w:t>MS + 1.5 mg/L TDZ</w:t>
            </w:r>
          </w:p>
        </w:tc>
        <w:tc>
          <w:tcPr>
            <w:tcW w:w="1500" w:type="dxa"/>
            <w:shd w:val="clear" w:color="auto" w:fill="FFFFFF" w:themeFill="background1"/>
            <w:tcMar>
              <w:top w:w="60" w:type="dxa"/>
              <w:left w:w="120" w:type="dxa"/>
              <w:bottom w:w="60" w:type="dxa"/>
              <w:right w:w="120" w:type="dxa"/>
            </w:tcMar>
            <w:vAlign w:val="center"/>
          </w:tcPr>
          <w:p w14:paraId="4BD6ECF6" w14:textId="77777777" w:rsidR="00365E05" w:rsidRPr="00365E05" w:rsidRDefault="00365E05" w:rsidP="002719B2">
            <w:pPr>
              <w:jc w:val="both"/>
            </w:pPr>
            <w:r w:rsidRPr="00365E05">
              <w:t>Regeneration via callus</w:t>
            </w:r>
          </w:p>
        </w:tc>
        <w:tc>
          <w:tcPr>
            <w:tcW w:w="1600" w:type="dxa"/>
            <w:shd w:val="clear" w:color="auto" w:fill="FFFFFF" w:themeFill="background1"/>
            <w:tcMar>
              <w:top w:w="60" w:type="dxa"/>
              <w:left w:w="120" w:type="dxa"/>
              <w:bottom w:w="60" w:type="dxa"/>
              <w:right w:w="120" w:type="dxa"/>
            </w:tcMar>
            <w:vAlign w:val="center"/>
          </w:tcPr>
          <w:p w14:paraId="0F4D6A4B" w14:textId="77777777" w:rsidR="00365E05" w:rsidRPr="00365E05" w:rsidRDefault="00365E05" w:rsidP="002719B2">
            <w:pPr>
              <w:jc w:val="both"/>
            </w:pPr>
            <w:r w:rsidRPr="00365E05">
              <w:t>58.9</w:t>
            </w:r>
          </w:p>
        </w:tc>
        <w:tc>
          <w:tcPr>
            <w:tcW w:w="1560" w:type="dxa"/>
            <w:shd w:val="clear" w:color="auto" w:fill="FFFFFF" w:themeFill="background1"/>
            <w:tcMar>
              <w:top w:w="60" w:type="dxa"/>
              <w:left w:w="120" w:type="dxa"/>
              <w:bottom w:w="60" w:type="dxa"/>
              <w:right w:w="120" w:type="dxa"/>
            </w:tcMar>
            <w:vAlign w:val="center"/>
          </w:tcPr>
          <w:p w14:paraId="27F37951" w14:textId="77777777" w:rsidR="00365E05" w:rsidRPr="00365E05" w:rsidRDefault="00365E05" w:rsidP="002719B2">
            <w:pPr>
              <w:jc w:val="both"/>
            </w:pPr>
            <w:r w:rsidRPr="00365E05">
              <w:t>Jain &amp; Saxena, 2009</w:t>
            </w:r>
          </w:p>
        </w:tc>
      </w:tr>
      <w:tr w:rsidR="005726B7" w:rsidRPr="00365E05" w14:paraId="2034E0DB" w14:textId="77777777" w:rsidTr="005726B7">
        <w:tc>
          <w:tcPr>
            <w:tcW w:w="1600" w:type="dxa"/>
            <w:shd w:val="clear" w:color="auto" w:fill="FFFFFF" w:themeFill="background1"/>
            <w:tcMar>
              <w:top w:w="60" w:type="dxa"/>
              <w:left w:w="120" w:type="dxa"/>
              <w:bottom w:w="60" w:type="dxa"/>
              <w:right w:w="120" w:type="dxa"/>
            </w:tcMar>
            <w:vAlign w:val="center"/>
          </w:tcPr>
          <w:p w14:paraId="0CE79B82" w14:textId="77777777" w:rsidR="00365E05" w:rsidRPr="00365E05" w:rsidRDefault="00365E05" w:rsidP="002719B2">
            <w:pPr>
              <w:jc w:val="both"/>
            </w:pPr>
            <w:r w:rsidRPr="00365E05">
              <w:rPr>
                <w:i/>
                <w:iCs/>
              </w:rPr>
              <w:t xml:space="preserve">Z. </w:t>
            </w:r>
            <w:proofErr w:type="spellStart"/>
            <w:r w:rsidRPr="00365E05">
              <w:rPr>
                <w:i/>
                <w:iCs/>
              </w:rPr>
              <w:t>zanthoxyloides</w:t>
            </w:r>
            <w:proofErr w:type="spellEnd"/>
          </w:p>
        </w:tc>
        <w:tc>
          <w:tcPr>
            <w:tcW w:w="1600" w:type="dxa"/>
            <w:shd w:val="clear" w:color="auto" w:fill="FFFFFF" w:themeFill="background1"/>
            <w:tcMar>
              <w:top w:w="60" w:type="dxa"/>
              <w:left w:w="120" w:type="dxa"/>
              <w:bottom w:w="60" w:type="dxa"/>
              <w:right w:w="120" w:type="dxa"/>
            </w:tcMar>
            <w:vAlign w:val="center"/>
          </w:tcPr>
          <w:p w14:paraId="2C45930F" w14:textId="77777777" w:rsidR="00365E05" w:rsidRPr="00365E05" w:rsidRDefault="00365E05" w:rsidP="002719B2">
            <w:pPr>
              <w:jc w:val="both"/>
            </w:pPr>
            <w:r w:rsidRPr="00365E05">
              <w:t>Zygotic embryo</w:t>
            </w:r>
          </w:p>
        </w:tc>
        <w:tc>
          <w:tcPr>
            <w:tcW w:w="1500" w:type="dxa"/>
            <w:shd w:val="clear" w:color="auto" w:fill="FFFFFF" w:themeFill="background1"/>
            <w:tcMar>
              <w:top w:w="60" w:type="dxa"/>
              <w:left w:w="120" w:type="dxa"/>
              <w:bottom w:w="60" w:type="dxa"/>
              <w:right w:w="120" w:type="dxa"/>
            </w:tcMar>
            <w:vAlign w:val="center"/>
          </w:tcPr>
          <w:p w14:paraId="04276F35" w14:textId="77777777" w:rsidR="00365E05" w:rsidRPr="00365E05" w:rsidRDefault="00365E05" w:rsidP="002719B2">
            <w:pPr>
              <w:jc w:val="both"/>
            </w:pPr>
            <w:r w:rsidRPr="00365E05">
              <w:t>MS + 0.1 mg/L GA3</w:t>
            </w:r>
          </w:p>
        </w:tc>
        <w:tc>
          <w:tcPr>
            <w:tcW w:w="1500" w:type="dxa"/>
            <w:shd w:val="clear" w:color="auto" w:fill="FFFFFF" w:themeFill="background1"/>
            <w:tcMar>
              <w:top w:w="60" w:type="dxa"/>
              <w:left w:w="120" w:type="dxa"/>
              <w:bottom w:w="60" w:type="dxa"/>
              <w:right w:w="120" w:type="dxa"/>
            </w:tcMar>
            <w:vAlign w:val="center"/>
          </w:tcPr>
          <w:p w14:paraId="77E2060A" w14:textId="77777777" w:rsidR="00365E05" w:rsidRPr="00365E05" w:rsidRDefault="00365E05" w:rsidP="002719B2">
            <w:pPr>
              <w:jc w:val="both"/>
            </w:pPr>
            <w:r w:rsidRPr="00365E05">
              <w:t>Germination enhancement</w:t>
            </w:r>
          </w:p>
        </w:tc>
        <w:tc>
          <w:tcPr>
            <w:tcW w:w="1600" w:type="dxa"/>
            <w:shd w:val="clear" w:color="auto" w:fill="FFFFFF" w:themeFill="background1"/>
            <w:tcMar>
              <w:top w:w="60" w:type="dxa"/>
              <w:left w:w="120" w:type="dxa"/>
              <w:bottom w:w="60" w:type="dxa"/>
              <w:right w:w="120" w:type="dxa"/>
            </w:tcMar>
            <w:vAlign w:val="center"/>
          </w:tcPr>
          <w:p w14:paraId="350E99E8" w14:textId="77777777" w:rsidR="00365E05" w:rsidRPr="00365E05" w:rsidRDefault="00365E05" w:rsidP="002719B2">
            <w:pPr>
              <w:jc w:val="both"/>
            </w:pPr>
            <w:r w:rsidRPr="00365E05">
              <w:t>94.1</w:t>
            </w:r>
          </w:p>
        </w:tc>
        <w:tc>
          <w:tcPr>
            <w:tcW w:w="1560" w:type="dxa"/>
            <w:shd w:val="clear" w:color="auto" w:fill="FFFFFF" w:themeFill="background1"/>
            <w:tcMar>
              <w:top w:w="60" w:type="dxa"/>
              <w:left w:w="120" w:type="dxa"/>
              <w:bottom w:w="60" w:type="dxa"/>
              <w:right w:w="120" w:type="dxa"/>
            </w:tcMar>
            <w:vAlign w:val="center"/>
          </w:tcPr>
          <w:p w14:paraId="0C331EE5" w14:textId="77777777" w:rsidR="00365E05" w:rsidRPr="00365E05" w:rsidRDefault="00365E05" w:rsidP="002719B2">
            <w:pPr>
              <w:jc w:val="both"/>
            </w:pPr>
            <w:r w:rsidRPr="00365E05">
              <w:t>Abubakar et al., 2019</w:t>
            </w:r>
          </w:p>
        </w:tc>
      </w:tr>
    </w:tbl>
    <w:p w14:paraId="710F2445" w14:textId="74C1B9C4" w:rsidR="007A5437" w:rsidRPr="00365E05" w:rsidRDefault="007A5437" w:rsidP="002719B2">
      <w:pPr>
        <w:jc w:val="both"/>
      </w:pPr>
      <w:r>
        <w:rPr>
          <w:rStyle w:val="cursor-pointer"/>
          <w:rFonts w:ascii="Geist Fallback" w:hAnsi="Geist Fallback"/>
          <w:sz w:val="23"/>
          <w:szCs w:val="23"/>
        </w:rPr>
        <w:t>A number of patterns are obtained in the synthesis in Table 1.</w:t>
      </w:r>
      <w:r>
        <w:rPr>
          <w:rFonts w:ascii="Geist Fallback" w:hAnsi="Geist Fallback"/>
          <w:sz w:val="23"/>
          <w:szCs w:val="23"/>
        </w:rPr>
        <w:t xml:space="preserve"> </w:t>
      </w:r>
      <w:r>
        <w:rPr>
          <w:rStyle w:val="cursor-pointer"/>
          <w:rFonts w:ascii="Geist Fallback" w:hAnsi="Geist Fallback"/>
          <w:sz w:val="23"/>
          <w:szCs w:val="23"/>
        </w:rPr>
        <w:t xml:space="preserve">To begin with, cotyledon-derived explants are always more successful than leaf disc and stem node explants in the frequency of callus induction and </w:t>
      </w:r>
      <w:proofErr w:type="spellStart"/>
      <w:r>
        <w:rPr>
          <w:rStyle w:val="cursor-pointer"/>
          <w:rFonts w:ascii="Geist Fallback" w:hAnsi="Geist Fallback"/>
          <w:sz w:val="23"/>
          <w:szCs w:val="23"/>
        </w:rPr>
        <w:t>organogenic</w:t>
      </w:r>
      <w:proofErr w:type="spellEnd"/>
      <w:r>
        <w:rPr>
          <w:rStyle w:val="cursor-pointer"/>
          <w:rFonts w:ascii="Geist Fallback" w:hAnsi="Geist Fallback"/>
          <w:sz w:val="23"/>
          <w:szCs w:val="23"/>
        </w:rPr>
        <w:t xml:space="preserve"> response, which is also consistent with high embryonic competence of juvenile tissue (Jimenez, 2005).</w:t>
      </w:r>
      <w:r>
        <w:rPr>
          <w:rFonts w:ascii="Geist Fallback" w:hAnsi="Geist Fallback"/>
          <w:sz w:val="23"/>
          <w:szCs w:val="23"/>
        </w:rPr>
        <w:t xml:space="preserve"> </w:t>
      </w:r>
      <w:r>
        <w:rPr>
          <w:rStyle w:val="cursor-pointer"/>
          <w:rFonts w:ascii="Geist Fallback" w:hAnsi="Geist Fallback"/>
          <w:sz w:val="23"/>
          <w:szCs w:val="23"/>
        </w:rPr>
        <w:t xml:space="preserve">Second, BAP 1.0 2.0 mg/L is the most reproducibly active cytokinin in terms of shoot organogenesis throughout the genus with declining returns and rising </w:t>
      </w:r>
      <w:proofErr w:type="spellStart"/>
      <w:r>
        <w:rPr>
          <w:rStyle w:val="cursor-pointer"/>
          <w:rFonts w:ascii="Geist Fallback" w:hAnsi="Geist Fallback"/>
          <w:sz w:val="23"/>
          <w:szCs w:val="23"/>
        </w:rPr>
        <w:t>hyperhydricity</w:t>
      </w:r>
      <w:proofErr w:type="spellEnd"/>
      <w:r>
        <w:rPr>
          <w:rStyle w:val="cursor-pointer"/>
          <w:rFonts w:ascii="Geist Fallback" w:hAnsi="Geist Fallback"/>
          <w:sz w:val="23"/>
          <w:szCs w:val="23"/>
        </w:rPr>
        <w:t xml:space="preserve"> at concentrations greater than 3.0 mg/L.</w:t>
      </w:r>
      <w:r>
        <w:rPr>
          <w:rFonts w:ascii="Geist Fallback" w:hAnsi="Geist Fallback"/>
          <w:sz w:val="23"/>
          <w:szCs w:val="23"/>
        </w:rPr>
        <w:t xml:space="preserve"> </w:t>
      </w:r>
      <w:r>
        <w:rPr>
          <w:rStyle w:val="cursor-pointer"/>
          <w:rFonts w:ascii="Geist Fallback" w:hAnsi="Geist Fallback"/>
          <w:sz w:val="23"/>
          <w:szCs w:val="23"/>
        </w:rPr>
        <w:t xml:space="preserve">Third, the regeneration rates of Z. </w:t>
      </w:r>
      <w:proofErr w:type="spellStart"/>
      <w:r>
        <w:rPr>
          <w:rStyle w:val="cursor-pointer"/>
          <w:rFonts w:ascii="Geist Fallback" w:hAnsi="Geist Fallback"/>
          <w:sz w:val="23"/>
          <w:szCs w:val="23"/>
        </w:rPr>
        <w:t>zanthoxyloides</w:t>
      </w:r>
      <w:proofErr w:type="spellEnd"/>
      <w:r>
        <w:rPr>
          <w:rStyle w:val="cursor-pointer"/>
          <w:rFonts w:ascii="Geist Fallback" w:hAnsi="Geist Fallback"/>
          <w:sz w:val="23"/>
          <w:szCs w:val="23"/>
        </w:rPr>
        <w:t xml:space="preserve"> are lower than those of Z. </w:t>
      </w:r>
      <w:proofErr w:type="spellStart"/>
      <w:r>
        <w:rPr>
          <w:rStyle w:val="cursor-pointer"/>
          <w:rFonts w:ascii="Geist Fallback" w:hAnsi="Geist Fallback"/>
          <w:sz w:val="23"/>
          <w:szCs w:val="23"/>
        </w:rPr>
        <w:t>alatum</w:t>
      </w:r>
      <w:proofErr w:type="spellEnd"/>
      <w:r>
        <w:rPr>
          <w:rStyle w:val="cursor-pointer"/>
          <w:rFonts w:ascii="Geist Fallback" w:hAnsi="Geist Fallback"/>
          <w:sz w:val="23"/>
          <w:szCs w:val="23"/>
        </w:rPr>
        <w:t xml:space="preserve"> and other Asian congeners, implying that a protocol-specific to the West African taxon has not been attained yet.</w:t>
      </w:r>
      <w:r>
        <w:rPr>
          <w:rFonts w:ascii="Geist Fallback" w:hAnsi="Geist Fallback"/>
          <w:sz w:val="23"/>
          <w:szCs w:val="23"/>
        </w:rPr>
        <w:t xml:space="preserve"> </w:t>
      </w:r>
      <w:r>
        <w:rPr>
          <w:rStyle w:val="cursor-pointer"/>
          <w:rFonts w:ascii="Geist Fallback" w:hAnsi="Geist Fallback"/>
          <w:sz w:val="23"/>
          <w:szCs w:val="23"/>
        </w:rPr>
        <w:t xml:space="preserve">Fourth, no research has been done yet that has been able to report successful in vitro conservation of Z. </w:t>
      </w:r>
      <w:proofErr w:type="spellStart"/>
      <w:r>
        <w:rPr>
          <w:rStyle w:val="cursor-pointer"/>
          <w:rFonts w:ascii="Geist Fallback" w:hAnsi="Geist Fallback"/>
          <w:sz w:val="23"/>
          <w:szCs w:val="23"/>
        </w:rPr>
        <w:t>zanthoxyloides</w:t>
      </w:r>
      <w:proofErr w:type="spellEnd"/>
      <w:r>
        <w:rPr>
          <w:rStyle w:val="cursor-pointer"/>
          <w:rFonts w:ascii="Geist Fallback" w:hAnsi="Geist Fallback"/>
          <w:sz w:val="23"/>
          <w:szCs w:val="23"/>
        </w:rPr>
        <w:t xml:space="preserve"> germplasm further than the scale of propagation- no information about cryopreservation, long-term slow growth storage or large-scale </w:t>
      </w:r>
      <w:proofErr w:type="spellStart"/>
      <w:r>
        <w:rPr>
          <w:rStyle w:val="cursor-pointer"/>
          <w:rFonts w:ascii="Geist Fallback" w:hAnsi="Geist Fallback"/>
          <w:sz w:val="23"/>
          <w:szCs w:val="23"/>
        </w:rPr>
        <w:t>acclimatisation</w:t>
      </w:r>
      <w:proofErr w:type="spellEnd"/>
      <w:r>
        <w:rPr>
          <w:rStyle w:val="cursor-pointer"/>
          <w:rFonts w:ascii="Geist Fallback" w:hAnsi="Geist Fallback"/>
          <w:sz w:val="23"/>
          <w:szCs w:val="23"/>
        </w:rPr>
        <w:t xml:space="preserve"> has been published in this species.</w:t>
      </w:r>
    </w:p>
    <w:p w14:paraId="0D6F5E62" w14:textId="77777777" w:rsidR="00365E05" w:rsidRPr="00365E05" w:rsidRDefault="00365E05" w:rsidP="002719B2">
      <w:pPr>
        <w:jc w:val="both"/>
      </w:pPr>
    </w:p>
    <w:p w14:paraId="04847BF8" w14:textId="77777777" w:rsidR="00365E05" w:rsidRPr="00365E05" w:rsidRDefault="00365E05" w:rsidP="002719B2">
      <w:pPr>
        <w:jc w:val="both"/>
        <w:rPr>
          <w:b/>
          <w:bCs/>
        </w:rPr>
      </w:pPr>
      <w:r w:rsidRPr="00365E05">
        <w:rPr>
          <w:b/>
          <w:bCs/>
        </w:rPr>
        <w:t xml:space="preserve">7. Molecular </w:t>
      </w:r>
      <w:proofErr w:type="spellStart"/>
      <w:r w:rsidRPr="00365E05">
        <w:rPr>
          <w:b/>
          <w:bCs/>
        </w:rPr>
        <w:t>Characterisation</w:t>
      </w:r>
      <w:proofErr w:type="spellEnd"/>
      <w:r w:rsidRPr="00365E05">
        <w:rPr>
          <w:b/>
          <w:bCs/>
        </w:rPr>
        <w:t xml:space="preserve">, </w:t>
      </w:r>
      <w:proofErr w:type="spellStart"/>
      <w:r w:rsidRPr="00365E05">
        <w:rPr>
          <w:b/>
          <w:bCs/>
        </w:rPr>
        <w:t>Somaclonal</w:t>
      </w:r>
      <w:proofErr w:type="spellEnd"/>
      <w:r w:rsidRPr="00365E05">
        <w:rPr>
          <w:b/>
          <w:bCs/>
        </w:rPr>
        <w:t xml:space="preserve"> Variation, and Genomic Tools</w:t>
      </w:r>
    </w:p>
    <w:p w14:paraId="69948C91" w14:textId="77777777" w:rsidR="00365E05" w:rsidRPr="00365E05" w:rsidRDefault="00365E05" w:rsidP="002719B2">
      <w:pPr>
        <w:jc w:val="both"/>
        <w:rPr>
          <w:b/>
          <w:bCs/>
        </w:rPr>
      </w:pPr>
      <w:r w:rsidRPr="00365E05">
        <w:rPr>
          <w:b/>
          <w:bCs/>
        </w:rPr>
        <w:t xml:space="preserve">7.1 </w:t>
      </w:r>
      <w:proofErr w:type="spellStart"/>
      <w:r w:rsidRPr="00365E05">
        <w:rPr>
          <w:b/>
          <w:bCs/>
        </w:rPr>
        <w:t>Somaclonal</w:t>
      </w:r>
      <w:proofErr w:type="spellEnd"/>
      <w:r w:rsidRPr="00365E05">
        <w:rPr>
          <w:b/>
          <w:bCs/>
        </w:rPr>
        <w:t xml:space="preserve"> Variation: Risk Assessment and Management</w:t>
      </w:r>
    </w:p>
    <w:p w14:paraId="3A1ABC89" w14:textId="58669539" w:rsidR="00817DA8" w:rsidRPr="00817DA8" w:rsidRDefault="00817DA8" w:rsidP="002719B2">
      <w:pPr>
        <w:jc w:val="both"/>
        <w:rPr>
          <w:color w:val="FF0000"/>
        </w:rPr>
      </w:pPr>
      <w:r>
        <w:rPr>
          <w:rStyle w:val="cursor-pointer"/>
          <w:rFonts w:ascii="Geist Fallback" w:hAnsi="Geist Fallback"/>
          <w:sz w:val="23"/>
          <w:szCs w:val="23"/>
        </w:rPr>
        <w:t xml:space="preserve">A possible limitation on the fidelity of </w:t>
      </w:r>
      <w:proofErr w:type="spellStart"/>
      <w:r>
        <w:rPr>
          <w:rStyle w:val="cursor-pointer"/>
          <w:rFonts w:ascii="Geist Fallback" w:hAnsi="Geist Fallback"/>
          <w:sz w:val="23"/>
          <w:szCs w:val="23"/>
        </w:rPr>
        <w:t>micropropagated</w:t>
      </w:r>
      <w:proofErr w:type="spellEnd"/>
      <w:r>
        <w:rPr>
          <w:rStyle w:val="cursor-pointer"/>
          <w:rFonts w:ascii="Geist Fallback" w:hAnsi="Geist Fallback"/>
          <w:sz w:val="23"/>
          <w:szCs w:val="23"/>
        </w:rPr>
        <w:t xml:space="preserve"> germplasm is </w:t>
      </w:r>
      <w:proofErr w:type="spellStart"/>
      <w:r>
        <w:rPr>
          <w:rStyle w:val="cursor-pointer"/>
          <w:rFonts w:ascii="Geist Fallback" w:hAnsi="Geist Fallback"/>
          <w:sz w:val="23"/>
          <w:szCs w:val="23"/>
        </w:rPr>
        <w:t>somaclonal</w:t>
      </w:r>
      <w:proofErr w:type="spellEnd"/>
      <w:r>
        <w:rPr>
          <w:rStyle w:val="cursor-pointer"/>
          <w:rFonts w:ascii="Geist Fallback" w:hAnsi="Geist Fallback"/>
          <w:sz w:val="23"/>
          <w:szCs w:val="23"/>
        </w:rPr>
        <w:t xml:space="preserve"> variation, or hereditary phenotypic and genetic variation that occurs in tissue-cultured cells in response to epigenetic changes, transposable element activation, or chromosomal rearrangements under the impact of the tissue culture stress (Larkin and Scowcroft, 1981).</w:t>
      </w:r>
      <w:r>
        <w:rPr>
          <w:rFonts w:ascii="Geist Fallback" w:hAnsi="Geist Fallback"/>
          <w:sz w:val="23"/>
          <w:szCs w:val="23"/>
        </w:rPr>
        <w:t xml:space="preserve"> </w:t>
      </w:r>
      <w:r>
        <w:rPr>
          <w:rStyle w:val="cursor-pointer"/>
          <w:rFonts w:ascii="Geist Fallback" w:hAnsi="Geist Fallback"/>
          <w:sz w:val="23"/>
          <w:szCs w:val="23"/>
        </w:rPr>
        <w:t xml:space="preserve">In conservation </w:t>
      </w:r>
      <w:proofErr w:type="spellStart"/>
      <w:r>
        <w:rPr>
          <w:rStyle w:val="cursor-pointer"/>
          <w:rFonts w:ascii="Geist Fallback" w:hAnsi="Geist Fallback"/>
          <w:sz w:val="23"/>
          <w:szCs w:val="23"/>
        </w:rPr>
        <w:t>programmes</w:t>
      </w:r>
      <w:proofErr w:type="spellEnd"/>
      <w:r>
        <w:rPr>
          <w:rStyle w:val="cursor-pointer"/>
          <w:rFonts w:ascii="Geist Fallback" w:hAnsi="Geist Fallback"/>
          <w:sz w:val="23"/>
          <w:szCs w:val="23"/>
        </w:rPr>
        <w:t xml:space="preserve"> in which the goal is to multiply genetically distinct wild individuals in a true-to-type manner, </w:t>
      </w:r>
      <w:proofErr w:type="spellStart"/>
      <w:r>
        <w:rPr>
          <w:rStyle w:val="cursor-pointer"/>
          <w:rFonts w:ascii="Geist Fallback" w:hAnsi="Geist Fallback"/>
          <w:sz w:val="23"/>
          <w:szCs w:val="23"/>
        </w:rPr>
        <w:t>somaclonal</w:t>
      </w:r>
      <w:proofErr w:type="spellEnd"/>
      <w:r>
        <w:rPr>
          <w:rStyle w:val="cursor-pointer"/>
          <w:rFonts w:ascii="Geist Fallback" w:hAnsi="Geist Fallback"/>
          <w:sz w:val="23"/>
          <w:szCs w:val="23"/>
        </w:rPr>
        <w:t xml:space="preserve"> variation is an undesired eventuality.</w:t>
      </w:r>
      <w:r>
        <w:rPr>
          <w:rFonts w:ascii="Geist Fallback" w:hAnsi="Geist Fallback"/>
          <w:sz w:val="23"/>
          <w:szCs w:val="23"/>
        </w:rPr>
        <w:t xml:space="preserve"> </w:t>
      </w:r>
      <w:r>
        <w:rPr>
          <w:rStyle w:val="cursor-pointer"/>
          <w:rFonts w:ascii="Geist Fallback" w:hAnsi="Geist Fallback"/>
          <w:sz w:val="23"/>
          <w:szCs w:val="23"/>
        </w:rPr>
        <w:t>Most often, it is linked to the callus-mediated regeneration pathways (indirect organogenesis and somatic embryogenesis) and to the long-term in culture (George et al., 2008).</w:t>
      </w:r>
      <w:r>
        <w:rPr>
          <w:rFonts w:ascii="Geist Fallback" w:hAnsi="Geist Fallback"/>
          <w:sz w:val="23"/>
          <w:szCs w:val="23"/>
        </w:rPr>
        <w:t xml:space="preserve"> </w:t>
      </w:r>
      <w:r>
        <w:rPr>
          <w:rStyle w:val="cursor-pointer"/>
          <w:rFonts w:ascii="Geist Fallback" w:hAnsi="Geist Fallback"/>
          <w:sz w:val="23"/>
          <w:szCs w:val="23"/>
        </w:rPr>
        <w:t xml:space="preserve">To reduce the risk of </w:t>
      </w:r>
      <w:proofErr w:type="spellStart"/>
      <w:r>
        <w:rPr>
          <w:rStyle w:val="cursor-pointer"/>
          <w:rFonts w:ascii="Geist Fallback" w:hAnsi="Geist Fallback"/>
          <w:sz w:val="23"/>
          <w:szCs w:val="23"/>
        </w:rPr>
        <w:t>somaclonal</w:t>
      </w:r>
      <w:proofErr w:type="spellEnd"/>
      <w:r>
        <w:rPr>
          <w:rStyle w:val="cursor-pointer"/>
          <w:rFonts w:ascii="Geist Fallback" w:hAnsi="Geist Fallback"/>
          <w:sz w:val="23"/>
          <w:szCs w:val="23"/>
        </w:rPr>
        <w:t xml:space="preserve"> variation in the conservation </w:t>
      </w:r>
      <w:proofErr w:type="spellStart"/>
      <w:r>
        <w:rPr>
          <w:rStyle w:val="cursor-pointer"/>
          <w:rFonts w:ascii="Geist Fallback" w:hAnsi="Geist Fallback"/>
          <w:sz w:val="23"/>
          <w:szCs w:val="23"/>
        </w:rPr>
        <w:t>programmes</w:t>
      </w:r>
      <w:proofErr w:type="spellEnd"/>
      <w:r>
        <w:rPr>
          <w:rStyle w:val="cursor-pointer"/>
          <w:rFonts w:ascii="Geist Fallback" w:hAnsi="Geist Fallback"/>
          <w:sz w:val="23"/>
          <w:szCs w:val="23"/>
        </w:rPr>
        <w:t xml:space="preserve"> of Z. </w:t>
      </w:r>
      <w:proofErr w:type="spellStart"/>
      <w:r>
        <w:rPr>
          <w:rStyle w:val="cursor-pointer"/>
          <w:rFonts w:ascii="Geist Fallback" w:hAnsi="Geist Fallback"/>
          <w:sz w:val="23"/>
          <w:szCs w:val="23"/>
        </w:rPr>
        <w:t>zanthoxyloides</w:t>
      </w:r>
      <w:proofErr w:type="spellEnd"/>
      <w:r>
        <w:rPr>
          <w:rStyle w:val="cursor-pointer"/>
          <w:rFonts w:ascii="Geist Fallback" w:hAnsi="Geist Fallback"/>
          <w:sz w:val="23"/>
          <w:szCs w:val="23"/>
        </w:rPr>
        <w:t>, the following measures can be undertaken: (</w:t>
      </w:r>
      <w:proofErr w:type="spellStart"/>
      <w:r>
        <w:rPr>
          <w:rStyle w:val="cursor-pointer"/>
          <w:rFonts w:ascii="Geist Fallback" w:hAnsi="Geist Fallback"/>
          <w:sz w:val="23"/>
          <w:szCs w:val="23"/>
        </w:rPr>
        <w:t>i</w:t>
      </w:r>
      <w:proofErr w:type="spellEnd"/>
      <w:r>
        <w:rPr>
          <w:rStyle w:val="cursor-pointer"/>
          <w:rFonts w:ascii="Geist Fallback" w:hAnsi="Geist Fallback"/>
          <w:sz w:val="23"/>
          <w:szCs w:val="23"/>
        </w:rPr>
        <w:t xml:space="preserve">) direct organogenesis through axillary bud proliferation should be </w:t>
      </w:r>
      <w:proofErr w:type="spellStart"/>
      <w:r>
        <w:rPr>
          <w:rStyle w:val="cursor-pointer"/>
          <w:rFonts w:ascii="Geist Fallback" w:hAnsi="Geist Fallback"/>
          <w:sz w:val="23"/>
          <w:szCs w:val="23"/>
        </w:rPr>
        <w:t>favoured</w:t>
      </w:r>
      <w:proofErr w:type="spellEnd"/>
      <w:r>
        <w:rPr>
          <w:rStyle w:val="cursor-pointer"/>
          <w:rFonts w:ascii="Geist Fallback" w:hAnsi="Geist Fallback"/>
          <w:sz w:val="23"/>
          <w:szCs w:val="23"/>
        </w:rPr>
        <w:t xml:space="preserve"> as opposed to callus-mediated pathways; (ii) the number of subculture cycles should be </w:t>
      </w:r>
      <w:proofErr w:type="spellStart"/>
      <w:r>
        <w:rPr>
          <w:rStyle w:val="cursor-pointer"/>
          <w:rFonts w:ascii="Geist Fallback" w:hAnsi="Geist Fallback"/>
          <w:sz w:val="23"/>
          <w:szCs w:val="23"/>
        </w:rPr>
        <w:t>minimised</w:t>
      </w:r>
      <w:proofErr w:type="spellEnd"/>
      <w:r>
        <w:rPr>
          <w:rStyle w:val="cursor-pointer"/>
          <w:rFonts w:ascii="Geist Fallback" w:hAnsi="Geist Fallback"/>
          <w:sz w:val="23"/>
          <w:szCs w:val="23"/>
        </w:rPr>
        <w:t xml:space="preserve"> before field transfer; (iii) molecular evaluation of the genetic </w:t>
      </w:r>
      <w:proofErr w:type="spellStart"/>
      <w:r>
        <w:rPr>
          <w:rStyle w:val="cursor-pointer"/>
          <w:rFonts w:ascii="Geist Fallback" w:hAnsi="Geist Fallback"/>
          <w:sz w:val="23"/>
          <w:szCs w:val="23"/>
        </w:rPr>
        <w:t>fidel</w:t>
      </w:r>
      <w:proofErr w:type="spellEnd"/>
    </w:p>
    <w:p w14:paraId="283C0A75" w14:textId="77777777" w:rsidR="00365E05" w:rsidRPr="00365E05" w:rsidRDefault="00365E05" w:rsidP="002719B2">
      <w:pPr>
        <w:jc w:val="both"/>
        <w:rPr>
          <w:b/>
          <w:bCs/>
        </w:rPr>
      </w:pPr>
      <w:r w:rsidRPr="00365E05">
        <w:rPr>
          <w:b/>
          <w:bCs/>
        </w:rPr>
        <w:t>7.2 Molecular Marker Applications in Conservation</w:t>
      </w:r>
    </w:p>
    <w:p w14:paraId="23A8432A" w14:textId="0246EEDB" w:rsidR="00817DA8" w:rsidRDefault="00817DA8" w:rsidP="002719B2">
      <w:pPr>
        <w:jc w:val="both"/>
        <w:rPr>
          <w:rStyle w:val="cursor-pointer"/>
          <w:rFonts w:ascii="Geist Fallback" w:hAnsi="Geist Fallback"/>
          <w:sz w:val="23"/>
          <w:szCs w:val="23"/>
        </w:rPr>
      </w:pPr>
      <w:r>
        <w:rPr>
          <w:rStyle w:val="cursor-pointer"/>
          <w:rFonts w:ascii="Geist Fallback" w:hAnsi="Geist Fallback"/>
          <w:sz w:val="23"/>
          <w:szCs w:val="23"/>
        </w:rPr>
        <w:t xml:space="preserve">The incorporation of molecular marker studies into Z. </w:t>
      </w:r>
      <w:proofErr w:type="spellStart"/>
      <w:r>
        <w:rPr>
          <w:rStyle w:val="cursor-pointer"/>
          <w:rFonts w:ascii="Geist Fallback" w:hAnsi="Geist Fallback"/>
          <w:sz w:val="23"/>
          <w:szCs w:val="23"/>
        </w:rPr>
        <w:t>zanthoxyloides</w:t>
      </w:r>
      <w:proofErr w:type="spellEnd"/>
      <w:r>
        <w:rPr>
          <w:rStyle w:val="cursor-pointer"/>
          <w:rFonts w:ascii="Geist Fallback" w:hAnsi="Geist Fallback"/>
          <w:sz w:val="23"/>
          <w:szCs w:val="23"/>
        </w:rPr>
        <w:t xml:space="preserve"> conservation </w:t>
      </w:r>
      <w:proofErr w:type="spellStart"/>
      <w:r>
        <w:rPr>
          <w:rStyle w:val="cursor-pointer"/>
          <w:rFonts w:ascii="Geist Fallback" w:hAnsi="Geist Fallback"/>
          <w:sz w:val="23"/>
          <w:szCs w:val="23"/>
        </w:rPr>
        <w:t>programmes</w:t>
      </w:r>
      <w:proofErr w:type="spellEnd"/>
      <w:r>
        <w:rPr>
          <w:rStyle w:val="cursor-pointer"/>
          <w:rFonts w:ascii="Geist Fallback" w:hAnsi="Geist Fallback"/>
          <w:sz w:val="23"/>
          <w:szCs w:val="23"/>
        </w:rPr>
        <w:t xml:space="preserve"> has several roles: genetic diversity </w:t>
      </w:r>
      <w:proofErr w:type="spellStart"/>
      <w:r>
        <w:rPr>
          <w:rStyle w:val="cursor-pointer"/>
          <w:rFonts w:ascii="Geist Fallback" w:hAnsi="Geist Fallback"/>
          <w:sz w:val="23"/>
          <w:szCs w:val="23"/>
        </w:rPr>
        <w:t>characterisation</w:t>
      </w:r>
      <w:proofErr w:type="spellEnd"/>
      <w:r>
        <w:rPr>
          <w:rStyle w:val="cursor-pointer"/>
          <w:rFonts w:ascii="Geist Fallback" w:hAnsi="Geist Fallback"/>
          <w:sz w:val="23"/>
          <w:szCs w:val="23"/>
        </w:rPr>
        <w:t xml:space="preserve"> of the wild population and of </w:t>
      </w:r>
      <w:proofErr w:type="spellStart"/>
      <w:r>
        <w:rPr>
          <w:rStyle w:val="cursor-pointer"/>
          <w:rFonts w:ascii="Geist Fallback" w:hAnsi="Geist Fallback"/>
          <w:sz w:val="23"/>
          <w:szCs w:val="23"/>
        </w:rPr>
        <w:t>ecogenetic</w:t>
      </w:r>
      <w:proofErr w:type="spellEnd"/>
      <w:r>
        <w:rPr>
          <w:rStyle w:val="cursor-pointer"/>
          <w:rFonts w:ascii="Geist Fallback" w:hAnsi="Geist Fallback"/>
          <w:sz w:val="23"/>
          <w:szCs w:val="23"/>
        </w:rPr>
        <w:t xml:space="preserve"> diversity between wild populations; </w:t>
      </w:r>
      <w:proofErr w:type="spellStart"/>
      <w:r>
        <w:rPr>
          <w:rStyle w:val="cursor-pointer"/>
          <w:rFonts w:ascii="Geist Fallback" w:hAnsi="Geist Fallback"/>
          <w:sz w:val="23"/>
          <w:szCs w:val="23"/>
        </w:rPr>
        <w:t>somaclonal</w:t>
      </w:r>
      <w:proofErr w:type="spellEnd"/>
      <w:r>
        <w:rPr>
          <w:rStyle w:val="cursor-pointer"/>
          <w:rFonts w:ascii="Geist Fallback" w:hAnsi="Geist Fallback"/>
          <w:sz w:val="23"/>
          <w:szCs w:val="23"/>
        </w:rPr>
        <w:t xml:space="preserve"> variation of physically cultured plants; and genomic baseline to detect long-term population changes.</w:t>
      </w:r>
      <w:r>
        <w:rPr>
          <w:rFonts w:ascii="Geist Fallback" w:hAnsi="Geist Fallback"/>
          <w:sz w:val="23"/>
          <w:szCs w:val="23"/>
        </w:rPr>
        <w:t xml:space="preserve"> </w:t>
      </w:r>
      <w:r>
        <w:rPr>
          <w:rStyle w:val="cursor-pointer"/>
          <w:rFonts w:ascii="Geist Fallback" w:hAnsi="Geist Fallback"/>
          <w:sz w:val="23"/>
          <w:szCs w:val="23"/>
        </w:rPr>
        <w:t xml:space="preserve">A number of Zanthoxylum species have been developed microsatellite (SSR) markers that have been found informative in population genetic studies, but there are no sets of markers specific to Z. </w:t>
      </w:r>
      <w:proofErr w:type="spellStart"/>
      <w:r>
        <w:rPr>
          <w:rStyle w:val="cursor-pointer"/>
          <w:rFonts w:ascii="Geist Fallback" w:hAnsi="Geist Fallback"/>
          <w:sz w:val="23"/>
          <w:szCs w:val="23"/>
        </w:rPr>
        <w:t>zanthoxyloides</w:t>
      </w:r>
      <w:proofErr w:type="spellEnd"/>
      <w:r>
        <w:rPr>
          <w:rStyle w:val="cursor-pointer"/>
          <w:rFonts w:ascii="Geist Fallback" w:hAnsi="Geist Fallback"/>
          <w:sz w:val="23"/>
          <w:szCs w:val="23"/>
        </w:rPr>
        <w:t xml:space="preserve"> in the literature, and their development should be a research priority (Coelho et al., 2020; </w:t>
      </w:r>
      <w:proofErr w:type="spellStart"/>
      <w:r>
        <w:rPr>
          <w:rStyle w:val="cursor-pointer"/>
          <w:rFonts w:ascii="Geist Fallback" w:hAnsi="Geist Fallback"/>
          <w:sz w:val="23"/>
          <w:szCs w:val="23"/>
        </w:rPr>
        <w:t>Holobiuc</w:t>
      </w:r>
      <w:proofErr w:type="spellEnd"/>
      <w:r>
        <w:rPr>
          <w:rStyle w:val="cursor-pointer"/>
          <w:rFonts w:ascii="Geist Fallback" w:hAnsi="Geist Fallback"/>
          <w:sz w:val="23"/>
          <w:szCs w:val="23"/>
        </w:rPr>
        <w:t>, 2020).</w:t>
      </w:r>
    </w:p>
    <w:p w14:paraId="7645EE12" w14:textId="77777777" w:rsidR="00817DA8" w:rsidRPr="00365E05" w:rsidRDefault="00817DA8" w:rsidP="002719B2">
      <w:pPr>
        <w:jc w:val="both"/>
      </w:pPr>
    </w:p>
    <w:p w14:paraId="53CBC877" w14:textId="77777777" w:rsidR="00365E05" w:rsidRPr="00365E05" w:rsidRDefault="00365E05" w:rsidP="002719B2">
      <w:pPr>
        <w:jc w:val="both"/>
        <w:rPr>
          <w:b/>
          <w:bCs/>
        </w:rPr>
      </w:pPr>
      <w:r w:rsidRPr="00365E05">
        <w:rPr>
          <w:b/>
          <w:bCs/>
        </w:rPr>
        <w:t>7.3 Prospects for Genome Editing and Metabolic Engineering</w:t>
      </w:r>
    </w:p>
    <w:p w14:paraId="052DD816" w14:textId="18ED8555" w:rsidR="00817DA8" w:rsidRPr="00365E05" w:rsidRDefault="00817DA8" w:rsidP="002719B2">
      <w:pPr>
        <w:jc w:val="both"/>
      </w:pPr>
      <w:r w:rsidRPr="00817DA8">
        <w:t>CRISPR/Cas9-based genome engineering technology has provided novel opportunities to both functional genomics studies and targeted enhancement of the secondary metabolite profiles of medicinal plants (</w:t>
      </w:r>
      <w:proofErr w:type="spellStart"/>
      <w:r w:rsidRPr="00817DA8">
        <w:t>Gaj</w:t>
      </w:r>
      <w:proofErr w:type="spellEnd"/>
      <w:r w:rsidRPr="00817DA8">
        <w:t xml:space="preserve"> et al., 2013). In the case of Z. </w:t>
      </w:r>
      <w:proofErr w:type="spellStart"/>
      <w:r w:rsidRPr="00817DA8">
        <w:t>zanthoxyloides</w:t>
      </w:r>
      <w:proofErr w:type="spellEnd"/>
      <w:r w:rsidRPr="00817DA8">
        <w:t>, CRISPR-mediated upregulation of the biosynthetic genes of the benzophenanthridine alkaloids could be used to produce high-valued pharmaceuticals in stable cell culture systems without the additional pressure of wild harvest. Nevertheless, these applications are still long-term opportunities depending on the advancement of plant transformation protocols (which are yet to be developed in this species), genome sequencing, and the regulatory acceptance of gene-edited plants in Nigeria. They are mentioned here as future directions, which should be strategically invested instead of urgent needs.</w:t>
      </w:r>
    </w:p>
    <w:p w14:paraId="7A04F1A1" w14:textId="77777777" w:rsidR="00365E05" w:rsidRPr="00365E05" w:rsidRDefault="00365E05" w:rsidP="002719B2">
      <w:pPr>
        <w:jc w:val="both"/>
      </w:pPr>
    </w:p>
    <w:p w14:paraId="2AB6A287" w14:textId="77777777" w:rsidR="00365E05" w:rsidRPr="00365E05" w:rsidRDefault="00365E05" w:rsidP="002719B2">
      <w:pPr>
        <w:jc w:val="both"/>
        <w:rPr>
          <w:b/>
          <w:bCs/>
        </w:rPr>
      </w:pPr>
      <w:r w:rsidRPr="00365E05">
        <w:rPr>
          <w:b/>
          <w:bCs/>
        </w:rPr>
        <w:t>8. Implementation in Nigeria: Policy, Infrastructure, and Institutional Landscape</w:t>
      </w:r>
    </w:p>
    <w:p w14:paraId="3B85E465" w14:textId="77777777" w:rsidR="00365E05" w:rsidRPr="00365E05" w:rsidRDefault="00365E05" w:rsidP="002719B2">
      <w:pPr>
        <w:jc w:val="both"/>
        <w:rPr>
          <w:b/>
          <w:bCs/>
        </w:rPr>
      </w:pPr>
      <w:r w:rsidRPr="00365E05">
        <w:rPr>
          <w:b/>
          <w:bCs/>
        </w:rPr>
        <w:t>8.1 Institutional Capacity</w:t>
      </w:r>
    </w:p>
    <w:p w14:paraId="1C54AC7B" w14:textId="3345B802" w:rsidR="00817DA8" w:rsidRPr="00365E05" w:rsidRDefault="00817DA8" w:rsidP="002719B2">
      <w:pPr>
        <w:jc w:val="both"/>
      </w:pPr>
      <w:r>
        <w:rPr>
          <w:rStyle w:val="cursor-pointer"/>
          <w:rFonts w:ascii="Geist Fallback" w:hAnsi="Geist Fallback"/>
          <w:sz w:val="23"/>
          <w:szCs w:val="23"/>
        </w:rPr>
        <w:t>Nigeria has a basic, but under-funded, institutional biotechnology plant research environment.</w:t>
      </w:r>
      <w:r>
        <w:rPr>
          <w:rFonts w:ascii="Geist Fallback" w:hAnsi="Geist Fallback"/>
          <w:sz w:val="23"/>
          <w:szCs w:val="23"/>
        </w:rPr>
        <w:t xml:space="preserve"> </w:t>
      </w:r>
      <w:r>
        <w:rPr>
          <w:rStyle w:val="cursor-pointer"/>
          <w:rFonts w:ascii="Geist Fallback" w:hAnsi="Geist Fallback"/>
          <w:sz w:val="23"/>
          <w:szCs w:val="23"/>
        </w:rPr>
        <w:t xml:space="preserve">NACGRAB in Ibadan is the national repository of plant genetic resources and is mandated to coordinate the </w:t>
      </w:r>
      <w:proofErr w:type="gramStart"/>
      <w:r>
        <w:rPr>
          <w:rStyle w:val="cursor-pointer"/>
          <w:rFonts w:ascii="Geist Fallback" w:hAnsi="Geist Fallback"/>
          <w:sz w:val="23"/>
          <w:szCs w:val="23"/>
        </w:rPr>
        <w:t>ex situ</w:t>
      </w:r>
      <w:proofErr w:type="gramEnd"/>
      <w:r>
        <w:rPr>
          <w:rStyle w:val="cursor-pointer"/>
          <w:rFonts w:ascii="Geist Fallback" w:hAnsi="Geist Fallback"/>
          <w:sz w:val="23"/>
          <w:szCs w:val="23"/>
        </w:rPr>
        <w:t xml:space="preserve"> conservation of plant genetic resources, including in vitro germplasm conservation (NACGRAB, 2020).</w:t>
      </w:r>
      <w:r>
        <w:rPr>
          <w:rFonts w:ascii="Geist Fallback" w:hAnsi="Geist Fallback"/>
          <w:sz w:val="23"/>
          <w:szCs w:val="23"/>
        </w:rPr>
        <w:t xml:space="preserve"> </w:t>
      </w:r>
      <w:r>
        <w:rPr>
          <w:rStyle w:val="cursor-pointer"/>
          <w:rFonts w:ascii="Geist Fallback" w:hAnsi="Geist Fallback"/>
          <w:sz w:val="23"/>
          <w:szCs w:val="23"/>
        </w:rPr>
        <w:t>A number of federal and state universities such as the University of Ibadan, Obafemi Awolowo University (Ile-Ife), University of Nigeria Nsukka and Ahmadu Bello University Zaria have plant tissue culture laboratories with the capacity to conduct micropropagation research.</w:t>
      </w:r>
      <w:r>
        <w:rPr>
          <w:rFonts w:ascii="Geist Fallback" w:hAnsi="Geist Fallback"/>
          <w:sz w:val="23"/>
          <w:szCs w:val="23"/>
        </w:rPr>
        <w:t xml:space="preserve"> </w:t>
      </w:r>
      <w:r>
        <w:rPr>
          <w:rStyle w:val="cursor-pointer"/>
          <w:rFonts w:ascii="Geist Fallback" w:hAnsi="Geist Fallback"/>
          <w:sz w:val="23"/>
          <w:szCs w:val="23"/>
        </w:rPr>
        <w:t>There is a regulatory and financing framework of biotechnology research, which is offered by the National Biotechnology Development Agency (NABDA).</w:t>
      </w:r>
      <w:r>
        <w:rPr>
          <w:rFonts w:ascii="Geist Fallback" w:hAnsi="Geist Fallback"/>
          <w:sz w:val="23"/>
          <w:szCs w:val="23"/>
        </w:rPr>
        <w:t xml:space="preserve"> </w:t>
      </w:r>
      <w:r>
        <w:rPr>
          <w:rStyle w:val="cursor-pointer"/>
          <w:rFonts w:ascii="Geist Fallback" w:hAnsi="Geist Fallback"/>
          <w:sz w:val="23"/>
          <w:szCs w:val="23"/>
        </w:rPr>
        <w:t>Nonetheless, there are still critical infrastructure gaps.</w:t>
      </w:r>
      <w:r>
        <w:rPr>
          <w:rFonts w:ascii="Geist Fallback" w:hAnsi="Geist Fallback"/>
          <w:sz w:val="23"/>
          <w:szCs w:val="23"/>
        </w:rPr>
        <w:t xml:space="preserve"> </w:t>
      </w:r>
      <w:r>
        <w:rPr>
          <w:rStyle w:val="cursor-pointer"/>
          <w:rFonts w:ascii="Geist Fallback" w:hAnsi="Geist Fallback"/>
          <w:sz w:val="23"/>
          <w:szCs w:val="23"/>
        </w:rPr>
        <w:t xml:space="preserve">The continuous power supply of the autoclave </w:t>
      </w:r>
      <w:proofErr w:type="spellStart"/>
      <w:r>
        <w:rPr>
          <w:rStyle w:val="cursor-pointer"/>
          <w:rFonts w:ascii="Geist Fallback" w:hAnsi="Geist Fallback"/>
          <w:sz w:val="23"/>
          <w:szCs w:val="23"/>
        </w:rPr>
        <w:t>sterilisation</w:t>
      </w:r>
      <w:proofErr w:type="spellEnd"/>
      <w:r>
        <w:rPr>
          <w:rStyle w:val="cursor-pointer"/>
          <w:rFonts w:ascii="Geist Fallback" w:hAnsi="Geist Fallback"/>
          <w:sz w:val="23"/>
          <w:szCs w:val="23"/>
        </w:rPr>
        <w:t xml:space="preserve"> process, laminar flow cabinets, controlled-environment growth rooms, and cryogenic liquid nitrogen handling is not reliable all over Nigeria (Pence, 2011).</w:t>
      </w:r>
      <w:r>
        <w:rPr>
          <w:rFonts w:ascii="Geist Fallback" w:hAnsi="Geist Fallback"/>
          <w:sz w:val="23"/>
          <w:szCs w:val="23"/>
        </w:rPr>
        <w:t xml:space="preserve"> </w:t>
      </w:r>
      <w:r>
        <w:rPr>
          <w:rStyle w:val="cursor-pointer"/>
          <w:rFonts w:ascii="Geist Fallback" w:hAnsi="Geist Fallback"/>
          <w:sz w:val="23"/>
          <w:szCs w:val="23"/>
        </w:rPr>
        <w:t>Even liquid nitrogen, which is a key component of cryopreservation is not always available beyond Lagos and Abuja, and cold chain logistics are underdeveloped.</w:t>
      </w:r>
      <w:r>
        <w:rPr>
          <w:rFonts w:ascii="Geist Fallback" w:hAnsi="Geist Fallback"/>
          <w:sz w:val="23"/>
          <w:szCs w:val="23"/>
        </w:rPr>
        <w:t xml:space="preserve"> </w:t>
      </w:r>
      <w:r>
        <w:rPr>
          <w:rStyle w:val="cursor-pointer"/>
          <w:rFonts w:ascii="Geist Fallback" w:hAnsi="Geist Fallback"/>
          <w:sz w:val="23"/>
          <w:szCs w:val="23"/>
        </w:rPr>
        <w:t xml:space="preserve">These practical constraints imply that any national </w:t>
      </w:r>
      <w:proofErr w:type="spellStart"/>
      <w:r>
        <w:rPr>
          <w:rStyle w:val="cursor-pointer"/>
          <w:rFonts w:ascii="Geist Fallback" w:hAnsi="Geist Fallback"/>
          <w:sz w:val="23"/>
          <w:szCs w:val="23"/>
        </w:rPr>
        <w:t>programme</w:t>
      </w:r>
      <w:proofErr w:type="spellEnd"/>
      <w:r>
        <w:rPr>
          <w:rStyle w:val="cursor-pointer"/>
          <w:rFonts w:ascii="Geist Fallback" w:hAnsi="Geist Fallback"/>
          <w:sz w:val="23"/>
          <w:szCs w:val="23"/>
        </w:rPr>
        <w:t xml:space="preserve"> of Z. </w:t>
      </w:r>
      <w:proofErr w:type="spellStart"/>
      <w:r>
        <w:rPr>
          <w:rStyle w:val="cursor-pointer"/>
          <w:rFonts w:ascii="Geist Fallback" w:hAnsi="Geist Fallback"/>
          <w:sz w:val="23"/>
          <w:szCs w:val="23"/>
        </w:rPr>
        <w:t>zanthoxyloides</w:t>
      </w:r>
      <w:proofErr w:type="spellEnd"/>
      <w:r>
        <w:rPr>
          <w:rStyle w:val="cursor-pointer"/>
          <w:rFonts w:ascii="Geist Fallback" w:hAnsi="Geist Fallback"/>
          <w:sz w:val="23"/>
          <w:szCs w:val="23"/>
        </w:rPr>
        <w:t xml:space="preserve"> tissue culture conservation must be structured with inherent infrastructure redundancy (e.g., generator backup, solar power backup, creating regional distribution </w:t>
      </w:r>
      <w:proofErr w:type="spellStart"/>
      <w:r>
        <w:rPr>
          <w:rStyle w:val="cursor-pointer"/>
          <w:rFonts w:ascii="Geist Fallback" w:hAnsi="Geist Fallback"/>
          <w:sz w:val="23"/>
          <w:szCs w:val="23"/>
        </w:rPr>
        <w:t>centres</w:t>
      </w:r>
      <w:proofErr w:type="spellEnd"/>
      <w:r>
        <w:rPr>
          <w:rStyle w:val="cursor-pointer"/>
          <w:rFonts w:ascii="Geist Fallback" w:hAnsi="Geist Fallback"/>
          <w:sz w:val="23"/>
          <w:szCs w:val="23"/>
        </w:rPr>
        <w:t xml:space="preserve"> of cryogenic supplies) (NACGRAB, 2020</w:t>
      </w:r>
    </w:p>
    <w:p w14:paraId="50F599A0" w14:textId="77777777" w:rsidR="00365E05" w:rsidRPr="00365E05" w:rsidRDefault="00365E05" w:rsidP="002719B2">
      <w:pPr>
        <w:jc w:val="both"/>
        <w:rPr>
          <w:b/>
          <w:bCs/>
        </w:rPr>
      </w:pPr>
      <w:r w:rsidRPr="00365E05">
        <w:rPr>
          <w:b/>
          <w:bCs/>
        </w:rPr>
        <w:t>8.2 Regulatory and Legal Framework</w:t>
      </w:r>
    </w:p>
    <w:p w14:paraId="59F1B5BA" w14:textId="6FBEF164" w:rsidR="00817DA8" w:rsidRDefault="00817DA8" w:rsidP="002719B2">
      <w:pPr>
        <w:jc w:val="both"/>
      </w:pPr>
      <w:r w:rsidRPr="00817DA8">
        <w:t xml:space="preserve">Nigeria is a signatory to the Convention on Biological Diversity (CBD) and Nagoya Protocol on Access and Benefit-Sharing </w:t>
      </w:r>
      <w:proofErr w:type="gramStart"/>
      <w:r w:rsidRPr="00817DA8">
        <w:t>( Convention</w:t>
      </w:r>
      <w:proofErr w:type="gramEnd"/>
      <w:r w:rsidRPr="00817DA8">
        <w:t xml:space="preserve"> on Biological Diversity, 2010) and a signatory to the International Treaty on Plant Genetic Resources to Food and Agriculture (FAO, 2015). These international instruments have commitments on the prior informed consent of local communities and the fair distribution of benefits of the </w:t>
      </w:r>
      <w:proofErr w:type="spellStart"/>
      <w:r w:rsidRPr="00817DA8">
        <w:t>utilisation</w:t>
      </w:r>
      <w:proofErr w:type="spellEnd"/>
      <w:r w:rsidRPr="00817DA8">
        <w:t xml:space="preserve"> of genetic resources-commitments that specifically apply to any tissue culture </w:t>
      </w:r>
      <w:proofErr w:type="spellStart"/>
      <w:r w:rsidRPr="00817DA8">
        <w:t>programme</w:t>
      </w:r>
      <w:proofErr w:type="spellEnd"/>
      <w:r w:rsidRPr="00817DA8">
        <w:t xml:space="preserve"> that includes the gathering, ex situ saving or trade of Z. </w:t>
      </w:r>
      <w:proofErr w:type="spellStart"/>
      <w:r w:rsidRPr="00817DA8">
        <w:t>zanthoxyloides</w:t>
      </w:r>
      <w:proofErr w:type="spellEnd"/>
      <w:r w:rsidRPr="00817DA8">
        <w:t xml:space="preserve"> germplasm. At the national level, biotechnology activities are controlled by the National Environmental Standards and Regulations Enforcement Agency (NESREA) and the National Biosafety Management Agency (NBMA). Regulation, however, is mostly based on transgenic crops, and as a result, there is a regulatory grey area that scientists and conservation practitioners have to negotiate with due care (Nigerian Environmental Law, 2007).</w:t>
      </w:r>
    </w:p>
    <w:p w14:paraId="7B777D54" w14:textId="77777777" w:rsidR="00365E05" w:rsidRPr="00365E05" w:rsidRDefault="00365E05" w:rsidP="002719B2">
      <w:pPr>
        <w:jc w:val="both"/>
        <w:rPr>
          <w:b/>
          <w:bCs/>
        </w:rPr>
      </w:pPr>
      <w:r w:rsidRPr="00365E05">
        <w:rPr>
          <w:b/>
          <w:bCs/>
        </w:rPr>
        <w:t>8.3 Community Engagement and Traditional Knowledge</w:t>
      </w:r>
    </w:p>
    <w:p w14:paraId="0B4C97DE" w14:textId="6F20FAA9" w:rsidR="00817DA8" w:rsidRPr="00365E05" w:rsidRDefault="00817DA8" w:rsidP="002719B2">
      <w:pPr>
        <w:jc w:val="both"/>
      </w:pPr>
      <w:r>
        <w:t xml:space="preserve">The success of any technically successful conservation </w:t>
      </w:r>
      <w:proofErr w:type="spellStart"/>
      <w:r>
        <w:t>programme</w:t>
      </w:r>
      <w:proofErr w:type="spellEnd"/>
      <w:r>
        <w:t xml:space="preserve"> of Z. </w:t>
      </w:r>
      <w:proofErr w:type="spellStart"/>
      <w:r>
        <w:t>zanthoxyloides</w:t>
      </w:r>
      <w:proofErr w:type="spellEnd"/>
      <w:r>
        <w:t xml:space="preserve">, which does not involve the communities who rely on and manage this species, is unlikely to have a significant long-term effect. Ethnobotanical information that traditional healers, herbalists and rural farmers possess about where to find these plants, how they vary in medicinal efficacy </w:t>
      </w:r>
      <w:r>
        <w:lastRenderedPageBreak/>
        <w:t>depending on the season, and the principles of sustainable harvesting is an invaluable complement to the conservation science that is conducted in the laboratory (</w:t>
      </w:r>
      <w:proofErr w:type="spellStart"/>
      <w:r>
        <w:t>Akinrinola</w:t>
      </w:r>
      <w:proofErr w:type="spellEnd"/>
      <w:r>
        <w:t xml:space="preserve"> &amp; Olawale, 2022; Chukwuma et al., 2015). Models based on community-based conservation, where local stakeholders are involved in in situ conservation, nursery-based propagation based on the use of tissue culture-derived plantlets and monitoring wild populations have proven effective in similar </w:t>
      </w:r>
      <w:proofErr w:type="spellStart"/>
      <w:r>
        <w:t>programmes</w:t>
      </w:r>
      <w:proofErr w:type="spellEnd"/>
      <w:r>
        <w:t xml:space="preserve"> of other African medicinal species and should be the primary focus in </w:t>
      </w:r>
      <w:proofErr w:type="spellStart"/>
      <w:r>
        <w:t>programme</w:t>
      </w:r>
      <w:proofErr w:type="spellEnd"/>
      <w:r>
        <w:t xml:space="preserve"> design (</w:t>
      </w:r>
      <w:proofErr w:type="spellStart"/>
      <w:r>
        <w:t>Moyo</w:t>
      </w:r>
      <w:proofErr w:type="spellEnd"/>
      <w:r>
        <w:t xml:space="preserve"> et al., 2015).</w:t>
      </w:r>
    </w:p>
    <w:p w14:paraId="4B23E2A4" w14:textId="0DE33A5C" w:rsidR="00365E05" w:rsidRPr="00365E05" w:rsidRDefault="00E0029F" w:rsidP="002719B2">
      <w:pPr>
        <w:jc w:val="both"/>
        <w:rPr>
          <w:b/>
          <w:bCs/>
        </w:rPr>
      </w:pPr>
      <w:r>
        <w:rPr>
          <w:b/>
          <w:bCs/>
        </w:rPr>
        <w:t>9</w:t>
      </w:r>
      <w:r w:rsidR="00365E05" w:rsidRPr="00365E05">
        <w:rPr>
          <w:b/>
          <w:bCs/>
        </w:rPr>
        <w:t>. Conclusions</w:t>
      </w:r>
    </w:p>
    <w:p w14:paraId="5E32F704" w14:textId="0008B071" w:rsidR="00817DA8" w:rsidRPr="00365E05" w:rsidRDefault="00817DA8" w:rsidP="002719B2">
      <w:pPr>
        <w:jc w:val="both"/>
      </w:pPr>
      <w:r>
        <w:rPr>
          <w:rStyle w:val="cursor-pointer"/>
          <w:rFonts w:ascii="Geist Fallback" w:hAnsi="Geist Fallback"/>
          <w:sz w:val="23"/>
          <w:szCs w:val="23"/>
        </w:rPr>
        <w:t xml:space="preserve">Zanthoxylum </w:t>
      </w:r>
      <w:proofErr w:type="spellStart"/>
      <w:r>
        <w:rPr>
          <w:rStyle w:val="cursor-pointer"/>
          <w:rFonts w:ascii="Geist Fallback" w:hAnsi="Geist Fallback"/>
          <w:sz w:val="23"/>
          <w:szCs w:val="23"/>
        </w:rPr>
        <w:t>zanthoxyloides</w:t>
      </w:r>
      <w:proofErr w:type="spellEnd"/>
      <w:r>
        <w:rPr>
          <w:rStyle w:val="cursor-pointer"/>
          <w:rFonts w:ascii="Geist Fallback" w:hAnsi="Geist Fallback"/>
          <w:sz w:val="23"/>
          <w:szCs w:val="23"/>
        </w:rPr>
        <w:t xml:space="preserve"> is a highly conservation significant species that is being lost at an overwhelming rate compared to the response being given by the scientific and conservation fraternities.</w:t>
      </w:r>
      <w:r>
        <w:rPr>
          <w:rFonts w:ascii="Geist Fallback" w:hAnsi="Geist Fallback"/>
          <w:sz w:val="23"/>
          <w:szCs w:val="23"/>
        </w:rPr>
        <w:t xml:space="preserve"> </w:t>
      </w:r>
      <w:r>
        <w:rPr>
          <w:rStyle w:val="cursor-pointer"/>
          <w:rFonts w:ascii="Geist Fallback" w:hAnsi="Geist Fallback"/>
          <w:sz w:val="23"/>
          <w:szCs w:val="23"/>
        </w:rPr>
        <w:t>The inquisitive character of the seeds makes the easiest path of ex situ conservation unavailable and the production of plant tissue culture-based approaches not a research luxury but an ecological need.</w:t>
      </w:r>
      <w:r>
        <w:rPr>
          <w:rFonts w:ascii="Geist Fallback" w:hAnsi="Geist Fallback"/>
          <w:sz w:val="23"/>
          <w:szCs w:val="23"/>
        </w:rPr>
        <w:t xml:space="preserve"> </w:t>
      </w:r>
      <w:r>
        <w:rPr>
          <w:rStyle w:val="cursor-pointer"/>
          <w:rFonts w:ascii="Geist Fallback" w:hAnsi="Geist Fallback"/>
          <w:sz w:val="23"/>
          <w:szCs w:val="23"/>
        </w:rPr>
        <w:t xml:space="preserve">This review has shown that although the overall principles and methodological toolkit of plant tissue culture are well-developed enough to support a full-blown conservation </w:t>
      </w:r>
      <w:proofErr w:type="spellStart"/>
      <w:r>
        <w:rPr>
          <w:rStyle w:val="cursor-pointer"/>
          <w:rFonts w:ascii="Geist Fallback" w:hAnsi="Geist Fallback"/>
          <w:sz w:val="23"/>
          <w:szCs w:val="23"/>
        </w:rPr>
        <w:t>programme</w:t>
      </w:r>
      <w:proofErr w:type="spellEnd"/>
      <w:r>
        <w:rPr>
          <w:rStyle w:val="cursor-pointer"/>
          <w:rFonts w:ascii="Geist Fallback" w:hAnsi="Geist Fallback"/>
          <w:sz w:val="23"/>
          <w:szCs w:val="23"/>
        </w:rPr>
        <w:t xml:space="preserve"> on this species, the species-specific body of empirical evidence is sorely lacking.</w:t>
      </w:r>
      <w:r>
        <w:rPr>
          <w:rFonts w:ascii="Geist Fallback" w:hAnsi="Geist Fallback"/>
          <w:sz w:val="23"/>
          <w:szCs w:val="23"/>
        </w:rPr>
        <w:t xml:space="preserve"> </w:t>
      </w:r>
      <w:r>
        <w:rPr>
          <w:rStyle w:val="cursor-pointer"/>
          <w:rFonts w:ascii="Geist Fallback" w:hAnsi="Geist Fallback"/>
          <w:sz w:val="23"/>
          <w:szCs w:val="23"/>
        </w:rPr>
        <w:t>There is no published protocol of cryopreservation of this species.</w:t>
      </w:r>
      <w:r>
        <w:rPr>
          <w:rFonts w:ascii="Geist Fallback" w:hAnsi="Geist Fallback"/>
          <w:sz w:val="23"/>
          <w:szCs w:val="23"/>
        </w:rPr>
        <w:t xml:space="preserve"> </w:t>
      </w:r>
      <w:r>
        <w:rPr>
          <w:rStyle w:val="cursor-pointer"/>
          <w:rFonts w:ascii="Geist Fallback" w:hAnsi="Geist Fallback"/>
          <w:sz w:val="23"/>
          <w:szCs w:val="23"/>
        </w:rPr>
        <w:t>No protocol of somatic embryogenesis has been published.</w:t>
      </w:r>
      <w:r>
        <w:rPr>
          <w:rFonts w:ascii="Geist Fallback" w:hAnsi="Geist Fallback"/>
          <w:sz w:val="23"/>
          <w:szCs w:val="23"/>
        </w:rPr>
        <w:t xml:space="preserve"> </w:t>
      </w:r>
      <w:r>
        <w:rPr>
          <w:rStyle w:val="cursor-pointer"/>
          <w:rFonts w:ascii="Geist Fallback" w:hAnsi="Geist Fallback"/>
          <w:sz w:val="23"/>
          <w:szCs w:val="23"/>
        </w:rPr>
        <w:t xml:space="preserve">There is no </w:t>
      </w:r>
      <w:proofErr w:type="spellStart"/>
      <w:r>
        <w:rPr>
          <w:rStyle w:val="cursor-pointer"/>
          <w:rFonts w:ascii="Geist Fallback" w:hAnsi="Geist Fallback"/>
          <w:sz w:val="23"/>
          <w:szCs w:val="23"/>
        </w:rPr>
        <w:t>acclimatisation</w:t>
      </w:r>
      <w:proofErr w:type="spellEnd"/>
      <w:r>
        <w:rPr>
          <w:rStyle w:val="cursor-pointer"/>
          <w:rFonts w:ascii="Geist Fallback" w:hAnsi="Geist Fallback"/>
          <w:sz w:val="23"/>
          <w:szCs w:val="23"/>
        </w:rPr>
        <w:t xml:space="preserve"> information in the main literature.</w:t>
      </w:r>
      <w:r>
        <w:rPr>
          <w:rFonts w:ascii="Geist Fallback" w:hAnsi="Geist Fallback"/>
          <w:sz w:val="23"/>
          <w:szCs w:val="23"/>
        </w:rPr>
        <w:t xml:space="preserve"> </w:t>
      </w:r>
      <w:r>
        <w:rPr>
          <w:rStyle w:val="cursor-pointer"/>
          <w:rFonts w:ascii="Geist Fallback" w:hAnsi="Geist Fallback"/>
          <w:sz w:val="23"/>
          <w:szCs w:val="23"/>
        </w:rPr>
        <w:t>The genetic diversity of the Nigerian wild populations is not mapped.</w:t>
      </w:r>
      <w:r>
        <w:rPr>
          <w:rFonts w:ascii="Geist Fallback" w:hAnsi="Geist Fallback"/>
          <w:sz w:val="23"/>
          <w:szCs w:val="23"/>
        </w:rPr>
        <w:t xml:space="preserve"> </w:t>
      </w:r>
      <w:r>
        <w:rPr>
          <w:rStyle w:val="cursor-pointer"/>
          <w:rFonts w:ascii="Geist Fallback" w:hAnsi="Geist Fallback"/>
          <w:sz w:val="23"/>
          <w:szCs w:val="23"/>
        </w:rPr>
        <w:t>This is not a scientific impossibility--it is the allocation of resources.</w:t>
      </w:r>
      <w:r>
        <w:rPr>
          <w:rFonts w:ascii="Geist Fallback" w:hAnsi="Geist Fallback"/>
          <w:sz w:val="23"/>
          <w:szCs w:val="23"/>
        </w:rPr>
        <w:t xml:space="preserve"> </w:t>
      </w:r>
      <w:r>
        <w:rPr>
          <w:rStyle w:val="cursor-pointer"/>
          <w:rFonts w:ascii="Geist Fallback" w:hAnsi="Geist Fallback"/>
          <w:sz w:val="23"/>
          <w:szCs w:val="23"/>
        </w:rPr>
        <w:t xml:space="preserve">The research agenda presented in Section 9 is technically feasible, given the institutional infrastructure that prevails in Nigeria, should it be </w:t>
      </w:r>
      <w:proofErr w:type="spellStart"/>
      <w:r>
        <w:rPr>
          <w:rStyle w:val="cursor-pointer"/>
          <w:rFonts w:ascii="Geist Fallback" w:hAnsi="Geist Fallback"/>
          <w:sz w:val="23"/>
          <w:szCs w:val="23"/>
        </w:rPr>
        <w:t>mobilised</w:t>
      </w:r>
      <w:proofErr w:type="spellEnd"/>
      <w:r>
        <w:rPr>
          <w:rStyle w:val="cursor-pointer"/>
          <w:rFonts w:ascii="Geist Fallback" w:hAnsi="Geist Fallback"/>
          <w:sz w:val="23"/>
          <w:szCs w:val="23"/>
        </w:rPr>
        <w:t xml:space="preserve"> through specific investment, international cooperation and policy commitment.</w:t>
      </w:r>
      <w:r>
        <w:rPr>
          <w:rFonts w:ascii="Geist Fallback" w:hAnsi="Geist Fallback"/>
          <w:sz w:val="23"/>
          <w:szCs w:val="23"/>
        </w:rPr>
        <w:t xml:space="preserve"> </w:t>
      </w:r>
      <w:r>
        <w:rPr>
          <w:rStyle w:val="cursor-pointer"/>
          <w:rFonts w:ascii="Geist Fallback" w:hAnsi="Geist Fallback"/>
          <w:sz w:val="23"/>
          <w:szCs w:val="23"/>
        </w:rPr>
        <w:t xml:space="preserve">This combination of plant tissue culture with molecular </w:t>
      </w:r>
      <w:proofErr w:type="spellStart"/>
      <w:r>
        <w:rPr>
          <w:rStyle w:val="cursor-pointer"/>
          <w:rFonts w:ascii="Geist Fallback" w:hAnsi="Geist Fallback"/>
          <w:sz w:val="23"/>
          <w:szCs w:val="23"/>
        </w:rPr>
        <w:t>characterisation</w:t>
      </w:r>
      <w:proofErr w:type="spellEnd"/>
      <w:r>
        <w:rPr>
          <w:rStyle w:val="cursor-pointer"/>
          <w:rFonts w:ascii="Geist Fallback" w:hAnsi="Geist Fallback"/>
          <w:sz w:val="23"/>
          <w:szCs w:val="23"/>
        </w:rPr>
        <w:t xml:space="preserve">, community-based conservation, and facilitating policy change is the most plausible way to make sure Z. </w:t>
      </w:r>
      <w:proofErr w:type="spellStart"/>
      <w:r>
        <w:rPr>
          <w:rStyle w:val="cursor-pointer"/>
          <w:rFonts w:ascii="Geist Fallback" w:hAnsi="Geist Fallback"/>
          <w:sz w:val="23"/>
          <w:szCs w:val="23"/>
        </w:rPr>
        <w:t>zanthoxyloides</w:t>
      </w:r>
      <w:proofErr w:type="spellEnd"/>
      <w:r>
        <w:rPr>
          <w:rStyle w:val="cursor-pointer"/>
          <w:rFonts w:ascii="Geist Fallback" w:hAnsi="Geist Fallback"/>
          <w:sz w:val="23"/>
          <w:szCs w:val="23"/>
        </w:rPr>
        <w:t xml:space="preserve"> can be a living part of the ecosystems in Nigeria, traditional medicine, and pharmacological heritage of the future generations.</w:t>
      </w:r>
      <w:r>
        <w:rPr>
          <w:rFonts w:ascii="Geist Fallback" w:hAnsi="Geist Fallback"/>
          <w:sz w:val="23"/>
          <w:szCs w:val="23"/>
        </w:rPr>
        <w:t xml:space="preserve"> </w:t>
      </w:r>
      <w:r>
        <w:rPr>
          <w:rStyle w:val="cursor-pointer"/>
          <w:rFonts w:ascii="Geist Fallback" w:hAnsi="Geist Fallback"/>
          <w:sz w:val="23"/>
          <w:szCs w:val="23"/>
        </w:rPr>
        <w:t>We encourage the scientific, conservation and policy community to take this species with the urgency with which it deserves.</w:t>
      </w:r>
    </w:p>
    <w:p w14:paraId="1CF823ED" w14:textId="77777777" w:rsidR="00365E05" w:rsidRPr="00365E05" w:rsidRDefault="00365E05" w:rsidP="002719B2">
      <w:pPr>
        <w:jc w:val="both"/>
      </w:pPr>
    </w:p>
    <w:p w14:paraId="3286A30C" w14:textId="77777777" w:rsidR="00365E05" w:rsidRPr="00365E05" w:rsidRDefault="00365E05" w:rsidP="002719B2">
      <w:pPr>
        <w:jc w:val="both"/>
        <w:rPr>
          <w:b/>
          <w:bCs/>
        </w:rPr>
      </w:pPr>
      <w:r w:rsidRPr="00365E05">
        <w:rPr>
          <w:b/>
          <w:bCs/>
        </w:rPr>
        <w:t>References</w:t>
      </w:r>
    </w:p>
    <w:p w14:paraId="7229DD32" w14:textId="77777777" w:rsidR="00365E05" w:rsidRPr="00365E05" w:rsidRDefault="00365E05" w:rsidP="002719B2">
      <w:pPr>
        <w:ind w:left="720" w:hanging="720"/>
        <w:jc w:val="both"/>
      </w:pPr>
      <w:r w:rsidRPr="00365E05">
        <w:t xml:space="preserve">Abubakar, B. Y., Adebayo, M. A., &amp; Oyelaran, O. A. (2019). Callus induction and plant regeneration from cotyledon explants of Zanthoxylum </w:t>
      </w:r>
      <w:proofErr w:type="spellStart"/>
      <w:r w:rsidRPr="00365E05">
        <w:t>zanthoxyloides</w:t>
      </w:r>
      <w:proofErr w:type="spellEnd"/>
      <w:r w:rsidRPr="00365E05">
        <w:t xml:space="preserve"> (Lam.) </w:t>
      </w:r>
      <w:proofErr w:type="spellStart"/>
      <w:r w:rsidRPr="00365E05">
        <w:t>Zepern</w:t>
      </w:r>
      <w:proofErr w:type="spellEnd"/>
      <w:r w:rsidRPr="00365E05">
        <w:t xml:space="preserve">. &amp; </w:t>
      </w:r>
      <w:proofErr w:type="spellStart"/>
      <w:r w:rsidRPr="00365E05">
        <w:t>Timler</w:t>
      </w:r>
      <w:proofErr w:type="spellEnd"/>
      <w:r w:rsidRPr="00365E05">
        <w:t>. African Journal of Biotechnology, 18(12), 247–256. https://doi.org/10.5897/AJB2018.16631</w:t>
      </w:r>
    </w:p>
    <w:p w14:paraId="4B17BF33" w14:textId="77777777" w:rsidR="00365E05" w:rsidRPr="00365E05" w:rsidRDefault="00365E05" w:rsidP="002719B2">
      <w:pPr>
        <w:ind w:left="720" w:hanging="720"/>
        <w:jc w:val="both"/>
      </w:pPr>
      <w:proofErr w:type="spellStart"/>
      <w:r w:rsidRPr="00365E05">
        <w:t>Agbo</w:t>
      </w:r>
      <w:proofErr w:type="spellEnd"/>
      <w:r w:rsidRPr="00365E05">
        <w:t xml:space="preserve">, M. O., </w:t>
      </w:r>
      <w:proofErr w:type="spellStart"/>
      <w:r w:rsidRPr="00365E05">
        <w:t>Ukwueze</w:t>
      </w:r>
      <w:proofErr w:type="spellEnd"/>
      <w:r w:rsidRPr="00365E05">
        <w:t xml:space="preserve">, N. N., &amp; </w:t>
      </w:r>
      <w:proofErr w:type="spellStart"/>
      <w:r w:rsidRPr="00365E05">
        <w:t>Ezea</w:t>
      </w:r>
      <w:proofErr w:type="spellEnd"/>
      <w:r w:rsidRPr="00365E05">
        <w:t xml:space="preserve">, S. C. (2013). Phytochemistry and toxicological evaluation of aqueous and methanolic extracts of Zanthoxylum </w:t>
      </w:r>
      <w:proofErr w:type="spellStart"/>
      <w:r w:rsidRPr="00365E05">
        <w:t>zanthoxyloides</w:t>
      </w:r>
      <w:proofErr w:type="spellEnd"/>
      <w:r w:rsidRPr="00365E05">
        <w:t xml:space="preserve"> root bark on liver function indices of male Wistar rats. Journal of Chemical and Pharmaceutical Research, 5(1), 279–284.</w:t>
      </w:r>
    </w:p>
    <w:p w14:paraId="690EE111" w14:textId="77777777" w:rsidR="00365E05" w:rsidRPr="00365E05" w:rsidRDefault="00365E05" w:rsidP="002719B2">
      <w:pPr>
        <w:ind w:left="720" w:hanging="720"/>
        <w:jc w:val="both"/>
      </w:pPr>
      <w:proofErr w:type="spellStart"/>
      <w:r w:rsidRPr="00365E05">
        <w:t>Akinrinola</w:t>
      </w:r>
      <w:proofErr w:type="spellEnd"/>
      <w:r w:rsidRPr="00365E05">
        <w:t xml:space="preserve">, A. O., &amp; Olawale, F. (2022). Ethnobotanical documentation of Zanthoxylum </w:t>
      </w:r>
      <w:proofErr w:type="spellStart"/>
      <w:r w:rsidRPr="00365E05">
        <w:t>zanthoxyloides</w:t>
      </w:r>
      <w:proofErr w:type="spellEnd"/>
      <w:r w:rsidRPr="00365E05">
        <w:t xml:space="preserve"> use in southwestern Nigeria: Implications for conservation planning. Journal of Ethnobiology and Ethnomedicine, 18(1), 34. https://doi.org/10.1186/s13002-022-00524-3</w:t>
      </w:r>
    </w:p>
    <w:p w14:paraId="7ADD2556" w14:textId="77777777" w:rsidR="00365E05" w:rsidRPr="00365E05" w:rsidRDefault="00365E05" w:rsidP="002719B2">
      <w:pPr>
        <w:ind w:left="720" w:hanging="720"/>
        <w:jc w:val="both"/>
      </w:pPr>
      <w:r w:rsidRPr="00365E05">
        <w:t>Aker, S., &amp; Mukherjee, P. K. (2020). Nanomaterials in plant tissue culture: Mechanisms of action and applications in plant biotechnology. Plant Cell, Tissue and Organ Culture, 141(2), 225–244. https://doi.org/10.1007/s11240-020-01762-0</w:t>
      </w:r>
    </w:p>
    <w:p w14:paraId="10EE3E1E" w14:textId="77777777" w:rsidR="00365E05" w:rsidRPr="00365E05" w:rsidRDefault="00365E05" w:rsidP="002719B2">
      <w:pPr>
        <w:ind w:left="720" w:hanging="720"/>
        <w:jc w:val="both"/>
      </w:pPr>
      <w:r w:rsidRPr="00365E05">
        <w:t>Al-</w:t>
      </w:r>
      <w:proofErr w:type="spellStart"/>
      <w:r w:rsidRPr="00365E05">
        <w:t>Khayri</w:t>
      </w:r>
      <w:proofErr w:type="spellEnd"/>
      <w:r w:rsidRPr="00365E05">
        <w:t>, J. M., Jain, S. M., &amp; Johnson, D. V. (Eds.). (2019). Advances in plant breeding strategies: Breeding, biotechnology and molecular tools. Springer.</w:t>
      </w:r>
    </w:p>
    <w:p w14:paraId="1ED1D1B4" w14:textId="77777777" w:rsidR="00365E05" w:rsidRPr="00365E05" w:rsidRDefault="00365E05" w:rsidP="002719B2">
      <w:pPr>
        <w:ind w:left="720" w:hanging="720"/>
        <w:jc w:val="both"/>
      </w:pPr>
      <w:proofErr w:type="spellStart"/>
      <w:r w:rsidRPr="00365E05">
        <w:t>Amoo</w:t>
      </w:r>
      <w:proofErr w:type="spellEnd"/>
      <w:r w:rsidRPr="00365E05">
        <w:t xml:space="preserve">, S. O., </w:t>
      </w:r>
      <w:proofErr w:type="spellStart"/>
      <w:r w:rsidRPr="00365E05">
        <w:t>Aremu</w:t>
      </w:r>
      <w:proofErr w:type="spellEnd"/>
      <w:r w:rsidRPr="00365E05">
        <w:t xml:space="preserve">, A. O., &amp; Van </w:t>
      </w:r>
      <w:proofErr w:type="spellStart"/>
      <w:r w:rsidRPr="00365E05">
        <w:t>Staden</w:t>
      </w:r>
      <w:proofErr w:type="spellEnd"/>
      <w:r w:rsidRPr="00365E05">
        <w:t>, J. (2014). Unraveling the medicinal potential of South African Aloe species. Journal of Ethnopharmacology, 153(1), 19–41. https://doi.org/10.1016/j.jep.2014.01.039</w:t>
      </w:r>
    </w:p>
    <w:p w14:paraId="7266A0D5" w14:textId="77777777" w:rsidR="00365E05" w:rsidRPr="00365E05" w:rsidRDefault="00365E05" w:rsidP="002719B2">
      <w:pPr>
        <w:ind w:left="720" w:hanging="720"/>
        <w:jc w:val="both"/>
      </w:pPr>
      <w:r w:rsidRPr="00365E05">
        <w:t xml:space="preserve">Andrade, J. C., Lima, E., Gomes-Carneiro, M. R., Bhatt, D. L., &amp; Moura, M. D. (2021). Bioactive phytochemicals from Zanthoxylum genus: A review of traditional uses and </w:t>
      </w:r>
      <w:r w:rsidRPr="00365E05">
        <w:lastRenderedPageBreak/>
        <w:t>recent advances in pharmacological investigations. Phytochemistry Reviews, 20(4), 877–918. https://doi.org/10.1007/s11101-021-09738-2</w:t>
      </w:r>
    </w:p>
    <w:p w14:paraId="6634FF4A" w14:textId="77777777" w:rsidR="00365E05" w:rsidRPr="00365E05" w:rsidRDefault="00365E05" w:rsidP="002719B2">
      <w:pPr>
        <w:ind w:left="720" w:hanging="720"/>
        <w:jc w:val="both"/>
      </w:pPr>
      <w:r w:rsidRPr="00365E05">
        <w:t>Ashmore, S. E. (1997). Status report on the development and application of in vitro techniques for the conservation and use of plant genetic resources. International Plant Genetic Resources Institute.</w:t>
      </w:r>
    </w:p>
    <w:p w14:paraId="1A32BA16" w14:textId="77777777" w:rsidR="00365E05" w:rsidRPr="00365E05" w:rsidRDefault="00365E05" w:rsidP="002719B2">
      <w:pPr>
        <w:ind w:left="720" w:hanging="720"/>
        <w:jc w:val="both"/>
      </w:pPr>
      <w:r w:rsidRPr="00365E05">
        <w:t>Bajaj, Y. P. S. (Ed.). (2012). Biotechnology in agriculture and forestry: Cryopreservation of plant germplasm I. Springer.</w:t>
      </w:r>
    </w:p>
    <w:p w14:paraId="2719AFAA" w14:textId="77777777" w:rsidR="00365E05" w:rsidRPr="00365E05" w:rsidRDefault="00365E05" w:rsidP="002719B2">
      <w:pPr>
        <w:ind w:left="720" w:hanging="720"/>
        <w:jc w:val="both"/>
      </w:pPr>
      <w:proofErr w:type="spellStart"/>
      <w:r w:rsidRPr="00365E05">
        <w:t>Berjak</w:t>
      </w:r>
      <w:proofErr w:type="spellEnd"/>
      <w:r w:rsidRPr="00365E05">
        <w:t xml:space="preserve">, P., &amp; </w:t>
      </w:r>
      <w:proofErr w:type="spellStart"/>
      <w:r w:rsidRPr="00365E05">
        <w:t>Pammenter</w:t>
      </w:r>
      <w:proofErr w:type="spellEnd"/>
      <w:r w:rsidRPr="00365E05">
        <w:t xml:space="preserve">, N. W. (2008). From </w:t>
      </w:r>
      <w:proofErr w:type="spellStart"/>
      <w:r w:rsidRPr="00365E05">
        <w:t>Avicennia</w:t>
      </w:r>
      <w:proofErr w:type="spellEnd"/>
      <w:r w:rsidRPr="00365E05">
        <w:t xml:space="preserve"> to Zizania: Seed recalcitrance in perspective. Annals of Botany, 101(2), 213–228. https://doi.org/10.1093/aob/mcm168</w:t>
      </w:r>
    </w:p>
    <w:p w14:paraId="1F74E626" w14:textId="77777777" w:rsidR="00365E05" w:rsidRPr="00365E05" w:rsidRDefault="00365E05" w:rsidP="002719B2">
      <w:pPr>
        <w:ind w:left="720" w:hanging="720"/>
        <w:jc w:val="both"/>
      </w:pPr>
      <w:proofErr w:type="spellStart"/>
      <w:r w:rsidRPr="00365E05">
        <w:t>Berjak</w:t>
      </w:r>
      <w:proofErr w:type="spellEnd"/>
      <w:r w:rsidRPr="00365E05">
        <w:t xml:space="preserve">, P., &amp; </w:t>
      </w:r>
      <w:proofErr w:type="spellStart"/>
      <w:r w:rsidRPr="00365E05">
        <w:t>Pammenter</w:t>
      </w:r>
      <w:proofErr w:type="spellEnd"/>
      <w:r w:rsidRPr="00365E05">
        <w:t>, N. W. (2013). Implications of the lack of desiccation tolerance in recalcitrant seeds. Frontiers in Plant Science, 4, 478. https://doi.org/10.3389/fpls.2013.00478</w:t>
      </w:r>
    </w:p>
    <w:p w14:paraId="62AE0E07" w14:textId="77777777" w:rsidR="00365E05" w:rsidRPr="00365E05" w:rsidRDefault="00365E05" w:rsidP="002719B2">
      <w:pPr>
        <w:ind w:left="720" w:hanging="720"/>
        <w:jc w:val="both"/>
      </w:pPr>
      <w:proofErr w:type="spellStart"/>
      <w:r w:rsidRPr="00365E05">
        <w:t>Buitink</w:t>
      </w:r>
      <w:proofErr w:type="spellEnd"/>
      <w:r w:rsidRPr="00365E05">
        <w:t xml:space="preserve">, J., &amp; </w:t>
      </w:r>
      <w:proofErr w:type="spellStart"/>
      <w:r w:rsidRPr="00365E05">
        <w:t>Leprince</w:t>
      </w:r>
      <w:proofErr w:type="spellEnd"/>
      <w:r w:rsidRPr="00365E05">
        <w:t xml:space="preserve">, O. (2008). Intracellular glasses and seed survival in the dry state. </w:t>
      </w:r>
      <w:proofErr w:type="spellStart"/>
      <w:r w:rsidRPr="00365E05">
        <w:t>Comptes</w:t>
      </w:r>
      <w:proofErr w:type="spellEnd"/>
      <w:r w:rsidRPr="00365E05">
        <w:t xml:space="preserve"> </w:t>
      </w:r>
      <w:proofErr w:type="spellStart"/>
      <w:r w:rsidRPr="00365E05">
        <w:t>Rendus</w:t>
      </w:r>
      <w:proofErr w:type="spellEnd"/>
      <w:r w:rsidRPr="00365E05">
        <w:t xml:space="preserve"> </w:t>
      </w:r>
      <w:proofErr w:type="spellStart"/>
      <w:r w:rsidRPr="00365E05">
        <w:t>Biologies</w:t>
      </w:r>
      <w:proofErr w:type="spellEnd"/>
      <w:r w:rsidRPr="00365E05">
        <w:t>, 331(10), 788–795. https://doi.org/10.1016/j.crvi.2008.08.002</w:t>
      </w:r>
    </w:p>
    <w:p w14:paraId="4A5D14A9" w14:textId="77777777" w:rsidR="00365E05" w:rsidRPr="00365E05" w:rsidRDefault="00365E05" w:rsidP="002719B2">
      <w:pPr>
        <w:ind w:left="720" w:hanging="720"/>
        <w:jc w:val="both"/>
      </w:pPr>
      <w:r w:rsidRPr="00365E05">
        <w:t>Chandler, S. F., &amp; Tanaka, Y. (2007). Genetic modification in floriculture. Critical Reviews in Plant Sciences, 26(4), 169–197. https://doi.org/10.1080/07352680701503552</w:t>
      </w:r>
    </w:p>
    <w:p w14:paraId="6FEE635F" w14:textId="77777777" w:rsidR="00365E05" w:rsidRPr="00365E05" w:rsidRDefault="00365E05" w:rsidP="002719B2">
      <w:pPr>
        <w:ind w:left="720" w:hanging="720"/>
        <w:jc w:val="both"/>
      </w:pPr>
      <w:r w:rsidRPr="00365E05">
        <w:t xml:space="preserve">Chukwuma, E. C., </w:t>
      </w:r>
      <w:proofErr w:type="spellStart"/>
      <w:r w:rsidRPr="00365E05">
        <w:t>Soladoye</w:t>
      </w:r>
      <w:proofErr w:type="spellEnd"/>
      <w:r w:rsidRPr="00365E05">
        <w:t xml:space="preserve">, M. O., &amp; </w:t>
      </w:r>
      <w:proofErr w:type="spellStart"/>
      <w:r w:rsidRPr="00365E05">
        <w:t>Feyisola</w:t>
      </w:r>
      <w:proofErr w:type="spellEnd"/>
      <w:r w:rsidRPr="00365E05">
        <w:t>, R. T. (2015). Traditional medicine and the future of medicinal plants in Nigeria. Journal of Plant Studies, 4(1), 1–13. https://doi.org/10.5539/jps.v4n1p1</w:t>
      </w:r>
    </w:p>
    <w:p w14:paraId="27671465" w14:textId="77777777" w:rsidR="00365E05" w:rsidRPr="00365E05" w:rsidRDefault="00365E05" w:rsidP="002719B2">
      <w:pPr>
        <w:ind w:left="720" w:hanging="720"/>
        <w:jc w:val="both"/>
      </w:pPr>
      <w:r w:rsidRPr="00365E05">
        <w:t>Coelho, N., Goncalves, S., &amp; Romano, A. (2020). Endemic plant species conservation: Biotechnological approaches. Plants, 9(3), 345. https://doi.org/10.3390/plants9030345</w:t>
      </w:r>
    </w:p>
    <w:p w14:paraId="38863B49" w14:textId="77777777" w:rsidR="00365E05" w:rsidRPr="00365E05" w:rsidRDefault="00365E05" w:rsidP="002719B2">
      <w:pPr>
        <w:ind w:left="720" w:hanging="720"/>
        <w:jc w:val="both"/>
      </w:pPr>
      <w:r w:rsidRPr="00365E05">
        <w:t>Convention on Biological Diversity. (2010). Nagoya Protocol on access to genetic resources and the fair and equitable sharing of benefits arising from their utilization. Secretariat of the CBD.</w:t>
      </w:r>
    </w:p>
    <w:p w14:paraId="109D3C22" w14:textId="77777777" w:rsidR="00365E05" w:rsidRPr="00365E05" w:rsidRDefault="00365E05" w:rsidP="002719B2">
      <w:pPr>
        <w:ind w:left="720" w:hanging="720"/>
        <w:jc w:val="both"/>
      </w:pPr>
      <w:r w:rsidRPr="00365E05">
        <w:t xml:space="preserve">De Klerk, G.-J. (2002). Rooting of </w:t>
      </w:r>
      <w:proofErr w:type="spellStart"/>
      <w:r w:rsidRPr="00365E05">
        <w:t>microcuttings</w:t>
      </w:r>
      <w:proofErr w:type="spellEnd"/>
      <w:r w:rsidRPr="00365E05">
        <w:t>: Theory and practice. In Vitro Cellular &amp; Developmental Biology – Plant, 38(5), 415–422. https://doi.org/10.1079/IVP2002335</w:t>
      </w:r>
    </w:p>
    <w:p w14:paraId="7B18AB4E" w14:textId="77777777" w:rsidR="00365E05" w:rsidRPr="00365E05" w:rsidRDefault="00365E05" w:rsidP="002719B2">
      <w:pPr>
        <w:ind w:left="720" w:hanging="720"/>
        <w:jc w:val="both"/>
      </w:pPr>
      <w:proofErr w:type="spellStart"/>
      <w:r w:rsidRPr="00365E05">
        <w:t>Dewir</w:t>
      </w:r>
      <w:proofErr w:type="spellEnd"/>
      <w:r w:rsidRPr="00365E05">
        <w:t>, Y. H., Murthy, H. N., Ammar, M. H., Alghamdi, S. S., Al-</w:t>
      </w:r>
      <w:proofErr w:type="spellStart"/>
      <w:r w:rsidRPr="00365E05">
        <w:t>Suhaibani</w:t>
      </w:r>
      <w:proofErr w:type="spellEnd"/>
      <w:r w:rsidRPr="00365E05">
        <w:t xml:space="preserve">, N. A., </w:t>
      </w:r>
      <w:proofErr w:type="spellStart"/>
      <w:r w:rsidRPr="00365E05">
        <w:t>Alsadon</w:t>
      </w:r>
      <w:proofErr w:type="spellEnd"/>
      <w:r w:rsidRPr="00365E05">
        <w:t xml:space="preserve">, A. A., &amp; </w:t>
      </w:r>
      <w:proofErr w:type="spellStart"/>
      <w:r w:rsidRPr="00365E05">
        <w:t>Paek</w:t>
      </w:r>
      <w:proofErr w:type="spellEnd"/>
      <w:r w:rsidRPr="00365E05">
        <w:t>, K.-Y. (2014). In vitro rooting of leguminous plants: A mini-review. Horticulture, Environment, and Biotechnology, 55(6), 459–474. https://doi.org/10.1007/s13580-014-0001-3</w:t>
      </w:r>
    </w:p>
    <w:p w14:paraId="7C70D00F" w14:textId="77777777" w:rsidR="00365E05" w:rsidRPr="00365E05" w:rsidRDefault="00365E05" w:rsidP="002719B2">
      <w:pPr>
        <w:ind w:left="720" w:hanging="720"/>
        <w:jc w:val="both"/>
      </w:pPr>
      <w:proofErr w:type="spellStart"/>
      <w:r w:rsidRPr="00365E05">
        <w:t>Ebana</w:t>
      </w:r>
      <w:proofErr w:type="spellEnd"/>
      <w:r w:rsidRPr="00365E05">
        <w:t xml:space="preserve">, R. U. B., </w:t>
      </w:r>
      <w:proofErr w:type="spellStart"/>
      <w:r w:rsidRPr="00365E05">
        <w:t>Madunagu</w:t>
      </w:r>
      <w:proofErr w:type="spellEnd"/>
      <w:r w:rsidRPr="00365E05">
        <w:t xml:space="preserve">, B. E., Ekpe, E. D., &amp; </w:t>
      </w:r>
      <w:proofErr w:type="spellStart"/>
      <w:r w:rsidRPr="00365E05">
        <w:t>Otung</w:t>
      </w:r>
      <w:proofErr w:type="spellEnd"/>
      <w:r w:rsidRPr="00365E05">
        <w:t xml:space="preserve">, I. N. (1991). Microbiological exploitation of cardiac glycosides and alkaloids from Garcinia kola, Borreria </w:t>
      </w:r>
      <w:proofErr w:type="spellStart"/>
      <w:r w:rsidRPr="00365E05">
        <w:t>ocymoides</w:t>
      </w:r>
      <w:proofErr w:type="spellEnd"/>
      <w:r w:rsidRPr="00365E05">
        <w:t>, Kola nitida and Lavandula officinalis. Journal of Applied Bacteriology, 71(5), 398–401. https://doi.org/10.1111/j.1365-2672.1991.tb03814.x</w:t>
      </w:r>
    </w:p>
    <w:p w14:paraId="0EEAD20D" w14:textId="77777777" w:rsidR="00365E05" w:rsidRPr="00365E05" w:rsidRDefault="00365E05" w:rsidP="002719B2">
      <w:pPr>
        <w:ind w:left="720" w:hanging="720"/>
        <w:jc w:val="both"/>
      </w:pPr>
      <w:r w:rsidRPr="00365E05">
        <w:t>Engelmann, F. (2011). Use of biotechnologies for the conservation of plant biodiversity. In Vitro Cellular &amp; Developmental Biology – Plant, 47(1), 5–16. https://doi.org/10.1007/s11627-010-9327-2</w:t>
      </w:r>
    </w:p>
    <w:p w14:paraId="61890746" w14:textId="77777777" w:rsidR="00365E05" w:rsidRPr="00365E05" w:rsidRDefault="00365E05" w:rsidP="002719B2">
      <w:pPr>
        <w:ind w:left="720" w:hanging="720"/>
        <w:jc w:val="both"/>
      </w:pPr>
      <w:r w:rsidRPr="00365E05">
        <w:t>Engelmann, F., &amp; Engels, J. M. M. (2002). Technologies and strategies for ex situ conservation. In J. M. M. Engels, V. R. Rao, A. H. D. Brown, &amp; M. T. Jackson (Eds.), Managing plant genetic diversity (pp. 89–104). CABI Publishing.</w:t>
      </w:r>
    </w:p>
    <w:p w14:paraId="60E8FE5D" w14:textId="77777777" w:rsidR="00365E05" w:rsidRPr="00365E05" w:rsidRDefault="00365E05" w:rsidP="002719B2">
      <w:pPr>
        <w:ind w:left="720" w:hanging="720"/>
        <w:jc w:val="both"/>
      </w:pPr>
      <w:r w:rsidRPr="00365E05">
        <w:t xml:space="preserve">Etienne, H., &amp; </w:t>
      </w:r>
      <w:proofErr w:type="spellStart"/>
      <w:r w:rsidRPr="00365E05">
        <w:t>Berthouly</w:t>
      </w:r>
      <w:proofErr w:type="spellEnd"/>
      <w:r w:rsidRPr="00365E05">
        <w:t>, M. (2002). Temporary immersion systems in plant micropropagation. Plant Cell, Tissue and Organ Culture, 69(3), 215–231. https://doi.org/10.1023/A:1015668610465</w:t>
      </w:r>
    </w:p>
    <w:p w14:paraId="6573323D" w14:textId="77777777" w:rsidR="00365E05" w:rsidRPr="00365E05" w:rsidRDefault="00365E05" w:rsidP="002719B2">
      <w:pPr>
        <w:ind w:left="720" w:hanging="720"/>
        <w:jc w:val="both"/>
      </w:pPr>
      <w:r w:rsidRPr="00365E05">
        <w:t>Ezekwesili-</w:t>
      </w:r>
      <w:proofErr w:type="spellStart"/>
      <w:r w:rsidRPr="00365E05">
        <w:t>Ofili</w:t>
      </w:r>
      <w:proofErr w:type="spellEnd"/>
      <w:r w:rsidRPr="00365E05">
        <w:t xml:space="preserve">, J. O., &amp; Okeke, C. I. (2019). Herbal medicines in African traditional medicine. In F. O. Builders (Ed.), Herbal medicine (pp. 191–214). </w:t>
      </w:r>
      <w:proofErr w:type="spellStart"/>
      <w:r w:rsidRPr="00365E05">
        <w:t>IntechOpen</w:t>
      </w:r>
      <w:proofErr w:type="spellEnd"/>
      <w:r w:rsidRPr="00365E05">
        <w:t>. https://doi.org/10.5772/intechopen.80348</w:t>
      </w:r>
    </w:p>
    <w:p w14:paraId="0F5B430D" w14:textId="77777777" w:rsidR="00365E05" w:rsidRPr="00365E05" w:rsidRDefault="00365E05" w:rsidP="002719B2">
      <w:pPr>
        <w:ind w:left="720" w:hanging="720"/>
        <w:jc w:val="both"/>
      </w:pPr>
      <w:r w:rsidRPr="00365E05">
        <w:t>FAO. (2010). Second report on the state of the world's plant genetic resources for food and agriculture. Food and Agriculture Organization of the United Nations.</w:t>
      </w:r>
    </w:p>
    <w:p w14:paraId="3B280AFC" w14:textId="77777777" w:rsidR="00365E05" w:rsidRPr="00365E05" w:rsidRDefault="00365E05" w:rsidP="002719B2">
      <w:pPr>
        <w:ind w:left="720" w:hanging="720"/>
        <w:jc w:val="both"/>
      </w:pPr>
      <w:r w:rsidRPr="00365E05">
        <w:lastRenderedPageBreak/>
        <w:t>FAO. (2015). Voluntary guidelines to support the integration of genetic diversity into national climate change adaptation planning. FAO.</w:t>
      </w:r>
    </w:p>
    <w:p w14:paraId="0A3A4768" w14:textId="77777777" w:rsidR="00365E05" w:rsidRPr="00365E05" w:rsidRDefault="00365E05" w:rsidP="002719B2">
      <w:pPr>
        <w:ind w:left="720" w:hanging="720"/>
        <w:jc w:val="both"/>
      </w:pPr>
      <w:proofErr w:type="spellStart"/>
      <w:r w:rsidRPr="00365E05">
        <w:t>Feyissa</w:t>
      </w:r>
      <w:proofErr w:type="spellEnd"/>
      <w:r w:rsidRPr="00365E05">
        <w:t xml:space="preserve">, T., </w:t>
      </w:r>
      <w:proofErr w:type="spellStart"/>
      <w:r w:rsidRPr="00365E05">
        <w:t>Welander</w:t>
      </w:r>
      <w:proofErr w:type="spellEnd"/>
      <w:r w:rsidRPr="00365E05">
        <w:t xml:space="preserve">, M., &amp; </w:t>
      </w:r>
      <w:proofErr w:type="spellStart"/>
      <w:r w:rsidRPr="00365E05">
        <w:t>Negash</w:t>
      </w:r>
      <w:proofErr w:type="spellEnd"/>
      <w:r w:rsidRPr="00365E05">
        <w:t xml:space="preserve">, L. (2005). In vitro regeneration of </w:t>
      </w:r>
      <w:proofErr w:type="spellStart"/>
      <w:r w:rsidRPr="00365E05">
        <w:t>Hagenia</w:t>
      </w:r>
      <w:proofErr w:type="spellEnd"/>
      <w:r w:rsidRPr="00365E05">
        <w:t xml:space="preserve"> </w:t>
      </w:r>
      <w:proofErr w:type="spellStart"/>
      <w:r w:rsidRPr="00365E05">
        <w:t>abyssinica</w:t>
      </w:r>
      <w:proofErr w:type="spellEnd"/>
      <w:r w:rsidRPr="00365E05">
        <w:t xml:space="preserve"> from leaf explants. Plant Cell, Tissue and Organ Culture, 80(1), 55–60. https://doi.org/10.1007/s11240-004-0713-8</w:t>
      </w:r>
    </w:p>
    <w:p w14:paraId="78D21CCC" w14:textId="77777777" w:rsidR="00365E05" w:rsidRPr="00365E05" w:rsidRDefault="00365E05" w:rsidP="002719B2">
      <w:pPr>
        <w:ind w:left="720" w:hanging="720"/>
        <w:jc w:val="both"/>
      </w:pPr>
      <w:proofErr w:type="spellStart"/>
      <w:r w:rsidRPr="00365E05">
        <w:t>Gaj</w:t>
      </w:r>
      <w:proofErr w:type="spellEnd"/>
      <w:r w:rsidRPr="00365E05">
        <w:t xml:space="preserve">, T., </w:t>
      </w:r>
      <w:proofErr w:type="spellStart"/>
      <w:r w:rsidRPr="00365E05">
        <w:t>Gersbach</w:t>
      </w:r>
      <w:proofErr w:type="spellEnd"/>
      <w:r w:rsidRPr="00365E05">
        <w:t xml:space="preserve">, C. A., &amp; </w:t>
      </w:r>
      <w:proofErr w:type="spellStart"/>
      <w:r w:rsidRPr="00365E05">
        <w:t>Barbas</w:t>
      </w:r>
      <w:proofErr w:type="spellEnd"/>
      <w:r w:rsidRPr="00365E05">
        <w:t>, C. F. (2013). ZFN, TALEN and CRISPR/Cas-based methods for genome engineering. Trends in Biotechnology, 31(7), 397–405. https://doi.org/10.1016/j.tibtech.2013.04.004</w:t>
      </w:r>
    </w:p>
    <w:p w14:paraId="2FA7AAE8" w14:textId="77777777" w:rsidR="00365E05" w:rsidRPr="00365E05" w:rsidRDefault="00365E05" w:rsidP="002719B2">
      <w:pPr>
        <w:ind w:left="720" w:hanging="720"/>
        <w:jc w:val="both"/>
      </w:pPr>
      <w:proofErr w:type="spellStart"/>
      <w:r w:rsidRPr="00365E05">
        <w:t>Galewsky</w:t>
      </w:r>
      <w:proofErr w:type="spellEnd"/>
      <w:r w:rsidRPr="00365E05">
        <w:t xml:space="preserve">, S., &amp; Nessler, C. L. (1986). Clonal propagation of opium poppy (Papaver </w:t>
      </w:r>
      <w:proofErr w:type="spellStart"/>
      <w:r w:rsidRPr="00365E05">
        <w:t>somniferum</w:t>
      </w:r>
      <w:proofErr w:type="spellEnd"/>
      <w:r w:rsidRPr="00365E05">
        <w:t xml:space="preserve"> L.) by somatic embryogenesis. Plant Cell Reports, 5(6), 396–399. https://doi.org/10.1007/BF00269531</w:t>
      </w:r>
    </w:p>
    <w:p w14:paraId="4E54563B" w14:textId="77777777" w:rsidR="00365E05" w:rsidRPr="00365E05" w:rsidRDefault="00365E05" w:rsidP="002719B2">
      <w:pPr>
        <w:ind w:left="720" w:hanging="720"/>
        <w:jc w:val="both"/>
      </w:pPr>
      <w:r w:rsidRPr="00365E05">
        <w:t>George, E. F., Hall, M. A., &amp; De Klerk, G.-J. (Eds.). (2008). Plant propagation by tissue culture: Vol. 1. The background (3rd ed.). Springer.</w:t>
      </w:r>
    </w:p>
    <w:p w14:paraId="147CE802" w14:textId="77777777" w:rsidR="00365E05" w:rsidRPr="00365E05" w:rsidRDefault="00365E05" w:rsidP="002719B2">
      <w:pPr>
        <w:ind w:left="720" w:hanging="720"/>
        <w:jc w:val="both"/>
      </w:pPr>
      <w:r w:rsidRPr="00365E05">
        <w:t>Hazarika, B. N. (2003). Acclimatization of tissue-cultured plants. Current Science, 85(12), 1704–1712.</w:t>
      </w:r>
    </w:p>
    <w:p w14:paraId="16DD4EA6" w14:textId="77777777" w:rsidR="00365E05" w:rsidRPr="00365E05" w:rsidRDefault="00365E05" w:rsidP="002719B2">
      <w:pPr>
        <w:ind w:left="720" w:hanging="720"/>
        <w:jc w:val="both"/>
      </w:pPr>
      <w:proofErr w:type="spellStart"/>
      <w:r w:rsidRPr="00365E05">
        <w:t>Holobiuc</w:t>
      </w:r>
      <w:proofErr w:type="spellEnd"/>
      <w:r w:rsidRPr="00365E05">
        <w:t>, I. (2020). Applications of plant tissue culture in conservation of rare and endangered plants. In M. Asif (Ed.), Advances in plant tissue culture (pp. 95–134). Academic Press. https://doi.org/10.1016/B978-0-12-818581-0.00005-X</w:t>
      </w:r>
    </w:p>
    <w:p w14:paraId="431EF971" w14:textId="77777777" w:rsidR="00365E05" w:rsidRPr="00365E05" w:rsidRDefault="00365E05" w:rsidP="002719B2">
      <w:pPr>
        <w:ind w:left="720" w:hanging="720"/>
        <w:jc w:val="both"/>
      </w:pPr>
      <w:proofErr w:type="spellStart"/>
      <w:r w:rsidRPr="00365E05">
        <w:t>Idu</w:t>
      </w:r>
      <w:proofErr w:type="spellEnd"/>
      <w:r w:rsidRPr="00365E05">
        <w:t xml:space="preserve">, M., </w:t>
      </w:r>
      <w:proofErr w:type="spellStart"/>
      <w:r w:rsidRPr="00365E05">
        <w:t>Erhabor</w:t>
      </w:r>
      <w:proofErr w:type="spellEnd"/>
      <w:r w:rsidRPr="00365E05">
        <w:t xml:space="preserve">, J. O., &amp; </w:t>
      </w:r>
      <w:proofErr w:type="spellStart"/>
      <w:r w:rsidRPr="00365E05">
        <w:t>Efijuemue</w:t>
      </w:r>
      <w:proofErr w:type="spellEnd"/>
      <w:r w:rsidRPr="00365E05">
        <w:t>, H. M. (2010). Documentation on medicinal plants sold in markets in Abeokuta, Nigeria. Tropical Journal of Pharmaceutical Research, 9(2), 110–118.</w:t>
      </w:r>
    </w:p>
    <w:p w14:paraId="1654344D" w14:textId="77777777" w:rsidR="00365E05" w:rsidRPr="00365E05" w:rsidRDefault="00365E05" w:rsidP="002719B2">
      <w:pPr>
        <w:ind w:left="720" w:hanging="720"/>
        <w:jc w:val="both"/>
      </w:pPr>
      <w:r w:rsidRPr="00365E05">
        <w:t>IUCN. (2022). The IUCN Red List of threatened species. Version 2022-2. https://www.iucnredlist.org/</w:t>
      </w:r>
    </w:p>
    <w:p w14:paraId="3767360E" w14:textId="77777777" w:rsidR="00365E05" w:rsidRPr="00365E05" w:rsidRDefault="00365E05" w:rsidP="002719B2">
      <w:pPr>
        <w:ind w:left="720" w:hanging="720"/>
        <w:jc w:val="both"/>
      </w:pPr>
      <w:r w:rsidRPr="00365E05">
        <w:t>Jain, S. M., &amp; Saxena, P. K. (Eds.). (2009). Protocols for in vitro cultures and secondary metabolite analysis of aromatic and medicinal plants. Humana Press. https://doi.org/10.1007/978-1-60327-114-1</w:t>
      </w:r>
    </w:p>
    <w:p w14:paraId="0D9186E3" w14:textId="77777777" w:rsidR="00365E05" w:rsidRPr="00365E05" w:rsidRDefault="00365E05" w:rsidP="002719B2">
      <w:pPr>
        <w:ind w:left="720" w:hanging="720"/>
        <w:jc w:val="both"/>
      </w:pPr>
      <w:r w:rsidRPr="00365E05">
        <w:t>Jimenez, V. M. (2005). Involvement of plant hormones and plant growth regulators on in vitro somatic embryogenesis. Plant Growth Regulation, 47(2–3), 91–110. https://doi.org/10.1007/s10725-005-3478-x</w:t>
      </w:r>
    </w:p>
    <w:p w14:paraId="22F0771A" w14:textId="77777777" w:rsidR="00365E05" w:rsidRPr="00365E05" w:rsidRDefault="00365E05" w:rsidP="002719B2">
      <w:pPr>
        <w:ind w:left="720" w:hanging="720"/>
        <w:jc w:val="both"/>
      </w:pPr>
      <w:proofErr w:type="spellStart"/>
      <w:r w:rsidRPr="00365E05">
        <w:t>Lahlou</w:t>
      </w:r>
      <w:proofErr w:type="spellEnd"/>
      <w:r w:rsidRPr="00365E05">
        <w:t>, M. (2013). The success of natural products in drug discovery. Pharmacology &amp; Pharmacy, 4(3), 17–31. https://doi.org/10.4236/pp.2013.43A003</w:t>
      </w:r>
    </w:p>
    <w:p w14:paraId="7E15E29B" w14:textId="77777777" w:rsidR="00365E05" w:rsidRPr="00365E05" w:rsidRDefault="00365E05" w:rsidP="002719B2">
      <w:pPr>
        <w:ind w:left="720" w:hanging="720"/>
        <w:jc w:val="both"/>
      </w:pPr>
      <w:r w:rsidRPr="00365E05">
        <w:t xml:space="preserve">Larkin, P. J., &amp; Scowcroft, W. R. (1981). </w:t>
      </w:r>
      <w:proofErr w:type="spellStart"/>
      <w:r w:rsidRPr="00365E05">
        <w:t>Somaclonal</w:t>
      </w:r>
      <w:proofErr w:type="spellEnd"/>
      <w:r w:rsidRPr="00365E05">
        <w:t xml:space="preserve"> variation: A novel source of variability from cell cultures for plant improvement. Theoretical and Applied Genetics, 60(4), 197–214. https://doi.org/10.1007/BF02342540</w:t>
      </w:r>
    </w:p>
    <w:p w14:paraId="28A33D0F" w14:textId="77777777" w:rsidR="00365E05" w:rsidRPr="00365E05" w:rsidRDefault="00365E05" w:rsidP="002719B2">
      <w:pPr>
        <w:ind w:left="720" w:hanging="720"/>
        <w:jc w:val="both"/>
      </w:pPr>
      <w:r w:rsidRPr="00365E05">
        <w:t>Lloyd, G., &amp; McCown, B. (1980). Commercially-feasible micropropagation of mountain laurel Kalmia latifolia by use of shoot-tip culture. Proceedings of the International Plant Propagators Society, 30, 421–427.</w:t>
      </w:r>
    </w:p>
    <w:p w14:paraId="196A3FE5" w14:textId="77777777" w:rsidR="00365E05" w:rsidRPr="00365E05" w:rsidRDefault="00365E05" w:rsidP="002719B2">
      <w:pPr>
        <w:ind w:left="720" w:hanging="720"/>
        <w:jc w:val="both"/>
      </w:pPr>
      <w:r w:rsidRPr="00365E05">
        <w:t>Loyola-Vargas, V. M., &amp; Ochoa-</w:t>
      </w:r>
      <w:proofErr w:type="spellStart"/>
      <w:r w:rsidRPr="00365E05">
        <w:t>Alejo</w:t>
      </w:r>
      <w:proofErr w:type="spellEnd"/>
      <w:r w:rsidRPr="00365E05">
        <w:t>, N. (Eds.). (2018). Plant cell culture protocols (4th ed., Methods in Molecular Biology Vol. 1815). Humana Press. https://doi.org/10.1007/978-1-4939-8594-4</w:t>
      </w:r>
    </w:p>
    <w:p w14:paraId="1C21E6B2" w14:textId="77777777" w:rsidR="00365E05" w:rsidRPr="00365E05" w:rsidRDefault="00365E05" w:rsidP="002719B2">
      <w:pPr>
        <w:ind w:left="720" w:hanging="720"/>
        <w:jc w:val="both"/>
      </w:pPr>
      <w:proofErr w:type="spellStart"/>
      <w:r w:rsidRPr="00365E05">
        <w:t>Luczaj</w:t>
      </w:r>
      <w:proofErr w:type="spellEnd"/>
      <w:r w:rsidRPr="00365E05">
        <w:t>, L., &amp; Szymanski, W. M. (2007). Wild vascular plants gathered for consumption in the Polish countryside: A review. Journal of Ethnobiology and Ethnomedicine, 3(1), 17. https://doi.org/10.1186/1746-4269-3-17</w:t>
      </w:r>
    </w:p>
    <w:p w14:paraId="5B9BFE79" w14:textId="77777777" w:rsidR="00365E05" w:rsidRPr="00365E05" w:rsidRDefault="00365E05" w:rsidP="002719B2">
      <w:pPr>
        <w:ind w:left="720" w:hanging="720"/>
        <w:jc w:val="both"/>
      </w:pPr>
      <w:proofErr w:type="spellStart"/>
      <w:r w:rsidRPr="00365E05">
        <w:t>Maiga</w:t>
      </w:r>
      <w:proofErr w:type="spellEnd"/>
      <w:r w:rsidRPr="00365E05">
        <w:t>, A., Diallo, D., Bye, R., &amp; Paulsen, B. S. (2005). Determination of some toxic and essential metal ions in medicinal and edible plants from Mali. Journal of Agricultural and Food Chemistry, 53(6), 2316–2321. https://doi.org/10.1021/jf0403003</w:t>
      </w:r>
    </w:p>
    <w:p w14:paraId="0A7E508F" w14:textId="77777777" w:rsidR="00365E05" w:rsidRPr="00365E05" w:rsidRDefault="00365E05" w:rsidP="002719B2">
      <w:pPr>
        <w:ind w:left="720" w:hanging="720"/>
        <w:jc w:val="both"/>
      </w:pPr>
      <w:proofErr w:type="spellStart"/>
      <w:r w:rsidRPr="00365E05">
        <w:t>Moyo</w:t>
      </w:r>
      <w:proofErr w:type="spellEnd"/>
      <w:r w:rsidRPr="00365E05">
        <w:t xml:space="preserve">, M., </w:t>
      </w:r>
      <w:proofErr w:type="spellStart"/>
      <w:r w:rsidRPr="00365E05">
        <w:t>Aremu</w:t>
      </w:r>
      <w:proofErr w:type="spellEnd"/>
      <w:r w:rsidRPr="00365E05">
        <w:t xml:space="preserve">, A. O., &amp; Van </w:t>
      </w:r>
      <w:proofErr w:type="spellStart"/>
      <w:r w:rsidRPr="00365E05">
        <w:t>Staden</w:t>
      </w:r>
      <w:proofErr w:type="spellEnd"/>
      <w:r w:rsidRPr="00365E05">
        <w:t>, J. (2015). Conservation strategy: An integral aspect of medicinal plant research. Journal of Ethnopharmacology, 174, ashamed–641. https://doi.org/10.1016/j.jep.2015.08.052</w:t>
      </w:r>
    </w:p>
    <w:p w14:paraId="2AE5474E" w14:textId="77777777" w:rsidR="00365E05" w:rsidRPr="00365E05" w:rsidRDefault="00365E05" w:rsidP="002719B2">
      <w:pPr>
        <w:ind w:left="720" w:hanging="720"/>
        <w:jc w:val="both"/>
      </w:pPr>
      <w:proofErr w:type="spellStart"/>
      <w:r w:rsidRPr="00365E05">
        <w:lastRenderedPageBreak/>
        <w:t>Murashige</w:t>
      </w:r>
      <w:proofErr w:type="spellEnd"/>
      <w:r w:rsidRPr="00365E05">
        <w:t xml:space="preserve">, T., &amp; Skoog, F. (1962). A revised medium for rapid growth and bio assays with tobacco tissue cultures. </w:t>
      </w:r>
      <w:proofErr w:type="spellStart"/>
      <w:r w:rsidRPr="00365E05">
        <w:t>Physiologia</w:t>
      </w:r>
      <w:proofErr w:type="spellEnd"/>
      <w:r w:rsidRPr="00365E05">
        <w:t xml:space="preserve"> Plantarum, 15(3), 473–497. https://doi.org/10.1111/j.1399-3054.1962.tb08052.x</w:t>
      </w:r>
    </w:p>
    <w:p w14:paraId="38ED4E82" w14:textId="77777777" w:rsidR="00365E05" w:rsidRPr="00365E05" w:rsidRDefault="00365E05" w:rsidP="002719B2">
      <w:pPr>
        <w:ind w:left="720" w:hanging="720"/>
        <w:jc w:val="both"/>
      </w:pPr>
      <w:r w:rsidRPr="00365E05">
        <w:t>National Centre for Genetic Resources and Biotechnology (NACGRAB). (2020). Annual report on plant genetic resources conservation in Nigeria. Federal Ministry of Agriculture and Rural Development.</w:t>
      </w:r>
    </w:p>
    <w:p w14:paraId="02E99C89" w14:textId="77777777" w:rsidR="00365E05" w:rsidRPr="00365E05" w:rsidRDefault="00365E05" w:rsidP="002719B2">
      <w:pPr>
        <w:ind w:left="720" w:hanging="720"/>
        <w:jc w:val="both"/>
      </w:pPr>
      <w:r w:rsidRPr="00365E05">
        <w:t>Neumann, K. H., Kumar, A., &amp; Imani, J. (2009). Plant cell and tissue culture: A tool in biotechnology: Basics and application. Springer. https://doi.org/10.1007/978-3-540-93882-5</w:t>
      </w:r>
    </w:p>
    <w:p w14:paraId="5726D5F0" w14:textId="77777777" w:rsidR="00365E05" w:rsidRPr="00365E05" w:rsidRDefault="00365E05" w:rsidP="002719B2">
      <w:pPr>
        <w:ind w:left="720" w:hanging="720"/>
        <w:jc w:val="both"/>
      </w:pPr>
      <w:r w:rsidRPr="00365E05">
        <w:t>Nigerian Environmental Law. (2007). National Environmental Standards and Regulations Enforcement Agency (Establishment) Act. Federal Government of Nigeria.</w:t>
      </w:r>
    </w:p>
    <w:p w14:paraId="07EA2B70" w14:textId="77777777" w:rsidR="00365E05" w:rsidRPr="00365E05" w:rsidRDefault="00365E05" w:rsidP="002719B2">
      <w:pPr>
        <w:ind w:left="720" w:hanging="720"/>
        <w:jc w:val="both"/>
      </w:pPr>
      <w:r w:rsidRPr="00365E05">
        <w:t xml:space="preserve">Nishizawa, S., Bhowmik, S. K., Robison, M., Sugiyama, Y., &amp; </w:t>
      </w:r>
      <w:proofErr w:type="spellStart"/>
      <w:r w:rsidRPr="00365E05">
        <w:t>Watad</w:t>
      </w:r>
      <w:proofErr w:type="spellEnd"/>
      <w:r w:rsidRPr="00365E05">
        <w:t>, A. A. (2000). In vitro differentiation of protoplasts of Chrysanthemum morifolium. Plant Cell Reports, 19(3), 230–237.</w:t>
      </w:r>
    </w:p>
    <w:p w14:paraId="3D912A99" w14:textId="77777777" w:rsidR="00365E05" w:rsidRPr="00365E05" w:rsidRDefault="00365E05" w:rsidP="002719B2">
      <w:pPr>
        <w:ind w:left="720" w:hanging="720"/>
        <w:jc w:val="both"/>
      </w:pPr>
      <w:r w:rsidRPr="00365E05">
        <w:t>Okafor, J. C. (1980). Edible indigenous woody plants in the rural economy of the Nigerian forest zone. Forest Ecology and Management, 3, 45–55. https://doi.org/10.1016/0378-1127(80)90005-4</w:t>
      </w:r>
    </w:p>
    <w:p w14:paraId="051C114B" w14:textId="77777777" w:rsidR="00365E05" w:rsidRPr="00365E05" w:rsidRDefault="00365E05" w:rsidP="002719B2">
      <w:pPr>
        <w:ind w:left="720" w:hanging="720"/>
        <w:jc w:val="both"/>
      </w:pPr>
      <w:r w:rsidRPr="00365E05">
        <w:t xml:space="preserve">Okeke, C. U., &amp; </w:t>
      </w:r>
      <w:proofErr w:type="spellStart"/>
      <w:r w:rsidRPr="00365E05">
        <w:t>Elekwa</w:t>
      </w:r>
      <w:proofErr w:type="spellEnd"/>
      <w:r w:rsidRPr="00365E05">
        <w:t xml:space="preserve">, I. (2006). Preliminary phytochemical screening of the fruit and seed of Zanthoxylum </w:t>
      </w:r>
      <w:proofErr w:type="spellStart"/>
      <w:r w:rsidRPr="00365E05">
        <w:t>zanthoxyloides</w:t>
      </w:r>
      <w:proofErr w:type="spellEnd"/>
      <w:r w:rsidRPr="00365E05">
        <w:t xml:space="preserve"> (Lam.) in Anambra State, Nigeria. Journal of Biological Research and Biotechnology, 4(1), 19–22.</w:t>
      </w:r>
    </w:p>
    <w:p w14:paraId="20D01854" w14:textId="77777777" w:rsidR="00365E05" w:rsidRPr="00365E05" w:rsidRDefault="00365E05" w:rsidP="002719B2">
      <w:pPr>
        <w:ind w:left="720" w:hanging="720"/>
        <w:jc w:val="both"/>
      </w:pPr>
      <w:proofErr w:type="spellStart"/>
      <w:r w:rsidRPr="00365E05">
        <w:t>Okunade</w:t>
      </w:r>
      <w:proofErr w:type="spellEnd"/>
      <w:r w:rsidRPr="00365E05">
        <w:t xml:space="preserve">, A. L. (2002). Aglaia odorata </w:t>
      </w:r>
      <w:proofErr w:type="spellStart"/>
      <w:r w:rsidRPr="00365E05">
        <w:t>Lour</w:t>
      </w:r>
      <w:proofErr w:type="spellEnd"/>
      <w:r w:rsidRPr="00365E05">
        <w:t>. (</w:t>
      </w:r>
      <w:proofErr w:type="spellStart"/>
      <w:r w:rsidRPr="00365E05">
        <w:t>Meliaceae</w:t>
      </w:r>
      <w:proofErr w:type="spellEnd"/>
      <w:r w:rsidRPr="00365E05">
        <w:t xml:space="preserve">). </w:t>
      </w:r>
      <w:proofErr w:type="spellStart"/>
      <w:r w:rsidRPr="00365E05">
        <w:t>Fitoterapia</w:t>
      </w:r>
      <w:proofErr w:type="spellEnd"/>
      <w:r w:rsidRPr="00365E05">
        <w:t>, 73(1), 1–15.</w:t>
      </w:r>
    </w:p>
    <w:p w14:paraId="6A421D30" w14:textId="77777777" w:rsidR="00365E05" w:rsidRPr="00365E05" w:rsidRDefault="00365E05" w:rsidP="002719B2">
      <w:pPr>
        <w:ind w:left="720" w:hanging="720"/>
        <w:jc w:val="both"/>
      </w:pPr>
      <w:r w:rsidRPr="00365E05">
        <w:t xml:space="preserve">Oladele, A. T., </w:t>
      </w:r>
      <w:proofErr w:type="spellStart"/>
      <w:r w:rsidRPr="00365E05">
        <w:t>Aladejana</w:t>
      </w:r>
      <w:proofErr w:type="spellEnd"/>
      <w:r w:rsidRPr="00365E05">
        <w:t xml:space="preserve">, O. M., &amp; </w:t>
      </w:r>
      <w:proofErr w:type="spellStart"/>
      <w:r w:rsidRPr="00365E05">
        <w:t>Agboola</w:t>
      </w:r>
      <w:proofErr w:type="spellEnd"/>
      <w:r w:rsidRPr="00365E05">
        <w:t xml:space="preserve">, D. A. (2013). Effects of plant growth regulators on in vitro propagation of Zanthoxylum </w:t>
      </w:r>
      <w:proofErr w:type="spellStart"/>
      <w:r w:rsidRPr="00365E05">
        <w:t>zanthoxyloides</w:t>
      </w:r>
      <w:proofErr w:type="spellEnd"/>
      <w:r w:rsidRPr="00365E05">
        <w:t>. International Journal of Applied Sciences and Biotechnology, 1(4), 199–204. https://doi.org/10.3126/ijasbt.v1i4.9238</w:t>
      </w:r>
    </w:p>
    <w:p w14:paraId="0566B001" w14:textId="77777777" w:rsidR="00365E05" w:rsidRPr="00365E05" w:rsidRDefault="00365E05" w:rsidP="002719B2">
      <w:pPr>
        <w:ind w:left="720" w:hanging="720"/>
        <w:jc w:val="both"/>
      </w:pPr>
      <w:r w:rsidRPr="00365E05">
        <w:t xml:space="preserve">Oliveira, L. M., Paiva, R., Santoro, P. H., Fraga, A. C., &amp; Alves, E. (2011). Interactions between plant growth regulators and activated charcoal on the in vitro development of </w:t>
      </w:r>
      <w:proofErr w:type="spellStart"/>
      <w:r w:rsidRPr="00365E05">
        <w:t>Bromeliaceae</w:t>
      </w:r>
      <w:proofErr w:type="spellEnd"/>
      <w:r w:rsidRPr="00365E05">
        <w:t xml:space="preserve">. Acta </w:t>
      </w:r>
      <w:proofErr w:type="spellStart"/>
      <w:r w:rsidRPr="00365E05">
        <w:t>Scientiarum</w:t>
      </w:r>
      <w:proofErr w:type="spellEnd"/>
      <w:r w:rsidRPr="00365E05">
        <w:t>. Agronomy, 33(2), 315–320. https://doi.org/10.4025/actasciagron.v33i2.5870</w:t>
      </w:r>
    </w:p>
    <w:p w14:paraId="4F7AC99D" w14:textId="77777777" w:rsidR="00365E05" w:rsidRPr="00365E05" w:rsidRDefault="00365E05" w:rsidP="002719B2">
      <w:pPr>
        <w:ind w:left="720" w:hanging="720"/>
        <w:jc w:val="both"/>
      </w:pPr>
      <w:proofErr w:type="spellStart"/>
      <w:r w:rsidRPr="00365E05">
        <w:t>Osoniyi</w:t>
      </w:r>
      <w:proofErr w:type="spellEnd"/>
      <w:r w:rsidRPr="00365E05">
        <w:t xml:space="preserve">, O., &amp; </w:t>
      </w:r>
      <w:proofErr w:type="spellStart"/>
      <w:r w:rsidRPr="00365E05">
        <w:t>Onajobi</w:t>
      </w:r>
      <w:proofErr w:type="spellEnd"/>
      <w:r w:rsidRPr="00365E05">
        <w:t xml:space="preserve">, F. (2003). Coagulant and anticoagulant activities in Jatropha </w:t>
      </w:r>
      <w:proofErr w:type="spellStart"/>
      <w:r w:rsidRPr="00365E05">
        <w:t>curcas</w:t>
      </w:r>
      <w:proofErr w:type="spellEnd"/>
      <w:r w:rsidRPr="00365E05">
        <w:t xml:space="preserve"> latex. Journal of Ethnopharmacology, 89(1), 101–105. https://doi.org/10.1016/S0378-8741(03)00264-6</w:t>
      </w:r>
    </w:p>
    <w:p w14:paraId="34956F2B" w14:textId="77777777" w:rsidR="00365E05" w:rsidRPr="00365E05" w:rsidRDefault="00365E05" w:rsidP="002719B2">
      <w:pPr>
        <w:ind w:left="720" w:hanging="720"/>
        <w:jc w:val="both"/>
      </w:pPr>
      <w:proofErr w:type="spellStart"/>
      <w:r w:rsidRPr="00365E05">
        <w:t>Pammenter</w:t>
      </w:r>
      <w:proofErr w:type="spellEnd"/>
      <w:r w:rsidRPr="00365E05">
        <w:t xml:space="preserve">, N. W., &amp; </w:t>
      </w:r>
      <w:proofErr w:type="spellStart"/>
      <w:r w:rsidRPr="00365E05">
        <w:t>Berjak</w:t>
      </w:r>
      <w:proofErr w:type="spellEnd"/>
      <w:r w:rsidRPr="00365E05">
        <w:t>, P. (1999). A review of recalcitrant seed physiology in relation to desiccation-tolerance mechanisms. Seed Science Research, 9(1), 13–37. https://doi.org/10.1017/S0960258599000130</w:t>
      </w:r>
    </w:p>
    <w:p w14:paraId="63D68402" w14:textId="77777777" w:rsidR="00365E05" w:rsidRPr="00365E05" w:rsidRDefault="00365E05" w:rsidP="002719B2">
      <w:pPr>
        <w:ind w:left="720" w:hanging="720"/>
        <w:jc w:val="both"/>
      </w:pPr>
      <w:r w:rsidRPr="00365E05">
        <w:t>Pence, V. C. (2011). Evaluating costs for the in vitro propagation and preservation of endangered plants. In Vitro Cellular &amp; Developmental Biology – Plant, 47(1), 176–187. https://doi.org/10.1007/s11627-010-9323-6</w:t>
      </w:r>
    </w:p>
    <w:p w14:paraId="37933431" w14:textId="77777777" w:rsidR="00365E05" w:rsidRPr="00365E05" w:rsidRDefault="00365E05" w:rsidP="002719B2">
      <w:pPr>
        <w:ind w:left="720" w:hanging="720"/>
        <w:jc w:val="both"/>
      </w:pPr>
      <w:r w:rsidRPr="00365E05">
        <w:t xml:space="preserve">Plants of the World Online (POWO). (2023). Zanthoxylum </w:t>
      </w:r>
      <w:proofErr w:type="spellStart"/>
      <w:r w:rsidRPr="00365E05">
        <w:t>zanthoxyloides</w:t>
      </w:r>
      <w:proofErr w:type="spellEnd"/>
      <w:r w:rsidRPr="00365E05">
        <w:t xml:space="preserve"> (Lam.) </w:t>
      </w:r>
      <w:proofErr w:type="spellStart"/>
      <w:r w:rsidRPr="00365E05">
        <w:t>Zepern</w:t>
      </w:r>
      <w:proofErr w:type="spellEnd"/>
      <w:r w:rsidRPr="00365E05">
        <w:t xml:space="preserve">. &amp; </w:t>
      </w:r>
      <w:proofErr w:type="spellStart"/>
      <w:r w:rsidRPr="00365E05">
        <w:t>Timler</w:t>
      </w:r>
      <w:proofErr w:type="spellEnd"/>
      <w:r w:rsidRPr="00365E05">
        <w:t>. Royal Botanic Gardens, Kew. https://powo.science.kew.org/</w:t>
      </w:r>
    </w:p>
    <w:p w14:paraId="2546121F" w14:textId="77777777" w:rsidR="00365E05" w:rsidRPr="00365E05" w:rsidRDefault="00365E05" w:rsidP="002719B2">
      <w:pPr>
        <w:ind w:left="720" w:hanging="720"/>
        <w:jc w:val="both"/>
      </w:pPr>
      <w:proofErr w:type="spellStart"/>
      <w:r w:rsidRPr="00365E05">
        <w:t>Poku</w:t>
      </w:r>
      <w:proofErr w:type="spellEnd"/>
      <w:r w:rsidRPr="00365E05">
        <w:t>, K. (2002). Small-scale palm oil processing in Africa (FAO Agricultural Services Bulletin 148). Food and Agriculture Organization.</w:t>
      </w:r>
    </w:p>
    <w:p w14:paraId="0C31EC55" w14:textId="77777777" w:rsidR="00365E05" w:rsidRPr="00365E05" w:rsidRDefault="00365E05" w:rsidP="002719B2">
      <w:pPr>
        <w:ind w:left="720" w:hanging="720"/>
        <w:jc w:val="both"/>
      </w:pPr>
      <w:proofErr w:type="spellStart"/>
      <w:r w:rsidRPr="00365E05">
        <w:t>Preece</w:t>
      </w:r>
      <w:proofErr w:type="spellEnd"/>
      <w:r w:rsidRPr="00365E05">
        <w:t xml:space="preserve">, J. E. (2003). A century of progress with vegetative plant propagation. </w:t>
      </w:r>
      <w:proofErr w:type="spellStart"/>
      <w:r w:rsidRPr="00365E05">
        <w:t>HortScience</w:t>
      </w:r>
      <w:proofErr w:type="spellEnd"/>
      <w:r w:rsidRPr="00365E05">
        <w:t>, 38(5), 1015–1025. https://doi.org/10.21273/HORTSCI.38.5.1015</w:t>
      </w:r>
    </w:p>
    <w:p w14:paraId="72442DC7" w14:textId="77777777" w:rsidR="00365E05" w:rsidRPr="00365E05" w:rsidRDefault="00365E05" w:rsidP="002719B2">
      <w:pPr>
        <w:ind w:left="720" w:hanging="720"/>
        <w:jc w:val="both"/>
      </w:pPr>
      <w:proofErr w:type="spellStart"/>
      <w:r w:rsidRPr="00365E05">
        <w:t>Quebedeaux</w:t>
      </w:r>
      <w:proofErr w:type="spellEnd"/>
      <w:r w:rsidRPr="00365E05">
        <w:t>, B., &amp; Chollet, R. (Eds.). (2010). Plant biology: The interface of plant biotechnology and the environment. American Society of Plant Biologists.</w:t>
      </w:r>
    </w:p>
    <w:p w14:paraId="3C9D0E46" w14:textId="77777777" w:rsidR="00365E05" w:rsidRPr="00365E05" w:rsidRDefault="00365E05" w:rsidP="002719B2">
      <w:pPr>
        <w:ind w:left="720" w:hanging="720"/>
        <w:jc w:val="both"/>
      </w:pPr>
      <w:proofErr w:type="spellStart"/>
      <w:r w:rsidRPr="00365E05">
        <w:t>Quoirin</w:t>
      </w:r>
      <w:proofErr w:type="spellEnd"/>
      <w:r w:rsidRPr="00365E05">
        <w:t xml:space="preserve">, M., &amp; </w:t>
      </w:r>
      <w:proofErr w:type="spellStart"/>
      <w:r w:rsidRPr="00365E05">
        <w:t>Lepoivre</w:t>
      </w:r>
      <w:proofErr w:type="spellEnd"/>
      <w:r w:rsidRPr="00365E05">
        <w:t xml:space="preserve">, P. (1977). Etude de milieux </w:t>
      </w:r>
      <w:proofErr w:type="spellStart"/>
      <w:r w:rsidRPr="00365E05">
        <w:t>adaptes</w:t>
      </w:r>
      <w:proofErr w:type="spellEnd"/>
      <w:r w:rsidRPr="00365E05">
        <w:t xml:space="preserve"> aux cultures in vitro de Prunus. Acta </w:t>
      </w:r>
      <w:proofErr w:type="spellStart"/>
      <w:r w:rsidRPr="00365E05">
        <w:t>Horticulturae</w:t>
      </w:r>
      <w:proofErr w:type="spellEnd"/>
      <w:r w:rsidRPr="00365E05">
        <w:t>, 78, 437–442. https://doi.org/10.17660/ActaHortic.1977.78.54</w:t>
      </w:r>
    </w:p>
    <w:p w14:paraId="70396B51" w14:textId="77777777" w:rsidR="00365E05" w:rsidRPr="00365E05" w:rsidRDefault="00365E05" w:rsidP="002719B2">
      <w:pPr>
        <w:ind w:left="720" w:hanging="720"/>
        <w:jc w:val="both"/>
      </w:pPr>
      <w:r w:rsidRPr="00365E05">
        <w:t>Reed, B. M. (Ed.). (2008). Plant cryopreservation: A practical guide. Springer. https://doi.org/10.1007/978-0-387-72276-4</w:t>
      </w:r>
    </w:p>
    <w:p w14:paraId="65D70519" w14:textId="77777777" w:rsidR="00365E05" w:rsidRPr="00365E05" w:rsidRDefault="00365E05" w:rsidP="002719B2">
      <w:pPr>
        <w:ind w:left="720" w:hanging="720"/>
        <w:jc w:val="both"/>
      </w:pPr>
      <w:r w:rsidRPr="00365E05">
        <w:lastRenderedPageBreak/>
        <w:t>Roberts, E. H. (1973). Predicting the storage life of seeds. Seed Science and Technology, 1(3), 499–514.</w:t>
      </w:r>
    </w:p>
    <w:p w14:paraId="04EB87E5" w14:textId="77777777" w:rsidR="00365E05" w:rsidRPr="00365E05" w:rsidRDefault="00365E05" w:rsidP="002719B2">
      <w:pPr>
        <w:ind w:left="720" w:hanging="720"/>
        <w:jc w:val="both"/>
      </w:pPr>
      <w:proofErr w:type="spellStart"/>
      <w:r w:rsidRPr="00365E05">
        <w:t>Sasson</w:t>
      </w:r>
      <w:proofErr w:type="spellEnd"/>
      <w:r w:rsidRPr="00365E05">
        <w:t>, A. (1993). Biotechnologies in developing countries: Present and future. UNESCO Publishing.</w:t>
      </w:r>
    </w:p>
    <w:p w14:paraId="5AC920AD" w14:textId="77777777" w:rsidR="00365E05" w:rsidRPr="00365E05" w:rsidRDefault="00365E05" w:rsidP="002719B2">
      <w:pPr>
        <w:ind w:left="720" w:hanging="720"/>
        <w:jc w:val="both"/>
      </w:pPr>
      <w:proofErr w:type="spellStart"/>
      <w:r w:rsidRPr="00365E05">
        <w:t>Shatnawi</w:t>
      </w:r>
      <w:proofErr w:type="spellEnd"/>
      <w:r w:rsidRPr="00365E05">
        <w:t xml:space="preserve">, M., Johnson, E., </w:t>
      </w:r>
      <w:proofErr w:type="spellStart"/>
      <w:r w:rsidRPr="00365E05">
        <w:t>Torpy</w:t>
      </w:r>
      <w:proofErr w:type="spellEnd"/>
      <w:r w:rsidRPr="00365E05">
        <w:t xml:space="preserve">, F., &amp; Hutton, D. (2004). In vitro propagation and </w:t>
      </w:r>
      <w:proofErr w:type="spellStart"/>
      <w:r w:rsidRPr="00365E05">
        <w:t>cryostorage</w:t>
      </w:r>
      <w:proofErr w:type="spellEnd"/>
      <w:r w:rsidRPr="00365E05">
        <w:t xml:space="preserve"> of </w:t>
      </w:r>
      <w:proofErr w:type="spellStart"/>
      <w:r w:rsidRPr="00365E05">
        <w:t>Syzygium</w:t>
      </w:r>
      <w:proofErr w:type="spellEnd"/>
      <w:r w:rsidRPr="00365E05">
        <w:t xml:space="preserve"> </w:t>
      </w:r>
      <w:proofErr w:type="spellStart"/>
      <w:r w:rsidRPr="00365E05">
        <w:t>luehmannii</w:t>
      </w:r>
      <w:proofErr w:type="spellEnd"/>
      <w:r w:rsidRPr="00365E05">
        <w:t xml:space="preserve"> and other </w:t>
      </w:r>
      <w:proofErr w:type="spellStart"/>
      <w:r w:rsidRPr="00365E05">
        <w:t>Myrtaceae</w:t>
      </w:r>
      <w:proofErr w:type="spellEnd"/>
      <w:r w:rsidRPr="00365E05">
        <w:t xml:space="preserve"> by vitrification. Plant Cell, Tissue and Organ Culture, 77(3), 277–284. https://doi.org/10.1023/B:TICU.0000020960.07248.48</w:t>
      </w:r>
    </w:p>
    <w:p w14:paraId="70F7676F" w14:textId="77777777" w:rsidR="00365E05" w:rsidRPr="00365E05" w:rsidRDefault="00365E05" w:rsidP="002719B2">
      <w:pPr>
        <w:ind w:left="720" w:hanging="720"/>
        <w:jc w:val="both"/>
      </w:pPr>
      <w:r w:rsidRPr="00365E05">
        <w:t xml:space="preserve">Siddique, I., &amp; Anis, M. (2009). An improved plant regeneration system and ex vitro acclimatization of </w:t>
      </w:r>
      <w:proofErr w:type="spellStart"/>
      <w:r w:rsidRPr="00365E05">
        <w:t>Ocimum</w:t>
      </w:r>
      <w:proofErr w:type="spellEnd"/>
      <w:r w:rsidRPr="00365E05">
        <w:t xml:space="preserve"> </w:t>
      </w:r>
      <w:proofErr w:type="spellStart"/>
      <w:r w:rsidRPr="00365E05">
        <w:t>basilicum</w:t>
      </w:r>
      <w:proofErr w:type="spellEnd"/>
      <w:r w:rsidRPr="00365E05">
        <w:t xml:space="preserve"> L. Acta </w:t>
      </w:r>
      <w:proofErr w:type="spellStart"/>
      <w:r w:rsidRPr="00365E05">
        <w:t>Physiologiae</w:t>
      </w:r>
      <w:proofErr w:type="spellEnd"/>
      <w:r w:rsidRPr="00365E05">
        <w:t xml:space="preserve"> Plantarum, 31(4), 861–869. https://doi.org/10.1007/s11738-009-0299-y</w:t>
      </w:r>
    </w:p>
    <w:p w14:paraId="5E47FE51" w14:textId="77777777" w:rsidR="00365E05" w:rsidRPr="00365E05" w:rsidRDefault="00365E05" w:rsidP="002719B2">
      <w:pPr>
        <w:ind w:left="720" w:hanging="720"/>
        <w:jc w:val="both"/>
      </w:pPr>
      <w:r w:rsidRPr="00365E05">
        <w:t>Skoog, F., &amp; Miller, C. O. (1957). Chemical regulation of growth and organ formation in plant tissues cultured in vitro. Symposia of the Society for Experimental Biology, 11, 118–131.</w:t>
      </w:r>
    </w:p>
    <w:p w14:paraId="0AF43FF9" w14:textId="77777777" w:rsidR="00365E05" w:rsidRPr="00365E05" w:rsidRDefault="00365E05" w:rsidP="002719B2">
      <w:pPr>
        <w:ind w:left="720" w:hanging="720"/>
        <w:jc w:val="both"/>
      </w:pPr>
      <w:proofErr w:type="spellStart"/>
      <w:r w:rsidRPr="00365E05">
        <w:t>Takhtajan</w:t>
      </w:r>
      <w:proofErr w:type="spellEnd"/>
      <w:r w:rsidRPr="00365E05">
        <w:t>, A. (2009). Flowering plants (2nd ed.). Springer.</w:t>
      </w:r>
    </w:p>
    <w:p w14:paraId="5746DF10" w14:textId="77777777" w:rsidR="00365E05" w:rsidRPr="00365E05" w:rsidRDefault="00365E05" w:rsidP="002719B2">
      <w:pPr>
        <w:ind w:left="720" w:hanging="720"/>
        <w:jc w:val="both"/>
      </w:pPr>
      <w:r w:rsidRPr="00365E05">
        <w:t>Thorpe, T. A. (2007). History of plant tissue culture. Molecular Biotechnology, 37(2), 169–180. https://doi.org/10.1007/s12033-007-0031-3</w:t>
      </w:r>
    </w:p>
    <w:p w14:paraId="54E85E13" w14:textId="77777777" w:rsidR="00365E05" w:rsidRPr="00365E05" w:rsidRDefault="00365E05" w:rsidP="002719B2">
      <w:pPr>
        <w:ind w:left="720" w:hanging="720"/>
        <w:jc w:val="both"/>
      </w:pPr>
      <w:proofErr w:type="spellStart"/>
      <w:r w:rsidRPr="00365E05">
        <w:t>Touchell</w:t>
      </w:r>
      <w:proofErr w:type="spellEnd"/>
      <w:r w:rsidRPr="00365E05">
        <w:t>, D. H., Chiang, V. L., &amp; Tsai, C.-J. (2020). In vitro regeneration and transformation of poplar (Populus). Frontiers in Plant Science, 11, 82. https://doi.org/10.3389/fpls.2020.00082</w:t>
      </w:r>
    </w:p>
    <w:p w14:paraId="716DE301" w14:textId="77777777" w:rsidR="00365E05" w:rsidRPr="00365E05" w:rsidRDefault="00365E05" w:rsidP="002719B2">
      <w:pPr>
        <w:ind w:left="720" w:hanging="720"/>
        <w:jc w:val="both"/>
      </w:pPr>
      <w:r w:rsidRPr="00365E05">
        <w:t xml:space="preserve">Usman, J. M., Olawale, F. A., &amp; </w:t>
      </w:r>
      <w:proofErr w:type="spellStart"/>
      <w:r w:rsidRPr="00365E05">
        <w:t>Soladoye</w:t>
      </w:r>
      <w:proofErr w:type="spellEnd"/>
      <w:r w:rsidRPr="00365E05">
        <w:t>, M. O. (2018). Sustainable utilization and conservation status of economically important plant species of the guinea-savanna transition zone of Nigeria. Journal of Ethnobiology and Ethnomedicine, 14(1), 46. https://doi.org/10.1186/s13002-018-0244-3</w:t>
      </w:r>
    </w:p>
    <w:p w14:paraId="1FAA90FB" w14:textId="77777777" w:rsidR="00365E05" w:rsidRPr="00365E05" w:rsidRDefault="00365E05" w:rsidP="002719B2">
      <w:pPr>
        <w:ind w:left="720" w:hanging="720"/>
        <w:jc w:val="both"/>
      </w:pPr>
      <w:r w:rsidRPr="00365E05">
        <w:t>Volk, G. M. (2010). Application of functional genomics and proteomics to plant cryopreservation. Current Genomics, 11(1), 24–29. https://doi.org/10.2174/138920210790217936</w:t>
      </w:r>
    </w:p>
    <w:p w14:paraId="6D88AB26" w14:textId="77777777" w:rsidR="00365E05" w:rsidRPr="00365E05" w:rsidRDefault="00365E05" w:rsidP="002719B2">
      <w:pPr>
        <w:ind w:left="720" w:hanging="720"/>
        <w:jc w:val="both"/>
      </w:pPr>
      <w:proofErr w:type="spellStart"/>
      <w:r w:rsidRPr="00365E05">
        <w:t>Vujanovic</w:t>
      </w:r>
      <w:proofErr w:type="spellEnd"/>
      <w:r w:rsidRPr="00365E05">
        <w:t xml:space="preserve">, V., Hamid, A., &amp; </w:t>
      </w:r>
      <w:proofErr w:type="spellStart"/>
      <w:r w:rsidRPr="00365E05">
        <w:t>Vujanovic</w:t>
      </w:r>
      <w:proofErr w:type="spellEnd"/>
      <w:r w:rsidRPr="00365E05">
        <w:t>, J. (2012). Multitrophic, multipartite relationships within a plant–endophyte–</w:t>
      </w:r>
      <w:proofErr w:type="spellStart"/>
      <w:r w:rsidRPr="00365E05">
        <w:t>symbiotroph</w:t>
      </w:r>
      <w:proofErr w:type="spellEnd"/>
      <w:r w:rsidRPr="00365E05">
        <w:t>–saprophyte framework in native perennial grasses. Plant and Soil, 359(1–2), 205–224. https://doi.org/10.1007/s11104-012-1196-7</w:t>
      </w:r>
    </w:p>
    <w:p w14:paraId="2F1AB2F6" w14:textId="77777777" w:rsidR="00365E05" w:rsidRPr="00365E05" w:rsidRDefault="00365E05" w:rsidP="002719B2">
      <w:pPr>
        <w:ind w:left="720" w:hanging="720"/>
        <w:jc w:val="both"/>
      </w:pPr>
      <w:r w:rsidRPr="00365E05">
        <w:t>Watt, M. P. (2012). The status of temporary immersion system (TIS) technology for plant micropropagation. African Journal of Biotechnology, 11(76), 14025–14035. https://doi.org/10.5897/AJB12.2480</w:t>
      </w:r>
    </w:p>
    <w:p w14:paraId="2E505F69" w14:textId="77777777" w:rsidR="00365E05" w:rsidRPr="00365E05" w:rsidRDefault="00365E05" w:rsidP="002719B2">
      <w:pPr>
        <w:ind w:left="720" w:hanging="720"/>
        <w:jc w:val="both"/>
      </w:pPr>
      <w:r w:rsidRPr="00365E05">
        <w:t xml:space="preserve">Wilkinson, T., </w:t>
      </w:r>
      <w:proofErr w:type="spellStart"/>
      <w:r w:rsidRPr="00365E05">
        <w:t>Wetten</w:t>
      </w:r>
      <w:proofErr w:type="spellEnd"/>
      <w:r w:rsidRPr="00365E05">
        <w:t xml:space="preserve">, A., </w:t>
      </w:r>
      <w:proofErr w:type="spellStart"/>
      <w:r w:rsidRPr="00365E05">
        <w:t>Prychid</w:t>
      </w:r>
      <w:proofErr w:type="spellEnd"/>
      <w:r w:rsidRPr="00365E05">
        <w:t xml:space="preserve">, C., &amp; Fay, M. F. (2003). Suitability of cryopreservation for the long-term storage of rare and endangered plant species: A case history for Cosmos </w:t>
      </w:r>
      <w:proofErr w:type="spellStart"/>
      <w:r w:rsidRPr="00365E05">
        <w:t>atrosanguineus</w:t>
      </w:r>
      <w:proofErr w:type="spellEnd"/>
      <w:r w:rsidRPr="00365E05">
        <w:t>. Annals of Botany, 91(5), 65–74. https://doi.org/10.1093/aob/mcf279</w:t>
      </w:r>
    </w:p>
    <w:p w14:paraId="5C690307" w14:textId="77777777" w:rsidR="00365E05" w:rsidRPr="00365E05" w:rsidRDefault="00365E05" w:rsidP="002719B2">
      <w:pPr>
        <w:ind w:left="720" w:hanging="720"/>
        <w:jc w:val="both"/>
      </w:pPr>
      <w:r w:rsidRPr="00365E05">
        <w:t>Withers, L. A., &amp; Engelmann, F. (1998). In vitro conservation of plant genetic resources. In A. Altman (Ed.), Agricultural biotechnology (pp. 57–88). Marcel Dekker.</w:t>
      </w:r>
    </w:p>
    <w:p w14:paraId="43A6131C" w14:textId="77777777" w:rsidR="00365E05" w:rsidRPr="00365E05" w:rsidRDefault="00365E05" w:rsidP="002719B2">
      <w:pPr>
        <w:ind w:left="720" w:hanging="720"/>
        <w:jc w:val="both"/>
      </w:pPr>
      <w:r w:rsidRPr="00365E05">
        <w:t xml:space="preserve">World Health Organization (WHO). (2019). WHO global report on traditional and complementary medicine 2019. WHO </w:t>
      </w:r>
      <w:proofErr w:type="gramStart"/>
      <w:r w:rsidRPr="00365E05">
        <w:t>Press.</w:t>
      </w:r>
      <w:proofErr w:type="gramEnd"/>
    </w:p>
    <w:p w14:paraId="553804C5" w14:textId="77777777" w:rsidR="00365E05" w:rsidRPr="00365E05" w:rsidRDefault="00365E05" w:rsidP="002719B2">
      <w:pPr>
        <w:ind w:left="720" w:hanging="720"/>
        <w:jc w:val="both"/>
      </w:pPr>
      <w:r w:rsidRPr="00365E05">
        <w:t xml:space="preserve">Yadav, R. K., Chattopadhyay, S., Bhattacharya, B., Tripathi, M. K., &amp; Bhatt, B. K. (2003). Somatic embryogenesis and plant regeneration in Zanthoxylum </w:t>
      </w:r>
      <w:proofErr w:type="spellStart"/>
      <w:r w:rsidRPr="00365E05">
        <w:t>alatum</w:t>
      </w:r>
      <w:proofErr w:type="spellEnd"/>
      <w:r w:rsidRPr="00365E05">
        <w:t xml:space="preserve"> (</w:t>
      </w:r>
      <w:proofErr w:type="spellStart"/>
      <w:r w:rsidRPr="00365E05">
        <w:t>Roxb</w:t>
      </w:r>
      <w:proofErr w:type="spellEnd"/>
      <w:r w:rsidRPr="00365E05">
        <w:t>.) using cotyledons as explant. Current Science, 84(9), 1240–1244.</w:t>
      </w:r>
    </w:p>
    <w:p w14:paraId="611BCD1C" w14:textId="77777777" w:rsidR="00365E05" w:rsidRPr="00365E05" w:rsidRDefault="00365E05" w:rsidP="002719B2">
      <w:pPr>
        <w:ind w:left="720" w:hanging="720"/>
        <w:jc w:val="both"/>
      </w:pPr>
      <w:r w:rsidRPr="00365E05">
        <w:t>Yam, T. W., &amp; Arditti, J. (2009). History of orchid propagation: A mirror of the history of biotechnology. Plant Biotechnology Reports, 3(1), 1–56. https://doi.org/10.1007/s11816-008-0066-3</w:t>
      </w:r>
    </w:p>
    <w:p w14:paraId="02989952" w14:textId="297F6FAD" w:rsidR="00365E05" w:rsidRPr="00365E05" w:rsidRDefault="00365E05" w:rsidP="002719B2">
      <w:pPr>
        <w:ind w:left="720" w:hanging="720"/>
        <w:jc w:val="both"/>
      </w:pPr>
    </w:p>
    <w:p w14:paraId="333E92B7" w14:textId="77777777" w:rsidR="00365E05" w:rsidRPr="00365E05" w:rsidRDefault="00365E05" w:rsidP="002719B2">
      <w:pPr>
        <w:jc w:val="both"/>
      </w:pPr>
    </w:p>
    <w:p w14:paraId="028F4B9B" w14:textId="77777777" w:rsidR="00365E05" w:rsidRPr="00365E05" w:rsidRDefault="00365E05" w:rsidP="002719B2">
      <w:pPr>
        <w:jc w:val="both"/>
      </w:pPr>
    </w:p>
    <w:p w14:paraId="21A8C92F" w14:textId="01639695" w:rsidR="00126CEB" w:rsidRPr="00365E05" w:rsidRDefault="00126CEB" w:rsidP="002719B2">
      <w:pPr>
        <w:jc w:val="both"/>
      </w:pPr>
    </w:p>
    <w:sectPr w:rsidR="00126CEB" w:rsidRPr="00365E05" w:rsidSect="00BF653C">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4D26F" w14:textId="77777777" w:rsidR="00CD38F3" w:rsidRDefault="00CD38F3">
      <w:r>
        <w:separator/>
      </w:r>
    </w:p>
  </w:endnote>
  <w:endnote w:type="continuationSeparator" w:id="0">
    <w:p w14:paraId="788D6D62" w14:textId="77777777" w:rsidR="00CD38F3" w:rsidRDefault="00CD3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ist Fallbac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26EF" w14:textId="20B06C0F" w:rsidR="00126CEB" w:rsidRDefault="00126CE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5D55F" w14:textId="77777777" w:rsidR="00CD38F3" w:rsidRDefault="00CD38F3">
      <w:r>
        <w:separator/>
      </w:r>
    </w:p>
  </w:footnote>
  <w:footnote w:type="continuationSeparator" w:id="0">
    <w:p w14:paraId="4619DB67" w14:textId="77777777" w:rsidR="00CD38F3" w:rsidRDefault="00CD3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87B50"/>
    <w:multiLevelType w:val="hybridMultilevel"/>
    <w:tmpl w:val="DB74B3E2"/>
    <w:lvl w:ilvl="0" w:tplc="96C8F6D2">
      <w:start w:val="1"/>
      <w:numFmt w:val="bullet"/>
      <w:lvlText w:val="●"/>
      <w:lvlJc w:val="left"/>
      <w:pPr>
        <w:ind w:left="720" w:hanging="360"/>
      </w:pPr>
    </w:lvl>
    <w:lvl w:ilvl="1" w:tplc="64D48D78">
      <w:start w:val="1"/>
      <w:numFmt w:val="bullet"/>
      <w:lvlText w:val="○"/>
      <w:lvlJc w:val="left"/>
      <w:pPr>
        <w:ind w:left="1440" w:hanging="360"/>
      </w:pPr>
    </w:lvl>
    <w:lvl w:ilvl="2" w:tplc="9FE496D0">
      <w:start w:val="1"/>
      <w:numFmt w:val="bullet"/>
      <w:lvlText w:val="■"/>
      <w:lvlJc w:val="left"/>
      <w:pPr>
        <w:ind w:left="2160" w:hanging="360"/>
      </w:pPr>
    </w:lvl>
    <w:lvl w:ilvl="3" w:tplc="0DCCBFA6">
      <w:start w:val="1"/>
      <w:numFmt w:val="bullet"/>
      <w:lvlText w:val="●"/>
      <w:lvlJc w:val="left"/>
      <w:pPr>
        <w:ind w:left="2880" w:hanging="360"/>
      </w:pPr>
    </w:lvl>
    <w:lvl w:ilvl="4" w:tplc="B926584E">
      <w:start w:val="1"/>
      <w:numFmt w:val="bullet"/>
      <w:lvlText w:val="○"/>
      <w:lvlJc w:val="left"/>
      <w:pPr>
        <w:ind w:left="3600" w:hanging="360"/>
      </w:pPr>
    </w:lvl>
    <w:lvl w:ilvl="5" w:tplc="3EC6C456">
      <w:start w:val="1"/>
      <w:numFmt w:val="bullet"/>
      <w:lvlText w:val="■"/>
      <w:lvlJc w:val="left"/>
      <w:pPr>
        <w:ind w:left="4320" w:hanging="360"/>
      </w:pPr>
    </w:lvl>
    <w:lvl w:ilvl="6" w:tplc="B9C06D6A">
      <w:start w:val="1"/>
      <w:numFmt w:val="bullet"/>
      <w:lvlText w:val="●"/>
      <w:lvlJc w:val="left"/>
      <w:pPr>
        <w:ind w:left="5040" w:hanging="360"/>
      </w:pPr>
    </w:lvl>
    <w:lvl w:ilvl="7" w:tplc="0EC6262A">
      <w:start w:val="1"/>
      <w:numFmt w:val="bullet"/>
      <w:lvlText w:val="●"/>
      <w:lvlJc w:val="left"/>
      <w:pPr>
        <w:ind w:left="5760" w:hanging="360"/>
      </w:pPr>
    </w:lvl>
    <w:lvl w:ilvl="8" w:tplc="858259F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CEB"/>
    <w:rsid w:val="000419CF"/>
    <w:rsid w:val="000C2F8E"/>
    <w:rsid w:val="00126CEB"/>
    <w:rsid w:val="002719B2"/>
    <w:rsid w:val="002845FE"/>
    <w:rsid w:val="00314156"/>
    <w:rsid w:val="00365E05"/>
    <w:rsid w:val="00566E55"/>
    <w:rsid w:val="005726B7"/>
    <w:rsid w:val="006C3780"/>
    <w:rsid w:val="00781675"/>
    <w:rsid w:val="007A5437"/>
    <w:rsid w:val="007E092C"/>
    <w:rsid w:val="00817DA8"/>
    <w:rsid w:val="008B0A9E"/>
    <w:rsid w:val="00971878"/>
    <w:rsid w:val="00A822F3"/>
    <w:rsid w:val="00B305C0"/>
    <w:rsid w:val="00BF653C"/>
    <w:rsid w:val="00C763D9"/>
    <w:rsid w:val="00CD38F3"/>
    <w:rsid w:val="00E0029F"/>
    <w:rsid w:val="00E00D52"/>
    <w:rsid w:val="00E60880"/>
    <w:rsid w:val="00E851FD"/>
    <w:rsid w:val="00FE461E"/>
    <w:rsid w:val="00FF5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6A395"/>
  <w15:docId w15:val="{523E7C5F-B32A-4B54-AF6D-745BB7FB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aps/>
      <w:sz w:val="28"/>
      <w:szCs w:val="28"/>
    </w:rPr>
  </w:style>
  <w:style w:type="paragraph" w:styleId="Heading2">
    <w:name w:val="heading 2"/>
    <w:uiPriority w:val="9"/>
    <w:unhideWhenUsed/>
    <w:qFormat/>
    <w:pPr>
      <w:spacing w:before="280" w:after="140"/>
      <w:outlineLvl w:val="1"/>
    </w:pPr>
    <w:rPr>
      <w:b/>
      <w:bCs/>
      <w:sz w:val="26"/>
      <w:szCs w:val="26"/>
    </w:rPr>
  </w:style>
  <w:style w:type="paragraph" w:styleId="Heading3">
    <w:name w:val="heading 3"/>
    <w:uiPriority w:val="9"/>
    <w:semiHidden/>
    <w:unhideWhenUsed/>
    <w:qFormat/>
    <w:pPr>
      <w:spacing w:before="200" w:after="100"/>
      <w:outlineLvl w:val="2"/>
    </w:pPr>
    <w:rPr>
      <w:b/>
      <w:bCs/>
      <w:i/>
      <w:i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65E05"/>
    <w:pPr>
      <w:tabs>
        <w:tab w:val="center" w:pos="4680"/>
        <w:tab w:val="right" w:pos="9360"/>
      </w:tabs>
    </w:pPr>
  </w:style>
  <w:style w:type="character" w:customStyle="1" w:styleId="HeaderChar">
    <w:name w:val="Header Char"/>
    <w:basedOn w:val="DefaultParagraphFont"/>
    <w:link w:val="Header"/>
    <w:uiPriority w:val="99"/>
    <w:rsid w:val="00365E05"/>
  </w:style>
  <w:style w:type="paragraph" w:styleId="Footer">
    <w:name w:val="footer"/>
    <w:basedOn w:val="Normal"/>
    <w:link w:val="FooterChar"/>
    <w:uiPriority w:val="99"/>
    <w:unhideWhenUsed/>
    <w:rsid w:val="00365E05"/>
    <w:pPr>
      <w:tabs>
        <w:tab w:val="center" w:pos="4680"/>
        <w:tab w:val="right" w:pos="9360"/>
      </w:tabs>
    </w:pPr>
  </w:style>
  <w:style w:type="character" w:customStyle="1" w:styleId="FooterChar">
    <w:name w:val="Footer Char"/>
    <w:basedOn w:val="DefaultParagraphFont"/>
    <w:link w:val="Footer"/>
    <w:uiPriority w:val="99"/>
    <w:rsid w:val="00365E05"/>
  </w:style>
  <w:style w:type="character" w:customStyle="1" w:styleId="cursor-pointer">
    <w:name w:val="cursor-pointer"/>
    <w:basedOn w:val="DefaultParagraphFont"/>
    <w:rsid w:val="00E60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8443</Words>
  <Characters>48129</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mustapha</cp:lastModifiedBy>
  <cp:revision>2</cp:revision>
  <dcterms:created xsi:type="dcterms:W3CDTF">2026-06-08T05:56:00Z</dcterms:created>
  <dcterms:modified xsi:type="dcterms:W3CDTF">2026-06-08T05:56:00Z</dcterms:modified>
</cp:coreProperties>
</file>