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738E" w:rsidRDefault="009B49E8">
      <w:pPr>
        <w:spacing w:before="240" w:after="240"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Economic Sustainability in Agricultural Business: A Comparative Feasibility Analysis of Melon Varieties for Small-Scale Farmers</w:t>
      </w:r>
    </w:p>
    <w:p w:rsidR="0090738E" w:rsidRDefault="009B49E8">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r>
    </w:p>
    <w:p w:rsidR="0090738E" w:rsidRDefault="009B49E8">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xml:space="preserve"/>
      </w:r>
    </w:p>
    <w:p w:rsidR="0090738E" w:rsidRDefault="009B49E8">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w:r>
    </w:p>
    <w:p w:rsidR="0090738E" w:rsidRDefault="009B49E8">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
      </w: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p>
    <w:p w:rsidR="0090738E" w:rsidRDefault="009B49E8">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w:r>
    </w:p>
    <w:p w:rsidR="0090738E" w:rsidRDefault="009B49E8">
      <w:pPr>
        <w:pStyle w:val="Heading1"/>
        <w:spacing w:before="240" w:after="240" w:line="240" w:lineRule="auto"/>
        <w:jc w:val="left"/>
        <w:rPr>
          <w:smallCaps/>
          <w:sz w:val="28"/>
          <w:szCs w:val="28"/>
        </w:rPr>
      </w:pPr>
      <w:r>
        <w:rPr>
          <w:smallCaps/>
          <w:sz w:val="28"/>
          <w:szCs w:val="28"/>
        </w:rPr>
        <w:t>Abstract</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sustai</w:t>
      </w:r>
      <w:r>
        <w:rPr>
          <w:rFonts w:ascii="Times New Roman" w:eastAsia="Times New Roman" w:hAnsi="Times New Roman" w:cs="Times New Roman"/>
          <w:sz w:val="24"/>
          <w:szCs w:val="24"/>
        </w:rPr>
        <w:t>nability is an essential factor for long-term agricultural business refers to the condition of farmers face increasing pressure to maintain profitability while underlining the challenges of production and market volatility. The case happened on premium mel</w:t>
      </w:r>
      <w:r>
        <w:rPr>
          <w:rFonts w:ascii="Times New Roman" w:eastAsia="Times New Roman" w:hAnsi="Times New Roman" w:cs="Times New Roman"/>
          <w:sz w:val="24"/>
          <w:szCs w:val="24"/>
        </w:rPr>
        <w:t xml:space="preserve">on cultivation, where variety selection becomes a strategic management decision, as each variety has different characteristics in production durability, fruit quality, and consumer preference, </w:t>
      </w:r>
      <w:r w:rsidR="00412041">
        <w:rPr>
          <w:rFonts w:ascii="Times New Roman" w:eastAsia="Times New Roman" w:hAnsi="Times New Roman" w:cs="Times New Roman"/>
          <w:sz w:val="24"/>
          <w:szCs w:val="24"/>
        </w:rPr>
        <w:t>those indicators</w:t>
      </w:r>
      <w:r>
        <w:rPr>
          <w:rFonts w:ascii="Times New Roman" w:eastAsia="Times New Roman" w:hAnsi="Times New Roman" w:cs="Times New Roman"/>
          <w:sz w:val="24"/>
          <w:szCs w:val="24"/>
        </w:rPr>
        <w:t xml:space="preserve"> directly influence the financial performance of</w:t>
      </w:r>
      <w:r>
        <w:rPr>
          <w:rFonts w:ascii="Times New Roman" w:eastAsia="Times New Roman" w:hAnsi="Times New Roman" w:cs="Times New Roman"/>
          <w:sz w:val="24"/>
          <w:szCs w:val="24"/>
        </w:rPr>
        <w:t xml:space="preserve"> the farm business. A comparative economics is available to support decision-making in selecting melon varieties to enhance long-term business sustainability. This study evaluates the economic feasibility of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a variety cultivated by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w:t>
      </w:r>
      <w:proofErr w:type="spellStart"/>
      <w:r>
        <w:rPr>
          <w:rFonts w:ascii="Times New Roman" w:eastAsia="Times New Roman" w:hAnsi="Times New Roman" w:cs="Times New Roman"/>
          <w:sz w:val="24"/>
          <w:szCs w:val="24"/>
        </w:rPr>
        <w:t>Sukajaya</w:t>
      </w:r>
      <w:proofErr w:type="spellEnd"/>
      <w:r>
        <w:rPr>
          <w:rFonts w:ascii="Times New Roman" w:eastAsia="Times New Roman" w:hAnsi="Times New Roman" w:cs="Times New Roman"/>
          <w:sz w:val="24"/>
          <w:szCs w:val="24"/>
        </w:rPr>
        <w:t>, Bekasi. The case used financial indicators include Gross Profit Margin (GPM), Benefit-Cost Ratio (BCR), Break-Even Point (BEP), and Payback Period, also support statement from a qualitative descriptive analyst from the team membe</w:t>
      </w:r>
      <w:r>
        <w:rPr>
          <w:rFonts w:ascii="Times New Roman" w:eastAsia="Times New Roman" w:hAnsi="Times New Roman" w:cs="Times New Roman"/>
          <w:sz w:val="24"/>
          <w:szCs w:val="24"/>
        </w:rPr>
        <w:t xml:space="preserve">r of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The result of the case reveals that the Sweet Net provides a stronger economic performance than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with a gross profit margin of 39%, a Benefit-Cost Ratio of 1.6, and a quick payback period of approximately three years, indicat</w:t>
      </w:r>
      <w:r>
        <w:rPr>
          <w:rFonts w:ascii="Times New Roman" w:eastAsia="Times New Roman" w:hAnsi="Times New Roman" w:cs="Times New Roman"/>
          <w:sz w:val="24"/>
          <w:szCs w:val="24"/>
        </w:rPr>
        <w:t xml:space="preserve">e strong economic influence compared to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with </w:t>
      </w:r>
      <w:proofErr w:type="spellStart"/>
      <w:r>
        <w:rPr>
          <w:rFonts w:ascii="Times New Roman" w:eastAsia="Times New Roman" w:hAnsi="Times New Roman" w:cs="Times New Roman"/>
          <w:sz w:val="24"/>
          <w:szCs w:val="24"/>
        </w:rPr>
        <w:t>agross</w:t>
      </w:r>
      <w:proofErr w:type="spellEnd"/>
      <w:r>
        <w:rPr>
          <w:rFonts w:ascii="Times New Roman" w:eastAsia="Times New Roman" w:hAnsi="Times New Roman" w:cs="Times New Roman"/>
          <w:sz w:val="24"/>
          <w:szCs w:val="24"/>
        </w:rPr>
        <w:t xml:space="preserve"> profit margin of 14%, a Benefit-Cost Ratio of 1.2, and a longer payback period exceeding five years. The operation and marketing team state that Sweet Net is more vulnerable to fruit cracking, as</w:t>
      </w:r>
      <w:r>
        <w:rPr>
          <w:rFonts w:ascii="Times New Roman" w:eastAsia="Times New Roman" w:hAnsi="Times New Roman" w:cs="Times New Roman"/>
          <w:sz w:val="24"/>
          <w:szCs w:val="24"/>
        </w:rPr>
        <w:t xml:space="preserve"> mentioned, it needs high maintenance support. Its sweeter taste, crisp texture, and consumers’ willingness to pay a higher price were largely attributed to the improved profitability, as stated in the statement. The sweetness and fruit character of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F1 seem to be less attractive to market value, resulting in a shorter investment return, although this variety provided significantly lower production costs and better fruit durability. The findings show the potential for variety in creating profit for far</w:t>
      </w:r>
      <w:r>
        <w:rPr>
          <w:rFonts w:ascii="Times New Roman" w:eastAsia="Times New Roman" w:hAnsi="Times New Roman" w:cs="Times New Roman"/>
          <w:sz w:val="24"/>
          <w:szCs w:val="24"/>
        </w:rPr>
        <w:t xml:space="preserve">mers by looking at how plant resistance, fruit traits, and customer preferences influence economic outcomes in the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In order to optimize variety selection for strategic socio-economic decisions, melon farmers and stakeholders may gain insig</w:t>
      </w:r>
      <w:r>
        <w:rPr>
          <w:rFonts w:ascii="Times New Roman" w:eastAsia="Times New Roman" w:hAnsi="Times New Roman" w:cs="Times New Roman"/>
          <w:sz w:val="24"/>
          <w:szCs w:val="24"/>
        </w:rPr>
        <w:t xml:space="preserve">hts from this approach. This study </w:t>
      </w:r>
      <w:proofErr w:type="gramStart"/>
      <w:r>
        <w:rPr>
          <w:rFonts w:ascii="Times New Roman" w:eastAsia="Times New Roman" w:hAnsi="Times New Roman" w:cs="Times New Roman"/>
          <w:sz w:val="24"/>
          <w:szCs w:val="24"/>
        </w:rPr>
        <w:t>provide</w:t>
      </w:r>
      <w:proofErr w:type="gramEnd"/>
      <w:r>
        <w:rPr>
          <w:rFonts w:ascii="Times New Roman" w:eastAsia="Times New Roman" w:hAnsi="Times New Roman" w:cs="Times New Roman"/>
          <w:sz w:val="24"/>
          <w:szCs w:val="24"/>
        </w:rPr>
        <w:t xml:space="preserve"> both short-term financial liquidity and long-term community resilience, this study improves the community business model.</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Agricultural, Business Sustainability, Small-Scale Farmers, Seed Varieties</w:t>
      </w:r>
    </w:p>
    <w:p w:rsidR="0090738E" w:rsidRDefault="009B49E8">
      <w:pPr>
        <w:pStyle w:val="Heading1"/>
        <w:spacing w:before="240" w:after="240" w:line="240" w:lineRule="auto"/>
        <w:jc w:val="left"/>
        <w:rPr>
          <w:smallCaps/>
          <w:sz w:val="28"/>
          <w:szCs w:val="28"/>
        </w:rPr>
      </w:pPr>
      <w:bookmarkStart w:id="0" w:name="_uvi96ktabxqj" w:colFirst="0" w:colLast="0"/>
      <w:bookmarkEnd w:id="0"/>
      <w:r>
        <w:rPr>
          <w:smallCaps/>
          <w:sz w:val="28"/>
          <w:szCs w:val="28"/>
        </w:rPr>
        <w:t>Introd</w:t>
      </w:r>
      <w:r>
        <w:rPr>
          <w:smallCaps/>
          <w:sz w:val="28"/>
          <w:szCs w:val="28"/>
        </w:rPr>
        <w:t>uction</w:t>
      </w:r>
    </w:p>
    <w:p w:rsidR="0090738E" w:rsidRDefault="009B49E8">
      <w:pPr>
        <w:spacing w:before="240" w:after="240" w:line="240" w:lineRule="auto"/>
        <w:jc w:val="both"/>
        <w:rPr>
          <w:rFonts w:ascii="Times New Roman" w:eastAsia="Times New Roman" w:hAnsi="Times New Roman" w:cs="Times New Roman"/>
          <w:sz w:val="24"/>
          <w:szCs w:val="24"/>
        </w:rPr>
      </w:pPr>
      <w:bookmarkStart w:id="1" w:name="_knjkfl2c590w" w:colFirst="0" w:colLast="0"/>
      <w:bookmarkEnd w:id="1"/>
      <w:r>
        <w:rPr>
          <w:rFonts w:ascii="Times New Roman" w:eastAsia="Times New Roman" w:hAnsi="Times New Roman" w:cs="Times New Roman"/>
          <w:sz w:val="24"/>
          <w:szCs w:val="24"/>
        </w:rPr>
        <w:t xml:space="preserve">Indonesia is known as an agrarian country, which reflects the agriculture sector as a dominant engine for the national economy. The contribution of the agriculture sector in boosting the economy results in significant benefits in </w:t>
      </w:r>
      <w:r w:rsidR="002F39E4">
        <w:rPr>
          <w:rFonts w:ascii="Times New Roman" w:eastAsia="Times New Roman" w:hAnsi="Times New Roman" w:cs="Times New Roman"/>
          <w:sz w:val="24"/>
          <w:szCs w:val="24"/>
        </w:rPr>
        <w:t xml:space="preserve">Gross </w:t>
      </w:r>
      <w:r w:rsidR="002F39E4">
        <w:rPr>
          <w:rFonts w:ascii="Times New Roman" w:eastAsia="Times New Roman" w:hAnsi="Times New Roman" w:cs="Times New Roman"/>
          <w:sz w:val="24"/>
          <w:szCs w:val="24"/>
        </w:rPr>
        <w:lastRenderedPageBreak/>
        <w:t>Domestic Product</w:t>
      </w:r>
      <w:r>
        <w:rPr>
          <w:rFonts w:ascii="Times New Roman" w:eastAsia="Times New Roman" w:hAnsi="Times New Roman" w:cs="Times New Roman"/>
          <w:sz w:val="24"/>
          <w:szCs w:val="24"/>
        </w:rPr>
        <w:t>, as mentioned by BPS in 2024, the agricultural sector contributes 12.61 percent to the national economy. Besides the massive economic contribution, the agriculture sector has contributed in job creation, which significantly contributes to decrea</w:t>
      </w:r>
      <w:r>
        <w:rPr>
          <w:rFonts w:ascii="Times New Roman" w:eastAsia="Times New Roman" w:hAnsi="Times New Roman" w:cs="Times New Roman"/>
          <w:sz w:val="24"/>
          <w:szCs w:val="24"/>
        </w:rPr>
        <w:t xml:space="preserve">sing the unemployment rate, as mentioned by </w:t>
      </w:r>
      <w:r w:rsidR="00217343" w:rsidRPr="00217343">
        <w:rPr>
          <w:rFonts w:ascii="Times New Roman" w:eastAsia="Times New Roman" w:hAnsi="Times New Roman" w:cs="Times New Roman"/>
          <w:sz w:val="24"/>
          <w:szCs w:val="24"/>
        </w:rPr>
        <w:t>Secretariat General of the Ministry of Agriculture</w:t>
      </w:r>
      <w:r w:rsidR="00217343">
        <w:rPr>
          <w:rFonts w:ascii="Times New Roman" w:eastAsia="Times New Roman" w:hAnsi="Times New Roman" w:cs="Times New Roman"/>
          <w:sz w:val="24"/>
          <w:szCs w:val="24"/>
        </w:rPr>
        <w:t xml:space="preserve"> of Indonesia</w:t>
      </w:r>
      <w:r>
        <w:rPr>
          <w:rFonts w:ascii="Times New Roman" w:eastAsia="Times New Roman" w:hAnsi="Times New Roman" w:cs="Times New Roman"/>
          <w:sz w:val="24"/>
          <w:szCs w:val="24"/>
        </w:rPr>
        <w:t>, the agriculture sector contributes to 28,64 percent of the Indonesian workforce, commenting on its role as the lifebl</w:t>
      </w:r>
      <w:r>
        <w:rPr>
          <w:rFonts w:ascii="Times New Roman" w:eastAsia="Times New Roman" w:hAnsi="Times New Roman" w:cs="Times New Roman"/>
          <w:sz w:val="24"/>
          <w:szCs w:val="24"/>
        </w:rPr>
        <w:t>ood of Indonesian industry (Secretariat General of the Ministry of Agriculture, 2024). The massive contribution to the sector, particularly supported by horticulture crop production, which enriches the livelihoods of rural citizens through job creation and</w:t>
      </w:r>
      <w:r>
        <w:rPr>
          <w:rFonts w:ascii="Times New Roman" w:eastAsia="Times New Roman" w:hAnsi="Times New Roman" w:cs="Times New Roman"/>
          <w:sz w:val="24"/>
          <w:szCs w:val="24"/>
        </w:rPr>
        <w:t xml:space="preserve"> income diversification (</w:t>
      </w:r>
      <w:proofErr w:type="spellStart"/>
      <w:r>
        <w:rPr>
          <w:rFonts w:ascii="Times New Roman" w:eastAsia="Times New Roman" w:hAnsi="Times New Roman" w:cs="Times New Roman"/>
          <w:sz w:val="24"/>
          <w:szCs w:val="24"/>
        </w:rPr>
        <w:t>Kamaludin</w:t>
      </w:r>
      <w:proofErr w:type="spellEnd"/>
      <w:r>
        <w:rPr>
          <w:rFonts w:ascii="Times New Roman" w:eastAsia="Times New Roman" w:hAnsi="Times New Roman" w:cs="Times New Roman"/>
          <w:sz w:val="24"/>
          <w:szCs w:val="24"/>
        </w:rPr>
        <w:t xml:space="preserve"> et.al., 2024). For instance, the study of Hartono et al. (2023) mentioned that melon remains a promising product to cultivate based on the growing trend of melon consumption. </w:t>
      </w:r>
      <w:proofErr w:type="spellStart"/>
      <w:r>
        <w:rPr>
          <w:rFonts w:ascii="Times New Roman" w:eastAsia="Times New Roman" w:hAnsi="Times New Roman" w:cs="Times New Roman"/>
          <w:sz w:val="24"/>
          <w:szCs w:val="24"/>
        </w:rPr>
        <w:t>Cahyani</w:t>
      </w:r>
      <w:proofErr w:type="spellEnd"/>
      <w:r>
        <w:rPr>
          <w:rFonts w:ascii="Times New Roman" w:eastAsia="Times New Roman" w:hAnsi="Times New Roman" w:cs="Times New Roman"/>
          <w:sz w:val="24"/>
          <w:szCs w:val="24"/>
        </w:rPr>
        <w:t xml:space="preserve"> et al. (2024) mentioned the national t</w:t>
      </w:r>
      <w:r>
        <w:rPr>
          <w:rFonts w:ascii="Times New Roman" w:eastAsia="Times New Roman" w:hAnsi="Times New Roman" w:cs="Times New Roman"/>
          <w:sz w:val="24"/>
          <w:szCs w:val="24"/>
        </w:rPr>
        <w:t xml:space="preserve">rend of melon consumption is expected to increase each year regarding the increasing number of populations. </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this rising demand exposes what this study terms the Melon Paradox: despite strong and growing market potential, domestic melon production</w:t>
      </w:r>
      <w:r>
        <w:rPr>
          <w:rFonts w:ascii="Times New Roman" w:eastAsia="Times New Roman" w:hAnsi="Times New Roman" w:cs="Times New Roman"/>
          <w:sz w:val="24"/>
          <w:szCs w:val="24"/>
        </w:rPr>
        <w:t xml:space="preserve"> has been unable to keep pace, and the resulting supply gap has translated into limited income gains for the smallholder farmers who cultivate the crop. A statement from the Directorate General of Horticulture in 2022 that declares the melon production is </w:t>
      </w:r>
      <w:r>
        <w:rPr>
          <w:rFonts w:ascii="Times New Roman" w:eastAsia="Times New Roman" w:hAnsi="Times New Roman" w:cs="Times New Roman"/>
          <w:sz w:val="24"/>
          <w:szCs w:val="24"/>
        </w:rPr>
        <w:t xml:space="preserve">only able to meet 40% of national demand. And </w:t>
      </w:r>
      <w:bookmarkStart w:id="2" w:name="_GoBack"/>
      <w:bookmarkEnd w:id="2"/>
      <w:r w:rsidR="00217343">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to control the unbalanced supply in the market, the government inevitably imports melons, which causes a negative impact on the country's economic growth (Linda et al., 2019). As illustrated in Figure 1 belo</w:t>
      </w:r>
      <w:r>
        <w:rPr>
          <w:rFonts w:ascii="Times New Roman" w:eastAsia="Times New Roman" w:hAnsi="Times New Roman" w:cs="Times New Roman"/>
          <w:sz w:val="24"/>
          <w:szCs w:val="24"/>
        </w:rPr>
        <w:t xml:space="preserve">w, national melon production experienced a concerning multi-year decline from 2020 to 2023 before making a modest recovery in 2024; however, current output remains insufficient to bridge the substantial 60 percent national demand gap identified in 2022 by </w:t>
      </w:r>
      <w:r>
        <w:rPr>
          <w:rFonts w:ascii="Times New Roman" w:eastAsia="Times New Roman" w:hAnsi="Times New Roman" w:cs="Times New Roman"/>
          <w:sz w:val="24"/>
          <w:szCs w:val="24"/>
        </w:rPr>
        <w:t>directorate general horticulture.</w:t>
      </w:r>
    </w:p>
    <w:p w:rsidR="0090738E" w:rsidRDefault="009B49E8">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60504" cy="25947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360504" cy="2594750"/>
                    </a:xfrm>
                    <a:prstGeom prst="rect">
                      <a:avLst/>
                    </a:prstGeom>
                    <a:ln/>
                  </pic:spPr>
                </pic:pic>
              </a:graphicData>
            </a:graphic>
          </wp:inline>
        </w:drawing>
      </w:r>
    </w:p>
    <w:p w:rsidR="0090738E" w:rsidRDefault="009B49E8">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 xml:space="preserve">Figure 1. </w:t>
      </w:r>
      <w:proofErr w:type="spellStart"/>
      <w:r>
        <w:rPr>
          <w:rFonts w:ascii="Times New Roman" w:eastAsia="Times New Roman" w:hAnsi="Times New Roman" w:cs="Times New Roman"/>
        </w:rPr>
        <w:t>Tren</w:t>
      </w:r>
      <w:proofErr w:type="spellEnd"/>
      <w:r>
        <w:rPr>
          <w:rFonts w:ascii="Times New Roman" w:eastAsia="Times New Roman" w:hAnsi="Times New Roman" w:cs="Times New Roman"/>
        </w:rPr>
        <w:t xml:space="preserve"> melon production in Indonesia</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at the regional level, West Java in melon production capability, the region has been on track with the land expansion in the melon production area. Melon cultivation area expanded 48% from 78 hectares in 2021 to 114 hectares in 2024. Unfortunately,</w:t>
      </w:r>
      <w:r>
        <w:rPr>
          <w:rFonts w:ascii="Times New Roman" w:eastAsia="Times New Roman" w:hAnsi="Times New Roman" w:cs="Times New Roman"/>
          <w:sz w:val="24"/>
          <w:szCs w:val="24"/>
        </w:rPr>
        <w:t xml:space="preserve"> production volume declined from 1,291 tons to 1,253 tons, as resulted to productivity improvement from 13.2 tons/Ha to 14.0 tons/Ha in the same period. The fact that Bekasi Regency was the main place in this case study in 2024 contributed to the productio</w:t>
      </w:r>
      <w:r>
        <w:rPr>
          <w:rFonts w:ascii="Times New Roman" w:eastAsia="Times New Roman" w:hAnsi="Times New Roman" w:cs="Times New Roman"/>
          <w:sz w:val="24"/>
          <w:szCs w:val="24"/>
        </w:rPr>
        <w:t>n capacity with 3.011,71 quintals in 5.6 Ha Land production (</w:t>
      </w:r>
      <w:r w:rsidR="00412041" w:rsidRPr="00412041">
        <w:rPr>
          <w:rFonts w:ascii="Times New Roman" w:eastAsia="Times New Roman" w:hAnsi="Times New Roman" w:cs="Times New Roman"/>
          <w:sz w:val="24"/>
          <w:szCs w:val="24"/>
        </w:rPr>
        <w:t>West Java Province Statistics Agency</w:t>
      </w:r>
      <w:r>
        <w:rPr>
          <w:rFonts w:ascii="Times New Roman" w:eastAsia="Times New Roman" w:hAnsi="Times New Roman" w:cs="Times New Roman"/>
          <w:sz w:val="24"/>
          <w:szCs w:val="24"/>
        </w:rPr>
        <w:t>, 2020), consistent with Wang's (2022) observation that land expansion increases supply capacity. Yet land expansion alone does not resolve the paradox. T</w:t>
      </w:r>
      <w:r>
        <w:rPr>
          <w:rFonts w:ascii="Times New Roman" w:eastAsia="Times New Roman" w:hAnsi="Times New Roman" w:cs="Times New Roman"/>
          <w:sz w:val="24"/>
          <w:szCs w:val="24"/>
        </w:rPr>
        <w:t>he deeper issue is that productivity gains measured in tons per hectare do not automatically translate into farmer profitability or business sustainability. This distinction motivates the present study's shift in focus from how much is produced to which re</w:t>
      </w:r>
      <w:r>
        <w:rPr>
          <w:rFonts w:ascii="Times New Roman" w:eastAsia="Times New Roman" w:hAnsi="Times New Roman" w:cs="Times New Roman"/>
          <w:sz w:val="24"/>
          <w:szCs w:val="24"/>
        </w:rPr>
        <w:t>source generates sustainable economic return. The comparative study is one of the ways for agriculture in business to examine the ability of varieties in purpose maximizing the potential outcomes for business.</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Melon offers a comparative advantage among hor</w:t>
      </w:r>
      <w:r>
        <w:rPr>
          <w:rFonts w:ascii="Times New Roman" w:eastAsia="Times New Roman" w:hAnsi="Times New Roman" w:cs="Times New Roman"/>
          <w:sz w:val="24"/>
          <w:szCs w:val="24"/>
        </w:rPr>
        <w:t>ticultural crops: it can be cultivated throughout the year and reaches harvest within 55–77 days, with fruit sizes ranging from small (around 400 grams) to large (over 2.5 kg), and quality differentiated by taste, texture, aroma, plant durability, and ease</w:t>
      </w:r>
      <w:r>
        <w:rPr>
          <w:rFonts w:ascii="Times New Roman" w:eastAsia="Times New Roman" w:hAnsi="Times New Roman" w:cs="Times New Roman"/>
          <w:sz w:val="24"/>
          <w:szCs w:val="24"/>
        </w:rPr>
        <w:t xml:space="preserve"> of cultivation (</w:t>
      </w:r>
      <w:proofErr w:type="spellStart"/>
      <w:r>
        <w:rPr>
          <w:rFonts w:ascii="Times New Roman" w:eastAsia="Times New Roman" w:hAnsi="Times New Roman" w:cs="Times New Roman"/>
          <w:sz w:val="24"/>
          <w:szCs w:val="24"/>
        </w:rPr>
        <w:t>Rindyani</w:t>
      </w:r>
      <w:proofErr w:type="spellEnd"/>
      <w:r>
        <w:rPr>
          <w:rFonts w:ascii="Times New Roman" w:eastAsia="Times New Roman" w:hAnsi="Times New Roman" w:cs="Times New Roman"/>
          <w:sz w:val="24"/>
          <w:szCs w:val="24"/>
        </w:rPr>
        <w:t>, 2011). Among the varieties available in the Indonesian market, Sweet Net—introduced from Thailand—is known for its juicy texture, sweetness reaching 14–18°Brix, and early harvest cycle (</w:t>
      </w:r>
      <w:proofErr w:type="spellStart"/>
      <w:r>
        <w:rPr>
          <w:rFonts w:ascii="Times New Roman" w:eastAsia="Times New Roman" w:hAnsi="Times New Roman" w:cs="Times New Roman"/>
          <w:sz w:val="24"/>
          <w:szCs w:val="24"/>
        </w:rPr>
        <w:t>Erliana</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developed by Bint</w:t>
      </w:r>
      <w:r>
        <w:rPr>
          <w:rFonts w:ascii="Times New Roman" w:eastAsia="Times New Roman" w:hAnsi="Times New Roman" w:cs="Times New Roman"/>
          <w:sz w:val="24"/>
          <w:szCs w:val="24"/>
        </w:rPr>
        <w:t>ang Asia, offers firm orange flesh, sweetness up to 15°Brix, and strong disease resistance (</w:t>
      </w:r>
      <w:proofErr w:type="spellStart"/>
      <w:r>
        <w:rPr>
          <w:rFonts w:ascii="Times New Roman" w:eastAsia="Times New Roman" w:hAnsi="Times New Roman" w:cs="Times New Roman"/>
          <w:sz w:val="24"/>
          <w:szCs w:val="24"/>
        </w:rPr>
        <w:t>Bibit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Bunga</w:t>
      </w:r>
      <w:proofErr w:type="spellEnd"/>
      <w:r>
        <w:rPr>
          <w:rFonts w:ascii="Times New Roman" w:eastAsia="Times New Roman" w:hAnsi="Times New Roman" w:cs="Times New Roman"/>
          <w:sz w:val="24"/>
          <w:szCs w:val="24"/>
        </w:rPr>
        <w:t xml:space="preserve">, n.d.), although </w:t>
      </w:r>
      <w:proofErr w:type="spellStart"/>
      <w:r>
        <w:rPr>
          <w:rFonts w:ascii="Times New Roman" w:eastAsia="Times New Roman" w:hAnsi="Times New Roman" w:cs="Times New Roman"/>
          <w:sz w:val="24"/>
          <w:szCs w:val="24"/>
        </w:rPr>
        <w:t>Efrani</w:t>
      </w:r>
      <w:proofErr w:type="spellEnd"/>
      <w:r>
        <w:rPr>
          <w:rFonts w:ascii="Times New Roman" w:eastAsia="Times New Roman" w:hAnsi="Times New Roman" w:cs="Times New Roman"/>
          <w:sz w:val="24"/>
          <w:szCs w:val="24"/>
        </w:rPr>
        <w:t>, et al. (2024) measured a comparatively lower sweetness range of 7.88–10.61°Brix for the variety. Looking for the literature cha</w:t>
      </w:r>
      <w:r>
        <w:rPr>
          <w:rFonts w:ascii="Times New Roman" w:eastAsia="Times New Roman" w:hAnsi="Times New Roman" w:cs="Times New Roman"/>
          <w:sz w:val="24"/>
          <w:szCs w:val="24"/>
        </w:rPr>
        <w:t xml:space="preserve">racteristics matters because they shape consumer preference, and consumer preference shapes the value dimension of any variety treated as a resource. In the case of </w:t>
      </w:r>
      <w:proofErr w:type="spellStart"/>
      <w:r>
        <w:rPr>
          <w:rFonts w:ascii="Times New Roman" w:eastAsia="Times New Roman" w:hAnsi="Times New Roman" w:cs="Times New Roman"/>
          <w:sz w:val="24"/>
          <w:szCs w:val="24"/>
        </w:rPr>
        <w:t>Hidayat</w:t>
      </w:r>
      <w:proofErr w:type="spellEnd"/>
      <w:r>
        <w:rPr>
          <w:rFonts w:ascii="Times New Roman" w:eastAsia="Times New Roman" w:hAnsi="Times New Roman" w:cs="Times New Roman"/>
          <w:sz w:val="24"/>
          <w:szCs w:val="24"/>
        </w:rPr>
        <w:t xml:space="preserve"> (2024) found that consumers in Bogor prioritize sweet taste, larger size, and affor</w:t>
      </w:r>
      <w:r>
        <w:rPr>
          <w:rFonts w:ascii="Times New Roman" w:eastAsia="Times New Roman" w:hAnsi="Times New Roman" w:cs="Times New Roman"/>
          <w:sz w:val="24"/>
          <w:szCs w:val="24"/>
        </w:rPr>
        <w:t>dable price as the main purchase considerations, while Hartono e al. (2023) found that traditional retail in Yogyakarta is more likely to choose to buy smaller melons, whereas modern retail favors larger one’s evidence that “value” in the market segment is</w:t>
      </w:r>
      <w:r>
        <w:rPr>
          <w:rFonts w:ascii="Times New Roman" w:eastAsia="Times New Roman" w:hAnsi="Times New Roman" w:cs="Times New Roman"/>
          <w:sz w:val="24"/>
          <w:szCs w:val="24"/>
        </w:rPr>
        <w:t xml:space="preserve"> dependent rather than absolute. </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to variety-selection decisions in small-scale agriculture remains largely unexplored. Existing financial feasibility studies primarily evaluate profitability indicators. The study of </w:t>
      </w:r>
      <w:proofErr w:type="spellStart"/>
      <w:r>
        <w:rPr>
          <w:rFonts w:ascii="Times New Roman" w:eastAsia="Times New Roman" w:hAnsi="Times New Roman" w:cs="Times New Roman"/>
          <w:sz w:val="24"/>
          <w:szCs w:val="24"/>
        </w:rPr>
        <w:t>Padapi</w:t>
      </w:r>
      <w:proofErr w:type="spellEnd"/>
      <w:r>
        <w:rPr>
          <w:rFonts w:ascii="Times New Roman" w:eastAsia="Times New Roman" w:hAnsi="Times New Roman" w:cs="Times New Roman"/>
          <w:sz w:val="24"/>
          <w:szCs w:val="24"/>
        </w:rPr>
        <w:t xml:space="preserve"> et al. (2023) re</w:t>
      </w:r>
      <w:r>
        <w:rPr>
          <w:rFonts w:ascii="Times New Roman" w:eastAsia="Times New Roman" w:hAnsi="Times New Roman" w:cs="Times New Roman"/>
          <w:sz w:val="24"/>
          <w:szCs w:val="24"/>
        </w:rPr>
        <w:t xml:space="preserve">ported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F1melon can generate over Rp432,649,317 in annual net profit using BCR, BEP, and ROI in a community-based setting, while </w:t>
      </w:r>
      <w:proofErr w:type="spellStart"/>
      <w:r>
        <w:rPr>
          <w:rFonts w:ascii="Times New Roman" w:eastAsia="Times New Roman" w:hAnsi="Times New Roman" w:cs="Times New Roman"/>
          <w:sz w:val="24"/>
          <w:szCs w:val="24"/>
        </w:rPr>
        <w:t>Laras</w:t>
      </w:r>
      <w:proofErr w:type="spellEnd"/>
      <w:r>
        <w:rPr>
          <w:rFonts w:ascii="Times New Roman" w:eastAsia="Times New Roman" w:hAnsi="Times New Roman" w:cs="Times New Roman"/>
          <w:sz w:val="24"/>
          <w:szCs w:val="24"/>
        </w:rPr>
        <w:t xml:space="preserve"> (2025) found Sweet Net melon achieving an R/C Ratio of 6.79 in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Jombang</w:t>
      </w:r>
      <w:proofErr w:type="spellEnd"/>
      <w:r>
        <w:rPr>
          <w:rFonts w:ascii="Times New Roman" w:eastAsia="Times New Roman" w:hAnsi="Times New Roman" w:cs="Times New Roman"/>
          <w:sz w:val="24"/>
          <w:szCs w:val="24"/>
        </w:rPr>
        <w:t xml:space="preserve">. Meanwhile, </w:t>
      </w:r>
      <w:proofErr w:type="spellStart"/>
      <w:r>
        <w:rPr>
          <w:rFonts w:ascii="Times New Roman" w:eastAsia="Times New Roman" w:hAnsi="Times New Roman" w:cs="Times New Roman"/>
          <w:sz w:val="24"/>
          <w:szCs w:val="24"/>
        </w:rPr>
        <w:t>Padapi</w:t>
      </w:r>
      <w:proofErr w:type="spellEnd"/>
      <w:r>
        <w:rPr>
          <w:rFonts w:ascii="Times New Roman" w:eastAsia="Times New Roman" w:hAnsi="Times New Roman" w:cs="Times New Roman"/>
          <w:sz w:val="24"/>
          <w:szCs w:val="24"/>
        </w:rPr>
        <w:t xml:space="preserve"> et al. (2023) al</w:t>
      </w:r>
      <w:r>
        <w:rPr>
          <w:rFonts w:ascii="Times New Roman" w:eastAsia="Times New Roman" w:hAnsi="Times New Roman" w:cs="Times New Roman"/>
          <w:sz w:val="24"/>
          <w:szCs w:val="24"/>
        </w:rPr>
        <w:t xml:space="preserve">so reported a B/C Ratio of 9 for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indicating high and profitable rates of return. Yet those literatures rarely examine whether a seed variety functions as a strategic resource capable of generating sustainable competitive advantage within the oper</w:t>
      </w:r>
      <w:r>
        <w:rPr>
          <w:rFonts w:ascii="Times New Roman" w:eastAsia="Times New Roman" w:hAnsi="Times New Roman" w:cs="Times New Roman"/>
          <w:sz w:val="24"/>
          <w:szCs w:val="24"/>
        </w:rPr>
        <w:t>ational constraints of a smallholder farming system.</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Small-scale farmers typically lack financial decision-making tools that integrate profitability with long-term investment sustainability (</w:t>
      </w:r>
      <w:proofErr w:type="spellStart"/>
      <w:r>
        <w:rPr>
          <w:rFonts w:ascii="Times New Roman" w:eastAsia="Times New Roman" w:hAnsi="Times New Roman" w:cs="Times New Roman"/>
          <w:sz w:val="24"/>
          <w:szCs w:val="24"/>
        </w:rPr>
        <w:t>Raharjo</w:t>
      </w:r>
      <w:proofErr w:type="spellEnd"/>
      <w:r>
        <w:rPr>
          <w:rFonts w:ascii="Times New Roman" w:eastAsia="Times New Roman" w:hAnsi="Times New Roman" w:cs="Times New Roman"/>
          <w:sz w:val="24"/>
          <w:szCs w:val="24"/>
        </w:rPr>
        <w:t xml:space="preserve"> et al., 2023). They have limited means of determining whe</w:t>
      </w:r>
      <w:r>
        <w:rPr>
          <w:rFonts w:ascii="Times New Roman" w:eastAsia="Times New Roman" w:hAnsi="Times New Roman" w:cs="Times New Roman"/>
          <w:sz w:val="24"/>
          <w:szCs w:val="24"/>
        </w:rPr>
        <w:t>ther the payback period of a selected variety is compatible with the economic lifespan of costly cultivation infrastructure, such as greenhouses and hydroponic systems. According to these, farmers tend to choose varieties that appear profitable in the shor</w:t>
      </w:r>
      <w:r>
        <w:rPr>
          <w:rFonts w:ascii="Times New Roman" w:eastAsia="Times New Roman" w:hAnsi="Times New Roman" w:cs="Times New Roman"/>
          <w:sz w:val="24"/>
          <w:szCs w:val="24"/>
        </w:rPr>
        <w:t>t term, while ignoring an analysis of business sustainability in terms of the ability to recoup infrastructure investments before asset depreciation occurs, which has not yet been seriously evaluated. To illustrate this situation and develop a long-term bu</w:t>
      </w:r>
      <w:r>
        <w:rPr>
          <w:rFonts w:ascii="Times New Roman" w:eastAsia="Times New Roman" w:hAnsi="Times New Roman" w:cs="Times New Roman"/>
          <w:sz w:val="24"/>
          <w:szCs w:val="24"/>
        </w:rPr>
        <w:t xml:space="preserve">siness strategy, this study aims to conduct a direct assessment through a case study of the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which cultivates the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varieties within a premium melon cultivation system located in </w:t>
      </w:r>
      <w:proofErr w:type="spellStart"/>
      <w:r>
        <w:rPr>
          <w:rFonts w:ascii="Times New Roman" w:eastAsia="Times New Roman" w:hAnsi="Times New Roman" w:cs="Times New Roman"/>
          <w:sz w:val="24"/>
          <w:szCs w:val="24"/>
        </w:rPr>
        <w:t>Sukajaya</w:t>
      </w:r>
      <w:proofErr w:type="spellEnd"/>
      <w:r>
        <w:rPr>
          <w:rFonts w:ascii="Times New Roman" w:eastAsia="Times New Roman" w:hAnsi="Times New Roman" w:cs="Times New Roman"/>
          <w:sz w:val="24"/>
          <w:szCs w:val="24"/>
        </w:rPr>
        <w:t xml:space="preserve"> Village, </w:t>
      </w:r>
      <w:proofErr w:type="spellStart"/>
      <w:r>
        <w:rPr>
          <w:rFonts w:ascii="Times New Roman" w:eastAsia="Times New Roman" w:hAnsi="Times New Roman" w:cs="Times New Roman"/>
          <w:sz w:val="24"/>
          <w:szCs w:val="24"/>
        </w:rPr>
        <w:t>Cibitung</w:t>
      </w:r>
      <w:proofErr w:type="spellEnd"/>
      <w:r>
        <w:rPr>
          <w:rFonts w:ascii="Times New Roman" w:eastAsia="Times New Roman" w:hAnsi="Times New Roman" w:cs="Times New Roman"/>
          <w:sz w:val="24"/>
          <w:szCs w:val="24"/>
        </w:rPr>
        <w:t>, Bekasi, West</w:t>
      </w:r>
      <w:r>
        <w:rPr>
          <w:rFonts w:ascii="Times New Roman" w:eastAsia="Times New Roman" w:hAnsi="Times New Roman" w:cs="Times New Roman"/>
          <w:sz w:val="24"/>
          <w:szCs w:val="24"/>
        </w:rPr>
        <w:t xml:space="preserve"> Java.</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Elaborate on the situation of the study, which is the research problem stated as follows:</w:t>
      </w:r>
    </w:p>
    <w:p w:rsidR="0090738E" w:rsidRDefault="009B49E8">
      <w:pPr>
        <w:numPr>
          <w:ilvl w:val="0"/>
          <w:numId w:val="1"/>
        </w:num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the Gross Profit Margin (GPM), Benefit Cost Ratio (BCR), Break-Even Point (BEP), and Payback Period (PP) of the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melon cultivation</w:t>
      </w:r>
      <w:r>
        <w:rPr>
          <w:rFonts w:ascii="Times New Roman" w:eastAsia="Times New Roman" w:hAnsi="Times New Roman" w:cs="Times New Roman"/>
          <w:sz w:val="24"/>
          <w:szCs w:val="24"/>
        </w:rPr>
        <w:t xml:space="preserve"> system compare over one single harvest period in the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w:t>
      </w:r>
    </w:p>
    <w:p w:rsidR="0090738E" w:rsidRDefault="009B49E8">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type of variety between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covers the highest profitability, for the next planting cycle?</w:t>
      </w:r>
    </w:p>
    <w:p w:rsidR="0090738E" w:rsidRDefault="009B49E8">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the internal perceptions of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stakeholders (leadership, finance, and production) validate the financial performance and strategic positioning of the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varieties?</w:t>
      </w:r>
    </w:p>
    <w:p w:rsidR="0090738E" w:rsidRDefault="009B49E8">
      <w:pPr>
        <w:pStyle w:val="Heading1"/>
        <w:spacing w:before="240" w:after="240" w:line="240" w:lineRule="auto"/>
        <w:jc w:val="left"/>
        <w:rPr>
          <w:smallCaps/>
          <w:sz w:val="28"/>
          <w:szCs w:val="28"/>
        </w:rPr>
      </w:pPr>
      <w:r>
        <w:rPr>
          <w:smallCaps/>
          <w:sz w:val="28"/>
          <w:szCs w:val="28"/>
        </w:rPr>
        <w:t>Literature Review</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is an agricultural product o</w:t>
      </w:r>
      <w:r>
        <w:rPr>
          <w:rFonts w:ascii="Times New Roman" w:eastAsia="Times New Roman" w:hAnsi="Times New Roman" w:cs="Times New Roman"/>
          <w:sz w:val="24"/>
          <w:szCs w:val="24"/>
        </w:rPr>
        <w:t xml:space="preserve">f horticulture plants type fruticulture. The scientific name for melon is Cucumis </w:t>
      </w:r>
      <w:proofErr w:type="spellStart"/>
      <w:r>
        <w:rPr>
          <w:rFonts w:ascii="Times New Roman" w:eastAsia="Times New Roman" w:hAnsi="Times New Roman" w:cs="Times New Roman"/>
          <w:sz w:val="24"/>
          <w:szCs w:val="24"/>
        </w:rPr>
        <w:t>melo</w:t>
      </w:r>
      <w:proofErr w:type="spellEnd"/>
      <w:r>
        <w:rPr>
          <w:rFonts w:ascii="Times New Roman" w:eastAsia="Times New Roman" w:hAnsi="Times New Roman" w:cs="Times New Roman"/>
          <w:sz w:val="24"/>
          <w:szCs w:val="24"/>
        </w:rPr>
        <w:t xml:space="preserve"> L. Melon has a comparative advantage, which can be cultivated throughout the year and is a quick-lived plant around 55 - 77 days. The general size of melon categorized b</w:t>
      </w:r>
      <w:r>
        <w:rPr>
          <w:rFonts w:ascii="Times New Roman" w:eastAsia="Times New Roman" w:hAnsi="Times New Roman" w:cs="Times New Roman"/>
          <w:sz w:val="24"/>
          <w:szCs w:val="24"/>
        </w:rPr>
        <w:t>y the smallest weight of melon is about 400 grams, the medium-sized melons, the average reaches 1-2 Kg, a large melon will weigh more than 2.5 kg. Melon has a diverse type of variety that defines the quality fruit includes the taste, texture, and aroma, al</w:t>
      </w:r>
      <w:r>
        <w:rPr>
          <w:rFonts w:ascii="Times New Roman" w:eastAsia="Times New Roman" w:hAnsi="Times New Roman" w:cs="Times New Roman"/>
          <w:sz w:val="24"/>
          <w:szCs w:val="24"/>
        </w:rPr>
        <w:t>so defined by plant durability, and operation challenge (</w:t>
      </w:r>
      <w:proofErr w:type="spellStart"/>
      <w:r>
        <w:rPr>
          <w:rFonts w:ascii="Times New Roman" w:eastAsia="Times New Roman" w:hAnsi="Times New Roman" w:cs="Times New Roman"/>
          <w:sz w:val="24"/>
          <w:szCs w:val="24"/>
        </w:rPr>
        <w:t>Rindyani</w:t>
      </w:r>
      <w:proofErr w:type="spellEnd"/>
      <w:r>
        <w:rPr>
          <w:rFonts w:ascii="Times New Roman" w:eastAsia="Times New Roman" w:hAnsi="Times New Roman" w:cs="Times New Roman"/>
          <w:sz w:val="24"/>
          <w:szCs w:val="24"/>
        </w:rPr>
        <w:t xml:space="preserve">, 2011). </w:t>
      </w:r>
      <w:r>
        <w:rPr>
          <w:rFonts w:ascii="Times New Roman" w:eastAsia="Times New Roman" w:hAnsi="Times New Roman" w:cs="Times New Roman"/>
          <w:sz w:val="24"/>
          <w:szCs w:val="24"/>
          <w:highlight w:val="white"/>
        </w:rPr>
        <w:t>The melon variety that is popular among the market is Sweet Net, introduced from Thailand, is known for its juicy texture, sweetness reaching 14 – 18°Brix, and early harvest cycle (</w:t>
      </w:r>
      <w:proofErr w:type="spellStart"/>
      <w:r>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highlight w:val="white"/>
        </w:rPr>
        <w:t>rliana</w:t>
      </w:r>
      <w:proofErr w:type="spellEnd"/>
      <w:r>
        <w:rPr>
          <w:rFonts w:ascii="Times New Roman" w:eastAsia="Times New Roman" w:hAnsi="Times New Roman" w:cs="Times New Roman"/>
          <w:sz w:val="24"/>
          <w:szCs w:val="24"/>
          <w:highlight w:val="white"/>
        </w:rPr>
        <w:t xml:space="preserve">, 2024). And </w:t>
      </w:r>
      <w:proofErr w:type="spellStart"/>
      <w:r>
        <w:rPr>
          <w:rFonts w:ascii="Times New Roman" w:eastAsia="Times New Roman" w:hAnsi="Times New Roman" w:cs="Times New Roman"/>
          <w:sz w:val="24"/>
          <w:szCs w:val="24"/>
          <w:highlight w:val="white"/>
        </w:rPr>
        <w:t>Okasa</w:t>
      </w:r>
      <w:proofErr w:type="spellEnd"/>
      <w:r>
        <w:rPr>
          <w:rFonts w:ascii="Times New Roman" w:eastAsia="Times New Roman" w:hAnsi="Times New Roman" w:cs="Times New Roman"/>
          <w:sz w:val="24"/>
          <w:szCs w:val="24"/>
          <w:highlight w:val="white"/>
        </w:rPr>
        <w:t xml:space="preserve"> F1 developed by Bintang Asia, offers firm orange flesh, sweetness up to 15°Brix, and </w:t>
      </w:r>
      <w:r>
        <w:rPr>
          <w:rFonts w:ascii="Times New Roman" w:eastAsia="Times New Roman" w:hAnsi="Times New Roman" w:cs="Times New Roman"/>
          <w:sz w:val="24"/>
          <w:szCs w:val="24"/>
          <w:highlight w:val="white"/>
        </w:rPr>
        <w:lastRenderedPageBreak/>
        <w:t>strong resistance to disease (</w:t>
      </w:r>
      <w:proofErr w:type="spellStart"/>
      <w:r>
        <w:rPr>
          <w:rFonts w:ascii="Times New Roman" w:eastAsia="Times New Roman" w:hAnsi="Times New Roman" w:cs="Times New Roman"/>
          <w:sz w:val="24"/>
          <w:szCs w:val="24"/>
          <w:highlight w:val="white"/>
        </w:rPr>
        <w:t>Bibit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Bunga</w:t>
      </w:r>
      <w:proofErr w:type="spellEnd"/>
      <w:r>
        <w:rPr>
          <w:rFonts w:ascii="Times New Roman" w:eastAsia="Times New Roman" w:hAnsi="Times New Roman" w:cs="Times New Roman"/>
          <w:sz w:val="24"/>
          <w:szCs w:val="24"/>
          <w:highlight w:val="white"/>
        </w:rPr>
        <w:t xml:space="preserve">, n.d.), while the other study of by </w:t>
      </w:r>
      <w:proofErr w:type="spellStart"/>
      <w:r>
        <w:rPr>
          <w:rFonts w:ascii="Times New Roman" w:eastAsia="Times New Roman" w:hAnsi="Times New Roman" w:cs="Times New Roman"/>
          <w:sz w:val="24"/>
          <w:szCs w:val="24"/>
          <w:highlight w:val="white"/>
        </w:rPr>
        <w:t>Efrani</w:t>
      </w:r>
      <w:proofErr w:type="spellEnd"/>
      <w:r>
        <w:rPr>
          <w:rFonts w:ascii="Times New Roman" w:eastAsia="Times New Roman" w:hAnsi="Times New Roman" w:cs="Times New Roman"/>
          <w:sz w:val="24"/>
          <w:szCs w:val="24"/>
          <w:highlight w:val="white"/>
        </w:rPr>
        <w:t xml:space="preserve"> et al. (2024) showed the level sweetness in the range of mini</w:t>
      </w:r>
      <w:r>
        <w:rPr>
          <w:rFonts w:ascii="Times New Roman" w:eastAsia="Times New Roman" w:hAnsi="Times New Roman" w:cs="Times New Roman"/>
          <w:sz w:val="24"/>
          <w:szCs w:val="24"/>
          <w:highlight w:val="white"/>
        </w:rPr>
        <w:t xml:space="preserve">mum to maximum </w:t>
      </w:r>
      <w:proofErr w:type="spellStart"/>
      <w:r>
        <w:rPr>
          <w:rFonts w:ascii="Times New Roman" w:eastAsia="Times New Roman" w:hAnsi="Times New Roman" w:cs="Times New Roman"/>
          <w:sz w:val="24"/>
          <w:szCs w:val="24"/>
          <w:highlight w:val="white"/>
        </w:rPr>
        <w:t>Okasa</w:t>
      </w:r>
      <w:proofErr w:type="spellEnd"/>
      <w:r>
        <w:rPr>
          <w:rFonts w:ascii="Times New Roman" w:eastAsia="Times New Roman" w:hAnsi="Times New Roman" w:cs="Times New Roman"/>
          <w:sz w:val="24"/>
          <w:szCs w:val="24"/>
          <w:highlight w:val="white"/>
        </w:rPr>
        <w:t xml:space="preserve"> F1 is 7.88 - 10.61°brix.</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economic feasibility analysis it is essential to collect and analyze the business component includes; initial cost for infrastructure and cultivation system building, production cost with total sum of cost </w:t>
      </w:r>
      <w:r>
        <w:rPr>
          <w:rFonts w:ascii="Times New Roman" w:eastAsia="Times New Roman" w:hAnsi="Times New Roman" w:cs="Times New Roman"/>
          <w:sz w:val="24"/>
          <w:szCs w:val="24"/>
        </w:rPr>
        <w:t>during cultivation process, and revenue production that is derived from the price multiplied by output (</w:t>
      </w:r>
      <w:proofErr w:type="spellStart"/>
      <w:r>
        <w:rPr>
          <w:rFonts w:ascii="Times New Roman" w:eastAsia="Times New Roman" w:hAnsi="Times New Roman" w:cs="Times New Roman"/>
          <w:sz w:val="24"/>
          <w:szCs w:val="24"/>
        </w:rPr>
        <w:t>Soetriono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highlight w:val="white"/>
        </w:rPr>
        <w:t>Soedjono</w:t>
      </w:r>
      <w:proofErr w:type="spellEnd"/>
      <w:r>
        <w:rPr>
          <w:rFonts w:ascii="Times New Roman" w:eastAsia="Times New Roman" w:hAnsi="Times New Roman" w:cs="Times New Roman"/>
          <w:sz w:val="24"/>
          <w:szCs w:val="24"/>
        </w:rPr>
        <w:t>, 2020). These components form the basis in calculating economic indicators such as Gross Profit Margin (GPM), Benefit-Cost Ratio (B</w:t>
      </w:r>
      <w:r>
        <w:rPr>
          <w:rFonts w:ascii="Times New Roman" w:eastAsia="Times New Roman" w:hAnsi="Times New Roman" w:cs="Times New Roman"/>
          <w:sz w:val="24"/>
          <w:szCs w:val="24"/>
        </w:rPr>
        <w:t>CR), Break-Even Point (BEP), and Payback Period (PP), which collectively understand the potential agricultural business (</w:t>
      </w:r>
      <w:proofErr w:type="spellStart"/>
      <w:r>
        <w:rPr>
          <w:rFonts w:ascii="Times New Roman" w:eastAsia="Times New Roman" w:hAnsi="Times New Roman" w:cs="Times New Roman"/>
          <w:sz w:val="24"/>
          <w:szCs w:val="24"/>
        </w:rPr>
        <w:t>Rochaeni</w:t>
      </w:r>
      <w:proofErr w:type="spellEnd"/>
      <w:r>
        <w:rPr>
          <w:rFonts w:ascii="Times New Roman" w:eastAsia="Times New Roman" w:hAnsi="Times New Roman" w:cs="Times New Roman"/>
          <w:sz w:val="24"/>
          <w:szCs w:val="24"/>
        </w:rPr>
        <w:t xml:space="preserve"> et al., 2022). </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previous studies extensively assess the financial income comparison of melon Action and melon Apo</w:t>
      </w:r>
      <w:r>
        <w:rPr>
          <w:rFonts w:ascii="Times New Roman" w:eastAsia="Times New Roman" w:hAnsi="Times New Roman" w:cs="Times New Roman"/>
          <w:sz w:val="24"/>
          <w:szCs w:val="24"/>
        </w:rPr>
        <w:t xml:space="preserve">llo using R/C Ratio. Other studies also examined the financial feasibility of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using BCR, BEP per Unit, ROI. However, a study focusing on economic comparison between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remains limited, despite their sweet taste and flush textur</w:t>
      </w:r>
      <w:r>
        <w:rPr>
          <w:rFonts w:ascii="Times New Roman" w:eastAsia="Times New Roman" w:hAnsi="Times New Roman" w:cs="Times New Roman"/>
          <w:sz w:val="24"/>
          <w:szCs w:val="24"/>
        </w:rPr>
        <w:t xml:space="preserve">e, which could explore the market preference of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customers to maximize the profitability. This research examines the economic comparison between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melon variety in the case of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w:t>
      </w:r>
    </w:p>
    <w:p w:rsidR="0090738E" w:rsidRDefault="009B49E8">
      <w:pPr>
        <w:pStyle w:val="Heading1"/>
        <w:spacing w:before="240" w:after="240" w:line="240" w:lineRule="auto"/>
        <w:jc w:val="left"/>
        <w:rPr>
          <w:smallCaps/>
          <w:sz w:val="28"/>
          <w:szCs w:val="28"/>
        </w:rPr>
      </w:pPr>
      <w:bookmarkStart w:id="3" w:name="_rua33sxib2wa" w:colFirst="0" w:colLast="0"/>
      <w:bookmarkEnd w:id="3"/>
      <w:r>
        <w:rPr>
          <w:smallCaps/>
          <w:sz w:val="28"/>
          <w:szCs w:val="28"/>
        </w:rPr>
        <w:t>Research Methodology</w:t>
      </w:r>
    </w:p>
    <w:p w:rsidR="0090738E" w:rsidRDefault="009B49E8">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w:t>
      </w:r>
      <w:r>
        <w:rPr>
          <w:rFonts w:ascii="Times New Roman" w:eastAsia="Times New Roman" w:hAnsi="Times New Roman" w:cs="Times New Roman"/>
          <w:b/>
          <w:bCs/>
          <w:sz w:val="24"/>
          <w:szCs w:val="24"/>
        </w:rPr>
        <w:t>ch Design</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study used a type of case study research with a single case study design. Single case study is a research design that has a directional focus on one case or one particular phenomenon (Gaya &amp; Smith, 2016). The single case study focus</w:t>
      </w:r>
      <w:r>
        <w:rPr>
          <w:rFonts w:ascii="Times New Roman" w:eastAsia="Times New Roman" w:hAnsi="Times New Roman" w:cs="Times New Roman"/>
          <w:sz w:val="24"/>
          <w:szCs w:val="24"/>
        </w:rPr>
        <w:t>es with a descriptive comparative (</w:t>
      </w:r>
      <w:r>
        <w:rPr>
          <w:rFonts w:ascii="Times New Roman" w:eastAsia="Times New Roman" w:hAnsi="Times New Roman" w:cs="Times New Roman"/>
          <w:sz w:val="24"/>
          <w:szCs w:val="24"/>
          <w:highlight w:val="white"/>
        </w:rPr>
        <w:t>Creswell &amp; Creswell,</w:t>
      </w:r>
      <w:r>
        <w:rPr>
          <w:rFonts w:ascii="Times New Roman" w:eastAsia="Times New Roman" w:hAnsi="Times New Roman" w:cs="Times New Roman"/>
          <w:sz w:val="24"/>
          <w:szCs w:val="24"/>
        </w:rPr>
        <w:t xml:space="preserve"> 2018), which aims to deeply analyze the economic viability and perceptions of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members regarding the cultivation of premium melon varieties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To gain a comprehensi</w:t>
      </w:r>
      <w:r>
        <w:rPr>
          <w:rFonts w:ascii="Times New Roman" w:eastAsia="Times New Roman" w:hAnsi="Times New Roman" w:cs="Times New Roman"/>
          <w:sz w:val="24"/>
          <w:szCs w:val="24"/>
        </w:rPr>
        <w:t>ve understanding of this study, a mixed-methods approach was employed, combining quantitative data for financial analysis with descriptive analysis to gain deeper insight into the achievements and to support the findings within the real-world context of th</w:t>
      </w:r>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with a view to converting the decisions into long-term strategies for business sustainability.</w:t>
      </w:r>
    </w:p>
    <w:p w:rsidR="0090738E" w:rsidRDefault="009B49E8">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Location and Time</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was conducted at the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Community’s agricultural facility in </w:t>
      </w:r>
      <w:proofErr w:type="spellStart"/>
      <w:r>
        <w:rPr>
          <w:rFonts w:ascii="Times New Roman" w:eastAsia="Times New Roman" w:hAnsi="Times New Roman" w:cs="Times New Roman"/>
          <w:sz w:val="24"/>
          <w:szCs w:val="24"/>
        </w:rPr>
        <w:t>Cibitung</w:t>
      </w:r>
      <w:proofErr w:type="spellEnd"/>
      <w:r>
        <w:rPr>
          <w:rFonts w:ascii="Times New Roman" w:eastAsia="Times New Roman" w:hAnsi="Times New Roman" w:cs="Times New Roman"/>
          <w:sz w:val="24"/>
          <w:szCs w:val="24"/>
        </w:rPr>
        <w:t>, Bekasi Regency, West Java, Ind</w:t>
      </w:r>
      <w:r>
        <w:rPr>
          <w:rFonts w:ascii="Times New Roman" w:eastAsia="Times New Roman" w:hAnsi="Times New Roman" w:cs="Times New Roman"/>
          <w:sz w:val="24"/>
          <w:szCs w:val="24"/>
        </w:rPr>
        <w:t>onesia, to support the objectivity of research on agricultural business development in the premium melon sector. The observations, which included process analysis, primary data collection, and financial monitoring, occurred between February and April 2025.</w:t>
      </w:r>
      <w:r>
        <w:rPr>
          <w:rFonts w:ascii="Times New Roman" w:eastAsia="Times New Roman" w:hAnsi="Times New Roman" w:cs="Times New Roman"/>
          <w:sz w:val="24"/>
          <w:szCs w:val="24"/>
        </w:rPr>
        <w:t xml:space="preserve"> Behind the chosen timeframe, which is to cover a complete operational cycle of melon cultivation, begins from pre-harvest preparation through the post-harvest sales period.</w:t>
      </w:r>
    </w:p>
    <w:p w:rsidR="0090738E" w:rsidRDefault="009B49E8">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Collection</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for measuring the integrity of the study and the protecti</w:t>
      </w:r>
      <w:r>
        <w:rPr>
          <w:rFonts w:ascii="Times New Roman" w:eastAsia="Times New Roman" w:hAnsi="Times New Roman" w:cs="Times New Roman"/>
          <w:sz w:val="24"/>
          <w:szCs w:val="24"/>
        </w:rPr>
        <w:t xml:space="preserve">on of the business entity, rigorous ethical protocols were applied for participant anonymity. The primary data of this case study was gathered by interviewing and onsite observation on the actual process of the melon cultivation system in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w:t>
      </w:r>
      <w:r>
        <w:rPr>
          <w:rFonts w:ascii="Times New Roman" w:eastAsia="Times New Roman" w:hAnsi="Times New Roman" w:cs="Times New Roman"/>
          <w:sz w:val="24"/>
          <w:szCs w:val="24"/>
        </w:rPr>
        <w:t xml:space="preserve">Following ethical consideration for community-based research, the writer obtains the permission from the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leader before conducting individual interviews. To follow objectivity and do a protection in professional standing, the names of the pa</w:t>
      </w:r>
      <w:r>
        <w:rPr>
          <w:rFonts w:ascii="Times New Roman" w:eastAsia="Times New Roman" w:hAnsi="Times New Roman" w:cs="Times New Roman"/>
          <w:sz w:val="24"/>
          <w:szCs w:val="24"/>
        </w:rPr>
        <w:t>rticipants were anonymized, identified only by their roles in organizational structure. The participants included:</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Community Leader: Provided information about the reason behind the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to be chosen for cultivation and the personal persp</w:t>
      </w:r>
      <w:r>
        <w:rPr>
          <w:rFonts w:ascii="Times New Roman" w:eastAsia="Times New Roman" w:hAnsi="Times New Roman" w:cs="Times New Roman"/>
          <w:sz w:val="24"/>
          <w:szCs w:val="24"/>
        </w:rPr>
        <w:t>ective of the variety that creates more profit.</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Treasurer Staff: Shared financial data on which variety generated more profit, including the number of price and quantity of products sold.</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 Staff: Explained which variety attracted more customers to</w:t>
      </w:r>
      <w:r>
        <w:rPr>
          <w:rFonts w:ascii="Times New Roman" w:eastAsia="Times New Roman" w:hAnsi="Times New Roman" w:cs="Times New Roman"/>
          <w:sz w:val="24"/>
          <w:szCs w:val="24"/>
        </w:rPr>
        <w:t xml:space="preserve"> buy during harvest season, including the sweetness, color flush and flush texture based on market preferences.</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Production Staff: Discussed which variety was easier to cultivate based on the durability of the plant and crop losses.</w:t>
      </w:r>
    </w:p>
    <w:p w:rsidR="0090738E" w:rsidRDefault="009B49E8">
      <w:pPr>
        <w:spacing w:before="240" w:after="24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The data collection focuses on three main areas: varieties distribution, business objectives and the profitability of each variety in the process of cultivation. The quantitative data was gathered by asking permission for accessing the internal financial r</w:t>
      </w:r>
      <w:r>
        <w:rPr>
          <w:rFonts w:ascii="Times New Roman" w:eastAsia="Times New Roman" w:hAnsi="Times New Roman" w:cs="Times New Roman"/>
          <w:sz w:val="24"/>
          <w:szCs w:val="24"/>
        </w:rPr>
        <w:t xml:space="preserve">eports including the detailed cost production structure, the types of fix and variable costs, and sales data detailed information based on the quantity of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varieties and the price range. </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data in this study were collected fr</w:t>
      </w:r>
      <w:r>
        <w:rPr>
          <w:rFonts w:ascii="Times New Roman" w:eastAsia="Times New Roman" w:hAnsi="Times New Roman" w:cs="Times New Roman"/>
          <w:sz w:val="24"/>
          <w:szCs w:val="24"/>
        </w:rPr>
        <w:t xml:space="preserve">om the National Statistics Agency (BPS) (2025) for interest projection and Directorate General of Economic and Fiscal Strategy (2024) as reference growth business rate. This secondary data is expected as support data for completeness in examining economic </w:t>
      </w:r>
      <w:r>
        <w:rPr>
          <w:rFonts w:ascii="Times New Roman" w:eastAsia="Times New Roman" w:hAnsi="Times New Roman" w:cs="Times New Roman"/>
          <w:sz w:val="24"/>
          <w:szCs w:val="24"/>
        </w:rPr>
        <w:t>analysis.</w:t>
      </w:r>
    </w:p>
    <w:p w:rsidR="0090738E" w:rsidRDefault="009B49E8">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Processing and Data Analysis Methods</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uses triangulation data validation, with the process collecting financial data reports, onsite observation, and conducting an interview session with key informants.</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case study of qua</w:t>
      </w:r>
      <w:r>
        <w:rPr>
          <w:rFonts w:ascii="Times New Roman" w:eastAsia="Times New Roman" w:hAnsi="Times New Roman" w:cs="Times New Roman"/>
          <w:sz w:val="24"/>
          <w:szCs w:val="24"/>
        </w:rPr>
        <w:t xml:space="preserve">ntitative analyst data there are aggregate costs between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and so the analyst will conduct with proportional cost allocation based on the distribution seed of each variety. The main indicators for this case study are used by Gross Pro</w:t>
      </w:r>
      <w:r>
        <w:rPr>
          <w:rFonts w:ascii="Times New Roman" w:eastAsia="Times New Roman" w:hAnsi="Times New Roman" w:cs="Times New Roman"/>
          <w:sz w:val="24"/>
          <w:szCs w:val="24"/>
        </w:rPr>
        <w:t xml:space="preserve">fit Margin (GPM), Benefit Cost Ratio (BCR), Break Even Point (BEP) and Payback Period (PP) as an indicator of economic analysis. The analyst will provide the result that will indicate the feasibility of the melon cultivation business in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e research uses descriptive analysis to give the contextuality in the current condition and situations of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It interprets the “why” behind the number of financial reports. This analysis would be able to support the data of quantitative data </w:t>
      </w:r>
      <w:r>
        <w:rPr>
          <w:rFonts w:ascii="Times New Roman" w:eastAsia="Times New Roman" w:hAnsi="Times New Roman" w:cs="Times New Roman"/>
          <w:sz w:val="24"/>
          <w:szCs w:val="24"/>
        </w:rPr>
        <w:t>for providing a holistic understanding of the challenges and opportunities of each variety based on the point of view of the respondent.</w:t>
      </w:r>
    </w:p>
    <w:p w:rsidR="0090738E" w:rsidRDefault="009B49E8">
      <w:pPr>
        <w:pStyle w:val="Heading1"/>
        <w:spacing w:before="240" w:after="240" w:line="240" w:lineRule="auto"/>
        <w:jc w:val="left"/>
        <w:rPr>
          <w:smallCaps/>
          <w:sz w:val="28"/>
          <w:szCs w:val="28"/>
        </w:rPr>
      </w:pPr>
      <w:bookmarkStart w:id="4" w:name="_pbo8tqkhmg55" w:colFirst="0" w:colLast="0"/>
      <w:bookmarkEnd w:id="4"/>
      <w:r>
        <w:rPr>
          <w:smallCaps/>
          <w:sz w:val="28"/>
          <w:szCs w:val="28"/>
        </w:rPr>
        <w:t>Research Result and Discussion</w:t>
      </w:r>
    </w:p>
    <w:p w:rsidR="0090738E" w:rsidRDefault="009B49E8">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Cultivation Profile and Infrastructure</w:t>
      </w:r>
    </w:p>
    <w:p w:rsidR="0090738E" w:rsidRDefault="009B49E8">
      <w:pPr>
        <w:spacing w:before="240" w:after="24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operates a 300 m² greenhouse in </w:t>
      </w:r>
      <w:proofErr w:type="spellStart"/>
      <w:r>
        <w:rPr>
          <w:rFonts w:ascii="Times New Roman" w:eastAsia="Times New Roman" w:hAnsi="Times New Roman" w:cs="Times New Roman"/>
          <w:sz w:val="24"/>
          <w:szCs w:val="24"/>
        </w:rPr>
        <w:t>Sukajaya</w:t>
      </w:r>
      <w:proofErr w:type="spellEnd"/>
      <w:r>
        <w:rPr>
          <w:rFonts w:ascii="Times New Roman" w:eastAsia="Times New Roman" w:hAnsi="Times New Roman" w:cs="Times New Roman"/>
          <w:sz w:val="24"/>
          <w:szCs w:val="24"/>
        </w:rPr>
        <w:t xml:space="preserve"> Village, Bekasi Regency, West Java. The infrastructure of the greenhouse is constructed using mild steel and UV plastic roofing, following Philippine Agricultural Engineering Standards. The land size</w:t>
      </w:r>
      <w:r>
        <w:rPr>
          <w:rFonts w:ascii="Times New Roman" w:eastAsia="Times New Roman" w:hAnsi="Times New Roman" w:cs="Times New Roman"/>
          <w:sz w:val="24"/>
          <w:szCs w:val="24"/>
        </w:rPr>
        <w:t xml:space="preserve"> is 30 x 10 meter with the maximum capacity for 1,000 melon plants and integrates hydroponic systems with </w:t>
      </w:r>
      <w:proofErr w:type="spellStart"/>
      <w:r>
        <w:rPr>
          <w:rFonts w:ascii="Times New Roman" w:eastAsia="Times New Roman" w:hAnsi="Times New Roman" w:cs="Times New Roman"/>
          <w:sz w:val="24"/>
          <w:szCs w:val="24"/>
        </w:rPr>
        <w:t>cocopean</w:t>
      </w:r>
      <w:proofErr w:type="spellEnd"/>
      <w:r>
        <w:rPr>
          <w:rFonts w:ascii="Times New Roman" w:eastAsia="Times New Roman" w:hAnsi="Times New Roman" w:cs="Times New Roman"/>
          <w:sz w:val="24"/>
          <w:szCs w:val="24"/>
        </w:rPr>
        <w:t xml:space="preserve"> media and drip irrigation for efficient nutrient delivery.</w:t>
      </w:r>
    </w:p>
    <w:p w:rsidR="0090738E" w:rsidRDefault="009B49E8">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Seed Distribution and Cultivation Strategy</w:t>
      </w:r>
    </w:p>
    <w:p w:rsidR="0090738E" w:rsidRDefault="009B49E8">
      <w:pPr>
        <w:spacing w:before="240" w:after="24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in their first cultivat</w:t>
      </w:r>
      <w:r>
        <w:rPr>
          <w:rFonts w:ascii="Times New Roman" w:eastAsia="Times New Roman" w:hAnsi="Times New Roman" w:cs="Times New Roman"/>
          <w:sz w:val="24"/>
          <w:szCs w:val="24"/>
        </w:rPr>
        <w:t xml:space="preserve">ion cycle, allocating 700 seeds to Sweet Net (80%)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(20%), with 560 and 140 seeds respectively. The seed distribution is calculated for examining the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variety in economic feasibility based on the amount data of input distr</w:t>
      </w:r>
      <w:r>
        <w:rPr>
          <w:rFonts w:ascii="Times New Roman" w:eastAsia="Times New Roman" w:hAnsi="Times New Roman" w:cs="Times New Roman"/>
          <w:sz w:val="24"/>
          <w:szCs w:val="24"/>
        </w:rPr>
        <w:t>ibution.</w:t>
      </w:r>
    </w:p>
    <w:p w:rsidR="0090738E" w:rsidRDefault="009B49E8">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Cost Structure</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melon cultivation cost structure in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separated by two, initial investment and cost for production.</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Initial Cost includes the greenhouse building, hydroponic NFT installation, drip irrigation system and setup e</w:t>
      </w:r>
      <w:r>
        <w:rPr>
          <w:rFonts w:ascii="Times New Roman" w:eastAsia="Times New Roman" w:hAnsi="Times New Roman" w:cs="Times New Roman"/>
          <w:sz w:val="24"/>
          <w:szCs w:val="24"/>
        </w:rPr>
        <w:t>lectricity with the total investment: Rp82,555,100.</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cost production is all variable cost depending on the production volume and time frequently. Between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production is being calculated by aggregate, it's separated based on the tot</w:t>
      </w:r>
      <w:r>
        <w:rPr>
          <w:rFonts w:ascii="Times New Roman" w:eastAsia="Times New Roman" w:hAnsi="Times New Roman" w:cs="Times New Roman"/>
          <w:sz w:val="24"/>
          <w:szCs w:val="24"/>
        </w:rPr>
        <w:t>al seed’s distribution. The total variable cost including the nutrients, pesticide and harvest needs is Rp7,871,000.</w:t>
      </w:r>
    </w:p>
    <w:p w:rsidR="0090738E" w:rsidRDefault="009B49E8">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Table 1. Cost of Production</w:t>
      </w:r>
    </w:p>
    <w:tbl>
      <w:tblPr>
        <w:tblStyle w:val="a"/>
        <w:tblpPr w:leftFromText="180" w:rightFromText="180" w:topFromText="180" w:bottomFromText="180" w:vertAnchor="text" w:tblpX="28"/>
        <w:tblW w:w="11025" w:type="dxa"/>
        <w:tblInd w:w="0" w:type="dxa"/>
        <w:tblLayout w:type="fixed"/>
        <w:tblLook w:val="0600" w:firstRow="0" w:lastRow="0" w:firstColumn="0" w:lastColumn="0" w:noHBand="1" w:noVBand="1"/>
      </w:tblPr>
      <w:tblGrid>
        <w:gridCol w:w="3735"/>
        <w:gridCol w:w="3675"/>
        <w:gridCol w:w="3615"/>
      </w:tblGrid>
      <w:tr w:rsidR="0090738E">
        <w:trPr>
          <w:trHeight w:val="101"/>
          <w:tblHeader/>
        </w:trPr>
        <w:tc>
          <w:tcPr>
            <w:tcW w:w="3735" w:type="dxa"/>
            <w:tcBorders>
              <w:top w:val="single" w:sz="4" w:space="0" w:color="000000"/>
              <w:bottom w:val="single" w:sz="4" w:space="0" w:color="000000"/>
            </w:tcBorders>
            <w:tcMar>
              <w:top w:w="40" w:type="dxa"/>
              <w:left w:w="40" w:type="dxa"/>
              <w:bottom w:w="40" w:type="dxa"/>
              <w:right w:w="40" w:type="dxa"/>
            </w:tcMar>
            <w:vAlign w:val="bottom"/>
          </w:tcPr>
          <w:p w:rsidR="0090738E" w:rsidRDefault="0090738E">
            <w:pPr>
              <w:spacing w:line="240" w:lineRule="auto"/>
              <w:jc w:val="both"/>
              <w:rPr>
                <w:rFonts w:ascii="Times New Roman" w:eastAsia="Times New Roman" w:hAnsi="Times New Roman" w:cs="Times New Roman"/>
                <w:sz w:val="20"/>
                <w:szCs w:val="20"/>
              </w:rPr>
            </w:pPr>
          </w:p>
        </w:tc>
        <w:tc>
          <w:tcPr>
            <w:tcW w:w="3675" w:type="dxa"/>
            <w:tcBorders>
              <w:top w:val="single" w:sz="4" w:space="0" w:color="000000"/>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Sweet Net</w:t>
            </w:r>
          </w:p>
        </w:tc>
        <w:tc>
          <w:tcPr>
            <w:tcW w:w="3615" w:type="dxa"/>
            <w:tcBorders>
              <w:top w:val="single" w:sz="4" w:space="0" w:color="000000"/>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4"/>
                <w:szCs w:val="24"/>
              </w:rPr>
              <w:t>Okasa</w:t>
            </w:r>
            <w:proofErr w:type="spellEnd"/>
            <w:r>
              <w:rPr>
                <w:rFonts w:ascii="Times New Roman" w:eastAsia="Times New Roman" w:hAnsi="Times New Roman" w:cs="Times New Roman"/>
                <w:b/>
                <w:bCs/>
                <w:sz w:val="24"/>
                <w:szCs w:val="24"/>
              </w:rPr>
              <w:t xml:space="preserve"> F1</w:t>
            </w:r>
          </w:p>
        </w:tc>
      </w:tr>
      <w:tr w:rsidR="0090738E">
        <w:trPr>
          <w:trHeight w:val="101"/>
          <w:tblHeader/>
        </w:trPr>
        <w:tc>
          <w:tcPr>
            <w:tcW w:w="3735" w:type="dxa"/>
            <w:tcBorders>
              <w:top w:val="single" w:sz="4" w:space="0" w:color="000000"/>
            </w:tcBorders>
            <w:tcMar>
              <w:top w:w="40" w:type="dxa"/>
              <w:left w:w="40" w:type="dxa"/>
              <w:bottom w:w="40" w:type="dxa"/>
              <w:right w:w="40" w:type="dxa"/>
            </w:tcMar>
            <w:vAlign w:val="bottom"/>
          </w:tcPr>
          <w:p w:rsidR="0090738E" w:rsidRDefault="0090738E">
            <w:pPr>
              <w:spacing w:line="240" w:lineRule="auto"/>
              <w:jc w:val="both"/>
              <w:rPr>
                <w:rFonts w:ascii="Times New Roman" w:eastAsia="Times New Roman" w:hAnsi="Times New Roman" w:cs="Times New Roman"/>
                <w:sz w:val="20"/>
                <w:szCs w:val="20"/>
              </w:rPr>
            </w:pPr>
          </w:p>
        </w:tc>
        <w:tc>
          <w:tcPr>
            <w:tcW w:w="3675" w:type="dxa"/>
            <w:tcBorders>
              <w:top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(560 seeds)</w:t>
            </w:r>
          </w:p>
        </w:tc>
        <w:tc>
          <w:tcPr>
            <w:tcW w:w="3615" w:type="dxa"/>
            <w:tcBorders>
              <w:top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(140 seeds)</w:t>
            </w:r>
          </w:p>
        </w:tc>
      </w:tr>
      <w:tr w:rsidR="0090738E">
        <w:trPr>
          <w:trHeight w:val="101"/>
          <w:tblHeader/>
        </w:trPr>
        <w:tc>
          <w:tcPr>
            <w:tcW w:w="3735"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Cost Production (Before)</w:t>
            </w:r>
          </w:p>
        </w:tc>
        <w:tc>
          <w:tcPr>
            <w:tcW w:w="3675"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Rp6,296,800</w:t>
            </w:r>
          </w:p>
        </w:tc>
        <w:tc>
          <w:tcPr>
            <w:tcW w:w="3615"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Rp1,574,200</w:t>
            </w:r>
          </w:p>
        </w:tc>
      </w:tr>
      <w:tr w:rsidR="0090738E">
        <w:trPr>
          <w:trHeight w:val="101"/>
          <w:tblHeader/>
        </w:trPr>
        <w:tc>
          <w:tcPr>
            <w:tcW w:w="3735"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Seeds Cost</w:t>
            </w:r>
          </w:p>
        </w:tc>
        <w:tc>
          <w:tcPr>
            <w:tcW w:w="3675"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Rp700,000</w:t>
            </w:r>
          </w:p>
        </w:tc>
        <w:tc>
          <w:tcPr>
            <w:tcW w:w="3615"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Rp417,200</w:t>
            </w:r>
          </w:p>
        </w:tc>
      </w:tr>
      <w:tr w:rsidR="0090738E">
        <w:trPr>
          <w:trHeight w:val="101"/>
        </w:trPr>
        <w:tc>
          <w:tcPr>
            <w:tcW w:w="3735" w:type="dxa"/>
            <w:tcBorders>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Total Cost Production (After)</w:t>
            </w:r>
          </w:p>
        </w:tc>
        <w:tc>
          <w:tcPr>
            <w:tcW w:w="3675" w:type="dxa"/>
            <w:tcBorders>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Rp6,996,800</w:t>
            </w:r>
          </w:p>
        </w:tc>
        <w:tc>
          <w:tcPr>
            <w:tcW w:w="3615" w:type="dxa"/>
            <w:tcBorders>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Rp1,991,400</w:t>
            </w:r>
          </w:p>
        </w:tc>
      </w:tr>
    </w:tbl>
    <w:p w:rsidR="0090738E" w:rsidRDefault="009B49E8">
      <w:pPr>
        <w:spacing w:before="240" w:after="240" w:line="240" w:lineRule="auto"/>
        <w:jc w:val="both"/>
        <w:rPr>
          <w:rFonts w:ascii="Times New Roman" w:eastAsia="Times New Roman" w:hAnsi="Times New Roman" w:cs="Times New Roman"/>
          <w:b/>
          <w:bCs/>
          <w:sz w:val="26"/>
          <w:szCs w:val="26"/>
        </w:rPr>
      </w:pPr>
      <w:bookmarkStart w:id="5" w:name="_ta8j8164unzx" w:colFirst="0" w:colLast="0"/>
      <w:bookmarkEnd w:id="5"/>
      <w:r>
        <w:rPr>
          <w:rFonts w:ascii="Times New Roman" w:eastAsia="Times New Roman" w:hAnsi="Times New Roman" w:cs="Times New Roman"/>
          <w:b/>
          <w:bCs/>
          <w:sz w:val="26"/>
          <w:szCs w:val="26"/>
        </w:rPr>
        <w:t>Revenue Analysis</w:t>
      </w:r>
    </w:p>
    <w:p w:rsidR="0090738E" w:rsidRDefault="009B49E8">
      <w:pPr>
        <w:spacing w:before="240" w:after="24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set a price strategy by the time period including Pre-Harvest with price Rp40,000 that is for the customer that comes early without any invitation and it was around one week before the day time harvest. In the Day Time Harvest the price tak</w:t>
      </w:r>
      <w:r>
        <w:rPr>
          <w:rFonts w:ascii="Times New Roman" w:eastAsia="Times New Roman" w:hAnsi="Times New Roman" w:cs="Times New Roman"/>
          <w:sz w:val="24"/>
          <w:szCs w:val="24"/>
        </w:rPr>
        <w:t xml:space="preserve">es Rp50,000, the customer would give a souvenir and free melon cultivation consultation as an added value product. The last is </w:t>
      </w:r>
      <w:proofErr w:type="spellStart"/>
      <w:r>
        <w:rPr>
          <w:rFonts w:ascii="Times New Roman" w:eastAsia="Times New Roman" w:hAnsi="Times New Roman" w:cs="Times New Roman"/>
          <w:sz w:val="24"/>
          <w:szCs w:val="24"/>
        </w:rPr>
        <w:t>Pasca</w:t>
      </w:r>
      <w:proofErr w:type="spellEnd"/>
      <w:r>
        <w:rPr>
          <w:rFonts w:ascii="Times New Roman" w:eastAsia="Times New Roman" w:hAnsi="Times New Roman" w:cs="Times New Roman"/>
          <w:sz w:val="24"/>
          <w:szCs w:val="24"/>
        </w:rPr>
        <w:t>-Harvest with a set price Rp35,000 to replenish fruit stock at the end. As result the total revenue and the quantity in kilo</w:t>
      </w:r>
      <w:r>
        <w:rPr>
          <w:rFonts w:ascii="Times New Roman" w:eastAsia="Times New Roman" w:hAnsi="Times New Roman" w:cs="Times New Roman"/>
          <w:sz w:val="24"/>
          <w:szCs w:val="24"/>
        </w:rPr>
        <w:t xml:space="preserve">gram melon sold out can be seen in the Table 2. The table outlines the sales quantities, price per kilogram, and resulting revenue across three different harvest stages—pre-harvest, harvest day, and post-harvest—for two melon varieties,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Sweet Net accounted for the vast majority of the sales volume and revenue, generating Rp11,501,800 of the Rp13,830,000 total combined income.</w:t>
      </w:r>
    </w:p>
    <w:p w:rsidR="0090738E" w:rsidRDefault="009B49E8">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Revenue</w:t>
      </w:r>
    </w:p>
    <w:tbl>
      <w:tblPr>
        <w:tblStyle w:val="a0"/>
        <w:tblW w:w="10800" w:type="dxa"/>
        <w:tblInd w:w="0" w:type="dxa"/>
        <w:tblLayout w:type="fixed"/>
        <w:tblLook w:val="0600" w:firstRow="0" w:lastRow="0" w:firstColumn="0" w:lastColumn="0" w:noHBand="1" w:noVBand="1"/>
      </w:tblPr>
      <w:tblGrid>
        <w:gridCol w:w="2080"/>
        <w:gridCol w:w="2080"/>
        <w:gridCol w:w="2080"/>
        <w:gridCol w:w="2360"/>
        <w:gridCol w:w="2200"/>
      </w:tblGrid>
      <w:tr w:rsidR="0090738E">
        <w:trPr>
          <w:trHeight w:val="103"/>
        </w:trPr>
        <w:tc>
          <w:tcPr>
            <w:tcW w:w="2080" w:type="dxa"/>
            <w:tcBorders>
              <w:top w:val="single" w:sz="4" w:space="0" w:color="000000"/>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Items</w:t>
            </w:r>
          </w:p>
        </w:tc>
        <w:tc>
          <w:tcPr>
            <w:tcW w:w="2080" w:type="dxa"/>
            <w:tcBorders>
              <w:top w:val="single" w:sz="4" w:space="0" w:color="000000"/>
              <w:bottom w:val="single" w:sz="4" w:space="0" w:color="000000"/>
            </w:tcBorders>
            <w:tcMar>
              <w:top w:w="40" w:type="dxa"/>
              <w:left w:w="40" w:type="dxa"/>
              <w:bottom w:w="40" w:type="dxa"/>
              <w:right w:w="40" w:type="dxa"/>
            </w:tcMar>
            <w:vAlign w:val="bottom"/>
          </w:tcPr>
          <w:p w:rsidR="0090738E" w:rsidRDefault="0090738E">
            <w:pPr>
              <w:spacing w:line="240" w:lineRule="auto"/>
              <w:jc w:val="both"/>
              <w:rPr>
                <w:rFonts w:ascii="Times New Roman" w:eastAsia="Times New Roman" w:hAnsi="Times New Roman" w:cs="Times New Roman"/>
                <w:sz w:val="24"/>
                <w:szCs w:val="24"/>
              </w:rPr>
            </w:pPr>
          </w:p>
        </w:tc>
        <w:tc>
          <w:tcPr>
            <w:tcW w:w="2080" w:type="dxa"/>
            <w:tcBorders>
              <w:top w:val="single" w:sz="4" w:space="0" w:color="000000"/>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Quantity (/Kg)</w:t>
            </w:r>
          </w:p>
        </w:tc>
        <w:tc>
          <w:tcPr>
            <w:tcW w:w="2360" w:type="dxa"/>
            <w:tcBorders>
              <w:top w:val="single" w:sz="4" w:space="0" w:color="000000"/>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Price (</w:t>
            </w:r>
            <w:proofErr w:type="spellStart"/>
            <w:r>
              <w:rPr>
                <w:rFonts w:ascii="Times New Roman" w:eastAsia="Times New Roman" w:hAnsi="Times New Roman" w:cs="Times New Roman"/>
                <w:b/>
                <w:bCs/>
                <w:sz w:val="24"/>
                <w:szCs w:val="24"/>
              </w:rPr>
              <w:t>Rp</w:t>
            </w:r>
            <w:proofErr w:type="spellEnd"/>
            <w:r>
              <w:rPr>
                <w:rFonts w:ascii="Times New Roman" w:eastAsia="Times New Roman" w:hAnsi="Times New Roman" w:cs="Times New Roman"/>
                <w:b/>
                <w:bCs/>
                <w:sz w:val="24"/>
                <w:szCs w:val="24"/>
              </w:rPr>
              <w:t>)</w:t>
            </w:r>
          </w:p>
        </w:tc>
        <w:tc>
          <w:tcPr>
            <w:tcW w:w="2200" w:type="dxa"/>
            <w:tcBorders>
              <w:top w:val="single" w:sz="4" w:space="0" w:color="000000"/>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Revenue</w:t>
            </w:r>
          </w:p>
        </w:tc>
      </w:tr>
      <w:tr w:rsidR="0090738E">
        <w:trPr>
          <w:trHeight w:val="20"/>
        </w:trPr>
        <w:tc>
          <w:tcPr>
            <w:tcW w:w="2080" w:type="dxa"/>
            <w:vMerge w:val="restart"/>
            <w:tcBorders>
              <w:top w:val="single" w:sz="4" w:space="0" w:color="000000"/>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Sweet Net</w:t>
            </w:r>
          </w:p>
        </w:tc>
        <w:tc>
          <w:tcPr>
            <w:tcW w:w="2080" w:type="dxa"/>
            <w:tcBorders>
              <w:top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Pre-Harvest</w:t>
            </w:r>
          </w:p>
        </w:tc>
        <w:tc>
          <w:tcPr>
            <w:tcW w:w="2080" w:type="dxa"/>
            <w:tcBorders>
              <w:top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100.5</w:t>
            </w:r>
          </w:p>
        </w:tc>
        <w:tc>
          <w:tcPr>
            <w:tcW w:w="2360" w:type="dxa"/>
            <w:tcBorders>
              <w:top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Rp40,000</w:t>
            </w:r>
          </w:p>
        </w:tc>
        <w:tc>
          <w:tcPr>
            <w:tcW w:w="2200" w:type="dxa"/>
            <w:tcBorders>
              <w:top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Rp4,021,600</w:t>
            </w:r>
          </w:p>
        </w:tc>
      </w:tr>
      <w:tr w:rsidR="0090738E">
        <w:trPr>
          <w:trHeight w:val="20"/>
        </w:trPr>
        <w:tc>
          <w:tcPr>
            <w:tcW w:w="2080" w:type="dxa"/>
            <w:vMerge/>
            <w:tcBorders>
              <w:top w:val="single" w:sz="4" w:space="0" w:color="000000"/>
            </w:tcBorders>
            <w:tcMar>
              <w:top w:w="40" w:type="dxa"/>
              <w:left w:w="40" w:type="dxa"/>
              <w:bottom w:w="40" w:type="dxa"/>
              <w:right w:w="40" w:type="dxa"/>
            </w:tcMar>
            <w:vAlign w:val="center"/>
          </w:tcPr>
          <w:p w:rsidR="0090738E" w:rsidRDefault="0090738E">
            <w:pPr>
              <w:widowControl w:val="0"/>
              <w:rPr>
                <w:rFonts w:ascii="Times New Roman" w:eastAsia="Times New Roman" w:hAnsi="Times New Roman" w:cs="Times New Roman"/>
                <w:sz w:val="24"/>
                <w:szCs w:val="24"/>
              </w:rPr>
            </w:pPr>
          </w:p>
        </w:tc>
        <w:tc>
          <w:tcPr>
            <w:tcW w:w="2080" w:type="dxa"/>
            <w:tcMar>
              <w:top w:w="40" w:type="dxa"/>
              <w:left w:w="40" w:type="dxa"/>
              <w:bottom w:w="40" w:type="dxa"/>
              <w:right w:w="40" w:type="dxa"/>
            </w:tcMar>
          </w:tcPr>
          <w:p w:rsidR="0090738E" w:rsidRDefault="009B49E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Harvest Day</w:t>
            </w:r>
          </w:p>
        </w:tc>
        <w:tc>
          <w:tcPr>
            <w:tcW w:w="2080" w:type="dxa"/>
            <w:tcMar>
              <w:top w:w="40" w:type="dxa"/>
              <w:left w:w="40" w:type="dxa"/>
              <w:bottom w:w="40" w:type="dxa"/>
              <w:right w:w="40" w:type="dxa"/>
            </w:tcMar>
          </w:tcPr>
          <w:p w:rsidR="0090738E" w:rsidRDefault="009B49E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140.8</w:t>
            </w:r>
          </w:p>
        </w:tc>
        <w:tc>
          <w:tcPr>
            <w:tcW w:w="2360" w:type="dxa"/>
            <w:tcMar>
              <w:top w:w="40" w:type="dxa"/>
              <w:left w:w="40" w:type="dxa"/>
              <w:bottom w:w="40" w:type="dxa"/>
              <w:right w:w="40" w:type="dxa"/>
            </w:tcMar>
          </w:tcPr>
          <w:p w:rsidR="0090738E" w:rsidRDefault="009B49E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Rp50,000</w:t>
            </w:r>
          </w:p>
        </w:tc>
        <w:tc>
          <w:tcPr>
            <w:tcW w:w="2200" w:type="dxa"/>
            <w:tcMar>
              <w:top w:w="40" w:type="dxa"/>
              <w:left w:w="40" w:type="dxa"/>
              <w:bottom w:w="40" w:type="dxa"/>
              <w:right w:w="40" w:type="dxa"/>
            </w:tcMar>
          </w:tcPr>
          <w:p w:rsidR="0090738E" w:rsidRDefault="009B49E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Rp7,042,000</w:t>
            </w:r>
          </w:p>
        </w:tc>
      </w:tr>
      <w:tr w:rsidR="0090738E">
        <w:trPr>
          <w:trHeight w:val="20"/>
        </w:trPr>
        <w:tc>
          <w:tcPr>
            <w:tcW w:w="2080" w:type="dxa"/>
            <w:vMerge/>
            <w:tcBorders>
              <w:top w:val="single" w:sz="4" w:space="0" w:color="000000"/>
            </w:tcBorders>
            <w:tcMar>
              <w:top w:w="40" w:type="dxa"/>
              <w:left w:w="40" w:type="dxa"/>
              <w:bottom w:w="40" w:type="dxa"/>
              <w:right w:w="40" w:type="dxa"/>
            </w:tcMar>
            <w:vAlign w:val="center"/>
          </w:tcPr>
          <w:p w:rsidR="0090738E" w:rsidRDefault="0090738E">
            <w:pPr>
              <w:widowControl w:val="0"/>
              <w:rPr>
                <w:rFonts w:ascii="Times New Roman" w:eastAsia="Times New Roman" w:hAnsi="Times New Roman" w:cs="Times New Roman"/>
                <w:sz w:val="24"/>
                <w:szCs w:val="24"/>
              </w:rPr>
            </w:pPr>
          </w:p>
        </w:tc>
        <w:tc>
          <w:tcPr>
            <w:tcW w:w="208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Pasca</w:t>
            </w:r>
            <w:proofErr w:type="spellEnd"/>
            <w:r>
              <w:rPr>
                <w:rFonts w:ascii="Times New Roman" w:eastAsia="Times New Roman" w:hAnsi="Times New Roman" w:cs="Times New Roman"/>
                <w:sz w:val="24"/>
                <w:szCs w:val="24"/>
              </w:rPr>
              <w:t xml:space="preserve"> Harvest</w:t>
            </w:r>
          </w:p>
        </w:tc>
        <w:tc>
          <w:tcPr>
            <w:tcW w:w="208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236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Rp35,000</w:t>
            </w:r>
          </w:p>
        </w:tc>
        <w:tc>
          <w:tcPr>
            <w:tcW w:w="220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Rp438,200</w:t>
            </w:r>
          </w:p>
        </w:tc>
      </w:tr>
      <w:tr w:rsidR="0090738E">
        <w:trPr>
          <w:trHeight w:val="103"/>
        </w:trPr>
        <w:tc>
          <w:tcPr>
            <w:tcW w:w="2080" w:type="dxa"/>
            <w:tcMar>
              <w:top w:w="40" w:type="dxa"/>
              <w:left w:w="40" w:type="dxa"/>
              <w:bottom w:w="40" w:type="dxa"/>
              <w:right w:w="40" w:type="dxa"/>
            </w:tcMar>
            <w:vAlign w:val="bottom"/>
          </w:tcPr>
          <w:p w:rsidR="0090738E" w:rsidRDefault="0090738E">
            <w:pPr>
              <w:spacing w:line="240" w:lineRule="auto"/>
              <w:jc w:val="both"/>
              <w:rPr>
                <w:rFonts w:ascii="Times New Roman" w:eastAsia="Times New Roman" w:hAnsi="Times New Roman" w:cs="Times New Roman"/>
                <w:sz w:val="24"/>
                <w:szCs w:val="24"/>
              </w:rPr>
            </w:pPr>
          </w:p>
        </w:tc>
        <w:tc>
          <w:tcPr>
            <w:tcW w:w="2080" w:type="dxa"/>
            <w:tcBorders>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2080" w:type="dxa"/>
            <w:tcBorders>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253.9</w:t>
            </w:r>
          </w:p>
        </w:tc>
        <w:tc>
          <w:tcPr>
            <w:tcW w:w="2360" w:type="dxa"/>
            <w:tcBorders>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Rp45,301</w:t>
            </w:r>
          </w:p>
        </w:tc>
        <w:tc>
          <w:tcPr>
            <w:tcW w:w="2200" w:type="dxa"/>
            <w:tcBorders>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Rp11,501,800</w:t>
            </w:r>
          </w:p>
        </w:tc>
      </w:tr>
      <w:tr w:rsidR="0090738E">
        <w:trPr>
          <w:trHeight w:val="20"/>
        </w:trPr>
        <w:tc>
          <w:tcPr>
            <w:tcW w:w="2080" w:type="dxa"/>
            <w:vMerge w:val="restart"/>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w:t>
            </w:r>
          </w:p>
        </w:tc>
        <w:tc>
          <w:tcPr>
            <w:tcW w:w="2080" w:type="dxa"/>
            <w:tcBorders>
              <w:top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w:t>
            </w:r>
            <w:proofErr w:type="spellEnd"/>
            <w:r>
              <w:rPr>
                <w:rFonts w:ascii="Times New Roman" w:eastAsia="Times New Roman" w:hAnsi="Times New Roman" w:cs="Times New Roman"/>
                <w:sz w:val="24"/>
                <w:szCs w:val="24"/>
              </w:rPr>
              <w:t>-Harvest</w:t>
            </w:r>
          </w:p>
        </w:tc>
        <w:tc>
          <w:tcPr>
            <w:tcW w:w="2080" w:type="dxa"/>
            <w:tcBorders>
              <w:top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2360" w:type="dxa"/>
            <w:tcBorders>
              <w:top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Rp40,000</w:t>
            </w:r>
          </w:p>
        </w:tc>
        <w:tc>
          <w:tcPr>
            <w:tcW w:w="2200" w:type="dxa"/>
            <w:tcBorders>
              <w:top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Rp492,000</w:t>
            </w:r>
          </w:p>
        </w:tc>
      </w:tr>
      <w:tr w:rsidR="0090738E">
        <w:trPr>
          <w:trHeight w:val="20"/>
        </w:trPr>
        <w:tc>
          <w:tcPr>
            <w:tcW w:w="2080" w:type="dxa"/>
            <w:vMerge/>
            <w:tcMar>
              <w:top w:w="40" w:type="dxa"/>
              <w:left w:w="40" w:type="dxa"/>
              <w:bottom w:w="40" w:type="dxa"/>
              <w:right w:w="40" w:type="dxa"/>
            </w:tcMar>
            <w:vAlign w:val="center"/>
          </w:tcPr>
          <w:p w:rsidR="0090738E" w:rsidRDefault="0090738E">
            <w:pPr>
              <w:widowControl w:val="0"/>
              <w:rPr>
                <w:rFonts w:ascii="Times New Roman" w:eastAsia="Times New Roman" w:hAnsi="Times New Roman" w:cs="Times New Roman"/>
                <w:sz w:val="24"/>
                <w:szCs w:val="24"/>
              </w:rPr>
            </w:pPr>
          </w:p>
        </w:tc>
        <w:tc>
          <w:tcPr>
            <w:tcW w:w="208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Harvest Day</w:t>
            </w:r>
          </w:p>
        </w:tc>
        <w:tc>
          <w:tcPr>
            <w:tcW w:w="208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236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Rp50,000</w:t>
            </w:r>
          </w:p>
        </w:tc>
        <w:tc>
          <w:tcPr>
            <w:tcW w:w="220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Rp883,500</w:t>
            </w:r>
          </w:p>
        </w:tc>
      </w:tr>
      <w:tr w:rsidR="0090738E">
        <w:trPr>
          <w:trHeight w:val="103"/>
        </w:trPr>
        <w:tc>
          <w:tcPr>
            <w:tcW w:w="2080" w:type="dxa"/>
            <w:vMerge/>
            <w:tcMar>
              <w:top w:w="40" w:type="dxa"/>
              <w:left w:w="40" w:type="dxa"/>
              <w:bottom w:w="40" w:type="dxa"/>
              <w:right w:w="40" w:type="dxa"/>
            </w:tcMar>
            <w:vAlign w:val="center"/>
          </w:tcPr>
          <w:p w:rsidR="0090738E" w:rsidRDefault="0090738E">
            <w:pPr>
              <w:widowControl w:val="0"/>
              <w:rPr>
                <w:rFonts w:ascii="Times New Roman" w:eastAsia="Times New Roman" w:hAnsi="Times New Roman" w:cs="Times New Roman"/>
                <w:sz w:val="24"/>
                <w:szCs w:val="24"/>
              </w:rPr>
            </w:pPr>
          </w:p>
        </w:tc>
        <w:tc>
          <w:tcPr>
            <w:tcW w:w="208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Pasca</w:t>
            </w:r>
            <w:proofErr w:type="spellEnd"/>
            <w:r>
              <w:rPr>
                <w:rFonts w:ascii="Times New Roman" w:eastAsia="Times New Roman" w:hAnsi="Times New Roman" w:cs="Times New Roman"/>
                <w:sz w:val="24"/>
                <w:szCs w:val="24"/>
              </w:rPr>
              <w:t xml:space="preserve"> Harvest</w:t>
            </w:r>
          </w:p>
        </w:tc>
        <w:tc>
          <w:tcPr>
            <w:tcW w:w="208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236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Rp35,000</w:t>
            </w:r>
          </w:p>
        </w:tc>
        <w:tc>
          <w:tcPr>
            <w:tcW w:w="220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Rp952,700</w:t>
            </w:r>
          </w:p>
        </w:tc>
      </w:tr>
      <w:tr w:rsidR="0090738E">
        <w:trPr>
          <w:trHeight w:val="103"/>
        </w:trPr>
        <w:tc>
          <w:tcPr>
            <w:tcW w:w="2080" w:type="dxa"/>
            <w:tcMar>
              <w:top w:w="40" w:type="dxa"/>
              <w:left w:w="40" w:type="dxa"/>
              <w:bottom w:w="40" w:type="dxa"/>
              <w:right w:w="40" w:type="dxa"/>
            </w:tcMar>
            <w:vAlign w:val="bottom"/>
          </w:tcPr>
          <w:p w:rsidR="0090738E" w:rsidRDefault="0090738E">
            <w:pPr>
              <w:spacing w:line="240" w:lineRule="auto"/>
              <w:jc w:val="both"/>
              <w:rPr>
                <w:rFonts w:ascii="Times New Roman" w:eastAsia="Times New Roman" w:hAnsi="Times New Roman" w:cs="Times New Roman"/>
                <w:sz w:val="24"/>
                <w:szCs w:val="24"/>
              </w:rPr>
            </w:pPr>
          </w:p>
        </w:tc>
        <w:tc>
          <w:tcPr>
            <w:tcW w:w="208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208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57.2</w:t>
            </w:r>
          </w:p>
        </w:tc>
        <w:tc>
          <w:tcPr>
            <w:tcW w:w="236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Rp40,710</w:t>
            </w:r>
          </w:p>
        </w:tc>
        <w:tc>
          <w:tcPr>
            <w:tcW w:w="2200" w:type="dxa"/>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Rp2,328,200</w:t>
            </w:r>
          </w:p>
        </w:tc>
      </w:tr>
      <w:tr w:rsidR="0090738E">
        <w:trPr>
          <w:trHeight w:val="103"/>
        </w:trPr>
        <w:tc>
          <w:tcPr>
            <w:tcW w:w="8600" w:type="dxa"/>
            <w:gridSpan w:val="4"/>
            <w:tcBorders>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INCOME</w:t>
            </w:r>
          </w:p>
        </w:tc>
        <w:tc>
          <w:tcPr>
            <w:tcW w:w="2200" w:type="dxa"/>
            <w:tcBorders>
              <w:bottom w:val="single" w:sz="4" w:space="0" w:color="000000"/>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Rp13,830,000</w:t>
            </w:r>
          </w:p>
        </w:tc>
      </w:tr>
      <w:tr w:rsidR="0090738E">
        <w:trPr>
          <w:trHeight w:val="103"/>
        </w:trPr>
        <w:tc>
          <w:tcPr>
            <w:tcW w:w="8600" w:type="dxa"/>
            <w:gridSpan w:val="4"/>
            <w:tcBorders>
              <w:top w:val="single" w:sz="4" w:space="0" w:color="000000"/>
            </w:tcBorders>
            <w:tcMar>
              <w:top w:w="40" w:type="dxa"/>
              <w:left w:w="40" w:type="dxa"/>
              <w:bottom w:w="40" w:type="dxa"/>
              <w:right w:w="40" w:type="dxa"/>
            </w:tcMar>
            <w:vAlign w:val="bottom"/>
          </w:tcPr>
          <w:p w:rsidR="0090738E" w:rsidRDefault="0090738E">
            <w:pPr>
              <w:spacing w:line="240" w:lineRule="auto"/>
              <w:jc w:val="both"/>
              <w:rPr>
                <w:rFonts w:ascii="Times New Roman" w:eastAsia="Times New Roman" w:hAnsi="Times New Roman" w:cs="Times New Roman"/>
                <w:b/>
                <w:bCs/>
                <w:sz w:val="24"/>
                <w:szCs w:val="24"/>
              </w:rPr>
            </w:pPr>
          </w:p>
        </w:tc>
        <w:tc>
          <w:tcPr>
            <w:tcW w:w="2200" w:type="dxa"/>
            <w:tcBorders>
              <w:top w:val="single" w:sz="4" w:space="0" w:color="000000"/>
            </w:tcBorders>
            <w:tcMar>
              <w:top w:w="40" w:type="dxa"/>
              <w:left w:w="40" w:type="dxa"/>
              <w:bottom w:w="40" w:type="dxa"/>
              <w:right w:w="40" w:type="dxa"/>
            </w:tcMar>
            <w:vAlign w:val="bottom"/>
          </w:tcPr>
          <w:p w:rsidR="0090738E" w:rsidRDefault="0090738E">
            <w:pPr>
              <w:spacing w:line="240" w:lineRule="auto"/>
              <w:jc w:val="both"/>
              <w:rPr>
                <w:rFonts w:ascii="Times New Roman" w:eastAsia="Times New Roman" w:hAnsi="Times New Roman" w:cs="Times New Roman"/>
                <w:b/>
                <w:bCs/>
                <w:sz w:val="24"/>
                <w:szCs w:val="24"/>
              </w:rPr>
            </w:pPr>
          </w:p>
        </w:tc>
      </w:tr>
    </w:tbl>
    <w:p w:rsidR="0090738E" w:rsidRDefault="009B49E8">
      <w:pPr>
        <w:spacing w:before="240" w:after="240" w:line="240" w:lineRule="auto"/>
        <w:jc w:val="both"/>
        <w:rPr>
          <w:rFonts w:ascii="Times New Roman" w:eastAsia="Times New Roman" w:hAnsi="Times New Roman" w:cs="Times New Roman"/>
          <w:b/>
          <w:bCs/>
          <w:sz w:val="26"/>
          <w:szCs w:val="26"/>
        </w:rPr>
      </w:pPr>
      <w:bookmarkStart w:id="6" w:name="_mgpx4nz5kpj" w:colFirst="0" w:colLast="0"/>
      <w:bookmarkEnd w:id="6"/>
      <w:r>
        <w:rPr>
          <w:rFonts w:ascii="Times New Roman" w:eastAsia="Times New Roman" w:hAnsi="Times New Roman" w:cs="Times New Roman"/>
          <w:b/>
          <w:bCs/>
          <w:sz w:val="26"/>
          <w:szCs w:val="26"/>
        </w:rPr>
        <w:t>Economic Indicators</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 Margin (GPM)</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melon cultivation in the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the Gross Profit Margin (GPM) results demonstrate notable differences in economic performance between the melon variety that are hardly influenced by price product </w:t>
      </w:r>
      <w:r>
        <w:rPr>
          <w:rFonts w:ascii="Times New Roman" w:eastAsia="Times New Roman" w:hAnsi="Times New Roman" w:cs="Times New Roman"/>
          <w:sz w:val="24"/>
          <w:szCs w:val="24"/>
        </w:rPr>
        <w:lastRenderedPageBreak/>
        <w:t>sold. Sweet Net generated revenue o</w:t>
      </w:r>
      <w:r>
        <w:rPr>
          <w:rFonts w:ascii="Times New Roman" w:eastAsia="Times New Roman" w:hAnsi="Times New Roman" w:cs="Times New Roman"/>
          <w:sz w:val="24"/>
          <w:szCs w:val="24"/>
        </w:rPr>
        <w:t xml:space="preserve">f Rp11,501,800 against expenses of Rp6,996,800, resulting GPM of 39%, while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of 14% against the revenue of Rp2,328,200, with expenses totaling Rp1,991,400. As noted by Ms. D a treasure in the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said “The Sweet Net market is more profi</w:t>
      </w:r>
      <w:r>
        <w:rPr>
          <w:rFonts w:ascii="Times New Roman" w:eastAsia="Times New Roman" w:hAnsi="Times New Roman" w:cs="Times New Roman"/>
          <w:sz w:val="24"/>
          <w:szCs w:val="24"/>
        </w:rPr>
        <w:t xml:space="preserve">table regarding the customers willingness to pay in the day harvest”, the gap reflects in different seed quality in influencing the market preference, Sweet Net has more sweet taste and crunchy texture,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itself has lower sweet taste level and juicy</w:t>
      </w:r>
      <w:r>
        <w:rPr>
          <w:rFonts w:ascii="Times New Roman" w:eastAsia="Times New Roman" w:hAnsi="Times New Roman" w:cs="Times New Roman"/>
          <w:sz w:val="24"/>
          <w:szCs w:val="24"/>
        </w:rPr>
        <w:t xml:space="preserve"> flush texture that had been mentioned by Mr. C as marketing.</w:t>
      </w:r>
    </w:p>
    <w:p w:rsidR="0090738E" w:rsidRDefault="009B49E8">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Gross Profit Margin (GPM)</w:t>
      </w:r>
    </w:p>
    <w:tbl>
      <w:tblPr>
        <w:tblStyle w:val="a1"/>
        <w:tblpPr w:leftFromText="180" w:rightFromText="180" w:topFromText="180" w:bottomFromText="180" w:vertAnchor="text" w:tblpX="88"/>
        <w:tblW w:w="11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4"/>
        <w:gridCol w:w="2749"/>
        <w:gridCol w:w="2731"/>
        <w:gridCol w:w="2996"/>
      </w:tblGrid>
      <w:tr w:rsidR="0090738E">
        <w:trPr>
          <w:trHeight w:val="129"/>
        </w:trPr>
        <w:tc>
          <w:tcPr>
            <w:tcW w:w="2554" w:type="dxa"/>
            <w:tcBorders>
              <w:top w:val="single" w:sz="5" w:space="0" w:color="000000"/>
              <w:left w:val="nil"/>
              <w:bottom w:val="single" w:sz="5" w:space="0" w:color="000000"/>
              <w:right w:val="nil"/>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Variety</w:t>
            </w:r>
          </w:p>
        </w:tc>
        <w:tc>
          <w:tcPr>
            <w:tcW w:w="2749" w:type="dxa"/>
            <w:tcBorders>
              <w:top w:val="single" w:sz="5" w:space="0" w:color="000000"/>
              <w:left w:val="nil"/>
              <w:bottom w:val="single" w:sz="5" w:space="0" w:color="000000"/>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Income</w:t>
            </w:r>
          </w:p>
        </w:tc>
        <w:tc>
          <w:tcPr>
            <w:tcW w:w="2731" w:type="dxa"/>
            <w:tcBorders>
              <w:top w:val="single" w:sz="5" w:space="0" w:color="000000"/>
              <w:left w:val="nil"/>
              <w:bottom w:val="single" w:sz="5" w:space="0" w:color="000000"/>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Expenses</w:t>
            </w:r>
          </w:p>
        </w:tc>
        <w:tc>
          <w:tcPr>
            <w:tcW w:w="2996" w:type="dxa"/>
            <w:tcBorders>
              <w:top w:val="single" w:sz="5" w:space="0" w:color="000000"/>
              <w:left w:val="nil"/>
              <w:bottom w:val="single" w:sz="5" w:space="0" w:color="000000"/>
              <w:right w:val="nil"/>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GPM</w:t>
            </w:r>
          </w:p>
        </w:tc>
      </w:tr>
      <w:tr w:rsidR="0090738E">
        <w:trPr>
          <w:trHeight w:val="345"/>
        </w:trPr>
        <w:tc>
          <w:tcPr>
            <w:tcW w:w="2554" w:type="dxa"/>
            <w:tcBorders>
              <w:top w:val="single" w:sz="5" w:space="0" w:color="000000"/>
              <w:left w:val="nil"/>
              <w:bottom w:val="nil"/>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4"/>
                <w:szCs w:val="24"/>
              </w:rPr>
              <w:t>Sweet Net</w:t>
            </w:r>
          </w:p>
        </w:tc>
        <w:tc>
          <w:tcPr>
            <w:tcW w:w="2749" w:type="dxa"/>
            <w:tcBorders>
              <w:top w:val="single" w:sz="5" w:space="0" w:color="000000"/>
              <w:left w:val="nil"/>
              <w:bottom w:val="nil"/>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Rp11,501,800</w:t>
            </w:r>
          </w:p>
        </w:tc>
        <w:tc>
          <w:tcPr>
            <w:tcW w:w="2731" w:type="dxa"/>
            <w:tcBorders>
              <w:top w:val="single" w:sz="5" w:space="0" w:color="000000"/>
              <w:left w:val="nil"/>
              <w:bottom w:val="nil"/>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Rp6,296,800</w:t>
            </w:r>
          </w:p>
        </w:tc>
        <w:tc>
          <w:tcPr>
            <w:tcW w:w="2996" w:type="dxa"/>
            <w:tcBorders>
              <w:top w:val="nil"/>
              <w:left w:val="nil"/>
              <w:bottom w:val="nil"/>
              <w:right w:val="nil"/>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39%</w:t>
            </w:r>
          </w:p>
        </w:tc>
      </w:tr>
      <w:tr w:rsidR="0090738E">
        <w:trPr>
          <w:trHeight w:val="360"/>
        </w:trPr>
        <w:tc>
          <w:tcPr>
            <w:tcW w:w="2554" w:type="dxa"/>
            <w:tcBorders>
              <w:top w:val="nil"/>
              <w:left w:val="nil"/>
              <w:bottom w:val="single" w:sz="5" w:space="0" w:color="000000"/>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4"/>
                <w:szCs w:val="24"/>
              </w:rPr>
              <w:t>Okasa</w:t>
            </w:r>
            <w:proofErr w:type="spellEnd"/>
            <w:r>
              <w:rPr>
                <w:rFonts w:ascii="Times New Roman" w:eastAsia="Times New Roman" w:hAnsi="Times New Roman" w:cs="Times New Roman"/>
                <w:b/>
                <w:bCs/>
                <w:sz w:val="24"/>
                <w:szCs w:val="24"/>
              </w:rPr>
              <w:t xml:space="preserve"> F1</w:t>
            </w:r>
          </w:p>
        </w:tc>
        <w:tc>
          <w:tcPr>
            <w:tcW w:w="2749" w:type="dxa"/>
            <w:tcBorders>
              <w:top w:val="nil"/>
              <w:left w:val="nil"/>
              <w:bottom w:val="single" w:sz="5" w:space="0" w:color="000000"/>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Rp2,328,200</w:t>
            </w:r>
          </w:p>
        </w:tc>
        <w:tc>
          <w:tcPr>
            <w:tcW w:w="2731" w:type="dxa"/>
            <w:tcBorders>
              <w:top w:val="nil"/>
              <w:left w:val="nil"/>
              <w:bottom w:val="single" w:sz="8" w:space="0" w:color="000000"/>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Rp1,574,200</w:t>
            </w:r>
          </w:p>
        </w:tc>
        <w:tc>
          <w:tcPr>
            <w:tcW w:w="2996" w:type="dxa"/>
            <w:tcBorders>
              <w:top w:val="nil"/>
              <w:left w:val="nil"/>
              <w:bottom w:val="single" w:sz="8" w:space="0" w:color="000000"/>
              <w:right w:val="nil"/>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14%</w:t>
            </w:r>
          </w:p>
        </w:tc>
      </w:tr>
    </w:tbl>
    <w:p w:rsidR="0090738E" w:rsidRDefault="009B49E8">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Benefit-Cost Ratio (BCR)</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BCR indicator in this case study of the Sweet 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melon cultivation showed the BCR of Sweet Net is 1.6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is 1.2. Between those two types, varieties shown positively result in the requirement justification BCR &gt; 1, which undersco</w:t>
      </w:r>
      <w:r>
        <w:rPr>
          <w:rFonts w:ascii="Times New Roman" w:eastAsia="Times New Roman" w:hAnsi="Times New Roman" w:cs="Times New Roman"/>
          <w:sz w:val="24"/>
          <w:szCs w:val="24"/>
        </w:rPr>
        <w:t xml:space="preserve">re the cost production can access the investment payback (Pannell et al., 2023). It might be clueing by Mr. A as the leader in the context of operational challenges,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was chosen for affordability and to compliment the greenhouse space, but acknowle</w:t>
      </w:r>
      <w:r>
        <w:rPr>
          <w:rFonts w:ascii="Times New Roman" w:eastAsia="Times New Roman" w:hAnsi="Times New Roman" w:cs="Times New Roman"/>
          <w:sz w:val="24"/>
          <w:szCs w:val="24"/>
        </w:rPr>
        <w:t>dges its lower profit margin. Meanwhile, Mr. A clarifies the seeds of Sweet Net were reused from previous cycles which may have different prices in the next cultivation cycles. In the perspective of seed quality, Sweet Net with the sweet level attraction c</w:t>
      </w:r>
      <w:r>
        <w:rPr>
          <w:rFonts w:ascii="Times New Roman" w:eastAsia="Times New Roman" w:hAnsi="Times New Roman" w:cs="Times New Roman"/>
          <w:sz w:val="24"/>
          <w:szCs w:val="24"/>
        </w:rPr>
        <w:t xml:space="preserve">an justify higher pricing, enhancing relative to cost as mentioned before by Ms. D as a treasure in the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w:t>
      </w:r>
    </w:p>
    <w:p w:rsidR="0090738E" w:rsidRDefault="009B49E8">
      <w:pPr>
        <w:spacing w:before="240" w:line="240" w:lineRule="auto"/>
        <w:jc w:val="cente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Table 4. Benefit-Cost Ratio (BCR)</w:t>
      </w:r>
    </w:p>
    <w:tbl>
      <w:tblPr>
        <w:tblStyle w:val="a2"/>
        <w:tblpPr w:leftFromText="180" w:rightFromText="180" w:topFromText="180" w:bottomFromText="180" w:vertAnchor="text" w:tblpX="88"/>
        <w:tblW w:w="11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48"/>
        <w:gridCol w:w="5782"/>
      </w:tblGrid>
      <w:tr w:rsidR="0090738E">
        <w:trPr>
          <w:trHeight w:val="375"/>
        </w:trPr>
        <w:tc>
          <w:tcPr>
            <w:tcW w:w="5248" w:type="dxa"/>
            <w:tcBorders>
              <w:top w:val="single" w:sz="5" w:space="0" w:color="000000"/>
              <w:left w:val="nil"/>
              <w:bottom w:val="single" w:sz="5" w:space="0" w:color="000000"/>
              <w:right w:val="nil"/>
            </w:tcBorders>
            <w:tcMar>
              <w:top w:w="40" w:type="dxa"/>
              <w:left w:w="40" w:type="dxa"/>
              <w:bottom w:w="40" w:type="dxa"/>
              <w:right w:w="40" w:type="dxa"/>
            </w:tcMar>
            <w:vAlign w:val="center"/>
          </w:tcPr>
          <w:p w:rsidR="0090738E" w:rsidRDefault="009B49E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4"/>
                <w:szCs w:val="24"/>
              </w:rPr>
              <w:t>Sweet Net</w:t>
            </w:r>
          </w:p>
        </w:tc>
        <w:tc>
          <w:tcPr>
            <w:tcW w:w="5782" w:type="dxa"/>
            <w:tcBorders>
              <w:top w:val="single" w:sz="5" w:space="0" w:color="000000"/>
              <w:left w:val="nil"/>
              <w:bottom w:val="single" w:sz="5" w:space="0" w:color="000000"/>
              <w:right w:val="nil"/>
            </w:tcBorders>
            <w:tcMar>
              <w:top w:w="40" w:type="dxa"/>
              <w:left w:w="40" w:type="dxa"/>
              <w:bottom w:w="40" w:type="dxa"/>
              <w:right w:w="40" w:type="dxa"/>
            </w:tcMar>
            <w:vAlign w:val="center"/>
          </w:tcPr>
          <w:p w:rsidR="0090738E" w:rsidRDefault="009B49E8">
            <w:pPr>
              <w:spacing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4"/>
                <w:szCs w:val="24"/>
              </w:rPr>
              <w:t>Okasa</w:t>
            </w:r>
            <w:proofErr w:type="spellEnd"/>
            <w:r>
              <w:rPr>
                <w:rFonts w:ascii="Times New Roman" w:eastAsia="Times New Roman" w:hAnsi="Times New Roman" w:cs="Times New Roman"/>
                <w:b/>
                <w:bCs/>
                <w:sz w:val="24"/>
                <w:szCs w:val="24"/>
              </w:rPr>
              <w:t xml:space="preserve"> F1</w:t>
            </w:r>
          </w:p>
        </w:tc>
      </w:tr>
      <w:tr w:rsidR="0090738E">
        <w:trPr>
          <w:trHeight w:val="360"/>
        </w:trPr>
        <w:tc>
          <w:tcPr>
            <w:tcW w:w="5248" w:type="dxa"/>
            <w:tcBorders>
              <w:top w:val="nil"/>
              <w:left w:val="nil"/>
              <w:bottom w:val="single" w:sz="8" w:space="0" w:color="000000"/>
              <w:right w:val="nil"/>
            </w:tcBorders>
            <w:tcMar>
              <w:top w:w="40" w:type="dxa"/>
              <w:left w:w="40" w:type="dxa"/>
              <w:bottom w:w="40" w:type="dxa"/>
              <w:right w:w="40" w:type="dxa"/>
            </w:tcMar>
            <w:vAlign w:val="bottom"/>
          </w:tcPr>
          <w:p w:rsidR="0090738E" w:rsidRDefault="009B49E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1.6</w:t>
            </w:r>
          </w:p>
        </w:tc>
        <w:tc>
          <w:tcPr>
            <w:tcW w:w="5782" w:type="dxa"/>
            <w:tcBorders>
              <w:top w:val="nil"/>
              <w:left w:val="nil"/>
              <w:bottom w:val="single" w:sz="8" w:space="0" w:color="000000"/>
              <w:right w:val="nil"/>
            </w:tcBorders>
            <w:tcMar>
              <w:top w:w="40" w:type="dxa"/>
              <w:left w:w="40" w:type="dxa"/>
              <w:bottom w:w="40" w:type="dxa"/>
              <w:right w:w="40" w:type="dxa"/>
            </w:tcMar>
            <w:vAlign w:val="bottom"/>
          </w:tcPr>
          <w:p w:rsidR="0090738E" w:rsidRDefault="009B49E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1.2</w:t>
            </w:r>
          </w:p>
        </w:tc>
      </w:tr>
    </w:tbl>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Break-Even Point (BEP)</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BEP of Sweet Net got the BEP value at 154.45 kg, while actual production reached 253.90 kg, significantly surpassing the minimum threshold required to assess the profitability of the business. Furthermore, the respondent statement in the fruit durabili</w:t>
      </w:r>
      <w:r>
        <w:rPr>
          <w:rFonts w:ascii="Times New Roman" w:eastAsia="Times New Roman" w:hAnsi="Times New Roman" w:cs="Times New Roman"/>
          <w:sz w:val="24"/>
          <w:szCs w:val="24"/>
        </w:rPr>
        <w:t>ty context, said by Mr. B as a staff production explains “Sweet Net has weak plant resistance and sensitivity to cracking”, yet the high amount of yield supports the cultivation practices effectively mitigating these plantation risks. This statement is con</w:t>
      </w:r>
      <w:r>
        <w:rPr>
          <w:rFonts w:ascii="Times New Roman" w:eastAsia="Times New Roman" w:hAnsi="Times New Roman" w:cs="Times New Roman"/>
          <w:sz w:val="24"/>
          <w:szCs w:val="24"/>
        </w:rPr>
        <w:t>sistent with Hakim’s (2024) study, which found that the Sweet Net variety was capable of yielding 250.2 kg in a hydroponic cultivation system; the study’s findings indicate that this system enhances the variety’s resilience and profitability in a controlle</w:t>
      </w:r>
      <w:r>
        <w:rPr>
          <w:rFonts w:ascii="Times New Roman" w:eastAsia="Times New Roman" w:hAnsi="Times New Roman" w:cs="Times New Roman"/>
          <w:sz w:val="24"/>
          <w:szCs w:val="24"/>
        </w:rPr>
        <w:t xml:space="preserve">d environment. Meanwhile, the research results show that the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variety has a break-even point (BEP) of 48.92 kg, with an actual harvest of 57.19 kg; this small difference is influenced by market prices relative to the fruit’s taste quality. However,</w:t>
      </w:r>
      <w:r>
        <w:rPr>
          <w:rFonts w:ascii="Times New Roman" w:eastAsia="Times New Roman" w:hAnsi="Times New Roman" w:cs="Times New Roman"/>
          <w:sz w:val="24"/>
          <w:szCs w:val="24"/>
        </w:rPr>
        <w:t xml:space="preserve"> despite this discrepancy, Mr. B, a production staff member, cited the fruit’s resilience and the thickness of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F1’s skin as key advantages in cultivating this variety. The plant’s resilience is particularly beneficial in water-scarce conditions, whic</w:t>
      </w:r>
      <w:r>
        <w:rPr>
          <w:rFonts w:ascii="Times New Roman" w:eastAsia="Times New Roman" w:hAnsi="Times New Roman" w:cs="Times New Roman"/>
          <w:sz w:val="24"/>
          <w:szCs w:val="24"/>
        </w:rPr>
        <w:t>h, as is often the case, can lead to post-harvest losses by reducing the amount of fruit that fails to meet market standards.</w:t>
      </w:r>
    </w:p>
    <w:p w:rsidR="0090738E" w:rsidRDefault="009B49E8">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5. Break-Even Point (BEP)</w:t>
      </w:r>
    </w:p>
    <w:tbl>
      <w:tblPr>
        <w:tblStyle w:val="a3"/>
        <w:tblpPr w:leftFromText="180" w:rightFromText="180" w:topFromText="180" w:bottomFromText="180" w:vertAnchor="text" w:tblpX="88"/>
        <w:tblW w:w="11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15"/>
        <w:gridCol w:w="2762"/>
        <w:gridCol w:w="2762"/>
        <w:gridCol w:w="2991"/>
      </w:tblGrid>
      <w:tr w:rsidR="0090738E">
        <w:trPr>
          <w:trHeight w:val="360"/>
        </w:trPr>
        <w:tc>
          <w:tcPr>
            <w:tcW w:w="5277" w:type="dxa"/>
            <w:gridSpan w:val="2"/>
            <w:tcBorders>
              <w:top w:val="single" w:sz="5" w:space="0" w:color="000000"/>
              <w:left w:val="nil"/>
              <w:bottom w:val="nil"/>
              <w:right w:val="nil"/>
            </w:tcBorders>
            <w:tcMar>
              <w:top w:w="40" w:type="dxa"/>
              <w:left w:w="40" w:type="dxa"/>
              <w:bottom w:w="40" w:type="dxa"/>
              <w:right w:w="40" w:type="dxa"/>
            </w:tcMar>
            <w:vAlign w:val="bottom"/>
          </w:tcPr>
          <w:p w:rsidR="0090738E" w:rsidRDefault="009B49E8">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4"/>
                <w:szCs w:val="24"/>
              </w:rPr>
              <w:lastRenderedPageBreak/>
              <w:t>Sweet Net</w:t>
            </w:r>
          </w:p>
        </w:tc>
        <w:tc>
          <w:tcPr>
            <w:tcW w:w="5753" w:type="dxa"/>
            <w:gridSpan w:val="2"/>
            <w:tcBorders>
              <w:top w:val="single" w:sz="5" w:space="0" w:color="000000"/>
              <w:left w:val="nil"/>
              <w:bottom w:val="nil"/>
              <w:right w:val="nil"/>
            </w:tcBorders>
            <w:tcMar>
              <w:top w:w="40" w:type="dxa"/>
              <w:left w:w="40" w:type="dxa"/>
              <w:bottom w:w="40" w:type="dxa"/>
              <w:right w:w="40" w:type="dxa"/>
            </w:tcMar>
            <w:vAlign w:val="bottom"/>
          </w:tcPr>
          <w:p w:rsidR="0090738E" w:rsidRDefault="009B49E8">
            <w:pPr>
              <w:spacing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4"/>
                <w:szCs w:val="24"/>
              </w:rPr>
              <w:t>Okasa</w:t>
            </w:r>
            <w:proofErr w:type="spellEnd"/>
            <w:r>
              <w:rPr>
                <w:rFonts w:ascii="Times New Roman" w:eastAsia="Times New Roman" w:hAnsi="Times New Roman" w:cs="Times New Roman"/>
                <w:b/>
                <w:bCs/>
                <w:sz w:val="24"/>
                <w:szCs w:val="24"/>
              </w:rPr>
              <w:t xml:space="preserve"> F1</w:t>
            </w:r>
          </w:p>
        </w:tc>
      </w:tr>
      <w:tr w:rsidR="0090738E">
        <w:trPr>
          <w:trHeight w:val="360"/>
        </w:trPr>
        <w:tc>
          <w:tcPr>
            <w:tcW w:w="2515" w:type="dxa"/>
            <w:tcBorders>
              <w:top w:val="nil"/>
              <w:left w:val="nil"/>
              <w:bottom w:val="single" w:sz="5" w:space="0" w:color="000000"/>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BEP (Kg)</w:t>
            </w:r>
          </w:p>
        </w:tc>
        <w:tc>
          <w:tcPr>
            <w:tcW w:w="2762" w:type="dxa"/>
            <w:tcBorders>
              <w:top w:val="nil"/>
              <w:left w:val="nil"/>
              <w:bottom w:val="single" w:sz="5" w:space="0" w:color="000000"/>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Actual (Kg)</w:t>
            </w:r>
          </w:p>
        </w:tc>
        <w:tc>
          <w:tcPr>
            <w:tcW w:w="2762" w:type="dxa"/>
            <w:tcBorders>
              <w:top w:val="nil"/>
              <w:left w:val="nil"/>
              <w:bottom w:val="single" w:sz="5" w:space="0" w:color="000000"/>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BEP (Kg)</w:t>
            </w:r>
          </w:p>
        </w:tc>
        <w:tc>
          <w:tcPr>
            <w:tcW w:w="2991" w:type="dxa"/>
            <w:tcBorders>
              <w:top w:val="nil"/>
              <w:left w:val="nil"/>
              <w:bottom w:val="single" w:sz="5" w:space="0" w:color="000000"/>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Actual (Kg)</w:t>
            </w:r>
          </w:p>
        </w:tc>
      </w:tr>
      <w:tr w:rsidR="0090738E">
        <w:trPr>
          <w:trHeight w:val="345"/>
        </w:trPr>
        <w:tc>
          <w:tcPr>
            <w:tcW w:w="2515" w:type="dxa"/>
            <w:tcBorders>
              <w:top w:val="single" w:sz="5" w:space="0" w:color="000000"/>
              <w:left w:val="nil"/>
              <w:bottom w:val="single" w:sz="8" w:space="0" w:color="000000"/>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154.45</w:t>
            </w:r>
          </w:p>
        </w:tc>
        <w:tc>
          <w:tcPr>
            <w:tcW w:w="2762" w:type="dxa"/>
            <w:tcBorders>
              <w:top w:val="single" w:sz="5" w:space="0" w:color="000000"/>
              <w:left w:val="nil"/>
              <w:bottom w:val="single" w:sz="8" w:space="0" w:color="000000"/>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253.90</w:t>
            </w:r>
          </w:p>
        </w:tc>
        <w:tc>
          <w:tcPr>
            <w:tcW w:w="2762" w:type="dxa"/>
            <w:tcBorders>
              <w:top w:val="single" w:sz="5" w:space="0" w:color="000000"/>
              <w:left w:val="nil"/>
              <w:bottom w:val="single" w:sz="8" w:space="0" w:color="000000"/>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48.92</w:t>
            </w:r>
          </w:p>
        </w:tc>
        <w:tc>
          <w:tcPr>
            <w:tcW w:w="2991" w:type="dxa"/>
            <w:tcBorders>
              <w:top w:val="single" w:sz="5" w:space="0" w:color="000000"/>
              <w:left w:val="nil"/>
              <w:bottom w:val="single" w:sz="8" w:space="0" w:color="000000"/>
              <w:right w:val="nil"/>
            </w:tcBorders>
            <w:tcMar>
              <w:top w:w="40" w:type="dxa"/>
              <w:left w:w="40" w:type="dxa"/>
              <w:bottom w:w="40" w:type="dxa"/>
              <w:right w:w="40" w:type="dxa"/>
            </w:tcMar>
            <w:vAlign w:val="center"/>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57.19</w:t>
            </w:r>
          </w:p>
        </w:tc>
      </w:tr>
    </w:tbl>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Payback Period</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projection cashflow of growth-income 3.65% with fixed costs, Sweet Net can have a fast recovery investment point in 3 Years 2 Months. Meanwhile, under the inflation-cost scenario 2.36% with fixed growth income, the return showed th</w:t>
      </w:r>
      <w:r>
        <w:rPr>
          <w:rFonts w:ascii="Times New Roman" w:eastAsia="Times New Roman" w:hAnsi="Times New Roman" w:cs="Times New Roman"/>
          <w:sz w:val="24"/>
          <w:szCs w:val="24"/>
        </w:rPr>
        <w:t xml:space="preserve">e delay in investment return over 3 Years 7 Months. Based on the result, a shorter payback time reinforces the strong market appeal of Sweet Net, as highlighted by Ms. D as treasure in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who noted in site observation that customs are “willin</w:t>
      </w:r>
      <w:r>
        <w:rPr>
          <w:rFonts w:ascii="Times New Roman" w:eastAsia="Times New Roman" w:hAnsi="Times New Roman" w:cs="Times New Roman"/>
          <w:sz w:val="24"/>
          <w:szCs w:val="24"/>
        </w:rPr>
        <w:t>g to pay at harvest time”, because of the attraction of Sweet Net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seed quality. The findings are similar to the study of </w:t>
      </w:r>
      <w:proofErr w:type="spellStart"/>
      <w:r>
        <w:rPr>
          <w:rFonts w:ascii="Times New Roman" w:eastAsia="Times New Roman" w:hAnsi="Times New Roman" w:cs="Times New Roman"/>
          <w:sz w:val="24"/>
          <w:szCs w:val="24"/>
        </w:rPr>
        <w:t>Ghesitt</w:t>
      </w:r>
      <w:proofErr w:type="spellEnd"/>
      <w:r>
        <w:rPr>
          <w:rFonts w:ascii="Times New Roman" w:eastAsia="Times New Roman" w:hAnsi="Times New Roman" w:cs="Times New Roman"/>
          <w:sz w:val="24"/>
          <w:szCs w:val="24"/>
        </w:rPr>
        <w:t xml:space="preserve"> (2025), which analyzed Sweet Net melon farming using hydroponic NFT systems and reported a payback period of 2.84 years, valida</w:t>
      </w:r>
      <w:r>
        <w:rPr>
          <w:rFonts w:ascii="Times New Roman" w:eastAsia="Times New Roman" w:hAnsi="Times New Roman" w:cs="Times New Roman"/>
          <w:sz w:val="24"/>
          <w:szCs w:val="24"/>
        </w:rPr>
        <w:t xml:space="preserve">ting its financial feasibility and rapid return potential. On the contrary, the analysis of payback period in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required longer than the economic life within 5 years, that in the cashflow projection scenarios with growth income in 3.65% and fixed co</w:t>
      </w:r>
      <w:r>
        <w:rPr>
          <w:rFonts w:ascii="Times New Roman" w:eastAsia="Times New Roman" w:hAnsi="Times New Roman" w:cs="Times New Roman"/>
          <w:sz w:val="24"/>
          <w:szCs w:val="24"/>
        </w:rPr>
        <w:t xml:space="preserve">st it took 5 Years 10 Months. Meanwhile in the inflation-cost scenario, the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indicates a slower return in 7 Years 6 months. This was aligned with the insight of Mr. A, the leader of the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who clarified the purpose behind choosing the</w:t>
      </w:r>
      <w:r>
        <w:rPr>
          <w:rFonts w:ascii="Times New Roman" w:eastAsia="Times New Roman" w:hAnsi="Times New Roman" w:cs="Times New Roman"/>
          <w:sz w:val="24"/>
          <w:szCs w:val="24"/>
        </w:rPr>
        <w:t xml:space="preserve"> variety because of the cost affordability during cultivation process, and as market testing experiments, yet acknowledged it generates lower profit margins. In addition, Mr. B as production staff in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noticed the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has good plant dura</w:t>
      </w:r>
      <w:r>
        <w:rPr>
          <w:rFonts w:ascii="Times New Roman" w:eastAsia="Times New Roman" w:hAnsi="Times New Roman" w:cs="Times New Roman"/>
          <w:sz w:val="24"/>
          <w:szCs w:val="24"/>
        </w:rPr>
        <w:t xml:space="preserve">bility in fruit protection because of “Thickness of the fruit skin structure”. </w:t>
      </w:r>
      <w:proofErr w:type="spellStart"/>
      <w:r>
        <w:rPr>
          <w:rFonts w:ascii="Times New Roman" w:eastAsia="Times New Roman" w:hAnsi="Times New Roman" w:cs="Times New Roman"/>
          <w:sz w:val="24"/>
          <w:szCs w:val="24"/>
        </w:rPr>
        <w:t>Padapi</w:t>
      </w:r>
      <w:proofErr w:type="spellEnd"/>
      <w:r>
        <w:rPr>
          <w:rFonts w:ascii="Times New Roman" w:eastAsia="Times New Roman" w:hAnsi="Times New Roman" w:cs="Times New Roman"/>
          <w:sz w:val="24"/>
          <w:szCs w:val="24"/>
        </w:rPr>
        <w:t xml:space="preserve"> et al. (2024) reported high ROI for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w:t>
      </w:r>
    </w:p>
    <w:p w:rsidR="0090738E" w:rsidRDefault="009B49E8">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6. Payback Period</w:t>
      </w:r>
    </w:p>
    <w:tbl>
      <w:tblPr>
        <w:tblStyle w:val="a4"/>
        <w:tblpPr w:leftFromText="180" w:rightFromText="180" w:topFromText="180" w:bottomFromText="180" w:vertAnchor="text" w:tblpX="88"/>
        <w:tblW w:w="11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26"/>
        <w:gridCol w:w="2705"/>
        <w:gridCol w:w="2899"/>
      </w:tblGrid>
      <w:tr w:rsidR="0090738E">
        <w:trPr>
          <w:trHeight w:val="375"/>
        </w:trPr>
        <w:tc>
          <w:tcPr>
            <w:tcW w:w="5426" w:type="dxa"/>
            <w:tcBorders>
              <w:top w:val="single" w:sz="5" w:space="0" w:color="000000"/>
              <w:left w:val="nil"/>
              <w:bottom w:val="single" w:sz="5" w:space="0" w:color="000000"/>
              <w:right w:val="nil"/>
            </w:tcBorders>
            <w:tcMar>
              <w:top w:w="40" w:type="dxa"/>
              <w:left w:w="40" w:type="dxa"/>
              <w:bottom w:w="40" w:type="dxa"/>
              <w:right w:w="40" w:type="dxa"/>
            </w:tcMar>
            <w:vAlign w:val="bottom"/>
          </w:tcPr>
          <w:p w:rsidR="0090738E" w:rsidRDefault="0090738E">
            <w:pPr>
              <w:spacing w:line="240" w:lineRule="auto"/>
              <w:jc w:val="both"/>
              <w:rPr>
                <w:rFonts w:ascii="Times New Roman" w:eastAsia="Times New Roman" w:hAnsi="Times New Roman" w:cs="Times New Roman"/>
                <w:b/>
                <w:bCs/>
                <w:sz w:val="20"/>
                <w:szCs w:val="20"/>
              </w:rPr>
            </w:pPr>
          </w:p>
        </w:tc>
        <w:tc>
          <w:tcPr>
            <w:tcW w:w="2705" w:type="dxa"/>
            <w:tcBorders>
              <w:top w:val="single" w:sz="5" w:space="0" w:color="000000"/>
              <w:left w:val="nil"/>
              <w:bottom w:val="single" w:sz="5" w:space="0" w:color="000000"/>
              <w:right w:val="nil"/>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Sweet Net</w:t>
            </w:r>
          </w:p>
        </w:tc>
        <w:tc>
          <w:tcPr>
            <w:tcW w:w="2899" w:type="dxa"/>
            <w:tcBorders>
              <w:top w:val="single" w:sz="5" w:space="0" w:color="000000"/>
              <w:left w:val="nil"/>
              <w:bottom w:val="single" w:sz="5" w:space="0" w:color="000000"/>
              <w:right w:val="nil"/>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4"/>
                <w:szCs w:val="24"/>
              </w:rPr>
              <w:t>Okasa</w:t>
            </w:r>
            <w:proofErr w:type="spellEnd"/>
            <w:r>
              <w:rPr>
                <w:rFonts w:ascii="Times New Roman" w:eastAsia="Times New Roman" w:hAnsi="Times New Roman" w:cs="Times New Roman"/>
                <w:b/>
                <w:bCs/>
                <w:sz w:val="24"/>
                <w:szCs w:val="24"/>
              </w:rPr>
              <w:t xml:space="preserve"> F1</w:t>
            </w:r>
          </w:p>
        </w:tc>
      </w:tr>
      <w:tr w:rsidR="0090738E">
        <w:trPr>
          <w:trHeight w:val="345"/>
        </w:trPr>
        <w:tc>
          <w:tcPr>
            <w:tcW w:w="5426" w:type="dxa"/>
            <w:tcBorders>
              <w:top w:val="single" w:sz="5" w:space="0" w:color="000000"/>
              <w:left w:val="nil"/>
              <w:bottom w:val="nil"/>
              <w:right w:val="nil"/>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Cashflow Scenario of Growth Income 3,65%</w:t>
            </w:r>
          </w:p>
        </w:tc>
        <w:tc>
          <w:tcPr>
            <w:tcW w:w="2705" w:type="dxa"/>
            <w:tcBorders>
              <w:top w:val="single" w:sz="5" w:space="0" w:color="000000"/>
              <w:left w:val="nil"/>
              <w:bottom w:val="nil"/>
              <w:right w:val="nil"/>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3 Years 2 Months</w:t>
            </w:r>
          </w:p>
        </w:tc>
        <w:tc>
          <w:tcPr>
            <w:tcW w:w="2899" w:type="dxa"/>
            <w:tcBorders>
              <w:top w:val="single" w:sz="5" w:space="0" w:color="000000"/>
              <w:left w:val="nil"/>
              <w:bottom w:val="nil"/>
              <w:right w:val="nil"/>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Years 10 Months</w:t>
            </w:r>
          </w:p>
        </w:tc>
      </w:tr>
      <w:tr w:rsidR="0090738E">
        <w:trPr>
          <w:trHeight w:val="360"/>
        </w:trPr>
        <w:tc>
          <w:tcPr>
            <w:tcW w:w="5426" w:type="dxa"/>
            <w:tcBorders>
              <w:top w:val="nil"/>
              <w:left w:val="nil"/>
              <w:bottom w:val="single" w:sz="5" w:space="0" w:color="000000"/>
              <w:right w:val="nil"/>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Cashflow Scenario of Interest Rate 2,36%</w:t>
            </w:r>
          </w:p>
        </w:tc>
        <w:tc>
          <w:tcPr>
            <w:tcW w:w="2705" w:type="dxa"/>
            <w:tcBorders>
              <w:top w:val="nil"/>
              <w:left w:val="nil"/>
              <w:bottom w:val="single" w:sz="5" w:space="0" w:color="000000"/>
              <w:right w:val="nil"/>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3 Years 7 Months</w:t>
            </w:r>
          </w:p>
        </w:tc>
        <w:tc>
          <w:tcPr>
            <w:tcW w:w="2899" w:type="dxa"/>
            <w:tcBorders>
              <w:top w:val="nil"/>
              <w:left w:val="nil"/>
              <w:bottom w:val="single" w:sz="5" w:space="0" w:color="000000"/>
              <w:right w:val="nil"/>
            </w:tcBorders>
            <w:tcMar>
              <w:top w:w="40" w:type="dxa"/>
              <w:left w:w="40" w:type="dxa"/>
              <w:bottom w:w="40" w:type="dxa"/>
              <w:right w:w="40" w:type="dxa"/>
            </w:tcMar>
            <w:vAlign w:val="bottom"/>
          </w:tcPr>
          <w:p w:rsidR="0090738E" w:rsidRDefault="009B49E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Years 6 months</w:t>
            </w:r>
          </w:p>
        </w:tc>
      </w:tr>
    </w:tbl>
    <w:p w:rsidR="0090738E" w:rsidRDefault="009B49E8">
      <w:pPr>
        <w:pStyle w:val="Heading1"/>
        <w:spacing w:before="240" w:after="240" w:line="240" w:lineRule="auto"/>
        <w:jc w:val="left"/>
        <w:rPr>
          <w:smallCaps/>
          <w:sz w:val="28"/>
          <w:szCs w:val="28"/>
        </w:rPr>
      </w:pPr>
      <w:bookmarkStart w:id="7" w:name="_80hep9wqq60d" w:colFirst="0" w:colLast="0"/>
      <w:bookmarkEnd w:id="7"/>
      <w:r>
        <w:rPr>
          <w:smallCaps/>
          <w:sz w:val="28"/>
          <w:szCs w:val="28"/>
        </w:rPr>
        <w:t>Discussion</w:t>
      </w:r>
    </w:p>
    <w:p w:rsidR="0090738E" w:rsidRDefault="009B49E8">
      <w:pPr>
        <w:spacing w:before="240" w:after="240" w:line="240" w:lineRule="auto"/>
        <w:jc w:val="both"/>
        <w:rPr>
          <w:rFonts w:ascii="Times New Roman" w:eastAsia="Times New Roman" w:hAnsi="Times New Roman" w:cs="Times New Roman"/>
          <w:sz w:val="24"/>
          <w:szCs w:val="24"/>
        </w:rPr>
      </w:pPr>
      <w:bookmarkStart w:id="8" w:name="_rsi5zyurvvn0" w:colFirst="0" w:colLast="0"/>
      <w:bookmarkEnd w:id="8"/>
      <w:r>
        <w:rPr>
          <w:rFonts w:ascii="Times New Roman" w:eastAsia="Times New Roman" w:hAnsi="Times New Roman" w:cs="Times New Roman"/>
          <w:sz w:val="24"/>
          <w:szCs w:val="24"/>
        </w:rPr>
        <w:t>Sweet Net demonstrates superior performance across all financial indicators. The key factor for smallholder farmers is absolute profit, and Sweet Net is the undisputed l</w:t>
      </w:r>
      <w:r>
        <w:rPr>
          <w:rFonts w:ascii="Times New Roman" w:eastAsia="Times New Roman" w:hAnsi="Times New Roman" w:cs="Times New Roman"/>
          <w:sz w:val="24"/>
          <w:szCs w:val="24"/>
        </w:rPr>
        <w:t xml:space="preserve">eader with a Gross Profit Margin (GPM) of 39% and a Benefit-to-Cost Ratio (BCR) of 1.6. This calculation reveals a significant positive difference between revenue and production costs, which considerably strengthens its financial viability compared to the </w:t>
      </w:r>
      <w:r>
        <w:rPr>
          <w:rFonts w:ascii="Times New Roman" w:eastAsia="Times New Roman" w:hAnsi="Times New Roman" w:cs="Times New Roman"/>
          <w:sz w:val="24"/>
          <w:szCs w:val="24"/>
        </w:rPr>
        <w:t xml:space="preserve">earning potential of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which recorded a much lower GPM of 14% and a BCR of only 1.2.</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at the analysis of the payback period in this case reveals a critical sustainability conflict. Sweet Net offers a quick payback period of approximately 3 years, which indirectly ensures the financial future and operational sustainability of the bus</w:t>
      </w:r>
      <w:r>
        <w:rPr>
          <w:rFonts w:ascii="Times New Roman" w:eastAsia="Times New Roman" w:hAnsi="Times New Roman" w:cs="Times New Roman"/>
          <w:sz w:val="24"/>
          <w:szCs w:val="24"/>
        </w:rPr>
        <w:t xml:space="preserve">iness. In contrast,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F1’s payback period is significantly </w:t>
      </w:r>
      <w:proofErr w:type="gramStart"/>
      <w:r>
        <w:rPr>
          <w:rFonts w:ascii="Times New Roman" w:eastAsia="Times New Roman" w:hAnsi="Times New Roman" w:cs="Times New Roman"/>
          <w:sz w:val="24"/>
          <w:szCs w:val="24"/>
        </w:rPr>
        <w:t>exceeds</w:t>
      </w:r>
      <w:proofErr w:type="gramEnd"/>
      <w:r>
        <w:rPr>
          <w:rFonts w:ascii="Times New Roman" w:eastAsia="Times New Roman" w:hAnsi="Times New Roman" w:cs="Times New Roman"/>
          <w:sz w:val="24"/>
          <w:szCs w:val="24"/>
        </w:rPr>
        <w:t xml:space="preserve"> the lifetime span by 5 years. The analysis indicates that this might pose a structural risk to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as the payback period substantially exceeds the physical lifespan of the </w:t>
      </w:r>
      <w:r>
        <w:rPr>
          <w:rFonts w:ascii="Times New Roman" w:eastAsia="Times New Roman" w:hAnsi="Times New Roman" w:cs="Times New Roman"/>
          <w:sz w:val="24"/>
          <w:szCs w:val="24"/>
        </w:rPr>
        <w:t>greenhouses, and it lacks the capacity to support agricultural infrastructure for continued operations.</w:t>
      </w:r>
    </w:p>
    <w:p w:rsidR="0090738E" w:rsidRDefault="009B49E8">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Though the Sweet Net variety has lower plant endurance, higher yields, a sweeter flavor profile, and a higher break-even point, are justified by its pre</w:t>
      </w:r>
      <w:r>
        <w:rPr>
          <w:rFonts w:ascii="Times New Roman" w:eastAsia="Times New Roman" w:hAnsi="Times New Roman" w:cs="Times New Roman"/>
          <w:sz w:val="24"/>
          <w:szCs w:val="24"/>
        </w:rPr>
        <w:t xml:space="preserve">mium market price and strong market appeal. Without exception,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continues to offer distinct advantages in terms of fruit durability and initial cost efficiency, making it highly suitable </w:t>
      </w:r>
      <w:r>
        <w:rPr>
          <w:rFonts w:ascii="Times New Roman" w:eastAsia="Times New Roman" w:hAnsi="Times New Roman" w:cs="Times New Roman"/>
          <w:sz w:val="24"/>
          <w:szCs w:val="24"/>
        </w:rPr>
        <w:lastRenderedPageBreak/>
        <w:t>for experimental cultivation or as a hedge against the risk o</w:t>
      </w:r>
      <w:r>
        <w:rPr>
          <w:rFonts w:ascii="Times New Roman" w:eastAsia="Times New Roman" w:hAnsi="Times New Roman" w:cs="Times New Roman"/>
          <w:sz w:val="24"/>
          <w:szCs w:val="24"/>
        </w:rPr>
        <w:t>f crop failure due to production errors. This dynamic supports the concept of double benefits in agricultural management. Within this framework, Sweet Net serves as the primary engine for capital accumulation, providing the substantial wealth needed to imp</w:t>
      </w:r>
      <w:r>
        <w:rPr>
          <w:rFonts w:ascii="Times New Roman" w:eastAsia="Times New Roman" w:hAnsi="Times New Roman" w:cs="Times New Roman"/>
          <w:sz w:val="24"/>
          <w:szCs w:val="24"/>
        </w:rPr>
        <w:t xml:space="preserve">rove agricultural infrastructure and expand long-term operations. Additionally,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offers lower initial seed investment and long-lasting crop yields, providing the steady liquidity required to manage short-term cash flow and pay daily agricultural la</w:t>
      </w:r>
      <w:r>
        <w:rPr>
          <w:rFonts w:ascii="Times New Roman" w:eastAsia="Times New Roman" w:hAnsi="Times New Roman" w:cs="Times New Roman"/>
          <w:sz w:val="24"/>
          <w:szCs w:val="24"/>
        </w:rPr>
        <w:t>bor costs.</w:t>
      </w:r>
    </w:p>
    <w:p w:rsidR="0090738E" w:rsidRDefault="009B49E8">
      <w:pPr>
        <w:spacing w:before="240" w:after="240" w:line="240" w:lineRule="auto"/>
        <w:jc w:val="both"/>
        <w:rPr>
          <w:rFonts w:ascii="Times New Roman" w:eastAsia="Times New Roman" w:hAnsi="Times New Roman" w:cs="Times New Roman"/>
          <w:b/>
          <w:bCs/>
          <w:smallCaps/>
          <w:sz w:val="24"/>
          <w:szCs w:val="24"/>
        </w:rPr>
      </w:pPr>
      <w:r>
        <w:rPr>
          <w:rFonts w:ascii="Times New Roman" w:eastAsia="Times New Roman" w:hAnsi="Times New Roman" w:cs="Times New Roman"/>
          <w:sz w:val="24"/>
          <w:szCs w:val="24"/>
        </w:rPr>
        <w:t xml:space="preserve">Taking all factors into account, these findings strongly suggest that the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consider adopting a strategic diversification model, which effectively forms a Market Matrix portfolio. Instead of relying entirely on a single variety, th</w:t>
      </w:r>
      <w:r>
        <w:rPr>
          <w:rFonts w:ascii="Times New Roman" w:eastAsia="Times New Roman" w:hAnsi="Times New Roman" w:cs="Times New Roman"/>
          <w:sz w:val="24"/>
          <w:szCs w:val="24"/>
        </w:rPr>
        <w:t xml:space="preserve">is two-variety approach allows farmers to effectively leverage Sweet Net in high-return strategies during peak growing cycles and favorable market conditions. Simultaneously,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serves as a defensive pillar within the matrix, providing resilience and</w:t>
      </w:r>
      <w:r>
        <w:rPr>
          <w:rFonts w:ascii="Times New Roman" w:eastAsia="Times New Roman" w:hAnsi="Times New Roman" w:cs="Times New Roman"/>
          <w:sz w:val="24"/>
          <w:szCs w:val="24"/>
        </w:rPr>
        <w:t xml:space="preserve"> operational stability amid adverse environmental changes or unpredictable market shifts. By balancing profitability-generating crops with liquidity-protecting crops, the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can establish an optimal and sustainable strategy that maximizes econ</w:t>
      </w:r>
      <w:r>
        <w:rPr>
          <w:rFonts w:ascii="Times New Roman" w:eastAsia="Times New Roman" w:hAnsi="Times New Roman" w:cs="Times New Roman"/>
          <w:sz w:val="24"/>
          <w:szCs w:val="24"/>
        </w:rPr>
        <w:t>omic growth while successfully protecting itself from uncertainty in the agricultural sector.</w:t>
      </w:r>
    </w:p>
    <w:p w:rsidR="0090738E" w:rsidRDefault="009B49E8">
      <w:pPr>
        <w:pStyle w:val="Heading1"/>
        <w:spacing w:before="240" w:after="240" w:line="240" w:lineRule="auto"/>
        <w:jc w:val="left"/>
        <w:rPr>
          <w:smallCaps/>
          <w:sz w:val="28"/>
          <w:szCs w:val="28"/>
        </w:rPr>
      </w:pPr>
      <w:r>
        <w:rPr>
          <w:smallCaps/>
          <w:sz w:val="28"/>
          <w:szCs w:val="28"/>
        </w:rPr>
        <w:t>Conclusion</w:t>
      </w:r>
    </w:p>
    <w:p w:rsidR="0090738E" w:rsidRDefault="009B49E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Economic sustainability in the case of the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business, which focuses on cultivating two different types of melon premium varieties. The c</w:t>
      </w:r>
      <w:r>
        <w:rPr>
          <w:rFonts w:ascii="Times New Roman" w:eastAsia="Times New Roman" w:hAnsi="Times New Roman" w:cs="Times New Roman"/>
          <w:sz w:val="24"/>
          <w:szCs w:val="24"/>
        </w:rPr>
        <w:t xml:space="preserve">omparative study reflects the calculation used by the financial indicator from the data report. This research provides further context by putting in-depth insights from the management and operation team of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The finding demonstrates that Swe</w:t>
      </w:r>
      <w:r>
        <w:rPr>
          <w:rFonts w:ascii="Times New Roman" w:eastAsia="Times New Roman" w:hAnsi="Times New Roman" w:cs="Times New Roman"/>
          <w:sz w:val="24"/>
          <w:szCs w:val="24"/>
        </w:rPr>
        <w:t xml:space="preserve">et Net demonstrate financial advantages across economic indicator analysis than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Refers to long-term investment analysis to discover the ability to pay back for investment in order to maximize the area and resources. Sweet Net has shown itself to </w:t>
      </w:r>
      <w:r>
        <w:rPr>
          <w:rFonts w:ascii="Times New Roman" w:eastAsia="Times New Roman" w:hAnsi="Times New Roman" w:cs="Times New Roman"/>
          <w:sz w:val="24"/>
          <w:szCs w:val="24"/>
        </w:rPr>
        <w:t>be a more feasible and profitable crop due to its dominance. Related to the statement of Ms. D, who mentioned that through the financial report, the value of Gross Profit Margin (GPM) is directly influenced by high customer demand for variety during the pe</w:t>
      </w:r>
      <w:r>
        <w:rPr>
          <w:rFonts w:ascii="Times New Roman" w:eastAsia="Times New Roman" w:hAnsi="Times New Roman" w:cs="Times New Roman"/>
          <w:sz w:val="24"/>
          <w:szCs w:val="24"/>
        </w:rPr>
        <w:t>riod of harvest day, confirming the superiority on the ability to cover operational expenses.</w:t>
      </w:r>
    </w:p>
    <w:p w:rsidR="0090738E" w:rsidRDefault="0090738E">
      <w:pPr>
        <w:jc w:val="both"/>
        <w:rPr>
          <w:rFonts w:ascii="Times New Roman" w:eastAsia="Times New Roman" w:hAnsi="Times New Roman" w:cs="Times New Roman"/>
          <w:sz w:val="24"/>
          <w:szCs w:val="24"/>
        </w:rPr>
      </w:pPr>
    </w:p>
    <w:p w:rsidR="0090738E" w:rsidRDefault="009B49E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Referring to the durability of the variety,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demonstrates high performance in operational conditions, as mentioned by production staff member Mr. B, who </w:t>
      </w:r>
      <w:r>
        <w:rPr>
          <w:rFonts w:ascii="Times New Roman" w:eastAsia="Times New Roman" w:hAnsi="Times New Roman" w:cs="Times New Roman"/>
          <w:sz w:val="24"/>
          <w:szCs w:val="24"/>
        </w:rPr>
        <w:t xml:space="preserve">explained that the fruit’s quality remains intact even during crises. The operation advantages, as mentioned, could be a consideration for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if they prefer to choose the durable fruit, which is easier to maintain due to the character of the c</w:t>
      </w:r>
      <w:r>
        <w:rPr>
          <w:rFonts w:ascii="Times New Roman" w:eastAsia="Times New Roman" w:hAnsi="Times New Roman" w:cs="Times New Roman"/>
          <w:sz w:val="24"/>
          <w:szCs w:val="24"/>
        </w:rPr>
        <w:t xml:space="preserve">rop profile. In compromise with the recent economic indicator results,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has a narrow income margin with a limited financial safety net. A break-even point (BEP) analysis fairly good safety margin, while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indicates a high level of financial </w:t>
      </w:r>
      <w:r>
        <w:rPr>
          <w:rFonts w:ascii="Times New Roman" w:eastAsia="Times New Roman" w:hAnsi="Times New Roman" w:cs="Times New Roman"/>
          <w:sz w:val="24"/>
          <w:szCs w:val="24"/>
        </w:rPr>
        <w:t xml:space="preserve">vulnerability. However, this financial risk is partially counterbalanced by the variety’s growth characteristics, specifically its exceptional fruit physical durability. </w:t>
      </w:r>
    </w:p>
    <w:p w:rsidR="0090738E" w:rsidRDefault="009B49E8">
      <w:pPr>
        <w:spacing w:before="240" w:after="240" w:line="240" w:lineRule="auto"/>
        <w:jc w:val="both"/>
        <w:rPr>
          <w:rFonts w:ascii="Times New Roman" w:eastAsia="Times New Roman" w:hAnsi="Times New Roman" w:cs="Times New Roman"/>
          <w:b/>
          <w:bCs/>
          <w:smallCaps/>
          <w:sz w:val="24"/>
          <w:szCs w:val="24"/>
        </w:rPr>
      </w:pPr>
      <w:r>
        <w:rPr>
          <w:rFonts w:ascii="Times New Roman" w:eastAsia="Times New Roman" w:hAnsi="Times New Roman" w:cs="Times New Roman"/>
          <w:sz w:val="24"/>
          <w:szCs w:val="24"/>
        </w:rPr>
        <w:t>Through this case study research, a comparative economic feasibility analysis goes beyond the financial indicator calculation, it has become a strategic framework for supporting economic sustainability in agricultural business. By examining the financial v</w:t>
      </w:r>
      <w:r>
        <w:rPr>
          <w:rFonts w:ascii="Times New Roman" w:eastAsia="Times New Roman" w:hAnsi="Times New Roman" w:cs="Times New Roman"/>
          <w:sz w:val="24"/>
          <w:szCs w:val="24"/>
        </w:rPr>
        <w:t xml:space="preserve">iability of each variety as well as getting a deeper understanding of production characteristics and market potential of different melon varieties, the approach supports investment decisions that align with long-term business objectives. The case of Sweet </w:t>
      </w:r>
      <w:r>
        <w:rPr>
          <w:rFonts w:ascii="Times New Roman" w:eastAsia="Times New Roman" w:hAnsi="Times New Roman" w:cs="Times New Roman"/>
          <w:sz w:val="24"/>
          <w:szCs w:val="24"/>
        </w:rPr>
        <w:t xml:space="preserve">Net and </w:t>
      </w:r>
      <w:proofErr w:type="spellStart"/>
      <w:r>
        <w:rPr>
          <w:rFonts w:ascii="Times New Roman" w:eastAsia="Times New Roman" w:hAnsi="Times New Roman" w:cs="Times New Roman"/>
          <w:sz w:val="24"/>
          <w:szCs w:val="24"/>
        </w:rPr>
        <w:t>Okasa</w:t>
      </w:r>
      <w:proofErr w:type="spellEnd"/>
      <w:r>
        <w:rPr>
          <w:rFonts w:ascii="Times New Roman" w:eastAsia="Times New Roman" w:hAnsi="Times New Roman" w:cs="Times New Roman"/>
          <w:sz w:val="24"/>
          <w:szCs w:val="24"/>
        </w:rPr>
        <w:t xml:space="preserve"> F1 </w:t>
      </w:r>
      <w:proofErr w:type="spellStart"/>
      <w:r>
        <w:rPr>
          <w:rFonts w:ascii="Times New Roman" w:eastAsia="Times New Roman" w:hAnsi="Times New Roman" w:cs="Times New Roman"/>
          <w:sz w:val="24"/>
          <w:szCs w:val="24"/>
        </w:rPr>
        <w:t>ilustrates</w:t>
      </w:r>
      <w:proofErr w:type="spellEnd"/>
      <w:r>
        <w:rPr>
          <w:rFonts w:ascii="Times New Roman" w:eastAsia="Times New Roman" w:hAnsi="Times New Roman" w:cs="Times New Roman"/>
          <w:sz w:val="24"/>
          <w:szCs w:val="24"/>
        </w:rPr>
        <w:t xml:space="preserve"> the economically sustainable variety selection requires a balance between profitability in term of operational resilience and market opportunity. Therefore, farmers, agriculture businesspeople, and extension practitioners are en</w:t>
      </w:r>
      <w:r>
        <w:rPr>
          <w:rFonts w:ascii="Times New Roman" w:eastAsia="Times New Roman" w:hAnsi="Times New Roman" w:cs="Times New Roman"/>
          <w:sz w:val="24"/>
          <w:szCs w:val="24"/>
        </w:rPr>
        <w:t>couraged to do a comparative analysis in order to maximize resource allocation, reduce investment risk, and strengthen the long-term sustainability and competitiveness of agricultural businesses.</w:t>
      </w:r>
    </w:p>
    <w:p w:rsidR="0090738E" w:rsidRDefault="009B49E8">
      <w:pPr>
        <w:pStyle w:val="Heading1"/>
        <w:spacing w:before="240" w:after="240" w:line="240" w:lineRule="auto"/>
        <w:jc w:val="left"/>
        <w:rPr>
          <w:smallCaps/>
          <w:sz w:val="28"/>
          <w:szCs w:val="28"/>
        </w:rPr>
      </w:pPr>
      <w:r>
        <w:rPr>
          <w:smallCaps/>
          <w:sz w:val="28"/>
          <w:szCs w:val="28"/>
        </w:rPr>
        <w:lastRenderedPageBreak/>
        <w:t>ACKNOWLEDGEMENTS</w:t>
      </w:r>
    </w:p>
    <w:p w:rsidR="0090738E" w:rsidRDefault="009B49E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 respectfully admires the collabo</w:t>
      </w:r>
      <w:r>
        <w:rPr>
          <w:rFonts w:ascii="Times New Roman" w:eastAsia="Times New Roman" w:hAnsi="Times New Roman" w:cs="Times New Roman"/>
          <w:sz w:val="24"/>
          <w:szCs w:val="24"/>
        </w:rPr>
        <w:t xml:space="preserve">ration between President University and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Teknikal</w:t>
      </w:r>
      <w:proofErr w:type="spellEnd"/>
      <w:r>
        <w:rPr>
          <w:rFonts w:ascii="Times New Roman" w:eastAsia="Times New Roman" w:hAnsi="Times New Roman" w:cs="Times New Roman"/>
          <w:sz w:val="24"/>
          <w:szCs w:val="24"/>
        </w:rPr>
        <w:t xml:space="preserve"> Malaysia Melaka, thanks to </w:t>
      </w:r>
      <w:proofErr w:type="spellStart"/>
      <w:r>
        <w:rPr>
          <w:rFonts w:ascii="Times New Roman" w:eastAsia="Times New Roman" w:hAnsi="Times New Roman" w:cs="Times New Roman"/>
          <w:sz w:val="24"/>
          <w:szCs w:val="24"/>
        </w:rPr>
        <w:t>Rachmi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Satwikawara</w:t>
      </w:r>
      <w:proofErr w:type="spellEnd"/>
      <w:r>
        <w:rPr>
          <w:rFonts w:ascii="Times New Roman" w:eastAsia="Times New Roman" w:hAnsi="Times New Roman" w:cs="Times New Roman"/>
          <w:sz w:val="24"/>
          <w:szCs w:val="24"/>
        </w:rPr>
        <w:t xml:space="preserve">, lecturer of Agribusiness Study Program, President University, for her guidance during the completion of the research. Thanks, </w:t>
      </w:r>
      <w:proofErr w:type="spellStart"/>
      <w:r>
        <w:rPr>
          <w:rFonts w:ascii="Times New Roman" w:eastAsia="Times New Roman" w:hAnsi="Times New Roman" w:cs="Times New Roman"/>
          <w:sz w:val="24"/>
          <w:szCs w:val="24"/>
        </w:rPr>
        <w:t>Hafidz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Faidillah</w:t>
      </w:r>
      <w:proofErr w:type="spellEnd"/>
      <w:r>
        <w:rPr>
          <w:rFonts w:ascii="Times New Roman" w:eastAsia="Times New Roman" w:hAnsi="Times New Roman" w:cs="Times New Roman"/>
          <w:sz w:val="24"/>
          <w:szCs w:val="24"/>
        </w:rPr>
        <w:t>, the l</w:t>
      </w:r>
      <w:r>
        <w:rPr>
          <w:rFonts w:ascii="Times New Roman" w:eastAsia="Times New Roman" w:hAnsi="Times New Roman" w:cs="Times New Roman"/>
          <w:sz w:val="24"/>
          <w:szCs w:val="24"/>
        </w:rPr>
        <w:t xml:space="preserve">eader of </w:t>
      </w:r>
      <w:proofErr w:type="spellStart"/>
      <w:r>
        <w:rPr>
          <w:rFonts w:ascii="Times New Roman" w:eastAsia="Times New Roman" w:hAnsi="Times New Roman" w:cs="Times New Roman"/>
          <w:sz w:val="24"/>
          <w:szCs w:val="24"/>
        </w:rPr>
        <w:t>Beken</w:t>
      </w:r>
      <w:proofErr w:type="spellEnd"/>
      <w:r>
        <w:rPr>
          <w:rFonts w:ascii="Times New Roman" w:eastAsia="Times New Roman" w:hAnsi="Times New Roman" w:cs="Times New Roman"/>
          <w:sz w:val="24"/>
          <w:szCs w:val="24"/>
        </w:rPr>
        <w:t xml:space="preserve"> Community, for granting access to the author to use the community as a research object and enabling a deeper observation of the phenomenon. Sincere thanks go to Dr. </w:t>
      </w:r>
      <w:proofErr w:type="spellStart"/>
      <w:r>
        <w:rPr>
          <w:rFonts w:ascii="Times New Roman" w:eastAsia="Times New Roman" w:hAnsi="Times New Roman" w:cs="Times New Roman"/>
          <w:sz w:val="24"/>
          <w:szCs w:val="24"/>
        </w:rPr>
        <w:t>Filda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Rahmiati</w:t>
      </w:r>
      <w:proofErr w:type="spellEnd"/>
      <w:r>
        <w:rPr>
          <w:rFonts w:ascii="Times New Roman" w:eastAsia="Times New Roman" w:hAnsi="Times New Roman" w:cs="Times New Roman"/>
          <w:sz w:val="24"/>
          <w:szCs w:val="24"/>
        </w:rPr>
        <w:t xml:space="preserve">, lecturer of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Teknikal</w:t>
      </w:r>
      <w:proofErr w:type="spellEnd"/>
      <w:r>
        <w:rPr>
          <w:rFonts w:ascii="Times New Roman" w:eastAsia="Times New Roman" w:hAnsi="Times New Roman" w:cs="Times New Roman"/>
          <w:sz w:val="24"/>
          <w:szCs w:val="24"/>
        </w:rPr>
        <w:t xml:space="preserve"> Malaysia Melaka, and Lukas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rPr>
        <w:t>angka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Pamungkas</w:t>
      </w:r>
      <w:proofErr w:type="spellEnd"/>
      <w:r>
        <w:rPr>
          <w:rFonts w:ascii="Times New Roman" w:eastAsia="Times New Roman" w:hAnsi="Times New Roman" w:cs="Times New Roman"/>
          <w:sz w:val="24"/>
          <w:szCs w:val="24"/>
        </w:rPr>
        <w:t>, Lecturer of the Agribusiness study program, President University, for giving valuable advice on improving the writing manuscript. The author further expresses appreciation to the lecturers and administrative staff of President University f</w:t>
      </w:r>
      <w:r>
        <w:rPr>
          <w:rFonts w:ascii="Times New Roman" w:eastAsia="Times New Roman" w:hAnsi="Times New Roman" w:cs="Times New Roman"/>
          <w:sz w:val="24"/>
          <w:szCs w:val="24"/>
        </w:rPr>
        <w:t>or their encouragement and support throughout the completion of the author’s degree.</w:t>
      </w:r>
    </w:p>
    <w:p w:rsidR="0090738E" w:rsidRDefault="009B49E8">
      <w:pPr>
        <w:pStyle w:val="Heading1"/>
        <w:spacing w:before="240" w:after="240" w:line="240" w:lineRule="auto"/>
        <w:jc w:val="left"/>
        <w:rPr>
          <w:smallCaps/>
          <w:sz w:val="28"/>
          <w:szCs w:val="28"/>
          <w:highlight w:val="white"/>
        </w:rPr>
      </w:pPr>
      <w:r>
        <w:rPr>
          <w:smallCaps/>
          <w:sz w:val="28"/>
          <w:szCs w:val="28"/>
        </w:rPr>
        <w:t>References</w:t>
      </w:r>
    </w:p>
    <w:p w:rsidR="0090738E" w:rsidRDefault="009B49E8">
      <w:pPr>
        <w:numPr>
          <w:ilvl w:val="0"/>
          <w:numId w:val="2"/>
        </w:numPr>
        <w:spacing w:before="240"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Badan Pusat </w:t>
      </w:r>
      <w:proofErr w:type="spellStart"/>
      <w:r>
        <w:rPr>
          <w:rFonts w:ascii="Times New Roman" w:eastAsia="Times New Roman" w:hAnsi="Times New Roman" w:cs="Times New Roman"/>
          <w:sz w:val="24"/>
          <w:szCs w:val="24"/>
          <w:highlight w:val="white"/>
        </w:rPr>
        <w:t>Statistik</w:t>
      </w:r>
      <w:proofErr w:type="spellEnd"/>
      <w:r>
        <w:rPr>
          <w:rFonts w:ascii="Times New Roman" w:eastAsia="Times New Roman" w:hAnsi="Times New Roman" w:cs="Times New Roman"/>
          <w:sz w:val="24"/>
          <w:szCs w:val="24"/>
          <w:highlight w:val="white"/>
        </w:rPr>
        <w:t xml:space="preserve">. (2024). </w:t>
      </w:r>
      <w:proofErr w:type="spellStart"/>
      <w:r>
        <w:rPr>
          <w:rFonts w:ascii="Times New Roman" w:eastAsia="Times New Roman" w:hAnsi="Times New Roman" w:cs="Times New Roman"/>
          <w:sz w:val="24"/>
          <w:szCs w:val="24"/>
          <w:highlight w:val="white"/>
        </w:rPr>
        <w:t>Produk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Domestik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Bruto</w:t>
      </w:r>
      <w:proofErr w:type="spellEnd"/>
      <w:r>
        <w:rPr>
          <w:rFonts w:ascii="Times New Roman" w:eastAsia="Times New Roman" w:hAnsi="Times New Roman" w:cs="Times New Roman"/>
          <w:sz w:val="24"/>
          <w:szCs w:val="24"/>
          <w:highlight w:val="white"/>
        </w:rPr>
        <w:t xml:space="preserve"> Indonesia </w:t>
      </w:r>
      <w:proofErr w:type="spellStart"/>
      <w:r>
        <w:rPr>
          <w:rFonts w:ascii="Times New Roman" w:eastAsia="Times New Roman" w:hAnsi="Times New Roman" w:cs="Times New Roman"/>
          <w:sz w:val="24"/>
          <w:szCs w:val="24"/>
          <w:highlight w:val="white"/>
        </w:rPr>
        <w:t>Triwulanan</w:t>
      </w:r>
      <w:proofErr w:type="spellEnd"/>
      <w:r>
        <w:rPr>
          <w:rFonts w:ascii="Times New Roman" w:eastAsia="Times New Roman" w:hAnsi="Times New Roman" w:cs="Times New Roman"/>
          <w:sz w:val="24"/>
          <w:szCs w:val="24"/>
          <w:highlight w:val="white"/>
        </w:rPr>
        <w:t xml:space="preserve"> 2020-2024. Retrieved from https://www.bps.go.id/id/publication/2024/10/09/7290b829d2ea</w:t>
      </w:r>
      <w:r>
        <w:rPr>
          <w:rFonts w:ascii="Times New Roman" w:eastAsia="Times New Roman" w:hAnsi="Times New Roman" w:cs="Times New Roman"/>
          <w:sz w:val="24"/>
          <w:szCs w:val="24"/>
          <w:highlight w:val="white"/>
        </w:rPr>
        <w:t>a972e4968d19/produk-domestik-bruto-indonesia-triwulanan-2020-2024.html</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Cahyani</w:t>
      </w:r>
      <w:proofErr w:type="spellEnd"/>
      <w:r>
        <w:rPr>
          <w:rFonts w:ascii="Times New Roman" w:eastAsia="Times New Roman" w:hAnsi="Times New Roman" w:cs="Times New Roman"/>
          <w:sz w:val="24"/>
          <w:szCs w:val="24"/>
          <w:highlight w:val="white"/>
        </w:rPr>
        <w:t xml:space="preserve">, R. D., </w:t>
      </w:r>
      <w:proofErr w:type="spellStart"/>
      <w:r>
        <w:rPr>
          <w:rFonts w:ascii="Times New Roman" w:eastAsia="Times New Roman" w:hAnsi="Times New Roman" w:cs="Times New Roman"/>
          <w:sz w:val="24"/>
          <w:szCs w:val="24"/>
          <w:highlight w:val="white"/>
        </w:rPr>
        <w:t>Hidayat</w:t>
      </w:r>
      <w:proofErr w:type="spellEnd"/>
      <w:r>
        <w:rPr>
          <w:rFonts w:ascii="Times New Roman" w:eastAsia="Times New Roman" w:hAnsi="Times New Roman" w:cs="Times New Roman"/>
          <w:sz w:val="24"/>
          <w:szCs w:val="24"/>
          <w:highlight w:val="white"/>
        </w:rPr>
        <w:t xml:space="preserve">, K., &amp; </w:t>
      </w:r>
      <w:proofErr w:type="spellStart"/>
      <w:r>
        <w:rPr>
          <w:rFonts w:ascii="Times New Roman" w:eastAsia="Times New Roman" w:hAnsi="Times New Roman" w:cs="Times New Roman"/>
          <w:sz w:val="24"/>
          <w:szCs w:val="24"/>
          <w:highlight w:val="white"/>
        </w:rPr>
        <w:t>Kustanti</w:t>
      </w:r>
      <w:proofErr w:type="spellEnd"/>
      <w:r>
        <w:rPr>
          <w:rFonts w:ascii="Times New Roman" w:eastAsia="Times New Roman" w:hAnsi="Times New Roman" w:cs="Times New Roman"/>
          <w:sz w:val="24"/>
          <w:szCs w:val="24"/>
          <w:highlight w:val="white"/>
        </w:rPr>
        <w:t xml:space="preserve">, A. (2024). </w:t>
      </w:r>
      <w:proofErr w:type="spellStart"/>
      <w:r>
        <w:rPr>
          <w:rFonts w:ascii="Times New Roman" w:eastAsia="Times New Roman" w:hAnsi="Times New Roman" w:cs="Times New Roman"/>
          <w:sz w:val="24"/>
          <w:szCs w:val="24"/>
          <w:highlight w:val="white"/>
        </w:rPr>
        <w:t>Adopsi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inovasi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budidaya</w:t>
      </w:r>
      <w:proofErr w:type="spellEnd"/>
      <w:r>
        <w:rPr>
          <w:rFonts w:ascii="Times New Roman" w:eastAsia="Times New Roman" w:hAnsi="Times New Roman" w:cs="Times New Roman"/>
          <w:sz w:val="24"/>
          <w:szCs w:val="24"/>
          <w:highlight w:val="white"/>
        </w:rPr>
        <w:t xml:space="preserve"> melon (</w:t>
      </w:r>
      <w:r>
        <w:rPr>
          <w:rFonts w:ascii="Times New Roman" w:eastAsia="Times New Roman" w:hAnsi="Times New Roman" w:cs="Times New Roman"/>
          <w:i/>
          <w:iCs/>
          <w:sz w:val="24"/>
          <w:szCs w:val="24"/>
          <w:highlight w:val="white"/>
        </w:rPr>
        <w:t xml:space="preserve">Cucumis </w:t>
      </w:r>
      <w:proofErr w:type="spellStart"/>
      <w:r>
        <w:rPr>
          <w:rFonts w:ascii="Times New Roman" w:eastAsia="Times New Roman" w:hAnsi="Times New Roman" w:cs="Times New Roman"/>
          <w:i/>
          <w:iCs/>
          <w:sz w:val="24"/>
          <w:szCs w:val="24"/>
          <w:highlight w:val="white"/>
        </w:rPr>
        <w:t>melo</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dengan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teknologi</w:t>
      </w:r>
      <w:proofErr w:type="spellEnd"/>
      <w:r>
        <w:rPr>
          <w:rFonts w:ascii="Times New Roman" w:eastAsia="Times New Roman" w:hAnsi="Times New Roman" w:cs="Times New Roman"/>
          <w:sz w:val="24"/>
          <w:szCs w:val="24"/>
          <w:highlight w:val="white"/>
        </w:rPr>
        <w:t xml:space="preserve"> greenhouse di </w:t>
      </w:r>
      <w:proofErr w:type="spellStart"/>
      <w:r>
        <w:rPr>
          <w:rFonts w:ascii="Times New Roman" w:eastAsia="Times New Roman" w:hAnsi="Times New Roman" w:cs="Times New Roman"/>
          <w:sz w:val="24"/>
          <w:szCs w:val="24"/>
          <w:highlight w:val="white"/>
        </w:rPr>
        <w:t>Kecamatan</w:t>
      </w:r>
      <w:proofErr w:type="spellEnd"/>
      <w:r>
        <w:rPr>
          <w:rFonts w:ascii="Times New Roman" w:eastAsia="Times New Roman" w:hAnsi="Times New Roman" w:cs="Times New Roman"/>
          <w:sz w:val="24"/>
          <w:szCs w:val="24"/>
          <w:highlight w:val="white"/>
        </w:rPr>
        <w:t xml:space="preserve"> Wates </w:t>
      </w:r>
      <w:proofErr w:type="spellStart"/>
      <w:r>
        <w:rPr>
          <w:rFonts w:ascii="Times New Roman" w:eastAsia="Times New Roman" w:hAnsi="Times New Roman" w:cs="Times New Roman"/>
          <w:sz w:val="24"/>
          <w:szCs w:val="24"/>
          <w:highlight w:val="white"/>
        </w:rPr>
        <w:t>Kabupaten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Blitar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i/>
          <w:iCs/>
          <w:sz w:val="24"/>
          <w:szCs w:val="24"/>
          <w:highlight w:val="white"/>
        </w:rPr>
        <w:t>Jurnal</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Ekonomi</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Perta</w:t>
      </w:r>
      <w:r>
        <w:rPr>
          <w:rFonts w:ascii="Times New Roman" w:eastAsia="Times New Roman" w:hAnsi="Times New Roman" w:cs="Times New Roman"/>
          <w:i/>
          <w:iCs/>
          <w:sz w:val="24"/>
          <w:szCs w:val="24"/>
          <w:highlight w:val="white"/>
        </w:rPr>
        <w:t>nian</w:t>
      </w:r>
      <w:proofErr w:type="spellEnd"/>
      <w:r>
        <w:rPr>
          <w:rFonts w:ascii="Times New Roman" w:eastAsia="Times New Roman" w:hAnsi="Times New Roman" w:cs="Times New Roman"/>
          <w:i/>
          <w:iCs/>
          <w:sz w:val="24"/>
          <w:szCs w:val="24"/>
          <w:highlight w:val="white"/>
        </w:rPr>
        <w:t xml:space="preserve"> dan </w:t>
      </w:r>
      <w:proofErr w:type="spellStart"/>
      <w:r>
        <w:rPr>
          <w:rFonts w:ascii="Times New Roman" w:eastAsia="Times New Roman" w:hAnsi="Times New Roman" w:cs="Times New Roman"/>
          <w:i/>
          <w:iCs/>
          <w:sz w:val="24"/>
          <w:szCs w:val="24"/>
          <w:highlight w:val="white"/>
        </w:rPr>
        <w:t>Agribisnis</w:t>
      </w:r>
      <w:proofErr w:type="spellEnd"/>
      <w:r>
        <w:rPr>
          <w:rFonts w:ascii="Times New Roman" w:eastAsia="Times New Roman" w:hAnsi="Times New Roman" w:cs="Times New Roman"/>
          <w:i/>
          <w:iCs/>
          <w:sz w:val="24"/>
          <w:szCs w:val="24"/>
          <w:highlight w:val="white"/>
        </w:rPr>
        <w:t>, 8</w:t>
      </w:r>
      <w:r>
        <w:rPr>
          <w:rFonts w:ascii="Times New Roman" w:eastAsia="Times New Roman" w:hAnsi="Times New Roman" w:cs="Times New Roman"/>
          <w:sz w:val="24"/>
          <w:szCs w:val="24"/>
          <w:highlight w:val="white"/>
        </w:rPr>
        <w:t xml:space="preserve">(2). </w:t>
      </w:r>
      <w:proofErr w:type="gramStart"/>
      <w:r>
        <w:rPr>
          <w:rFonts w:ascii="Times New Roman" w:eastAsia="Times New Roman" w:hAnsi="Times New Roman" w:cs="Times New Roman"/>
          <w:sz w:val="24"/>
          <w:szCs w:val="24"/>
          <w:highlight w:val="white"/>
        </w:rPr>
        <w:t>doi:10.21776/ub.jepa</w:t>
      </w:r>
      <w:proofErr w:type="gramEnd"/>
      <w:r>
        <w:rPr>
          <w:rFonts w:ascii="Times New Roman" w:eastAsia="Times New Roman" w:hAnsi="Times New Roman" w:cs="Times New Roman"/>
          <w:sz w:val="24"/>
          <w:szCs w:val="24"/>
          <w:highlight w:val="white"/>
        </w:rPr>
        <w:t>.2024.008.02.14</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Creswell, J. W., &amp; Creswell, J. D. (2018). Research design: Qualitative, quantitative, and mixed methods approach (5th ed.). Thousand Oaks, CA: SAGE Publications.</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Directorate General of Horticu</w:t>
      </w:r>
      <w:r>
        <w:rPr>
          <w:rFonts w:ascii="Times New Roman" w:eastAsia="Times New Roman" w:hAnsi="Times New Roman" w:cs="Times New Roman"/>
          <w:sz w:val="24"/>
          <w:szCs w:val="24"/>
        </w:rPr>
        <w:t xml:space="preserve">lture (2022). Outlook </w:t>
      </w:r>
      <w:proofErr w:type="spellStart"/>
      <w:r>
        <w:rPr>
          <w:rFonts w:ascii="Times New Roman" w:eastAsia="Times New Roman" w:hAnsi="Times New Roman" w:cs="Times New Roman"/>
          <w:sz w:val="24"/>
          <w:szCs w:val="24"/>
        </w:rPr>
        <w:t>komoditas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hortikultura</w:t>
      </w:r>
      <w:proofErr w:type="spellEnd"/>
      <w:r>
        <w:rPr>
          <w:rFonts w:ascii="Times New Roman" w:eastAsia="Times New Roman" w:hAnsi="Times New Roman" w:cs="Times New Roman"/>
          <w:sz w:val="24"/>
          <w:szCs w:val="24"/>
        </w:rPr>
        <w:t xml:space="preserve">: Melon 2022 [Horticulture commodity outlook: Melon 2022]. Kementerian </w:t>
      </w:r>
      <w:proofErr w:type="spellStart"/>
      <w:r>
        <w:rPr>
          <w:rFonts w:ascii="Times New Roman" w:eastAsia="Times New Roman" w:hAnsi="Times New Roman" w:cs="Times New Roman"/>
          <w:sz w:val="24"/>
          <w:szCs w:val="24"/>
        </w:rPr>
        <w:t>Pertanian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Republik</w:t>
      </w:r>
      <w:proofErr w:type="spellEnd"/>
      <w:r>
        <w:rPr>
          <w:rFonts w:ascii="Times New Roman" w:eastAsia="Times New Roman" w:hAnsi="Times New Roman" w:cs="Times New Roman"/>
          <w:sz w:val="24"/>
          <w:szCs w:val="24"/>
        </w:rPr>
        <w:t xml:space="preserve"> Indonesia.</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Efrani</w:t>
      </w:r>
      <w:proofErr w:type="spellEnd"/>
      <w:r>
        <w:rPr>
          <w:rFonts w:ascii="Times New Roman" w:eastAsia="Times New Roman" w:hAnsi="Times New Roman" w:cs="Times New Roman"/>
          <w:sz w:val="24"/>
          <w:szCs w:val="24"/>
          <w:highlight w:val="white"/>
        </w:rPr>
        <w:t xml:space="preserve">, D. E., </w:t>
      </w:r>
      <w:proofErr w:type="spellStart"/>
      <w:r>
        <w:rPr>
          <w:rFonts w:ascii="Times New Roman" w:eastAsia="Times New Roman" w:hAnsi="Times New Roman" w:cs="Times New Roman"/>
          <w:sz w:val="24"/>
          <w:szCs w:val="24"/>
          <w:highlight w:val="white"/>
        </w:rPr>
        <w:t>Herison</w:t>
      </w:r>
      <w:proofErr w:type="spellEnd"/>
      <w:r>
        <w:rPr>
          <w:rFonts w:ascii="Times New Roman" w:eastAsia="Times New Roman" w:hAnsi="Times New Roman" w:cs="Times New Roman"/>
          <w:sz w:val="24"/>
          <w:szCs w:val="24"/>
          <w:highlight w:val="white"/>
        </w:rPr>
        <w:t xml:space="preserve">, C., &amp; </w:t>
      </w:r>
      <w:proofErr w:type="spellStart"/>
      <w:r>
        <w:rPr>
          <w:rFonts w:ascii="Times New Roman" w:eastAsia="Times New Roman" w:hAnsi="Times New Roman" w:cs="Times New Roman"/>
          <w:sz w:val="24"/>
          <w:szCs w:val="24"/>
          <w:highlight w:val="white"/>
        </w:rPr>
        <w:t>Rustikawati</w:t>
      </w:r>
      <w:proofErr w:type="spellEnd"/>
      <w:r>
        <w:rPr>
          <w:rFonts w:ascii="Times New Roman" w:eastAsia="Times New Roman" w:hAnsi="Times New Roman" w:cs="Times New Roman"/>
          <w:sz w:val="24"/>
          <w:szCs w:val="24"/>
          <w:highlight w:val="white"/>
        </w:rPr>
        <w:t xml:space="preserve">. (2024). </w:t>
      </w:r>
      <w:proofErr w:type="spellStart"/>
      <w:r>
        <w:rPr>
          <w:rFonts w:ascii="Times New Roman" w:eastAsia="Times New Roman" w:hAnsi="Times New Roman" w:cs="Times New Roman"/>
          <w:sz w:val="24"/>
          <w:szCs w:val="24"/>
          <w:highlight w:val="white"/>
        </w:rPr>
        <w:t>Keragaan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pertumbuhan</w:t>
      </w:r>
      <w:proofErr w:type="spellEnd"/>
      <w:r>
        <w:rPr>
          <w:rFonts w:ascii="Times New Roman" w:eastAsia="Times New Roman" w:hAnsi="Times New Roman" w:cs="Times New Roman"/>
          <w:sz w:val="24"/>
          <w:szCs w:val="24"/>
          <w:highlight w:val="white"/>
        </w:rPr>
        <w:t xml:space="preserve"> dan </w:t>
      </w:r>
      <w:proofErr w:type="spellStart"/>
      <w:r>
        <w:rPr>
          <w:rFonts w:ascii="Times New Roman" w:eastAsia="Times New Roman" w:hAnsi="Times New Roman" w:cs="Times New Roman"/>
          <w:sz w:val="24"/>
          <w:szCs w:val="24"/>
          <w:highlight w:val="white"/>
        </w:rPr>
        <w:t>hasil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empat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varietas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hibrida</w:t>
      </w:r>
      <w:proofErr w:type="spellEnd"/>
      <w:r>
        <w:rPr>
          <w:rFonts w:ascii="Times New Roman" w:eastAsia="Times New Roman" w:hAnsi="Times New Roman" w:cs="Times New Roman"/>
          <w:sz w:val="24"/>
          <w:szCs w:val="24"/>
          <w:highlight w:val="white"/>
        </w:rPr>
        <w:t xml:space="preserve"> melon </w:t>
      </w:r>
      <w:r>
        <w:rPr>
          <w:rFonts w:ascii="Times New Roman" w:eastAsia="Times New Roman" w:hAnsi="Times New Roman" w:cs="Times New Roman"/>
          <w:sz w:val="24"/>
          <w:szCs w:val="24"/>
          <w:highlight w:val="white"/>
        </w:rPr>
        <w:t xml:space="preserve">(Cucumis </w:t>
      </w:r>
      <w:proofErr w:type="spellStart"/>
      <w:r>
        <w:rPr>
          <w:rFonts w:ascii="Times New Roman" w:eastAsia="Times New Roman" w:hAnsi="Times New Roman" w:cs="Times New Roman"/>
          <w:sz w:val="24"/>
          <w:szCs w:val="24"/>
          <w:highlight w:val="white"/>
        </w:rPr>
        <w:t>melo</w:t>
      </w:r>
      <w:proofErr w:type="spellEnd"/>
      <w:r>
        <w:rPr>
          <w:rFonts w:ascii="Times New Roman" w:eastAsia="Times New Roman" w:hAnsi="Times New Roman" w:cs="Times New Roman"/>
          <w:sz w:val="24"/>
          <w:szCs w:val="24"/>
          <w:highlight w:val="white"/>
        </w:rPr>
        <w:t xml:space="preserve"> L.) pada </w:t>
      </w:r>
      <w:proofErr w:type="spellStart"/>
      <w:r>
        <w:rPr>
          <w:rFonts w:ascii="Times New Roman" w:eastAsia="Times New Roman" w:hAnsi="Times New Roman" w:cs="Times New Roman"/>
          <w:sz w:val="24"/>
          <w:szCs w:val="24"/>
          <w:highlight w:val="white"/>
        </w:rPr>
        <w:t>beberapa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frekuensi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fertigasi</w:t>
      </w:r>
      <w:proofErr w:type="spellEnd"/>
      <w:r>
        <w:rPr>
          <w:rFonts w:ascii="Times New Roman" w:eastAsia="Times New Roman" w:hAnsi="Times New Roman" w:cs="Times New Roman"/>
          <w:sz w:val="24"/>
          <w:szCs w:val="24"/>
          <w:highlight w:val="white"/>
        </w:rPr>
        <w:t xml:space="preserve"> NPK. </w:t>
      </w:r>
      <w:proofErr w:type="spellStart"/>
      <w:r>
        <w:rPr>
          <w:rFonts w:ascii="Times New Roman" w:eastAsia="Times New Roman" w:hAnsi="Times New Roman" w:cs="Times New Roman"/>
          <w:sz w:val="24"/>
          <w:szCs w:val="24"/>
          <w:highlight w:val="white"/>
        </w:rPr>
        <w:t>Prosiding</w:t>
      </w:r>
      <w:proofErr w:type="spellEnd"/>
      <w:r>
        <w:rPr>
          <w:rFonts w:ascii="Times New Roman" w:eastAsia="Times New Roman" w:hAnsi="Times New Roman" w:cs="Times New Roman"/>
          <w:sz w:val="24"/>
          <w:szCs w:val="24"/>
          <w:highlight w:val="white"/>
        </w:rPr>
        <w:t xml:space="preserve"> Seminar Nasional </w:t>
      </w:r>
      <w:proofErr w:type="spellStart"/>
      <w:r>
        <w:rPr>
          <w:rFonts w:ascii="Times New Roman" w:eastAsia="Times New Roman" w:hAnsi="Times New Roman" w:cs="Times New Roman"/>
          <w:sz w:val="24"/>
          <w:szCs w:val="24"/>
          <w:highlight w:val="white"/>
        </w:rPr>
        <w:t>Pertanian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Pesisir</w:t>
      </w:r>
      <w:proofErr w:type="spellEnd"/>
      <w:r>
        <w:rPr>
          <w:rFonts w:ascii="Times New Roman" w:eastAsia="Times New Roman" w:hAnsi="Times New Roman" w:cs="Times New Roman"/>
          <w:sz w:val="24"/>
          <w:szCs w:val="24"/>
          <w:highlight w:val="white"/>
        </w:rPr>
        <w:t xml:space="preserve"> (SENATASI), 3(1), 217–231. </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Erliana</w:t>
      </w:r>
      <w:proofErr w:type="spellEnd"/>
      <w:r>
        <w:rPr>
          <w:rFonts w:ascii="Times New Roman" w:eastAsia="Times New Roman" w:hAnsi="Times New Roman" w:cs="Times New Roman"/>
          <w:sz w:val="24"/>
          <w:szCs w:val="24"/>
          <w:highlight w:val="white"/>
        </w:rPr>
        <w:t xml:space="preserve">, W. T. (2024, March 25). </w:t>
      </w:r>
      <w:proofErr w:type="spellStart"/>
      <w:r>
        <w:rPr>
          <w:rFonts w:ascii="Times New Roman" w:eastAsia="Times New Roman" w:hAnsi="Times New Roman" w:cs="Times New Roman"/>
          <w:sz w:val="24"/>
          <w:szCs w:val="24"/>
          <w:highlight w:val="white"/>
        </w:rPr>
        <w:t>Ragam</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varietas</w:t>
      </w:r>
      <w:proofErr w:type="spellEnd"/>
      <w:r>
        <w:rPr>
          <w:rFonts w:ascii="Times New Roman" w:eastAsia="Times New Roman" w:hAnsi="Times New Roman" w:cs="Times New Roman"/>
          <w:sz w:val="24"/>
          <w:szCs w:val="24"/>
          <w:highlight w:val="white"/>
        </w:rPr>
        <w:t xml:space="preserve"> melon premium </w:t>
      </w:r>
      <w:proofErr w:type="spellStart"/>
      <w:r>
        <w:rPr>
          <w:rFonts w:ascii="Times New Roman" w:eastAsia="Times New Roman" w:hAnsi="Times New Roman" w:cs="Times New Roman"/>
          <w:sz w:val="24"/>
          <w:szCs w:val="24"/>
          <w:highlight w:val="white"/>
        </w:rPr>
        <w:t>idaman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pekebun</w:t>
      </w:r>
      <w:proofErr w:type="spellEnd"/>
      <w:r>
        <w:rPr>
          <w:rFonts w:ascii="Times New Roman" w:eastAsia="Times New Roman" w:hAnsi="Times New Roman" w:cs="Times New Roman"/>
          <w:sz w:val="24"/>
          <w:szCs w:val="24"/>
          <w:highlight w:val="white"/>
        </w:rPr>
        <w:t>. Trubus.id. Retrieved from https://trubus.id/raga</w:t>
      </w:r>
      <w:r>
        <w:rPr>
          <w:rFonts w:ascii="Times New Roman" w:eastAsia="Times New Roman" w:hAnsi="Times New Roman" w:cs="Times New Roman"/>
          <w:sz w:val="24"/>
          <w:szCs w:val="24"/>
          <w:highlight w:val="white"/>
        </w:rPr>
        <w:t>m-varietas-melon-premium-idaman-pekebun/</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Gaya, H. J., &amp; Smith, E. E. (2016). Developing a qualitative single case study in the strategic management realm: An appropriate research design. International Journal of Business and Economic Research, 7(2), 529–53</w:t>
      </w:r>
      <w:r>
        <w:rPr>
          <w:rFonts w:ascii="Times New Roman" w:eastAsia="Times New Roman" w:hAnsi="Times New Roman" w:cs="Times New Roman"/>
          <w:sz w:val="24"/>
          <w:szCs w:val="24"/>
          <w:highlight w:val="white"/>
        </w:rPr>
        <w:t>8. Retrieved from http://www.ijbmer.com/docs/volumes/vol7issue2/ijbmer2016070201.pdf</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Ghesitt</w:t>
      </w:r>
      <w:proofErr w:type="spellEnd"/>
      <w:r>
        <w:rPr>
          <w:rFonts w:ascii="Times New Roman" w:eastAsia="Times New Roman" w:hAnsi="Times New Roman" w:cs="Times New Roman"/>
          <w:sz w:val="24"/>
          <w:szCs w:val="24"/>
          <w:highlight w:val="white"/>
        </w:rPr>
        <w:t xml:space="preserve">, M. P. (2025). </w:t>
      </w:r>
      <w:proofErr w:type="spellStart"/>
      <w:r>
        <w:rPr>
          <w:rFonts w:ascii="Times New Roman" w:eastAsia="Times New Roman" w:hAnsi="Times New Roman" w:cs="Times New Roman"/>
          <w:i/>
          <w:iCs/>
          <w:sz w:val="24"/>
          <w:szCs w:val="24"/>
          <w:highlight w:val="white"/>
        </w:rPr>
        <w:t>Kelayakan</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usahatani</w:t>
      </w:r>
      <w:proofErr w:type="spellEnd"/>
      <w:r>
        <w:rPr>
          <w:rFonts w:ascii="Times New Roman" w:eastAsia="Times New Roman" w:hAnsi="Times New Roman" w:cs="Times New Roman"/>
          <w:i/>
          <w:iCs/>
          <w:sz w:val="24"/>
          <w:szCs w:val="24"/>
          <w:highlight w:val="white"/>
        </w:rPr>
        <w:t xml:space="preserve"> melon </w:t>
      </w:r>
      <w:proofErr w:type="spellStart"/>
      <w:r>
        <w:rPr>
          <w:rFonts w:ascii="Times New Roman" w:eastAsia="Times New Roman" w:hAnsi="Times New Roman" w:cs="Times New Roman"/>
          <w:i/>
          <w:iCs/>
          <w:sz w:val="24"/>
          <w:szCs w:val="24"/>
          <w:highlight w:val="white"/>
        </w:rPr>
        <w:t>varietas</w:t>
      </w:r>
      <w:proofErr w:type="spellEnd"/>
      <w:r>
        <w:rPr>
          <w:rFonts w:ascii="Times New Roman" w:eastAsia="Times New Roman" w:hAnsi="Times New Roman" w:cs="Times New Roman"/>
          <w:i/>
          <w:iCs/>
          <w:sz w:val="24"/>
          <w:szCs w:val="24"/>
          <w:highlight w:val="white"/>
        </w:rPr>
        <w:t xml:space="preserve"> Sweet Net </w:t>
      </w:r>
      <w:proofErr w:type="spellStart"/>
      <w:r>
        <w:rPr>
          <w:rFonts w:ascii="Times New Roman" w:eastAsia="Times New Roman" w:hAnsi="Times New Roman" w:cs="Times New Roman"/>
          <w:i/>
          <w:iCs/>
          <w:sz w:val="24"/>
          <w:szCs w:val="24"/>
          <w:highlight w:val="white"/>
        </w:rPr>
        <w:t>menggunakan</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metode</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hidroponik</w:t>
      </w:r>
      <w:proofErr w:type="spellEnd"/>
      <w:r>
        <w:rPr>
          <w:rFonts w:ascii="Times New Roman" w:eastAsia="Times New Roman" w:hAnsi="Times New Roman" w:cs="Times New Roman"/>
          <w:i/>
          <w:iCs/>
          <w:sz w:val="24"/>
          <w:szCs w:val="24"/>
          <w:highlight w:val="white"/>
        </w:rPr>
        <w:t xml:space="preserve"> Nutrient Film Technique (NFT) di </w:t>
      </w:r>
      <w:proofErr w:type="spellStart"/>
      <w:r>
        <w:rPr>
          <w:rFonts w:ascii="Times New Roman" w:eastAsia="Times New Roman" w:hAnsi="Times New Roman" w:cs="Times New Roman"/>
          <w:i/>
          <w:iCs/>
          <w:sz w:val="24"/>
          <w:szCs w:val="24"/>
          <w:highlight w:val="white"/>
        </w:rPr>
        <w:t>Kiano</w:t>
      </w:r>
      <w:proofErr w:type="spellEnd"/>
      <w:r>
        <w:rPr>
          <w:rFonts w:ascii="Times New Roman" w:eastAsia="Times New Roman" w:hAnsi="Times New Roman" w:cs="Times New Roman"/>
          <w:i/>
          <w:iCs/>
          <w:sz w:val="24"/>
          <w:szCs w:val="24"/>
          <w:highlight w:val="white"/>
        </w:rPr>
        <w:t xml:space="preserve"> Farm, </w:t>
      </w:r>
      <w:proofErr w:type="spellStart"/>
      <w:r>
        <w:rPr>
          <w:rFonts w:ascii="Times New Roman" w:eastAsia="Times New Roman" w:hAnsi="Times New Roman" w:cs="Times New Roman"/>
          <w:i/>
          <w:iCs/>
          <w:sz w:val="24"/>
          <w:szCs w:val="24"/>
          <w:highlight w:val="white"/>
        </w:rPr>
        <w:t>Pajangan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Skripsi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Universit</w:t>
      </w:r>
      <w:r>
        <w:rPr>
          <w:rFonts w:ascii="Times New Roman" w:eastAsia="Times New Roman" w:hAnsi="Times New Roman" w:cs="Times New Roman"/>
          <w:sz w:val="24"/>
          <w:szCs w:val="24"/>
          <w:highlight w:val="white"/>
        </w:rPr>
        <w:t>as</w:t>
      </w:r>
      <w:proofErr w:type="spellEnd"/>
      <w:r>
        <w:rPr>
          <w:rFonts w:ascii="Times New Roman" w:eastAsia="Times New Roman" w:hAnsi="Times New Roman" w:cs="Times New Roman"/>
          <w:sz w:val="24"/>
          <w:szCs w:val="24"/>
          <w:highlight w:val="white"/>
        </w:rPr>
        <w:t xml:space="preserve"> Muhammadiyah Yogyakarta). ETD UMY.</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Hartono, T. T., </w:t>
      </w:r>
      <w:proofErr w:type="spellStart"/>
      <w:r>
        <w:rPr>
          <w:rFonts w:ascii="Times New Roman" w:eastAsia="Times New Roman" w:hAnsi="Times New Roman" w:cs="Times New Roman"/>
          <w:sz w:val="24"/>
          <w:szCs w:val="24"/>
          <w:highlight w:val="white"/>
        </w:rPr>
        <w:t>Khuriyati</w:t>
      </w:r>
      <w:proofErr w:type="spellEnd"/>
      <w:r>
        <w:rPr>
          <w:rFonts w:ascii="Times New Roman" w:eastAsia="Times New Roman" w:hAnsi="Times New Roman" w:cs="Times New Roman"/>
          <w:sz w:val="24"/>
          <w:szCs w:val="24"/>
          <w:highlight w:val="white"/>
        </w:rPr>
        <w:t xml:space="preserve">, N., &amp; Aziz, I. W. F. (2023). Analysis of consumers’ preferences for melon using the conjoint method. </w:t>
      </w:r>
      <w:proofErr w:type="spellStart"/>
      <w:r>
        <w:rPr>
          <w:rFonts w:ascii="Times New Roman" w:eastAsia="Times New Roman" w:hAnsi="Times New Roman" w:cs="Times New Roman"/>
          <w:sz w:val="24"/>
          <w:szCs w:val="24"/>
          <w:highlight w:val="white"/>
        </w:rPr>
        <w:t>Agroindustrial</w:t>
      </w:r>
      <w:proofErr w:type="spellEnd"/>
      <w:r>
        <w:rPr>
          <w:rFonts w:ascii="Times New Roman" w:eastAsia="Times New Roman" w:hAnsi="Times New Roman" w:cs="Times New Roman"/>
          <w:sz w:val="24"/>
          <w:szCs w:val="24"/>
          <w:highlight w:val="white"/>
        </w:rPr>
        <w:t xml:space="preserve"> Journal, 9(1), 22. doi:10.22146/</w:t>
      </w:r>
      <w:proofErr w:type="gramStart"/>
      <w:r>
        <w:rPr>
          <w:rFonts w:ascii="Times New Roman" w:eastAsia="Times New Roman" w:hAnsi="Times New Roman" w:cs="Times New Roman"/>
          <w:sz w:val="24"/>
          <w:szCs w:val="24"/>
          <w:highlight w:val="white"/>
        </w:rPr>
        <w:t>aij.v</w:t>
      </w:r>
      <w:proofErr w:type="gramEnd"/>
      <w:r>
        <w:rPr>
          <w:rFonts w:ascii="Times New Roman" w:eastAsia="Times New Roman" w:hAnsi="Times New Roman" w:cs="Times New Roman"/>
          <w:sz w:val="24"/>
          <w:szCs w:val="24"/>
          <w:highlight w:val="white"/>
        </w:rPr>
        <w:t>9i1.80861</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Hidayat</w:t>
      </w:r>
      <w:proofErr w:type="spellEnd"/>
      <w:r>
        <w:rPr>
          <w:rFonts w:ascii="Times New Roman" w:eastAsia="Times New Roman" w:hAnsi="Times New Roman" w:cs="Times New Roman"/>
          <w:sz w:val="24"/>
          <w:szCs w:val="24"/>
          <w:highlight w:val="white"/>
        </w:rPr>
        <w:t xml:space="preserve">. (2024). </w:t>
      </w:r>
      <w:proofErr w:type="spellStart"/>
      <w:r>
        <w:rPr>
          <w:rFonts w:ascii="Times New Roman" w:eastAsia="Times New Roman" w:hAnsi="Times New Roman" w:cs="Times New Roman"/>
          <w:sz w:val="24"/>
          <w:szCs w:val="24"/>
          <w:highlight w:val="white"/>
        </w:rPr>
        <w:t>Preferensi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konsumen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terhadap</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atribut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buah</w:t>
      </w:r>
      <w:proofErr w:type="spellEnd"/>
      <w:r>
        <w:rPr>
          <w:rFonts w:ascii="Times New Roman" w:eastAsia="Times New Roman" w:hAnsi="Times New Roman" w:cs="Times New Roman"/>
          <w:sz w:val="24"/>
          <w:szCs w:val="24"/>
          <w:highlight w:val="white"/>
        </w:rPr>
        <w:t xml:space="preserve"> melon (Cucumis </w:t>
      </w:r>
      <w:proofErr w:type="spellStart"/>
      <w:r>
        <w:rPr>
          <w:rFonts w:ascii="Times New Roman" w:eastAsia="Times New Roman" w:hAnsi="Times New Roman" w:cs="Times New Roman"/>
          <w:sz w:val="24"/>
          <w:szCs w:val="24"/>
          <w:highlight w:val="white"/>
        </w:rPr>
        <w:t>melo</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dalam</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melakukan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keputusan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pembelian</w:t>
      </w:r>
      <w:proofErr w:type="spellEnd"/>
      <w:r>
        <w:rPr>
          <w:rFonts w:ascii="Times New Roman" w:eastAsia="Times New Roman" w:hAnsi="Times New Roman" w:cs="Times New Roman"/>
          <w:sz w:val="24"/>
          <w:szCs w:val="24"/>
          <w:highlight w:val="white"/>
        </w:rPr>
        <w:t xml:space="preserve"> di </w:t>
      </w:r>
      <w:proofErr w:type="spellStart"/>
      <w:r>
        <w:rPr>
          <w:rFonts w:ascii="Times New Roman" w:eastAsia="Times New Roman" w:hAnsi="Times New Roman" w:cs="Times New Roman"/>
          <w:sz w:val="24"/>
          <w:szCs w:val="24"/>
          <w:highlight w:val="white"/>
        </w:rPr>
        <w:t>Kabupaten</w:t>
      </w:r>
      <w:proofErr w:type="spellEnd"/>
      <w:r>
        <w:rPr>
          <w:rFonts w:ascii="Times New Roman" w:eastAsia="Times New Roman" w:hAnsi="Times New Roman" w:cs="Times New Roman"/>
          <w:sz w:val="24"/>
          <w:szCs w:val="24"/>
          <w:highlight w:val="white"/>
        </w:rPr>
        <w:t xml:space="preserve"> Bogor. Retrieved from https://repository.ub.ac.id/id/eprint/234465</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Irawan</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Agustono</w:t>
      </w:r>
      <w:proofErr w:type="spellEnd"/>
      <w:r>
        <w:rPr>
          <w:rFonts w:ascii="Times New Roman" w:eastAsia="Times New Roman" w:hAnsi="Times New Roman" w:cs="Times New Roman"/>
          <w:sz w:val="24"/>
          <w:szCs w:val="24"/>
          <w:highlight w:val="white"/>
        </w:rPr>
        <w:t xml:space="preserve">, A., &amp; </w:t>
      </w:r>
      <w:proofErr w:type="spellStart"/>
      <w:r>
        <w:rPr>
          <w:rFonts w:ascii="Times New Roman" w:eastAsia="Times New Roman" w:hAnsi="Times New Roman" w:cs="Times New Roman"/>
          <w:sz w:val="24"/>
          <w:szCs w:val="24"/>
          <w:highlight w:val="white"/>
        </w:rPr>
        <w:t>Andriani</w:t>
      </w:r>
      <w:proofErr w:type="spellEnd"/>
      <w:r>
        <w:rPr>
          <w:rFonts w:ascii="Times New Roman" w:eastAsia="Times New Roman" w:hAnsi="Times New Roman" w:cs="Times New Roman"/>
          <w:sz w:val="24"/>
          <w:szCs w:val="24"/>
          <w:highlight w:val="white"/>
        </w:rPr>
        <w:t xml:space="preserve">, I. S. (2023). Pola </w:t>
      </w:r>
      <w:proofErr w:type="spellStart"/>
      <w:r>
        <w:rPr>
          <w:rFonts w:ascii="Times New Roman" w:eastAsia="Times New Roman" w:hAnsi="Times New Roman" w:cs="Times New Roman"/>
          <w:sz w:val="24"/>
          <w:szCs w:val="24"/>
          <w:highlight w:val="white"/>
        </w:rPr>
        <w:t>alokasi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buruh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tani</w:t>
      </w:r>
      <w:proofErr w:type="spellEnd"/>
      <w:r>
        <w:rPr>
          <w:rFonts w:ascii="Times New Roman" w:eastAsia="Times New Roman" w:hAnsi="Times New Roman" w:cs="Times New Roman"/>
          <w:sz w:val="24"/>
          <w:szCs w:val="24"/>
          <w:highlight w:val="white"/>
        </w:rPr>
        <w:t xml:space="preserve"> dan </w:t>
      </w:r>
      <w:proofErr w:type="spellStart"/>
      <w:r>
        <w:rPr>
          <w:rFonts w:ascii="Times New Roman" w:eastAsia="Times New Roman" w:hAnsi="Times New Roman" w:cs="Times New Roman"/>
          <w:sz w:val="24"/>
          <w:szCs w:val="24"/>
          <w:highlight w:val="white"/>
        </w:rPr>
        <w:t>penga</w:t>
      </w:r>
      <w:r>
        <w:rPr>
          <w:rFonts w:ascii="Times New Roman" w:eastAsia="Times New Roman" w:hAnsi="Times New Roman" w:cs="Times New Roman"/>
          <w:sz w:val="24"/>
          <w:szCs w:val="24"/>
          <w:highlight w:val="white"/>
        </w:rPr>
        <w:t>ruhnya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terhadap</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produktivitas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usahatani</w:t>
      </w:r>
      <w:proofErr w:type="spellEnd"/>
      <w:r>
        <w:rPr>
          <w:rFonts w:ascii="Times New Roman" w:eastAsia="Times New Roman" w:hAnsi="Times New Roman" w:cs="Times New Roman"/>
          <w:sz w:val="24"/>
          <w:szCs w:val="24"/>
          <w:highlight w:val="white"/>
        </w:rPr>
        <w:t xml:space="preserve"> melon: </w:t>
      </w:r>
      <w:proofErr w:type="spellStart"/>
      <w:r>
        <w:rPr>
          <w:rFonts w:ascii="Times New Roman" w:eastAsia="Times New Roman" w:hAnsi="Times New Roman" w:cs="Times New Roman"/>
          <w:sz w:val="24"/>
          <w:szCs w:val="24"/>
          <w:highlight w:val="white"/>
        </w:rPr>
        <w:t>Pendekatan</w:t>
      </w:r>
      <w:proofErr w:type="spellEnd"/>
      <w:r>
        <w:rPr>
          <w:rFonts w:ascii="Times New Roman" w:eastAsia="Times New Roman" w:hAnsi="Times New Roman" w:cs="Times New Roman"/>
          <w:sz w:val="24"/>
          <w:szCs w:val="24"/>
          <w:highlight w:val="white"/>
        </w:rPr>
        <w:t xml:space="preserve"> generalized additive model. JSEP (Journal of Social and Agricultural Economics), 16(2), 159. doi:10.19184/</w:t>
      </w:r>
      <w:proofErr w:type="gramStart"/>
      <w:r>
        <w:rPr>
          <w:rFonts w:ascii="Times New Roman" w:eastAsia="Times New Roman" w:hAnsi="Times New Roman" w:cs="Times New Roman"/>
          <w:sz w:val="24"/>
          <w:szCs w:val="24"/>
          <w:highlight w:val="white"/>
        </w:rPr>
        <w:t>jsep.v</w:t>
      </w:r>
      <w:proofErr w:type="gramEnd"/>
      <w:r>
        <w:rPr>
          <w:rFonts w:ascii="Times New Roman" w:eastAsia="Times New Roman" w:hAnsi="Times New Roman" w:cs="Times New Roman"/>
          <w:sz w:val="24"/>
          <w:szCs w:val="24"/>
          <w:highlight w:val="white"/>
        </w:rPr>
        <w:t>16i2.39405</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Kamaludin</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Harisudin</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Sutrisno</w:t>
      </w:r>
      <w:proofErr w:type="spellEnd"/>
      <w:r>
        <w:rPr>
          <w:rFonts w:ascii="Times New Roman" w:eastAsia="Times New Roman" w:hAnsi="Times New Roman" w:cs="Times New Roman"/>
          <w:sz w:val="24"/>
          <w:szCs w:val="24"/>
          <w:highlight w:val="white"/>
        </w:rPr>
        <w:t xml:space="preserve">, J., &amp; </w:t>
      </w:r>
      <w:proofErr w:type="spellStart"/>
      <w:r>
        <w:rPr>
          <w:rFonts w:ascii="Times New Roman" w:eastAsia="Times New Roman" w:hAnsi="Times New Roman" w:cs="Times New Roman"/>
          <w:sz w:val="24"/>
          <w:szCs w:val="24"/>
          <w:highlight w:val="white"/>
        </w:rPr>
        <w:t>Irianto</w:t>
      </w:r>
      <w:proofErr w:type="spellEnd"/>
      <w:r>
        <w:rPr>
          <w:rFonts w:ascii="Times New Roman" w:eastAsia="Times New Roman" w:hAnsi="Times New Roman" w:cs="Times New Roman"/>
          <w:sz w:val="24"/>
          <w:szCs w:val="24"/>
          <w:highlight w:val="white"/>
        </w:rPr>
        <w:t>, H. (2024). A structu</w:t>
      </w:r>
      <w:r>
        <w:rPr>
          <w:rFonts w:ascii="Times New Roman" w:eastAsia="Times New Roman" w:hAnsi="Times New Roman" w:cs="Times New Roman"/>
          <w:sz w:val="24"/>
          <w:szCs w:val="24"/>
          <w:highlight w:val="white"/>
        </w:rPr>
        <w:t xml:space="preserve">ral equation modelling approach in assessing the sustainability of Indonesian smallholder oil palm farming. Journal of </w:t>
      </w:r>
      <w:proofErr w:type="spellStart"/>
      <w:r>
        <w:rPr>
          <w:rFonts w:ascii="Times New Roman" w:eastAsia="Times New Roman" w:hAnsi="Times New Roman" w:cs="Times New Roman"/>
          <w:sz w:val="24"/>
          <w:szCs w:val="24"/>
          <w:highlight w:val="white"/>
        </w:rPr>
        <w:t>Ecohumanism</w:t>
      </w:r>
      <w:proofErr w:type="spellEnd"/>
      <w:r>
        <w:rPr>
          <w:rFonts w:ascii="Times New Roman" w:eastAsia="Times New Roman" w:hAnsi="Times New Roman" w:cs="Times New Roman"/>
          <w:sz w:val="24"/>
          <w:szCs w:val="24"/>
          <w:highlight w:val="white"/>
        </w:rPr>
        <w:t>, 3(4), 3368.</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Laras</w:t>
      </w:r>
      <w:proofErr w:type="spellEnd"/>
      <w:r>
        <w:rPr>
          <w:rFonts w:ascii="Times New Roman" w:eastAsia="Times New Roman" w:hAnsi="Times New Roman" w:cs="Times New Roman"/>
          <w:sz w:val="24"/>
          <w:szCs w:val="24"/>
          <w:highlight w:val="white"/>
        </w:rPr>
        <w:t xml:space="preserve">, A. (2025). </w:t>
      </w:r>
      <w:proofErr w:type="spellStart"/>
      <w:r>
        <w:rPr>
          <w:rFonts w:ascii="Times New Roman" w:eastAsia="Times New Roman" w:hAnsi="Times New Roman" w:cs="Times New Roman"/>
          <w:sz w:val="24"/>
          <w:szCs w:val="24"/>
          <w:highlight w:val="white"/>
        </w:rPr>
        <w:t>Efisiensi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Budidaya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Tanaman</w:t>
      </w:r>
      <w:proofErr w:type="spellEnd"/>
      <w:r>
        <w:rPr>
          <w:rFonts w:ascii="Times New Roman" w:eastAsia="Times New Roman" w:hAnsi="Times New Roman" w:cs="Times New Roman"/>
          <w:sz w:val="24"/>
          <w:szCs w:val="24"/>
          <w:highlight w:val="white"/>
        </w:rPr>
        <w:t xml:space="preserve"> Melon (Cucumis </w:t>
      </w:r>
      <w:proofErr w:type="spellStart"/>
      <w:r>
        <w:rPr>
          <w:rFonts w:ascii="Times New Roman" w:eastAsia="Times New Roman" w:hAnsi="Times New Roman" w:cs="Times New Roman"/>
          <w:sz w:val="24"/>
          <w:szCs w:val="24"/>
          <w:highlight w:val="white"/>
        </w:rPr>
        <w:t>melo</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Varietas</w:t>
      </w:r>
      <w:proofErr w:type="spellEnd"/>
      <w:r>
        <w:rPr>
          <w:rFonts w:ascii="Times New Roman" w:eastAsia="Times New Roman" w:hAnsi="Times New Roman" w:cs="Times New Roman"/>
          <w:sz w:val="24"/>
          <w:szCs w:val="24"/>
          <w:highlight w:val="white"/>
        </w:rPr>
        <w:t xml:space="preserve"> Sweet Net </w:t>
      </w:r>
      <w:proofErr w:type="spellStart"/>
      <w:r>
        <w:rPr>
          <w:rFonts w:ascii="Times New Roman" w:eastAsia="Times New Roman" w:hAnsi="Times New Roman" w:cs="Times New Roman"/>
          <w:sz w:val="24"/>
          <w:szCs w:val="24"/>
          <w:highlight w:val="white"/>
        </w:rPr>
        <w:t>Menggunakan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Bedengan</w:t>
      </w:r>
      <w:proofErr w:type="spellEnd"/>
      <w:r>
        <w:rPr>
          <w:rFonts w:ascii="Times New Roman" w:eastAsia="Times New Roman" w:hAnsi="Times New Roman" w:cs="Times New Roman"/>
          <w:sz w:val="24"/>
          <w:szCs w:val="24"/>
          <w:highlight w:val="white"/>
        </w:rPr>
        <w:t xml:space="preserve"> Pada Greenhouse di </w:t>
      </w:r>
      <w:proofErr w:type="spellStart"/>
      <w:r>
        <w:rPr>
          <w:rFonts w:ascii="Times New Roman" w:eastAsia="Times New Roman" w:hAnsi="Times New Roman" w:cs="Times New Roman"/>
          <w:sz w:val="24"/>
          <w:szCs w:val="24"/>
          <w:highlight w:val="white"/>
        </w:rPr>
        <w:t>Sumber</w:t>
      </w:r>
      <w:proofErr w:type="spellEnd"/>
      <w:r>
        <w:rPr>
          <w:rFonts w:ascii="Times New Roman" w:eastAsia="Times New Roman" w:hAnsi="Times New Roman" w:cs="Times New Roman"/>
          <w:sz w:val="24"/>
          <w:szCs w:val="24"/>
          <w:highlight w:val="white"/>
        </w:rPr>
        <w:t xml:space="preserve"> Melon </w:t>
      </w:r>
      <w:proofErr w:type="spellStart"/>
      <w:r>
        <w:rPr>
          <w:rFonts w:ascii="Times New Roman" w:eastAsia="Times New Roman" w:hAnsi="Times New Roman" w:cs="Times New Roman"/>
          <w:sz w:val="24"/>
          <w:szCs w:val="24"/>
          <w:highlight w:val="white"/>
        </w:rPr>
        <w:t>Kabupaten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Jombang</w:t>
      </w:r>
      <w:proofErr w:type="spellEnd"/>
      <w:r>
        <w:rPr>
          <w:rFonts w:ascii="Times New Roman" w:eastAsia="Times New Roman" w:hAnsi="Times New Roman" w:cs="Times New Roman"/>
          <w:sz w:val="24"/>
          <w:szCs w:val="24"/>
          <w:highlight w:val="white"/>
        </w:rPr>
        <w:t xml:space="preserve"> [Thesis]. </w:t>
      </w:r>
      <w:proofErr w:type="spellStart"/>
      <w:r>
        <w:rPr>
          <w:rFonts w:ascii="Times New Roman" w:eastAsia="Times New Roman" w:hAnsi="Times New Roman" w:cs="Times New Roman"/>
          <w:sz w:val="24"/>
          <w:szCs w:val="24"/>
          <w:highlight w:val="white"/>
        </w:rPr>
        <w:t>Politeknik</w:t>
      </w:r>
      <w:proofErr w:type="spellEnd"/>
      <w:r>
        <w:rPr>
          <w:rFonts w:ascii="Times New Roman" w:eastAsia="Times New Roman" w:hAnsi="Times New Roman" w:cs="Times New Roman"/>
          <w:sz w:val="24"/>
          <w:szCs w:val="24"/>
          <w:highlight w:val="white"/>
        </w:rPr>
        <w:t xml:space="preserve"> Negeri </w:t>
      </w:r>
      <w:proofErr w:type="spellStart"/>
      <w:r>
        <w:rPr>
          <w:rFonts w:ascii="Times New Roman" w:eastAsia="Times New Roman" w:hAnsi="Times New Roman" w:cs="Times New Roman"/>
          <w:sz w:val="24"/>
          <w:szCs w:val="24"/>
          <w:highlight w:val="white"/>
        </w:rPr>
        <w:t>Jember</w:t>
      </w:r>
      <w:proofErr w:type="spellEnd"/>
      <w:r>
        <w:rPr>
          <w:rFonts w:ascii="Times New Roman" w:eastAsia="Times New Roman" w:hAnsi="Times New Roman" w:cs="Times New Roman"/>
          <w:sz w:val="24"/>
          <w:szCs w:val="24"/>
          <w:highlight w:val="white"/>
        </w:rPr>
        <w:t>. https://sipora.polije.ac.id/43258/</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Linda Sari, N., Rahim, A., </w:t>
      </w:r>
      <w:r>
        <w:rPr>
          <w:rFonts w:ascii="Times New Roman" w:eastAsia="Times New Roman" w:hAnsi="Times New Roman" w:cs="Times New Roman"/>
          <w:sz w:val="24"/>
          <w:szCs w:val="24"/>
          <w:highlight w:val="white"/>
        </w:rPr>
        <w:t xml:space="preserve">&amp; </w:t>
      </w:r>
      <w:proofErr w:type="spellStart"/>
      <w:r>
        <w:rPr>
          <w:rFonts w:ascii="Times New Roman" w:eastAsia="Times New Roman" w:hAnsi="Times New Roman" w:cs="Times New Roman"/>
          <w:sz w:val="24"/>
          <w:szCs w:val="24"/>
          <w:highlight w:val="white"/>
        </w:rPr>
        <w:t>Bado</w:t>
      </w:r>
      <w:proofErr w:type="spellEnd"/>
      <w:r>
        <w:rPr>
          <w:rFonts w:ascii="Times New Roman" w:eastAsia="Times New Roman" w:hAnsi="Times New Roman" w:cs="Times New Roman"/>
          <w:sz w:val="24"/>
          <w:szCs w:val="24"/>
          <w:highlight w:val="white"/>
        </w:rPr>
        <w:t xml:space="preserve">, B. (2019). </w:t>
      </w:r>
      <w:proofErr w:type="spellStart"/>
      <w:r>
        <w:rPr>
          <w:rFonts w:ascii="Times New Roman" w:eastAsia="Times New Roman" w:hAnsi="Times New Roman" w:cs="Times New Roman"/>
          <w:sz w:val="24"/>
          <w:szCs w:val="24"/>
          <w:highlight w:val="white"/>
        </w:rPr>
        <w:t>Analisis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fluktuasi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nilai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impor</w:t>
      </w:r>
      <w:proofErr w:type="spellEnd"/>
      <w:r>
        <w:rPr>
          <w:rFonts w:ascii="Times New Roman" w:eastAsia="Times New Roman" w:hAnsi="Times New Roman" w:cs="Times New Roman"/>
          <w:sz w:val="24"/>
          <w:szCs w:val="24"/>
          <w:highlight w:val="white"/>
        </w:rPr>
        <w:t xml:space="preserve"> di Indonesia. Program </w:t>
      </w:r>
      <w:proofErr w:type="spellStart"/>
      <w:r>
        <w:rPr>
          <w:rFonts w:ascii="Times New Roman" w:eastAsia="Times New Roman" w:hAnsi="Times New Roman" w:cs="Times New Roman"/>
          <w:sz w:val="24"/>
          <w:szCs w:val="24"/>
          <w:highlight w:val="white"/>
        </w:rPr>
        <w:t>Studi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Ekonomi</w:t>
      </w:r>
      <w:proofErr w:type="spellEnd"/>
      <w:r>
        <w:rPr>
          <w:rFonts w:ascii="Times New Roman" w:eastAsia="Times New Roman" w:hAnsi="Times New Roman" w:cs="Times New Roman"/>
          <w:sz w:val="24"/>
          <w:szCs w:val="24"/>
          <w:highlight w:val="white"/>
        </w:rPr>
        <w:t xml:space="preserve"> Pembangunan, </w:t>
      </w:r>
      <w:proofErr w:type="spellStart"/>
      <w:r>
        <w:rPr>
          <w:rFonts w:ascii="Times New Roman" w:eastAsia="Times New Roman" w:hAnsi="Times New Roman" w:cs="Times New Roman"/>
          <w:sz w:val="24"/>
          <w:szCs w:val="24"/>
          <w:highlight w:val="white"/>
        </w:rPr>
        <w:t>Fakultas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Ekonomi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Universitas</w:t>
      </w:r>
      <w:proofErr w:type="spellEnd"/>
      <w:r>
        <w:rPr>
          <w:rFonts w:ascii="Times New Roman" w:eastAsia="Times New Roman" w:hAnsi="Times New Roman" w:cs="Times New Roman"/>
          <w:sz w:val="24"/>
          <w:szCs w:val="24"/>
          <w:highlight w:val="white"/>
        </w:rPr>
        <w:t xml:space="preserve"> Negeri Makassar. Retrieved from https://eprints.unm.ac.id/15162/1/Jurnal%20Nur%20Linda%20Sari%201496140003.pdf</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National Statist</w:t>
      </w:r>
      <w:r>
        <w:rPr>
          <w:rFonts w:ascii="Times New Roman" w:eastAsia="Times New Roman" w:hAnsi="Times New Roman" w:cs="Times New Roman"/>
          <w:sz w:val="24"/>
          <w:szCs w:val="24"/>
        </w:rPr>
        <w:t xml:space="preserve">ics Agency </w:t>
      </w:r>
      <w:r>
        <w:rPr>
          <w:rFonts w:ascii="Times New Roman" w:eastAsia="Times New Roman" w:hAnsi="Times New Roman" w:cs="Times New Roman"/>
          <w:sz w:val="24"/>
          <w:szCs w:val="24"/>
          <w:highlight w:val="white"/>
        </w:rPr>
        <w:t xml:space="preserve">(2024). </w:t>
      </w:r>
      <w:proofErr w:type="spellStart"/>
      <w:r>
        <w:rPr>
          <w:rFonts w:ascii="Times New Roman" w:eastAsia="Times New Roman" w:hAnsi="Times New Roman" w:cs="Times New Roman"/>
          <w:i/>
          <w:iCs/>
          <w:sz w:val="24"/>
          <w:szCs w:val="24"/>
          <w:highlight w:val="white"/>
        </w:rPr>
        <w:t>Produksi</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tanaman</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sayuran</w:t>
      </w:r>
      <w:proofErr w:type="spellEnd"/>
      <w:r>
        <w:rPr>
          <w:rFonts w:ascii="Times New Roman" w:eastAsia="Times New Roman" w:hAnsi="Times New Roman" w:cs="Times New Roman"/>
          <w:i/>
          <w:iCs/>
          <w:sz w:val="24"/>
          <w:szCs w:val="24"/>
          <w:highlight w:val="white"/>
        </w:rPr>
        <w:t xml:space="preserve"> dan </w:t>
      </w:r>
      <w:proofErr w:type="spellStart"/>
      <w:r>
        <w:rPr>
          <w:rFonts w:ascii="Times New Roman" w:eastAsia="Times New Roman" w:hAnsi="Times New Roman" w:cs="Times New Roman"/>
          <w:i/>
          <w:iCs/>
          <w:sz w:val="24"/>
          <w:szCs w:val="24"/>
          <w:highlight w:val="white"/>
        </w:rPr>
        <w:t>buah-buahan</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semusim</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menurut</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jenis</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tanaman</w:t>
      </w:r>
      <w:proofErr w:type="spellEnd"/>
      <w:r>
        <w:rPr>
          <w:rFonts w:ascii="Times New Roman" w:eastAsia="Times New Roman" w:hAnsi="Times New Roman" w:cs="Times New Roman"/>
          <w:i/>
          <w:iCs/>
          <w:sz w:val="24"/>
          <w:szCs w:val="24"/>
          <w:highlight w:val="white"/>
        </w:rPr>
        <w:t>, 2022</w:t>
      </w:r>
      <w:r>
        <w:rPr>
          <w:rFonts w:ascii="Times New Roman" w:eastAsia="Times New Roman" w:hAnsi="Times New Roman" w:cs="Times New Roman"/>
          <w:sz w:val="24"/>
          <w:szCs w:val="24"/>
          <w:highlight w:val="white"/>
        </w:rPr>
        <w:t>. Retrieved from https://www.bps.go.id/id/statistics-table/3/VFV4MmQxaG9kakZrVUdWeEx6aDFUMnN6WmpocVp6MDkjMw==/produksi-tanaman-sayuran-dan-buah---buahan-semusim-</w:t>
      </w:r>
      <w:r>
        <w:rPr>
          <w:rFonts w:ascii="Times New Roman" w:eastAsia="Times New Roman" w:hAnsi="Times New Roman" w:cs="Times New Roman"/>
          <w:sz w:val="24"/>
          <w:szCs w:val="24"/>
          <w:highlight w:val="white"/>
        </w:rPr>
        <w:t>menurut-jenis-tanaman--2022.html?year=2024</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OECD and FAO. 2023. OECD-FAO Agricultural Outlook 2023-2032. Paris, OECD.</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Padapi</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Musdalifah</w:t>
      </w:r>
      <w:proofErr w:type="spellEnd"/>
      <w:r>
        <w:rPr>
          <w:rFonts w:ascii="Times New Roman" w:eastAsia="Times New Roman" w:hAnsi="Times New Roman" w:cs="Times New Roman"/>
          <w:sz w:val="24"/>
          <w:szCs w:val="24"/>
          <w:highlight w:val="white"/>
        </w:rPr>
        <w:t xml:space="preserve">, Hamina, </w:t>
      </w:r>
      <w:proofErr w:type="spellStart"/>
      <w:r>
        <w:rPr>
          <w:rFonts w:ascii="Times New Roman" w:eastAsia="Times New Roman" w:hAnsi="Times New Roman" w:cs="Times New Roman"/>
          <w:sz w:val="24"/>
          <w:szCs w:val="24"/>
          <w:highlight w:val="white"/>
        </w:rPr>
        <w:t>Aisyah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Khamila</w:t>
      </w:r>
      <w:proofErr w:type="spellEnd"/>
      <w:r>
        <w:rPr>
          <w:rFonts w:ascii="Times New Roman" w:eastAsia="Times New Roman" w:hAnsi="Times New Roman" w:cs="Times New Roman"/>
          <w:sz w:val="24"/>
          <w:szCs w:val="24"/>
          <w:highlight w:val="white"/>
        </w:rPr>
        <w:t xml:space="preserve">, Reni, &amp; Salman, F. (2023). Financial analysis of melon farming business in P4S </w:t>
      </w:r>
      <w:proofErr w:type="spellStart"/>
      <w:r>
        <w:rPr>
          <w:rFonts w:ascii="Times New Roman" w:eastAsia="Times New Roman" w:hAnsi="Times New Roman" w:cs="Times New Roman"/>
          <w:sz w:val="24"/>
          <w:szCs w:val="24"/>
          <w:highlight w:val="white"/>
        </w:rPr>
        <w:t>Laskar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Pela</w:t>
      </w:r>
      <w:r>
        <w:rPr>
          <w:rFonts w:ascii="Times New Roman" w:eastAsia="Times New Roman" w:hAnsi="Times New Roman" w:cs="Times New Roman"/>
          <w:sz w:val="24"/>
          <w:szCs w:val="24"/>
          <w:highlight w:val="white"/>
        </w:rPr>
        <w:t>ngi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Salo</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Dua</w:t>
      </w:r>
      <w:proofErr w:type="spellEnd"/>
      <w:r>
        <w:rPr>
          <w:rFonts w:ascii="Times New Roman" w:eastAsia="Times New Roman" w:hAnsi="Times New Roman" w:cs="Times New Roman"/>
          <w:sz w:val="24"/>
          <w:szCs w:val="24"/>
          <w:highlight w:val="white"/>
        </w:rPr>
        <w:t xml:space="preserve"> Village, </w:t>
      </w:r>
      <w:proofErr w:type="spellStart"/>
      <w:r>
        <w:rPr>
          <w:rFonts w:ascii="Times New Roman" w:eastAsia="Times New Roman" w:hAnsi="Times New Roman" w:cs="Times New Roman"/>
          <w:sz w:val="24"/>
          <w:szCs w:val="24"/>
          <w:highlight w:val="white"/>
        </w:rPr>
        <w:t>Maiwa</w:t>
      </w:r>
      <w:proofErr w:type="spellEnd"/>
      <w:r>
        <w:rPr>
          <w:rFonts w:ascii="Times New Roman" w:eastAsia="Times New Roman" w:hAnsi="Times New Roman" w:cs="Times New Roman"/>
          <w:sz w:val="24"/>
          <w:szCs w:val="24"/>
          <w:highlight w:val="white"/>
        </w:rPr>
        <w:t xml:space="preserve"> Subdistrict. </w:t>
      </w:r>
      <w:proofErr w:type="spellStart"/>
      <w:r>
        <w:rPr>
          <w:rFonts w:ascii="Times New Roman" w:eastAsia="Times New Roman" w:hAnsi="Times New Roman" w:cs="Times New Roman"/>
          <w:i/>
          <w:iCs/>
          <w:sz w:val="24"/>
          <w:szCs w:val="24"/>
          <w:highlight w:val="white"/>
        </w:rPr>
        <w:t>Jurnal</w:t>
      </w:r>
      <w:proofErr w:type="spellEnd"/>
      <w:r>
        <w:rPr>
          <w:rFonts w:ascii="Times New Roman" w:eastAsia="Times New Roman" w:hAnsi="Times New Roman" w:cs="Times New Roman"/>
          <w:i/>
          <w:iCs/>
          <w:sz w:val="24"/>
          <w:szCs w:val="24"/>
          <w:highlight w:val="white"/>
        </w:rPr>
        <w:t xml:space="preserve"> Abdi </w:t>
      </w:r>
      <w:proofErr w:type="spellStart"/>
      <w:r>
        <w:rPr>
          <w:rFonts w:ascii="Times New Roman" w:eastAsia="Times New Roman" w:hAnsi="Times New Roman" w:cs="Times New Roman"/>
          <w:i/>
          <w:iCs/>
          <w:sz w:val="24"/>
          <w:szCs w:val="24"/>
          <w:highlight w:val="white"/>
        </w:rPr>
        <w:t>Insani</w:t>
      </w:r>
      <w:proofErr w:type="spellEnd"/>
      <w:r>
        <w:rPr>
          <w:rFonts w:ascii="Times New Roman" w:eastAsia="Times New Roman" w:hAnsi="Times New Roman" w:cs="Times New Roman"/>
          <w:i/>
          <w:iCs/>
          <w:sz w:val="24"/>
          <w:szCs w:val="24"/>
          <w:highlight w:val="white"/>
        </w:rPr>
        <w:t>, 11</w:t>
      </w:r>
      <w:r>
        <w:rPr>
          <w:rFonts w:ascii="Times New Roman" w:eastAsia="Times New Roman" w:hAnsi="Times New Roman" w:cs="Times New Roman"/>
          <w:sz w:val="24"/>
          <w:szCs w:val="24"/>
          <w:highlight w:val="white"/>
        </w:rPr>
        <w:t>(2), 159–168.</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Purba</w:t>
      </w:r>
      <w:proofErr w:type="spellEnd"/>
      <w:r>
        <w:rPr>
          <w:rFonts w:ascii="Times New Roman" w:eastAsia="Times New Roman" w:hAnsi="Times New Roman" w:cs="Times New Roman"/>
          <w:sz w:val="24"/>
          <w:szCs w:val="24"/>
          <w:highlight w:val="white"/>
        </w:rPr>
        <w:t xml:space="preserve">, S. F., </w:t>
      </w:r>
      <w:proofErr w:type="spellStart"/>
      <w:r>
        <w:rPr>
          <w:rFonts w:ascii="Times New Roman" w:eastAsia="Times New Roman" w:hAnsi="Times New Roman" w:cs="Times New Roman"/>
          <w:sz w:val="24"/>
          <w:szCs w:val="24"/>
          <w:highlight w:val="white"/>
        </w:rPr>
        <w:t>Yulianti</w:t>
      </w:r>
      <w:proofErr w:type="spellEnd"/>
      <w:r>
        <w:rPr>
          <w:rFonts w:ascii="Times New Roman" w:eastAsia="Times New Roman" w:hAnsi="Times New Roman" w:cs="Times New Roman"/>
          <w:sz w:val="24"/>
          <w:szCs w:val="24"/>
          <w:highlight w:val="white"/>
        </w:rPr>
        <w:t xml:space="preserve">, A., Astana, S., </w:t>
      </w:r>
      <w:proofErr w:type="spellStart"/>
      <w:r>
        <w:rPr>
          <w:rFonts w:ascii="Times New Roman" w:eastAsia="Times New Roman" w:hAnsi="Times New Roman" w:cs="Times New Roman"/>
          <w:sz w:val="24"/>
          <w:szCs w:val="24"/>
          <w:highlight w:val="white"/>
        </w:rPr>
        <w:t>Djaenudin</w:t>
      </w:r>
      <w:proofErr w:type="spellEnd"/>
      <w:r>
        <w:rPr>
          <w:rFonts w:ascii="Times New Roman" w:eastAsia="Times New Roman" w:hAnsi="Times New Roman" w:cs="Times New Roman"/>
          <w:sz w:val="24"/>
          <w:szCs w:val="24"/>
          <w:highlight w:val="white"/>
        </w:rPr>
        <w:t xml:space="preserve">, R. D., </w:t>
      </w:r>
      <w:proofErr w:type="spellStart"/>
      <w:r>
        <w:rPr>
          <w:rFonts w:ascii="Times New Roman" w:eastAsia="Times New Roman" w:hAnsi="Times New Roman" w:cs="Times New Roman"/>
          <w:sz w:val="24"/>
          <w:szCs w:val="24"/>
          <w:highlight w:val="white"/>
        </w:rPr>
        <w:t>Hariyadi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Simandjorang</w:t>
      </w:r>
      <w:proofErr w:type="spellEnd"/>
      <w:r>
        <w:rPr>
          <w:rFonts w:ascii="Times New Roman" w:eastAsia="Times New Roman" w:hAnsi="Times New Roman" w:cs="Times New Roman"/>
          <w:sz w:val="24"/>
          <w:szCs w:val="24"/>
          <w:highlight w:val="white"/>
        </w:rPr>
        <w:t xml:space="preserve">, B. M. T. V., </w:t>
      </w:r>
      <w:proofErr w:type="spellStart"/>
      <w:r>
        <w:rPr>
          <w:rFonts w:ascii="Times New Roman" w:eastAsia="Times New Roman" w:hAnsi="Times New Roman" w:cs="Times New Roman"/>
          <w:sz w:val="24"/>
          <w:szCs w:val="24"/>
          <w:highlight w:val="white"/>
        </w:rPr>
        <w:t>Haradongan</w:t>
      </w:r>
      <w:proofErr w:type="spellEnd"/>
      <w:r>
        <w:rPr>
          <w:rFonts w:ascii="Times New Roman" w:eastAsia="Times New Roman" w:hAnsi="Times New Roman" w:cs="Times New Roman"/>
          <w:sz w:val="24"/>
          <w:szCs w:val="24"/>
          <w:highlight w:val="white"/>
        </w:rPr>
        <w:t xml:space="preserve">, F., &amp; </w:t>
      </w:r>
      <w:proofErr w:type="spellStart"/>
      <w:r>
        <w:rPr>
          <w:rFonts w:ascii="Times New Roman" w:eastAsia="Times New Roman" w:hAnsi="Times New Roman" w:cs="Times New Roman"/>
          <w:sz w:val="24"/>
          <w:szCs w:val="24"/>
          <w:highlight w:val="white"/>
        </w:rPr>
        <w:t>Istriningsih</w:t>
      </w:r>
      <w:proofErr w:type="spellEnd"/>
      <w:r>
        <w:rPr>
          <w:rFonts w:ascii="Times New Roman" w:eastAsia="Times New Roman" w:hAnsi="Times New Roman" w:cs="Times New Roman"/>
          <w:sz w:val="24"/>
          <w:szCs w:val="24"/>
          <w:highlight w:val="white"/>
        </w:rPr>
        <w:t>. (2023). The contribution of agricultural crop produ</w:t>
      </w:r>
      <w:r>
        <w:rPr>
          <w:rFonts w:ascii="Times New Roman" w:eastAsia="Times New Roman" w:hAnsi="Times New Roman" w:cs="Times New Roman"/>
          <w:sz w:val="24"/>
          <w:szCs w:val="24"/>
          <w:highlight w:val="white"/>
        </w:rPr>
        <w:t>ction towards the economic growth of Indonesia’s agricultural sector. E3S Web of Conferences, 444, 02034. https://doi.org/10.1051/e3sconf/202344402034</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rPr>
        <w:t>Raharjo</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Worokinasih</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Imamah</w:t>
      </w:r>
      <w:proofErr w:type="spellEnd"/>
      <w:r>
        <w:rPr>
          <w:rFonts w:ascii="Times New Roman" w:eastAsia="Times New Roman" w:hAnsi="Times New Roman" w:cs="Times New Roman"/>
          <w:sz w:val="24"/>
          <w:szCs w:val="24"/>
        </w:rPr>
        <w:t xml:space="preserve">, N. (2023). The impact of financial literacy on sustainability of small businesses: Government policy perspective. In </w:t>
      </w:r>
      <w:r>
        <w:rPr>
          <w:rFonts w:ascii="Times New Roman" w:eastAsia="Times New Roman" w:hAnsi="Times New Roman" w:cs="Times New Roman"/>
          <w:i/>
          <w:iCs/>
          <w:sz w:val="24"/>
          <w:szCs w:val="24"/>
        </w:rPr>
        <w:t>Macroeconomic Risk and Growth in the Southeast Asian Countries: Insight from Indonesia</w:t>
      </w:r>
      <w:r>
        <w:rPr>
          <w:rFonts w:ascii="Times New Roman" w:eastAsia="Times New Roman" w:hAnsi="Times New Roman" w:cs="Times New Roman"/>
          <w:sz w:val="24"/>
          <w:szCs w:val="24"/>
        </w:rPr>
        <w:t xml:space="preserve"> (Vol. 33, pp</w:t>
      </w:r>
      <w:r>
        <w:rPr>
          <w:rFonts w:ascii="Times New Roman" w:eastAsia="Times New Roman" w:hAnsi="Times New Roman" w:cs="Times New Roman"/>
          <w:sz w:val="24"/>
          <w:szCs w:val="24"/>
        </w:rPr>
        <w:t>. 19-33). Emerald Publishing Limited. Doi: https://doi.org/10.1108/S1571-03862023000033A002</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Rindyani</w:t>
      </w:r>
      <w:proofErr w:type="spellEnd"/>
      <w:r>
        <w:rPr>
          <w:rFonts w:ascii="Times New Roman" w:eastAsia="Times New Roman" w:hAnsi="Times New Roman" w:cs="Times New Roman"/>
          <w:sz w:val="24"/>
          <w:szCs w:val="24"/>
          <w:highlight w:val="white"/>
        </w:rPr>
        <w:t xml:space="preserve">, R. (2011). </w:t>
      </w:r>
      <w:proofErr w:type="spellStart"/>
      <w:r>
        <w:rPr>
          <w:rFonts w:ascii="Times New Roman" w:eastAsia="Times New Roman" w:hAnsi="Times New Roman" w:cs="Times New Roman"/>
          <w:sz w:val="24"/>
          <w:szCs w:val="24"/>
          <w:highlight w:val="white"/>
        </w:rPr>
        <w:t>Analisis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kelayakan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finansial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budidaya</w:t>
      </w:r>
      <w:proofErr w:type="spellEnd"/>
      <w:r>
        <w:rPr>
          <w:rFonts w:ascii="Times New Roman" w:eastAsia="Times New Roman" w:hAnsi="Times New Roman" w:cs="Times New Roman"/>
          <w:sz w:val="24"/>
          <w:szCs w:val="24"/>
          <w:highlight w:val="white"/>
        </w:rPr>
        <w:t xml:space="preserve"> melon </w:t>
      </w:r>
      <w:proofErr w:type="spellStart"/>
      <w:r>
        <w:rPr>
          <w:rFonts w:ascii="Times New Roman" w:eastAsia="Times New Roman" w:hAnsi="Times New Roman" w:cs="Times New Roman"/>
          <w:sz w:val="24"/>
          <w:szCs w:val="24"/>
          <w:highlight w:val="white"/>
        </w:rPr>
        <w:t>hidroponik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Studi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kasus</w:t>
      </w:r>
      <w:proofErr w:type="spellEnd"/>
      <w:r>
        <w:rPr>
          <w:rFonts w:ascii="Times New Roman" w:eastAsia="Times New Roman" w:hAnsi="Times New Roman" w:cs="Times New Roman"/>
          <w:sz w:val="24"/>
          <w:szCs w:val="24"/>
          <w:highlight w:val="white"/>
        </w:rPr>
        <w:t xml:space="preserve">: PT. </w:t>
      </w:r>
      <w:proofErr w:type="spellStart"/>
      <w:r>
        <w:rPr>
          <w:rFonts w:ascii="Times New Roman" w:eastAsia="Times New Roman" w:hAnsi="Times New Roman" w:cs="Times New Roman"/>
          <w:sz w:val="24"/>
          <w:szCs w:val="24"/>
          <w:highlight w:val="white"/>
        </w:rPr>
        <w:t>Mekar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Unggul</w:t>
      </w:r>
      <w:proofErr w:type="spellEnd"/>
      <w:r>
        <w:rPr>
          <w:rFonts w:ascii="Times New Roman" w:eastAsia="Times New Roman" w:hAnsi="Times New Roman" w:cs="Times New Roman"/>
          <w:sz w:val="24"/>
          <w:szCs w:val="24"/>
          <w:highlight w:val="white"/>
        </w:rPr>
        <w:t xml:space="preserve"> Sari, </w:t>
      </w:r>
      <w:proofErr w:type="spellStart"/>
      <w:r>
        <w:rPr>
          <w:rFonts w:ascii="Times New Roman" w:eastAsia="Times New Roman" w:hAnsi="Times New Roman" w:cs="Times New Roman"/>
          <w:sz w:val="24"/>
          <w:szCs w:val="24"/>
          <w:highlight w:val="white"/>
        </w:rPr>
        <w:t>Cileungsi</w:t>
      </w:r>
      <w:proofErr w:type="spellEnd"/>
      <w:r>
        <w:rPr>
          <w:rFonts w:ascii="Times New Roman" w:eastAsia="Times New Roman" w:hAnsi="Times New Roman" w:cs="Times New Roman"/>
          <w:sz w:val="24"/>
          <w:szCs w:val="24"/>
          <w:highlight w:val="white"/>
        </w:rPr>
        <w:t xml:space="preserve">, Bogor) (Undergraduate thesis). </w:t>
      </w:r>
      <w:proofErr w:type="spellStart"/>
      <w:r>
        <w:rPr>
          <w:rFonts w:ascii="Times New Roman" w:eastAsia="Times New Roman" w:hAnsi="Times New Roman" w:cs="Times New Roman"/>
          <w:sz w:val="24"/>
          <w:szCs w:val="24"/>
          <w:highlight w:val="white"/>
        </w:rPr>
        <w:t>Universit</w:t>
      </w:r>
      <w:r>
        <w:rPr>
          <w:rFonts w:ascii="Times New Roman" w:eastAsia="Times New Roman" w:hAnsi="Times New Roman" w:cs="Times New Roman"/>
          <w:sz w:val="24"/>
          <w:szCs w:val="24"/>
          <w:highlight w:val="white"/>
        </w:rPr>
        <w:t>as</w:t>
      </w:r>
      <w:proofErr w:type="spellEnd"/>
      <w:r>
        <w:rPr>
          <w:rFonts w:ascii="Times New Roman" w:eastAsia="Times New Roman" w:hAnsi="Times New Roman" w:cs="Times New Roman"/>
          <w:sz w:val="24"/>
          <w:szCs w:val="24"/>
          <w:highlight w:val="white"/>
        </w:rPr>
        <w:t xml:space="preserve"> Islam Negeri </w:t>
      </w:r>
      <w:proofErr w:type="spellStart"/>
      <w:r>
        <w:rPr>
          <w:rFonts w:ascii="Times New Roman" w:eastAsia="Times New Roman" w:hAnsi="Times New Roman" w:cs="Times New Roman"/>
          <w:sz w:val="24"/>
          <w:szCs w:val="24"/>
          <w:highlight w:val="white"/>
        </w:rPr>
        <w:t>Syarif</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Hidayatullah</w:t>
      </w:r>
      <w:proofErr w:type="spellEnd"/>
      <w:r>
        <w:rPr>
          <w:rFonts w:ascii="Times New Roman" w:eastAsia="Times New Roman" w:hAnsi="Times New Roman" w:cs="Times New Roman"/>
          <w:sz w:val="24"/>
          <w:szCs w:val="24"/>
          <w:highlight w:val="white"/>
        </w:rPr>
        <w:t xml:space="preserve"> Jakarta, </w:t>
      </w:r>
      <w:proofErr w:type="spellStart"/>
      <w:r>
        <w:rPr>
          <w:rFonts w:ascii="Times New Roman" w:eastAsia="Times New Roman" w:hAnsi="Times New Roman" w:cs="Times New Roman"/>
          <w:sz w:val="24"/>
          <w:szCs w:val="24"/>
          <w:highlight w:val="white"/>
        </w:rPr>
        <w:t>Fakultas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Sains</w:t>
      </w:r>
      <w:proofErr w:type="spellEnd"/>
      <w:r>
        <w:rPr>
          <w:rFonts w:ascii="Times New Roman" w:eastAsia="Times New Roman" w:hAnsi="Times New Roman" w:cs="Times New Roman"/>
          <w:sz w:val="24"/>
          <w:szCs w:val="24"/>
          <w:highlight w:val="white"/>
        </w:rPr>
        <w:t xml:space="preserve"> dan </w:t>
      </w:r>
      <w:proofErr w:type="spellStart"/>
      <w:r>
        <w:rPr>
          <w:rFonts w:ascii="Times New Roman" w:eastAsia="Times New Roman" w:hAnsi="Times New Roman" w:cs="Times New Roman"/>
          <w:sz w:val="24"/>
          <w:szCs w:val="24"/>
          <w:highlight w:val="white"/>
        </w:rPr>
        <w:t>Teknologi</w:t>
      </w:r>
      <w:proofErr w:type="spellEnd"/>
      <w:r>
        <w:rPr>
          <w:rFonts w:ascii="Times New Roman" w:eastAsia="Times New Roman" w:hAnsi="Times New Roman" w:cs="Times New Roman"/>
          <w:sz w:val="24"/>
          <w:szCs w:val="24"/>
          <w:highlight w:val="white"/>
        </w:rPr>
        <w:t xml:space="preserve">, Program </w:t>
      </w:r>
      <w:proofErr w:type="spellStart"/>
      <w:r>
        <w:rPr>
          <w:rFonts w:ascii="Times New Roman" w:eastAsia="Times New Roman" w:hAnsi="Times New Roman" w:cs="Times New Roman"/>
          <w:sz w:val="24"/>
          <w:szCs w:val="24"/>
          <w:highlight w:val="white"/>
        </w:rPr>
        <w:t>Studi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Agribisnis</w:t>
      </w:r>
      <w:proofErr w:type="spellEnd"/>
      <w:r>
        <w:rPr>
          <w:rFonts w:ascii="Times New Roman" w:eastAsia="Times New Roman" w:hAnsi="Times New Roman" w:cs="Times New Roman"/>
          <w:sz w:val="24"/>
          <w:szCs w:val="24"/>
          <w:highlight w:val="white"/>
        </w:rPr>
        <w:t>.</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Rochaeni</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Puspita</w:t>
      </w:r>
      <w:proofErr w:type="spellEnd"/>
      <w:r>
        <w:rPr>
          <w:rFonts w:ascii="Times New Roman" w:eastAsia="Times New Roman" w:hAnsi="Times New Roman" w:cs="Times New Roman"/>
          <w:sz w:val="24"/>
          <w:szCs w:val="24"/>
          <w:highlight w:val="white"/>
        </w:rPr>
        <w:t xml:space="preserve"> Sari, R. A., &amp; </w:t>
      </w:r>
      <w:proofErr w:type="spellStart"/>
      <w:r>
        <w:rPr>
          <w:rFonts w:ascii="Times New Roman" w:eastAsia="Times New Roman" w:hAnsi="Times New Roman" w:cs="Times New Roman"/>
          <w:sz w:val="24"/>
          <w:szCs w:val="24"/>
          <w:highlight w:val="white"/>
        </w:rPr>
        <w:t>Nuraeni</w:t>
      </w:r>
      <w:proofErr w:type="spellEnd"/>
      <w:r>
        <w:rPr>
          <w:rFonts w:ascii="Times New Roman" w:eastAsia="Times New Roman" w:hAnsi="Times New Roman" w:cs="Times New Roman"/>
          <w:sz w:val="24"/>
          <w:szCs w:val="24"/>
          <w:highlight w:val="white"/>
        </w:rPr>
        <w:t xml:space="preserve">, L. P. (2022). Cost structure and revenue of the </w:t>
      </w:r>
      <w:proofErr w:type="spellStart"/>
      <w:r>
        <w:rPr>
          <w:rFonts w:ascii="Times New Roman" w:eastAsia="Times New Roman" w:hAnsi="Times New Roman" w:cs="Times New Roman"/>
          <w:sz w:val="24"/>
          <w:szCs w:val="24"/>
          <w:highlight w:val="white"/>
        </w:rPr>
        <w:t>odot</w:t>
      </w:r>
      <w:proofErr w:type="spellEnd"/>
      <w:r>
        <w:rPr>
          <w:rFonts w:ascii="Times New Roman" w:eastAsia="Times New Roman" w:hAnsi="Times New Roman" w:cs="Times New Roman"/>
          <w:sz w:val="24"/>
          <w:szCs w:val="24"/>
          <w:highlight w:val="white"/>
        </w:rPr>
        <w:t xml:space="preserve"> grass cultivation business at PT. Villa </w:t>
      </w:r>
      <w:proofErr w:type="spellStart"/>
      <w:r>
        <w:rPr>
          <w:rFonts w:ascii="Times New Roman" w:eastAsia="Times New Roman" w:hAnsi="Times New Roman" w:cs="Times New Roman"/>
          <w:sz w:val="24"/>
          <w:szCs w:val="24"/>
          <w:highlight w:val="white"/>
        </w:rPr>
        <w:t>Tani</w:t>
      </w:r>
      <w:proofErr w:type="spellEnd"/>
      <w:r>
        <w:rPr>
          <w:rFonts w:ascii="Times New Roman" w:eastAsia="Times New Roman" w:hAnsi="Times New Roman" w:cs="Times New Roman"/>
          <w:sz w:val="24"/>
          <w:szCs w:val="24"/>
          <w:highlight w:val="white"/>
        </w:rPr>
        <w:t xml:space="preserve"> Indonesia. </w:t>
      </w:r>
      <w:r>
        <w:rPr>
          <w:rFonts w:ascii="Times New Roman" w:eastAsia="Times New Roman" w:hAnsi="Times New Roman" w:cs="Times New Roman"/>
          <w:i/>
          <w:iCs/>
          <w:sz w:val="24"/>
          <w:szCs w:val="24"/>
          <w:highlight w:val="white"/>
        </w:rPr>
        <w:t>Agribusiness Journal, 16</w:t>
      </w:r>
      <w:r>
        <w:rPr>
          <w:rFonts w:ascii="Times New Roman" w:eastAsia="Times New Roman" w:hAnsi="Times New Roman" w:cs="Times New Roman"/>
          <w:sz w:val="24"/>
          <w:szCs w:val="24"/>
          <w:highlight w:val="white"/>
        </w:rPr>
        <w:t>(2), 151–162. doi:10.15408/</w:t>
      </w:r>
      <w:proofErr w:type="gramStart"/>
      <w:r>
        <w:rPr>
          <w:rFonts w:ascii="Times New Roman" w:eastAsia="Times New Roman" w:hAnsi="Times New Roman" w:cs="Times New Roman"/>
          <w:sz w:val="24"/>
          <w:szCs w:val="24"/>
          <w:highlight w:val="white"/>
        </w:rPr>
        <w:t>aj.v</w:t>
      </w:r>
      <w:proofErr w:type="gramEnd"/>
      <w:r>
        <w:rPr>
          <w:rFonts w:ascii="Times New Roman" w:eastAsia="Times New Roman" w:hAnsi="Times New Roman" w:cs="Times New Roman"/>
          <w:sz w:val="24"/>
          <w:szCs w:val="24"/>
          <w:highlight w:val="white"/>
        </w:rPr>
        <w:t>16i2.29380</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Secretariat General of the Ministry of Agriculture</w:t>
      </w:r>
      <w:r>
        <w:rPr>
          <w:rFonts w:ascii="Times New Roman" w:eastAsia="Times New Roman" w:hAnsi="Times New Roman" w:cs="Times New Roman"/>
          <w:sz w:val="24"/>
          <w:szCs w:val="24"/>
          <w:highlight w:val="white"/>
        </w:rPr>
        <w:t xml:space="preserve"> (2024). </w:t>
      </w:r>
      <w:proofErr w:type="spellStart"/>
      <w:r>
        <w:rPr>
          <w:rFonts w:ascii="Times New Roman" w:eastAsia="Times New Roman" w:hAnsi="Times New Roman" w:cs="Times New Roman"/>
          <w:i/>
          <w:iCs/>
          <w:sz w:val="24"/>
          <w:szCs w:val="24"/>
          <w:highlight w:val="white"/>
        </w:rPr>
        <w:t>Statistik</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ketenagakerjaan</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sektor</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pertanian</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Agustus</w:t>
      </w:r>
      <w:proofErr w:type="spellEnd"/>
      <w:r>
        <w:rPr>
          <w:rFonts w:ascii="Times New Roman" w:eastAsia="Times New Roman" w:hAnsi="Times New Roman" w:cs="Times New Roman"/>
          <w:i/>
          <w:iCs/>
          <w:sz w:val="24"/>
          <w:szCs w:val="24"/>
          <w:highlight w:val="white"/>
        </w:rPr>
        <w:t xml:space="preserve"> 2024</w:t>
      </w:r>
      <w:r>
        <w:rPr>
          <w:rFonts w:ascii="Times New Roman" w:eastAsia="Times New Roman" w:hAnsi="Times New Roman" w:cs="Times New Roman"/>
          <w:sz w:val="24"/>
          <w:szCs w:val="24"/>
          <w:highlight w:val="white"/>
        </w:rPr>
        <w:t xml:space="preserve">. Jakarta: Kementerian </w:t>
      </w:r>
      <w:proofErr w:type="spellStart"/>
      <w:r>
        <w:rPr>
          <w:rFonts w:ascii="Times New Roman" w:eastAsia="Times New Roman" w:hAnsi="Times New Roman" w:cs="Times New Roman"/>
          <w:sz w:val="24"/>
          <w:szCs w:val="24"/>
          <w:highlight w:val="white"/>
        </w:rPr>
        <w:t>Pertanian</w:t>
      </w:r>
      <w:proofErr w:type="spellEnd"/>
      <w:r>
        <w:rPr>
          <w:rFonts w:ascii="Times New Roman" w:eastAsia="Times New Roman" w:hAnsi="Times New Roman" w:cs="Times New Roman"/>
          <w:sz w:val="24"/>
          <w:szCs w:val="24"/>
          <w:highlight w:val="white"/>
        </w:rPr>
        <w:t>. Retrieved from https://satudata.pertanian</w:t>
      </w:r>
      <w:r>
        <w:rPr>
          <w:rFonts w:ascii="Times New Roman" w:eastAsia="Times New Roman" w:hAnsi="Times New Roman" w:cs="Times New Roman"/>
          <w:sz w:val="24"/>
          <w:szCs w:val="24"/>
          <w:highlight w:val="white"/>
        </w:rPr>
        <w:t>.go.id/assets/docs/publikasi/Statistik_Tenaga_Kerja_Pertanian_SM_II_2024.pdf</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Soetriono</w:t>
      </w:r>
      <w:proofErr w:type="spellEnd"/>
      <w:r>
        <w:rPr>
          <w:rFonts w:ascii="Times New Roman" w:eastAsia="Times New Roman" w:hAnsi="Times New Roman" w:cs="Times New Roman"/>
          <w:sz w:val="24"/>
          <w:szCs w:val="24"/>
          <w:highlight w:val="white"/>
        </w:rPr>
        <w:t xml:space="preserve">, T., &amp; </w:t>
      </w:r>
      <w:proofErr w:type="spellStart"/>
      <w:r>
        <w:rPr>
          <w:rFonts w:ascii="Times New Roman" w:eastAsia="Times New Roman" w:hAnsi="Times New Roman" w:cs="Times New Roman"/>
          <w:sz w:val="24"/>
          <w:szCs w:val="24"/>
          <w:highlight w:val="white"/>
        </w:rPr>
        <w:t>Soedjono</w:t>
      </w:r>
      <w:proofErr w:type="spellEnd"/>
      <w:r>
        <w:rPr>
          <w:rFonts w:ascii="Times New Roman" w:eastAsia="Times New Roman" w:hAnsi="Times New Roman" w:cs="Times New Roman"/>
          <w:sz w:val="24"/>
          <w:szCs w:val="24"/>
          <w:highlight w:val="white"/>
        </w:rPr>
        <w:t xml:space="preserve">, D. (2020). Challenges and opportunities for agribusiness development: Lessons from Indonesia. </w:t>
      </w:r>
      <w:r>
        <w:rPr>
          <w:rFonts w:ascii="Times New Roman" w:eastAsia="Times New Roman" w:hAnsi="Times New Roman" w:cs="Times New Roman"/>
          <w:i/>
          <w:iCs/>
          <w:sz w:val="24"/>
          <w:szCs w:val="24"/>
          <w:highlight w:val="white"/>
        </w:rPr>
        <w:t>Journal of Asian Finance, Economics and Business, 7</w:t>
      </w:r>
      <w:r>
        <w:rPr>
          <w:rFonts w:ascii="Times New Roman" w:eastAsia="Times New Roman" w:hAnsi="Times New Roman" w:cs="Times New Roman"/>
          <w:sz w:val="24"/>
          <w:szCs w:val="24"/>
          <w:highlight w:val="white"/>
        </w:rPr>
        <w:t>(9), 79</w:t>
      </w:r>
      <w:r>
        <w:rPr>
          <w:rFonts w:ascii="Times New Roman" w:eastAsia="Times New Roman" w:hAnsi="Times New Roman" w:cs="Times New Roman"/>
          <w:sz w:val="24"/>
          <w:szCs w:val="24"/>
          <w:highlight w:val="white"/>
        </w:rPr>
        <w:t xml:space="preserve">1–800. </w:t>
      </w:r>
      <w:proofErr w:type="gramStart"/>
      <w:r>
        <w:rPr>
          <w:rFonts w:ascii="Times New Roman" w:eastAsia="Times New Roman" w:hAnsi="Times New Roman" w:cs="Times New Roman"/>
          <w:sz w:val="24"/>
          <w:szCs w:val="24"/>
          <w:highlight w:val="white"/>
        </w:rPr>
        <w:t>doi:10.13106/jafeb.2020.vol7.no9</w:t>
      </w:r>
      <w:proofErr w:type="gramEnd"/>
      <w:r>
        <w:rPr>
          <w:rFonts w:ascii="Times New Roman" w:eastAsia="Times New Roman" w:hAnsi="Times New Roman" w:cs="Times New Roman"/>
          <w:sz w:val="24"/>
          <w:szCs w:val="24"/>
          <w:highlight w:val="white"/>
        </w:rPr>
        <w:t>.791.</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Wang, X. (2022). Managing land carrying capacity: Key to achieving sustainable production systems for food security. </w:t>
      </w:r>
      <w:r>
        <w:rPr>
          <w:rFonts w:ascii="Times New Roman" w:eastAsia="Times New Roman" w:hAnsi="Times New Roman" w:cs="Times New Roman"/>
          <w:i/>
          <w:iCs/>
          <w:sz w:val="24"/>
          <w:szCs w:val="24"/>
          <w:highlight w:val="white"/>
        </w:rPr>
        <w:t>Land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w:t>
      </w:r>
      <w:r>
        <w:rPr>
          <w:rFonts w:ascii="Times New Roman" w:eastAsia="Times New Roman" w:hAnsi="Times New Roman" w:cs="Times New Roman"/>
          <w:sz w:val="24"/>
          <w:szCs w:val="24"/>
          <w:highlight w:val="white"/>
        </w:rPr>
        <w:t>(4), 484.</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West Java Province Statistics Agency</w:t>
      </w:r>
      <w:r>
        <w:rPr>
          <w:rFonts w:ascii="Times New Roman" w:eastAsia="Times New Roman" w:hAnsi="Times New Roman" w:cs="Times New Roman"/>
          <w:sz w:val="24"/>
          <w:szCs w:val="24"/>
          <w:highlight w:val="white"/>
        </w:rPr>
        <w:t xml:space="preserve"> (2020). </w:t>
      </w:r>
      <w:r>
        <w:rPr>
          <w:rFonts w:ascii="Times New Roman" w:eastAsia="Times New Roman" w:hAnsi="Times New Roman" w:cs="Times New Roman"/>
          <w:i/>
          <w:iCs/>
          <w:sz w:val="24"/>
          <w:szCs w:val="24"/>
          <w:highlight w:val="white"/>
        </w:rPr>
        <w:t xml:space="preserve">Luas </w:t>
      </w:r>
      <w:proofErr w:type="spellStart"/>
      <w:r>
        <w:rPr>
          <w:rFonts w:ascii="Times New Roman" w:eastAsia="Times New Roman" w:hAnsi="Times New Roman" w:cs="Times New Roman"/>
          <w:i/>
          <w:iCs/>
          <w:sz w:val="24"/>
          <w:szCs w:val="24"/>
          <w:highlight w:val="white"/>
        </w:rPr>
        <w:t>panen</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tanaman</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sayuran</w:t>
      </w:r>
      <w:proofErr w:type="spellEnd"/>
      <w:r>
        <w:rPr>
          <w:rFonts w:ascii="Times New Roman" w:eastAsia="Times New Roman" w:hAnsi="Times New Roman" w:cs="Times New Roman"/>
          <w:i/>
          <w:iCs/>
          <w:sz w:val="24"/>
          <w:szCs w:val="24"/>
          <w:highlight w:val="white"/>
        </w:rPr>
        <w:t xml:space="preserve"> dan </w:t>
      </w:r>
      <w:proofErr w:type="spellStart"/>
      <w:r>
        <w:rPr>
          <w:rFonts w:ascii="Times New Roman" w:eastAsia="Times New Roman" w:hAnsi="Times New Roman" w:cs="Times New Roman"/>
          <w:i/>
          <w:iCs/>
          <w:sz w:val="24"/>
          <w:szCs w:val="24"/>
          <w:highlight w:val="white"/>
        </w:rPr>
        <w:t>buah-buahan</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semusim</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menurut</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kabupaten</w:t>
      </w:r>
      <w:proofErr w:type="spellEnd"/>
      <w:r>
        <w:rPr>
          <w:rFonts w:ascii="Times New Roman" w:eastAsia="Times New Roman" w:hAnsi="Times New Roman" w:cs="Times New Roman"/>
          <w:i/>
          <w:iCs/>
          <w:sz w:val="24"/>
          <w:szCs w:val="24"/>
          <w:highlight w:val="white"/>
        </w:rPr>
        <w:t>/</w:t>
      </w:r>
      <w:proofErr w:type="spellStart"/>
      <w:r>
        <w:rPr>
          <w:rFonts w:ascii="Times New Roman" w:eastAsia="Times New Roman" w:hAnsi="Times New Roman" w:cs="Times New Roman"/>
          <w:i/>
          <w:iCs/>
          <w:sz w:val="24"/>
          <w:szCs w:val="24"/>
          <w:highlight w:val="white"/>
        </w:rPr>
        <w:t>kota</w:t>
      </w:r>
      <w:proofErr w:type="spellEnd"/>
      <w:r>
        <w:rPr>
          <w:rFonts w:ascii="Times New Roman" w:eastAsia="Times New Roman" w:hAnsi="Times New Roman" w:cs="Times New Roman"/>
          <w:i/>
          <w:iCs/>
          <w:sz w:val="24"/>
          <w:szCs w:val="24"/>
          <w:highlight w:val="white"/>
        </w:rPr>
        <w:t xml:space="preserve"> dan </w:t>
      </w:r>
      <w:proofErr w:type="spellStart"/>
      <w:r>
        <w:rPr>
          <w:rFonts w:ascii="Times New Roman" w:eastAsia="Times New Roman" w:hAnsi="Times New Roman" w:cs="Times New Roman"/>
          <w:i/>
          <w:iCs/>
          <w:sz w:val="24"/>
          <w:szCs w:val="24"/>
          <w:highlight w:val="white"/>
        </w:rPr>
        <w:t>jenis</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tanaman</w:t>
      </w:r>
      <w:proofErr w:type="spellEnd"/>
      <w:r>
        <w:rPr>
          <w:rFonts w:ascii="Times New Roman" w:eastAsia="Times New Roman" w:hAnsi="Times New Roman" w:cs="Times New Roman"/>
          <w:i/>
          <w:iCs/>
          <w:sz w:val="24"/>
          <w:szCs w:val="24"/>
          <w:highlight w:val="white"/>
        </w:rPr>
        <w:t xml:space="preserve"> di </w:t>
      </w:r>
      <w:proofErr w:type="spellStart"/>
      <w:r>
        <w:rPr>
          <w:rFonts w:ascii="Times New Roman" w:eastAsia="Times New Roman" w:hAnsi="Times New Roman" w:cs="Times New Roman"/>
          <w:i/>
          <w:iCs/>
          <w:sz w:val="24"/>
          <w:szCs w:val="24"/>
          <w:highlight w:val="white"/>
        </w:rPr>
        <w:t>Provinsi</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Jawa</w:t>
      </w:r>
      <w:proofErr w:type="spellEnd"/>
      <w:r>
        <w:rPr>
          <w:rFonts w:ascii="Times New Roman" w:eastAsia="Times New Roman" w:hAnsi="Times New Roman" w:cs="Times New Roman"/>
          <w:i/>
          <w:iCs/>
          <w:sz w:val="24"/>
          <w:szCs w:val="24"/>
          <w:highlight w:val="white"/>
        </w:rPr>
        <w:t xml:space="preserve"> Barat, 2020</w:t>
      </w:r>
      <w:r>
        <w:rPr>
          <w:rFonts w:ascii="Times New Roman" w:eastAsia="Times New Roman" w:hAnsi="Times New Roman" w:cs="Times New Roman"/>
          <w:sz w:val="24"/>
          <w:szCs w:val="24"/>
          <w:highlight w:val="white"/>
        </w:rPr>
        <w:t>. Retrieved from https://jabar.bps.go.id/id/statistics-table/3/YlhOVmIxcG1abmRxVURoS1dFbFVTamhaUml0aWR6MDkjMw==/luas-panen-tanaman-sayuran-dan-buah-buahan-semusim-menu</w:t>
      </w:r>
      <w:r>
        <w:rPr>
          <w:rFonts w:ascii="Times New Roman" w:eastAsia="Times New Roman" w:hAnsi="Times New Roman" w:cs="Times New Roman"/>
          <w:sz w:val="24"/>
          <w:szCs w:val="24"/>
          <w:highlight w:val="white"/>
        </w:rPr>
        <w:t>rut-kabupaten-kota-dan-jenis-tanaman-di-provinsi-jawa-barat--2020.html</w:t>
      </w:r>
    </w:p>
    <w:p w:rsidR="0090738E" w:rsidRDefault="009B49E8">
      <w:pPr>
        <w:numPr>
          <w:ilvl w:val="0"/>
          <w:numId w:val="2"/>
        </w:numPr>
        <w:spacing w:line="24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World Bank. (2024). Farming and agribusiness. Retrieved June 28, 2026, from https://www.worldbank.org/ext/en/topic/farming-and-agribusiness</w:t>
      </w:r>
    </w:p>
    <w:p w:rsidR="0090738E" w:rsidRDefault="009B49E8">
      <w:pPr>
        <w:numPr>
          <w:ilvl w:val="0"/>
          <w:numId w:val="2"/>
        </w:numPr>
        <w:spacing w:after="240" w:line="240" w:lineRule="auto"/>
        <w:ind w:left="36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Yunusov</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Sadullayev</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Khaitboyeva</w:t>
      </w:r>
      <w:proofErr w:type="spellEnd"/>
      <w:r>
        <w:rPr>
          <w:rFonts w:ascii="Times New Roman" w:eastAsia="Times New Roman" w:hAnsi="Times New Roman" w:cs="Times New Roman"/>
          <w:sz w:val="24"/>
          <w:szCs w:val="24"/>
          <w:highlight w:val="white"/>
        </w:rPr>
        <w:t>, G.,</w:t>
      </w:r>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Sharipova</w:t>
      </w:r>
      <w:proofErr w:type="spellEnd"/>
      <w:r>
        <w:rPr>
          <w:rFonts w:ascii="Times New Roman" w:eastAsia="Times New Roman" w:hAnsi="Times New Roman" w:cs="Times New Roman"/>
          <w:sz w:val="24"/>
          <w:szCs w:val="24"/>
          <w:highlight w:val="white"/>
        </w:rPr>
        <w:t>, M. (2023). Selection of high-yielding, disease-resistant, promising, and export-oriented varieties of melons. E3S Web of Conferences, 389, 03044. doi:10.1051/e3sconf/202338903044</w:t>
      </w:r>
    </w:p>
    <w:p w:rsidR="0090738E" w:rsidRDefault="0090738E">
      <w:pPr>
        <w:spacing w:before="240" w:after="240" w:line="240" w:lineRule="auto"/>
        <w:jc w:val="both"/>
        <w:rPr>
          <w:rFonts w:ascii="Times New Roman" w:eastAsia="Times New Roman" w:hAnsi="Times New Roman" w:cs="Times New Roman"/>
          <w:sz w:val="24"/>
          <w:szCs w:val="24"/>
          <w:highlight w:val="white"/>
        </w:rPr>
      </w:pPr>
    </w:p>
    <w:p w:rsidR="0090738E" w:rsidRDefault="0090738E">
      <w:pPr>
        <w:spacing w:before="240" w:after="240" w:line="240" w:lineRule="auto"/>
        <w:jc w:val="both"/>
        <w:rPr>
          <w:rFonts w:ascii="Times New Roman" w:eastAsia="Times New Roman" w:hAnsi="Times New Roman" w:cs="Times New Roman"/>
          <w:sz w:val="24"/>
          <w:szCs w:val="24"/>
          <w:highlight w:val="white"/>
        </w:rPr>
      </w:pPr>
    </w:p>
    <w:p w:rsidR="0090738E" w:rsidRDefault="0090738E">
      <w:pPr>
        <w:jc w:val="both"/>
        <w:rPr>
          <w:rFonts w:ascii="Times New Roman" w:eastAsia="Times New Roman" w:hAnsi="Times New Roman" w:cs="Times New Roman"/>
          <w:b/>
          <w:bCs/>
          <w:sz w:val="28"/>
          <w:szCs w:val="28"/>
        </w:rPr>
      </w:pPr>
    </w:p>
    <w:sectPr w:rsidR="0090738E">
      <w:pgSz w:w="12240" w:h="15840"/>
      <w:pgMar w:top="1094" w:right="604" w:bottom="604" w:left="60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CF359CF-4CCD-4413-9AD4-D6C82F4EDD7F}"/>
  </w:font>
  <w:font w:name="Cambria">
    <w:panose1 w:val="02040503050406030204"/>
    <w:charset w:val="00"/>
    <w:family w:val="roman"/>
    <w:pitch w:val="variable"/>
    <w:sig w:usb0="E00006FF" w:usb1="420024FF" w:usb2="02000000" w:usb3="00000000" w:csb0="0000019F" w:csb1="00000000"/>
    <w:embedRegular r:id="rId2" w:fontKey="{D91D1530-9965-4D6D-BA95-3BE6D1B94B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70DF5"/>
    <w:multiLevelType w:val="multilevel"/>
    <w:tmpl w:val="46F0B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77721F86"/>
    <w:multiLevelType w:val="multilevel"/>
    <w:tmpl w:val="31EA6E8E"/>
    <w:lvl w:ilvl="0">
      <w:start w:val="1"/>
      <w:numFmt w:val="decimal"/>
      <w:lvlText w:val="%1."/>
      <w:lvlJc w:val="center"/>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38E"/>
    <w:rsid w:val="00217343"/>
    <w:rsid w:val="002F39E4"/>
    <w:rsid w:val="00412041"/>
    <w:rsid w:val="0090738E"/>
    <w:rsid w:val="009B4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81418"/>
  <w15:docId w15:val="{D3CD7B85-E48F-481A-A802-F8BB84C47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60" w:lineRule="auto"/>
      <w:jc w:val="both"/>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5803</Words>
  <Characters>33078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FILDA RAHMIATI</dc:creator>
  <cp:lastModifiedBy>FILDA RAHMIATI</cp:lastModifiedBy>
  <cp:revision>2</cp:revision>
  <dcterms:created xsi:type="dcterms:W3CDTF">2026-06-29T09:43:00Z</dcterms:created>
  <dcterms:modified xsi:type="dcterms:W3CDTF">2026-06-29T09:43:00Z</dcterms:modified>
</cp:coreProperties>
</file>