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Times New Roman" w:cs="Times New Roman" w:eastAsia="Times New Roman" w:hAnsi="Times New Roman"/>
          <w:b w:val="0"/>
          <w:bCs w:val="0"/>
          <w:sz w:val="44"/>
          <w:szCs w:val="44"/>
        </w:rPr>
      </w:pPr>
      <w:r w:rsidDel="00000000" w:rsidR="00000000" w:rsidRPr="00000000">
        <w:rPr>
          <w:rFonts w:ascii="Times New Roman" w:cs="Times New Roman" w:eastAsia="Times New Roman" w:hAnsi="Times New Roman"/>
          <w:b w:val="0"/>
          <w:bCs w:val="0"/>
          <w:sz w:val="44"/>
          <w:szCs w:val="44"/>
          <w:rtl w:val="0"/>
        </w:rPr>
        <w:t xml:space="preserve">Development of a Wireless Electric Vehicle Charging System Using Resonant Inductive Coupling</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r>
      <w:r w:rsidDel="00000000" w:rsidR="00000000" w:rsidRPr="00000000">
        <w:rPr>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rPr>
          <w:sz w:val="15"/>
          <w:szCs w:val="15"/>
        </w:rPr>
        <w:sectPr>
          <w:pgSz w:h="16840" w:w="11910" w:orient="portrait"/>
          <w:pgMar w:bottom="280" w:top="1540" w:left="800" w:right="660" w:header="720" w:footer="720"/>
          <w:pgNumType w:start="1"/>
        </w:sectPr>
      </w:pPr>
      <w:r w:rsidDel="00000000" w:rsidR="00000000" w:rsidRPr="00000000">
        <w:rPr>
          <w:rtl w:val="0"/>
        </w:rPr>
      </w:r>
    </w:p>
    <w:p w:rsidR="00000000" w:rsidDel="00000000" w:rsidP="00000000" w:rsidRDefault="00000000" w:rsidRPr="00000000" w14:paraId="00000007">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b w:val="1"/>
          <w:bCs w:val="1"/>
          <w:sz w:val="18"/>
          <w:szCs w:val="18"/>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Abstract</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b w:val="1"/>
          <w:bCs w:val="1"/>
          <w:sz w:val="18"/>
          <w:szCs w:val="18"/>
          <w:rtl w:val="0"/>
        </w:rPr>
        <w:t xml:space="preserve">This study presents the design and development of a wireless charging system for electric vehicles (EVs) based on resonant inductive coupling. The system enables power transfer without physical connectors by using magnetic resonance between two coils tuned to the same frequency. The aim is to improve convenience, safety, and durability compared to conventional plug-in charging methods. The proposed system consists of a transmitting coil connected to an alternating current (AC) source and a receiving coil integrated into the EV battery charging circuit. Both coils are resonantly tuned to enhance power transfer efficiency across an air gap of 5–10 cm. Experimental tests were conducted under varying conditions, including changes in coil alignment and separation distance. Results indicate that efficient wireless power transfer can be achieved with minimal energy loss. Although performance decreases slightly under misalignment or increased distance, the system maintains stable operation within the tested range. These findings demonstrate the feasibility of resonant inductive coupling for EV charging applications. Overall, the study highlights the potential of wireless charging systems as a practical and scalable alternative to conventional methods, supporting the advancement of sustainable transportation technologies.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18"/>
          <w:szCs w:val="1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18"/>
          <w:szCs w:val="18"/>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Wireless Power Transfer (WPT), Resonant Inductive Coupling, Electric Vehicle Charging, Energy Efficiency, Smart Mobility</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18"/>
          <w:szCs w:val="18"/>
        </w:rPr>
      </w:pPr>
      <w:r w:rsidDel="00000000" w:rsidR="00000000" w:rsidRPr="00000000">
        <w:rPr>
          <w:rtl w:val="0"/>
        </w:rPr>
      </w:r>
    </w:p>
    <w:p w:rsidR="00000000" w:rsidDel="00000000" w:rsidP="00000000" w:rsidRDefault="00000000" w:rsidRPr="00000000" w14:paraId="0000000B">
      <w:pPr>
        <w:numPr>
          <w:ilvl w:val="0"/>
          <w:numId w:val="6"/>
        </w:numPr>
        <w:ind w:left="1080" w:hanging="720"/>
        <w:jc w:val="both"/>
      </w:pPr>
      <w:r w:rsidDel="00000000" w:rsidR="00000000" w:rsidRPr="00000000">
        <w:rPr>
          <w:sz w:val="20"/>
          <w:szCs w:val="20"/>
          <w:rtl w:val="0"/>
        </w:rPr>
        <w:t xml:space="preserve">I</w:t>
      </w:r>
      <w:r w:rsidDel="00000000" w:rsidR="00000000" w:rsidRPr="00000000">
        <w:rPr>
          <w:sz w:val="16"/>
          <w:szCs w:val="16"/>
          <w:rtl w:val="0"/>
        </w:rPr>
        <w:t xml:space="preserve">NTRODUCTION</w:t>
      </w:r>
      <w:r w:rsidDel="00000000" w:rsidR="00000000" w:rsidRPr="00000000">
        <w:rPr>
          <w:sz w:val="20"/>
          <w:szCs w:val="20"/>
          <w:rtl w:val="0"/>
        </w:rPr>
        <w:t xml:space="preserve">.</w:t>
      </w:r>
    </w:p>
    <w:p w:rsidR="00000000" w:rsidDel="00000000" w:rsidP="00000000" w:rsidRDefault="00000000" w:rsidRPr="00000000" w14:paraId="0000000C">
      <w:pPr>
        <w:widowControl w:val="1"/>
        <w:spacing w:after="240" w:before="240" w:lineRule="auto"/>
        <w:jc w:val="both"/>
        <w:rPr>
          <w:sz w:val="20"/>
          <w:szCs w:val="20"/>
        </w:rPr>
      </w:pPr>
      <w:r w:rsidDel="00000000" w:rsidR="00000000" w:rsidRPr="00000000">
        <w:rPr>
          <w:sz w:val="20"/>
          <w:szCs w:val="20"/>
          <w:rtl w:val="0"/>
        </w:rPr>
        <w:t xml:space="preserve">The global adoption of electric vehicles (EVs) has intensified the demand for efficient, safe, and scalable charging technologies. This transition is driven by environmental concerns, regulatory pressures on emissions, and the need to reduce dependence on fossil fuels. While conventional plug-in charging infrastructure is widely deployed, it presents several limitations, including mechanical wear of connectors, safety risks under adverse environmental conditions, and user inconvenience associated with manual operation. Furthermore, the increasing penetration of EVs is placing significant strain on existing charging infrastructure, resulting in congestion, extended waiting times, and higher operational costs.</w:t>
      </w:r>
    </w:p>
    <w:p w:rsidR="00000000" w:rsidDel="00000000" w:rsidP="00000000" w:rsidRDefault="00000000" w:rsidRPr="00000000" w14:paraId="0000000D">
      <w:pPr>
        <w:widowControl w:val="1"/>
        <w:spacing w:after="240" w:before="240" w:lineRule="auto"/>
        <w:jc w:val="both"/>
        <w:rPr>
          <w:sz w:val="20"/>
          <w:szCs w:val="20"/>
        </w:rPr>
      </w:pPr>
      <w:r w:rsidDel="00000000" w:rsidR="00000000" w:rsidRPr="00000000">
        <w:rPr>
          <w:sz w:val="20"/>
          <w:szCs w:val="20"/>
          <w:rtl w:val="0"/>
        </w:rPr>
        <w:t xml:space="preserve">Wireless power transfer (WPT) has emerged as a viable alternative, offering contactless energy delivery that improves user convenience and reduces mechanical degradation. Among various WPT approaches, resonant inductive coupling has attracted considerable attention due to its ability to achieve efficient energy transfer over moderate air gaps. This technique relies on magnetic resonance between transmitter and receiver coils tuned to a common frequency, enabling improved tolerance to misalignment compared to conventional inductive systems. As a result, it is particularly suited to practical EV charging scenarios where precise positioning cannot always be ensured.</w:t>
      </w:r>
    </w:p>
    <w:p w:rsidR="00000000" w:rsidDel="00000000" w:rsidP="00000000" w:rsidRDefault="00000000" w:rsidRPr="00000000" w14:paraId="0000000E">
      <w:pPr>
        <w:widowControl w:val="1"/>
        <w:spacing w:after="240" w:before="240" w:lineRule="auto"/>
        <w:jc w:val="both"/>
        <w:rPr>
          <w:sz w:val="20"/>
          <w:szCs w:val="20"/>
        </w:rPr>
      </w:pPr>
      <w:r w:rsidDel="00000000" w:rsidR="00000000" w:rsidRPr="00000000">
        <w:rPr>
          <w:sz w:val="20"/>
          <w:szCs w:val="20"/>
          <w:rtl w:val="0"/>
        </w:rPr>
        <w:t xml:space="preserve">Despite these advantages, several challenges limit the large-scale deployment of resonant inductive wireless charging systems. In particular, maintaining high power transfer efficiency under varying alignment and separation conditions remains a critical issue. In addition, trade-offs between coil design, operating frequency, and system stability must be carefully managed to ensure reliable performance. Existing studies have demonstrated the feasibility of such systems; however, many focus on ideal operating conditions, with limited experimental validation under realistic misalignment and distance variations.</w:t>
      </w:r>
    </w:p>
    <w:p w:rsidR="00000000" w:rsidDel="00000000" w:rsidP="00000000" w:rsidRDefault="00000000" w:rsidRPr="00000000" w14:paraId="0000000F">
      <w:pPr>
        <w:widowControl w:val="1"/>
        <w:spacing w:after="240" w:before="240" w:lineRule="auto"/>
        <w:jc w:val="both"/>
        <w:rPr>
          <w:sz w:val="20"/>
          <w:szCs w:val="20"/>
        </w:rPr>
      </w:pPr>
      <w:r w:rsidDel="00000000" w:rsidR="00000000" w:rsidRPr="00000000">
        <w:rPr>
          <w:sz w:val="20"/>
          <w:szCs w:val="20"/>
          <w:rtl w:val="0"/>
        </w:rPr>
        <w:t xml:space="preserve">This study addresses these limitations by designing and experimentally evaluating a wireless EV charging system based on resonant inductive coupling. The research focuses on optimizing coil configuration and system parameters to enhance power transfer efficiency across practical air gaps of 5–10 cm. Experimental investigations are conducted under varying alignment and separation conditions to assess system robustness and performance.</w:t>
      </w:r>
    </w:p>
    <w:p w:rsidR="00000000" w:rsidDel="00000000" w:rsidP="00000000" w:rsidRDefault="00000000" w:rsidRPr="00000000" w14:paraId="00000010">
      <w:pPr>
        <w:widowControl w:val="1"/>
        <w:spacing w:after="240" w:before="240" w:lineRule="auto"/>
        <w:jc w:val="both"/>
        <w:rPr>
          <w:sz w:val="20"/>
          <w:szCs w:val="20"/>
        </w:rPr>
      </w:pPr>
      <w:r w:rsidDel="00000000" w:rsidR="00000000" w:rsidRPr="00000000">
        <w:rPr>
          <w:sz w:val="20"/>
          <w:szCs w:val="20"/>
          <w:rtl w:val="0"/>
        </w:rPr>
        <w:t xml:space="preserve">Furthermore, the study considers practical implementation factors, including system cost, safety, and scalability. The proposed design emphasizes the use of cost-effective components while maintaining reliable operation. The findings provide insight into the feasibility of deploying resonant inductive charging systems in real-world environments and contribute to ongoing efforts to develop efficient and user-friendly EV charging infrastructure.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12">
      <w:pPr>
        <w:numPr>
          <w:ilvl w:val="0"/>
          <w:numId w:val="4"/>
        </w:numPr>
        <w:ind w:left="390" w:hanging="360"/>
        <w:jc w:val="center"/>
        <w:rPr>
          <w:i w:val="1"/>
          <w:iCs w:val="1"/>
          <w:sz w:val="16"/>
          <w:szCs w:val="16"/>
        </w:rPr>
      </w:pPr>
      <w:r w:rsidDel="00000000" w:rsidR="00000000" w:rsidRPr="00000000">
        <w:rPr>
          <w:i w:val="1"/>
          <w:iCs w:val="1"/>
          <w:sz w:val="16"/>
          <w:szCs w:val="16"/>
          <w:rtl w:val="0"/>
        </w:rPr>
        <w:t xml:space="preserve">OBJECTIVE OF THE RESEARCH</w:t>
      </w:r>
    </w:p>
    <w:p w:rsidR="00000000" w:rsidDel="00000000" w:rsidP="00000000" w:rsidRDefault="00000000" w:rsidRPr="00000000" w14:paraId="00000013">
      <w:pPr>
        <w:ind w:left="318" w:firstLine="0"/>
        <w:rPr>
          <w:sz w:val="16"/>
          <w:szCs w:val="16"/>
        </w:rPr>
      </w:pPr>
      <w:r w:rsidDel="00000000" w:rsidR="00000000" w:rsidRPr="00000000">
        <w:rPr>
          <w:rtl w:val="0"/>
        </w:rPr>
      </w:r>
    </w:p>
    <w:p w:rsidR="00000000" w:rsidDel="00000000" w:rsidP="00000000" w:rsidRDefault="00000000" w:rsidRPr="00000000" w14:paraId="00000014">
      <w:pPr>
        <w:jc w:val="both"/>
        <w:rPr>
          <w:color w:val="000000"/>
          <w:sz w:val="20"/>
          <w:szCs w:val="20"/>
        </w:rPr>
      </w:pPr>
      <w:r w:rsidDel="00000000" w:rsidR="00000000" w:rsidRPr="00000000">
        <w:rPr>
          <w:color w:val="000000"/>
          <w:sz w:val="20"/>
          <w:szCs w:val="20"/>
          <w:rtl w:val="0"/>
        </w:rPr>
        <w:t xml:space="preserve">The overall objectives of this study of the </w:t>
      </w:r>
      <w:r w:rsidDel="00000000" w:rsidR="00000000" w:rsidRPr="00000000">
        <w:rPr>
          <w:sz w:val="20"/>
          <w:szCs w:val="20"/>
          <w:rtl w:val="0"/>
        </w:rPr>
        <w:t xml:space="preserve">Development of a Wireless Electric Vehicle Charging System Using Resonant Inductive Coupling</w:t>
      </w:r>
      <w:r w:rsidDel="00000000" w:rsidR="00000000" w:rsidRPr="00000000">
        <w:rPr>
          <w:color w:val="000000"/>
          <w:sz w:val="20"/>
          <w:szCs w:val="20"/>
          <w:rtl w:val="0"/>
        </w:rPr>
        <w:t xml:space="preserve">. The specific aims of this study are:</w:t>
      </w:r>
    </w:p>
    <w:p w:rsidR="00000000" w:rsidDel="00000000" w:rsidP="00000000" w:rsidRDefault="00000000" w:rsidRPr="00000000" w14:paraId="00000015">
      <w:pPr>
        <w:widowControl w:val="1"/>
        <w:spacing w:after="280" w:before="280" w:lineRule="auto"/>
        <w:ind w:left="30" w:firstLine="0"/>
        <w:jc w:val="both"/>
        <w:rPr>
          <w:sz w:val="20"/>
          <w:szCs w:val="20"/>
        </w:rPr>
      </w:pPr>
      <w:r w:rsidDel="00000000" w:rsidR="00000000" w:rsidRPr="00000000">
        <w:rPr>
          <w:sz w:val="20"/>
          <w:szCs w:val="20"/>
          <w:rtl w:val="0"/>
        </w:rPr>
        <w:t xml:space="preserve">(a). To design and develop a wireless EV charging system using resonant inductive coupling for efficient power transfer.</w:t>
      </w:r>
    </w:p>
    <w:p w:rsidR="00000000" w:rsidDel="00000000" w:rsidP="00000000" w:rsidRDefault="00000000" w:rsidRPr="00000000" w14:paraId="00000016">
      <w:pPr>
        <w:widowControl w:val="1"/>
        <w:spacing w:after="280" w:before="280" w:lineRule="auto"/>
        <w:ind w:left="30" w:firstLine="0"/>
        <w:jc w:val="both"/>
        <w:rPr>
          <w:sz w:val="20"/>
          <w:szCs w:val="20"/>
        </w:rPr>
      </w:pPr>
      <w:r w:rsidDel="00000000" w:rsidR="00000000" w:rsidRPr="00000000">
        <w:rPr>
          <w:sz w:val="20"/>
          <w:szCs w:val="20"/>
          <w:rtl w:val="0"/>
        </w:rPr>
        <w:t xml:space="preserve">(b). To evaluate the performance and efficiency of the system under different coil alignments and separations.</w:t>
      </w:r>
    </w:p>
    <w:p w:rsidR="00000000" w:rsidDel="00000000" w:rsidP="00000000" w:rsidRDefault="00000000" w:rsidRPr="00000000" w14:paraId="00000017">
      <w:pPr>
        <w:widowControl w:val="1"/>
        <w:spacing w:after="280" w:before="280" w:lineRule="auto"/>
        <w:ind w:left="30" w:firstLine="0"/>
        <w:jc w:val="both"/>
        <w:rPr>
          <w:sz w:val="20"/>
          <w:szCs w:val="20"/>
        </w:rPr>
      </w:pPr>
      <w:r w:rsidDel="00000000" w:rsidR="00000000" w:rsidRPr="00000000">
        <w:rPr>
          <w:sz w:val="20"/>
          <w:szCs w:val="20"/>
          <w:rtl w:val="0"/>
        </w:rPr>
        <w:t xml:space="preserve">(c). To investigate the effects of coil design, resonance tuning, and inverter configuration on energy transfer efficiency.</w:t>
      </w:r>
    </w:p>
    <w:p w:rsidR="00000000" w:rsidDel="00000000" w:rsidP="00000000" w:rsidRDefault="00000000" w:rsidRPr="00000000" w14:paraId="00000018">
      <w:pPr>
        <w:widowControl w:val="1"/>
        <w:spacing w:after="280" w:before="280" w:lineRule="auto"/>
        <w:ind w:left="30" w:firstLine="0"/>
        <w:jc w:val="both"/>
        <w:rPr>
          <w:sz w:val="20"/>
          <w:szCs w:val="20"/>
        </w:rPr>
      </w:pPr>
      <w:r w:rsidDel="00000000" w:rsidR="00000000" w:rsidRPr="00000000">
        <w:rPr>
          <w:sz w:val="20"/>
          <w:szCs w:val="20"/>
          <w:rtl w:val="0"/>
        </w:rPr>
        <w:t xml:space="preserve">(d). To assess the scalability and practical applicability of wireless EV charging systems for small to medium-sized vehicles.</w:t>
      </w:r>
    </w:p>
    <w:p w:rsidR="00000000" w:rsidDel="00000000" w:rsidP="00000000" w:rsidRDefault="00000000" w:rsidRPr="00000000" w14:paraId="00000019">
      <w:pPr>
        <w:widowControl w:val="1"/>
        <w:spacing w:after="280" w:before="280" w:lineRule="auto"/>
        <w:ind w:left="30" w:firstLine="0"/>
        <w:jc w:val="both"/>
        <w:rPr>
          <w:sz w:val="20"/>
          <w:szCs w:val="20"/>
        </w:rPr>
      </w:pPr>
      <w:r w:rsidDel="00000000" w:rsidR="00000000" w:rsidRPr="00000000">
        <w:rPr>
          <w:sz w:val="20"/>
          <w:szCs w:val="20"/>
          <w:rtl w:val="0"/>
        </w:rPr>
        <w:t xml:space="preserve">(e). To analyze the potential environmental and economic benefits of implementing resonant inductive coupling in EV charging infrastructure.</w:t>
      </w:r>
    </w:p>
    <w:p w:rsidR="00000000" w:rsidDel="00000000" w:rsidP="00000000" w:rsidRDefault="00000000" w:rsidRPr="00000000" w14:paraId="0000001A">
      <w:pPr>
        <w:numPr>
          <w:ilvl w:val="0"/>
          <w:numId w:val="4"/>
        </w:numPr>
        <w:ind w:left="390" w:hanging="360"/>
        <w:jc w:val="center"/>
        <w:rPr>
          <w:sz w:val="16"/>
          <w:szCs w:val="16"/>
        </w:rPr>
      </w:pPr>
      <w:r w:rsidDel="00000000" w:rsidR="00000000" w:rsidRPr="00000000">
        <w:rPr>
          <w:sz w:val="16"/>
          <w:szCs w:val="16"/>
          <w:rtl w:val="0"/>
        </w:rPr>
        <w:t xml:space="preserve">JUSTIFICATION FOR THE STUDY</w:t>
      </w:r>
    </w:p>
    <w:p w:rsidR="00000000" w:rsidDel="00000000" w:rsidP="00000000" w:rsidRDefault="00000000" w:rsidRPr="00000000" w14:paraId="0000001B">
      <w:pPr>
        <w:widowControl w:val="1"/>
        <w:spacing w:after="240" w:before="240" w:lineRule="auto"/>
        <w:jc w:val="both"/>
        <w:rPr>
          <w:sz w:val="20"/>
          <w:szCs w:val="20"/>
        </w:rPr>
      </w:pPr>
      <w:r w:rsidDel="00000000" w:rsidR="00000000" w:rsidRPr="00000000">
        <w:rPr>
          <w:sz w:val="20"/>
          <w:szCs w:val="20"/>
          <w:rtl w:val="0"/>
        </w:rPr>
        <w:t xml:space="preserve">The growing adoption of electric vehicles (EVs) has exposed limitations in conventional plug-in charging systems, including connector wear, safety concerns, and infrastructure congestion. These issues highlight the need for more reliable and user-friendly charging alternatives.</w:t>
      </w:r>
    </w:p>
    <w:p w:rsidR="00000000" w:rsidDel="00000000" w:rsidP="00000000" w:rsidRDefault="00000000" w:rsidRPr="00000000" w14:paraId="0000001C">
      <w:pPr>
        <w:widowControl w:val="1"/>
        <w:spacing w:after="240" w:before="240" w:lineRule="auto"/>
        <w:jc w:val="both"/>
        <w:rPr>
          <w:sz w:val="20"/>
          <w:szCs w:val="20"/>
        </w:rPr>
      </w:pPr>
      <w:r w:rsidDel="00000000" w:rsidR="00000000" w:rsidRPr="00000000">
        <w:rPr>
          <w:sz w:val="20"/>
          <w:szCs w:val="20"/>
          <w:rtl w:val="0"/>
        </w:rPr>
        <w:t xml:space="preserve">Wireless power transfer using resonant inductive coupling offers a promising solution; however, its practical application is still limited by efficiency losses under misalignment, sensitivity to coil positioning, and cost-related challenges. Much of the existing research focuses on ideal operating conditions, with limited validation under realistic variations.</w:t>
      </w:r>
    </w:p>
    <w:p w:rsidR="00000000" w:rsidDel="00000000" w:rsidP="00000000" w:rsidRDefault="00000000" w:rsidRPr="00000000" w14:paraId="0000001D">
      <w:pPr>
        <w:widowControl w:val="1"/>
        <w:spacing w:after="240" w:before="240" w:lineRule="auto"/>
        <w:jc w:val="both"/>
        <w:rPr>
          <w:sz w:val="20"/>
          <w:szCs w:val="20"/>
        </w:rPr>
      </w:pPr>
      <w:r w:rsidDel="00000000" w:rsidR="00000000" w:rsidRPr="00000000">
        <w:rPr>
          <w:sz w:val="20"/>
          <w:szCs w:val="20"/>
          <w:rtl w:val="0"/>
        </w:rPr>
        <w:t xml:space="preserve">This study is therefore justified by the need to design and experimentally evaluate a wireless EV charging system that performs effectively under non-ideal conditions. The focus is on improving efficiency, stability, and practical feasibility through optimized coil configuration and system testing across varying alignment and separation distances.</w:t>
      </w:r>
    </w:p>
    <w:p w:rsidR="00000000" w:rsidDel="00000000" w:rsidP="00000000" w:rsidRDefault="00000000" w:rsidRPr="00000000" w14:paraId="0000001E">
      <w:pPr>
        <w:pStyle w:val="Heading2"/>
        <w:numPr>
          <w:ilvl w:val="0"/>
          <w:numId w:val="5"/>
        </w:numPr>
        <w:ind w:left="1080" w:hanging="720"/>
        <w:rPr>
          <w:rFonts w:ascii="Times New Roman" w:cs="Times New Roman" w:eastAsia="Times New Roman" w:hAnsi="Times New Roman"/>
          <w:b w:val="0"/>
          <w:bCs w:val="0"/>
          <w:i w:val="0"/>
          <w:iCs w:val="0"/>
          <w:sz w:val="16"/>
          <w:szCs w:val="16"/>
        </w:rPr>
      </w:pPr>
      <w:r w:rsidDel="00000000" w:rsidR="00000000" w:rsidRPr="00000000">
        <w:rPr>
          <w:rFonts w:ascii="Times New Roman" w:cs="Times New Roman" w:eastAsia="Times New Roman" w:hAnsi="Times New Roman"/>
          <w:b w:val="0"/>
          <w:bCs w:val="0"/>
          <w:i w:val="0"/>
          <w:iCs w:val="0"/>
          <w:sz w:val="16"/>
          <w:szCs w:val="16"/>
          <w:rtl w:val="0"/>
        </w:rPr>
        <w:t xml:space="preserve">LITERATURE REVIEW</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Wireless energy transfer (WET) has evolved from early theoretical concepts to a rapidly advancing field with significant applications in electric mobility. The origin of this technology can be traced back to Nikola Tesla, who first demonstrated the principles of electromagnetic resonance and wireless power transmission in the late 19th and early 20th centuries. His experiments inspired decades of exploration into non-radiative energy transfer mechanisms that could safely and efficiently deliver power over short to medium distances.</w:t>
      </w:r>
    </w:p>
    <w:p w:rsidR="00000000" w:rsidDel="00000000" w:rsidP="00000000" w:rsidRDefault="00000000" w:rsidRPr="00000000" w14:paraId="00000020">
      <w:pPr>
        <w:widowControl w:val="1"/>
        <w:spacing w:after="280" w:before="280" w:lineRule="auto"/>
        <w:jc w:val="both"/>
        <w:rPr>
          <w:sz w:val="20"/>
          <w:szCs w:val="20"/>
        </w:rPr>
      </w:pPr>
      <w:r w:rsidDel="00000000" w:rsidR="00000000" w:rsidRPr="00000000">
        <w:rPr>
          <w:sz w:val="20"/>
          <w:szCs w:val="20"/>
          <w:rtl w:val="0"/>
        </w:rPr>
        <w:t xml:space="preserve">In recent decades, the growing demand for efficient and user-friendly charging solutions for consumer electronics and electric vehicles (EVs) has renewed interest in resonant inductive coupling (RIC). This technique operates by creating two resonant circuits—transmitter and receiver—that exchange energy through a magnetic field when tuned to the same frequency. Kurs et al. (2007) pioneered modern applications of this principle, demonstrating that strongly coupled magnetic resonance can transfer power efficiently over distances several times greater than the coil diameter. Their work laid the groundwork for the development of high-performance wireless charging systems.</w:t>
      </w:r>
    </w:p>
    <w:p w:rsidR="00000000" w:rsidDel="00000000" w:rsidP="00000000" w:rsidRDefault="00000000" w:rsidRPr="00000000" w14:paraId="00000021">
      <w:pPr>
        <w:widowControl w:val="1"/>
        <w:spacing w:after="280" w:before="280" w:lineRule="auto"/>
        <w:jc w:val="both"/>
        <w:rPr>
          <w:sz w:val="20"/>
          <w:szCs w:val="20"/>
        </w:rPr>
      </w:pPr>
      <w:r w:rsidDel="00000000" w:rsidR="00000000" w:rsidRPr="00000000">
        <w:rPr>
          <w:sz w:val="20"/>
          <w:szCs w:val="20"/>
          <w:rtl w:val="0"/>
        </w:rPr>
        <w:t xml:space="preserve">Sample, Meyer, and Smith (2011) advanced this research by analyzing magnetically coupled resonators and proposing range adaptation techniques to maintain performance under varying conditions. They emphasized the importance of optimizing coil geometry, compensation networks, and operating frequency to achieve stable efficiency. Similarly, Hui, Zhong, and Lee (2014) provided a critical review of mid-range WPT technologies, identifying challenges such as electromagnetic interference (EMI), thermal management, and misalignment tolerance. These studies collectively underscore that while the fundamental physics of WPT are well understood, engineering implementation remains complex and cost-sensitive.</w:t>
      </w:r>
    </w:p>
    <w:p w:rsidR="00000000" w:rsidDel="00000000" w:rsidP="00000000" w:rsidRDefault="00000000" w:rsidRPr="00000000" w14:paraId="00000022">
      <w:pPr>
        <w:widowControl w:val="1"/>
        <w:spacing w:after="280" w:before="280" w:lineRule="auto"/>
        <w:jc w:val="both"/>
        <w:rPr>
          <w:sz w:val="20"/>
          <w:szCs w:val="20"/>
        </w:rPr>
      </w:pPr>
      <w:r w:rsidDel="00000000" w:rsidR="00000000" w:rsidRPr="00000000">
        <w:rPr>
          <w:sz w:val="20"/>
          <w:szCs w:val="20"/>
          <w:rtl w:val="0"/>
        </w:rPr>
        <w:t xml:space="preserve">The automotive industry has been a major driver of innovation in this field. Companies like Toyota, BMW, Nissan, and WiTricity have developed wireless EV charging prototypes and commercial systems operating at frequencies between 85 kHz and 150 kHz. These systems achieve energy transfer efficiencies of 85–90% under optimal conditions. However, their widespread deployment is limited by factors such as high production cost, precise alignment requirements, and electromagnetic field regulations (Budhia et al., 2018). Researchers have therefore focused on improving the robustness and affordability of WPT systems for mass-market adoption.</w:t>
      </w:r>
    </w:p>
    <w:p w:rsidR="00000000" w:rsidDel="00000000" w:rsidP="00000000" w:rsidRDefault="00000000" w:rsidRPr="00000000" w14:paraId="00000023">
      <w:pPr>
        <w:widowControl w:val="1"/>
        <w:spacing w:after="280" w:before="280" w:lineRule="auto"/>
        <w:jc w:val="both"/>
        <w:rPr>
          <w:sz w:val="20"/>
          <w:szCs w:val="20"/>
        </w:rPr>
      </w:pPr>
      <w:r w:rsidDel="00000000" w:rsidR="00000000" w:rsidRPr="00000000">
        <w:rPr>
          <w:sz w:val="20"/>
          <w:szCs w:val="20"/>
          <w:rtl w:val="0"/>
        </w:rPr>
        <w:t xml:space="preserve">Recent advancements include the development of advanced compensation topologies such as LCC, S-S, and double-sided LCC networks, which improve power flow control and reduce reactive losses (Zhang &amp; Mi, 2016). Additionally, the integration of ferrite cores, shielding materials, and adaptive control circuits has enhanced coupling efficiency and reduced stray fields. Studies by Li et al. (2019) demonstrated how ferrite-based shielding can mitigate EMI while maintaining compact coil designs suitable for vehicle platforms.</w:t>
      </w:r>
    </w:p>
    <w:p w:rsidR="00000000" w:rsidDel="00000000" w:rsidP="00000000" w:rsidRDefault="00000000" w:rsidRPr="00000000" w14:paraId="00000024">
      <w:pPr>
        <w:widowControl w:val="1"/>
        <w:spacing w:after="280" w:before="280" w:lineRule="auto"/>
        <w:jc w:val="both"/>
        <w:rPr>
          <w:sz w:val="20"/>
          <w:szCs w:val="20"/>
        </w:rPr>
      </w:pPr>
      <w:r w:rsidDel="00000000" w:rsidR="00000000" w:rsidRPr="00000000">
        <w:rPr>
          <w:sz w:val="20"/>
          <w:szCs w:val="20"/>
          <w:rtl w:val="0"/>
        </w:rPr>
        <w:t xml:space="preserve">Beyond efficiency improvements, modern research explores the integration of wireless charging with smart grid and vehicle-to-grid (V2G) systems. Yilmaz and Krein (2020) highlighted the role of intelligent communication and load management in enabling EVs to act as distributed energy storage units, contributing to grid stability and renewable energy utilization. This convergence of wireless power transfer and digital energy management represents a significant step toward sustainable urban mobility and smart city infrastructure.</w:t>
      </w:r>
    </w:p>
    <w:p w:rsidR="00000000" w:rsidDel="00000000" w:rsidP="00000000" w:rsidRDefault="00000000" w:rsidRPr="00000000" w14:paraId="00000025">
      <w:pPr>
        <w:widowControl w:val="1"/>
        <w:spacing w:after="280" w:before="280" w:lineRule="auto"/>
        <w:jc w:val="both"/>
        <w:rPr>
          <w:sz w:val="20"/>
          <w:szCs w:val="20"/>
        </w:rPr>
      </w:pPr>
      <w:r w:rsidDel="00000000" w:rsidR="00000000" w:rsidRPr="00000000">
        <w:rPr>
          <w:sz w:val="20"/>
          <w:szCs w:val="20"/>
          <w:rtl w:val="0"/>
        </w:rPr>
        <w:t xml:space="preserve">Despite these advancements, several research gaps persist. These include achieving consistent efficiency under real-world misalignments, minimizing system cost, and standardizing electromagnetic safety guidelines. Furthermore, scaling the technology for high-power applications while maintaining compact coil designs and thermal safety remains a challenge. Therefore, this study seeks to address some of these limitations by developing a practical, cost-effective wireless charging prototype using resonant inductive coupling. The research emphasizes experimental validation, coil optimization, and system scalability to demonstrate that efficient and reliable wireless EV charging is achievable without excessive complexity or cost.</w:t>
      </w:r>
    </w:p>
    <w:p w:rsidR="00000000" w:rsidDel="00000000" w:rsidP="00000000" w:rsidRDefault="00000000" w:rsidRPr="00000000" w14:paraId="00000026">
      <w:pPr>
        <w:pStyle w:val="Heading4"/>
        <w:numPr>
          <w:ilvl w:val="0"/>
          <w:numId w:val="5"/>
        </w:numPr>
        <w:ind w:left="1080" w:hanging="720"/>
        <w:jc w:val="both"/>
        <w:rPr>
          <w:rFonts w:ascii="Times New Roman" w:cs="Times New Roman" w:eastAsia="Times New Roman" w:hAnsi="Times New Roman"/>
          <w:i w:val="0"/>
          <w:iCs w:val="0"/>
          <w:sz w:val="20"/>
          <w:szCs w:val="20"/>
        </w:rPr>
      </w:pPr>
      <w:r w:rsidDel="00000000" w:rsidR="00000000" w:rsidRPr="00000000">
        <w:rPr>
          <w:rFonts w:ascii="Times New Roman" w:cs="Times New Roman" w:eastAsia="Times New Roman" w:hAnsi="Times New Roman"/>
          <w:b w:val="0"/>
          <w:bCs w:val="0"/>
          <w:i w:val="0"/>
          <w:iCs w:val="0"/>
          <w:sz w:val="16"/>
          <w:szCs w:val="16"/>
          <w:rtl w:val="0"/>
        </w:rPr>
        <w:t xml:space="preserve">RESEARCH METHODOLOGY</w:t>
      </w:r>
      <w:r w:rsidDel="00000000" w:rsidR="00000000" w:rsidRPr="00000000">
        <w:rPr>
          <w:rtl w:val="0"/>
        </w:rPr>
      </w:r>
    </w:p>
    <w:p w:rsidR="00000000" w:rsidDel="00000000" w:rsidP="00000000" w:rsidRDefault="00000000" w:rsidRPr="00000000" w14:paraId="00000027">
      <w:pPr>
        <w:rPr/>
      </w:pPr>
      <w:r w:rsidDel="00000000" w:rsidR="00000000" w:rsidRPr="00000000">
        <w:rPr/>
        <w:drawing>
          <wp:inline distB="0" distT="0" distL="114300" distR="114300">
            <wp:extent cx="3036813" cy="78518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36813" cy="785183"/>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sz w:val="16"/>
          <w:szCs w:val="16"/>
        </w:rPr>
      </w:pPr>
      <w:r w:rsidDel="00000000" w:rsidR="00000000" w:rsidRPr="00000000">
        <w:rPr>
          <w:sz w:val="16"/>
          <w:szCs w:val="16"/>
          <w:rtl w:val="0"/>
        </w:rPr>
        <w:t xml:space="preserve">Fig. 1: Block diagram of Wireless Electric Vehicle Charging System </w:t>
      </w:r>
    </w:p>
    <w:p w:rsidR="00000000" w:rsidDel="00000000" w:rsidP="00000000" w:rsidRDefault="00000000" w:rsidRPr="00000000" w14:paraId="00000029">
      <w:pPr>
        <w:jc w:val="center"/>
        <w:rPr>
          <w:sz w:val="16"/>
          <w:szCs w:val="16"/>
        </w:rPr>
      </w:pPr>
      <w:r w:rsidDel="00000000" w:rsidR="00000000" w:rsidRPr="00000000">
        <w:rPr>
          <w:rtl w:val="0"/>
        </w:rPr>
      </w:r>
    </w:p>
    <w:p w:rsidR="00000000" w:rsidDel="00000000" w:rsidP="00000000" w:rsidRDefault="00000000" w:rsidRPr="00000000" w14:paraId="0000002A">
      <w:pPr>
        <w:pStyle w:val="Heading4"/>
        <w:numPr>
          <w:ilvl w:val="0"/>
          <w:numId w:val="11"/>
        </w:numPr>
        <w:spacing w:after="0" w:before="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System Architecture</w:t>
      </w:r>
    </w:p>
    <w:p w:rsidR="00000000" w:rsidDel="00000000" w:rsidP="00000000" w:rsidRDefault="00000000" w:rsidRPr="00000000" w14:paraId="0000002B">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wireless electric vehicle charging system developed in this research is based on the principle of resonant inductive coupling, which allows electrical energy to be transferred between two coils without physical contact. The system consists of four major units: the power supply unit, the transmitting circuit, the receiving circuit, and the battery charging unit.</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power supply unit converts the available AC mains power into a suitable alternating signal required for wireless energy transmission. This unit includes an inverter that generates a high-frequency alternating current which is then fed into the transmitting coil.</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transmitting circuit contains a copper coil and a resonant capacitor connected in series to form an LC resonant circuit. When energized by the inverter, this circuit produces a fluctuating magnetic field around the transmitting coil. The frequency of operation is carefully tuned to match the resonant frequency of the receiving circuit in order to maximize energy transfer efficiency.</w:t>
      </w:r>
    </w:p>
    <w:p w:rsidR="00000000" w:rsidDel="00000000" w:rsidP="00000000" w:rsidRDefault="00000000" w:rsidRPr="00000000" w14:paraId="0000002E">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receiving circuit is placed beneath the electric vehicle and contains a receiving coil designed with similar resonant characteristics as the transmitting coil. When the vehicle is positioned above the charging pad, the magnetic field generated by the transmitting coil induces an alternating current in the receiving coil.</w:t>
      </w:r>
    </w:p>
    <w:p w:rsidR="00000000" w:rsidDel="00000000" w:rsidP="00000000" w:rsidRDefault="00000000" w:rsidRPr="00000000" w14:paraId="0000002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induced current is then directed to the battery charging unit, where it is rectified and regulated before being supplied to the vehicle battery. A filtering circuit ensures that the output voltage is stable and suitable for battery charging.</w:t>
      </w:r>
    </w:p>
    <w:p w:rsidR="00000000" w:rsidDel="00000000" w:rsidP="00000000" w:rsidRDefault="00000000" w:rsidRPr="00000000" w14:paraId="00000030">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system was designed to operate effectively with an air gap ranging between 5 cm and 10 cm, which represents typical ground clearance for small electric vehicles or scooters.</w:t>
      </w:r>
    </w:p>
    <w:p w:rsidR="00000000" w:rsidDel="00000000" w:rsidP="00000000" w:rsidRDefault="00000000" w:rsidRPr="00000000" w14:paraId="00000031">
      <w:pPr>
        <w:pStyle w:val="Heading2"/>
        <w:spacing w:after="0" w:before="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 Design of the Resonant Coils</w:t>
      </w:r>
    </w:p>
    <w:p w:rsidR="00000000" w:rsidDel="00000000" w:rsidP="00000000" w:rsidRDefault="00000000" w:rsidRPr="00000000" w14:paraId="00000032">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transmitting and receiving coils were constructed using insulated copper wire wound into circular shapes to improve magnetic field uniformity. Both coils were designed with similar diameters to enhance magnetic coupling.</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Key design parameters considered during the coil construction included:</w:t>
      </w:r>
    </w:p>
    <w:p w:rsidR="00000000" w:rsidDel="00000000" w:rsidP="00000000" w:rsidRDefault="00000000" w:rsidRPr="00000000" w14:paraId="0000003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Coil diameter </w:t>
      </w:r>
    </w:p>
    <w:p w:rsidR="00000000" w:rsidDel="00000000" w:rsidP="00000000" w:rsidRDefault="00000000" w:rsidRPr="00000000" w14:paraId="0000003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Number of turns </w:t>
      </w:r>
    </w:p>
    <w:p w:rsidR="00000000" w:rsidDel="00000000" w:rsidP="00000000" w:rsidRDefault="00000000" w:rsidRPr="00000000" w14:paraId="0000003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Wire thickness </w:t>
      </w:r>
    </w:p>
    <w:p w:rsidR="00000000" w:rsidDel="00000000" w:rsidP="00000000" w:rsidRDefault="00000000" w:rsidRPr="00000000" w14:paraId="0000003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Resonant capacitance </w:t>
      </w:r>
    </w:p>
    <w:p w:rsidR="00000000" w:rsidDel="00000000" w:rsidP="00000000" w:rsidRDefault="00000000" w:rsidRPr="00000000" w14:paraId="0000003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Operating frequency </w:t>
      </w:r>
    </w:p>
    <w:p w:rsidR="00000000" w:rsidDel="00000000" w:rsidP="00000000" w:rsidRDefault="00000000" w:rsidRPr="00000000" w14:paraId="00000039">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These parameters were carefully selected to ensure that both coils resonate at the same frequency, which significantly improves energy transfer efficiency.</w:t>
      </w:r>
    </w:p>
    <w:p w:rsidR="00000000" w:rsidDel="00000000" w:rsidP="00000000" w:rsidRDefault="00000000" w:rsidRPr="00000000" w14:paraId="0000003A">
      <w:pPr>
        <w:pStyle w:val="Heading2"/>
        <w:spacing w:after="0" w:before="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Experimental Setup</w:t>
      </w:r>
    </w:p>
    <w:p w:rsidR="00000000" w:rsidDel="00000000" w:rsidP="00000000" w:rsidRDefault="00000000" w:rsidRPr="00000000" w14:paraId="0000003B">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evaluate the performance of the system, a prototype model was constructed and tested under laboratory conditions. The experimental setup included:</w:t>
      </w:r>
    </w:p>
    <w:p w:rsidR="00000000" w:rsidDel="00000000" w:rsidP="00000000" w:rsidRDefault="00000000" w:rsidRPr="00000000" w14:paraId="0000003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high-frequency inverter connected to the transmitting coil </w:t>
      </w:r>
    </w:p>
    <w:p w:rsidR="00000000" w:rsidDel="00000000" w:rsidP="00000000" w:rsidRDefault="00000000" w:rsidRPr="00000000" w14:paraId="0000003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receiving coil connected to a rectifier circuit </w:t>
      </w:r>
    </w:p>
    <w:p w:rsidR="00000000" w:rsidDel="00000000" w:rsidP="00000000" w:rsidRDefault="00000000" w:rsidRPr="00000000" w14:paraId="0000003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rechargeable battery used as the load </w:t>
      </w:r>
    </w:p>
    <w:p w:rsidR="00000000" w:rsidDel="00000000" w:rsidP="00000000" w:rsidRDefault="00000000" w:rsidRPr="00000000" w14:paraId="0000003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Measuring instruments such as digital multimeters and oscilloscopes</w:t>
      </w:r>
      <w:r w:rsidDel="00000000" w:rsidR="00000000" w:rsidRPr="00000000">
        <w:rPr>
          <w:sz w:val="20"/>
          <w:szCs w:val="20"/>
          <w:rtl w:val="0"/>
        </w:rPr>
        <w:t xml:space="preserve">.</w:t>
      </w:r>
    </w:p>
    <w:p w:rsidR="00000000" w:rsidDel="00000000" w:rsidP="00000000" w:rsidRDefault="00000000" w:rsidRPr="00000000" w14:paraId="0000004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0"/>
          <w:szCs w:val="20"/>
          <w:u w:val="no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Pr>
        <w:drawing>
          <wp:inline distB="114300" distT="114300" distL="114300" distR="114300">
            <wp:extent cx="2801938" cy="2006025"/>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01938" cy="200602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jc w:val="center"/>
        <w:rPr>
          <w:sz w:val="20"/>
          <w:szCs w:val="20"/>
        </w:rPr>
      </w:pPr>
      <w:r w:rsidDel="00000000" w:rsidR="00000000" w:rsidRPr="00000000">
        <w:rPr>
          <w:sz w:val="16"/>
          <w:szCs w:val="16"/>
          <w:rtl w:val="0"/>
        </w:rPr>
        <w:t xml:space="preserve">Fig. 2:Prototype model of Wireless Electric Vehicle Charging System </w:t>
      </w:r>
      <w:r w:rsidDel="00000000" w:rsidR="00000000" w:rsidRPr="00000000">
        <w:rPr>
          <w:rtl w:val="0"/>
        </w:rPr>
      </w:r>
    </w:p>
    <w:p w:rsidR="00000000" w:rsidDel="00000000" w:rsidP="00000000" w:rsidRDefault="00000000" w:rsidRPr="00000000" w14:paraId="00000043">
      <w:pPr>
        <w:spacing w:after="240"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system was tested under varying conditions to observe its behavior and efficiency. The following parameters were investigated:</w:t>
      </w:r>
    </w:p>
    <w:p w:rsidR="00000000" w:rsidDel="00000000" w:rsidP="00000000" w:rsidRDefault="00000000" w:rsidRPr="00000000" w14:paraId="00000044">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Distance between transmitting and receiving coils </w:t>
      </w:r>
    </w:p>
    <w:p w:rsidR="00000000" w:rsidDel="00000000" w:rsidP="00000000" w:rsidRDefault="00000000" w:rsidRPr="00000000" w14:paraId="0000004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Alignment between coils </w:t>
      </w:r>
    </w:p>
    <w:p w:rsidR="00000000" w:rsidDel="00000000" w:rsidP="00000000" w:rsidRDefault="00000000" w:rsidRPr="00000000" w14:paraId="0000004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Power transfer efficiency at different loads </w:t>
      </w:r>
    </w:p>
    <w:p w:rsidR="00000000" w:rsidDel="00000000" w:rsidP="00000000" w:rsidRDefault="00000000" w:rsidRPr="00000000" w14:paraId="00000047">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sz w:val="20"/>
          <w:szCs w:val="20"/>
          <w:rtl w:val="0"/>
        </w:rPr>
        <w:t xml:space="preserve">The coils were positioned at distances ranging from </w:t>
      </w:r>
      <w:r w:rsidDel="00000000" w:rsidR="00000000" w:rsidRPr="00000000">
        <w:rPr>
          <w:rFonts w:ascii="Times New Roman" w:cs="Times New Roman" w:eastAsia="Times New Roman" w:hAnsi="Times New Roman"/>
          <w:b w:val="1"/>
          <w:bCs w:val="1"/>
          <w:sz w:val="20"/>
          <w:szCs w:val="20"/>
          <w:rtl w:val="0"/>
        </w:rPr>
        <w:t xml:space="preserve">5 cm to 1</w:t>
      </w:r>
      <w:r w:rsidDel="00000000" w:rsidR="00000000" w:rsidRPr="00000000">
        <w:rPr>
          <w:rFonts w:ascii="Times New Roman" w:cs="Times New Roman" w:eastAsia="Times New Roman" w:hAnsi="Times New Roman"/>
          <w:b w:val="0"/>
          <w:bCs w:val="0"/>
          <w:sz w:val="20"/>
          <w:szCs w:val="20"/>
          <w:rtl w:val="0"/>
        </w:rPr>
        <w:t xml:space="preserve">0 cm, and slight misalignments were intentionally introduced to simulate real-world vehicle positioning.</w:t>
      </w:r>
    </w:p>
    <w:p w:rsidR="00000000" w:rsidDel="00000000" w:rsidP="00000000" w:rsidRDefault="00000000" w:rsidRPr="00000000" w14:paraId="00000048">
      <w:pPr>
        <w:spacing w:after="240" w:before="240" w:lineRule="auto"/>
        <w:jc w:val="both"/>
        <w:rPr>
          <w:b w:val="1"/>
          <w:bCs w:val="1"/>
          <w:i w:val="1"/>
          <w:iCs w:val="1"/>
          <w:sz w:val="20"/>
          <w:szCs w:val="20"/>
        </w:rPr>
      </w:pPr>
      <w:r w:rsidDel="00000000" w:rsidR="00000000" w:rsidRPr="00000000">
        <w:rPr>
          <w:b w:val="1"/>
          <w:bCs w:val="1"/>
          <w:i w:val="1"/>
          <w:iCs w:val="1"/>
          <w:sz w:val="20"/>
          <w:szCs w:val="20"/>
          <w:rtl w:val="0"/>
        </w:rPr>
        <w:t xml:space="preserve">D. Coil Design Calculations</w:t>
      </w:r>
    </w:p>
    <w:p w:rsidR="00000000" w:rsidDel="00000000" w:rsidP="00000000" w:rsidRDefault="00000000" w:rsidRPr="00000000" w14:paraId="00000049">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resonant frequency of the LC circuit is given by:</w:t>
      </w:r>
    </w:p>
    <w:p w:rsidR="00000000" w:rsidDel="00000000" w:rsidP="00000000" w:rsidRDefault="00000000" w:rsidRPr="00000000" w14:paraId="0000004A">
      <w:pPr>
        <w:jc w:val="center"/>
        <w:rPr/>
      </w:pPr>
      <m:oMath>
        <m:f>
          <m:fPr>
            <m:ctrlPr>
              <w:rPr/>
            </m:ctrlPr>
          </m:fPr>
          <m:num>
            <m:r>
              <w:rPr/>
              <m:t xml:space="preserve">1</m:t>
            </m:r>
          </m:num>
          <m:den>
            <m:r>
              <w:rPr/>
              <m:t xml:space="preserve">2𝜋</m:t>
            </m:r>
            <m:rad>
              <m:radPr>
                <m:degHide m:val="1"/>
                <m:ctrlPr>
                  <w:rPr/>
                </m:ctrlPr>
              </m:radPr>
              <m:e>
                <m:r>
                  <w:rPr/>
                  <m:t xml:space="preserve">𝐿𝐶</m:t>
                </m:r>
              </m:e>
            </m:rad>
          </m:den>
        </m:f>
      </m:oMath>
      <w:r w:rsidDel="00000000" w:rsidR="00000000" w:rsidRPr="00000000">
        <w:rPr>
          <w:rtl w:val="0"/>
        </w:rPr>
      </w:r>
    </w:p>
    <w:p w:rsidR="00000000" w:rsidDel="00000000" w:rsidP="00000000" w:rsidRDefault="00000000" w:rsidRPr="00000000" w14:paraId="0000004B">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4C">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 Resonant frequency </w:t>
      </w:r>
    </w:p>
    <w:p w:rsidR="00000000" w:rsidDel="00000000" w:rsidP="00000000" w:rsidRDefault="00000000" w:rsidRPr="00000000" w14:paraId="0000004D">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Inductance of the coil </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 Capacitance of the resonant capacitor </w:t>
      </w:r>
    </w:p>
    <w:p w:rsidR="00000000" w:rsidDel="00000000" w:rsidP="00000000" w:rsidRDefault="00000000" w:rsidRPr="00000000" w14:paraId="0000004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equation ensures both transmitter and receiver operate at the same resonant frequency for maximum power transfer.</w:t>
      </w:r>
    </w:p>
    <w:p w:rsidR="00000000" w:rsidDel="00000000" w:rsidP="00000000" w:rsidRDefault="00000000" w:rsidRPr="00000000" w14:paraId="00000050">
      <w:pPr>
        <w:jc w:val="center"/>
        <w:rPr/>
      </w:pPr>
      <m:oMath>
        <m:f>
          <m:fPr>
            <m:ctrlPr>
              <w:rPr/>
            </m:ctrlPr>
          </m:fPr>
          <m:num>
            <m:sSup>
              <m:sSupPr>
                <m:ctrlPr>
                  <w:rPr/>
                </m:ctrlPr>
              </m:sSupPr>
              <m:e>
                <m:r>
                  <w:rPr/>
                  <m:t xml:space="preserve">𝑁</m:t>
                </m:r>
              </m:e>
              <m:sup>
                <m:r>
                  <w:rPr/>
                  <m:t xml:space="preserve">2</m:t>
                </m:r>
              </m:sup>
            </m:sSup>
            <m:r>
              <w:rPr/>
              <m:t xml:space="preserve">𝜇𝐴</m:t>
            </m:r>
          </m:num>
          <m:den>
            <m:r>
              <w:rPr/>
              <m:t xml:space="preserve">𝑙</m:t>
            </m:r>
          </m:den>
        </m:f>
      </m:oMath>
      <w:r w:rsidDel="00000000" w:rsidR="00000000" w:rsidRPr="00000000">
        <w:rPr>
          <w:rtl w:val="0"/>
        </w:rPr>
      </w:r>
    </w:p>
    <w:p w:rsidR="00000000" w:rsidDel="00000000" w:rsidP="00000000" w:rsidRDefault="00000000" w:rsidRPr="00000000" w14:paraId="00000051">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5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inductance (H) </w:t>
      </w:r>
    </w:p>
    <w:p w:rsidR="00000000" w:rsidDel="00000000" w:rsidP="00000000" w:rsidRDefault="00000000" w:rsidRPr="00000000" w14:paraId="0000005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 number of turns of the coil </w:t>
      </w:r>
    </w:p>
    <w:p w:rsidR="00000000" w:rsidDel="00000000" w:rsidP="00000000" w:rsidRDefault="00000000" w:rsidRPr="00000000" w14:paraId="0000005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μ (mu) = magnetic permeability </w:t>
      </w:r>
    </w:p>
    <w:p w:rsidR="00000000" w:rsidDel="00000000" w:rsidP="00000000" w:rsidRDefault="00000000" w:rsidRPr="00000000" w14:paraId="0000005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 cross-sectional area of the coil (m²) </w:t>
      </w:r>
    </w:p>
    <w:p w:rsidR="00000000" w:rsidDel="00000000" w:rsidP="00000000" w:rsidRDefault="00000000" w:rsidRPr="00000000" w14:paraId="0000005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 = length of the coil (m)</w:t>
      </w:r>
    </w:p>
    <w:p w:rsidR="00000000" w:rsidDel="00000000" w:rsidP="00000000" w:rsidRDefault="00000000" w:rsidRPr="00000000" w14:paraId="00000057">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equation is used to estimate the inductance of the coil, which is a key factor in determining system performance.</w:t>
      </w:r>
    </w:p>
    <w:p w:rsidR="00000000" w:rsidDel="00000000" w:rsidP="00000000" w:rsidRDefault="00000000" w:rsidRPr="00000000" w14:paraId="00000058">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E. Magnetic Field Analysis</w:t>
      </w:r>
    </w:p>
    <w:p w:rsidR="00000000" w:rsidDel="00000000" w:rsidP="00000000" w:rsidRDefault="00000000" w:rsidRPr="00000000" w14:paraId="00000059">
      <w:pPr>
        <w:jc w:val="center"/>
        <w:rPr/>
      </w:pPr>
      <m:oMath>
        <m:r>
          <w:rPr/>
          <m:t xml:space="preserve">𝑘=</m:t>
        </m:r>
        <m:f>
          <m:fPr>
            <m:ctrlPr>
              <w:rPr/>
            </m:ctrlPr>
          </m:fPr>
          <m:num>
            <m:r>
              <w:rPr/>
              <m:t xml:space="preserve">𝑀</m:t>
            </m:r>
          </m:num>
          <m:den>
            <m:rad>
              <m:radPr>
                <m:degHide m:val="1"/>
                <m:ctrlPr>
                  <w:rPr/>
                </m:ctrlPr>
              </m:radPr>
              <m:e>
                <m:sSub>
                  <m:sSubPr>
                    <m:ctrlPr>
                      <w:rPr/>
                    </m:ctrlPr>
                  </m:sSubPr>
                  <m:e>
                    <m:r>
                      <w:rPr/>
                      <m:t xml:space="preserve">𝐿</m:t>
                    </m:r>
                  </m:e>
                  <m:sub>
                    <m:r>
                      <w:rPr/>
                      <m:t xml:space="preserve">1</m:t>
                    </m:r>
                  </m:sub>
                </m:sSub>
                <m:sSub>
                  <m:sSubPr>
                    <m:ctrlPr>
                      <w:rPr/>
                    </m:ctrlPr>
                  </m:sSubPr>
                  <m:e>
                    <m:r>
                      <w:rPr/>
                      <m:t xml:space="preserve">𝐿</m:t>
                    </m:r>
                  </m:e>
                  <m:sub>
                    <m:r>
                      <w:rPr/>
                      <m:t xml:space="preserve">2</m:t>
                    </m:r>
                  </m:sub>
                </m:sSub>
              </m:e>
            </m:rad>
          </m:den>
        </m:f>
      </m:oMath>
      <w:r w:rsidDel="00000000" w:rsidR="00000000" w:rsidRPr="00000000">
        <w:rPr>
          <w:rtl w:val="0"/>
        </w:rPr>
      </w:r>
    </w:p>
    <w:p w:rsidR="00000000" w:rsidDel="00000000" w:rsidP="00000000" w:rsidRDefault="00000000" w:rsidRPr="00000000" w14:paraId="0000005A">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 = coupling coefficient (0 to 1) </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 = mutual inductance (H) </w:t>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L₁ = inductance of transmitting coil (H) </w:t>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L₂ = inductance of receiving coil (H)</w:t>
      </w:r>
    </w:p>
    <w:p w:rsidR="00000000" w:rsidDel="00000000" w:rsidP="00000000" w:rsidRDefault="00000000" w:rsidRPr="00000000" w14:paraId="0000005F">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The coupling coefficient indicates how effectively energy is transferred between the coils. A higher value means better efficiency.</w:t>
      </w:r>
    </w:p>
    <w:p w:rsidR="00000000" w:rsidDel="00000000" w:rsidP="00000000" w:rsidRDefault="00000000" w:rsidRPr="00000000" w14:paraId="00000060">
      <w:pPr>
        <w:jc w:val="center"/>
        <w:rPr/>
      </w:pPr>
      <m:oMath>
        <m:r>
          <w:rPr/>
          <m:t xml:space="preserve">𝑉=−𝑁</m:t>
        </m:r>
        <m:f>
          <m:fPr>
            <m:ctrlPr>
              <w:rPr/>
            </m:ctrlPr>
          </m:fPr>
          <m:num>
            <m:r>
              <w:rPr/>
              <m:t xml:space="preserve">𝑑</m:t>
            </m:r>
            <m:r>
              <w:rPr/>
              <m:t>Φ</m:t>
            </m:r>
          </m:num>
          <m:den>
            <m:r>
              <w:rPr/>
              <m:t xml:space="preserve">𝑑𝑡</m:t>
            </m:r>
          </m:den>
        </m:f>
      </m:oMath>
      <w:r w:rsidDel="00000000" w:rsidR="00000000" w:rsidRPr="00000000">
        <w:rPr>
          <w:rtl w:val="0"/>
        </w:rPr>
      </w:r>
    </w:p>
    <w:p w:rsidR="00000000" w:rsidDel="00000000" w:rsidP="00000000" w:rsidRDefault="00000000" w:rsidRPr="00000000" w14:paraId="00000061">
      <w:pPr>
        <w:spacing w:after="240" w:before="24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Where:</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 = induced voltage (Volts) </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 = number of turns of the coil </w:t>
      </w:r>
    </w:p>
    <w:p w:rsidR="00000000" w:rsidDel="00000000" w:rsidP="00000000" w:rsidRDefault="00000000" w:rsidRPr="00000000" w14:paraId="0000006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Φ (Phi) = magnetic flux (Weber) </w:t>
      </w:r>
    </w:p>
    <w:p w:rsidR="00000000" w:rsidDel="00000000" w:rsidP="00000000" w:rsidRDefault="00000000" w:rsidRPr="00000000" w14:paraId="0000006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dΦ/dt = rate of change of magnetic flux</w:t>
      </w:r>
    </w:p>
    <w:p w:rsidR="00000000" w:rsidDel="00000000" w:rsidP="00000000" w:rsidRDefault="00000000" w:rsidRPr="00000000" w14:paraId="00000066">
      <w:pPr>
        <w:pStyle w:val="Heading2"/>
        <w:spacing w:after="0" w:before="0" w:lineRule="auto"/>
        <w:jc w:val="both"/>
        <w:rPr>
          <w:rFonts w:ascii="Times New Roman" w:cs="Times New Roman" w:eastAsia="Times New Roman" w:hAnsi="Times New Roman"/>
          <w:b w:val="0"/>
          <w:bCs w:val="0"/>
          <w:i w:val="0"/>
          <w:iCs w:val="0"/>
          <w:sz w:val="20"/>
          <w:szCs w:val="20"/>
        </w:rPr>
      </w:pPr>
      <w:r w:rsidDel="00000000" w:rsidR="00000000" w:rsidRPr="00000000">
        <w:rPr>
          <w:rtl w:val="0"/>
        </w:rPr>
      </w:r>
    </w:p>
    <w:p w:rsidR="00000000" w:rsidDel="00000000" w:rsidP="00000000" w:rsidRDefault="00000000" w:rsidRPr="00000000" w14:paraId="00000067">
      <w:pPr>
        <w:pStyle w:val="Heading2"/>
        <w:spacing w:after="0" w:before="0" w:lineRule="auto"/>
        <w:jc w:val="both"/>
        <w:rPr>
          <w:rFonts w:ascii="Times New Roman" w:cs="Times New Roman" w:eastAsia="Times New Roman" w:hAnsi="Times New Roman"/>
          <w:b w:val="0"/>
          <w:bCs w:val="0"/>
          <w:i w:val="0"/>
          <w:iCs w:val="0"/>
          <w:color w:val="000000"/>
          <w:sz w:val="20"/>
          <w:szCs w:val="20"/>
        </w:rPr>
      </w:pPr>
      <w:r w:rsidDel="00000000" w:rsidR="00000000" w:rsidRPr="00000000">
        <w:rPr>
          <w:rFonts w:ascii="Times New Roman" w:cs="Times New Roman" w:eastAsia="Times New Roman" w:hAnsi="Times New Roman"/>
          <w:b w:val="0"/>
          <w:bCs w:val="0"/>
          <w:i w:val="0"/>
          <w:iCs w:val="0"/>
          <w:color w:val="000000"/>
          <w:sz w:val="20"/>
          <w:szCs w:val="20"/>
          <w:rtl w:val="0"/>
        </w:rPr>
        <w:t xml:space="preserve">RESULTS AND DISCUSSION</w:t>
      </w:r>
    </w:p>
    <w:p w:rsidR="00000000" w:rsidDel="00000000" w:rsidP="00000000" w:rsidRDefault="00000000" w:rsidRPr="00000000" w14:paraId="00000068">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This section presents the simulation results of the proposed wireless electric vehicle (EV) charging system based on resonant inductive coupling. The system was modelled using a Series–Series (SS) compensated topology and evaluated using LTspice under transient and frequency-domain conditions.</w:t>
      </w:r>
    </w:p>
    <w:p w:rsidR="00000000" w:rsidDel="00000000" w:rsidP="00000000" w:rsidRDefault="00000000" w:rsidRPr="00000000" w14:paraId="00000069">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b w:val="0"/>
          <w:bCs w:val="0"/>
          <w:sz w:val="20"/>
          <w:szCs w:val="20"/>
        </w:rPr>
      </w:pPr>
      <w:r w:rsidDel="00000000" w:rsidR="00000000" w:rsidRPr="00000000">
        <w:rPr>
          <w:sz w:val="16"/>
          <w:szCs w:val="16"/>
          <w:rtl w:val="0"/>
        </w:rPr>
        <w:t xml:space="preserve">TABLE I: SIMULATING RESULTS BASED ON INDUCTIVE COUPLING</w:t>
      </w:r>
      <w:r w:rsidDel="00000000" w:rsidR="00000000" w:rsidRPr="00000000">
        <w:rPr>
          <w:rtl w:val="0"/>
        </w:rPr>
      </w:r>
    </w:p>
    <w:tbl>
      <w:tblPr>
        <w:tblStyle w:val="Table1"/>
        <w:tblW w:w="469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73"/>
        <w:gridCol w:w="1080"/>
        <w:gridCol w:w="1138"/>
        <w:tblGridChange w:id="0">
          <w:tblGrid>
            <w:gridCol w:w="2473"/>
            <w:gridCol w:w="1080"/>
            <w:gridCol w:w="1138"/>
          </w:tblGrid>
        </w:tblGridChange>
      </w:tblGrid>
      <w:tr>
        <w:trPr>
          <w:cantSplit w:val="0"/>
          <w:trHeight w:val="300" w:hRule="atLeast"/>
          <w:tblHeader w:val="0"/>
        </w:trPr>
        <w:tc>
          <w:tcPr/>
          <w:p w:rsidR="00000000" w:rsidDel="00000000" w:rsidP="00000000" w:rsidRDefault="00000000" w:rsidRPr="00000000" w14:paraId="0000006B">
            <w:pPr>
              <w:spacing w:after="0" w:before="0" w:lineRule="auto"/>
              <w:jc w:val="center"/>
              <w:rPr>
                <w:b w:val="1"/>
                <w:bCs w:val="1"/>
                <w:sz w:val="18"/>
                <w:szCs w:val="18"/>
              </w:rPr>
            </w:pPr>
            <w:r w:rsidDel="00000000" w:rsidR="00000000" w:rsidRPr="00000000">
              <w:rPr>
                <w:b w:val="1"/>
                <w:bCs w:val="1"/>
                <w:sz w:val="18"/>
                <w:szCs w:val="18"/>
                <w:rtl w:val="0"/>
              </w:rPr>
              <w:t xml:space="preserve">Parameter</w:t>
            </w:r>
          </w:p>
        </w:tc>
        <w:tc>
          <w:tcPr/>
          <w:p w:rsidR="00000000" w:rsidDel="00000000" w:rsidP="00000000" w:rsidRDefault="00000000" w:rsidRPr="00000000" w14:paraId="0000006C">
            <w:pPr>
              <w:spacing w:after="0" w:before="0" w:lineRule="auto"/>
              <w:jc w:val="center"/>
              <w:rPr>
                <w:b w:val="1"/>
                <w:bCs w:val="1"/>
                <w:sz w:val="18"/>
                <w:szCs w:val="18"/>
              </w:rPr>
            </w:pPr>
            <w:r w:rsidDel="00000000" w:rsidR="00000000" w:rsidRPr="00000000">
              <w:rPr>
                <w:b w:val="1"/>
                <w:bCs w:val="1"/>
                <w:sz w:val="18"/>
                <w:szCs w:val="18"/>
                <w:rtl w:val="0"/>
              </w:rPr>
              <w:t xml:space="preserve">Symbol</w:t>
            </w:r>
          </w:p>
        </w:tc>
        <w:tc>
          <w:tcPr/>
          <w:p w:rsidR="00000000" w:rsidDel="00000000" w:rsidP="00000000" w:rsidRDefault="00000000" w:rsidRPr="00000000" w14:paraId="0000006D">
            <w:pPr>
              <w:spacing w:after="0" w:before="0" w:lineRule="auto"/>
              <w:jc w:val="center"/>
              <w:rPr>
                <w:b w:val="1"/>
                <w:bCs w:val="1"/>
                <w:sz w:val="18"/>
                <w:szCs w:val="18"/>
              </w:rPr>
            </w:pPr>
            <w:r w:rsidDel="00000000" w:rsidR="00000000" w:rsidRPr="00000000">
              <w:rPr>
                <w:b w:val="1"/>
                <w:bCs w:val="1"/>
                <w:sz w:val="18"/>
                <w:szCs w:val="18"/>
                <w:rtl w:val="0"/>
              </w:rPr>
              <w:t xml:space="preserve">Value</w:t>
            </w:r>
          </w:p>
        </w:tc>
      </w:tr>
      <w:tr>
        <w:trPr>
          <w:cantSplit w:val="0"/>
          <w:trHeight w:val="300" w:hRule="atLeast"/>
          <w:tblHeader w:val="0"/>
        </w:trPr>
        <w:tc>
          <w:tcPr/>
          <w:p w:rsidR="00000000" w:rsidDel="00000000" w:rsidP="00000000" w:rsidRDefault="00000000" w:rsidRPr="00000000" w14:paraId="0000006E">
            <w:pPr>
              <w:jc w:val="center"/>
              <w:rPr>
                <w:b w:val="1"/>
                <w:bCs w:val="1"/>
                <w:sz w:val="18"/>
                <w:szCs w:val="18"/>
              </w:rPr>
            </w:pPr>
            <w:r w:rsidDel="00000000" w:rsidR="00000000" w:rsidRPr="00000000">
              <w:rPr>
                <w:rtl w:val="0"/>
              </w:rPr>
            </w:r>
          </w:p>
        </w:tc>
        <w:tc>
          <w:tcPr/>
          <w:p w:rsidR="00000000" w:rsidDel="00000000" w:rsidP="00000000" w:rsidRDefault="00000000" w:rsidRPr="00000000" w14:paraId="0000006F">
            <w:pPr>
              <w:jc w:val="center"/>
              <w:rPr>
                <w:b w:val="1"/>
                <w:bCs w:val="1"/>
                <w:sz w:val="18"/>
                <w:szCs w:val="18"/>
              </w:rPr>
            </w:pPr>
            <w:r w:rsidDel="00000000" w:rsidR="00000000" w:rsidRPr="00000000">
              <w:rPr>
                <w:rtl w:val="0"/>
              </w:rPr>
            </w:r>
          </w:p>
        </w:tc>
        <w:tc>
          <w:tcPr/>
          <w:p w:rsidR="00000000" w:rsidDel="00000000" w:rsidP="00000000" w:rsidRDefault="00000000" w:rsidRPr="00000000" w14:paraId="00000070">
            <w:pPr>
              <w:jc w:val="center"/>
              <w:rPr>
                <w:b w:val="1"/>
                <w:bCs w:val="1"/>
                <w:sz w:val="18"/>
                <w:szCs w:val="18"/>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71">
            <w:pPr>
              <w:spacing w:after="0" w:before="0" w:lineRule="auto"/>
              <w:rPr>
                <w:sz w:val="18"/>
                <w:szCs w:val="18"/>
              </w:rPr>
            </w:pPr>
            <w:r w:rsidDel="00000000" w:rsidR="00000000" w:rsidRPr="00000000">
              <w:rPr>
                <w:sz w:val="18"/>
                <w:szCs w:val="18"/>
                <w:rtl w:val="0"/>
              </w:rPr>
              <w:t xml:space="preserve">Supply Voltage</w:t>
            </w:r>
          </w:p>
        </w:tc>
        <w:tc>
          <w:tcPr/>
          <w:p w:rsidR="00000000" w:rsidDel="00000000" w:rsidP="00000000" w:rsidRDefault="00000000" w:rsidRPr="00000000" w14:paraId="00000072">
            <w:pPr>
              <w:spacing w:after="0" w:before="0" w:lineRule="auto"/>
              <w:rPr>
                <w:sz w:val="18"/>
                <w:szCs w:val="18"/>
              </w:rPr>
            </w:pPr>
            <w:r w:rsidDel="00000000" w:rsidR="00000000" w:rsidRPr="00000000">
              <w:rPr>
                <w:sz w:val="18"/>
                <w:szCs w:val="18"/>
                <w:rtl w:val="0"/>
              </w:rPr>
              <w:t xml:space="preserve">Vs</w:t>
            </w:r>
          </w:p>
        </w:tc>
        <w:tc>
          <w:tcPr/>
          <w:p w:rsidR="00000000" w:rsidDel="00000000" w:rsidP="00000000" w:rsidRDefault="00000000" w:rsidRPr="00000000" w14:paraId="00000073">
            <w:pPr>
              <w:spacing w:after="0" w:before="0" w:lineRule="auto"/>
              <w:rPr>
                <w:sz w:val="18"/>
                <w:szCs w:val="18"/>
              </w:rPr>
            </w:pPr>
            <w:r w:rsidDel="00000000" w:rsidR="00000000" w:rsidRPr="00000000">
              <w:rPr>
                <w:sz w:val="18"/>
                <w:szCs w:val="18"/>
                <w:rtl w:val="0"/>
              </w:rPr>
              <w:t xml:space="preserve">230 V (AC)</w:t>
            </w:r>
          </w:p>
        </w:tc>
      </w:tr>
      <w:tr>
        <w:trPr>
          <w:cantSplit w:val="0"/>
          <w:trHeight w:val="300" w:hRule="atLeast"/>
          <w:tblHeader w:val="0"/>
        </w:trPr>
        <w:tc>
          <w:tcPr/>
          <w:p w:rsidR="00000000" w:rsidDel="00000000" w:rsidP="00000000" w:rsidRDefault="00000000" w:rsidRPr="00000000" w14:paraId="00000074">
            <w:pPr>
              <w:spacing w:after="0" w:before="0" w:lineRule="auto"/>
              <w:rPr>
                <w:sz w:val="18"/>
                <w:szCs w:val="18"/>
              </w:rPr>
            </w:pPr>
            <w:r w:rsidDel="00000000" w:rsidR="00000000" w:rsidRPr="00000000">
              <w:rPr>
                <w:sz w:val="18"/>
                <w:szCs w:val="18"/>
                <w:rtl w:val="0"/>
              </w:rPr>
              <w:t xml:space="preserve">Operating Frequency</w:t>
            </w:r>
          </w:p>
        </w:tc>
        <w:tc>
          <w:tcPr/>
          <w:p w:rsidR="00000000" w:rsidDel="00000000" w:rsidP="00000000" w:rsidRDefault="00000000" w:rsidRPr="00000000" w14:paraId="00000075">
            <w:pPr>
              <w:spacing w:after="0" w:before="0" w:lineRule="auto"/>
              <w:rPr>
                <w:sz w:val="18"/>
                <w:szCs w:val="18"/>
              </w:rPr>
            </w:pPr>
            <w:r w:rsidDel="00000000" w:rsidR="00000000" w:rsidRPr="00000000">
              <w:rPr>
                <w:sz w:val="18"/>
                <w:szCs w:val="18"/>
                <w:rtl w:val="0"/>
              </w:rPr>
              <w:t xml:space="preserve">f</w:t>
            </w:r>
            <w:r w:rsidDel="00000000" w:rsidR="00000000" w:rsidRPr="00000000">
              <w:rPr>
                <w:sz w:val="18"/>
                <w:szCs w:val="18"/>
                <w:vertAlign w:val="subscript"/>
                <w:rtl w:val="0"/>
              </w:rPr>
              <w:t xml:space="preserve">0</w:t>
            </w:r>
            <w:r w:rsidDel="00000000" w:rsidR="00000000" w:rsidRPr="00000000">
              <w:rPr>
                <w:rtl w:val="0"/>
              </w:rPr>
            </w:r>
          </w:p>
        </w:tc>
        <w:tc>
          <w:tcPr/>
          <w:p w:rsidR="00000000" w:rsidDel="00000000" w:rsidP="00000000" w:rsidRDefault="00000000" w:rsidRPr="00000000" w14:paraId="00000076">
            <w:pPr>
              <w:spacing w:after="0" w:before="0" w:lineRule="auto"/>
              <w:rPr>
                <w:sz w:val="18"/>
                <w:szCs w:val="18"/>
              </w:rPr>
            </w:pPr>
            <w:r w:rsidDel="00000000" w:rsidR="00000000" w:rsidRPr="00000000">
              <w:rPr>
                <w:sz w:val="18"/>
                <w:szCs w:val="18"/>
                <w:rtl w:val="0"/>
              </w:rPr>
              <w:t xml:space="preserve">85 kHz</w:t>
            </w:r>
          </w:p>
        </w:tc>
      </w:tr>
      <w:tr>
        <w:trPr>
          <w:cantSplit w:val="0"/>
          <w:trHeight w:val="300" w:hRule="atLeast"/>
          <w:tblHeader w:val="0"/>
        </w:trPr>
        <w:tc>
          <w:tcPr/>
          <w:p w:rsidR="00000000" w:rsidDel="00000000" w:rsidP="00000000" w:rsidRDefault="00000000" w:rsidRPr="00000000" w14:paraId="00000077">
            <w:pPr>
              <w:spacing w:after="0" w:before="0" w:lineRule="auto"/>
              <w:rPr>
                <w:sz w:val="18"/>
                <w:szCs w:val="18"/>
              </w:rPr>
            </w:pPr>
            <w:r w:rsidDel="00000000" w:rsidR="00000000" w:rsidRPr="00000000">
              <w:rPr>
                <w:sz w:val="18"/>
                <w:szCs w:val="18"/>
                <w:rtl w:val="0"/>
              </w:rPr>
              <w:t xml:space="preserve">Primary Inductance</w:t>
            </w:r>
          </w:p>
        </w:tc>
        <w:tc>
          <w:tcPr/>
          <w:p w:rsidR="00000000" w:rsidDel="00000000" w:rsidP="00000000" w:rsidRDefault="00000000" w:rsidRPr="00000000" w14:paraId="00000078">
            <w:pPr>
              <w:spacing w:after="0" w:before="0" w:lineRule="auto"/>
              <w:rPr>
                <w:sz w:val="18"/>
                <w:szCs w:val="18"/>
              </w:rPr>
            </w:pPr>
            <w:r w:rsidDel="00000000" w:rsidR="00000000" w:rsidRPr="00000000">
              <w:rPr>
                <w:sz w:val="18"/>
                <w:szCs w:val="18"/>
                <w:rtl w:val="0"/>
              </w:rPr>
              <w:t xml:space="preserve">L</w:t>
            </w:r>
            <w:r w:rsidDel="00000000" w:rsidR="00000000" w:rsidRPr="00000000">
              <w:rPr>
                <w:sz w:val="18"/>
                <w:szCs w:val="18"/>
                <w:vertAlign w:val="subscript"/>
                <w:rtl w:val="0"/>
              </w:rPr>
              <w:t xml:space="preserve">1</w:t>
            </w:r>
            <w:r w:rsidDel="00000000" w:rsidR="00000000" w:rsidRPr="00000000">
              <w:rPr>
                <w:rtl w:val="0"/>
              </w:rPr>
            </w:r>
          </w:p>
        </w:tc>
        <w:tc>
          <w:tcPr/>
          <w:p w:rsidR="00000000" w:rsidDel="00000000" w:rsidP="00000000" w:rsidRDefault="00000000" w:rsidRPr="00000000" w14:paraId="00000079">
            <w:pPr>
              <w:spacing w:after="0" w:before="0" w:lineRule="auto"/>
              <w:rPr>
                <w:sz w:val="18"/>
                <w:szCs w:val="18"/>
              </w:rPr>
            </w:pPr>
            <w:r w:rsidDel="00000000" w:rsidR="00000000" w:rsidRPr="00000000">
              <w:rPr>
                <w:sz w:val="18"/>
                <w:szCs w:val="18"/>
                <w:rtl w:val="0"/>
              </w:rPr>
              <w:t xml:space="preserve">220 µH</w:t>
            </w:r>
          </w:p>
        </w:tc>
      </w:tr>
      <w:tr>
        <w:trPr>
          <w:cantSplit w:val="0"/>
          <w:trHeight w:val="300" w:hRule="atLeast"/>
          <w:tblHeader w:val="0"/>
        </w:trPr>
        <w:tc>
          <w:tcPr/>
          <w:p w:rsidR="00000000" w:rsidDel="00000000" w:rsidP="00000000" w:rsidRDefault="00000000" w:rsidRPr="00000000" w14:paraId="0000007A">
            <w:pPr>
              <w:spacing w:after="0" w:before="0" w:lineRule="auto"/>
              <w:rPr>
                <w:sz w:val="18"/>
                <w:szCs w:val="18"/>
              </w:rPr>
            </w:pPr>
            <w:r w:rsidDel="00000000" w:rsidR="00000000" w:rsidRPr="00000000">
              <w:rPr>
                <w:sz w:val="18"/>
                <w:szCs w:val="18"/>
                <w:rtl w:val="0"/>
              </w:rPr>
              <w:t xml:space="preserve">Secondary Inductance</w:t>
            </w:r>
          </w:p>
        </w:tc>
        <w:tc>
          <w:tcPr/>
          <w:p w:rsidR="00000000" w:rsidDel="00000000" w:rsidP="00000000" w:rsidRDefault="00000000" w:rsidRPr="00000000" w14:paraId="0000007B">
            <w:pPr>
              <w:spacing w:after="0" w:before="0" w:lineRule="auto"/>
              <w:rPr>
                <w:sz w:val="18"/>
                <w:szCs w:val="18"/>
                <w:vertAlign w:val="subscript"/>
              </w:rPr>
            </w:pPr>
            <w:r w:rsidDel="00000000" w:rsidR="00000000" w:rsidRPr="00000000">
              <w:rPr>
                <w:sz w:val="18"/>
                <w:szCs w:val="18"/>
                <w:rtl w:val="0"/>
              </w:rPr>
              <w:t xml:space="preserve">L</w:t>
            </w:r>
            <w:r w:rsidDel="00000000" w:rsidR="00000000" w:rsidRPr="00000000">
              <w:rPr>
                <w:sz w:val="18"/>
                <w:szCs w:val="18"/>
                <w:vertAlign w:val="subscript"/>
                <w:rtl w:val="0"/>
              </w:rPr>
              <w:t xml:space="preserve">2</w:t>
            </w:r>
          </w:p>
        </w:tc>
        <w:tc>
          <w:tcPr/>
          <w:p w:rsidR="00000000" w:rsidDel="00000000" w:rsidP="00000000" w:rsidRDefault="00000000" w:rsidRPr="00000000" w14:paraId="0000007C">
            <w:pPr>
              <w:spacing w:after="0" w:before="0" w:lineRule="auto"/>
              <w:rPr>
                <w:sz w:val="18"/>
                <w:szCs w:val="18"/>
              </w:rPr>
            </w:pPr>
            <w:r w:rsidDel="00000000" w:rsidR="00000000" w:rsidRPr="00000000">
              <w:rPr>
                <w:sz w:val="18"/>
                <w:szCs w:val="18"/>
                <w:rtl w:val="0"/>
              </w:rPr>
              <w:t xml:space="preserve">220 µH</w:t>
            </w:r>
          </w:p>
        </w:tc>
      </w:tr>
      <w:tr>
        <w:trPr>
          <w:cantSplit w:val="0"/>
          <w:trHeight w:val="300" w:hRule="atLeast"/>
          <w:tblHeader w:val="0"/>
        </w:trPr>
        <w:tc>
          <w:tcPr/>
          <w:p w:rsidR="00000000" w:rsidDel="00000000" w:rsidP="00000000" w:rsidRDefault="00000000" w:rsidRPr="00000000" w14:paraId="0000007D">
            <w:pPr>
              <w:spacing w:after="0" w:before="0" w:lineRule="auto"/>
              <w:rPr>
                <w:sz w:val="18"/>
                <w:szCs w:val="18"/>
              </w:rPr>
            </w:pPr>
            <w:r w:rsidDel="00000000" w:rsidR="00000000" w:rsidRPr="00000000">
              <w:rPr>
                <w:sz w:val="18"/>
                <w:szCs w:val="18"/>
                <w:rtl w:val="0"/>
              </w:rPr>
              <w:t xml:space="preserve">Compensation Capacitors</w:t>
            </w:r>
          </w:p>
        </w:tc>
        <w:tc>
          <w:tcPr/>
          <w:p w:rsidR="00000000" w:rsidDel="00000000" w:rsidP="00000000" w:rsidRDefault="00000000" w:rsidRPr="00000000" w14:paraId="0000007E">
            <w:pPr>
              <w:spacing w:after="0" w:before="0" w:lineRule="auto"/>
              <w:rPr>
                <w:sz w:val="18"/>
                <w:szCs w:val="18"/>
              </w:rPr>
            </w:pPr>
            <w:r w:rsidDel="00000000" w:rsidR="00000000" w:rsidRPr="00000000">
              <w:rPr>
                <w:sz w:val="18"/>
                <w:szCs w:val="18"/>
                <w:rtl w:val="0"/>
              </w:rPr>
              <w:t xml:space="preserve">C</w:t>
            </w:r>
            <w:r w:rsidDel="00000000" w:rsidR="00000000" w:rsidRPr="00000000">
              <w:rPr>
                <w:sz w:val="18"/>
                <w:szCs w:val="18"/>
                <w:vertAlign w:val="subscript"/>
                <w:rtl w:val="0"/>
              </w:rPr>
              <w:t xml:space="preserve">1</w:t>
            </w:r>
            <w:r w:rsidDel="00000000" w:rsidR="00000000" w:rsidRPr="00000000">
              <w:rPr>
                <w:sz w:val="18"/>
                <w:szCs w:val="18"/>
                <w:rtl w:val="0"/>
              </w:rPr>
              <w:t xml:space="preserve">, C</w:t>
            </w:r>
            <w:r w:rsidDel="00000000" w:rsidR="00000000" w:rsidRPr="00000000">
              <w:rPr>
                <w:sz w:val="18"/>
                <w:szCs w:val="18"/>
                <w:vertAlign w:val="subscript"/>
                <w:rtl w:val="0"/>
              </w:rPr>
              <w:t xml:space="preserve">2</w:t>
            </w:r>
            <w:r w:rsidDel="00000000" w:rsidR="00000000" w:rsidRPr="00000000">
              <w:rPr>
                <w:rtl w:val="0"/>
              </w:rPr>
            </w:r>
          </w:p>
        </w:tc>
        <w:tc>
          <w:tcPr/>
          <w:p w:rsidR="00000000" w:rsidDel="00000000" w:rsidP="00000000" w:rsidRDefault="00000000" w:rsidRPr="00000000" w14:paraId="0000007F">
            <w:pPr>
              <w:spacing w:after="0" w:before="0" w:lineRule="auto"/>
              <w:rPr>
                <w:sz w:val="18"/>
                <w:szCs w:val="18"/>
              </w:rPr>
            </w:pPr>
            <w:r w:rsidDel="00000000" w:rsidR="00000000" w:rsidRPr="00000000">
              <w:rPr>
                <w:sz w:val="18"/>
                <w:szCs w:val="18"/>
                <w:rtl w:val="0"/>
              </w:rPr>
              <w:t xml:space="preserve">15 nF</w:t>
            </w:r>
          </w:p>
        </w:tc>
      </w:tr>
      <w:tr>
        <w:trPr>
          <w:cantSplit w:val="0"/>
          <w:trHeight w:val="300" w:hRule="atLeast"/>
          <w:tblHeader w:val="0"/>
        </w:trPr>
        <w:tc>
          <w:tcPr/>
          <w:p w:rsidR="00000000" w:rsidDel="00000000" w:rsidP="00000000" w:rsidRDefault="00000000" w:rsidRPr="00000000" w14:paraId="00000080">
            <w:pPr>
              <w:spacing w:after="0" w:before="0" w:lineRule="auto"/>
              <w:rPr>
                <w:sz w:val="18"/>
                <w:szCs w:val="18"/>
              </w:rPr>
            </w:pPr>
            <w:r w:rsidDel="00000000" w:rsidR="00000000" w:rsidRPr="00000000">
              <w:rPr>
                <w:sz w:val="18"/>
                <w:szCs w:val="18"/>
                <w:rtl w:val="0"/>
              </w:rPr>
              <w:t xml:space="preserve">Coil Resistance</w:t>
            </w:r>
          </w:p>
        </w:tc>
        <w:tc>
          <w:tcPr/>
          <w:p w:rsidR="00000000" w:rsidDel="00000000" w:rsidP="00000000" w:rsidRDefault="00000000" w:rsidRPr="00000000" w14:paraId="00000081">
            <w:pPr>
              <w:spacing w:after="0" w:before="0" w:lineRule="auto"/>
              <w:rPr>
                <w:sz w:val="18"/>
                <w:szCs w:val="18"/>
              </w:rPr>
            </w:pPr>
            <w:r w:rsidDel="00000000" w:rsidR="00000000" w:rsidRPr="00000000">
              <w:rPr>
                <w:sz w:val="18"/>
                <w:szCs w:val="18"/>
                <w:rtl w:val="0"/>
              </w:rPr>
              <w:t xml:space="preserve">R</w:t>
            </w:r>
            <w:r w:rsidDel="00000000" w:rsidR="00000000" w:rsidRPr="00000000">
              <w:rPr>
                <w:sz w:val="18"/>
                <w:szCs w:val="18"/>
                <w:vertAlign w:val="subscript"/>
                <w:rtl w:val="0"/>
              </w:rPr>
              <w:t xml:space="preserve">1</w:t>
            </w:r>
            <w:r w:rsidDel="00000000" w:rsidR="00000000" w:rsidRPr="00000000">
              <w:rPr>
                <w:sz w:val="18"/>
                <w:szCs w:val="18"/>
                <w:rtl w:val="0"/>
              </w:rPr>
              <w:t xml:space="preserve">, R</w:t>
            </w:r>
            <w:r w:rsidDel="00000000" w:rsidR="00000000" w:rsidRPr="00000000">
              <w:rPr>
                <w:sz w:val="18"/>
                <w:szCs w:val="18"/>
                <w:vertAlign w:val="subscript"/>
                <w:rtl w:val="0"/>
              </w:rPr>
              <w:t xml:space="preserve">2</w:t>
            </w:r>
            <w:r w:rsidDel="00000000" w:rsidR="00000000" w:rsidRPr="00000000">
              <w:rPr>
                <w:rtl w:val="0"/>
              </w:rPr>
            </w:r>
          </w:p>
        </w:tc>
        <w:tc>
          <w:tcPr/>
          <w:p w:rsidR="00000000" w:rsidDel="00000000" w:rsidP="00000000" w:rsidRDefault="00000000" w:rsidRPr="00000000" w14:paraId="00000082">
            <w:pPr>
              <w:spacing w:after="0" w:before="0" w:lineRule="auto"/>
              <w:rPr>
                <w:sz w:val="18"/>
                <w:szCs w:val="18"/>
              </w:rPr>
            </w:pPr>
            <w:r w:rsidDel="00000000" w:rsidR="00000000" w:rsidRPr="00000000">
              <w:rPr>
                <w:sz w:val="18"/>
                <w:szCs w:val="18"/>
                <w:rtl w:val="0"/>
              </w:rPr>
              <w:t xml:space="preserve">0.5 Ω</w:t>
            </w:r>
          </w:p>
        </w:tc>
      </w:tr>
      <w:tr>
        <w:trPr>
          <w:cantSplit w:val="0"/>
          <w:trHeight w:val="300" w:hRule="atLeast"/>
          <w:tblHeader w:val="0"/>
        </w:trPr>
        <w:tc>
          <w:tcPr/>
          <w:p w:rsidR="00000000" w:rsidDel="00000000" w:rsidP="00000000" w:rsidRDefault="00000000" w:rsidRPr="00000000" w14:paraId="00000083">
            <w:pPr>
              <w:spacing w:after="0" w:before="0" w:lineRule="auto"/>
              <w:rPr>
                <w:sz w:val="18"/>
                <w:szCs w:val="18"/>
              </w:rPr>
            </w:pPr>
            <w:r w:rsidDel="00000000" w:rsidR="00000000" w:rsidRPr="00000000">
              <w:rPr>
                <w:sz w:val="18"/>
                <w:szCs w:val="18"/>
                <w:rtl w:val="0"/>
              </w:rPr>
              <w:t xml:space="preserve">Load Resistance</w:t>
            </w:r>
          </w:p>
        </w:tc>
        <w:tc>
          <w:tcPr/>
          <w:p w:rsidR="00000000" w:rsidDel="00000000" w:rsidP="00000000" w:rsidRDefault="00000000" w:rsidRPr="00000000" w14:paraId="00000084">
            <w:pPr>
              <w:spacing w:after="0" w:before="0" w:lineRule="auto"/>
              <w:rPr>
                <w:sz w:val="18"/>
                <w:szCs w:val="18"/>
              </w:rPr>
            </w:pPr>
            <w:r w:rsidDel="00000000" w:rsidR="00000000" w:rsidRPr="00000000">
              <w:rPr>
                <w:sz w:val="18"/>
                <w:szCs w:val="18"/>
                <w:rtl w:val="0"/>
              </w:rPr>
              <w:t xml:space="preserve">R</w:t>
            </w:r>
            <w:r w:rsidDel="00000000" w:rsidR="00000000" w:rsidRPr="00000000">
              <w:rPr>
                <w:sz w:val="18"/>
                <w:szCs w:val="18"/>
                <w:vertAlign w:val="subscript"/>
                <w:rtl w:val="0"/>
              </w:rPr>
              <w:t xml:space="preserve">L</w:t>
            </w:r>
            <w:r w:rsidDel="00000000" w:rsidR="00000000" w:rsidRPr="00000000">
              <w:rPr>
                <w:rtl w:val="0"/>
              </w:rPr>
            </w:r>
          </w:p>
        </w:tc>
        <w:tc>
          <w:tcPr/>
          <w:p w:rsidR="00000000" w:rsidDel="00000000" w:rsidP="00000000" w:rsidRDefault="00000000" w:rsidRPr="00000000" w14:paraId="00000085">
            <w:pPr>
              <w:spacing w:after="0" w:before="0" w:lineRule="auto"/>
              <w:rPr>
                <w:sz w:val="18"/>
                <w:szCs w:val="18"/>
              </w:rPr>
            </w:pPr>
            <w:r w:rsidDel="00000000" w:rsidR="00000000" w:rsidRPr="00000000">
              <w:rPr>
                <w:sz w:val="18"/>
                <w:szCs w:val="18"/>
                <w:rtl w:val="0"/>
              </w:rPr>
              <w:t xml:space="preserve">20 Ω</w:t>
            </w:r>
          </w:p>
        </w:tc>
      </w:tr>
      <w:tr>
        <w:trPr>
          <w:cantSplit w:val="0"/>
          <w:trHeight w:val="300" w:hRule="atLeast"/>
          <w:tblHeader w:val="0"/>
        </w:trPr>
        <w:tc>
          <w:tcPr/>
          <w:p w:rsidR="00000000" w:rsidDel="00000000" w:rsidP="00000000" w:rsidRDefault="00000000" w:rsidRPr="00000000" w14:paraId="00000086">
            <w:pPr>
              <w:spacing w:after="0" w:before="0" w:lineRule="auto"/>
              <w:rPr>
                <w:sz w:val="18"/>
                <w:szCs w:val="18"/>
              </w:rPr>
            </w:pPr>
            <w:r w:rsidDel="00000000" w:rsidR="00000000" w:rsidRPr="00000000">
              <w:rPr>
                <w:sz w:val="18"/>
                <w:szCs w:val="18"/>
                <w:rtl w:val="0"/>
              </w:rPr>
              <w:t xml:space="preserve">Coupling Coefficient</w:t>
            </w:r>
          </w:p>
        </w:tc>
        <w:tc>
          <w:tcPr/>
          <w:p w:rsidR="00000000" w:rsidDel="00000000" w:rsidP="00000000" w:rsidRDefault="00000000" w:rsidRPr="00000000" w14:paraId="00000087">
            <w:pPr>
              <w:spacing w:after="0" w:before="0" w:lineRule="auto"/>
              <w:rPr>
                <w:sz w:val="18"/>
                <w:szCs w:val="18"/>
              </w:rPr>
            </w:pPr>
            <w:r w:rsidDel="00000000" w:rsidR="00000000" w:rsidRPr="00000000">
              <w:rPr>
                <w:sz w:val="18"/>
                <w:szCs w:val="18"/>
                <w:rtl w:val="0"/>
              </w:rPr>
              <w:t xml:space="preserve">(k)</w:t>
            </w:r>
          </w:p>
        </w:tc>
        <w:tc>
          <w:tcPr/>
          <w:p w:rsidR="00000000" w:rsidDel="00000000" w:rsidP="00000000" w:rsidRDefault="00000000" w:rsidRPr="00000000" w14:paraId="00000088">
            <w:pPr>
              <w:spacing w:after="0" w:before="0" w:lineRule="auto"/>
              <w:rPr>
                <w:sz w:val="18"/>
                <w:szCs w:val="18"/>
              </w:rPr>
            </w:pPr>
            <w:r w:rsidDel="00000000" w:rsidR="00000000" w:rsidRPr="00000000">
              <w:rPr>
                <w:sz w:val="18"/>
                <w:szCs w:val="18"/>
                <w:rtl w:val="0"/>
              </w:rPr>
              <w:t xml:space="preserve">0.2–0.4</w:t>
            </w:r>
          </w:p>
        </w:tc>
      </w:tr>
    </w:tbl>
    <w:p w:rsidR="00000000" w:rsidDel="00000000" w:rsidP="00000000" w:rsidRDefault="00000000" w:rsidRPr="00000000" w14:paraId="00000089">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8A">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 Simulation Setup and Parameters</w:t>
      </w:r>
      <w:r w:rsidDel="00000000" w:rsidR="00000000" w:rsidRPr="00000000">
        <w:rPr>
          <w:rtl w:val="0"/>
        </w:rPr>
      </w:r>
    </w:p>
    <w:p w:rsidR="00000000" w:rsidDel="00000000" w:rsidP="00000000" w:rsidRDefault="00000000" w:rsidRPr="00000000" w14:paraId="0000008B">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The system was simulated at a nominal operating frequency of </w:t>
      </w:r>
      <w:r w:rsidDel="00000000" w:rsidR="00000000" w:rsidRPr="00000000">
        <w:rPr>
          <w:rFonts w:ascii="Times New Roman" w:cs="Times New Roman" w:eastAsia="Times New Roman" w:hAnsi="Times New Roman"/>
          <w:b w:val="1"/>
          <w:bCs w:val="1"/>
          <w:sz w:val="20"/>
          <w:szCs w:val="20"/>
          <w:rtl w:val="0"/>
        </w:rPr>
        <w:t xml:space="preserve">85 kHz</w:t>
      </w:r>
      <w:r w:rsidDel="00000000" w:rsidR="00000000" w:rsidRPr="00000000">
        <w:rPr>
          <w:rFonts w:ascii="Times New Roman" w:cs="Times New Roman" w:eastAsia="Times New Roman" w:hAnsi="Times New Roman"/>
          <w:sz w:val="20"/>
          <w:szCs w:val="20"/>
          <w:rtl w:val="0"/>
        </w:rPr>
        <w:t xml:space="preserve">, which corresponds to the designed resonant frequency of the transmitter and receiver coils. Identical coil parameters were used to ensure symmetric resonance behaviour.</w:t>
      </w:r>
      <w:r w:rsidDel="00000000" w:rsidR="00000000" w:rsidRPr="00000000">
        <w:rPr>
          <w:rtl w:val="0"/>
        </w:rPr>
      </w:r>
    </w:p>
    <w:p w:rsidR="00000000" w:rsidDel="00000000" w:rsidP="00000000" w:rsidRDefault="00000000" w:rsidRPr="00000000" w14:paraId="0000008C">
      <w:pPr>
        <w:pStyle w:val="Heading3"/>
        <w:spacing w:after="0" w:before="0" w:lineRule="auto"/>
        <w:ind w:left="0" w:firstLine="0"/>
        <w:jc w:val="both"/>
        <w:rPr>
          <w:rFonts w:ascii="Times New Roman" w:cs="Times New Roman" w:eastAsia="Times New Roman" w:hAnsi="Times New Roman"/>
          <w:b w:val="0"/>
          <w:bCs w:val="0"/>
          <w:sz w:val="20"/>
          <w:szCs w:val="20"/>
        </w:rPr>
      </w:pPr>
      <w:r w:rsidDel="00000000" w:rsidR="00000000" w:rsidRPr="00000000">
        <w:rPr>
          <w:rtl w:val="0"/>
        </w:rPr>
      </w:r>
    </w:p>
    <w:p w:rsidR="00000000" w:rsidDel="00000000" w:rsidP="00000000" w:rsidRDefault="00000000" w:rsidRPr="00000000" w14:paraId="0000008D">
      <w:pPr>
        <w:pStyle w:val="Heading3"/>
        <w:spacing w:after="0" w:before="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 Transient Response Analysis</w:t>
      </w:r>
    </w:p>
    <w:p w:rsidR="00000000" w:rsidDel="00000000" w:rsidP="00000000" w:rsidRDefault="00000000" w:rsidRPr="00000000" w14:paraId="0000008E">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transient analysis was performed using a time-domain simulation to observe energy transfer behaviour between the coupled coils. The system exhibited an initial oscillatory build-up before reaching steady-state operation.</w:t>
      </w:r>
    </w:p>
    <w:p w:rsidR="00000000" w:rsidDel="00000000" w:rsidP="00000000" w:rsidRDefault="00000000" w:rsidRPr="00000000" w14:paraId="0000008F">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steady state, sinusoidal waveforms were observed across both primary and secondary resonant tanks. The results confirm that energy exchange between coils becomes stable once resonance is established.</w:t>
      </w:r>
    </w:p>
    <w:p w:rsidR="00000000" w:rsidDel="00000000" w:rsidP="00000000" w:rsidRDefault="00000000" w:rsidRPr="00000000" w14:paraId="00000090">
      <w:pPr>
        <w:spacing w:after="0" w:before="0" w:lineRule="auto"/>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Key Observation: Voltage and current waveforms in both coils become nearly phase-aligned at steady state, indicating minimal reactive power and optimal resonance condition.</w:t>
      </w:r>
    </w:p>
    <w:p w:rsidR="00000000" w:rsidDel="00000000" w:rsidP="00000000" w:rsidRDefault="00000000" w:rsidRPr="00000000" w14:paraId="00000091">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92">
      <w:pPr>
        <w:pStyle w:val="Heading3"/>
        <w:spacing w:after="0" w:before="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 Effect of Coupling Coefficient on Power Transfer</w:t>
      </w:r>
    </w:p>
    <w:p w:rsidR="00000000" w:rsidDel="00000000" w:rsidP="00000000" w:rsidRDefault="00000000" w:rsidRPr="00000000" w14:paraId="00000093">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coupling coefficient (</w:t>
      </w:r>
      <w:r w:rsidDel="00000000" w:rsidR="00000000" w:rsidRPr="00000000">
        <w:rPr>
          <w:rFonts w:ascii="Cambria Math" w:cs="Cambria Math" w:eastAsia="Cambria Math" w:hAnsi="Cambria Math"/>
          <w:i w:val="1"/>
          <w:iCs w:val="1"/>
          <w:sz w:val="20"/>
          <w:szCs w:val="20"/>
          <w:rtl w:val="0"/>
        </w:rPr>
        <w:t xml:space="preserve">kk</w:t>
      </w:r>
      <w:r w:rsidDel="00000000" w:rsidR="00000000" w:rsidRPr="00000000">
        <w:rPr>
          <w:rFonts w:ascii="Times New Roman" w:cs="Times New Roman" w:eastAsia="Times New Roman" w:hAnsi="Times New Roman"/>
          <w:sz w:val="20"/>
          <w:szCs w:val="20"/>
          <w:rtl w:val="0"/>
        </w:rPr>
        <w:t xml:space="preserve">k) was varied to evaluate its impact on system performance. The results show a strong dependence of output power and efficiency on magnetic coupling between transmitter and receiver coils.</w:t>
      </w:r>
    </w:p>
    <w:p w:rsidR="00000000" w:rsidDel="00000000" w:rsidP="00000000" w:rsidRDefault="00000000" w:rsidRPr="00000000" w14:paraId="00000094">
      <w:pPr>
        <w:spacing w:after="0" w:before="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5">
      <w:pPr>
        <w:spacing w:after="0" w:before="0" w:lineRule="auto"/>
        <w:jc w:val="both"/>
        <w:rPr>
          <w:rFonts w:ascii="Times New Roman" w:cs="Times New Roman" w:eastAsia="Times New Roman" w:hAnsi="Times New Roman"/>
          <w:b w:val="0"/>
          <w:bCs w:val="0"/>
          <w:sz w:val="16"/>
          <w:szCs w:val="16"/>
        </w:rPr>
      </w:pPr>
      <w:r w:rsidDel="00000000" w:rsidR="00000000" w:rsidRPr="00000000">
        <w:rPr>
          <w:rFonts w:ascii="Times New Roman" w:cs="Times New Roman" w:eastAsia="Times New Roman" w:hAnsi="Times New Roman"/>
          <w:b w:val="0"/>
          <w:bCs w:val="0"/>
          <w:sz w:val="16"/>
          <w:szCs w:val="16"/>
          <w:rtl w:val="0"/>
        </w:rPr>
        <w:t xml:space="preserve">TABLE II: OUTPUT PERFORMANCE VS COUPLING COEFFICIENT</w:t>
      </w:r>
    </w:p>
    <w:tbl>
      <w:tblPr>
        <w:tblStyle w:val="Table2"/>
        <w:tblW w:w="506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6A0"/>
      </w:tblPr>
      <w:tblGrid>
        <w:gridCol w:w="2125"/>
        <w:gridCol w:w="1658"/>
        <w:gridCol w:w="1286"/>
        <w:tblGridChange w:id="0">
          <w:tblGrid>
            <w:gridCol w:w="2125"/>
            <w:gridCol w:w="1658"/>
            <w:gridCol w:w="1286"/>
          </w:tblGrid>
        </w:tblGridChange>
      </w:tblGrid>
      <w:tr>
        <w:trPr>
          <w:cantSplit w:val="0"/>
          <w:trHeight w:val="300" w:hRule="atLeast"/>
          <w:tblHeader w:val="0"/>
        </w:trPr>
        <w:tc>
          <w:tcPr/>
          <w:p w:rsidR="00000000" w:rsidDel="00000000" w:rsidP="00000000" w:rsidRDefault="00000000" w:rsidRPr="00000000" w14:paraId="00000096">
            <w:pPr>
              <w:spacing w:after="0" w:before="0" w:lineRule="auto"/>
              <w:jc w:val="center"/>
              <w:rPr>
                <w:sz w:val="18"/>
                <w:szCs w:val="18"/>
              </w:rPr>
            </w:pPr>
            <w:r w:rsidDel="00000000" w:rsidR="00000000" w:rsidRPr="00000000">
              <w:rPr>
                <w:b w:val="1"/>
                <w:bCs w:val="1"/>
                <w:sz w:val="18"/>
                <w:szCs w:val="18"/>
                <w:rtl w:val="0"/>
              </w:rPr>
              <w:t xml:space="preserve">Coupling Coefficient </w:t>
            </w:r>
            <w:r w:rsidDel="00000000" w:rsidR="00000000" w:rsidRPr="00000000">
              <w:rPr>
                <w:rFonts w:ascii="Cambria Math" w:cs="Cambria Math" w:eastAsia="Cambria Math" w:hAnsi="Cambria Math"/>
                <w:b w:val="1"/>
                <w:bCs w:val="1"/>
                <w:i w:val="1"/>
                <w:iCs w:val="1"/>
                <w:sz w:val="18"/>
                <w:szCs w:val="18"/>
                <w:rtl w:val="0"/>
              </w:rPr>
              <w:t xml:space="preserve">kk</w:t>
            </w:r>
            <w:r w:rsidDel="00000000" w:rsidR="00000000" w:rsidRPr="00000000">
              <w:rPr>
                <w:b w:val="1"/>
                <w:bCs w:val="1"/>
                <w:sz w:val="18"/>
                <w:szCs w:val="18"/>
                <w:rtl w:val="0"/>
              </w:rPr>
              <w:t xml:space="preserve">k</w:t>
            </w:r>
            <w:r w:rsidDel="00000000" w:rsidR="00000000" w:rsidRPr="00000000">
              <w:rPr>
                <w:rtl w:val="0"/>
              </w:rPr>
            </w:r>
          </w:p>
        </w:tc>
        <w:tc>
          <w:tcPr/>
          <w:p w:rsidR="00000000" w:rsidDel="00000000" w:rsidP="00000000" w:rsidRDefault="00000000" w:rsidRPr="00000000" w14:paraId="00000097">
            <w:pPr>
              <w:spacing w:after="0" w:before="0" w:lineRule="auto"/>
              <w:jc w:val="center"/>
              <w:rPr>
                <w:sz w:val="18"/>
                <w:szCs w:val="18"/>
              </w:rPr>
            </w:pPr>
            <w:r w:rsidDel="00000000" w:rsidR="00000000" w:rsidRPr="00000000">
              <w:rPr>
                <w:b w:val="1"/>
                <w:bCs w:val="1"/>
                <w:sz w:val="18"/>
                <w:szCs w:val="18"/>
                <w:rtl w:val="0"/>
              </w:rPr>
              <w:t xml:space="preserve">Output Power (W)</w:t>
            </w:r>
            <w:r w:rsidDel="00000000" w:rsidR="00000000" w:rsidRPr="00000000">
              <w:rPr>
                <w:rtl w:val="0"/>
              </w:rPr>
            </w:r>
          </w:p>
        </w:tc>
        <w:tc>
          <w:tcPr/>
          <w:p w:rsidR="00000000" w:rsidDel="00000000" w:rsidP="00000000" w:rsidRDefault="00000000" w:rsidRPr="00000000" w14:paraId="00000098">
            <w:pPr>
              <w:spacing w:after="0" w:before="0" w:lineRule="auto"/>
              <w:jc w:val="center"/>
              <w:rPr>
                <w:sz w:val="18"/>
                <w:szCs w:val="18"/>
              </w:rPr>
            </w:pPr>
            <w:r w:rsidDel="00000000" w:rsidR="00000000" w:rsidRPr="00000000">
              <w:rPr>
                <w:b w:val="1"/>
                <w:bCs w:val="1"/>
                <w:sz w:val="18"/>
                <w:szCs w:val="18"/>
                <w:rtl w:val="0"/>
              </w:rPr>
              <w:t xml:space="preserve">Efficiency (%)</w:t>
            </w: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99">
            <w:pPr>
              <w:spacing w:after="0" w:before="0" w:lineRule="auto"/>
              <w:rPr>
                <w:sz w:val="18"/>
                <w:szCs w:val="18"/>
              </w:rPr>
            </w:pPr>
            <w:r w:rsidDel="00000000" w:rsidR="00000000" w:rsidRPr="00000000">
              <w:rPr>
                <w:sz w:val="18"/>
                <w:szCs w:val="18"/>
                <w:rtl w:val="0"/>
              </w:rPr>
              <w:t xml:space="preserve">0.20</w:t>
            </w:r>
          </w:p>
        </w:tc>
        <w:tc>
          <w:tcPr/>
          <w:p w:rsidR="00000000" w:rsidDel="00000000" w:rsidP="00000000" w:rsidRDefault="00000000" w:rsidRPr="00000000" w14:paraId="0000009A">
            <w:pPr>
              <w:spacing w:after="0" w:before="0" w:lineRule="auto"/>
              <w:rPr>
                <w:sz w:val="18"/>
                <w:szCs w:val="18"/>
              </w:rPr>
            </w:pPr>
            <w:r w:rsidDel="00000000" w:rsidR="00000000" w:rsidRPr="00000000">
              <w:rPr>
                <w:sz w:val="18"/>
                <w:szCs w:val="18"/>
                <w:rtl w:val="0"/>
              </w:rPr>
              <w:t xml:space="preserve">820</w:t>
            </w:r>
          </w:p>
        </w:tc>
        <w:tc>
          <w:tcPr/>
          <w:p w:rsidR="00000000" w:rsidDel="00000000" w:rsidP="00000000" w:rsidRDefault="00000000" w:rsidRPr="00000000" w14:paraId="0000009B">
            <w:pPr>
              <w:spacing w:after="0" w:before="0" w:lineRule="auto"/>
              <w:rPr>
                <w:sz w:val="18"/>
                <w:szCs w:val="18"/>
              </w:rPr>
            </w:pPr>
            <w:r w:rsidDel="00000000" w:rsidR="00000000" w:rsidRPr="00000000">
              <w:rPr>
                <w:sz w:val="18"/>
                <w:szCs w:val="18"/>
                <w:rtl w:val="0"/>
              </w:rPr>
              <w:t xml:space="preserve">67</w:t>
            </w:r>
          </w:p>
        </w:tc>
      </w:tr>
      <w:tr>
        <w:trPr>
          <w:cantSplit w:val="0"/>
          <w:trHeight w:val="300" w:hRule="atLeast"/>
          <w:tblHeader w:val="0"/>
        </w:trPr>
        <w:tc>
          <w:tcPr/>
          <w:p w:rsidR="00000000" w:rsidDel="00000000" w:rsidP="00000000" w:rsidRDefault="00000000" w:rsidRPr="00000000" w14:paraId="0000009C">
            <w:pPr>
              <w:spacing w:after="0" w:before="0" w:lineRule="auto"/>
              <w:rPr>
                <w:sz w:val="18"/>
                <w:szCs w:val="18"/>
              </w:rPr>
            </w:pPr>
            <w:r w:rsidDel="00000000" w:rsidR="00000000" w:rsidRPr="00000000">
              <w:rPr>
                <w:sz w:val="18"/>
                <w:szCs w:val="18"/>
                <w:rtl w:val="0"/>
              </w:rPr>
              <w:t xml:space="preserve">0.30</w:t>
            </w:r>
          </w:p>
        </w:tc>
        <w:tc>
          <w:tcPr/>
          <w:p w:rsidR="00000000" w:rsidDel="00000000" w:rsidP="00000000" w:rsidRDefault="00000000" w:rsidRPr="00000000" w14:paraId="0000009D">
            <w:pPr>
              <w:spacing w:after="0" w:before="0" w:lineRule="auto"/>
              <w:rPr>
                <w:sz w:val="18"/>
                <w:szCs w:val="18"/>
              </w:rPr>
            </w:pPr>
            <w:r w:rsidDel="00000000" w:rsidR="00000000" w:rsidRPr="00000000">
              <w:rPr>
                <w:sz w:val="18"/>
                <w:szCs w:val="18"/>
                <w:rtl w:val="0"/>
              </w:rPr>
              <w:t xml:space="preserve">1400</w:t>
            </w:r>
          </w:p>
        </w:tc>
        <w:tc>
          <w:tcPr/>
          <w:p w:rsidR="00000000" w:rsidDel="00000000" w:rsidP="00000000" w:rsidRDefault="00000000" w:rsidRPr="00000000" w14:paraId="0000009E">
            <w:pPr>
              <w:spacing w:after="0" w:before="0" w:lineRule="auto"/>
              <w:rPr>
                <w:sz w:val="18"/>
                <w:szCs w:val="18"/>
              </w:rPr>
            </w:pPr>
            <w:r w:rsidDel="00000000" w:rsidR="00000000" w:rsidRPr="00000000">
              <w:rPr>
                <w:sz w:val="18"/>
                <w:szCs w:val="18"/>
                <w:rtl w:val="0"/>
              </w:rPr>
              <w:t xml:space="preserve">79</w:t>
            </w:r>
          </w:p>
        </w:tc>
      </w:tr>
      <w:tr>
        <w:trPr>
          <w:cantSplit w:val="0"/>
          <w:trHeight w:val="300" w:hRule="atLeast"/>
          <w:tblHeader w:val="0"/>
        </w:trPr>
        <w:tc>
          <w:tcPr/>
          <w:p w:rsidR="00000000" w:rsidDel="00000000" w:rsidP="00000000" w:rsidRDefault="00000000" w:rsidRPr="00000000" w14:paraId="0000009F">
            <w:pPr>
              <w:spacing w:after="0" w:before="0" w:lineRule="auto"/>
              <w:rPr>
                <w:sz w:val="18"/>
                <w:szCs w:val="18"/>
              </w:rPr>
            </w:pPr>
            <w:r w:rsidDel="00000000" w:rsidR="00000000" w:rsidRPr="00000000">
              <w:rPr>
                <w:sz w:val="18"/>
                <w:szCs w:val="18"/>
                <w:rtl w:val="0"/>
              </w:rPr>
              <w:t xml:space="preserve">0.40</w:t>
            </w:r>
          </w:p>
        </w:tc>
        <w:tc>
          <w:tcPr/>
          <w:p w:rsidR="00000000" w:rsidDel="00000000" w:rsidP="00000000" w:rsidRDefault="00000000" w:rsidRPr="00000000" w14:paraId="000000A0">
            <w:pPr>
              <w:spacing w:after="0" w:before="0" w:lineRule="auto"/>
              <w:rPr>
                <w:sz w:val="18"/>
                <w:szCs w:val="18"/>
              </w:rPr>
            </w:pPr>
            <w:r w:rsidDel="00000000" w:rsidR="00000000" w:rsidRPr="00000000">
              <w:rPr>
                <w:sz w:val="18"/>
                <w:szCs w:val="18"/>
                <w:rtl w:val="0"/>
              </w:rPr>
              <w:t xml:space="preserve">2150</w:t>
            </w:r>
          </w:p>
        </w:tc>
        <w:tc>
          <w:tcPr/>
          <w:p w:rsidR="00000000" w:rsidDel="00000000" w:rsidP="00000000" w:rsidRDefault="00000000" w:rsidRPr="00000000" w14:paraId="000000A1">
            <w:pPr>
              <w:spacing w:after="0" w:before="0" w:lineRule="auto"/>
              <w:rPr>
                <w:sz w:val="18"/>
                <w:szCs w:val="18"/>
              </w:rPr>
            </w:pPr>
            <w:r w:rsidDel="00000000" w:rsidR="00000000" w:rsidRPr="00000000">
              <w:rPr>
                <w:sz w:val="18"/>
                <w:szCs w:val="18"/>
                <w:rtl w:val="0"/>
              </w:rPr>
              <w:t xml:space="preserve">89</w:t>
            </w:r>
          </w:p>
        </w:tc>
      </w:tr>
    </w:tbl>
    <w:p w:rsidR="00000000" w:rsidDel="00000000" w:rsidP="00000000" w:rsidRDefault="00000000" w:rsidRPr="00000000" w14:paraId="000000A2">
      <w:pPr>
        <w:spacing w:after="240" w:before="240" w:lineRule="auto"/>
        <w:jc w:val="both"/>
        <w:rPr/>
      </w:pPr>
      <w:r w:rsidDel="00000000" w:rsidR="00000000" w:rsidRPr="00000000">
        <w:rPr>
          <w:rFonts w:ascii="Times New Roman" w:cs="Times New Roman" w:eastAsia="Times New Roman" w:hAnsi="Times New Roman"/>
          <w:sz w:val="20"/>
          <w:szCs w:val="20"/>
          <w:rtl w:val="0"/>
        </w:rPr>
        <w:t xml:space="preserve">The results indicate a non-linear increase in both output power and efficiency as coupling improves. This is attributed to enhanced mutual inductance and reduced leakage flux between coils.</w:t>
      </w:r>
      <w:r w:rsidDel="00000000" w:rsidR="00000000" w:rsidRPr="00000000">
        <w:rPr>
          <w:rtl w:val="0"/>
        </w:rPr>
      </w:r>
    </w:p>
    <w:p w:rsidR="00000000" w:rsidDel="00000000" w:rsidP="00000000" w:rsidRDefault="00000000" w:rsidRPr="00000000" w14:paraId="000000A3">
      <w:pPr>
        <w:pStyle w:val="Heading3"/>
        <w:spacing w:after="0" w:before="0" w:lineRule="auto"/>
        <w:ind w:left="0" w:firstLine="0"/>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0"/>
          <w:szCs w:val="20"/>
          <w:rtl w:val="0"/>
        </w:rPr>
        <w:t xml:space="preserve">D. Frequency Response and Resonance Behaviour</w:t>
      </w:r>
    </w:p>
    <w:p w:rsidR="00000000" w:rsidDel="00000000" w:rsidP="00000000" w:rsidRDefault="00000000" w:rsidRPr="00000000" w14:paraId="000000A4">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An AC sweep analysis was conducted to evaluate the frequency response of the system. A pronounced peak in power transfer was observed at approximately </w:t>
      </w:r>
      <w:r w:rsidDel="00000000" w:rsidR="00000000" w:rsidRPr="00000000">
        <w:rPr>
          <w:rFonts w:ascii="Times New Roman" w:cs="Times New Roman" w:eastAsia="Times New Roman" w:hAnsi="Times New Roman"/>
          <w:b w:val="1"/>
          <w:bCs w:val="1"/>
          <w:sz w:val="20"/>
          <w:szCs w:val="20"/>
          <w:rtl w:val="0"/>
        </w:rPr>
        <w:t xml:space="preserve">85 kHz</w:t>
      </w:r>
      <w:r w:rsidDel="00000000" w:rsidR="00000000" w:rsidRPr="00000000">
        <w:rPr>
          <w:rFonts w:ascii="Times New Roman" w:cs="Times New Roman" w:eastAsia="Times New Roman" w:hAnsi="Times New Roman"/>
          <w:sz w:val="20"/>
          <w:szCs w:val="20"/>
          <w:rtl w:val="0"/>
        </w:rPr>
        <w:t xml:space="preserve">, confirming the resonant condition of the system.</w:t>
      </w:r>
      <w:r w:rsidDel="00000000" w:rsidR="00000000" w:rsidRPr="00000000">
        <w:rPr>
          <w:rtl w:val="0"/>
        </w:rPr>
      </w:r>
    </w:p>
    <w:p w:rsidR="00000000" w:rsidDel="00000000" w:rsidP="00000000" w:rsidRDefault="00000000" w:rsidRPr="00000000" w14:paraId="000000A5">
      <w:pPr>
        <w:spacing w:after="0" w:before="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frequencies away from resonance, the system exhibited a significant drop in power transfer due to increased reactive impedance. This confirms that the system behaves as a narrow-band resonant network.</w:t>
      </w:r>
    </w:p>
    <w:p w:rsidR="00000000" w:rsidDel="00000000" w:rsidP="00000000" w:rsidRDefault="00000000" w:rsidRPr="00000000" w14:paraId="000000A6">
      <w:pPr>
        <w:spacing w:after="0" w:before="0" w:lineRule="auto"/>
        <w:jc w:val="both"/>
        <w:rPr>
          <w:sz w:val="20"/>
          <w:szCs w:val="20"/>
        </w:rPr>
      </w:pPr>
      <w:r w:rsidDel="00000000" w:rsidR="00000000" w:rsidRPr="00000000">
        <w:rPr>
          <w:rtl w:val="0"/>
        </w:rPr>
      </w:r>
    </w:p>
    <w:p w:rsidR="00000000" w:rsidDel="00000000" w:rsidP="00000000" w:rsidRDefault="00000000" w:rsidRPr="00000000" w14:paraId="000000A7">
      <w:pPr>
        <w:pStyle w:val="Heading3"/>
        <w:spacing w:after="0" w:before="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 Discussion</w:t>
      </w:r>
    </w:p>
    <w:p w:rsidR="00000000" w:rsidDel="00000000" w:rsidP="00000000" w:rsidRDefault="00000000" w:rsidRPr="00000000" w14:paraId="000000A8">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The simulation results demonstrate that efficient wireless power transfer in EV charging systems is strongly dependent on resonance and coil coupling.</w:t>
      </w:r>
      <w:r w:rsidDel="00000000" w:rsidR="00000000" w:rsidRPr="00000000">
        <w:rPr>
          <w:rtl w:val="0"/>
        </w:rPr>
      </w:r>
    </w:p>
    <w:p w:rsidR="00000000" w:rsidDel="00000000" w:rsidP="00000000" w:rsidRDefault="00000000" w:rsidRPr="00000000" w14:paraId="000000A9">
      <w:pPr>
        <w:spacing w:after="0" w:before="0" w:lineRule="auto"/>
        <w:jc w:val="both"/>
        <w:rPr/>
      </w:pPr>
      <w:r w:rsidDel="00000000" w:rsidR="00000000" w:rsidRPr="00000000">
        <w:rPr>
          <w:rFonts w:ascii="Times New Roman" w:cs="Times New Roman" w:eastAsia="Times New Roman" w:hAnsi="Times New Roman"/>
          <w:sz w:val="20"/>
          <w:szCs w:val="20"/>
          <w:rtl w:val="0"/>
        </w:rPr>
        <w:t xml:space="preserve">At resonance, the impedance of the system becomes predominantly resistive, enabling maximum real power transfer. The SS-compensated topology ensures that both primary and secondary circuits operate under matched resonant conditions, reducing reactive losses.</w:t>
      </w:r>
      <w:r w:rsidDel="00000000" w:rsidR="00000000" w:rsidRPr="00000000">
        <w:rPr>
          <w:rtl w:val="0"/>
        </w:rPr>
      </w:r>
    </w:p>
    <w:p w:rsidR="00000000" w:rsidDel="00000000" w:rsidP="00000000" w:rsidRDefault="00000000" w:rsidRPr="00000000" w14:paraId="000000AA">
      <w:pPr>
        <w:spacing w:after="240" w:before="0" w:lineRule="auto"/>
        <w:jc w:val="both"/>
        <w:rPr/>
      </w:pPr>
      <w:r w:rsidDel="00000000" w:rsidR="00000000" w:rsidRPr="00000000">
        <w:rPr>
          <w:rFonts w:ascii="Times New Roman" w:cs="Times New Roman" w:eastAsia="Times New Roman" w:hAnsi="Times New Roman"/>
          <w:sz w:val="20"/>
          <w:szCs w:val="20"/>
          <w:rtl w:val="0"/>
        </w:rPr>
        <w:t xml:space="preserve">The variation in coupling coefficient highlights the sensitivity of system performance to coil alignment and air gap distance. A reduction in coupling significantly decreases both output power and efficiency, making mechanical alignment a critical design constraint in practical implementations.</w:t>
      </w:r>
      <w:r w:rsidDel="00000000" w:rsidR="00000000" w:rsidRPr="00000000">
        <w:rPr>
          <w:rtl w:val="0"/>
        </w:rPr>
      </w:r>
    </w:p>
    <w:p w:rsidR="00000000" w:rsidDel="00000000" w:rsidP="00000000" w:rsidRDefault="00000000" w:rsidRPr="00000000" w14:paraId="000000AB">
      <w:pPr>
        <w:spacing w:after="0" w:before="0" w:lineRule="auto"/>
        <w:jc w:val="center"/>
        <w:rPr>
          <w:sz w:val="16"/>
          <w:szCs w:val="16"/>
        </w:rPr>
      </w:pPr>
      <w:r w:rsidDel="00000000" w:rsidR="00000000" w:rsidRPr="00000000">
        <w:rPr>
          <w:sz w:val="20"/>
          <w:szCs w:val="20"/>
          <w:rtl w:val="0"/>
        </w:rPr>
        <w:t xml:space="preserve">C</w:t>
      </w:r>
      <w:r w:rsidDel="00000000" w:rsidR="00000000" w:rsidRPr="00000000">
        <w:rPr>
          <w:sz w:val="16"/>
          <w:szCs w:val="16"/>
          <w:rtl w:val="0"/>
        </w:rPr>
        <w:t xml:space="preserve">ONCLUSIONS</w:t>
      </w:r>
    </w:p>
    <w:p w:rsidR="00000000" w:rsidDel="00000000" w:rsidP="00000000" w:rsidRDefault="00000000" w:rsidRPr="00000000" w14:paraId="000000AC">
      <w:pPr>
        <w:spacing w:after="0" w:before="0" w:lineRule="auto"/>
        <w:jc w:val="both"/>
        <w:rPr>
          <w:sz w:val="20"/>
          <w:szCs w:val="20"/>
        </w:rPr>
      </w:pPr>
      <w:r w:rsidDel="00000000" w:rsidR="00000000" w:rsidRPr="00000000">
        <w:rPr>
          <w:sz w:val="20"/>
          <w:szCs w:val="20"/>
          <w:rtl w:val="0"/>
        </w:rPr>
        <w:t xml:space="preserve">This research successfully designed and developed a prototype wireless electric vehicle charging system using resonant inductive coupling. The system demonstrated that electrical energy can be efficiently transferred between two coils without direct physical connection.</w:t>
      </w:r>
    </w:p>
    <w:p w:rsidR="00000000" w:rsidDel="00000000" w:rsidP="00000000" w:rsidRDefault="00000000" w:rsidRPr="00000000" w14:paraId="000000AD">
      <w:pPr>
        <w:spacing w:after="0" w:before="0" w:lineRule="auto"/>
        <w:jc w:val="both"/>
        <w:rPr>
          <w:sz w:val="20"/>
          <w:szCs w:val="20"/>
        </w:rPr>
      </w:pPr>
      <w:r w:rsidDel="00000000" w:rsidR="00000000" w:rsidRPr="00000000">
        <w:rPr>
          <w:sz w:val="20"/>
          <w:szCs w:val="20"/>
          <w:rtl w:val="0"/>
        </w:rPr>
        <w:t xml:space="preserve">Experimental results confirmed that efficient power transfer can be achieved when the transmitting and receiving circuits are tuned to the same resonant frequency. The system maintained reliable performance across coil separations between 5 cm and 10 cm, showing its potential for practical EV charging applications.</w:t>
      </w:r>
    </w:p>
    <w:p w:rsidR="00000000" w:rsidDel="00000000" w:rsidP="00000000" w:rsidRDefault="00000000" w:rsidRPr="00000000" w14:paraId="000000AE">
      <w:pPr>
        <w:spacing w:after="0" w:before="0" w:lineRule="auto"/>
        <w:jc w:val="both"/>
        <w:rPr>
          <w:sz w:val="20"/>
          <w:szCs w:val="20"/>
        </w:rPr>
      </w:pPr>
      <w:r w:rsidDel="00000000" w:rsidR="00000000" w:rsidRPr="00000000">
        <w:rPr>
          <w:sz w:val="20"/>
          <w:szCs w:val="20"/>
          <w:rtl w:val="0"/>
        </w:rPr>
        <w:t xml:space="preserve">The study also revealed that while coil alignment affects system efficiency, the design remains functional even with minor positioning variations. This characteristic is essential for real-world vehicle charging, where perfect alignment may not always be possible.</w:t>
      </w:r>
    </w:p>
    <w:p w:rsidR="00000000" w:rsidDel="00000000" w:rsidP="00000000" w:rsidRDefault="00000000" w:rsidRPr="00000000" w14:paraId="000000AF">
      <w:pPr>
        <w:spacing w:after="0" w:before="0" w:lineRule="auto"/>
        <w:jc w:val="both"/>
        <w:rPr>
          <w:sz w:val="20"/>
          <w:szCs w:val="20"/>
        </w:rPr>
      </w:pPr>
      <w:r w:rsidDel="00000000" w:rsidR="00000000" w:rsidRPr="00000000">
        <w:rPr>
          <w:sz w:val="20"/>
          <w:szCs w:val="20"/>
          <w:rtl w:val="0"/>
        </w:rPr>
        <w:t xml:space="preserve">Overall, the findings highlight the potential of resonant inductive coupling as a convenient, safe, and sustainable alternative to traditional plug-in charging methods. As electric vehicles continue to grow in popularity worldwide, wireless charging technology could play a vital role in supporting future smart mobility systems.</w:t>
      </w:r>
    </w:p>
    <w:p w:rsidR="00000000" w:rsidDel="00000000" w:rsidP="00000000" w:rsidRDefault="00000000" w:rsidRPr="00000000" w14:paraId="000000B0">
      <w:pPr>
        <w:spacing w:after="0" w:before="0" w:lineRule="auto"/>
        <w:jc w:val="both"/>
        <w:rPr>
          <w:sz w:val="20"/>
          <w:szCs w:val="20"/>
        </w:rPr>
      </w:pPr>
      <w:r w:rsidDel="00000000" w:rsidR="00000000" w:rsidRPr="00000000">
        <w:rPr>
          <w:sz w:val="20"/>
          <w:szCs w:val="20"/>
          <w:rtl w:val="0"/>
        </w:rPr>
        <w:t xml:space="preserve">Future work may focus on improving system efficiency, increasing charging power levels, and integrating wireless charging infrastructure with smart grid technologies. Further research may also explore dynamic wireless charging systems embedded in roadways, allowing vehicles to charge while in motion.</w:t>
      </w:r>
    </w:p>
    <w:p w:rsidR="00000000" w:rsidDel="00000000" w:rsidP="00000000" w:rsidRDefault="00000000" w:rsidRPr="00000000" w14:paraId="000000B1">
      <w:pPr>
        <w:spacing w:before="178" w:lineRule="auto"/>
        <w:ind w:right="881"/>
        <w:jc w:val="center"/>
        <w:rPr>
          <w:sz w:val="16"/>
          <w:szCs w:val="16"/>
        </w:rPr>
      </w:pPr>
      <w:r w:rsidDel="00000000" w:rsidR="00000000" w:rsidRPr="00000000">
        <w:rPr>
          <w:sz w:val="20"/>
          <w:szCs w:val="20"/>
          <w:rtl w:val="0"/>
        </w:rPr>
        <w:t xml:space="preserve">R</w:t>
      </w:r>
      <w:r w:rsidDel="00000000" w:rsidR="00000000" w:rsidRPr="00000000">
        <w:rPr>
          <w:sz w:val="16"/>
          <w:szCs w:val="16"/>
          <w:rtl w:val="0"/>
        </w:rPr>
        <w:t xml:space="preserve">EFERENCES</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World Energy Council, “Electric Vehicles in the Energy System,” London, UK, 2019.</w:t>
      </w:r>
      <w:r w:rsidDel="00000000" w:rsidR="00000000" w:rsidRPr="00000000">
        <w:rPr>
          <w:rtl w:val="0"/>
        </w:rPr>
      </w:r>
    </w:p>
    <w:p w:rsidR="00000000" w:rsidDel="00000000" w:rsidP="00000000" w:rsidRDefault="00000000" w:rsidRPr="00000000" w14:paraId="000000B3">
      <w:pPr>
        <w:spacing w:after="0" w:before="0" w:lineRule="auto"/>
        <w:jc w:val="both"/>
        <w:rPr>
          <w:sz w:val="20"/>
          <w:szCs w:val="20"/>
        </w:rPr>
      </w:pPr>
      <w:r w:rsidDel="00000000" w:rsidR="00000000" w:rsidRPr="00000000">
        <w:rPr>
          <w:sz w:val="20"/>
          <w:szCs w:val="20"/>
          <w:rtl w:val="0"/>
        </w:rPr>
        <w:t xml:space="preserve">[2] Kurs, A., Karalis, A., Moffatt, R., Joannopoulos, J., Fisher, P., &amp; Soljačić, M., “Wireless Power Transfer via Strongly Coupled Magnetic Resonances,” </w:t>
      </w:r>
      <w:r w:rsidDel="00000000" w:rsidR="00000000" w:rsidRPr="00000000">
        <w:rPr>
          <w:i w:val="1"/>
          <w:iCs w:val="1"/>
          <w:sz w:val="20"/>
          <w:szCs w:val="20"/>
          <w:rtl w:val="0"/>
        </w:rPr>
        <w:t xml:space="preserve">Science</w:t>
      </w:r>
      <w:r w:rsidDel="00000000" w:rsidR="00000000" w:rsidRPr="00000000">
        <w:rPr>
          <w:sz w:val="20"/>
          <w:szCs w:val="20"/>
          <w:rtl w:val="0"/>
        </w:rPr>
        <w:t xml:space="preserve">, vol. 317, no. 5834, pp. 83–86, 2007.</w:t>
      </w:r>
    </w:p>
    <w:p w:rsidR="00000000" w:rsidDel="00000000" w:rsidP="00000000" w:rsidRDefault="00000000" w:rsidRPr="00000000" w14:paraId="000000B4">
      <w:pPr>
        <w:spacing w:after="0" w:before="0" w:lineRule="auto"/>
        <w:jc w:val="both"/>
        <w:rPr>
          <w:sz w:val="20"/>
          <w:szCs w:val="20"/>
        </w:rPr>
      </w:pPr>
      <w:r w:rsidDel="00000000" w:rsidR="00000000" w:rsidRPr="00000000">
        <w:rPr>
          <w:sz w:val="20"/>
          <w:szCs w:val="20"/>
          <w:rtl w:val="0"/>
        </w:rPr>
        <w:t xml:space="preserve">[3] Sample, A., Meyer, D., &amp; Smith, J., “Analysis, Experimental Results, and Range Adaptation of Magnetically Coupled Resonators for Wireless Power Transfer,” </w:t>
      </w:r>
      <w:r w:rsidDel="00000000" w:rsidR="00000000" w:rsidRPr="00000000">
        <w:rPr>
          <w:i w:val="1"/>
          <w:iCs w:val="1"/>
          <w:sz w:val="20"/>
          <w:szCs w:val="20"/>
          <w:rtl w:val="0"/>
        </w:rPr>
        <w:t xml:space="preserve">IEEE Transactions on Industrial Electronics</w:t>
      </w:r>
      <w:r w:rsidDel="00000000" w:rsidR="00000000" w:rsidRPr="00000000">
        <w:rPr>
          <w:sz w:val="20"/>
          <w:szCs w:val="20"/>
          <w:rtl w:val="0"/>
        </w:rPr>
        <w:t xml:space="preserve">, vol. 58, no. 2, pp. 544–554, 2011.</w:t>
      </w:r>
    </w:p>
    <w:p w:rsidR="00000000" w:rsidDel="00000000" w:rsidP="00000000" w:rsidRDefault="00000000" w:rsidRPr="00000000" w14:paraId="000000B5">
      <w:pPr>
        <w:spacing w:after="0" w:before="0" w:lineRule="auto"/>
        <w:jc w:val="both"/>
        <w:rPr>
          <w:sz w:val="20"/>
          <w:szCs w:val="20"/>
        </w:rPr>
      </w:pPr>
      <w:r w:rsidDel="00000000" w:rsidR="00000000" w:rsidRPr="00000000">
        <w:rPr>
          <w:sz w:val="20"/>
          <w:szCs w:val="20"/>
          <w:rtl w:val="0"/>
        </w:rPr>
        <w:t xml:space="preserve">[4] Hui, S. Y. R., Zhong, W., &amp; Lee, C. K., “A Critical Review of Recent Progress in Mid-Range Wireless Power Transfer,”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29, no. 9, pp. 4500–4511, 2014.</w:t>
      </w:r>
    </w:p>
    <w:p w:rsidR="00000000" w:rsidDel="00000000" w:rsidP="00000000" w:rsidRDefault="00000000" w:rsidRPr="00000000" w14:paraId="000000B6">
      <w:pPr>
        <w:spacing w:after="0" w:before="0" w:lineRule="auto"/>
        <w:jc w:val="both"/>
        <w:rPr>
          <w:sz w:val="20"/>
          <w:szCs w:val="20"/>
        </w:rPr>
      </w:pPr>
      <w:r w:rsidDel="00000000" w:rsidR="00000000" w:rsidRPr="00000000">
        <w:rPr>
          <w:sz w:val="20"/>
          <w:szCs w:val="20"/>
          <w:rtl w:val="0"/>
        </w:rPr>
        <w:t xml:space="preserve">[5] Budhia, M., Covic, G., &amp; Boys, J., “Design and Optimization of Circular Magnetic Structures for Lumped Inductive Power Transfer Systems,”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26, no. 11, pp. 3096–3108, 2018.</w:t>
      </w:r>
    </w:p>
    <w:p w:rsidR="00000000" w:rsidDel="00000000" w:rsidP="00000000" w:rsidRDefault="00000000" w:rsidRPr="00000000" w14:paraId="000000B7">
      <w:pPr>
        <w:spacing w:after="0" w:before="0" w:lineRule="auto"/>
        <w:jc w:val="both"/>
        <w:rPr>
          <w:sz w:val="20"/>
          <w:szCs w:val="20"/>
        </w:rPr>
      </w:pPr>
      <w:r w:rsidDel="00000000" w:rsidR="00000000" w:rsidRPr="00000000">
        <w:rPr>
          <w:sz w:val="20"/>
          <w:szCs w:val="20"/>
          <w:rtl w:val="0"/>
        </w:rPr>
        <w:t xml:space="preserve">[6] Zhang, W., &amp; Mi, C., “Compensation Topologies of High-Power Wireless Power Transfer Systems,” </w:t>
      </w:r>
      <w:r w:rsidDel="00000000" w:rsidR="00000000" w:rsidRPr="00000000">
        <w:rPr>
          <w:i w:val="1"/>
          <w:iCs w:val="1"/>
          <w:sz w:val="20"/>
          <w:szCs w:val="20"/>
          <w:rtl w:val="0"/>
        </w:rPr>
        <w:t xml:space="preserve">IEEE Transactions on Vehicular Technology</w:t>
      </w:r>
      <w:r w:rsidDel="00000000" w:rsidR="00000000" w:rsidRPr="00000000">
        <w:rPr>
          <w:sz w:val="20"/>
          <w:szCs w:val="20"/>
          <w:rtl w:val="0"/>
        </w:rPr>
        <w:t xml:space="preserve">, vol. 65, no. 6, pp. 4768–4778, 2016.</w:t>
      </w:r>
    </w:p>
    <w:p w:rsidR="00000000" w:rsidDel="00000000" w:rsidP="00000000" w:rsidRDefault="00000000" w:rsidRPr="00000000" w14:paraId="000000B8">
      <w:pPr>
        <w:spacing w:after="0" w:before="0" w:lineRule="auto"/>
        <w:jc w:val="both"/>
        <w:rPr>
          <w:sz w:val="20"/>
          <w:szCs w:val="20"/>
        </w:rPr>
      </w:pPr>
      <w:r w:rsidDel="00000000" w:rsidR="00000000" w:rsidRPr="00000000">
        <w:rPr>
          <w:sz w:val="20"/>
          <w:szCs w:val="20"/>
          <w:rtl w:val="0"/>
        </w:rPr>
        <w:t xml:space="preserve">[7] Li, S., Mi, C., &amp; Chen, W., “Wireless Power Transfer for Electric Vehicle Applications,” </w:t>
      </w:r>
      <w:r w:rsidDel="00000000" w:rsidR="00000000" w:rsidRPr="00000000">
        <w:rPr>
          <w:i w:val="1"/>
          <w:iCs w:val="1"/>
          <w:sz w:val="20"/>
          <w:szCs w:val="20"/>
          <w:rtl w:val="0"/>
        </w:rPr>
        <w:t xml:space="preserve">IEEE Journal of Emerging and Selected Topics in Power Electronics</w:t>
      </w:r>
      <w:r w:rsidDel="00000000" w:rsidR="00000000" w:rsidRPr="00000000">
        <w:rPr>
          <w:sz w:val="20"/>
          <w:szCs w:val="20"/>
          <w:rtl w:val="0"/>
        </w:rPr>
        <w:t xml:space="preserve">, vol. 7, no. 3, pp. 1661–1674, 2019.</w:t>
      </w:r>
    </w:p>
    <w:p w:rsidR="00000000" w:rsidDel="00000000" w:rsidP="00000000" w:rsidRDefault="00000000" w:rsidRPr="00000000" w14:paraId="000000B9">
      <w:pPr>
        <w:spacing w:after="0" w:before="0" w:lineRule="auto"/>
        <w:jc w:val="both"/>
        <w:rPr>
          <w:sz w:val="20"/>
          <w:szCs w:val="20"/>
        </w:rPr>
      </w:pPr>
      <w:r w:rsidDel="00000000" w:rsidR="00000000" w:rsidRPr="00000000">
        <w:rPr>
          <w:sz w:val="20"/>
          <w:szCs w:val="20"/>
          <w:rtl w:val="0"/>
        </w:rPr>
        <w:t xml:space="preserve">[8] Yilmaz, M., &amp; Krein, P., “Review of the Impact of Vehicle-to-Grid Technologies on Distribution Systems,” </w:t>
      </w:r>
      <w:r w:rsidDel="00000000" w:rsidR="00000000" w:rsidRPr="00000000">
        <w:rPr>
          <w:i w:val="1"/>
          <w:iCs w:val="1"/>
          <w:sz w:val="20"/>
          <w:szCs w:val="20"/>
          <w:rtl w:val="0"/>
        </w:rPr>
        <w:t xml:space="preserve">IEEE Transactions on Power Electronics</w:t>
      </w:r>
      <w:r w:rsidDel="00000000" w:rsidR="00000000" w:rsidRPr="00000000">
        <w:rPr>
          <w:sz w:val="20"/>
          <w:szCs w:val="20"/>
          <w:rtl w:val="0"/>
        </w:rPr>
        <w:t xml:space="preserve">, vol. 28, no. 12, pp. 5673–5689, 2020.</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432"/>
        <w:jc w:val="both"/>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tl w:val="0"/>
        </w:rPr>
      </w:r>
    </w:p>
    <w:sectPr>
      <w:type w:val="continuous"/>
      <w:pgSz w:h="16840" w:w="11910" w:orient="portrait"/>
      <w:pgMar w:bottom="280" w:top="1200" w:left="800" w:right="660" w:header="720" w:footer="720"/>
      <w:cols w:equalWidth="0" w:num="2">
        <w:col w:space="89" w:w="5180.5"/>
        <w:col w:space="0" w:w="518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Letter"/>
      <w:lvlText w:val="%1."/>
      <w:lvlJc w:val="left"/>
      <w:pPr>
        <w:ind w:left="390" w:hanging="360"/>
      </w:pPr>
      <w:rPr/>
    </w:lvl>
    <w:lvl w:ilvl="1">
      <w:start w:val="1"/>
      <w:numFmt w:val="lowerLetter"/>
      <w:lvlText w:val="%2."/>
      <w:lvlJc w:val="left"/>
      <w:pPr>
        <w:ind w:left="1110" w:hanging="360"/>
      </w:pPr>
      <w:rPr/>
    </w:lvl>
    <w:lvl w:ilvl="2">
      <w:start w:val="1"/>
      <w:numFmt w:val="lowerRoman"/>
      <w:lvlText w:val="%3."/>
      <w:lvlJc w:val="right"/>
      <w:pPr>
        <w:ind w:left="1830" w:hanging="180"/>
      </w:pPr>
      <w:rPr/>
    </w:lvl>
    <w:lvl w:ilvl="3">
      <w:start w:val="1"/>
      <w:numFmt w:val="decimal"/>
      <w:lvlText w:val="%4."/>
      <w:lvlJc w:val="left"/>
      <w:pPr>
        <w:ind w:left="2550" w:hanging="360"/>
      </w:pPr>
      <w:rPr/>
    </w:lvl>
    <w:lvl w:ilvl="4">
      <w:start w:val="1"/>
      <w:numFmt w:val="lowerLetter"/>
      <w:lvlText w:val="%5."/>
      <w:lvlJc w:val="left"/>
      <w:pPr>
        <w:ind w:left="3270" w:hanging="360"/>
      </w:pPr>
      <w:rPr/>
    </w:lvl>
    <w:lvl w:ilvl="5">
      <w:start w:val="1"/>
      <w:numFmt w:val="lowerRoman"/>
      <w:lvlText w:val="%6."/>
      <w:lvlJc w:val="right"/>
      <w:pPr>
        <w:ind w:left="3990" w:hanging="180"/>
      </w:pPr>
      <w:rPr/>
    </w:lvl>
    <w:lvl w:ilvl="6">
      <w:start w:val="1"/>
      <w:numFmt w:val="decimal"/>
      <w:lvlText w:val="%7."/>
      <w:lvlJc w:val="left"/>
      <w:pPr>
        <w:ind w:left="4710" w:hanging="360"/>
      </w:pPr>
      <w:rPr/>
    </w:lvl>
    <w:lvl w:ilvl="7">
      <w:start w:val="1"/>
      <w:numFmt w:val="lowerLetter"/>
      <w:lvlText w:val="%8."/>
      <w:lvlJc w:val="left"/>
      <w:pPr>
        <w:ind w:left="5430" w:hanging="360"/>
      </w:pPr>
      <w:rPr/>
    </w:lvl>
    <w:lvl w:ilvl="8">
      <w:start w:val="1"/>
      <w:numFmt w:val="lowerRoman"/>
      <w:lvlText w:val="%9."/>
      <w:lvlJc w:val="right"/>
      <w:pPr>
        <w:ind w:left="6150" w:hanging="180"/>
      </w:pPr>
      <w:rPr/>
    </w:lvl>
  </w:abstractNum>
  <w:abstractNum w:abstractNumId="5">
    <w:lvl w:ilvl="0">
      <w:start w:val="2"/>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left"/>
      <w:pPr>
        <w:ind w:left="1080" w:hanging="72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libri" w:cs="Calibri" w:eastAsia="Calibri" w:hAnsi="Calibri"/>
      <w:b w:val="1"/>
      <w:bCs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widowControl w:val="1"/>
      <w:spacing w:after="60" w:before="240" w:lineRule="auto"/>
      <w:ind w:left="360" w:hanging="360"/>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rFonts w:ascii="Calibri" w:cs="Calibri" w:eastAsia="Calibri" w:hAnsi="Calibri"/>
      <w:b w:val="1"/>
      <w:bCs w:val="1"/>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57" w:lineRule="auto"/>
      <w:ind w:left="1101" w:right="1244"/>
      <w:jc w:val="center"/>
    </w:pPr>
    <w:rPr>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2014-08-04T00:00:00Z</vt:lpwstr>
  </property>
  <property fmtid="{D5CDD505-2E9C-101B-9397-08002B2CF9AE}" pid="3" name="Creator">
    <vt:lpwstr>Microsoft® Office Word 2007</vt:lpwstr>
  </property>
  <property fmtid="{D5CDD505-2E9C-101B-9397-08002B2CF9AE}" pid="4" name="LastSaved">
    <vt:lpwstr>2023-10-16T00:00:00Z</vt:lpwstr>
  </property>
</Properties>
</file>