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80CF" w14:textId="77777777" w:rsidR="00F43B96" w:rsidRDefault="00000000">
      <w:pPr>
        <w:spacing w:after="60"/>
        <w:jc w:val="center"/>
        <w:rPr>
          <w:b/>
          <w:bCs/>
          <w:color w:val="1B2A4A"/>
          <w:sz w:val="32"/>
          <w:szCs w:val="32"/>
        </w:rPr>
      </w:pPr>
      <w:r>
        <w:rPr>
          <w:b/>
          <w:bCs/>
          <w:color w:val="1B2A4A"/>
          <w:sz w:val="32"/>
          <w:szCs w:val="32"/>
        </w:rPr>
        <w:t>Extending the UTAUT Model for Artificial Intelligence Adoption: A Systematic Review of the Role of Perceived Intelligence and Trust</w:t>
      </w:r>
    </w:p>
    <w:p w14:paraId="5305A8E7" w14:textId="77777777" w:rsidR="00D40C00" w:rsidRDefault="00D40C00">
      <w:pPr>
        <w:spacing w:after="60"/>
        <w:jc w:val="center"/>
      </w:pPr>
    </w:p>
    <w:p w14:paraId="0A8C1A48" w14:textId="77777777" w:rsidR="00D40C00" w:rsidRDefault="00D40C00" w:rsidP="00D40C00">
      <w:pPr>
        <w:spacing w:after="40"/>
        <w:jc w:val="center"/>
        <w:rPr>
          <w:sz w:val="24"/>
        </w:rPr>
      </w:pPr>
      <w:r w:rsidRPr="00CD6724">
        <w:rPr>
          <w:b/>
          <w:bCs/>
          <w:sz w:val="24"/>
        </w:rPr>
        <w:t>Muhammad Shafeeq Mohd Sapian</w:t>
      </w:r>
      <w:r w:rsidRPr="00CD6724">
        <w:rPr>
          <w:b/>
          <w:bCs/>
          <w:sz w:val="24"/>
          <w:vertAlign w:val="superscript"/>
        </w:rPr>
        <w:t>1*</w:t>
      </w:r>
      <w:r w:rsidRPr="00CD6724">
        <w:rPr>
          <w:sz w:val="24"/>
        </w:rPr>
        <w:t xml:space="preserve">, </w:t>
      </w:r>
      <w:proofErr w:type="spellStart"/>
      <w:r w:rsidRPr="00CD6724">
        <w:rPr>
          <w:sz w:val="24"/>
        </w:rPr>
        <w:t>Haslinda</w:t>
      </w:r>
      <w:proofErr w:type="spellEnd"/>
      <w:r w:rsidRPr="00CD6724">
        <w:rPr>
          <w:sz w:val="24"/>
        </w:rPr>
        <w:t xml:space="preserve"> Musa</w:t>
      </w:r>
      <w:r w:rsidRPr="00CD6724">
        <w:rPr>
          <w:sz w:val="24"/>
          <w:vertAlign w:val="superscript"/>
        </w:rPr>
        <w:t>1</w:t>
      </w:r>
      <w:r w:rsidRPr="00CD6724">
        <w:rPr>
          <w:sz w:val="24"/>
        </w:rPr>
        <w:t xml:space="preserve">, </w:t>
      </w:r>
      <w:proofErr w:type="spellStart"/>
      <w:r w:rsidRPr="00CD6724">
        <w:rPr>
          <w:sz w:val="24"/>
        </w:rPr>
        <w:t>Nurulizwa</w:t>
      </w:r>
      <w:proofErr w:type="spellEnd"/>
      <w:r w:rsidRPr="00CD6724">
        <w:rPr>
          <w:sz w:val="24"/>
        </w:rPr>
        <w:t xml:space="preserve"> Rashid</w:t>
      </w:r>
      <w:r w:rsidRPr="00CD6724">
        <w:rPr>
          <w:sz w:val="24"/>
          <w:vertAlign w:val="superscript"/>
        </w:rPr>
        <w:t>1</w:t>
      </w:r>
      <w:r w:rsidRPr="00CD6724">
        <w:rPr>
          <w:sz w:val="24"/>
        </w:rPr>
        <w:t xml:space="preserve">, </w:t>
      </w:r>
    </w:p>
    <w:p w14:paraId="3BD8E778" w14:textId="77777777" w:rsidR="00D40C00" w:rsidRPr="00CD6724" w:rsidRDefault="00D40C00" w:rsidP="00D40C00">
      <w:pPr>
        <w:spacing w:after="40"/>
        <w:jc w:val="center"/>
        <w:rPr>
          <w:sz w:val="24"/>
        </w:rPr>
      </w:pPr>
      <w:r w:rsidRPr="00CD6724">
        <w:rPr>
          <w:sz w:val="24"/>
        </w:rPr>
        <w:t>Muhammad Shafiq Ibrahim</w:t>
      </w:r>
      <w:r>
        <w:rPr>
          <w:sz w:val="24"/>
          <w:vertAlign w:val="superscript"/>
        </w:rPr>
        <w:t>2</w:t>
      </w:r>
      <w:r w:rsidRPr="00CD6724">
        <w:rPr>
          <w:sz w:val="24"/>
        </w:rPr>
        <w:t>, Siti Maryam Kamarudin</w:t>
      </w:r>
      <w:r>
        <w:rPr>
          <w:sz w:val="24"/>
          <w:vertAlign w:val="superscript"/>
        </w:rPr>
        <w:t>3</w:t>
      </w:r>
    </w:p>
    <w:p w14:paraId="0B34B09E" w14:textId="77777777" w:rsidR="00D40C00" w:rsidRPr="00CD6724" w:rsidRDefault="00D40C00" w:rsidP="00D40C00">
      <w:pPr>
        <w:jc w:val="center"/>
        <w:rPr>
          <w:i/>
        </w:rPr>
      </w:pPr>
      <w:r w:rsidRPr="00CD6724">
        <w:rPr>
          <w:i/>
          <w:vertAlign w:val="superscript"/>
        </w:rPr>
        <w:t>1</w:t>
      </w:r>
      <w:r w:rsidRPr="00CD6724">
        <w:rPr>
          <w:i/>
        </w:rPr>
        <w:t xml:space="preserve">Universiti </w:t>
      </w:r>
      <w:proofErr w:type="spellStart"/>
      <w:r w:rsidRPr="00CD6724">
        <w:rPr>
          <w:i/>
        </w:rPr>
        <w:t>Teknikal</w:t>
      </w:r>
      <w:proofErr w:type="spellEnd"/>
      <w:r w:rsidRPr="00CD6724">
        <w:rPr>
          <w:i/>
        </w:rPr>
        <w:t xml:space="preserve"> Malaysia Melaka, Hang Tuah Jaya, 76100 Melaka, Malaysia</w:t>
      </w:r>
    </w:p>
    <w:p w14:paraId="7F685345" w14:textId="77777777" w:rsidR="00D40C00" w:rsidRDefault="00D40C00" w:rsidP="00D40C00">
      <w:pPr>
        <w:jc w:val="center"/>
        <w:rPr>
          <w:i/>
        </w:rPr>
      </w:pPr>
      <w:r>
        <w:rPr>
          <w:i/>
          <w:vertAlign w:val="superscript"/>
        </w:rPr>
        <w:t>2</w:t>
      </w:r>
      <w:r w:rsidRPr="00CD6724">
        <w:rPr>
          <w:i/>
        </w:rPr>
        <w:t xml:space="preserve">Department of Materials, Manufacturing and Industrial Engineering, </w:t>
      </w:r>
    </w:p>
    <w:p w14:paraId="604F6EE8" w14:textId="77777777" w:rsidR="00D40C00" w:rsidRDefault="00D40C00" w:rsidP="00D40C00">
      <w:pPr>
        <w:jc w:val="center"/>
        <w:rPr>
          <w:i/>
        </w:rPr>
      </w:pPr>
      <w:r w:rsidRPr="00CD6724">
        <w:rPr>
          <w:i/>
        </w:rPr>
        <w:t xml:space="preserve">School of Mechanical Engineering, Faculty of Engineering, </w:t>
      </w:r>
    </w:p>
    <w:p w14:paraId="625EA966" w14:textId="77777777" w:rsidR="00D40C00" w:rsidRPr="00CD6724" w:rsidRDefault="00D40C00" w:rsidP="00D40C00">
      <w:pPr>
        <w:jc w:val="center"/>
        <w:rPr>
          <w:i/>
        </w:rPr>
      </w:pPr>
      <w:r w:rsidRPr="00CD6724">
        <w:rPr>
          <w:i/>
        </w:rPr>
        <w:t xml:space="preserve">Universiti </w:t>
      </w:r>
      <w:proofErr w:type="spellStart"/>
      <w:r w:rsidRPr="00CD6724">
        <w:rPr>
          <w:i/>
        </w:rPr>
        <w:t>Teknologi</w:t>
      </w:r>
      <w:proofErr w:type="spellEnd"/>
      <w:r w:rsidRPr="00CD6724">
        <w:rPr>
          <w:i/>
        </w:rPr>
        <w:t xml:space="preserve"> Malaysia, Johor Bahru, Malaysia</w:t>
      </w:r>
    </w:p>
    <w:p w14:paraId="64959634" w14:textId="77777777" w:rsidR="00D40C00" w:rsidRDefault="00D40C00" w:rsidP="00D40C00">
      <w:pPr>
        <w:jc w:val="center"/>
        <w:rPr>
          <w:i/>
        </w:rPr>
      </w:pPr>
      <w:r>
        <w:rPr>
          <w:i/>
          <w:vertAlign w:val="superscript"/>
        </w:rPr>
        <w:t>3</w:t>
      </w:r>
      <w:r w:rsidRPr="00CD6724">
        <w:rPr>
          <w:i/>
        </w:rPr>
        <w:t xml:space="preserve">Railway Assets Corporation, 16 Jalan Tun </w:t>
      </w:r>
      <w:proofErr w:type="spellStart"/>
      <w:r w:rsidRPr="00CD6724">
        <w:rPr>
          <w:i/>
        </w:rPr>
        <w:t>Sambanthan</w:t>
      </w:r>
      <w:proofErr w:type="spellEnd"/>
      <w:r w:rsidRPr="00CD6724">
        <w:rPr>
          <w:i/>
        </w:rPr>
        <w:t xml:space="preserve">, </w:t>
      </w:r>
    </w:p>
    <w:p w14:paraId="59B03529" w14:textId="77777777" w:rsidR="00D40C00" w:rsidRPr="00CD6724" w:rsidRDefault="00D40C00" w:rsidP="00D40C00">
      <w:pPr>
        <w:jc w:val="center"/>
        <w:rPr>
          <w:i/>
        </w:rPr>
      </w:pPr>
      <w:r w:rsidRPr="00CD6724">
        <w:rPr>
          <w:i/>
        </w:rPr>
        <w:t>50470 Brickfields, Kuala Lumpur, Malaysia</w:t>
      </w:r>
    </w:p>
    <w:p w14:paraId="57F451CA" w14:textId="77777777" w:rsidR="00D40C00" w:rsidRDefault="00D40C00" w:rsidP="00D40C00">
      <w:pPr>
        <w:spacing w:after="240"/>
        <w:jc w:val="center"/>
        <w:rPr>
          <w:i/>
        </w:rPr>
      </w:pPr>
      <w:r>
        <w:rPr>
          <w:i/>
        </w:rPr>
        <w:t>*</w:t>
      </w:r>
      <w:r w:rsidRPr="00CD6724">
        <w:rPr>
          <w:i/>
        </w:rPr>
        <w:t xml:space="preserve"> Email: </w:t>
      </w:r>
      <w:r w:rsidRPr="00CD6724">
        <w:rPr>
          <w:b/>
          <w:bCs/>
          <w:i/>
        </w:rPr>
        <w:t>p062510002@student.utem.edu.my</w:t>
      </w:r>
    </w:p>
    <w:p w14:paraId="6B7EE0FC" w14:textId="77777777" w:rsidR="00F43B96" w:rsidRDefault="00000000">
      <w:pPr>
        <w:pStyle w:val="Heading1"/>
        <w:spacing w:before="320" w:after="160"/>
      </w:pPr>
      <w:r>
        <w:rPr>
          <w:b/>
          <w:bCs/>
          <w:color w:val="1B2A4A"/>
          <w:sz w:val="26"/>
          <w:szCs w:val="26"/>
        </w:rPr>
        <w:t>Abstract</w:t>
      </w:r>
    </w:p>
    <w:p w14:paraId="178786BF" w14:textId="77777777" w:rsidR="00F43B96" w:rsidRDefault="00000000">
      <w:pPr>
        <w:spacing w:after="160" w:line="300" w:lineRule="auto"/>
        <w:jc w:val="both"/>
      </w:pPr>
      <w:r>
        <w:rPr>
          <w:sz w:val="22"/>
          <w:szCs w:val="22"/>
        </w:rPr>
        <w:t xml:space="preserve">The Unified Theory of Acceptance and Use of Technology (UTAUT) </w:t>
      </w:r>
      <w:r w:rsidR="009C7FA5" w:rsidRPr="009C7FA5">
        <w:rPr>
          <w:sz w:val="22"/>
          <w:szCs w:val="22"/>
        </w:rPr>
        <w:t xml:space="preserve">is widely used to explain </w:t>
      </w:r>
      <w:r>
        <w:rPr>
          <w:sz w:val="22"/>
          <w:szCs w:val="22"/>
        </w:rPr>
        <w:t>technology adoption across domains</w:t>
      </w:r>
      <w:r w:rsidR="009C7FA5" w:rsidRPr="009C7FA5">
        <w:rPr>
          <w:sz w:val="22"/>
          <w:szCs w:val="22"/>
        </w:rPr>
        <w:t>, yet its suitability for</w:t>
      </w:r>
      <w:r>
        <w:rPr>
          <w:sz w:val="22"/>
          <w:szCs w:val="22"/>
        </w:rPr>
        <w:t xml:space="preserve"> complex, learning-oriented systems such as Artificial Intelligence (AI</w:t>
      </w:r>
      <w:r w:rsidR="009C7FA5" w:rsidRPr="009C7FA5">
        <w:rPr>
          <w:sz w:val="22"/>
          <w:szCs w:val="22"/>
        </w:rPr>
        <w:t>)</w:t>
      </w:r>
      <w:r>
        <w:rPr>
          <w:sz w:val="22"/>
          <w:szCs w:val="22"/>
        </w:rPr>
        <w:t xml:space="preserve"> remains contested. </w:t>
      </w:r>
      <w:r w:rsidR="009C7FA5" w:rsidRPr="009C7FA5">
        <w:rPr>
          <w:sz w:val="22"/>
          <w:szCs w:val="22"/>
        </w:rPr>
        <w:t>Guided by the PRISMA 2020 framework, this</w:t>
      </w:r>
      <w:r>
        <w:rPr>
          <w:sz w:val="22"/>
          <w:szCs w:val="22"/>
        </w:rPr>
        <w:t xml:space="preserve"> systematic literature review</w:t>
      </w:r>
      <w:r>
        <w:rPr>
          <w:sz w:val="22"/>
          <w:szCs w:val="22"/>
        </w:rPr>
        <w:t xml:space="preserve"> examined 71 empirical and review</w:t>
      </w:r>
      <w:r>
        <w:rPr>
          <w:sz w:val="22"/>
          <w:szCs w:val="22"/>
        </w:rPr>
        <w:t xml:space="preserve"> studies published between 2020 and 2025 that applied UTAUT or its extensions to AI adoption across </w:t>
      </w:r>
      <w:r>
        <w:rPr>
          <w:sz w:val="22"/>
          <w:szCs w:val="22"/>
        </w:rPr>
        <w:t xml:space="preserve">education, healthcare, finance and banking, public administration, and retail and services. The review identifies three recurring </w:t>
      </w:r>
      <w:r>
        <w:rPr>
          <w:sz w:val="22"/>
          <w:szCs w:val="22"/>
        </w:rPr>
        <w:t xml:space="preserve">limitations of the conventional UTAUT framework in AI contexts: </w:t>
      </w:r>
      <w:r>
        <w:rPr>
          <w:sz w:val="22"/>
          <w:szCs w:val="22"/>
        </w:rPr>
        <w:t xml:space="preserve">limited </w:t>
      </w:r>
      <w:r w:rsidR="009C7FA5" w:rsidRPr="009C7FA5">
        <w:rPr>
          <w:sz w:val="22"/>
          <w:szCs w:val="22"/>
        </w:rPr>
        <w:t xml:space="preserve">attention to </w:t>
      </w:r>
      <w:r>
        <w:rPr>
          <w:sz w:val="22"/>
          <w:szCs w:val="22"/>
        </w:rPr>
        <w:t>the opaque</w:t>
      </w:r>
      <w:r>
        <w:rPr>
          <w:sz w:val="22"/>
          <w:szCs w:val="22"/>
        </w:rPr>
        <w:t xml:space="preserve"> “black box” </w:t>
      </w:r>
      <w:r w:rsidR="009C7FA5" w:rsidRPr="009C7FA5">
        <w:rPr>
          <w:sz w:val="22"/>
          <w:szCs w:val="22"/>
        </w:rPr>
        <w:t>nature</w:t>
      </w:r>
      <w:r>
        <w:rPr>
          <w:sz w:val="22"/>
          <w:szCs w:val="22"/>
        </w:rPr>
        <w:t xml:space="preserve"> of AI decision-making</w:t>
      </w:r>
      <w:r w:rsidR="009C7FA5" w:rsidRPr="009C7FA5">
        <w:rPr>
          <w:sz w:val="22"/>
          <w:szCs w:val="22"/>
        </w:rPr>
        <w:t>, insufficient recognition</w:t>
      </w:r>
      <w:r>
        <w:rPr>
          <w:sz w:val="22"/>
          <w:szCs w:val="22"/>
        </w:rPr>
        <w:t xml:space="preserve"> of the relational</w:t>
      </w:r>
      <w:r w:rsidR="009C7FA5" w:rsidRPr="009C7FA5">
        <w:rPr>
          <w:sz w:val="22"/>
          <w:szCs w:val="22"/>
        </w:rPr>
        <w:t xml:space="preserve"> dynamics</w:t>
      </w:r>
      <w:r>
        <w:rPr>
          <w:sz w:val="22"/>
          <w:szCs w:val="22"/>
        </w:rPr>
        <w:t xml:space="preserve"> between users and intelligent systems</w:t>
      </w:r>
      <w:r w:rsidR="009C7FA5" w:rsidRPr="009C7FA5">
        <w:rPr>
          <w:sz w:val="22"/>
          <w:szCs w:val="22"/>
        </w:rPr>
        <w:t>,</w:t>
      </w:r>
      <w:r>
        <w:rPr>
          <w:sz w:val="22"/>
          <w:szCs w:val="22"/>
        </w:rPr>
        <w:t xml:space="preserve"> and </w:t>
      </w:r>
      <w:r w:rsidR="009C7FA5" w:rsidRPr="009C7FA5">
        <w:rPr>
          <w:sz w:val="22"/>
          <w:szCs w:val="22"/>
        </w:rPr>
        <w:t xml:space="preserve">inadequate treatment of </w:t>
      </w:r>
      <w:r>
        <w:rPr>
          <w:sz w:val="22"/>
          <w:szCs w:val="22"/>
        </w:rPr>
        <w:t xml:space="preserve">ethical </w:t>
      </w:r>
      <w:r w:rsidR="009C7FA5" w:rsidRPr="009C7FA5">
        <w:rPr>
          <w:sz w:val="22"/>
          <w:szCs w:val="22"/>
        </w:rPr>
        <w:t>concerns</w:t>
      </w:r>
      <w:r>
        <w:rPr>
          <w:sz w:val="22"/>
          <w:szCs w:val="22"/>
        </w:rPr>
        <w:t xml:space="preserve"> such as algorithmic bias and fairness. </w:t>
      </w:r>
      <w:r w:rsidR="009C7FA5" w:rsidRPr="009C7FA5">
        <w:rPr>
          <w:sz w:val="22"/>
          <w:szCs w:val="22"/>
        </w:rPr>
        <w:t>In response, this</w:t>
      </w:r>
      <w:r>
        <w:rPr>
          <w:sz w:val="22"/>
          <w:szCs w:val="22"/>
        </w:rPr>
        <w:t xml:space="preserve"> review proposes an integrated conceptual framework in which Perceived Intelligence </w:t>
      </w:r>
      <w:r w:rsidR="009C7FA5" w:rsidRPr="009C7FA5">
        <w:rPr>
          <w:sz w:val="22"/>
          <w:szCs w:val="22"/>
        </w:rPr>
        <w:t xml:space="preserve">captures users' assessment of an AI </w:t>
      </w:r>
      <w:r>
        <w:rPr>
          <w:sz w:val="22"/>
          <w:szCs w:val="22"/>
        </w:rPr>
        <w:t xml:space="preserve">system's </w:t>
      </w:r>
      <w:r>
        <w:rPr>
          <w:sz w:val="22"/>
          <w:szCs w:val="22"/>
        </w:rPr>
        <w:t>learning capability, adaptability, and predictive accuracy</w:t>
      </w:r>
      <w:r w:rsidR="009C7FA5" w:rsidRPr="009C7FA5">
        <w:rPr>
          <w:sz w:val="22"/>
          <w:szCs w:val="22"/>
        </w:rPr>
        <w:t>. Perceived Intelligence is positioned as a mediator</w:t>
      </w:r>
      <w:r>
        <w:rPr>
          <w:sz w:val="22"/>
          <w:szCs w:val="22"/>
        </w:rPr>
        <w:t xml:space="preserve"> between the core UTAUT constructs</w:t>
      </w:r>
      <w:r w:rsidR="009C7FA5" w:rsidRPr="009C7FA5">
        <w:rPr>
          <w:sz w:val="22"/>
          <w:szCs w:val="22"/>
        </w:rPr>
        <w:t xml:space="preserve">, particularly </w:t>
      </w:r>
      <w:r>
        <w:rPr>
          <w:sz w:val="22"/>
          <w:szCs w:val="22"/>
        </w:rPr>
        <w:t>Performance Expectancy and Effort Expectancy</w:t>
      </w:r>
      <w:r w:rsidR="009C7FA5" w:rsidRPr="009C7FA5">
        <w:rPr>
          <w:sz w:val="22"/>
          <w:szCs w:val="22"/>
        </w:rPr>
        <w:t>,</w:t>
      </w:r>
      <w:r>
        <w:rPr>
          <w:sz w:val="22"/>
          <w:szCs w:val="22"/>
        </w:rPr>
        <w:t xml:space="preserve"> and </w:t>
      </w:r>
      <w:r w:rsidR="009C7FA5" w:rsidRPr="009C7FA5">
        <w:rPr>
          <w:sz w:val="22"/>
          <w:szCs w:val="22"/>
        </w:rPr>
        <w:t>Behavioural</w:t>
      </w:r>
      <w:r>
        <w:rPr>
          <w:sz w:val="22"/>
          <w:szCs w:val="22"/>
        </w:rPr>
        <w:t xml:space="preserve"> Intention</w:t>
      </w:r>
      <w:r w:rsidR="009C7FA5" w:rsidRPr="009C7FA5">
        <w:rPr>
          <w:sz w:val="22"/>
          <w:szCs w:val="22"/>
        </w:rPr>
        <w:t>.</w:t>
      </w:r>
      <w:r>
        <w:rPr>
          <w:sz w:val="22"/>
          <w:szCs w:val="22"/>
        </w:rPr>
        <w:t xml:space="preserve"> Trust in AI is </w:t>
      </w:r>
      <w:r w:rsidR="009C7FA5" w:rsidRPr="009C7FA5">
        <w:rPr>
          <w:sz w:val="22"/>
          <w:szCs w:val="22"/>
        </w:rPr>
        <w:t xml:space="preserve">further </w:t>
      </w:r>
      <w:r>
        <w:rPr>
          <w:sz w:val="22"/>
          <w:szCs w:val="22"/>
        </w:rPr>
        <w:t xml:space="preserve">positioned as a critical antecedent of Perceived Intelligence. </w:t>
      </w:r>
      <w:r w:rsidR="009C7FA5" w:rsidRPr="009C7FA5">
        <w:rPr>
          <w:sz w:val="22"/>
          <w:szCs w:val="22"/>
        </w:rPr>
        <w:t>The</w:t>
      </w:r>
      <w:r>
        <w:rPr>
          <w:sz w:val="22"/>
          <w:szCs w:val="22"/>
        </w:rPr>
        <w:t xml:space="preserve"> review contributes a theoretically grounded extension of UTAUT for the AI era</w:t>
      </w:r>
      <w:r w:rsidR="009C7FA5" w:rsidRPr="009C7FA5">
        <w:rPr>
          <w:sz w:val="22"/>
          <w:szCs w:val="22"/>
        </w:rPr>
        <w:t xml:space="preserve"> and offers</w:t>
      </w:r>
      <w:r>
        <w:rPr>
          <w:sz w:val="22"/>
          <w:szCs w:val="22"/>
        </w:rPr>
        <w:t xml:space="preserve"> a testable model for future structural equation modelling studies</w:t>
      </w:r>
      <w:r w:rsidR="009C7FA5" w:rsidRPr="009C7FA5">
        <w:rPr>
          <w:sz w:val="22"/>
          <w:szCs w:val="22"/>
        </w:rPr>
        <w:t>. It also provides practical</w:t>
      </w:r>
      <w:r>
        <w:rPr>
          <w:sz w:val="22"/>
          <w:szCs w:val="22"/>
        </w:rPr>
        <w:t xml:space="preserve"> guidance </w:t>
      </w:r>
      <w:r w:rsidR="009C7FA5" w:rsidRPr="009C7FA5">
        <w:rPr>
          <w:sz w:val="22"/>
          <w:szCs w:val="22"/>
        </w:rPr>
        <w:t>for improving AI adoption by</w:t>
      </w:r>
      <w:r>
        <w:rPr>
          <w:sz w:val="22"/>
          <w:szCs w:val="22"/>
        </w:rPr>
        <w:t xml:space="preserve"> cultivating </w:t>
      </w:r>
      <w:r w:rsidR="009C7FA5" w:rsidRPr="009C7FA5">
        <w:rPr>
          <w:sz w:val="22"/>
          <w:szCs w:val="22"/>
        </w:rPr>
        <w:t xml:space="preserve">user </w:t>
      </w:r>
      <w:r>
        <w:rPr>
          <w:sz w:val="22"/>
          <w:szCs w:val="22"/>
        </w:rPr>
        <w:t xml:space="preserve">trust and demonstrating </w:t>
      </w:r>
      <w:r w:rsidR="009C7FA5" w:rsidRPr="009C7FA5">
        <w:rPr>
          <w:sz w:val="22"/>
          <w:szCs w:val="22"/>
        </w:rPr>
        <w:t>system</w:t>
      </w:r>
      <w:r>
        <w:rPr>
          <w:sz w:val="22"/>
          <w:szCs w:val="22"/>
        </w:rPr>
        <w:t xml:space="preserve"> competence</w:t>
      </w:r>
      <w:r>
        <w:rPr>
          <w:sz w:val="22"/>
          <w:szCs w:val="22"/>
        </w:rPr>
        <w:t>.</w:t>
      </w:r>
    </w:p>
    <w:p w14:paraId="375970C5" w14:textId="77777777" w:rsidR="00F43B96" w:rsidRDefault="00000000">
      <w:pPr>
        <w:spacing w:after="300" w:line="300" w:lineRule="auto"/>
        <w:jc w:val="both"/>
      </w:pPr>
      <w:r>
        <w:rPr>
          <w:b/>
          <w:bCs/>
          <w:sz w:val="22"/>
          <w:szCs w:val="22"/>
        </w:rPr>
        <w:t xml:space="preserve">Keywords: </w:t>
      </w:r>
      <w:r>
        <w:rPr>
          <w:sz w:val="22"/>
          <w:szCs w:val="22"/>
        </w:rPr>
        <w:t>Artificial Intelligence; AI Adoption; UTAUT; Perceived Intelligence; Trust in AI; Systematic Literature Review; PRISMA; Technology Acceptance.</w:t>
      </w:r>
    </w:p>
    <w:p w14:paraId="7D48164C" w14:textId="77777777" w:rsidR="00F43B96" w:rsidRDefault="00000000">
      <w:pPr>
        <w:pStyle w:val="Heading1"/>
        <w:spacing w:before="320" w:after="160"/>
      </w:pPr>
      <w:r>
        <w:rPr>
          <w:b/>
          <w:bCs/>
          <w:color w:val="1B2A4A"/>
          <w:sz w:val="26"/>
          <w:szCs w:val="26"/>
        </w:rPr>
        <w:t>1. Introduction</w:t>
      </w:r>
    </w:p>
    <w:p w14:paraId="4153381E" w14:textId="77777777" w:rsidR="00F43B96" w:rsidRDefault="00000000">
      <w:pPr>
        <w:spacing w:after="200" w:line="300" w:lineRule="auto"/>
        <w:jc w:val="both"/>
      </w:pPr>
      <w:r w:rsidRPr="00E47D23">
        <w:rPr>
          <w:sz w:val="22"/>
          <w:szCs w:val="22"/>
        </w:rPr>
        <w:t xml:space="preserve">The global landscape of industries and governance frameworks is being transformed by the widespread adoption of Artificial Intelligence (AI), which is </w:t>
      </w:r>
      <w:r w:rsidR="00295FFE" w:rsidRPr="00295FFE">
        <w:rPr>
          <w:sz w:val="22"/>
          <w:szCs w:val="22"/>
        </w:rPr>
        <w:t>reshaping how organisations</w:t>
      </w:r>
      <w:r w:rsidRPr="00E47D23">
        <w:rPr>
          <w:sz w:val="22"/>
          <w:szCs w:val="22"/>
        </w:rPr>
        <w:t xml:space="preserve"> operate and </w:t>
      </w:r>
      <w:r w:rsidR="00295FFE" w:rsidRPr="00295FFE">
        <w:rPr>
          <w:sz w:val="22"/>
          <w:szCs w:val="22"/>
        </w:rPr>
        <w:t>deliver</w:t>
      </w:r>
      <w:r w:rsidRPr="00E47D23">
        <w:rPr>
          <w:sz w:val="22"/>
          <w:szCs w:val="22"/>
        </w:rPr>
        <w:t xml:space="preserve"> services. </w:t>
      </w:r>
      <w:r w:rsidR="00295FFE" w:rsidRPr="00295FFE">
        <w:rPr>
          <w:sz w:val="22"/>
          <w:szCs w:val="22"/>
        </w:rPr>
        <w:t>National policies such as the</w:t>
      </w:r>
      <w:r w:rsidRPr="00E47D23">
        <w:rPr>
          <w:sz w:val="22"/>
          <w:szCs w:val="22"/>
        </w:rPr>
        <w:t xml:space="preserve"> European Union's AI Act and Malaysia's AI Roadmap </w:t>
      </w:r>
      <w:r w:rsidRPr="00E47D23">
        <w:rPr>
          <w:sz w:val="22"/>
          <w:szCs w:val="22"/>
        </w:rPr>
        <w:t xml:space="preserve">highlight the </w:t>
      </w:r>
      <w:r w:rsidR="00295FFE" w:rsidRPr="00295FFE">
        <w:rPr>
          <w:sz w:val="22"/>
          <w:szCs w:val="22"/>
        </w:rPr>
        <w:t>growing</w:t>
      </w:r>
      <w:r w:rsidRPr="00E47D23">
        <w:rPr>
          <w:sz w:val="22"/>
          <w:szCs w:val="22"/>
        </w:rPr>
        <w:t xml:space="preserve"> emphasis on integrating AI into </w:t>
      </w:r>
      <w:r w:rsidR="00295FFE" w:rsidRPr="00295FFE">
        <w:rPr>
          <w:sz w:val="22"/>
          <w:szCs w:val="22"/>
        </w:rPr>
        <w:t xml:space="preserve">both </w:t>
      </w:r>
      <w:r w:rsidRPr="00E47D23">
        <w:rPr>
          <w:sz w:val="22"/>
          <w:szCs w:val="22"/>
        </w:rPr>
        <w:t xml:space="preserve">public and private sectors to </w:t>
      </w:r>
      <w:r w:rsidR="00295FFE" w:rsidRPr="00295FFE">
        <w:rPr>
          <w:sz w:val="22"/>
          <w:szCs w:val="22"/>
        </w:rPr>
        <w:t>enhance</w:t>
      </w:r>
      <w:r w:rsidRPr="00E47D23">
        <w:rPr>
          <w:sz w:val="22"/>
          <w:szCs w:val="22"/>
        </w:rPr>
        <w:t xml:space="preserve"> efficiency</w:t>
      </w:r>
      <w:r w:rsidR="00295FFE" w:rsidRPr="00295FFE">
        <w:rPr>
          <w:sz w:val="22"/>
          <w:szCs w:val="22"/>
        </w:rPr>
        <w:t>, innovation,</w:t>
      </w:r>
      <w:r w:rsidRPr="00E47D23">
        <w:rPr>
          <w:sz w:val="22"/>
          <w:szCs w:val="22"/>
        </w:rPr>
        <w:t xml:space="preserve"> and </w:t>
      </w:r>
      <w:r w:rsidR="00295FFE" w:rsidRPr="00295FFE">
        <w:rPr>
          <w:sz w:val="22"/>
          <w:szCs w:val="22"/>
        </w:rPr>
        <w:t>service delivery.</w:t>
      </w:r>
      <w:r w:rsidRPr="00E47D23">
        <w:rPr>
          <w:sz w:val="22"/>
          <w:szCs w:val="22"/>
        </w:rPr>
        <w:t xml:space="preserve"> According to Dwivedi et al. (2021), AI is a general-purpose technology </w:t>
      </w:r>
      <w:r w:rsidR="00295FFE" w:rsidRPr="00295FFE">
        <w:rPr>
          <w:sz w:val="22"/>
          <w:szCs w:val="22"/>
        </w:rPr>
        <w:t>with the potential to transform</w:t>
      </w:r>
      <w:r w:rsidRPr="00E47D23">
        <w:rPr>
          <w:sz w:val="22"/>
          <w:szCs w:val="22"/>
        </w:rPr>
        <w:t xml:space="preserve"> public service delivery and competitive environments </w:t>
      </w:r>
      <w:r w:rsidR="00295FFE" w:rsidRPr="00295FFE">
        <w:rPr>
          <w:sz w:val="22"/>
          <w:szCs w:val="22"/>
        </w:rPr>
        <w:t>across</w:t>
      </w:r>
      <w:r w:rsidRPr="00E47D23">
        <w:rPr>
          <w:sz w:val="22"/>
          <w:szCs w:val="22"/>
        </w:rPr>
        <w:t xml:space="preserve"> almost every economic sector. </w:t>
      </w:r>
      <w:r w:rsidR="00295FFE" w:rsidRPr="00295FFE">
        <w:rPr>
          <w:sz w:val="22"/>
          <w:szCs w:val="22"/>
        </w:rPr>
        <w:lastRenderedPageBreak/>
        <w:t>However, realising this potential depends on consistent and meaningful adoption by end users, which remains a significant challenge.</w:t>
      </w:r>
    </w:p>
    <w:p w14:paraId="216CDDC3" w14:textId="77777777" w:rsidR="00F43B96" w:rsidRDefault="00000000">
      <w:pPr>
        <w:spacing w:after="200" w:line="300" w:lineRule="auto"/>
        <w:jc w:val="both"/>
      </w:pPr>
      <w:r w:rsidRPr="00E47D23">
        <w:rPr>
          <w:sz w:val="22"/>
          <w:szCs w:val="22"/>
        </w:rPr>
        <w:t xml:space="preserve">The Unified Theory of Acceptance and Use of Technology (UTAUT) has been a prominent framework for understanding technology adoption for more than </w:t>
      </w:r>
      <w:r w:rsidR="00DA3F16" w:rsidRPr="00DA3F16">
        <w:rPr>
          <w:sz w:val="22"/>
          <w:szCs w:val="22"/>
        </w:rPr>
        <w:t>two decades. Developed</w:t>
      </w:r>
      <w:r w:rsidRPr="00E47D23">
        <w:rPr>
          <w:sz w:val="22"/>
          <w:szCs w:val="22"/>
        </w:rPr>
        <w:t xml:space="preserve"> by Venkatesh et al. (2003), </w:t>
      </w:r>
      <w:r w:rsidR="00DA3F16" w:rsidRPr="00DA3F16">
        <w:rPr>
          <w:sz w:val="22"/>
          <w:szCs w:val="22"/>
        </w:rPr>
        <w:t>UTAUT integrates</w:t>
      </w:r>
      <w:r w:rsidRPr="00E47D23">
        <w:rPr>
          <w:sz w:val="22"/>
          <w:szCs w:val="22"/>
        </w:rPr>
        <w:t xml:space="preserve"> eight </w:t>
      </w:r>
      <w:r w:rsidR="00DA3F16" w:rsidRPr="00DA3F16">
        <w:rPr>
          <w:sz w:val="22"/>
          <w:szCs w:val="22"/>
        </w:rPr>
        <w:t>earlier</w:t>
      </w:r>
      <w:r w:rsidRPr="00E47D23">
        <w:rPr>
          <w:sz w:val="22"/>
          <w:szCs w:val="22"/>
        </w:rPr>
        <w:t xml:space="preserve"> models into a </w:t>
      </w:r>
      <w:r w:rsidR="00DA3F16" w:rsidRPr="00DA3F16">
        <w:rPr>
          <w:sz w:val="22"/>
          <w:szCs w:val="22"/>
        </w:rPr>
        <w:t>unified</w:t>
      </w:r>
      <w:r w:rsidRPr="00E47D23">
        <w:rPr>
          <w:sz w:val="22"/>
          <w:szCs w:val="22"/>
        </w:rPr>
        <w:t xml:space="preserve"> framework </w:t>
      </w:r>
      <w:r w:rsidR="00DA3F16" w:rsidRPr="00DA3F16">
        <w:rPr>
          <w:sz w:val="22"/>
          <w:szCs w:val="22"/>
        </w:rPr>
        <w:t>built around</w:t>
      </w:r>
      <w:r w:rsidRPr="00E47D23">
        <w:rPr>
          <w:sz w:val="22"/>
          <w:szCs w:val="22"/>
        </w:rPr>
        <w:t xml:space="preserve"> four </w:t>
      </w:r>
      <w:r w:rsidR="00DA3F16" w:rsidRPr="00DA3F16">
        <w:rPr>
          <w:sz w:val="22"/>
          <w:szCs w:val="22"/>
        </w:rPr>
        <w:t>core</w:t>
      </w:r>
      <w:r w:rsidRPr="00E47D23">
        <w:rPr>
          <w:sz w:val="22"/>
          <w:szCs w:val="22"/>
        </w:rPr>
        <w:t xml:space="preserve"> constructs: Performance Expectancy, Effort Expectancy, Social Influence, and Facilitating Conditions. These constructs </w:t>
      </w:r>
      <w:r w:rsidR="00DA3F16" w:rsidRPr="00DA3F16">
        <w:rPr>
          <w:sz w:val="22"/>
          <w:szCs w:val="22"/>
        </w:rPr>
        <w:t>directly predict</w:t>
      </w:r>
      <w:r w:rsidRPr="00E47D23">
        <w:rPr>
          <w:sz w:val="22"/>
          <w:szCs w:val="22"/>
        </w:rPr>
        <w:t xml:space="preserve"> </w:t>
      </w:r>
      <w:proofErr w:type="spellStart"/>
      <w:r w:rsidRPr="00E47D23">
        <w:rPr>
          <w:sz w:val="22"/>
          <w:szCs w:val="22"/>
        </w:rPr>
        <w:t>Behavioral</w:t>
      </w:r>
      <w:proofErr w:type="spellEnd"/>
      <w:r w:rsidRPr="00E47D23">
        <w:rPr>
          <w:sz w:val="22"/>
          <w:szCs w:val="22"/>
        </w:rPr>
        <w:t xml:space="preserve"> Intention and subsequent Use </w:t>
      </w:r>
      <w:proofErr w:type="spellStart"/>
      <w:r w:rsidRPr="00E47D23">
        <w:rPr>
          <w:sz w:val="22"/>
          <w:szCs w:val="22"/>
        </w:rPr>
        <w:t>Behavior</w:t>
      </w:r>
      <w:proofErr w:type="spellEnd"/>
      <w:r w:rsidRPr="00E47D23">
        <w:rPr>
          <w:sz w:val="22"/>
          <w:szCs w:val="22"/>
        </w:rPr>
        <w:t xml:space="preserve">, </w:t>
      </w:r>
      <w:r w:rsidR="00DA3F16" w:rsidRPr="00DA3F16">
        <w:rPr>
          <w:sz w:val="22"/>
          <w:szCs w:val="22"/>
        </w:rPr>
        <w:t xml:space="preserve">while </w:t>
      </w:r>
      <w:r w:rsidRPr="00E47D23">
        <w:rPr>
          <w:sz w:val="22"/>
          <w:szCs w:val="22"/>
        </w:rPr>
        <w:t>gender, age, experience, and voluntariness of use</w:t>
      </w:r>
      <w:r w:rsidR="00DA3F16" w:rsidRPr="00DA3F16">
        <w:rPr>
          <w:sz w:val="22"/>
          <w:szCs w:val="22"/>
        </w:rPr>
        <w:t xml:space="preserve"> operate</w:t>
      </w:r>
      <w:r w:rsidRPr="00E47D23">
        <w:rPr>
          <w:sz w:val="22"/>
          <w:szCs w:val="22"/>
        </w:rPr>
        <w:t xml:space="preserve"> as </w:t>
      </w:r>
      <w:r w:rsidR="00DA3F16" w:rsidRPr="00DA3F16">
        <w:rPr>
          <w:sz w:val="22"/>
          <w:szCs w:val="22"/>
        </w:rPr>
        <w:t xml:space="preserve">moderators. </w:t>
      </w:r>
      <w:r w:rsidRPr="00E47D23">
        <w:rPr>
          <w:sz w:val="22"/>
          <w:szCs w:val="22"/>
        </w:rPr>
        <w:t xml:space="preserve">Venkatesh et al. </w:t>
      </w:r>
      <w:r w:rsidR="00DA3F16" w:rsidRPr="00DA3F16">
        <w:rPr>
          <w:sz w:val="22"/>
          <w:szCs w:val="22"/>
        </w:rPr>
        <w:t>(2012) later extended the model as UTAUT2 by incorporating</w:t>
      </w:r>
      <w:r w:rsidRPr="00E47D23">
        <w:rPr>
          <w:sz w:val="22"/>
          <w:szCs w:val="22"/>
        </w:rPr>
        <w:t xml:space="preserve"> price value, habit, and hedonic motivation for consumer </w:t>
      </w:r>
      <w:r w:rsidR="00DA3F16" w:rsidRPr="00DA3F16">
        <w:rPr>
          <w:sz w:val="22"/>
          <w:szCs w:val="22"/>
        </w:rPr>
        <w:t>contexts.</w:t>
      </w:r>
      <w:r w:rsidRPr="00E47D23">
        <w:rPr>
          <w:sz w:val="22"/>
          <w:szCs w:val="22"/>
        </w:rPr>
        <w:t xml:space="preserve"> In a meta-analysis of 60 UTAUT2-based studies, Tamilmani et al. (2021) confirmed the model's overall theoretical robustness while </w:t>
      </w:r>
      <w:r w:rsidR="00DA3F16" w:rsidRPr="00DA3F16">
        <w:rPr>
          <w:sz w:val="22"/>
          <w:szCs w:val="22"/>
        </w:rPr>
        <w:t>noting</w:t>
      </w:r>
      <w:r w:rsidRPr="00E47D23">
        <w:rPr>
          <w:sz w:val="22"/>
          <w:szCs w:val="22"/>
        </w:rPr>
        <w:t xml:space="preserve"> that </w:t>
      </w:r>
      <w:r w:rsidRPr="00E47D23">
        <w:rPr>
          <w:sz w:val="22"/>
          <w:szCs w:val="22"/>
        </w:rPr>
        <w:t>perceived risk, trust, and personal innovativeness</w:t>
      </w:r>
      <w:r w:rsidR="00DA3F16" w:rsidRPr="00DA3F16">
        <w:rPr>
          <w:sz w:val="22"/>
          <w:szCs w:val="22"/>
        </w:rPr>
        <w:t xml:space="preserve"> are among the most frequently added extension constructs. As this review demonstrates, this</w:t>
      </w:r>
      <w:r w:rsidRPr="00E47D23">
        <w:rPr>
          <w:sz w:val="22"/>
          <w:szCs w:val="22"/>
        </w:rPr>
        <w:t xml:space="preserve"> pattern is </w:t>
      </w:r>
      <w:r w:rsidR="00DA3F16" w:rsidRPr="00DA3F16">
        <w:rPr>
          <w:sz w:val="22"/>
          <w:szCs w:val="22"/>
        </w:rPr>
        <w:t>especially</w:t>
      </w:r>
      <w:r w:rsidRPr="00E47D23">
        <w:rPr>
          <w:sz w:val="22"/>
          <w:szCs w:val="22"/>
        </w:rPr>
        <w:t xml:space="preserve"> evident in AI-adoption research</w:t>
      </w:r>
      <w:r w:rsidR="00DA3F16" w:rsidRPr="00DA3F16">
        <w:rPr>
          <w:sz w:val="22"/>
          <w:szCs w:val="22"/>
        </w:rPr>
        <w:t>.</w:t>
      </w:r>
    </w:p>
    <w:p w14:paraId="78643C6B" w14:textId="77777777" w:rsidR="00F43B96" w:rsidRDefault="00000000">
      <w:pPr>
        <w:spacing w:after="200" w:line="300" w:lineRule="auto"/>
        <w:jc w:val="both"/>
      </w:pPr>
      <w:r w:rsidRPr="00E47D23">
        <w:rPr>
          <w:sz w:val="22"/>
          <w:szCs w:val="22"/>
        </w:rPr>
        <w:t xml:space="preserve">Technology acceptance models are now </w:t>
      </w:r>
      <w:r w:rsidR="006978C4" w:rsidRPr="006978C4">
        <w:rPr>
          <w:sz w:val="22"/>
          <w:szCs w:val="22"/>
        </w:rPr>
        <w:t>applied beyond organisational settings,</w:t>
      </w:r>
      <w:r w:rsidRPr="00E47D23">
        <w:rPr>
          <w:sz w:val="22"/>
          <w:szCs w:val="22"/>
        </w:rPr>
        <w:t xml:space="preserve"> including </w:t>
      </w:r>
      <w:r w:rsidR="006978C4" w:rsidRPr="006978C4">
        <w:rPr>
          <w:sz w:val="22"/>
          <w:szCs w:val="22"/>
        </w:rPr>
        <w:t xml:space="preserve">in areas such as </w:t>
      </w:r>
      <w:r w:rsidRPr="00E47D23">
        <w:rPr>
          <w:sz w:val="22"/>
          <w:szCs w:val="22"/>
        </w:rPr>
        <w:t>nature-based services and sustainable tourism</w:t>
      </w:r>
      <w:r w:rsidR="006978C4" w:rsidRPr="006978C4">
        <w:rPr>
          <w:sz w:val="22"/>
          <w:szCs w:val="22"/>
        </w:rPr>
        <w:t xml:space="preserve">. Musa et al. (2016) demonstrated the usefulness of UTAUT in assessing mobile marketing adoption among SMEs, while </w:t>
      </w:r>
      <w:r w:rsidRPr="00E47D23">
        <w:rPr>
          <w:sz w:val="22"/>
          <w:szCs w:val="22"/>
        </w:rPr>
        <w:t xml:space="preserve">more recent </w:t>
      </w:r>
      <w:r w:rsidR="006978C4" w:rsidRPr="006978C4">
        <w:rPr>
          <w:sz w:val="22"/>
          <w:szCs w:val="22"/>
        </w:rPr>
        <w:t>studies have extended related acceptance</w:t>
      </w:r>
      <w:r w:rsidRPr="00E47D23">
        <w:rPr>
          <w:sz w:val="22"/>
          <w:szCs w:val="22"/>
        </w:rPr>
        <w:t xml:space="preserve"> frameworks to </w:t>
      </w:r>
      <w:r w:rsidR="006978C4" w:rsidRPr="006978C4">
        <w:rPr>
          <w:sz w:val="22"/>
          <w:szCs w:val="22"/>
        </w:rPr>
        <w:t>examine</w:t>
      </w:r>
      <w:r w:rsidRPr="00E47D23">
        <w:rPr>
          <w:sz w:val="22"/>
          <w:szCs w:val="22"/>
        </w:rPr>
        <w:t xml:space="preserve"> AI marketing tools (Jumaat et al., 2025) and sustainable technology adoption in </w:t>
      </w:r>
      <w:r w:rsidRPr="00E47D23">
        <w:rPr>
          <w:sz w:val="22"/>
          <w:szCs w:val="22"/>
        </w:rPr>
        <w:t xml:space="preserve">tourism </w:t>
      </w:r>
      <w:r w:rsidRPr="00E47D23">
        <w:rPr>
          <w:sz w:val="22"/>
          <w:szCs w:val="22"/>
        </w:rPr>
        <w:t>(Musa et al., 2025</w:t>
      </w:r>
      <w:r w:rsidR="006978C4" w:rsidRPr="006978C4">
        <w:rPr>
          <w:sz w:val="22"/>
          <w:szCs w:val="22"/>
        </w:rPr>
        <w:t>). These developments</w:t>
      </w:r>
      <w:r w:rsidRPr="00E47D23">
        <w:rPr>
          <w:sz w:val="22"/>
          <w:szCs w:val="22"/>
        </w:rPr>
        <w:t xml:space="preserve"> show the model's adaptability while also </w:t>
      </w:r>
      <w:r w:rsidR="006978C4" w:rsidRPr="006978C4">
        <w:rPr>
          <w:sz w:val="22"/>
          <w:szCs w:val="22"/>
        </w:rPr>
        <w:t xml:space="preserve">reinforcing the need for </w:t>
      </w:r>
      <w:r w:rsidRPr="00E47D23">
        <w:rPr>
          <w:sz w:val="22"/>
          <w:szCs w:val="22"/>
        </w:rPr>
        <w:t xml:space="preserve">context-specific modifications, a </w:t>
      </w:r>
      <w:r w:rsidR="006978C4" w:rsidRPr="006978C4">
        <w:rPr>
          <w:sz w:val="22"/>
          <w:szCs w:val="22"/>
        </w:rPr>
        <w:t>point</w:t>
      </w:r>
      <w:r w:rsidRPr="00E47D23">
        <w:rPr>
          <w:sz w:val="22"/>
          <w:szCs w:val="22"/>
        </w:rPr>
        <w:t xml:space="preserve"> that is highly relevant to the </w:t>
      </w:r>
      <w:r w:rsidR="006978C4" w:rsidRPr="006978C4">
        <w:rPr>
          <w:sz w:val="22"/>
          <w:szCs w:val="22"/>
        </w:rPr>
        <w:t>present</w:t>
      </w:r>
      <w:r w:rsidRPr="00E47D23">
        <w:rPr>
          <w:sz w:val="22"/>
          <w:szCs w:val="22"/>
        </w:rPr>
        <w:t xml:space="preserve"> review's </w:t>
      </w:r>
      <w:r w:rsidR="006978C4" w:rsidRPr="006978C4">
        <w:rPr>
          <w:sz w:val="22"/>
          <w:szCs w:val="22"/>
        </w:rPr>
        <w:t>focus</w:t>
      </w:r>
      <w:r w:rsidRPr="00E47D23">
        <w:rPr>
          <w:sz w:val="22"/>
          <w:szCs w:val="22"/>
        </w:rPr>
        <w:t xml:space="preserve"> on AI adoption. </w:t>
      </w:r>
      <w:r w:rsidR="006978C4" w:rsidRPr="006978C4">
        <w:rPr>
          <w:sz w:val="22"/>
          <w:szCs w:val="22"/>
        </w:rPr>
        <w:t xml:space="preserve">Similarly, studies of </w:t>
      </w:r>
      <w:r w:rsidRPr="00E47D23">
        <w:rPr>
          <w:sz w:val="22"/>
          <w:szCs w:val="22"/>
        </w:rPr>
        <w:t xml:space="preserve">user perceptions in service contexts, </w:t>
      </w:r>
      <w:r w:rsidR="006978C4" w:rsidRPr="006978C4">
        <w:rPr>
          <w:sz w:val="22"/>
          <w:szCs w:val="22"/>
        </w:rPr>
        <w:t>such as</w:t>
      </w:r>
      <w:r w:rsidRPr="00E47D23">
        <w:rPr>
          <w:sz w:val="22"/>
          <w:szCs w:val="22"/>
        </w:rPr>
        <w:t xml:space="preserve"> hikers' </w:t>
      </w:r>
      <w:r w:rsidR="006978C4" w:rsidRPr="006978C4">
        <w:rPr>
          <w:sz w:val="22"/>
          <w:szCs w:val="22"/>
        </w:rPr>
        <w:t>evaluations</w:t>
      </w:r>
      <w:r w:rsidRPr="00E47D23">
        <w:rPr>
          <w:sz w:val="22"/>
          <w:szCs w:val="22"/>
        </w:rPr>
        <w:t xml:space="preserve"> of forest guides (Shafeeq et al., 2026), </w:t>
      </w:r>
      <w:r w:rsidR="006978C4" w:rsidRPr="006978C4">
        <w:rPr>
          <w:sz w:val="22"/>
          <w:szCs w:val="22"/>
        </w:rPr>
        <w:t>indicate</w:t>
      </w:r>
      <w:r w:rsidRPr="00E47D23">
        <w:rPr>
          <w:sz w:val="22"/>
          <w:szCs w:val="22"/>
        </w:rPr>
        <w:t xml:space="preserve"> that trust and perceived competence are important determinants of </w:t>
      </w:r>
      <w:r w:rsidRPr="00E47D23">
        <w:rPr>
          <w:sz w:val="22"/>
          <w:szCs w:val="22"/>
        </w:rPr>
        <w:t xml:space="preserve">satisfaction and </w:t>
      </w:r>
      <w:r w:rsidR="006978C4" w:rsidRPr="006978C4">
        <w:rPr>
          <w:sz w:val="22"/>
          <w:szCs w:val="22"/>
        </w:rPr>
        <w:t>continued</w:t>
      </w:r>
      <w:r w:rsidRPr="00E47D23">
        <w:rPr>
          <w:sz w:val="22"/>
          <w:szCs w:val="22"/>
        </w:rPr>
        <w:t xml:space="preserve"> engagement.</w:t>
      </w:r>
      <w:r w:rsidRPr="00E47D23">
        <w:rPr>
          <w:sz w:val="22"/>
          <w:szCs w:val="22"/>
        </w:rPr>
        <w:t xml:space="preserve"> </w:t>
      </w:r>
      <w:r w:rsidR="006978C4" w:rsidRPr="006978C4">
        <w:rPr>
          <w:sz w:val="22"/>
          <w:szCs w:val="22"/>
        </w:rPr>
        <w:t>These relational dynamics closely resemble those found in human-AI interactions.</w:t>
      </w:r>
    </w:p>
    <w:p w14:paraId="136FEB0F" w14:textId="77777777" w:rsidR="00F43B96" w:rsidRDefault="00000000">
      <w:pPr>
        <w:spacing w:after="200" w:line="300" w:lineRule="auto"/>
        <w:jc w:val="both"/>
      </w:pPr>
      <w:r w:rsidRPr="00E47D23">
        <w:rPr>
          <w:sz w:val="22"/>
          <w:szCs w:val="22"/>
        </w:rPr>
        <w:t xml:space="preserve">Despite its proven usefulness, </w:t>
      </w:r>
      <w:r w:rsidR="00BE3720" w:rsidRPr="00BE3720">
        <w:rPr>
          <w:sz w:val="22"/>
          <w:szCs w:val="22"/>
        </w:rPr>
        <w:t>questions remain</w:t>
      </w:r>
      <w:r w:rsidRPr="00E47D23">
        <w:rPr>
          <w:sz w:val="22"/>
          <w:szCs w:val="22"/>
        </w:rPr>
        <w:t xml:space="preserve"> about UTAUT's suitability for </w:t>
      </w:r>
      <w:r w:rsidR="00BE3720" w:rsidRPr="00BE3720">
        <w:rPr>
          <w:sz w:val="22"/>
          <w:szCs w:val="22"/>
        </w:rPr>
        <w:t xml:space="preserve">explaining </w:t>
      </w:r>
      <w:r w:rsidRPr="00E47D23">
        <w:rPr>
          <w:sz w:val="22"/>
          <w:szCs w:val="22"/>
        </w:rPr>
        <w:t xml:space="preserve">the </w:t>
      </w:r>
      <w:r w:rsidR="00BE3720" w:rsidRPr="00BE3720">
        <w:rPr>
          <w:sz w:val="22"/>
          <w:szCs w:val="22"/>
        </w:rPr>
        <w:t>distinctive characteristics</w:t>
      </w:r>
      <w:r w:rsidRPr="00E47D23">
        <w:rPr>
          <w:sz w:val="22"/>
          <w:szCs w:val="22"/>
        </w:rPr>
        <w:t xml:space="preserve"> of AI systems</w:t>
      </w:r>
      <w:r w:rsidR="00BE3720" w:rsidRPr="00BE3720">
        <w:rPr>
          <w:sz w:val="22"/>
          <w:szCs w:val="22"/>
        </w:rPr>
        <w:t>.</w:t>
      </w:r>
      <w:r w:rsidRPr="00E47D23">
        <w:rPr>
          <w:sz w:val="22"/>
          <w:szCs w:val="22"/>
        </w:rPr>
        <w:t xml:space="preserve"> </w:t>
      </w:r>
      <w:r w:rsidRPr="00E47D23">
        <w:rPr>
          <w:sz w:val="22"/>
          <w:szCs w:val="22"/>
        </w:rPr>
        <w:t>Most</w:t>
      </w:r>
      <w:r w:rsidRPr="00E47D23">
        <w:rPr>
          <w:sz w:val="22"/>
          <w:szCs w:val="22"/>
        </w:rPr>
        <w:t xml:space="preserve"> conventional technologies are deterministic, </w:t>
      </w:r>
      <w:r w:rsidR="00BE3720" w:rsidRPr="00BE3720">
        <w:rPr>
          <w:sz w:val="22"/>
          <w:szCs w:val="22"/>
        </w:rPr>
        <w:t>following fixed rules</w:t>
      </w:r>
      <w:r w:rsidRPr="00E47D23">
        <w:rPr>
          <w:sz w:val="22"/>
          <w:szCs w:val="22"/>
        </w:rPr>
        <w:t xml:space="preserve"> and predictable procedures. In contrast, AI systems, </w:t>
      </w:r>
      <w:r w:rsidR="00BE3720" w:rsidRPr="00BE3720">
        <w:rPr>
          <w:sz w:val="22"/>
          <w:szCs w:val="22"/>
        </w:rPr>
        <w:t>particularly</w:t>
      </w:r>
      <w:r w:rsidRPr="00E47D23">
        <w:rPr>
          <w:sz w:val="22"/>
          <w:szCs w:val="22"/>
        </w:rPr>
        <w:t xml:space="preserve"> those based on machine learning, are often opaque, probabilistic, and adaptive, </w:t>
      </w:r>
      <w:r w:rsidR="00BE3720" w:rsidRPr="00BE3720">
        <w:rPr>
          <w:sz w:val="22"/>
          <w:szCs w:val="22"/>
        </w:rPr>
        <w:t>operating</w:t>
      </w:r>
      <w:r w:rsidRPr="00E47D23">
        <w:rPr>
          <w:sz w:val="22"/>
          <w:szCs w:val="22"/>
        </w:rPr>
        <w:t xml:space="preserve"> as </w:t>
      </w:r>
      <w:r w:rsidR="00BE3720" w:rsidRPr="00BE3720">
        <w:rPr>
          <w:sz w:val="22"/>
          <w:szCs w:val="22"/>
        </w:rPr>
        <w:t>“</w:t>
      </w:r>
      <w:r w:rsidRPr="00E47D23">
        <w:rPr>
          <w:sz w:val="22"/>
          <w:szCs w:val="22"/>
        </w:rPr>
        <w:t>black boxes</w:t>
      </w:r>
      <w:r w:rsidR="00BE3720" w:rsidRPr="00BE3720">
        <w:rPr>
          <w:sz w:val="22"/>
          <w:szCs w:val="22"/>
        </w:rPr>
        <w:t>.”</w:t>
      </w:r>
      <w:r w:rsidRPr="00E47D23">
        <w:rPr>
          <w:sz w:val="22"/>
          <w:szCs w:val="22"/>
        </w:rPr>
        <w:t xml:space="preserve"> UTAUT does not </w:t>
      </w:r>
      <w:r w:rsidR="00BE3720" w:rsidRPr="00BE3720">
        <w:rPr>
          <w:sz w:val="22"/>
          <w:szCs w:val="22"/>
        </w:rPr>
        <w:t>explicitly</w:t>
      </w:r>
      <w:r w:rsidRPr="00E47D23">
        <w:rPr>
          <w:sz w:val="22"/>
          <w:szCs w:val="22"/>
        </w:rPr>
        <w:t xml:space="preserve"> address the adoption </w:t>
      </w:r>
      <w:r w:rsidR="00BE3720" w:rsidRPr="00BE3720">
        <w:rPr>
          <w:sz w:val="22"/>
          <w:szCs w:val="22"/>
        </w:rPr>
        <w:t>challenges created</w:t>
      </w:r>
      <w:r w:rsidRPr="00E47D23">
        <w:rPr>
          <w:sz w:val="22"/>
          <w:szCs w:val="22"/>
        </w:rPr>
        <w:t xml:space="preserve"> by this distinction. When assessing AI, users are </w:t>
      </w:r>
      <w:r w:rsidR="00BE3720" w:rsidRPr="00BE3720">
        <w:rPr>
          <w:sz w:val="22"/>
          <w:szCs w:val="22"/>
        </w:rPr>
        <w:t xml:space="preserve">concerned </w:t>
      </w:r>
      <w:r w:rsidRPr="00E47D23">
        <w:rPr>
          <w:sz w:val="22"/>
          <w:szCs w:val="22"/>
        </w:rPr>
        <w:t xml:space="preserve">not </w:t>
      </w:r>
      <w:r w:rsidR="00BE3720" w:rsidRPr="00BE3720">
        <w:rPr>
          <w:sz w:val="22"/>
          <w:szCs w:val="22"/>
        </w:rPr>
        <w:t>only with</w:t>
      </w:r>
      <w:r w:rsidRPr="00E47D23">
        <w:rPr>
          <w:sz w:val="22"/>
          <w:szCs w:val="22"/>
        </w:rPr>
        <w:t xml:space="preserve"> a system's </w:t>
      </w:r>
      <w:r w:rsidR="00BE3720" w:rsidRPr="00BE3720">
        <w:rPr>
          <w:sz w:val="22"/>
          <w:szCs w:val="22"/>
        </w:rPr>
        <w:t>usefulness</w:t>
      </w:r>
      <w:r w:rsidRPr="00E47D23">
        <w:rPr>
          <w:sz w:val="22"/>
          <w:szCs w:val="22"/>
        </w:rPr>
        <w:t xml:space="preserve"> or </w:t>
      </w:r>
      <w:r w:rsidR="00BE3720" w:rsidRPr="00BE3720">
        <w:rPr>
          <w:sz w:val="22"/>
          <w:szCs w:val="22"/>
        </w:rPr>
        <w:t>ease of use</w:t>
      </w:r>
      <w:r w:rsidRPr="00E47D23">
        <w:rPr>
          <w:sz w:val="22"/>
          <w:szCs w:val="22"/>
        </w:rPr>
        <w:t xml:space="preserve"> but also </w:t>
      </w:r>
      <w:r w:rsidR="00BE3720" w:rsidRPr="00BE3720">
        <w:rPr>
          <w:sz w:val="22"/>
          <w:szCs w:val="22"/>
        </w:rPr>
        <w:t>with</w:t>
      </w:r>
      <w:r w:rsidRPr="00E47D23">
        <w:rPr>
          <w:sz w:val="22"/>
          <w:szCs w:val="22"/>
        </w:rPr>
        <w:t xml:space="preserve"> the reliability of its </w:t>
      </w:r>
      <w:r w:rsidR="00BE3720" w:rsidRPr="00BE3720">
        <w:rPr>
          <w:sz w:val="22"/>
          <w:szCs w:val="22"/>
        </w:rPr>
        <w:t>autonomous</w:t>
      </w:r>
      <w:r w:rsidRPr="00E47D23">
        <w:rPr>
          <w:sz w:val="22"/>
          <w:szCs w:val="22"/>
        </w:rPr>
        <w:t xml:space="preserve"> judgments, the </w:t>
      </w:r>
      <w:r w:rsidR="00BE3720" w:rsidRPr="00BE3720">
        <w:rPr>
          <w:sz w:val="22"/>
          <w:szCs w:val="22"/>
        </w:rPr>
        <w:t>transparency</w:t>
      </w:r>
      <w:r w:rsidRPr="00E47D23">
        <w:rPr>
          <w:sz w:val="22"/>
          <w:szCs w:val="22"/>
        </w:rPr>
        <w:t xml:space="preserve"> of its </w:t>
      </w:r>
      <w:r w:rsidRPr="00E47D23">
        <w:rPr>
          <w:sz w:val="22"/>
          <w:szCs w:val="22"/>
        </w:rPr>
        <w:t xml:space="preserve">reasoning, and the </w:t>
      </w:r>
      <w:r w:rsidR="00BE3720" w:rsidRPr="00BE3720">
        <w:rPr>
          <w:sz w:val="22"/>
          <w:szCs w:val="22"/>
        </w:rPr>
        <w:t>fairness</w:t>
      </w:r>
      <w:r w:rsidRPr="00E47D23">
        <w:rPr>
          <w:sz w:val="22"/>
          <w:szCs w:val="22"/>
        </w:rPr>
        <w:t xml:space="preserve"> of its </w:t>
      </w:r>
      <w:r w:rsidR="00BE3720" w:rsidRPr="00BE3720">
        <w:rPr>
          <w:sz w:val="22"/>
          <w:szCs w:val="22"/>
        </w:rPr>
        <w:t>outcomes. As generative and conversational AI systems have become more widespread, concerns about accountability, transparency, and misuse have increasingly shaped user and organisational responses (Dwivedi et al., 2023). These concerns extend beyond the scope of the original UTAUT constructs.</w:t>
      </w:r>
    </w:p>
    <w:p w14:paraId="41323D40" w14:textId="77777777" w:rsidR="00F43B96" w:rsidRDefault="00EE7702">
      <w:pPr>
        <w:spacing w:after="200" w:line="300" w:lineRule="auto"/>
        <w:jc w:val="both"/>
      </w:pPr>
      <w:r w:rsidRPr="00EE7702">
        <w:rPr>
          <w:sz w:val="22"/>
          <w:szCs w:val="22"/>
        </w:rPr>
        <w:t>This systematic review is motivated by the “</w:t>
      </w:r>
      <w:r w:rsidR="00000000" w:rsidRPr="00E47D23">
        <w:rPr>
          <w:sz w:val="22"/>
          <w:szCs w:val="22"/>
        </w:rPr>
        <w:t>intelligence gap</w:t>
      </w:r>
      <w:r w:rsidRPr="00EE7702">
        <w:rPr>
          <w:sz w:val="22"/>
          <w:szCs w:val="22"/>
        </w:rPr>
        <w:t>”</w:t>
      </w:r>
      <w:r w:rsidR="00000000" w:rsidRPr="00E47D23">
        <w:rPr>
          <w:sz w:val="22"/>
          <w:szCs w:val="22"/>
        </w:rPr>
        <w:t xml:space="preserve"> in current technology-adoption theories</w:t>
      </w:r>
      <w:r w:rsidRPr="00EE7702">
        <w:rPr>
          <w:sz w:val="22"/>
          <w:szCs w:val="22"/>
        </w:rPr>
        <w:t>.</w:t>
      </w:r>
      <w:r w:rsidR="00000000" w:rsidRPr="00E47D23">
        <w:rPr>
          <w:sz w:val="22"/>
          <w:szCs w:val="22"/>
        </w:rPr>
        <w:t xml:space="preserve"> Its main </w:t>
      </w:r>
      <w:r w:rsidRPr="00EE7702">
        <w:rPr>
          <w:sz w:val="22"/>
          <w:szCs w:val="22"/>
        </w:rPr>
        <w:t>objectives</w:t>
      </w:r>
      <w:r w:rsidR="00000000" w:rsidRPr="00E47D23">
        <w:rPr>
          <w:sz w:val="22"/>
          <w:szCs w:val="22"/>
        </w:rPr>
        <w:t xml:space="preserve"> are to </w:t>
      </w:r>
      <w:r w:rsidR="00000000" w:rsidRPr="00E47D23">
        <w:rPr>
          <w:sz w:val="22"/>
          <w:szCs w:val="22"/>
        </w:rPr>
        <w:t xml:space="preserve">map </w:t>
      </w:r>
      <w:r w:rsidRPr="00EE7702">
        <w:rPr>
          <w:sz w:val="22"/>
          <w:szCs w:val="22"/>
        </w:rPr>
        <w:t xml:space="preserve">how UTAUT has been applied </w:t>
      </w:r>
      <w:r w:rsidR="00000000" w:rsidRPr="00E47D23">
        <w:rPr>
          <w:sz w:val="22"/>
          <w:szCs w:val="22"/>
        </w:rPr>
        <w:t xml:space="preserve">in AI-adoption research, </w:t>
      </w:r>
      <w:r w:rsidRPr="00EE7702">
        <w:rPr>
          <w:sz w:val="22"/>
          <w:szCs w:val="22"/>
        </w:rPr>
        <w:t xml:space="preserve">identify </w:t>
      </w:r>
      <w:r w:rsidR="00000000" w:rsidRPr="00E47D23">
        <w:rPr>
          <w:sz w:val="22"/>
          <w:szCs w:val="22"/>
        </w:rPr>
        <w:t xml:space="preserve">its conceptual </w:t>
      </w:r>
      <w:r w:rsidRPr="00EE7702">
        <w:rPr>
          <w:sz w:val="22"/>
          <w:szCs w:val="22"/>
        </w:rPr>
        <w:t xml:space="preserve">limitations </w:t>
      </w:r>
      <w:r w:rsidR="00000000" w:rsidRPr="00E47D23">
        <w:rPr>
          <w:sz w:val="22"/>
          <w:szCs w:val="22"/>
        </w:rPr>
        <w:t xml:space="preserve">in this </w:t>
      </w:r>
      <w:r w:rsidRPr="00EE7702">
        <w:rPr>
          <w:sz w:val="22"/>
          <w:szCs w:val="22"/>
        </w:rPr>
        <w:t>context</w:t>
      </w:r>
      <w:r w:rsidR="00000000" w:rsidRPr="00E47D23">
        <w:rPr>
          <w:sz w:val="22"/>
          <w:szCs w:val="22"/>
        </w:rPr>
        <w:t xml:space="preserve">, and </w:t>
      </w:r>
      <w:r w:rsidRPr="00EE7702">
        <w:rPr>
          <w:sz w:val="22"/>
          <w:szCs w:val="22"/>
        </w:rPr>
        <w:t>propose</w:t>
      </w:r>
      <w:r w:rsidR="00000000" w:rsidRPr="00E47D23">
        <w:rPr>
          <w:sz w:val="22"/>
          <w:szCs w:val="22"/>
        </w:rPr>
        <w:t xml:space="preserve"> a theoretically </w:t>
      </w:r>
      <w:r w:rsidRPr="00EE7702">
        <w:rPr>
          <w:sz w:val="22"/>
          <w:szCs w:val="22"/>
        </w:rPr>
        <w:t xml:space="preserve">grounded extension. The </w:t>
      </w:r>
      <w:r w:rsidR="00000000" w:rsidRPr="00E47D23">
        <w:rPr>
          <w:sz w:val="22"/>
          <w:szCs w:val="22"/>
        </w:rPr>
        <w:t>review</w:t>
      </w:r>
      <w:r w:rsidRPr="00EE7702">
        <w:rPr>
          <w:sz w:val="22"/>
          <w:szCs w:val="22"/>
        </w:rPr>
        <w:t xml:space="preserve"> pursues three objectives</w:t>
      </w:r>
      <w:r w:rsidR="00000000" w:rsidRPr="00E47D23">
        <w:rPr>
          <w:sz w:val="22"/>
          <w:szCs w:val="22"/>
        </w:rPr>
        <w:t xml:space="preserve">: (1) to systematically map and </w:t>
      </w:r>
      <w:r w:rsidRPr="00EE7702">
        <w:rPr>
          <w:sz w:val="22"/>
          <w:szCs w:val="22"/>
        </w:rPr>
        <w:t>synthesise</w:t>
      </w:r>
      <w:r w:rsidR="00000000" w:rsidRPr="00E47D23">
        <w:rPr>
          <w:sz w:val="22"/>
          <w:szCs w:val="22"/>
        </w:rPr>
        <w:t xml:space="preserve"> the application and extension of UTAUT in empirical studies of AI adoption; (2) to critically identify and </w:t>
      </w:r>
      <w:r w:rsidR="00000000" w:rsidRPr="00E47D23">
        <w:rPr>
          <w:sz w:val="22"/>
          <w:szCs w:val="22"/>
        </w:rPr>
        <w:t>analyse</w:t>
      </w:r>
      <w:r w:rsidR="00000000" w:rsidRPr="00E47D23">
        <w:rPr>
          <w:sz w:val="22"/>
          <w:szCs w:val="22"/>
        </w:rPr>
        <w:t xml:space="preserve"> the theoretical and documented limitations of </w:t>
      </w:r>
      <w:r w:rsidR="00000000" w:rsidRPr="00E47D23">
        <w:rPr>
          <w:sz w:val="22"/>
          <w:szCs w:val="22"/>
        </w:rPr>
        <w:lastRenderedPageBreak/>
        <w:t xml:space="preserve">UTAUT when applied to intelligent systems; and (3) to </w:t>
      </w:r>
      <w:r w:rsidRPr="00EE7702">
        <w:rPr>
          <w:sz w:val="22"/>
          <w:szCs w:val="22"/>
        </w:rPr>
        <w:t>synthesise</w:t>
      </w:r>
      <w:r w:rsidR="00000000" w:rsidRPr="00E47D23">
        <w:rPr>
          <w:sz w:val="22"/>
          <w:szCs w:val="22"/>
        </w:rPr>
        <w:t xml:space="preserve"> emerging constructs from the literature, particularly Perceived Intelligence and Trust, into an integrated conceptual framework for AI adoption. This investigation is guided by three research questions:</w:t>
      </w:r>
    </w:p>
    <w:p w14:paraId="0CE73FA3" w14:textId="7E6588F7" w:rsidR="001639F4" w:rsidRPr="001639F4" w:rsidRDefault="001639F4">
      <w:pPr>
        <w:spacing w:after="200" w:line="300" w:lineRule="auto"/>
        <w:jc w:val="both"/>
        <w:rPr>
          <w:b/>
          <w:bCs/>
        </w:rPr>
      </w:pPr>
      <w:r w:rsidRPr="001639F4">
        <w:rPr>
          <w:b/>
          <w:bCs/>
          <w:sz w:val="22"/>
          <w:szCs w:val="22"/>
        </w:rPr>
        <w:t>Research Questions</w:t>
      </w:r>
    </w:p>
    <w:p w14:paraId="04A69767" w14:textId="6F9B1E43" w:rsidR="001639F4" w:rsidRPr="001639F4" w:rsidRDefault="00000000" w:rsidP="001639F4">
      <w:pPr>
        <w:pStyle w:val="ListParagraph"/>
        <w:numPr>
          <w:ilvl w:val="0"/>
          <w:numId w:val="2"/>
        </w:numPr>
        <w:spacing w:after="80" w:line="300" w:lineRule="auto"/>
        <w:jc w:val="both"/>
        <w:rPr>
          <w:sz w:val="22"/>
          <w:szCs w:val="22"/>
        </w:rPr>
      </w:pPr>
      <w:r w:rsidRPr="001639F4">
        <w:rPr>
          <w:b/>
          <w:bCs/>
          <w:sz w:val="22"/>
          <w:szCs w:val="22"/>
        </w:rPr>
        <w:t xml:space="preserve">RQ1: </w:t>
      </w:r>
      <w:r w:rsidRPr="001639F4">
        <w:rPr>
          <w:sz w:val="22"/>
          <w:szCs w:val="22"/>
        </w:rPr>
        <w:t>In what ways has the UTAUT model been utilised and extended in empirical research on AI adoption?</w:t>
      </w:r>
    </w:p>
    <w:p w14:paraId="1E1FC65A" w14:textId="29F3AFA8" w:rsidR="00F43B96" w:rsidRDefault="00000000" w:rsidP="001639F4">
      <w:pPr>
        <w:pStyle w:val="ListParagraph"/>
        <w:numPr>
          <w:ilvl w:val="0"/>
          <w:numId w:val="2"/>
        </w:numPr>
        <w:spacing w:after="80" w:line="300" w:lineRule="auto"/>
        <w:jc w:val="both"/>
      </w:pPr>
      <w:r w:rsidRPr="001639F4">
        <w:rPr>
          <w:b/>
          <w:bCs/>
          <w:sz w:val="22"/>
          <w:szCs w:val="22"/>
        </w:rPr>
        <w:t xml:space="preserve">RQ2: </w:t>
      </w:r>
      <w:r w:rsidRPr="001639F4">
        <w:rPr>
          <w:sz w:val="22"/>
          <w:szCs w:val="22"/>
        </w:rPr>
        <w:t>What are the documented and theoretical constraints of UTAUT in explaining the adoption of AI systems?</w:t>
      </w:r>
    </w:p>
    <w:p w14:paraId="440933AD" w14:textId="77777777" w:rsidR="00F43B96" w:rsidRDefault="00000000" w:rsidP="001639F4">
      <w:pPr>
        <w:pStyle w:val="ListParagraph"/>
        <w:numPr>
          <w:ilvl w:val="0"/>
          <w:numId w:val="2"/>
        </w:numPr>
        <w:spacing w:after="200" w:line="300" w:lineRule="auto"/>
        <w:jc w:val="both"/>
      </w:pPr>
      <w:r w:rsidRPr="001639F4">
        <w:rPr>
          <w:b/>
          <w:bCs/>
          <w:sz w:val="22"/>
          <w:szCs w:val="22"/>
        </w:rPr>
        <w:t xml:space="preserve">RQ3: </w:t>
      </w:r>
      <w:r w:rsidRPr="001639F4">
        <w:rPr>
          <w:sz w:val="22"/>
          <w:szCs w:val="22"/>
        </w:rPr>
        <w:t>How might the incorporation of Perceived Intelligence and Trust address these constraints and enhance the model's explanatory power?</w:t>
      </w:r>
    </w:p>
    <w:p w14:paraId="6FCD9B36" w14:textId="77777777" w:rsidR="00F43B96" w:rsidRDefault="002071F0">
      <w:pPr>
        <w:spacing w:after="200" w:line="300" w:lineRule="auto"/>
        <w:jc w:val="both"/>
      </w:pPr>
      <w:r w:rsidRPr="002071F0">
        <w:rPr>
          <w:sz w:val="22"/>
          <w:szCs w:val="22"/>
        </w:rPr>
        <w:t>The remainder of this</w:t>
      </w:r>
      <w:r w:rsidR="00000000" w:rsidRPr="00C2763C">
        <w:rPr>
          <w:sz w:val="22"/>
          <w:szCs w:val="22"/>
        </w:rPr>
        <w:t xml:space="preserve"> article is structured as follows</w:t>
      </w:r>
      <w:r w:rsidRPr="002071F0">
        <w:rPr>
          <w:sz w:val="22"/>
          <w:szCs w:val="22"/>
        </w:rPr>
        <w:t>. Section 2 reviews</w:t>
      </w:r>
      <w:r w:rsidR="00000000" w:rsidRPr="00C2763C">
        <w:rPr>
          <w:sz w:val="22"/>
          <w:szCs w:val="22"/>
        </w:rPr>
        <w:t xml:space="preserve"> the </w:t>
      </w:r>
      <w:r w:rsidR="00000000" w:rsidRPr="00C2763C">
        <w:rPr>
          <w:sz w:val="22"/>
          <w:szCs w:val="22"/>
        </w:rPr>
        <w:t xml:space="preserve">conceptual </w:t>
      </w:r>
      <w:r w:rsidRPr="002071F0">
        <w:rPr>
          <w:sz w:val="22"/>
          <w:szCs w:val="22"/>
        </w:rPr>
        <w:t>foundations</w:t>
      </w:r>
      <w:r w:rsidR="00000000" w:rsidRPr="00C2763C">
        <w:rPr>
          <w:sz w:val="22"/>
          <w:szCs w:val="22"/>
        </w:rPr>
        <w:t xml:space="preserve"> of UTAUT and the </w:t>
      </w:r>
      <w:r w:rsidRPr="002071F0">
        <w:rPr>
          <w:sz w:val="22"/>
          <w:szCs w:val="22"/>
        </w:rPr>
        <w:t>growing body</w:t>
      </w:r>
      <w:r w:rsidR="00000000" w:rsidRPr="00C2763C">
        <w:rPr>
          <w:sz w:val="22"/>
          <w:szCs w:val="22"/>
        </w:rPr>
        <w:t xml:space="preserve"> of research on AI adoption</w:t>
      </w:r>
      <w:r w:rsidRPr="002071F0">
        <w:rPr>
          <w:sz w:val="22"/>
          <w:szCs w:val="22"/>
        </w:rPr>
        <w:t xml:space="preserve">. Section 3 describes the </w:t>
      </w:r>
      <w:r w:rsidR="00000000" w:rsidRPr="00C2763C">
        <w:rPr>
          <w:sz w:val="22"/>
          <w:szCs w:val="22"/>
        </w:rPr>
        <w:t xml:space="preserve">PRISMA-guided review process </w:t>
      </w:r>
      <w:r w:rsidRPr="002071F0">
        <w:rPr>
          <w:sz w:val="22"/>
          <w:szCs w:val="22"/>
        </w:rPr>
        <w:t>in detail. Section 4 presents the</w:t>
      </w:r>
      <w:r w:rsidR="00000000" w:rsidRPr="00C2763C">
        <w:rPr>
          <w:sz w:val="22"/>
          <w:szCs w:val="22"/>
        </w:rPr>
        <w:t xml:space="preserve"> descriptive and thematic synthesis of the 71 included </w:t>
      </w:r>
      <w:r w:rsidRPr="002071F0">
        <w:rPr>
          <w:sz w:val="22"/>
          <w:szCs w:val="22"/>
        </w:rPr>
        <w:t xml:space="preserve">studies. Section 5 discusses the </w:t>
      </w:r>
      <w:r w:rsidR="00000000" w:rsidRPr="00C2763C">
        <w:rPr>
          <w:sz w:val="22"/>
          <w:szCs w:val="22"/>
        </w:rPr>
        <w:t xml:space="preserve">theoretical and practical </w:t>
      </w:r>
      <w:r w:rsidRPr="002071F0">
        <w:rPr>
          <w:sz w:val="22"/>
          <w:szCs w:val="22"/>
        </w:rPr>
        <w:t>implications</w:t>
      </w:r>
      <w:r w:rsidR="00000000" w:rsidRPr="00C2763C">
        <w:rPr>
          <w:sz w:val="22"/>
          <w:szCs w:val="22"/>
        </w:rPr>
        <w:t xml:space="preserve"> of the </w:t>
      </w:r>
      <w:r w:rsidRPr="002071F0">
        <w:rPr>
          <w:sz w:val="22"/>
          <w:szCs w:val="22"/>
        </w:rPr>
        <w:t>proposed</w:t>
      </w:r>
      <w:r w:rsidR="00000000" w:rsidRPr="00C2763C">
        <w:rPr>
          <w:sz w:val="22"/>
          <w:szCs w:val="22"/>
        </w:rPr>
        <w:t xml:space="preserve"> framework</w:t>
      </w:r>
      <w:r w:rsidRPr="002071F0">
        <w:rPr>
          <w:sz w:val="22"/>
          <w:szCs w:val="22"/>
        </w:rPr>
        <w:t>, while Sections</w:t>
      </w:r>
      <w:r w:rsidR="00000000" w:rsidRPr="00C2763C">
        <w:rPr>
          <w:sz w:val="22"/>
          <w:szCs w:val="22"/>
        </w:rPr>
        <w:t xml:space="preserve"> 6 </w:t>
      </w:r>
      <w:r w:rsidRPr="002071F0">
        <w:rPr>
          <w:sz w:val="22"/>
          <w:szCs w:val="22"/>
        </w:rPr>
        <w:t>to 8 present the implications</w:t>
      </w:r>
      <w:r w:rsidR="00000000" w:rsidRPr="00C2763C">
        <w:rPr>
          <w:sz w:val="22"/>
          <w:szCs w:val="22"/>
        </w:rPr>
        <w:t xml:space="preserve">, limitations, </w:t>
      </w:r>
      <w:r w:rsidR="00000000" w:rsidRPr="00C2763C">
        <w:rPr>
          <w:sz w:val="22"/>
          <w:szCs w:val="22"/>
        </w:rPr>
        <w:t xml:space="preserve">future research </w:t>
      </w:r>
      <w:r w:rsidRPr="002071F0">
        <w:rPr>
          <w:sz w:val="22"/>
          <w:szCs w:val="22"/>
        </w:rPr>
        <w:t>directions, and conclusion</w:t>
      </w:r>
      <w:r w:rsidR="00000000" w:rsidRPr="00C2763C">
        <w:rPr>
          <w:sz w:val="22"/>
          <w:szCs w:val="22"/>
        </w:rPr>
        <w:t>.</w:t>
      </w:r>
    </w:p>
    <w:p w14:paraId="7C08700A" w14:textId="77777777" w:rsidR="00F43B96" w:rsidRDefault="00000000">
      <w:pPr>
        <w:pStyle w:val="Heading1"/>
        <w:spacing w:before="320" w:after="160"/>
      </w:pPr>
      <w:r>
        <w:rPr>
          <w:b/>
          <w:bCs/>
          <w:color w:val="1B2A4A"/>
          <w:sz w:val="26"/>
          <w:szCs w:val="26"/>
        </w:rPr>
        <w:t>2. Literature Review</w:t>
      </w:r>
    </w:p>
    <w:p w14:paraId="6ABF1CA7" w14:textId="77777777" w:rsidR="00F43B96" w:rsidRDefault="00000000">
      <w:pPr>
        <w:pStyle w:val="Heading2"/>
        <w:spacing w:before="260" w:after="140"/>
      </w:pPr>
      <w:r>
        <w:rPr>
          <w:b/>
          <w:bCs/>
          <w:i/>
          <w:iCs/>
          <w:color w:val="1B2A4A"/>
          <w:sz w:val="23"/>
          <w:szCs w:val="23"/>
        </w:rPr>
        <w:t>2.1 Theoretical Foundations of UTAUT</w:t>
      </w:r>
    </w:p>
    <w:p w14:paraId="74DDF921" w14:textId="77777777" w:rsidR="00F43B96" w:rsidRDefault="00000000">
      <w:pPr>
        <w:spacing w:after="200" w:line="300" w:lineRule="auto"/>
        <w:jc w:val="both"/>
      </w:pPr>
      <w:r w:rsidRPr="00C2763C">
        <w:rPr>
          <w:sz w:val="22"/>
          <w:szCs w:val="22"/>
        </w:rPr>
        <w:t xml:space="preserve">UTAUT was </w:t>
      </w:r>
      <w:r w:rsidR="007C15BD" w:rsidRPr="007C15BD">
        <w:rPr>
          <w:sz w:val="22"/>
          <w:szCs w:val="22"/>
        </w:rPr>
        <w:t>developed</w:t>
      </w:r>
      <w:r w:rsidRPr="00C2763C">
        <w:rPr>
          <w:sz w:val="22"/>
          <w:szCs w:val="22"/>
        </w:rPr>
        <w:t xml:space="preserve"> as </w:t>
      </w:r>
      <w:r w:rsidR="007C15BD" w:rsidRPr="007C15BD">
        <w:rPr>
          <w:sz w:val="22"/>
          <w:szCs w:val="22"/>
        </w:rPr>
        <w:t>a comprehensive framework</w:t>
      </w:r>
      <w:r w:rsidRPr="00C2763C">
        <w:rPr>
          <w:sz w:val="22"/>
          <w:szCs w:val="22"/>
        </w:rPr>
        <w:t xml:space="preserve"> for </w:t>
      </w:r>
      <w:r w:rsidR="007C15BD" w:rsidRPr="007C15BD">
        <w:rPr>
          <w:sz w:val="22"/>
          <w:szCs w:val="22"/>
        </w:rPr>
        <w:t>explaining users'</w:t>
      </w:r>
      <w:r w:rsidRPr="00C2763C">
        <w:rPr>
          <w:sz w:val="22"/>
          <w:szCs w:val="22"/>
        </w:rPr>
        <w:t xml:space="preserve"> intentions </w:t>
      </w:r>
      <w:r w:rsidR="007C15BD" w:rsidRPr="007C15BD">
        <w:rPr>
          <w:sz w:val="22"/>
          <w:szCs w:val="22"/>
        </w:rPr>
        <w:t>to adopt</w:t>
      </w:r>
      <w:r w:rsidRPr="00C2763C">
        <w:rPr>
          <w:sz w:val="22"/>
          <w:szCs w:val="22"/>
        </w:rPr>
        <w:t xml:space="preserve"> technology and </w:t>
      </w:r>
      <w:r w:rsidR="007C15BD" w:rsidRPr="007C15BD">
        <w:rPr>
          <w:sz w:val="22"/>
          <w:szCs w:val="22"/>
        </w:rPr>
        <w:t xml:space="preserve">their </w:t>
      </w:r>
      <w:r w:rsidRPr="00C2763C">
        <w:rPr>
          <w:sz w:val="22"/>
          <w:szCs w:val="22"/>
        </w:rPr>
        <w:t xml:space="preserve">subsequent usage </w:t>
      </w:r>
      <w:r w:rsidR="007C15BD" w:rsidRPr="007C15BD">
        <w:rPr>
          <w:sz w:val="22"/>
          <w:szCs w:val="22"/>
        </w:rPr>
        <w:t>behaviour.</w:t>
      </w:r>
      <w:r w:rsidRPr="00C2763C">
        <w:rPr>
          <w:sz w:val="22"/>
          <w:szCs w:val="22"/>
        </w:rPr>
        <w:t xml:space="preserve"> It </w:t>
      </w:r>
      <w:r w:rsidR="007C15BD" w:rsidRPr="007C15BD">
        <w:rPr>
          <w:sz w:val="22"/>
          <w:szCs w:val="22"/>
        </w:rPr>
        <w:t>synthesises</w:t>
      </w:r>
      <w:r w:rsidRPr="00C2763C">
        <w:rPr>
          <w:sz w:val="22"/>
          <w:szCs w:val="22"/>
        </w:rPr>
        <w:t xml:space="preserve"> eight </w:t>
      </w:r>
      <w:r w:rsidR="007C15BD" w:rsidRPr="007C15BD">
        <w:rPr>
          <w:sz w:val="22"/>
          <w:szCs w:val="22"/>
        </w:rPr>
        <w:t>earlier</w:t>
      </w:r>
      <w:r w:rsidRPr="00C2763C">
        <w:rPr>
          <w:sz w:val="22"/>
          <w:szCs w:val="22"/>
        </w:rPr>
        <w:t xml:space="preserve"> models</w:t>
      </w:r>
      <w:r w:rsidR="007C15BD" w:rsidRPr="007C15BD">
        <w:rPr>
          <w:sz w:val="22"/>
          <w:szCs w:val="22"/>
        </w:rPr>
        <w:t xml:space="preserve"> into </w:t>
      </w:r>
      <w:r w:rsidRPr="00C2763C">
        <w:rPr>
          <w:sz w:val="22"/>
          <w:szCs w:val="22"/>
        </w:rPr>
        <w:t xml:space="preserve">four major </w:t>
      </w:r>
      <w:r w:rsidR="007C15BD" w:rsidRPr="007C15BD">
        <w:rPr>
          <w:sz w:val="22"/>
          <w:szCs w:val="22"/>
        </w:rPr>
        <w:t>constructs.</w:t>
      </w:r>
      <w:r w:rsidRPr="00C2763C">
        <w:rPr>
          <w:sz w:val="22"/>
          <w:szCs w:val="22"/>
        </w:rPr>
        <w:t xml:space="preserve"> Performance Expectancy (PE) refers to the degree to which an individual </w:t>
      </w:r>
      <w:r w:rsidR="007C15BD" w:rsidRPr="007C15BD">
        <w:rPr>
          <w:sz w:val="22"/>
          <w:szCs w:val="22"/>
        </w:rPr>
        <w:t>believes</w:t>
      </w:r>
      <w:r w:rsidRPr="00C2763C">
        <w:rPr>
          <w:sz w:val="22"/>
          <w:szCs w:val="22"/>
        </w:rPr>
        <w:t xml:space="preserve"> that </w:t>
      </w:r>
      <w:r w:rsidR="007C15BD" w:rsidRPr="007C15BD">
        <w:rPr>
          <w:sz w:val="22"/>
          <w:szCs w:val="22"/>
        </w:rPr>
        <w:t>using</w:t>
      </w:r>
      <w:r w:rsidRPr="00C2763C">
        <w:rPr>
          <w:sz w:val="22"/>
          <w:szCs w:val="22"/>
        </w:rPr>
        <w:t xml:space="preserve"> a system </w:t>
      </w:r>
      <w:r w:rsidR="007C15BD" w:rsidRPr="007C15BD">
        <w:rPr>
          <w:sz w:val="22"/>
          <w:szCs w:val="22"/>
        </w:rPr>
        <w:t>will improve</w:t>
      </w:r>
      <w:r w:rsidRPr="00C2763C">
        <w:rPr>
          <w:sz w:val="22"/>
          <w:szCs w:val="22"/>
        </w:rPr>
        <w:t xml:space="preserve"> job performance. Effort Expectancy (EE) </w:t>
      </w:r>
      <w:r w:rsidR="007C15BD" w:rsidRPr="007C15BD">
        <w:rPr>
          <w:sz w:val="22"/>
          <w:szCs w:val="22"/>
        </w:rPr>
        <w:t>refers to the perceived ease</w:t>
      </w:r>
      <w:r w:rsidRPr="00C2763C">
        <w:rPr>
          <w:sz w:val="22"/>
          <w:szCs w:val="22"/>
        </w:rPr>
        <w:t xml:space="preserve"> associated with </w:t>
      </w:r>
      <w:r w:rsidR="007C15BD" w:rsidRPr="007C15BD">
        <w:rPr>
          <w:sz w:val="22"/>
          <w:szCs w:val="22"/>
        </w:rPr>
        <w:t>using</w:t>
      </w:r>
      <w:r w:rsidRPr="00C2763C">
        <w:rPr>
          <w:sz w:val="22"/>
          <w:szCs w:val="22"/>
        </w:rPr>
        <w:t xml:space="preserve"> the system. Social Influence (SI) refers t</w:t>
      </w:r>
      <w:r w:rsidRPr="00C2763C">
        <w:rPr>
          <w:sz w:val="22"/>
          <w:szCs w:val="22"/>
        </w:rPr>
        <w:t xml:space="preserve">o the </w:t>
      </w:r>
      <w:r w:rsidR="007C15BD" w:rsidRPr="007C15BD">
        <w:rPr>
          <w:sz w:val="22"/>
          <w:szCs w:val="22"/>
        </w:rPr>
        <w:t>extent</w:t>
      </w:r>
      <w:r w:rsidRPr="00C2763C">
        <w:rPr>
          <w:sz w:val="22"/>
          <w:szCs w:val="22"/>
        </w:rPr>
        <w:t xml:space="preserve"> to which an individual </w:t>
      </w:r>
      <w:r w:rsidR="007C15BD" w:rsidRPr="007C15BD">
        <w:rPr>
          <w:sz w:val="22"/>
          <w:szCs w:val="22"/>
        </w:rPr>
        <w:t>perceives</w:t>
      </w:r>
      <w:r w:rsidRPr="00C2763C">
        <w:rPr>
          <w:sz w:val="22"/>
          <w:szCs w:val="22"/>
        </w:rPr>
        <w:t xml:space="preserve"> that </w:t>
      </w:r>
      <w:r w:rsidR="007C15BD" w:rsidRPr="007C15BD">
        <w:rPr>
          <w:sz w:val="22"/>
          <w:szCs w:val="22"/>
        </w:rPr>
        <w:t>important others believe</w:t>
      </w:r>
      <w:r w:rsidRPr="00C2763C">
        <w:rPr>
          <w:sz w:val="22"/>
          <w:szCs w:val="22"/>
        </w:rPr>
        <w:t xml:space="preserve"> he or she should use the new system. </w:t>
      </w:r>
      <w:r w:rsidRPr="00C2763C">
        <w:rPr>
          <w:sz w:val="22"/>
          <w:szCs w:val="22"/>
        </w:rPr>
        <w:t xml:space="preserve">Facilitating Conditions (FC) </w:t>
      </w:r>
      <w:r w:rsidR="007C15BD" w:rsidRPr="007C15BD">
        <w:rPr>
          <w:sz w:val="22"/>
          <w:szCs w:val="22"/>
        </w:rPr>
        <w:t>refer to</w:t>
      </w:r>
      <w:r w:rsidRPr="00C2763C">
        <w:rPr>
          <w:sz w:val="22"/>
          <w:szCs w:val="22"/>
        </w:rPr>
        <w:t xml:space="preserve"> the extent to which an individual believes that </w:t>
      </w:r>
      <w:r w:rsidR="007C15BD" w:rsidRPr="007C15BD">
        <w:rPr>
          <w:sz w:val="22"/>
          <w:szCs w:val="22"/>
        </w:rPr>
        <w:t>organisational</w:t>
      </w:r>
      <w:r w:rsidRPr="00C2763C">
        <w:rPr>
          <w:sz w:val="22"/>
          <w:szCs w:val="22"/>
        </w:rPr>
        <w:t xml:space="preserve"> and technological infrastructure </w:t>
      </w:r>
      <w:r w:rsidR="007C15BD" w:rsidRPr="007C15BD">
        <w:rPr>
          <w:sz w:val="22"/>
          <w:szCs w:val="22"/>
        </w:rPr>
        <w:t>exists to support</w:t>
      </w:r>
      <w:r w:rsidRPr="00C2763C">
        <w:rPr>
          <w:sz w:val="22"/>
          <w:szCs w:val="22"/>
        </w:rPr>
        <w:t xml:space="preserve"> system</w:t>
      </w:r>
      <w:r w:rsidR="007C15BD" w:rsidRPr="007C15BD">
        <w:rPr>
          <w:sz w:val="22"/>
          <w:szCs w:val="22"/>
        </w:rPr>
        <w:t xml:space="preserve"> use.</w:t>
      </w:r>
      <w:r w:rsidRPr="00C2763C">
        <w:rPr>
          <w:sz w:val="22"/>
          <w:szCs w:val="22"/>
        </w:rPr>
        <w:t xml:space="preserve"> These </w:t>
      </w:r>
      <w:r w:rsidR="007C15BD" w:rsidRPr="007C15BD">
        <w:rPr>
          <w:sz w:val="22"/>
          <w:szCs w:val="22"/>
        </w:rPr>
        <w:t>constructs directly predict</w:t>
      </w:r>
      <w:r w:rsidRPr="00C2763C">
        <w:rPr>
          <w:sz w:val="22"/>
          <w:szCs w:val="22"/>
        </w:rPr>
        <w:t xml:space="preserve"> </w:t>
      </w:r>
      <w:proofErr w:type="spellStart"/>
      <w:r w:rsidRPr="00C2763C">
        <w:rPr>
          <w:sz w:val="22"/>
          <w:szCs w:val="22"/>
        </w:rPr>
        <w:t>Behavioral</w:t>
      </w:r>
      <w:proofErr w:type="spellEnd"/>
      <w:r w:rsidRPr="00C2763C">
        <w:rPr>
          <w:sz w:val="22"/>
          <w:szCs w:val="22"/>
        </w:rPr>
        <w:t xml:space="preserve"> Intention (BI) and </w:t>
      </w:r>
      <w:r w:rsidR="007C15BD" w:rsidRPr="007C15BD">
        <w:rPr>
          <w:sz w:val="22"/>
          <w:szCs w:val="22"/>
        </w:rPr>
        <w:t>subsequent</w:t>
      </w:r>
      <w:r w:rsidRPr="00C2763C">
        <w:rPr>
          <w:sz w:val="22"/>
          <w:szCs w:val="22"/>
        </w:rPr>
        <w:t xml:space="preserve"> Use </w:t>
      </w:r>
      <w:proofErr w:type="spellStart"/>
      <w:r w:rsidRPr="00C2763C">
        <w:rPr>
          <w:sz w:val="22"/>
          <w:szCs w:val="22"/>
        </w:rPr>
        <w:t>Behavior</w:t>
      </w:r>
      <w:proofErr w:type="spellEnd"/>
      <w:r w:rsidR="007C15BD" w:rsidRPr="007C15BD">
        <w:rPr>
          <w:sz w:val="22"/>
          <w:szCs w:val="22"/>
        </w:rPr>
        <w:t>,</w:t>
      </w:r>
      <w:r w:rsidRPr="00C2763C">
        <w:rPr>
          <w:sz w:val="22"/>
          <w:szCs w:val="22"/>
        </w:rPr>
        <w:t xml:space="preserve"> with gender, age, experience</w:t>
      </w:r>
      <w:r w:rsidR="007C15BD" w:rsidRPr="007C15BD">
        <w:rPr>
          <w:sz w:val="22"/>
          <w:szCs w:val="22"/>
        </w:rPr>
        <w:t>,</w:t>
      </w:r>
      <w:r w:rsidRPr="00C2763C">
        <w:rPr>
          <w:sz w:val="22"/>
          <w:szCs w:val="22"/>
        </w:rPr>
        <w:t xml:space="preserve"> and voluntariness of use acting as moderators (Venkatesh et al., 2003). </w:t>
      </w:r>
      <w:r w:rsidRPr="00C2763C">
        <w:rPr>
          <w:sz w:val="22"/>
          <w:szCs w:val="22"/>
        </w:rPr>
        <w:t xml:space="preserve">Venkatesh et al. (2012) </w:t>
      </w:r>
      <w:r w:rsidR="007C15BD" w:rsidRPr="007C15BD">
        <w:rPr>
          <w:sz w:val="22"/>
          <w:szCs w:val="22"/>
        </w:rPr>
        <w:t xml:space="preserve">later extended the </w:t>
      </w:r>
      <w:r w:rsidRPr="00C2763C">
        <w:rPr>
          <w:sz w:val="22"/>
          <w:szCs w:val="22"/>
        </w:rPr>
        <w:t xml:space="preserve">model as UTAUT2 </w:t>
      </w:r>
      <w:r w:rsidR="007C15BD" w:rsidRPr="007C15BD">
        <w:rPr>
          <w:sz w:val="22"/>
          <w:szCs w:val="22"/>
        </w:rPr>
        <w:t>by adding</w:t>
      </w:r>
      <w:r w:rsidRPr="00C2763C">
        <w:rPr>
          <w:sz w:val="22"/>
          <w:szCs w:val="22"/>
        </w:rPr>
        <w:t xml:space="preserve"> hedonic motivation, price value</w:t>
      </w:r>
      <w:r w:rsidR="007C15BD" w:rsidRPr="007C15BD">
        <w:rPr>
          <w:sz w:val="22"/>
          <w:szCs w:val="22"/>
        </w:rPr>
        <w:t>,</w:t>
      </w:r>
      <w:r w:rsidRPr="00C2763C">
        <w:rPr>
          <w:sz w:val="22"/>
          <w:szCs w:val="22"/>
        </w:rPr>
        <w:t xml:space="preserve"> and habit, </w:t>
      </w:r>
      <w:r w:rsidR="007C15BD" w:rsidRPr="007C15BD">
        <w:rPr>
          <w:sz w:val="22"/>
          <w:szCs w:val="22"/>
        </w:rPr>
        <w:t>thereby increasing its explanatory power</w:t>
      </w:r>
      <w:r w:rsidRPr="00C2763C">
        <w:rPr>
          <w:sz w:val="22"/>
          <w:szCs w:val="22"/>
        </w:rPr>
        <w:t xml:space="preserve"> in consumer-technology </w:t>
      </w:r>
      <w:r w:rsidR="007C15BD" w:rsidRPr="007C15BD">
        <w:rPr>
          <w:sz w:val="22"/>
          <w:szCs w:val="22"/>
        </w:rPr>
        <w:t>contexts</w:t>
      </w:r>
      <w:r w:rsidRPr="00C2763C">
        <w:rPr>
          <w:sz w:val="22"/>
          <w:szCs w:val="22"/>
        </w:rPr>
        <w:t>.</w:t>
      </w:r>
    </w:p>
    <w:p w14:paraId="648515C2" w14:textId="77777777" w:rsidR="00F43B96" w:rsidRDefault="00000000">
      <w:pPr>
        <w:pStyle w:val="Heading2"/>
        <w:spacing w:before="260" w:after="140"/>
      </w:pPr>
      <w:r>
        <w:rPr>
          <w:b/>
          <w:bCs/>
          <w:i/>
          <w:iCs/>
          <w:color w:val="1B2A4A"/>
          <w:sz w:val="23"/>
          <w:szCs w:val="23"/>
        </w:rPr>
        <w:t>2.2 Extending UTAUT to Complex and Intelligent Technologies</w:t>
      </w:r>
    </w:p>
    <w:p w14:paraId="09451F37" w14:textId="77777777" w:rsidR="00F43B96" w:rsidRDefault="00000000">
      <w:pPr>
        <w:spacing w:after="200" w:line="300" w:lineRule="auto"/>
        <w:jc w:val="both"/>
      </w:pPr>
      <w:r w:rsidRPr="00C2763C">
        <w:rPr>
          <w:sz w:val="22"/>
          <w:szCs w:val="22"/>
        </w:rPr>
        <w:t xml:space="preserve">UTAUT has been applied to </w:t>
      </w:r>
      <w:r w:rsidRPr="00C2763C">
        <w:rPr>
          <w:sz w:val="22"/>
          <w:szCs w:val="22"/>
        </w:rPr>
        <w:t xml:space="preserve">a </w:t>
      </w:r>
      <w:r w:rsidR="00B956BA" w:rsidRPr="00B956BA">
        <w:rPr>
          <w:sz w:val="22"/>
          <w:szCs w:val="22"/>
        </w:rPr>
        <w:t>wide</w:t>
      </w:r>
      <w:r w:rsidRPr="00C2763C">
        <w:rPr>
          <w:sz w:val="22"/>
          <w:szCs w:val="22"/>
        </w:rPr>
        <w:t xml:space="preserve"> range of technologies beyond standard enterprise systems</w:t>
      </w:r>
      <w:r w:rsidR="00B956BA" w:rsidRPr="00B956BA">
        <w:rPr>
          <w:sz w:val="22"/>
          <w:szCs w:val="22"/>
        </w:rPr>
        <w:t xml:space="preserve">, including the </w:t>
      </w:r>
      <w:r w:rsidRPr="00C2763C">
        <w:rPr>
          <w:sz w:val="22"/>
          <w:szCs w:val="22"/>
        </w:rPr>
        <w:t>Internet of Things, big data analytics</w:t>
      </w:r>
      <w:r w:rsidR="00B956BA" w:rsidRPr="00B956BA">
        <w:rPr>
          <w:sz w:val="22"/>
          <w:szCs w:val="22"/>
        </w:rPr>
        <w:t>,</w:t>
      </w:r>
      <w:r w:rsidRPr="00C2763C">
        <w:rPr>
          <w:sz w:val="22"/>
          <w:szCs w:val="22"/>
        </w:rPr>
        <w:t xml:space="preserve"> and robotics. In these contexts, researchers often </w:t>
      </w:r>
      <w:r w:rsidRPr="00C2763C">
        <w:rPr>
          <w:sz w:val="22"/>
          <w:szCs w:val="22"/>
        </w:rPr>
        <w:t xml:space="preserve">add </w:t>
      </w:r>
      <w:r w:rsidR="00B956BA" w:rsidRPr="00B956BA">
        <w:rPr>
          <w:sz w:val="22"/>
          <w:szCs w:val="22"/>
        </w:rPr>
        <w:t>further</w:t>
      </w:r>
      <w:r w:rsidRPr="00C2763C">
        <w:rPr>
          <w:sz w:val="22"/>
          <w:szCs w:val="22"/>
        </w:rPr>
        <w:t xml:space="preserve"> elements to the model to account for tec</w:t>
      </w:r>
      <w:r w:rsidRPr="00C2763C">
        <w:rPr>
          <w:sz w:val="22"/>
          <w:szCs w:val="22"/>
        </w:rPr>
        <w:t xml:space="preserve">hnology-specific complexity. As Tamilmani et al. (2021) </w:t>
      </w:r>
      <w:r w:rsidR="00B956BA" w:rsidRPr="00B956BA">
        <w:rPr>
          <w:sz w:val="22"/>
          <w:szCs w:val="22"/>
        </w:rPr>
        <w:t>show</w:t>
      </w:r>
      <w:r w:rsidRPr="00C2763C">
        <w:rPr>
          <w:sz w:val="22"/>
          <w:szCs w:val="22"/>
        </w:rPr>
        <w:t>, trust, personal innovativeness, and perceived risk are among the most common UTAUT2 extensions across domains</w:t>
      </w:r>
      <w:r w:rsidR="00B956BA" w:rsidRPr="00B956BA">
        <w:rPr>
          <w:sz w:val="22"/>
          <w:szCs w:val="22"/>
        </w:rPr>
        <w:t>. This provides</w:t>
      </w:r>
      <w:r w:rsidRPr="00C2763C">
        <w:rPr>
          <w:sz w:val="22"/>
          <w:szCs w:val="22"/>
        </w:rPr>
        <w:t xml:space="preserve"> a </w:t>
      </w:r>
      <w:r w:rsidR="00B956BA" w:rsidRPr="00B956BA">
        <w:rPr>
          <w:sz w:val="22"/>
          <w:szCs w:val="22"/>
        </w:rPr>
        <w:t xml:space="preserve">strong </w:t>
      </w:r>
      <w:r w:rsidRPr="00C2763C">
        <w:rPr>
          <w:sz w:val="22"/>
          <w:szCs w:val="22"/>
        </w:rPr>
        <w:t xml:space="preserve">precedent for the </w:t>
      </w:r>
      <w:r w:rsidRPr="00C2763C">
        <w:rPr>
          <w:sz w:val="22"/>
          <w:szCs w:val="22"/>
        </w:rPr>
        <w:t xml:space="preserve">contextual augmentation </w:t>
      </w:r>
      <w:r w:rsidR="00B956BA" w:rsidRPr="00B956BA">
        <w:rPr>
          <w:sz w:val="22"/>
          <w:szCs w:val="22"/>
        </w:rPr>
        <w:t xml:space="preserve">identified in </w:t>
      </w:r>
      <w:r w:rsidRPr="00C2763C">
        <w:rPr>
          <w:sz w:val="22"/>
          <w:szCs w:val="22"/>
        </w:rPr>
        <w:t xml:space="preserve">this review </w:t>
      </w:r>
      <w:r w:rsidR="00B956BA" w:rsidRPr="00B956BA">
        <w:rPr>
          <w:sz w:val="22"/>
          <w:szCs w:val="22"/>
        </w:rPr>
        <w:t xml:space="preserve">of </w:t>
      </w:r>
      <w:r w:rsidRPr="00C2763C">
        <w:rPr>
          <w:sz w:val="22"/>
          <w:szCs w:val="22"/>
        </w:rPr>
        <w:t xml:space="preserve">AI-adoption research. The </w:t>
      </w:r>
      <w:r w:rsidR="00B956BA" w:rsidRPr="00B956BA">
        <w:rPr>
          <w:sz w:val="22"/>
          <w:szCs w:val="22"/>
        </w:rPr>
        <w:t xml:space="preserve">need for </w:t>
      </w:r>
      <w:r w:rsidRPr="00C2763C">
        <w:rPr>
          <w:sz w:val="22"/>
          <w:szCs w:val="22"/>
        </w:rPr>
        <w:t xml:space="preserve">extension </w:t>
      </w:r>
      <w:r w:rsidRPr="00C2763C">
        <w:rPr>
          <w:sz w:val="22"/>
          <w:szCs w:val="22"/>
        </w:rPr>
        <w:t xml:space="preserve">is even more </w:t>
      </w:r>
      <w:r w:rsidR="00B956BA" w:rsidRPr="00B956BA">
        <w:rPr>
          <w:sz w:val="22"/>
          <w:szCs w:val="22"/>
        </w:rPr>
        <w:t xml:space="preserve">evident in </w:t>
      </w:r>
      <w:r w:rsidRPr="00C2763C">
        <w:rPr>
          <w:sz w:val="22"/>
          <w:szCs w:val="22"/>
        </w:rPr>
        <w:t>AI</w:t>
      </w:r>
      <w:r w:rsidR="00B956BA" w:rsidRPr="00B956BA">
        <w:rPr>
          <w:sz w:val="22"/>
          <w:szCs w:val="22"/>
        </w:rPr>
        <w:t xml:space="preserve"> contexts. Systematic</w:t>
      </w:r>
      <w:r w:rsidRPr="00C2763C">
        <w:rPr>
          <w:sz w:val="22"/>
          <w:szCs w:val="22"/>
        </w:rPr>
        <w:t xml:space="preserve"> reviews of </w:t>
      </w:r>
      <w:r w:rsidRPr="00C2763C">
        <w:rPr>
          <w:sz w:val="22"/>
          <w:szCs w:val="22"/>
        </w:rPr>
        <w:lastRenderedPageBreak/>
        <w:t xml:space="preserve">UTAUT and UTAUT2 applications to AI adoption in education (Xue, 2025) and </w:t>
      </w:r>
      <w:r w:rsidRPr="00C2763C">
        <w:rPr>
          <w:sz w:val="22"/>
          <w:szCs w:val="22"/>
        </w:rPr>
        <w:t xml:space="preserve">generative AI adoption </w:t>
      </w:r>
      <w:r w:rsidR="00B956BA" w:rsidRPr="00B956BA">
        <w:rPr>
          <w:sz w:val="22"/>
          <w:szCs w:val="22"/>
        </w:rPr>
        <w:t>among</w:t>
      </w:r>
      <w:r w:rsidRPr="00C2763C">
        <w:rPr>
          <w:sz w:val="22"/>
          <w:szCs w:val="22"/>
        </w:rPr>
        <w:t xml:space="preserve"> teaching academics (Nikolic et al., 2024) both </w:t>
      </w:r>
      <w:r w:rsidR="00B956BA" w:rsidRPr="00B956BA">
        <w:rPr>
          <w:sz w:val="22"/>
          <w:szCs w:val="22"/>
        </w:rPr>
        <w:t>show</w:t>
      </w:r>
      <w:r w:rsidRPr="00C2763C">
        <w:rPr>
          <w:sz w:val="22"/>
          <w:szCs w:val="22"/>
        </w:rPr>
        <w:t xml:space="preserve"> that </w:t>
      </w:r>
      <w:r w:rsidR="00B956BA" w:rsidRPr="00B956BA">
        <w:rPr>
          <w:sz w:val="22"/>
          <w:szCs w:val="22"/>
        </w:rPr>
        <w:t>most</w:t>
      </w:r>
      <w:r w:rsidRPr="00C2763C">
        <w:rPr>
          <w:sz w:val="22"/>
          <w:szCs w:val="22"/>
        </w:rPr>
        <w:t xml:space="preserve"> AI-focused studies add at least one non-core construct</w:t>
      </w:r>
      <w:r w:rsidR="00B956BA" w:rsidRPr="00B956BA">
        <w:rPr>
          <w:sz w:val="22"/>
          <w:szCs w:val="22"/>
        </w:rPr>
        <w:t>, particularly</w:t>
      </w:r>
      <w:r w:rsidRPr="00C2763C">
        <w:rPr>
          <w:sz w:val="22"/>
          <w:szCs w:val="22"/>
        </w:rPr>
        <w:t xml:space="preserve"> trust, perceived risk</w:t>
      </w:r>
      <w:r w:rsidR="00B956BA" w:rsidRPr="00B956BA">
        <w:rPr>
          <w:sz w:val="22"/>
          <w:szCs w:val="22"/>
        </w:rPr>
        <w:t>,</w:t>
      </w:r>
      <w:r w:rsidRPr="00C2763C">
        <w:rPr>
          <w:sz w:val="22"/>
          <w:szCs w:val="22"/>
        </w:rPr>
        <w:t xml:space="preserve"> or anxiety</w:t>
      </w:r>
      <w:r w:rsidR="00B956BA" w:rsidRPr="00B956BA">
        <w:rPr>
          <w:sz w:val="22"/>
          <w:szCs w:val="22"/>
        </w:rPr>
        <w:t>,</w:t>
      </w:r>
      <w:r w:rsidRPr="00C2763C">
        <w:rPr>
          <w:sz w:val="22"/>
          <w:szCs w:val="22"/>
        </w:rPr>
        <w:t xml:space="preserve"> to the baseline model.</w:t>
      </w:r>
    </w:p>
    <w:p w14:paraId="4395604F" w14:textId="77777777" w:rsidR="00F43B96" w:rsidRDefault="005B45EA">
      <w:pPr>
        <w:spacing w:after="200" w:line="300" w:lineRule="auto"/>
        <w:jc w:val="both"/>
      </w:pPr>
      <w:r w:rsidRPr="005B45EA">
        <w:rPr>
          <w:sz w:val="22"/>
          <w:szCs w:val="22"/>
        </w:rPr>
        <w:t>Research in related areas also shows the value of extending UTAUT with additional constructs. Musa et al. (2016), for example,</w:t>
      </w:r>
      <w:r w:rsidR="00000000" w:rsidRPr="005B45EA">
        <w:rPr>
          <w:sz w:val="22"/>
          <w:szCs w:val="22"/>
        </w:rPr>
        <w:t xml:space="preserve"> found that trust and perceived compatibility </w:t>
      </w:r>
      <w:r w:rsidR="00000000" w:rsidRPr="005B45EA">
        <w:rPr>
          <w:sz w:val="22"/>
          <w:szCs w:val="22"/>
        </w:rPr>
        <w:t xml:space="preserve">improved the explanatory power of UTAUT </w:t>
      </w:r>
      <w:r w:rsidRPr="005B45EA">
        <w:rPr>
          <w:sz w:val="22"/>
          <w:szCs w:val="22"/>
        </w:rPr>
        <w:t>in a study of mobile marketing adoption among SMEs. More</w:t>
      </w:r>
      <w:r w:rsidR="00000000" w:rsidRPr="005B45EA">
        <w:rPr>
          <w:sz w:val="22"/>
          <w:szCs w:val="22"/>
        </w:rPr>
        <w:t xml:space="preserve"> recent </w:t>
      </w:r>
      <w:r w:rsidRPr="005B45EA">
        <w:rPr>
          <w:sz w:val="22"/>
          <w:szCs w:val="22"/>
        </w:rPr>
        <w:t xml:space="preserve">work on </w:t>
      </w:r>
      <w:r w:rsidR="00000000" w:rsidRPr="005B45EA">
        <w:rPr>
          <w:sz w:val="22"/>
          <w:szCs w:val="22"/>
        </w:rPr>
        <w:t xml:space="preserve">AI marketing tools </w:t>
      </w:r>
      <w:r w:rsidRPr="005B45EA">
        <w:rPr>
          <w:sz w:val="22"/>
          <w:szCs w:val="22"/>
        </w:rPr>
        <w:t xml:space="preserve">has produced similar findings </w:t>
      </w:r>
      <w:r w:rsidR="00000000" w:rsidRPr="005B45EA">
        <w:rPr>
          <w:sz w:val="22"/>
          <w:szCs w:val="22"/>
        </w:rPr>
        <w:t xml:space="preserve">(Jumaat et al., 2025). Taken together, these studies </w:t>
      </w:r>
      <w:r w:rsidRPr="005B45EA">
        <w:rPr>
          <w:sz w:val="22"/>
          <w:szCs w:val="22"/>
        </w:rPr>
        <w:t>suggest</w:t>
      </w:r>
      <w:r w:rsidR="00000000" w:rsidRPr="005B45EA">
        <w:rPr>
          <w:sz w:val="22"/>
          <w:szCs w:val="22"/>
        </w:rPr>
        <w:t xml:space="preserve"> that as technologies become more sophisticated and </w:t>
      </w:r>
      <w:r w:rsidRPr="005B45EA">
        <w:rPr>
          <w:sz w:val="22"/>
          <w:szCs w:val="22"/>
        </w:rPr>
        <w:t>autonomous, users increasingly rely</w:t>
      </w:r>
      <w:r w:rsidR="00000000" w:rsidRPr="005B45EA">
        <w:rPr>
          <w:sz w:val="22"/>
          <w:szCs w:val="22"/>
        </w:rPr>
        <w:t xml:space="preserve"> on </w:t>
      </w:r>
      <w:r w:rsidR="00000000" w:rsidRPr="005B45EA">
        <w:rPr>
          <w:sz w:val="22"/>
          <w:szCs w:val="22"/>
        </w:rPr>
        <w:t>relational and trust-based judgments</w:t>
      </w:r>
      <w:r w:rsidRPr="005B45EA">
        <w:rPr>
          <w:sz w:val="22"/>
          <w:szCs w:val="22"/>
        </w:rPr>
        <w:t>. This view is also consistent</w:t>
      </w:r>
      <w:r w:rsidR="00000000" w:rsidRPr="005B45EA">
        <w:rPr>
          <w:sz w:val="22"/>
          <w:szCs w:val="22"/>
        </w:rPr>
        <w:t xml:space="preserve"> with </w:t>
      </w:r>
      <w:r w:rsidR="00000000" w:rsidRPr="005B45EA">
        <w:rPr>
          <w:sz w:val="22"/>
          <w:szCs w:val="22"/>
        </w:rPr>
        <w:t>service</w:t>
      </w:r>
      <w:r w:rsidRPr="005B45EA">
        <w:rPr>
          <w:sz w:val="22"/>
          <w:szCs w:val="22"/>
        </w:rPr>
        <w:t>-</w:t>
      </w:r>
      <w:r w:rsidR="00000000" w:rsidRPr="005B45EA">
        <w:rPr>
          <w:sz w:val="22"/>
          <w:szCs w:val="22"/>
        </w:rPr>
        <w:t xml:space="preserve">sector </w:t>
      </w:r>
      <w:r w:rsidRPr="005B45EA">
        <w:rPr>
          <w:sz w:val="22"/>
          <w:szCs w:val="22"/>
        </w:rPr>
        <w:t xml:space="preserve">evidence, </w:t>
      </w:r>
      <w:r w:rsidR="00000000" w:rsidRPr="005B45EA">
        <w:rPr>
          <w:sz w:val="22"/>
          <w:szCs w:val="22"/>
        </w:rPr>
        <w:t xml:space="preserve">where Shafeeq et al. (2026) found that trust in service providers and perceived competence </w:t>
      </w:r>
      <w:r w:rsidRPr="005B45EA">
        <w:rPr>
          <w:sz w:val="22"/>
          <w:szCs w:val="22"/>
        </w:rPr>
        <w:t>were</w:t>
      </w:r>
      <w:r w:rsidR="00000000" w:rsidRPr="005B45EA">
        <w:rPr>
          <w:sz w:val="22"/>
          <w:szCs w:val="22"/>
        </w:rPr>
        <w:t xml:space="preserve"> key </w:t>
      </w:r>
      <w:r w:rsidRPr="005B45EA">
        <w:rPr>
          <w:sz w:val="22"/>
          <w:szCs w:val="22"/>
        </w:rPr>
        <w:t xml:space="preserve">determinants of </w:t>
      </w:r>
      <w:r w:rsidR="00000000" w:rsidRPr="005B45EA">
        <w:rPr>
          <w:sz w:val="22"/>
          <w:szCs w:val="22"/>
        </w:rPr>
        <w:t xml:space="preserve">user </w:t>
      </w:r>
      <w:r w:rsidRPr="005B45EA">
        <w:rPr>
          <w:sz w:val="22"/>
          <w:szCs w:val="22"/>
        </w:rPr>
        <w:t>satisfaction. Such dynamics closely resemble</w:t>
      </w:r>
      <w:r w:rsidR="00000000" w:rsidRPr="005B45EA">
        <w:rPr>
          <w:sz w:val="22"/>
          <w:szCs w:val="22"/>
        </w:rPr>
        <w:t xml:space="preserve"> the human–AI interaction </w:t>
      </w:r>
      <w:r w:rsidRPr="005B45EA">
        <w:rPr>
          <w:sz w:val="22"/>
          <w:szCs w:val="22"/>
        </w:rPr>
        <w:t>context examined in the present review</w:t>
      </w:r>
      <w:r w:rsidR="00000000" w:rsidRPr="005B45EA">
        <w:rPr>
          <w:sz w:val="22"/>
          <w:szCs w:val="22"/>
        </w:rPr>
        <w:t>.</w:t>
      </w:r>
    </w:p>
    <w:p w14:paraId="1C886B61" w14:textId="77777777" w:rsidR="00F43B96" w:rsidRDefault="00000000">
      <w:pPr>
        <w:spacing w:after="200" w:line="300" w:lineRule="auto"/>
        <w:jc w:val="both"/>
      </w:pPr>
      <w:r w:rsidRPr="00C2763C">
        <w:rPr>
          <w:sz w:val="22"/>
          <w:szCs w:val="22"/>
        </w:rPr>
        <w:t xml:space="preserve">Artificial-intelligence systems </w:t>
      </w:r>
      <w:r w:rsidR="000C503B" w:rsidRPr="000C503B">
        <w:rPr>
          <w:sz w:val="22"/>
          <w:szCs w:val="22"/>
        </w:rPr>
        <w:t>possess characteristics</w:t>
      </w:r>
      <w:r w:rsidRPr="00C2763C">
        <w:rPr>
          <w:sz w:val="22"/>
          <w:szCs w:val="22"/>
        </w:rPr>
        <w:t xml:space="preserve"> that </w:t>
      </w:r>
      <w:r w:rsidR="000C503B" w:rsidRPr="000C503B">
        <w:rPr>
          <w:sz w:val="22"/>
          <w:szCs w:val="22"/>
        </w:rPr>
        <w:t>distinguish</w:t>
      </w:r>
      <w:r w:rsidRPr="00C2763C">
        <w:rPr>
          <w:sz w:val="22"/>
          <w:szCs w:val="22"/>
        </w:rPr>
        <w:t xml:space="preserve"> them </w:t>
      </w:r>
      <w:r w:rsidRPr="00C2763C">
        <w:rPr>
          <w:sz w:val="22"/>
          <w:szCs w:val="22"/>
        </w:rPr>
        <w:t xml:space="preserve">from </w:t>
      </w:r>
      <w:r w:rsidR="000C503B" w:rsidRPr="000C503B">
        <w:rPr>
          <w:sz w:val="22"/>
          <w:szCs w:val="22"/>
        </w:rPr>
        <w:t>earlier</w:t>
      </w:r>
      <w:r w:rsidRPr="00C2763C">
        <w:rPr>
          <w:sz w:val="22"/>
          <w:szCs w:val="22"/>
        </w:rPr>
        <w:t xml:space="preserve"> generations of technology. </w:t>
      </w:r>
      <w:r w:rsidR="000C503B" w:rsidRPr="000C503B">
        <w:rPr>
          <w:sz w:val="22"/>
          <w:szCs w:val="22"/>
        </w:rPr>
        <w:t xml:space="preserve">Among the </w:t>
      </w:r>
      <w:r w:rsidRPr="00C2763C">
        <w:rPr>
          <w:sz w:val="22"/>
          <w:szCs w:val="22"/>
        </w:rPr>
        <w:t xml:space="preserve">most important are adaptivity and learning, </w:t>
      </w:r>
      <w:r w:rsidR="000C503B" w:rsidRPr="000C503B">
        <w:rPr>
          <w:sz w:val="22"/>
          <w:szCs w:val="22"/>
        </w:rPr>
        <w:t>through</w:t>
      </w:r>
      <w:r w:rsidRPr="00C2763C">
        <w:rPr>
          <w:sz w:val="22"/>
          <w:szCs w:val="22"/>
        </w:rPr>
        <w:t xml:space="preserve"> which AI systems </w:t>
      </w:r>
      <w:r w:rsidR="000C503B" w:rsidRPr="000C503B">
        <w:rPr>
          <w:sz w:val="22"/>
          <w:szCs w:val="22"/>
        </w:rPr>
        <w:t>improve their</w:t>
      </w:r>
      <w:r w:rsidRPr="00C2763C">
        <w:rPr>
          <w:sz w:val="22"/>
          <w:szCs w:val="22"/>
        </w:rPr>
        <w:t xml:space="preserve"> performance </w:t>
      </w:r>
      <w:r w:rsidR="000C503B" w:rsidRPr="000C503B">
        <w:rPr>
          <w:sz w:val="22"/>
          <w:szCs w:val="22"/>
        </w:rPr>
        <w:t xml:space="preserve">based </w:t>
      </w:r>
      <w:r w:rsidRPr="00C2763C">
        <w:rPr>
          <w:sz w:val="22"/>
          <w:szCs w:val="22"/>
        </w:rPr>
        <w:t xml:space="preserve">on exposure to </w:t>
      </w:r>
      <w:r w:rsidR="000C503B" w:rsidRPr="000C503B">
        <w:rPr>
          <w:sz w:val="22"/>
          <w:szCs w:val="22"/>
        </w:rPr>
        <w:t>new</w:t>
      </w:r>
      <w:r w:rsidRPr="00C2763C">
        <w:rPr>
          <w:sz w:val="22"/>
          <w:szCs w:val="22"/>
        </w:rPr>
        <w:t xml:space="preserve"> data, unlike static</w:t>
      </w:r>
      <w:r w:rsidR="000C503B" w:rsidRPr="000C503B">
        <w:rPr>
          <w:sz w:val="22"/>
          <w:szCs w:val="22"/>
        </w:rPr>
        <w:t xml:space="preserve"> rule</w:t>
      </w:r>
      <w:r w:rsidRPr="00C2763C">
        <w:rPr>
          <w:sz w:val="22"/>
          <w:szCs w:val="22"/>
        </w:rPr>
        <w:t xml:space="preserve">-based software. </w:t>
      </w:r>
      <w:r w:rsidR="000C503B" w:rsidRPr="000C503B">
        <w:rPr>
          <w:sz w:val="22"/>
          <w:szCs w:val="22"/>
        </w:rPr>
        <w:t xml:space="preserve">This capacity also introduces a degree of autonomy, allowing AI systems to make decisions and perform tasks with reduced human oversight. Autonomy is often accompanied by </w:t>
      </w:r>
      <w:r w:rsidRPr="00C2763C">
        <w:rPr>
          <w:sz w:val="22"/>
          <w:szCs w:val="22"/>
        </w:rPr>
        <w:t>opacity</w:t>
      </w:r>
      <w:r w:rsidR="000C503B" w:rsidRPr="000C503B">
        <w:rPr>
          <w:sz w:val="22"/>
          <w:szCs w:val="22"/>
        </w:rPr>
        <w:t>, as</w:t>
      </w:r>
      <w:r w:rsidRPr="00C2763C">
        <w:rPr>
          <w:sz w:val="22"/>
          <w:szCs w:val="22"/>
        </w:rPr>
        <w:t xml:space="preserve"> the internal decision logic of </w:t>
      </w:r>
      <w:r w:rsidR="000C503B" w:rsidRPr="000C503B">
        <w:rPr>
          <w:sz w:val="22"/>
          <w:szCs w:val="22"/>
        </w:rPr>
        <w:t>complex</w:t>
      </w:r>
      <w:r w:rsidRPr="00C2763C">
        <w:rPr>
          <w:sz w:val="22"/>
          <w:szCs w:val="22"/>
        </w:rPr>
        <w:t xml:space="preserve"> machine-learning models can be difficult to </w:t>
      </w:r>
      <w:r w:rsidR="000C503B" w:rsidRPr="000C503B">
        <w:rPr>
          <w:sz w:val="22"/>
          <w:szCs w:val="22"/>
        </w:rPr>
        <w:t>understand, giving rise</w:t>
      </w:r>
      <w:r w:rsidRPr="00C2763C">
        <w:rPr>
          <w:sz w:val="22"/>
          <w:szCs w:val="22"/>
        </w:rPr>
        <w:t xml:space="preserve"> to the well-documented “black box” problem (Shin, 2021). AI systems also frequently </w:t>
      </w:r>
      <w:r w:rsidR="000C503B" w:rsidRPr="000C503B">
        <w:rPr>
          <w:sz w:val="22"/>
          <w:szCs w:val="22"/>
        </w:rPr>
        <w:t>provide high levels of personalisation by tailoring</w:t>
      </w:r>
      <w:r w:rsidRPr="00C2763C">
        <w:rPr>
          <w:sz w:val="22"/>
          <w:szCs w:val="22"/>
        </w:rPr>
        <w:t xml:space="preserve"> outputs to individual users. Together, adaptivity, autonomy, opacity</w:t>
      </w:r>
      <w:r w:rsidR="000C503B" w:rsidRPr="000C503B">
        <w:rPr>
          <w:sz w:val="22"/>
          <w:szCs w:val="22"/>
        </w:rPr>
        <w:t>, and personalisation create</w:t>
      </w:r>
      <w:r w:rsidRPr="00C2763C">
        <w:rPr>
          <w:sz w:val="22"/>
          <w:szCs w:val="22"/>
        </w:rPr>
        <w:t xml:space="preserve"> a distinctive set of use</w:t>
      </w:r>
      <w:r w:rsidRPr="00C2763C">
        <w:rPr>
          <w:sz w:val="22"/>
          <w:szCs w:val="22"/>
        </w:rPr>
        <w:t xml:space="preserve">r perceptions and concerns </w:t>
      </w:r>
      <w:r w:rsidR="000C503B" w:rsidRPr="000C503B">
        <w:rPr>
          <w:sz w:val="22"/>
          <w:szCs w:val="22"/>
        </w:rPr>
        <w:t>that are not fully</w:t>
      </w:r>
      <w:r w:rsidRPr="00C2763C">
        <w:rPr>
          <w:sz w:val="22"/>
          <w:szCs w:val="22"/>
        </w:rPr>
        <w:t xml:space="preserve"> captured by the original UTAUT </w:t>
      </w:r>
      <w:r w:rsidR="000C503B" w:rsidRPr="000C503B">
        <w:rPr>
          <w:sz w:val="22"/>
          <w:szCs w:val="22"/>
        </w:rPr>
        <w:t>constructs</w:t>
      </w:r>
      <w:r w:rsidRPr="00C2763C">
        <w:rPr>
          <w:sz w:val="22"/>
          <w:szCs w:val="22"/>
        </w:rPr>
        <w:t>.</w:t>
      </w:r>
    </w:p>
    <w:p w14:paraId="114E5572" w14:textId="77777777" w:rsidR="00F43B96" w:rsidRDefault="00000000">
      <w:pPr>
        <w:pStyle w:val="Heading2"/>
        <w:spacing w:before="260" w:after="140"/>
      </w:pPr>
      <w:r>
        <w:rPr>
          <w:b/>
          <w:bCs/>
          <w:i/>
          <w:iCs/>
          <w:color w:val="1B2A4A"/>
          <w:sz w:val="23"/>
          <w:szCs w:val="23"/>
        </w:rPr>
        <w:t>2.3 Perceived Intelligence and Trust in AI</w:t>
      </w:r>
    </w:p>
    <w:p w14:paraId="17EC296D" w14:textId="77777777" w:rsidR="00F43B96" w:rsidRDefault="00000000">
      <w:pPr>
        <w:spacing w:after="200" w:line="300" w:lineRule="auto"/>
        <w:jc w:val="both"/>
      </w:pPr>
      <w:r w:rsidRPr="00C2763C">
        <w:rPr>
          <w:sz w:val="22"/>
          <w:szCs w:val="22"/>
        </w:rPr>
        <w:t xml:space="preserve">This gap has </w:t>
      </w:r>
      <w:r w:rsidRPr="00D70BF2">
        <w:rPr>
          <w:sz w:val="22"/>
          <w:szCs w:val="22"/>
        </w:rPr>
        <w:t>encouraged the development of</w:t>
      </w:r>
      <w:r w:rsidRPr="00C2763C">
        <w:rPr>
          <w:sz w:val="22"/>
          <w:szCs w:val="22"/>
        </w:rPr>
        <w:t xml:space="preserve"> new theoretical constructs in the literature. Perceived Intelligence (PI) refers to </w:t>
      </w:r>
      <w:r w:rsidRPr="00D70BF2">
        <w:rPr>
          <w:sz w:val="22"/>
          <w:szCs w:val="22"/>
        </w:rPr>
        <w:t>a user's</w:t>
      </w:r>
      <w:r w:rsidRPr="00C2763C">
        <w:rPr>
          <w:sz w:val="22"/>
          <w:szCs w:val="22"/>
        </w:rPr>
        <w:t xml:space="preserve"> perception of </w:t>
      </w:r>
      <w:r w:rsidRPr="00D70BF2">
        <w:rPr>
          <w:sz w:val="22"/>
          <w:szCs w:val="22"/>
        </w:rPr>
        <w:t>a system's</w:t>
      </w:r>
      <w:r w:rsidRPr="00C2763C">
        <w:rPr>
          <w:sz w:val="22"/>
          <w:szCs w:val="22"/>
        </w:rPr>
        <w:t xml:space="preserve"> ability to learn, reason, </w:t>
      </w:r>
      <w:r w:rsidRPr="00C2763C">
        <w:rPr>
          <w:sz w:val="22"/>
          <w:szCs w:val="22"/>
        </w:rPr>
        <w:t xml:space="preserve">solve </w:t>
      </w:r>
      <w:r w:rsidRPr="00D70BF2">
        <w:rPr>
          <w:sz w:val="22"/>
          <w:szCs w:val="22"/>
        </w:rPr>
        <w:t xml:space="preserve">problems, </w:t>
      </w:r>
      <w:r w:rsidRPr="00C2763C">
        <w:rPr>
          <w:sz w:val="22"/>
          <w:szCs w:val="22"/>
        </w:rPr>
        <w:t>and adapt to new situations</w:t>
      </w:r>
      <w:r w:rsidR="00F65105" w:rsidRPr="00F65105">
        <w:rPr>
          <w:sz w:val="22"/>
          <w:szCs w:val="22"/>
        </w:rPr>
        <w:t>.</w:t>
      </w:r>
      <w:r w:rsidRPr="00C2763C">
        <w:rPr>
          <w:sz w:val="22"/>
          <w:szCs w:val="22"/>
        </w:rPr>
        <w:t xml:space="preserve"> </w:t>
      </w:r>
      <w:r w:rsidRPr="00D70BF2">
        <w:rPr>
          <w:sz w:val="22"/>
          <w:szCs w:val="22"/>
        </w:rPr>
        <w:t>Unlike conventional evaluations of system</w:t>
      </w:r>
      <w:r w:rsidRPr="00C2763C">
        <w:rPr>
          <w:sz w:val="22"/>
          <w:szCs w:val="22"/>
        </w:rPr>
        <w:t xml:space="preserve"> performance</w:t>
      </w:r>
      <w:r w:rsidRPr="00D70BF2">
        <w:rPr>
          <w:sz w:val="22"/>
          <w:szCs w:val="22"/>
        </w:rPr>
        <w:t xml:space="preserve">, PI focuses on </w:t>
      </w:r>
      <w:r w:rsidRPr="00C2763C">
        <w:rPr>
          <w:sz w:val="22"/>
          <w:szCs w:val="22"/>
        </w:rPr>
        <w:t xml:space="preserve">the cognitive-like </w:t>
      </w:r>
      <w:r w:rsidRPr="00D70BF2">
        <w:rPr>
          <w:sz w:val="22"/>
          <w:szCs w:val="22"/>
        </w:rPr>
        <w:t>qualities that users attribute to an AI system.</w:t>
      </w:r>
      <w:r w:rsidRPr="00C2763C">
        <w:rPr>
          <w:sz w:val="22"/>
          <w:szCs w:val="22"/>
        </w:rPr>
        <w:t xml:space="preserve"> Trust in AI, which is closely related to PI, </w:t>
      </w:r>
      <w:r w:rsidRPr="00D70BF2">
        <w:rPr>
          <w:sz w:val="22"/>
          <w:szCs w:val="22"/>
        </w:rPr>
        <w:t xml:space="preserve">refers to </w:t>
      </w:r>
      <w:r w:rsidRPr="00C2763C">
        <w:rPr>
          <w:sz w:val="22"/>
          <w:szCs w:val="22"/>
        </w:rPr>
        <w:t xml:space="preserve">a psychological </w:t>
      </w:r>
      <w:r w:rsidRPr="00D70BF2">
        <w:rPr>
          <w:sz w:val="22"/>
          <w:szCs w:val="22"/>
        </w:rPr>
        <w:t>state in which users are willing to accept</w:t>
      </w:r>
      <w:r w:rsidRPr="00C2763C">
        <w:rPr>
          <w:sz w:val="22"/>
          <w:szCs w:val="22"/>
        </w:rPr>
        <w:t xml:space="preserve"> vulnerability based on </w:t>
      </w:r>
      <w:r w:rsidRPr="00D70BF2">
        <w:rPr>
          <w:sz w:val="22"/>
          <w:szCs w:val="22"/>
        </w:rPr>
        <w:t>favourable</w:t>
      </w:r>
      <w:r w:rsidRPr="00C2763C">
        <w:rPr>
          <w:sz w:val="22"/>
          <w:szCs w:val="22"/>
        </w:rPr>
        <w:t xml:space="preserve"> expect</w:t>
      </w:r>
      <w:r w:rsidRPr="00C2763C">
        <w:rPr>
          <w:sz w:val="22"/>
          <w:szCs w:val="22"/>
        </w:rPr>
        <w:t xml:space="preserve">ations </w:t>
      </w:r>
      <w:r w:rsidRPr="00D70BF2">
        <w:rPr>
          <w:sz w:val="22"/>
          <w:szCs w:val="22"/>
        </w:rPr>
        <w:t>about</w:t>
      </w:r>
      <w:r w:rsidRPr="00C2763C">
        <w:rPr>
          <w:sz w:val="22"/>
          <w:szCs w:val="22"/>
        </w:rPr>
        <w:t xml:space="preserve"> the AI </w:t>
      </w:r>
      <w:r w:rsidRPr="00D70BF2">
        <w:rPr>
          <w:sz w:val="22"/>
          <w:szCs w:val="22"/>
        </w:rPr>
        <w:t xml:space="preserve">system's actions or intentions </w:t>
      </w:r>
      <w:r w:rsidRPr="00C2763C">
        <w:rPr>
          <w:sz w:val="22"/>
          <w:szCs w:val="22"/>
        </w:rPr>
        <w:t>(</w:t>
      </w:r>
      <w:proofErr w:type="spellStart"/>
      <w:r w:rsidRPr="00C2763C">
        <w:rPr>
          <w:sz w:val="22"/>
          <w:szCs w:val="22"/>
        </w:rPr>
        <w:t>Kauttonen</w:t>
      </w:r>
      <w:proofErr w:type="spellEnd"/>
      <w:r w:rsidRPr="00C2763C">
        <w:rPr>
          <w:sz w:val="22"/>
          <w:szCs w:val="22"/>
        </w:rPr>
        <w:t xml:space="preserve"> et al., 2025). This trust is usually multidimensional</w:t>
      </w:r>
      <w:r w:rsidRPr="00D70BF2">
        <w:rPr>
          <w:sz w:val="22"/>
          <w:szCs w:val="22"/>
        </w:rPr>
        <w:t xml:space="preserve"> and includes</w:t>
      </w:r>
      <w:r w:rsidRPr="00C2763C">
        <w:rPr>
          <w:sz w:val="22"/>
          <w:szCs w:val="22"/>
        </w:rPr>
        <w:t xml:space="preserve"> competence-based trust</w:t>
      </w:r>
      <w:r w:rsidRPr="00D70BF2">
        <w:rPr>
          <w:sz w:val="22"/>
          <w:szCs w:val="22"/>
        </w:rPr>
        <w:t>, which concerns whether the AI works</w:t>
      </w:r>
      <w:r w:rsidRPr="00C2763C">
        <w:rPr>
          <w:sz w:val="22"/>
          <w:szCs w:val="22"/>
        </w:rPr>
        <w:t xml:space="preserve"> reliably</w:t>
      </w:r>
      <w:r w:rsidRPr="00D70BF2">
        <w:rPr>
          <w:sz w:val="22"/>
          <w:szCs w:val="22"/>
        </w:rPr>
        <w:t>;</w:t>
      </w:r>
      <w:r w:rsidRPr="00C2763C">
        <w:rPr>
          <w:sz w:val="22"/>
          <w:szCs w:val="22"/>
        </w:rPr>
        <w:t xml:space="preserve"> integrity-based trust</w:t>
      </w:r>
      <w:r w:rsidRPr="00D70BF2">
        <w:rPr>
          <w:sz w:val="22"/>
          <w:szCs w:val="22"/>
        </w:rPr>
        <w:t xml:space="preserve">, which concerns whether the AI is </w:t>
      </w:r>
      <w:r w:rsidRPr="00C2763C">
        <w:rPr>
          <w:sz w:val="22"/>
          <w:szCs w:val="22"/>
        </w:rPr>
        <w:t>fair and unbiased</w:t>
      </w:r>
      <w:r w:rsidRPr="00D70BF2">
        <w:rPr>
          <w:sz w:val="22"/>
          <w:szCs w:val="22"/>
        </w:rPr>
        <w:t>;</w:t>
      </w:r>
      <w:r w:rsidRPr="00C2763C">
        <w:rPr>
          <w:sz w:val="22"/>
          <w:szCs w:val="22"/>
        </w:rPr>
        <w:t xml:space="preserve"> and benevolence</w:t>
      </w:r>
      <w:r w:rsidRPr="00D70BF2">
        <w:rPr>
          <w:sz w:val="22"/>
          <w:szCs w:val="22"/>
        </w:rPr>
        <w:t>, which concerns whether the AI acts in the user's</w:t>
      </w:r>
      <w:r w:rsidRPr="00C2763C">
        <w:rPr>
          <w:sz w:val="22"/>
          <w:szCs w:val="22"/>
        </w:rPr>
        <w:t xml:space="preserve"> interest</w:t>
      </w:r>
      <w:r w:rsidRPr="00D70BF2">
        <w:rPr>
          <w:sz w:val="22"/>
          <w:szCs w:val="22"/>
        </w:rPr>
        <w:t>.</w:t>
      </w:r>
      <w:r w:rsidRPr="00C2763C">
        <w:rPr>
          <w:sz w:val="22"/>
          <w:szCs w:val="22"/>
        </w:rPr>
        <w:t xml:space="preserve"> Explainability research further strengthens this connection. Shin (2021) finds that explainability and </w:t>
      </w:r>
      <w:proofErr w:type="spellStart"/>
      <w:r w:rsidRPr="00C2763C">
        <w:rPr>
          <w:sz w:val="22"/>
          <w:szCs w:val="22"/>
        </w:rPr>
        <w:t>causability</w:t>
      </w:r>
      <w:proofErr w:type="spellEnd"/>
      <w:r w:rsidRPr="00C2763C">
        <w:rPr>
          <w:sz w:val="22"/>
          <w:szCs w:val="22"/>
        </w:rPr>
        <w:t xml:space="preserve"> are antecedents of algorithmic trust, </w:t>
      </w:r>
      <w:r w:rsidRPr="00D70BF2">
        <w:rPr>
          <w:sz w:val="22"/>
          <w:szCs w:val="22"/>
        </w:rPr>
        <w:t>shaping users'</w:t>
      </w:r>
      <w:r w:rsidRPr="00C2763C">
        <w:rPr>
          <w:sz w:val="22"/>
          <w:szCs w:val="22"/>
        </w:rPr>
        <w:t xml:space="preserve"> perceptions of AI performance and</w:t>
      </w:r>
      <w:r w:rsidRPr="00D70BF2">
        <w:rPr>
          <w:sz w:val="22"/>
          <w:szCs w:val="22"/>
        </w:rPr>
        <w:t>,</w:t>
      </w:r>
      <w:r w:rsidRPr="00C2763C">
        <w:rPr>
          <w:sz w:val="22"/>
          <w:szCs w:val="22"/>
        </w:rPr>
        <w:t xml:space="preserve"> ultimately</w:t>
      </w:r>
      <w:r w:rsidRPr="00D70BF2">
        <w:rPr>
          <w:sz w:val="22"/>
          <w:szCs w:val="22"/>
        </w:rPr>
        <w:t>,</w:t>
      </w:r>
      <w:r w:rsidRPr="00C2763C">
        <w:rPr>
          <w:sz w:val="22"/>
          <w:szCs w:val="22"/>
        </w:rPr>
        <w:t xml:space="preserve"> adoption. </w:t>
      </w:r>
      <w:r w:rsidRPr="00D70BF2">
        <w:rPr>
          <w:sz w:val="22"/>
          <w:szCs w:val="22"/>
        </w:rPr>
        <w:t>Algorithmic bias is another</w:t>
      </w:r>
      <w:r w:rsidRPr="00C2763C">
        <w:rPr>
          <w:sz w:val="22"/>
          <w:szCs w:val="22"/>
        </w:rPr>
        <w:t xml:space="preserve"> related </w:t>
      </w:r>
      <w:r w:rsidRPr="00D70BF2">
        <w:rPr>
          <w:sz w:val="22"/>
          <w:szCs w:val="22"/>
        </w:rPr>
        <w:t>concern.</w:t>
      </w:r>
      <w:r w:rsidRPr="00C2763C">
        <w:rPr>
          <w:sz w:val="22"/>
          <w:szCs w:val="22"/>
        </w:rPr>
        <w:t xml:space="preserve"> Pasipamire and Muroyiwa (2024) suggest that perceived algorithmic bias directly weakens information fairness and trust, both of which are necessary for sustained AI acceptance.</w:t>
      </w:r>
    </w:p>
    <w:p w14:paraId="251F9E38" w14:textId="77777777" w:rsidR="00F43B96" w:rsidRDefault="00000000">
      <w:pPr>
        <w:spacing w:after="200" w:line="300" w:lineRule="auto"/>
        <w:jc w:val="both"/>
      </w:pPr>
      <w:r w:rsidRPr="00C2763C">
        <w:rPr>
          <w:sz w:val="22"/>
          <w:szCs w:val="22"/>
        </w:rPr>
        <w:t xml:space="preserve">Overall, the literature </w:t>
      </w:r>
      <w:r w:rsidR="0056743E" w:rsidRPr="0056743E">
        <w:rPr>
          <w:sz w:val="22"/>
          <w:szCs w:val="22"/>
        </w:rPr>
        <w:t>indicates</w:t>
      </w:r>
      <w:r w:rsidRPr="00C2763C">
        <w:rPr>
          <w:sz w:val="22"/>
          <w:szCs w:val="22"/>
        </w:rPr>
        <w:t xml:space="preserve"> a </w:t>
      </w:r>
      <w:r w:rsidR="0056743E" w:rsidRPr="0056743E">
        <w:rPr>
          <w:sz w:val="22"/>
          <w:szCs w:val="22"/>
        </w:rPr>
        <w:t>mutually reinforcing relationship</w:t>
      </w:r>
      <w:r w:rsidRPr="00C2763C">
        <w:rPr>
          <w:sz w:val="22"/>
          <w:szCs w:val="22"/>
        </w:rPr>
        <w:t xml:space="preserve"> between </w:t>
      </w:r>
      <w:r w:rsidR="0056743E" w:rsidRPr="0056743E">
        <w:rPr>
          <w:sz w:val="22"/>
          <w:szCs w:val="22"/>
        </w:rPr>
        <w:t>Perceived</w:t>
      </w:r>
      <w:r w:rsidRPr="00C2763C">
        <w:rPr>
          <w:sz w:val="22"/>
          <w:szCs w:val="22"/>
        </w:rPr>
        <w:t xml:space="preserve"> Intelligence and Trust</w:t>
      </w:r>
      <w:r w:rsidR="0056743E" w:rsidRPr="0056743E">
        <w:rPr>
          <w:sz w:val="22"/>
          <w:szCs w:val="22"/>
        </w:rPr>
        <w:t>. When users perceive</w:t>
      </w:r>
      <w:r w:rsidRPr="00C2763C">
        <w:rPr>
          <w:sz w:val="22"/>
          <w:szCs w:val="22"/>
        </w:rPr>
        <w:t xml:space="preserve"> a system </w:t>
      </w:r>
      <w:r w:rsidRPr="00C2763C">
        <w:rPr>
          <w:sz w:val="22"/>
          <w:szCs w:val="22"/>
        </w:rPr>
        <w:t xml:space="preserve">as </w:t>
      </w:r>
      <w:r w:rsidRPr="00C2763C">
        <w:rPr>
          <w:sz w:val="22"/>
          <w:szCs w:val="22"/>
        </w:rPr>
        <w:t>intelligent</w:t>
      </w:r>
      <w:r w:rsidR="0056743E" w:rsidRPr="0056743E">
        <w:rPr>
          <w:sz w:val="22"/>
          <w:szCs w:val="22"/>
        </w:rPr>
        <w:t>, they are</w:t>
      </w:r>
      <w:r w:rsidRPr="00C2763C">
        <w:rPr>
          <w:sz w:val="22"/>
          <w:szCs w:val="22"/>
        </w:rPr>
        <w:t xml:space="preserve"> more likely to </w:t>
      </w:r>
      <w:r w:rsidR="0056743E" w:rsidRPr="0056743E">
        <w:rPr>
          <w:sz w:val="22"/>
          <w:szCs w:val="22"/>
        </w:rPr>
        <w:t>view it</w:t>
      </w:r>
      <w:r w:rsidRPr="00C2763C">
        <w:rPr>
          <w:sz w:val="22"/>
          <w:szCs w:val="22"/>
        </w:rPr>
        <w:t xml:space="preserve"> as competent, which </w:t>
      </w:r>
      <w:r w:rsidR="0056743E" w:rsidRPr="0056743E">
        <w:rPr>
          <w:sz w:val="22"/>
          <w:szCs w:val="22"/>
        </w:rPr>
        <w:t>can strengthen</w:t>
      </w:r>
      <w:r w:rsidRPr="00C2763C">
        <w:rPr>
          <w:sz w:val="22"/>
          <w:szCs w:val="22"/>
        </w:rPr>
        <w:t xml:space="preserve"> trust </w:t>
      </w:r>
      <w:r w:rsidR="0056743E" w:rsidRPr="0056743E">
        <w:rPr>
          <w:sz w:val="22"/>
          <w:szCs w:val="22"/>
        </w:rPr>
        <w:t>and increase</w:t>
      </w:r>
      <w:r w:rsidRPr="00C2763C">
        <w:rPr>
          <w:sz w:val="22"/>
          <w:szCs w:val="22"/>
        </w:rPr>
        <w:t xml:space="preserve"> adoption intent</w:t>
      </w:r>
      <w:r w:rsidRPr="00C2763C">
        <w:rPr>
          <w:sz w:val="22"/>
          <w:szCs w:val="22"/>
        </w:rPr>
        <w:t xml:space="preserve">ion. This paper </w:t>
      </w:r>
      <w:r w:rsidR="0056743E" w:rsidRPr="0056743E">
        <w:rPr>
          <w:sz w:val="22"/>
          <w:szCs w:val="22"/>
        </w:rPr>
        <w:t>builds on</w:t>
      </w:r>
      <w:r w:rsidRPr="00C2763C">
        <w:rPr>
          <w:sz w:val="22"/>
          <w:szCs w:val="22"/>
        </w:rPr>
        <w:t xml:space="preserve"> that insight </w:t>
      </w:r>
      <w:r w:rsidR="0056743E" w:rsidRPr="0056743E">
        <w:rPr>
          <w:sz w:val="22"/>
          <w:szCs w:val="22"/>
        </w:rPr>
        <w:t>by positioning</w:t>
      </w:r>
      <w:r w:rsidRPr="00C2763C">
        <w:rPr>
          <w:sz w:val="22"/>
          <w:szCs w:val="22"/>
        </w:rPr>
        <w:t xml:space="preserve"> PI and Trust </w:t>
      </w:r>
      <w:r w:rsidR="0056743E" w:rsidRPr="0056743E">
        <w:rPr>
          <w:sz w:val="22"/>
          <w:szCs w:val="22"/>
        </w:rPr>
        <w:t>within</w:t>
      </w:r>
      <w:r w:rsidRPr="00C2763C">
        <w:rPr>
          <w:sz w:val="22"/>
          <w:szCs w:val="22"/>
        </w:rPr>
        <w:t xml:space="preserve"> an </w:t>
      </w:r>
      <w:r w:rsidR="0056743E" w:rsidRPr="0056743E">
        <w:rPr>
          <w:sz w:val="22"/>
          <w:szCs w:val="22"/>
        </w:rPr>
        <w:t>extended</w:t>
      </w:r>
      <w:r w:rsidRPr="00C2763C">
        <w:rPr>
          <w:sz w:val="22"/>
          <w:szCs w:val="22"/>
        </w:rPr>
        <w:t xml:space="preserve"> UTAUT-based nomological framework for AI adoption.</w:t>
      </w:r>
    </w:p>
    <w:p w14:paraId="5A344AB0" w14:textId="6E6B8F49" w:rsidR="00F43B96" w:rsidRDefault="00000000" w:rsidP="00C2763C">
      <w:pPr>
        <w:spacing w:after="200" w:line="300" w:lineRule="auto"/>
        <w:jc w:val="both"/>
      </w:pPr>
      <w:r>
        <w:rPr>
          <w:b/>
          <w:bCs/>
          <w:color w:val="1B2A4A"/>
          <w:sz w:val="26"/>
          <w:szCs w:val="26"/>
        </w:rPr>
        <w:lastRenderedPageBreak/>
        <w:t>3. Review Method</w:t>
      </w:r>
    </w:p>
    <w:p w14:paraId="23222C43" w14:textId="77777777" w:rsidR="00F43B96" w:rsidRDefault="00000000">
      <w:pPr>
        <w:spacing w:after="200" w:line="300" w:lineRule="auto"/>
        <w:jc w:val="both"/>
      </w:pPr>
      <w:r>
        <w:rPr>
          <w:sz w:val="22"/>
          <w:szCs w:val="22"/>
        </w:rPr>
        <w:t>This review followed the Preferred Reporting Items for Systematic Reviews and Meta-Analyses (PRISMA) 2020 guidelines (Page et al., 2021) to ensure a transparent, reproducible, and methodologically rigorous review process. As researchers and policymakers increasingly rely on systematic reviews to accumulate evidence on the drivers of technology adoption, this review was designed to accommodate the conceptual diversity of AI-adoption research while adhering to established reporting standards.</w:t>
      </w:r>
    </w:p>
    <w:p w14:paraId="7108D683" w14:textId="77777777" w:rsidR="00F43B96" w:rsidRDefault="00000000">
      <w:pPr>
        <w:pStyle w:val="Heading2"/>
        <w:spacing w:before="260" w:after="140"/>
      </w:pPr>
      <w:r>
        <w:rPr>
          <w:b/>
          <w:bCs/>
          <w:i/>
          <w:iCs/>
          <w:color w:val="1B2A4A"/>
          <w:sz w:val="23"/>
          <w:szCs w:val="23"/>
        </w:rPr>
        <w:t>3.1 Search Strategy and Database Selection</w:t>
      </w:r>
    </w:p>
    <w:p w14:paraId="7B1A4710" w14:textId="77777777" w:rsidR="00F43B96" w:rsidRDefault="00000000">
      <w:pPr>
        <w:spacing w:after="200" w:line="300" w:lineRule="auto"/>
        <w:jc w:val="both"/>
      </w:pPr>
      <w:r>
        <w:rPr>
          <w:sz w:val="22"/>
          <w:szCs w:val="22"/>
        </w:rPr>
        <w:t>Four databases were searched: Scopus, Web of Science, ScienceDirect, and the ACM Digital Library, selected for their comprehensive coverage of information systems and technology-adoption research. The search string, adapted for each database's syntax, was: TITLE-ABS-KEY (“UTAUT” OR “unified theory of acceptance and use of technology”) AND TITLE-ABS-KEY (“artificial intelligence” OR “AI” OR “machine learning” OR “intelligent system”) AND TITLE-ABS-KEY (“adoption” OR “acceptance” OR “use”), limited to peer-reviewed journal articles (LIMIT-TO (DOCTYPE, “</w:t>
      </w:r>
      <w:proofErr w:type="spellStart"/>
      <w:r>
        <w:rPr>
          <w:sz w:val="22"/>
          <w:szCs w:val="22"/>
        </w:rPr>
        <w:t>ar</w:t>
      </w:r>
      <w:proofErr w:type="spellEnd"/>
      <w:r>
        <w:rPr>
          <w:sz w:val="22"/>
          <w:szCs w:val="22"/>
        </w:rPr>
        <w:t>”)) published between January 2020 and May 2025. An additional 18 records were identified through manual reference-list snowballing of key review articles. The search returned 1,250 records from database searching; after removing duplicates, 968 unique records proceeded to title and abstract screening.</w:t>
      </w:r>
    </w:p>
    <w:p w14:paraId="3A252B2C" w14:textId="77777777" w:rsidR="00F43B96" w:rsidRDefault="00000000">
      <w:pPr>
        <w:pStyle w:val="Heading2"/>
        <w:spacing w:before="260" w:after="140"/>
      </w:pPr>
      <w:r>
        <w:rPr>
          <w:b/>
          <w:bCs/>
          <w:i/>
          <w:iCs/>
          <w:color w:val="1B2A4A"/>
          <w:sz w:val="23"/>
          <w:szCs w:val="23"/>
        </w:rPr>
        <w:t>3.2 Eligibility Criteria</w:t>
      </w:r>
    </w:p>
    <w:p w14:paraId="3EF6024A" w14:textId="77777777" w:rsidR="00F43B96" w:rsidRDefault="00000000">
      <w:pPr>
        <w:spacing w:after="200" w:line="300" w:lineRule="auto"/>
        <w:jc w:val="both"/>
      </w:pPr>
      <w:r>
        <w:rPr>
          <w:sz w:val="22"/>
          <w:szCs w:val="22"/>
        </w:rPr>
        <w:t>Inclusion and exclusion criteria were defined a priori to focus the corpus on studies most relevant to the review objectives (Table 1). Included studies were required to explicitly apply or extend the UTAUT model to examine the adoption or acceptance of a system employing artificial intelligence, machine learning, or a comparable intelligent technology, and to be published as English-language, peer-reviewed journal articles between January 2020 and May 2025. Studies were excluded if they concentrated on non-AI technology, were purely conceptual, theoretical, or editorial, were published as books, book chapters, or conference proceedings, did not use UTAUT as a central theoretical lens, or were not available in full text.</w:t>
      </w:r>
    </w:p>
    <w:p w14:paraId="7EC29969" w14:textId="77777777" w:rsidR="00F43B96" w:rsidRDefault="00000000">
      <w:pPr>
        <w:pStyle w:val="Heading2"/>
        <w:spacing w:before="260" w:after="140"/>
      </w:pPr>
      <w:r>
        <w:rPr>
          <w:b/>
          <w:bCs/>
          <w:i/>
          <w:iCs/>
          <w:color w:val="1B2A4A"/>
          <w:sz w:val="23"/>
          <w:szCs w:val="23"/>
        </w:rPr>
        <w:t>Table 1. Inclusion and Exclusion Criteria</w:t>
      </w:r>
    </w:p>
    <w:tbl>
      <w:tblPr>
        <w:tblW w:w="9350" w:type="dxa"/>
        <w:tblBorders>
          <w:top w:val="single" w:sz="4" w:space="0" w:color="1B2A4A"/>
          <w:bottom w:val="single" w:sz="4" w:space="0" w:color="1B2A4A"/>
          <w:insideH w:val="single" w:sz="2" w:space="0" w:color="CCCCCC"/>
        </w:tblBorders>
        <w:tblCellMar>
          <w:left w:w="10" w:type="dxa"/>
          <w:right w:w="10" w:type="dxa"/>
        </w:tblCellMar>
        <w:tblLook w:val="0000" w:firstRow="0" w:lastRow="0" w:firstColumn="0" w:lastColumn="0" w:noHBand="0" w:noVBand="0"/>
      </w:tblPr>
      <w:tblGrid>
        <w:gridCol w:w="1800"/>
        <w:gridCol w:w="3900"/>
        <w:gridCol w:w="3650"/>
      </w:tblGrid>
      <w:tr w:rsidR="00F43B96" w14:paraId="6EB63262" w14:textId="77777777" w:rsidTr="008F6519">
        <w:tblPrEx>
          <w:tblCellMar>
            <w:top w:w="0" w:type="dxa"/>
            <w:bottom w:w="0" w:type="dxa"/>
          </w:tblCellMar>
        </w:tblPrEx>
        <w:trPr>
          <w:tblHeader/>
        </w:trPr>
        <w:tc>
          <w:tcPr>
            <w:tcW w:w="1800" w:type="dxa"/>
            <w:tcMar>
              <w:top w:w="100" w:type="dxa"/>
              <w:left w:w="120" w:type="dxa"/>
              <w:bottom w:w="100" w:type="dxa"/>
              <w:right w:w="120" w:type="dxa"/>
            </w:tcMar>
            <w:vAlign w:val="center"/>
          </w:tcPr>
          <w:p w14:paraId="0A844AC2" w14:textId="77777777" w:rsidR="00F43B96" w:rsidRPr="008F6519" w:rsidRDefault="00000000">
            <w:pPr>
              <w:jc w:val="center"/>
            </w:pPr>
            <w:r w:rsidRPr="008F6519">
              <w:rPr>
                <w:b/>
                <w:bCs/>
              </w:rPr>
              <w:t>Criterion</w:t>
            </w:r>
          </w:p>
        </w:tc>
        <w:tc>
          <w:tcPr>
            <w:tcW w:w="3900" w:type="dxa"/>
            <w:tcMar>
              <w:top w:w="100" w:type="dxa"/>
              <w:left w:w="120" w:type="dxa"/>
              <w:bottom w:w="100" w:type="dxa"/>
              <w:right w:w="120" w:type="dxa"/>
            </w:tcMar>
            <w:vAlign w:val="center"/>
          </w:tcPr>
          <w:p w14:paraId="1034A076" w14:textId="77777777" w:rsidR="00F43B96" w:rsidRPr="008F6519" w:rsidRDefault="00000000">
            <w:pPr>
              <w:jc w:val="center"/>
            </w:pPr>
            <w:r w:rsidRPr="008F6519">
              <w:rPr>
                <w:b/>
                <w:bCs/>
              </w:rPr>
              <w:t>Inclusion</w:t>
            </w:r>
          </w:p>
        </w:tc>
        <w:tc>
          <w:tcPr>
            <w:tcW w:w="3650" w:type="dxa"/>
            <w:tcMar>
              <w:top w:w="100" w:type="dxa"/>
              <w:left w:w="120" w:type="dxa"/>
              <w:bottom w:w="100" w:type="dxa"/>
              <w:right w:w="120" w:type="dxa"/>
            </w:tcMar>
            <w:vAlign w:val="center"/>
          </w:tcPr>
          <w:p w14:paraId="4DFC9A3F" w14:textId="77777777" w:rsidR="00F43B96" w:rsidRPr="008F6519" w:rsidRDefault="00000000">
            <w:pPr>
              <w:jc w:val="center"/>
            </w:pPr>
            <w:r w:rsidRPr="008F6519">
              <w:rPr>
                <w:b/>
                <w:bCs/>
              </w:rPr>
              <w:t>Exclusion</w:t>
            </w:r>
          </w:p>
        </w:tc>
      </w:tr>
      <w:tr w:rsidR="00F43B96" w14:paraId="27169FA1" w14:textId="77777777" w:rsidTr="008F6519">
        <w:tblPrEx>
          <w:tblCellMar>
            <w:top w:w="0" w:type="dxa"/>
            <w:bottom w:w="0" w:type="dxa"/>
          </w:tblCellMar>
        </w:tblPrEx>
        <w:tc>
          <w:tcPr>
            <w:tcW w:w="1800" w:type="dxa"/>
            <w:tcMar>
              <w:top w:w="100" w:type="dxa"/>
              <w:left w:w="120" w:type="dxa"/>
              <w:bottom w:w="100" w:type="dxa"/>
              <w:right w:w="120" w:type="dxa"/>
            </w:tcMar>
            <w:vAlign w:val="center"/>
          </w:tcPr>
          <w:p w14:paraId="5EB7CF16" w14:textId="77777777" w:rsidR="00F43B96" w:rsidRDefault="00000000">
            <w:r>
              <w:rPr>
                <w:color w:val="000000"/>
              </w:rPr>
              <w:t>Publication period</w:t>
            </w:r>
          </w:p>
        </w:tc>
        <w:tc>
          <w:tcPr>
            <w:tcW w:w="3900" w:type="dxa"/>
            <w:tcMar>
              <w:top w:w="100" w:type="dxa"/>
              <w:left w:w="120" w:type="dxa"/>
              <w:bottom w:w="100" w:type="dxa"/>
              <w:right w:w="120" w:type="dxa"/>
            </w:tcMar>
            <w:vAlign w:val="center"/>
          </w:tcPr>
          <w:p w14:paraId="4C907800" w14:textId="77777777" w:rsidR="00F43B96" w:rsidRDefault="00000000">
            <w:r>
              <w:rPr>
                <w:color w:val="000000"/>
              </w:rPr>
              <w:t>January 2020 – May 2025, to capture the most recent discourse on AI adoption in the post-2020 era.</w:t>
            </w:r>
          </w:p>
        </w:tc>
        <w:tc>
          <w:tcPr>
            <w:tcW w:w="3650" w:type="dxa"/>
            <w:tcMar>
              <w:top w:w="100" w:type="dxa"/>
              <w:left w:w="120" w:type="dxa"/>
              <w:bottom w:w="100" w:type="dxa"/>
              <w:right w:w="120" w:type="dxa"/>
            </w:tcMar>
            <w:vAlign w:val="center"/>
          </w:tcPr>
          <w:p w14:paraId="5D587F40" w14:textId="77777777" w:rsidR="00F43B96" w:rsidRDefault="00000000">
            <w:r>
              <w:rPr>
                <w:color w:val="000000"/>
              </w:rPr>
              <w:t>Studies published prior to 2020, to keep the review's findings reflective of the current technological and theoretical landscape.</w:t>
            </w:r>
          </w:p>
        </w:tc>
      </w:tr>
      <w:tr w:rsidR="00F43B96" w14:paraId="527A0573" w14:textId="77777777" w:rsidTr="008F6519">
        <w:tblPrEx>
          <w:tblCellMar>
            <w:top w:w="0" w:type="dxa"/>
            <w:bottom w:w="0" w:type="dxa"/>
          </w:tblCellMar>
        </w:tblPrEx>
        <w:tc>
          <w:tcPr>
            <w:tcW w:w="1800" w:type="dxa"/>
            <w:tcMar>
              <w:top w:w="100" w:type="dxa"/>
              <w:left w:w="120" w:type="dxa"/>
              <w:bottom w:w="100" w:type="dxa"/>
              <w:right w:w="120" w:type="dxa"/>
            </w:tcMar>
            <w:vAlign w:val="center"/>
          </w:tcPr>
          <w:p w14:paraId="29F6B41D" w14:textId="77777777" w:rsidR="00F43B96" w:rsidRDefault="00000000">
            <w:r>
              <w:rPr>
                <w:color w:val="000000"/>
              </w:rPr>
              <w:t>Subject of study</w:t>
            </w:r>
          </w:p>
        </w:tc>
        <w:tc>
          <w:tcPr>
            <w:tcW w:w="3900" w:type="dxa"/>
            <w:tcMar>
              <w:top w:w="100" w:type="dxa"/>
              <w:left w:w="120" w:type="dxa"/>
              <w:bottom w:w="100" w:type="dxa"/>
              <w:right w:w="120" w:type="dxa"/>
            </w:tcMar>
            <w:vAlign w:val="center"/>
          </w:tcPr>
          <w:p w14:paraId="78688117" w14:textId="77777777" w:rsidR="00F43B96" w:rsidRDefault="00000000">
            <w:r>
              <w:rPr>
                <w:color w:val="000000"/>
              </w:rPr>
              <w:t>Empirical studies applying UTAUT to the adoption or acceptance of AI, machine learning, or intelligent systems.</w:t>
            </w:r>
          </w:p>
        </w:tc>
        <w:tc>
          <w:tcPr>
            <w:tcW w:w="3650" w:type="dxa"/>
            <w:tcMar>
              <w:top w:w="100" w:type="dxa"/>
              <w:left w:w="120" w:type="dxa"/>
              <w:bottom w:w="100" w:type="dxa"/>
              <w:right w:w="120" w:type="dxa"/>
            </w:tcMar>
            <w:vAlign w:val="center"/>
          </w:tcPr>
          <w:p w14:paraId="5C2D5746" w14:textId="77777777" w:rsidR="00F43B96" w:rsidRDefault="00000000">
            <w:r>
              <w:rPr>
                <w:color w:val="000000"/>
              </w:rPr>
              <w:t>Studies on non-AI systems, or that do not explicitly employ UTAUT as a central framework.</w:t>
            </w:r>
          </w:p>
        </w:tc>
      </w:tr>
      <w:tr w:rsidR="00F43B96" w14:paraId="0A543A7F" w14:textId="77777777" w:rsidTr="008F6519">
        <w:tblPrEx>
          <w:tblCellMar>
            <w:top w:w="0" w:type="dxa"/>
            <w:bottom w:w="0" w:type="dxa"/>
          </w:tblCellMar>
        </w:tblPrEx>
        <w:tc>
          <w:tcPr>
            <w:tcW w:w="1800" w:type="dxa"/>
            <w:tcMar>
              <w:top w:w="100" w:type="dxa"/>
              <w:left w:w="120" w:type="dxa"/>
              <w:bottom w:w="100" w:type="dxa"/>
              <w:right w:w="120" w:type="dxa"/>
            </w:tcMar>
            <w:vAlign w:val="center"/>
          </w:tcPr>
          <w:p w14:paraId="2E2FF1A2" w14:textId="77777777" w:rsidR="00F43B96" w:rsidRDefault="00000000">
            <w:r>
              <w:rPr>
                <w:color w:val="000000"/>
              </w:rPr>
              <w:t>Language</w:t>
            </w:r>
          </w:p>
        </w:tc>
        <w:tc>
          <w:tcPr>
            <w:tcW w:w="3900" w:type="dxa"/>
            <w:tcMar>
              <w:top w:w="100" w:type="dxa"/>
              <w:left w:w="120" w:type="dxa"/>
              <w:bottom w:w="100" w:type="dxa"/>
              <w:right w:w="120" w:type="dxa"/>
            </w:tcMar>
            <w:vAlign w:val="center"/>
          </w:tcPr>
          <w:p w14:paraId="00559A10" w14:textId="77777777" w:rsidR="00F43B96" w:rsidRDefault="00000000">
            <w:r>
              <w:rPr>
                <w:color w:val="000000"/>
              </w:rPr>
              <w:t>English</w:t>
            </w:r>
          </w:p>
        </w:tc>
        <w:tc>
          <w:tcPr>
            <w:tcW w:w="3650" w:type="dxa"/>
            <w:tcMar>
              <w:top w:w="100" w:type="dxa"/>
              <w:left w:w="120" w:type="dxa"/>
              <w:bottom w:w="100" w:type="dxa"/>
              <w:right w:w="120" w:type="dxa"/>
            </w:tcMar>
            <w:vAlign w:val="center"/>
          </w:tcPr>
          <w:p w14:paraId="6F0412DA" w14:textId="77777777" w:rsidR="00F43B96" w:rsidRDefault="00000000">
            <w:r>
              <w:rPr>
                <w:color w:val="000000"/>
              </w:rPr>
              <w:t>Non-English</w:t>
            </w:r>
          </w:p>
        </w:tc>
      </w:tr>
      <w:tr w:rsidR="00F43B96" w14:paraId="1F919D33" w14:textId="77777777" w:rsidTr="008F6519">
        <w:tblPrEx>
          <w:tblCellMar>
            <w:top w:w="0" w:type="dxa"/>
            <w:bottom w:w="0" w:type="dxa"/>
          </w:tblCellMar>
        </w:tblPrEx>
        <w:tc>
          <w:tcPr>
            <w:tcW w:w="1800" w:type="dxa"/>
            <w:tcMar>
              <w:top w:w="100" w:type="dxa"/>
              <w:left w:w="120" w:type="dxa"/>
              <w:bottom w:w="100" w:type="dxa"/>
              <w:right w:w="120" w:type="dxa"/>
            </w:tcMar>
            <w:vAlign w:val="center"/>
          </w:tcPr>
          <w:p w14:paraId="5C54E164" w14:textId="77777777" w:rsidR="00F43B96" w:rsidRDefault="00000000">
            <w:r>
              <w:rPr>
                <w:color w:val="000000"/>
              </w:rPr>
              <w:t>Publication type</w:t>
            </w:r>
          </w:p>
        </w:tc>
        <w:tc>
          <w:tcPr>
            <w:tcW w:w="3900" w:type="dxa"/>
            <w:tcMar>
              <w:top w:w="100" w:type="dxa"/>
              <w:left w:w="120" w:type="dxa"/>
              <w:bottom w:w="100" w:type="dxa"/>
              <w:right w:w="120" w:type="dxa"/>
            </w:tcMar>
            <w:vAlign w:val="center"/>
          </w:tcPr>
          <w:p w14:paraId="3F57AF91" w14:textId="77777777" w:rsidR="00F43B96" w:rsidRDefault="00000000">
            <w:r>
              <w:rPr>
                <w:color w:val="000000"/>
              </w:rPr>
              <w:t>Peer-reviewed journal articles</w:t>
            </w:r>
          </w:p>
        </w:tc>
        <w:tc>
          <w:tcPr>
            <w:tcW w:w="3650" w:type="dxa"/>
            <w:tcMar>
              <w:top w:w="100" w:type="dxa"/>
              <w:left w:w="120" w:type="dxa"/>
              <w:bottom w:w="100" w:type="dxa"/>
              <w:right w:w="120" w:type="dxa"/>
            </w:tcMar>
            <w:vAlign w:val="center"/>
          </w:tcPr>
          <w:p w14:paraId="21F71948" w14:textId="77777777" w:rsidR="00F43B96" w:rsidRDefault="00000000">
            <w:r>
              <w:rPr>
                <w:color w:val="000000"/>
              </w:rPr>
              <w:t>Books, conference proceedings, editorials, and non-peer-reviewed literature</w:t>
            </w:r>
          </w:p>
        </w:tc>
      </w:tr>
      <w:tr w:rsidR="00F43B96" w14:paraId="7402D1FB" w14:textId="77777777" w:rsidTr="008F6519">
        <w:tblPrEx>
          <w:tblCellMar>
            <w:top w:w="0" w:type="dxa"/>
            <w:bottom w:w="0" w:type="dxa"/>
          </w:tblCellMar>
        </w:tblPrEx>
        <w:tc>
          <w:tcPr>
            <w:tcW w:w="1800" w:type="dxa"/>
            <w:tcMar>
              <w:top w:w="100" w:type="dxa"/>
              <w:left w:w="120" w:type="dxa"/>
              <w:bottom w:w="100" w:type="dxa"/>
              <w:right w:w="120" w:type="dxa"/>
            </w:tcMar>
            <w:vAlign w:val="center"/>
          </w:tcPr>
          <w:p w14:paraId="3048704A" w14:textId="77777777" w:rsidR="00F43B96" w:rsidRDefault="00000000">
            <w:r>
              <w:rPr>
                <w:color w:val="000000"/>
              </w:rPr>
              <w:lastRenderedPageBreak/>
              <w:t>Methodology</w:t>
            </w:r>
          </w:p>
        </w:tc>
        <w:tc>
          <w:tcPr>
            <w:tcW w:w="3900" w:type="dxa"/>
            <w:tcMar>
              <w:top w:w="100" w:type="dxa"/>
              <w:left w:w="120" w:type="dxa"/>
              <w:bottom w:w="100" w:type="dxa"/>
              <w:right w:w="120" w:type="dxa"/>
            </w:tcMar>
            <w:vAlign w:val="center"/>
          </w:tcPr>
          <w:p w14:paraId="66089AA7" w14:textId="77777777" w:rsidR="00F43B96" w:rsidRDefault="00000000">
            <w:r>
              <w:rPr>
                <w:color w:val="000000"/>
              </w:rPr>
              <w:t>Quantitative, qualitative, or mixed-methods empirical research published in peer-reviewed academic journals.</w:t>
            </w:r>
          </w:p>
        </w:tc>
        <w:tc>
          <w:tcPr>
            <w:tcW w:w="3650" w:type="dxa"/>
            <w:tcMar>
              <w:top w:w="100" w:type="dxa"/>
              <w:left w:w="120" w:type="dxa"/>
              <w:bottom w:w="100" w:type="dxa"/>
              <w:right w:w="120" w:type="dxa"/>
            </w:tcMar>
            <w:vAlign w:val="center"/>
          </w:tcPr>
          <w:p w14:paraId="7321D55A" w14:textId="77777777" w:rsidR="00F43B96" w:rsidRDefault="00000000">
            <w:r>
              <w:rPr>
                <w:color w:val="000000"/>
              </w:rPr>
              <w:t>Opinion pieces, editorials, white papers, and non-empirical research.</w:t>
            </w:r>
          </w:p>
        </w:tc>
      </w:tr>
    </w:tbl>
    <w:p w14:paraId="2B3E86CA" w14:textId="77777777" w:rsidR="00F43B96" w:rsidRDefault="00000000">
      <w:pPr>
        <w:pStyle w:val="Heading2"/>
        <w:spacing w:before="260" w:after="140"/>
      </w:pPr>
      <w:r>
        <w:rPr>
          <w:b/>
          <w:bCs/>
          <w:i/>
          <w:iCs/>
          <w:color w:val="1B2A4A"/>
          <w:sz w:val="23"/>
          <w:szCs w:val="23"/>
        </w:rPr>
        <w:t>3.3 Study Selection</w:t>
      </w:r>
    </w:p>
    <w:p w14:paraId="28B26F03" w14:textId="77777777" w:rsidR="00F43B96" w:rsidRDefault="00000000">
      <w:pPr>
        <w:spacing w:after="200" w:line="300" w:lineRule="auto"/>
        <w:jc w:val="both"/>
      </w:pPr>
      <w:r>
        <w:rPr>
          <w:sz w:val="22"/>
          <w:szCs w:val="22"/>
        </w:rPr>
        <w:t>Figure 1 presents the PRISMA 2020 flow diagram</w:t>
      </w:r>
      <w:r w:rsidR="001A1058" w:rsidRPr="001A1058">
        <w:rPr>
          <w:sz w:val="22"/>
          <w:szCs w:val="22"/>
        </w:rPr>
        <w:t>, which summarises</w:t>
      </w:r>
      <w:r>
        <w:rPr>
          <w:sz w:val="22"/>
          <w:szCs w:val="22"/>
        </w:rPr>
        <w:t xml:space="preserve"> the multi-stage selection process. Of the 968 unique records screened by title and abstract, 790 were excluded </w:t>
      </w:r>
      <w:r w:rsidR="001A1058" w:rsidRPr="001A1058">
        <w:rPr>
          <w:sz w:val="22"/>
          <w:szCs w:val="22"/>
        </w:rPr>
        <w:t>because they did</w:t>
      </w:r>
      <w:r>
        <w:rPr>
          <w:sz w:val="22"/>
          <w:szCs w:val="22"/>
        </w:rPr>
        <w:t xml:space="preserve"> not </w:t>
      </w:r>
      <w:r w:rsidR="001A1058" w:rsidRPr="001A1058">
        <w:rPr>
          <w:sz w:val="22"/>
          <w:szCs w:val="22"/>
        </w:rPr>
        <w:t>address</w:t>
      </w:r>
      <w:r>
        <w:rPr>
          <w:sz w:val="22"/>
          <w:szCs w:val="22"/>
        </w:rPr>
        <w:t xml:space="preserve"> AI-related technology or </w:t>
      </w:r>
      <w:r w:rsidR="001A1058" w:rsidRPr="001A1058">
        <w:rPr>
          <w:sz w:val="22"/>
          <w:szCs w:val="22"/>
        </w:rPr>
        <w:t xml:space="preserve">did </w:t>
      </w:r>
      <w:r>
        <w:rPr>
          <w:sz w:val="22"/>
          <w:szCs w:val="22"/>
        </w:rPr>
        <w:t xml:space="preserve">not </w:t>
      </w:r>
      <w:r w:rsidR="001A1058" w:rsidRPr="001A1058">
        <w:rPr>
          <w:sz w:val="22"/>
          <w:szCs w:val="22"/>
        </w:rPr>
        <w:t>employ</w:t>
      </w:r>
      <w:r>
        <w:rPr>
          <w:sz w:val="22"/>
          <w:szCs w:val="22"/>
        </w:rPr>
        <w:t xml:space="preserve"> UTAUT. The remaining 178 full-text articles were assessed against the complete eligibility criteria</w:t>
      </w:r>
      <w:r w:rsidR="001A1058" w:rsidRPr="001A1058">
        <w:rPr>
          <w:sz w:val="22"/>
          <w:szCs w:val="22"/>
        </w:rPr>
        <w:t>. From this group,</w:t>
      </w:r>
      <w:r>
        <w:rPr>
          <w:sz w:val="22"/>
          <w:szCs w:val="22"/>
        </w:rPr>
        <w:t xml:space="preserve"> 107 were </w:t>
      </w:r>
      <w:r>
        <w:rPr>
          <w:sz w:val="22"/>
          <w:szCs w:val="22"/>
        </w:rPr>
        <w:t>excluded</w:t>
      </w:r>
      <w:r w:rsidR="001A1058" w:rsidRPr="001A1058">
        <w:rPr>
          <w:sz w:val="22"/>
          <w:szCs w:val="22"/>
        </w:rPr>
        <w:t>,</w:t>
      </w:r>
      <w:r>
        <w:rPr>
          <w:sz w:val="22"/>
          <w:szCs w:val="22"/>
        </w:rPr>
        <w:t xml:space="preserve"> most commonly </w:t>
      </w:r>
      <w:r w:rsidR="001A1058" w:rsidRPr="001A1058">
        <w:rPr>
          <w:sz w:val="22"/>
          <w:szCs w:val="22"/>
        </w:rPr>
        <w:t xml:space="preserve">because they were </w:t>
      </w:r>
      <w:r>
        <w:rPr>
          <w:sz w:val="22"/>
          <w:szCs w:val="22"/>
        </w:rPr>
        <w:t xml:space="preserve">non-empirical or conceptual in nature (n = 34), </w:t>
      </w:r>
      <w:r w:rsidR="001A1058" w:rsidRPr="001A1058">
        <w:rPr>
          <w:sz w:val="22"/>
          <w:szCs w:val="22"/>
        </w:rPr>
        <w:t>examined</w:t>
      </w:r>
      <w:r>
        <w:rPr>
          <w:sz w:val="22"/>
          <w:szCs w:val="22"/>
        </w:rPr>
        <w:t xml:space="preserve"> a non-AI technology </w:t>
      </w:r>
      <w:r w:rsidR="001A1058" w:rsidRPr="001A1058">
        <w:rPr>
          <w:sz w:val="22"/>
          <w:szCs w:val="22"/>
        </w:rPr>
        <w:t>in which</w:t>
      </w:r>
      <w:r>
        <w:rPr>
          <w:sz w:val="22"/>
          <w:szCs w:val="22"/>
        </w:rPr>
        <w:t xml:space="preserve"> UTAUT </w:t>
      </w:r>
      <w:r w:rsidR="001A1058" w:rsidRPr="001A1058">
        <w:rPr>
          <w:sz w:val="22"/>
          <w:szCs w:val="22"/>
        </w:rPr>
        <w:t>played</w:t>
      </w:r>
      <w:r>
        <w:rPr>
          <w:sz w:val="22"/>
          <w:szCs w:val="22"/>
        </w:rPr>
        <w:t xml:space="preserve"> no central role (n = 22), or </w:t>
      </w:r>
      <w:r w:rsidR="001A1058" w:rsidRPr="001A1058">
        <w:rPr>
          <w:sz w:val="22"/>
          <w:szCs w:val="22"/>
        </w:rPr>
        <w:t>used</w:t>
      </w:r>
      <w:r>
        <w:rPr>
          <w:sz w:val="22"/>
          <w:szCs w:val="22"/>
        </w:rPr>
        <w:t xml:space="preserve"> UTAUT only peripherally alongside </w:t>
      </w:r>
      <w:r w:rsidR="001A1058" w:rsidRPr="001A1058">
        <w:rPr>
          <w:sz w:val="22"/>
          <w:szCs w:val="22"/>
        </w:rPr>
        <w:t>another</w:t>
      </w:r>
      <w:r>
        <w:rPr>
          <w:sz w:val="22"/>
          <w:szCs w:val="22"/>
        </w:rPr>
        <w:t xml:space="preserve"> primary theoretical lens (n = 19). A final set of 71 studies met all inclusion criteria and </w:t>
      </w:r>
      <w:r w:rsidR="001A1058" w:rsidRPr="001A1058">
        <w:rPr>
          <w:sz w:val="22"/>
          <w:szCs w:val="22"/>
        </w:rPr>
        <w:t xml:space="preserve">was </w:t>
      </w:r>
      <w:r>
        <w:rPr>
          <w:sz w:val="22"/>
          <w:szCs w:val="22"/>
        </w:rPr>
        <w:t xml:space="preserve">retained for qualitative synthesis, </w:t>
      </w:r>
      <w:r w:rsidR="001A1058" w:rsidRPr="001A1058">
        <w:rPr>
          <w:sz w:val="22"/>
          <w:szCs w:val="22"/>
        </w:rPr>
        <w:t>covering</w:t>
      </w:r>
      <w:r>
        <w:rPr>
          <w:sz w:val="22"/>
          <w:szCs w:val="22"/>
        </w:rPr>
        <w:t xml:space="preserve"> five broad application sectors: education, healthcare, finance and banking, public administration, and retail and services.</w:t>
      </w:r>
    </w:p>
    <w:p w14:paraId="77C650B8" w14:textId="6FFD7402" w:rsidR="00F43B96" w:rsidRDefault="001639F4">
      <w:pPr>
        <w:spacing w:before="200" w:after="80"/>
        <w:jc w:val="center"/>
      </w:pPr>
      <w:r w:rsidRPr="001639F4">
        <w:drawing>
          <wp:inline distT="0" distB="0" distL="0" distR="0" wp14:anchorId="6958550E" wp14:editId="78A7F09B">
            <wp:extent cx="3842795" cy="3075202"/>
            <wp:effectExtent l="0" t="0" r="5715" b="0"/>
            <wp:docPr id="664186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86406" name=""/>
                    <pic:cNvPicPr/>
                  </pic:nvPicPr>
                  <pic:blipFill>
                    <a:blip r:embed="rId7"/>
                    <a:stretch>
                      <a:fillRect/>
                    </a:stretch>
                  </pic:blipFill>
                  <pic:spPr>
                    <a:xfrm>
                      <a:off x="0" y="0"/>
                      <a:ext cx="3850775" cy="3081588"/>
                    </a:xfrm>
                    <a:prstGeom prst="rect">
                      <a:avLst/>
                    </a:prstGeom>
                  </pic:spPr>
                </pic:pic>
              </a:graphicData>
            </a:graphic>
          </wp:inline>
        </w:drawing>
      </w:r>
    </w:p>
    <w:p w14:paraId="0E13A7B2" w14:textId="77777777" w:rsidR="00F43B96" w:rsidRDefault="00000000">
      <w:pPr>
        <w:spacing w:after="240"/>
        <w:jc w:val="center"/>
      </w:pPr>
      <w:r>
        <w:rPr>
          <w:i/>
          <w:iCs/>
          <w:color w:val="444444"/>
        </w:rPr>
        <w:t>Figure 1. PRISMA 2020 flow diagram of the study identification, screening, eligibility, and inclusion process.</w:t>
      </w:r>
    </w:p>
    <w:p w14:paraId="23150D17" w14:textId="77777777" w:rsidR="00F43B96" w:rsidRDefault="00000000">
      <w:pPr>
        <w:pStyle w:val="Heading2"/>
        <w:spacing w:before="260" w:after="140"/>
      </w:pPr>
      <w:r>
        <w:rPr>
          <w:b/>
          <w:bCs/>
          <w:i/>
          <w:iCs/>
          <w:color w:val="1B2A4A"/>
          <w:sz w:val="23"/>
          <w:szCs w:val="23"/>
        </w:rPr>
        <w:t>3.4 Data Extraction and Thematic Synthesis</w:t>
      </w:r>
    </w:p>
    <w:p w14:paraId="79A3F262" w14:textId="77777777" w:rsidR="00F43B96" w:rsidRDefault="00000000">
      <w:pPr>
        <w:spacing w:after="200" w:line="300" w:lineRule="auto"/>
        <w:jc w:val="both"/>
      </w:pPr>
      <w:r>
        <w:rPr>
          <w:sz w:val="22"/>
          <w:szCs w:val="22"/>
        </w:rPr>
        <w:t>A structured data-extraction form was developed and piloted to ensure consistent coding across the 71 included studies. The form captured bibliographic details (authors, year, journal), contextual information (geographical focus, industry sector, specific AI application), methodological details (research design, sample size, analysis technique), and theoretical contributions (UTAUT constructs used, extensions or modifications applied, and key findings on AI-specific barriers and facilitators). Extracted data were consolidated into a master spreadsheet to support cross-study comparison.</w:t>
      </w:r>
    </w:p>
    <w:p w14:paraId="490E2382" w14:textId="77777777" w:rsidR="00F43B96" w:rsidRDefault="00000000">
      <w:pPr>
        <w:spacing w:after="200" w:line="300" w:lineRule="auto"/>
        <w:jc w:val="both"/>
      </w:pPr>
      <w:r>
        <w:rPr>
          <w:sz w:val="22"/>
          <w:szCs w:val="22"/>
        </w:rPr>
        <w:lastRenderedPageBreak/>
        <w:t xml:space="preserve">A structured thematic analysis was then applied to the extracted data. Text passages from each article's findings and discussion sections were coded to </w:t>
      </w:r>
      <w:r w:rsidR="00B452FE" w:rsidRPr="00B452FE">
        <w:rPr>
          <w:sz w:val="22"/>
          <w:szCs w:val="22"/>
        </w:rPr>
        <w:t>identify</w:t>
      </w:r>
      <w:r>
        <w:rPr>
          <w:sz w:val="22"/>
          <w:szCs w:val="22"/>
        </w:rPr>
        <w:t xml:space="preserve"> recurring ideas, which were </w:t>
      </w:r>
      <w:r w:rsidR="00B452FE" w:rsidRPr="00B452FE">
        <w:rPr>
          <w:sz w:val="22"/>
          <w:szCs w:val="22"/>
        </w:rPr>
        <w:t>then</w:t>
      </w:r>
      <w:r>
        <w:rPr>
          <w:sz w:val="22"/>
          <w:szCs w:val="22"/>
        </w:rPr>
        <w:t xml:space="preserve"> grouped into candidate themes </w:t>
      </w:r>
      <w:r w:rsidR="00B452FE" w:rsidRPr="00B452FE">
        <w:rPr>
          <w:sz w:val="22"/>
          <w:szCs w:val="22"/>
        </w:rPr>
        <w:t>such as</w:t>
      </w:r>
      <w:r>
        <w:rPr>
          <w:sz w:val="22"/>
          <w:szCs w:val="22"/>
        </w:rPr>
        <w:t xml:space="preserve"> “Extensions to UTAUT,” “Trust as a Mediator,” and “Opacity as a Barrier.” </w:t>
      </w:r>
      <w:r w:rsidR="00B452FE" w:rsidRPr="00B452FE">
        <w:rPr>
          <w:sz w:val="22"/>
          <w:szCs w:val="22"/>
        </w:rPr>
        <w:t>These themes</w:t>
      </w:r>
      <w:r>
        <w:rPr>
          <w:sz w:val="22"/>
          <w:szCs w:val="22"/>
        </w:rPr>
        <w:t xml:space="preserve"> were refined through repeated comparison </w:t>
      </w:r>
      <w:r w:rsidR="00B452FE" w:rsidRPr="00B452FE">
        <w:rPr>
          <w:sz w:val="22"/>
          <w:szCs w:val="22"/>
        </w:rPr>
        <w:t xml:space="preserve">with </w:t>
      </w:r>
      <w:r>
        <w:rPr>
          <w:sz w:val="22"/>
          <w:szCs w:val="22"/>
        </w:rPr>
        <w:t xml:space="preserve">the dataset to ensure </w:t>
      </w:r>
      <w:r w:rsidR="00B452FE" w:rsidRPr="00B452FE">
        <w:rPr>
          <w:sz w:val="22"/>
          <w:szCs w:val="22"/>
        </w:rPr>
        <w:t xml:space="preserve">that </w:t>
      </w:r>
      <w:r>
        <w:rPr>
          <w:sz w:val="22"/>
          <w:szCs w:val="22"/>
        </w:rPr>
        <w:t>they coherently addressed the three research questions. The synthesis presented in Section 4 combines this qualitative thematic analysis with descriptive numerical summaries of construct usage across the reviewed corpus.</w:t>
      </w:r>
    </w:p>
    <w:p w14:paraId="2AB6B8A7" w14:textId="77777777" w:rsidR="00F43B96" w:rsidRDefault="00000000">
      <w:pPr>
        <w:pStyle w:val="Heading1"/>
        <w:spacing w:before="320" w:after="160"/>
      </w:pPr>
      <w:r>
        <w:rPr>
          <w:b/>
          <w:bCs/>
          <w:color w:val="1B2A4A"/>
          <w:sz w:val="26"/>
          <w:szCs w:val="26"/>
        </w:rPr>
        <w:t>4. Results and Synthesis</w:t>
      </w:r>
    </w:p>
    <w:p w14:paraId="55FF27C6" w14:textId="77777777" w:rsidR="00F43B96" w:rsidRDefault="00000000">
      <w:pPr>
        <w:spacing w:after="200" w:line="300" w:lineRule="auto"/>
        <w:jc w:val="both"/>
      </w:pPr>
      <w:r>
        <w:rPr>
          <w:sz w:val="22"/>
          <w:szCs w:val="22"/>
        </w:rPr>
        <w:t xml:space="preserve">The 71 included studies </w:t>
      </w:r>
      <w:r w:rsidR="007906AB" w:rsidRPr="007906AB">
        <w:rPr>
          <w:sz w:val="22"/>
          <w:szCs w:val="22"/>
        </w:rPr>
        <w:t>represent</w:t>
      </w:r>
      <w:r>
        <w:rPr>
          <w:sz w:val="22"/>
          <w:szCs w:val="22"/>
        </w:rPr>
        <w:t xml:space="preserve"> a growing and increasingly diverse body of research applying UTAUT to AI adoption across education, healthcare, finance, public administration, and retail contexts. Figure 3 shows the annual distribution of included studies</w:t>
      </w:r>
      <w:r w:rsidR="007906AB" w:rsidRPr="007906AB">
        <w:rPr>
          <w:sz w:val="22"/>
          <w:szCs w:val="22"/>
        </w:rPr>
        <w:t xml:space="preserve"> and illustrates</w:t>
      </w:r>
      <w:r>
        <w:rPr>
          <w:sz w:val="22"/>
          <w:szCs w:val="22"/>
        </w:rPr>
        <w:t xml:space="preserve"> a </w:t>
      </w:r>
      <w:r w:rsidR="007906AB" w:rsidRPr="007906AB">
        <w:rPr>
          <w:sz w:val="22"/>
          <w:szCs w:val="22"/>
        </w:rPr>
        <w:t>clear</w:t>
      </w:r>
      <w:r>
        <w:rPr>
          <w:sz w:val="22"/>
          <w:szCs w:val="22"/>
        </w:rPr>
        <w:t xml:space="preserve"> increase in research output </w:t>
      </w:r>
      <w:r w:rsidR="007906AB" w:rsidRPr="007906AB">
        <w:rPr>
          <w:sz w:val="22"/>
          <w:szCs w:val="22"/>
        </w:rPr>
        <w:t>after</w:t>
      </w:r>
      <w:r>
        <w:rPr>
          <w:sz w:val="22"/>
          <w:szCs w:val="22"/>
        </w:rPr>
        <w:t xml:space="preserve"> the mainstream emergence of generative AI tools from 2022 onward. Figure 4 </w:t>
      </w:r>
      <w:r w:rsidR="007906AB" w:rsidRPr="007906AB">
        <w:rPr>
          <w:sz w:val="22"/>
          <w:szCs w:val="22"/>
        </w:rPr>
        <w:t>presents</w:t>
      </w:r>
      <w:r>
        <w:rPr>
          <w:sz w:val="22"/>
          <w:szCs w:val="22"/>
        </w:rPr>
        <w:t xml:space="preserve"> the distribution of included studies by application sector, with education (n = 22) and healthcare (n = 17) </w:t>
      </w:r>
      <w:r w:rsidR="007906AB" w:rsidRPr="007906AB">
        <w:rPr>
          <w:sz w:val="22"/>
          <w:szCs w:val="22"/>
        </w:rPr>
        <w:t xml:space="preserve">being </w:t>
      </w:r>
      <w:r>
        <w:rPr>
          <w:sz w:val="22"/>
          <w:szCs w:val="22"/>
        </w:rPr>
        <w:t>the most frequently represented domains</w:t>
      </w:r>
      <w:r w:rsidR="007906AB" w:rsidRPr="007906AB">
        <w:rPr>
          <w:sz w:val="22"/>
          <w:szCs w:val="22"/>
        </w:rPr>
        <w:t>. This pattern is</w:t>
      </w:r>
      <w:r>
        <w:rPr>
          <w:sz w:val="22"/>
          <w:szCs w:val="22"/>
        </w:rPr>
        <w:t xml:space="preserve"> consistent with the intensity of AI deployment and public discourse in these sectors during the review period.</w:t>
      </w:r>
    </w:p>
    <w:p w14:paraId="4B26EACA" w14:textId="77777777" w:rsidR="00F43B96" w:rsidRDefault="00000000">
      <w:pPr>
        <w:spacing w:before="200" w:after="80"/>
        <w:jc w:val="center"/>
      </w:pPr>
      <w:r>
        <w:rPr>
          <w:noProof/>
        </w:rPr>
        <w:drawing>
          <wp:inline distT="0" distB="0" distL="0" distR="0" wp14:anchorId="222FCF20" wp14:editId="1F29C7D5">
            <wp:extent cx="3810000" cy="2381250"/>
            <wp:effectExtent l="0" t="0" r="0" b="0"/>
            <wp:docPr id="980111902" name="Picture 98011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810000" cy="2381250"/>
                    </a:xfrm>
                    <a:prstGeom prst="rect">
                      <a:avLst/>
                    </a:prstGeom>
                  </pic:spPr>
                </pic:pic>
              </a:graphicData>
            </a:graphic>
          </wp:inline>
        </w:drawing>
      </w:r>
    </w:p>
    <w:p w14:paraId="2F0A32FB" w14:textId="77777777" w:rsidR="00F43B96" w:rsidRDefault="00000000">
      <w:pPr>
        <w:spacing w:after="240"/>
        <w:jc w:val="center"/>
      </w:pPr>
      <w:r>
        <w:rPr>
          <w:i/>
          <w:iCs/>
          <w:color w:val="444444"/>
        </w:rPr>
        <w:t>Figure 3. Distribution of included studies by publication year (2020–2025, n = 71).</w:t>
      </w:r>
    </w:p>
    <w:p w14:paraId="35529ABB" w14:textId="77777777" w:rsidR="00F43B96" w:rsidRDefault="00000000">
      <w:pPr>
        <w:spacing w:before="200" w:after="80"/>
        <w:jc w:val="center"/>
      </w:pPr>
      <w:r>
        <w:rPr>
          <w:noProof/>
        </w:rPr>
        <w:lastRenderedPageBreak/>
        <w:drawing>
          <wp:inline distT="0" distB="0" distL="0" distR="0" wp14:anchorId="20E3FB9D" wp14:editId="65388994">
            <wp:extent cx="4000500" cy="2352675"/>
            <wp:effectExtent l="0" t="0" r="0" b="0"/>
            <wp:docPr id="1375217783" name="Picture 1375217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000500" cy="2352675"/>
                    </a:xfrm>
                    <a:prstGeom prst="rect">
                      <a:avLst/>
                    </a:prstGeom>
                  </pic:spPr>
                </pic:pic>
              </a:graphicData>
            </a:graphic>
          </wp:inline>
        </w:drawing>
      </w:r>
    </w:p>
    <w:p w14:paraId="3D06BFB7" w14:textId="77777777" w:rsidR="00F43B96" w:rsidRDefault="00000000">
      <w:pPr>
        <w:spacing w:after="240"/>
        <w:jc w:val="center"/>
      </w:pPr>
      <w:r>
        <w:rPr>
          <w:i/>
          <w:iCs/>
          <w:color w:val="444444"/>
        </w:rPr>
        <w:t>Figure 4. Distribution of included studies by application sector (n = 71).</w:t>
      </w:r>
    </w:p>
    <w:p w14:paraId="46F5A9C5" w14:textId="77777777" w:rsidR="00F43B96" w:rsidRDefault="00000000">
      <w:pPr>
        <w:pStyle w:val="Heading2"/>
        <w:spacing w:before="260" w:after="140"/>
      </w:pPr>
      <w:r>
        <w:rPr>
          <w:b/>
          <w:bCs/>
          <w:i/>
          <w:iCs/>
          <w:color w:val="1B2A4A"/>
          <w:sz w:val="23"/>
          <w:szCs w:val="23"/>
        </w:rPr>
        <w:t>4.1 RQ1: Application and Extension of UTAUT in AI-Adoption Research</w:t>
      </w:r>
    </w:p>
    <w:p w14:paraId="77A1990C" w14:textId="77777777" w:rsidR="00F43B96" w:rsidRDefault="00000000">
      <w:pPr>
        <w:spacing w:after="200" w:line="300" w:lineRule="auto"/>
        <w:jc w:val="both"/>
      </w:pPr>
      <w:r>
        <w:rPr>
          <w:sz w:val="22"/>
          <w:szCs w:val="22"/>
        </w:rPr>
        <w:t xml:space="preserve">Regarding RQ1, the review confirms that </w:t>
      </w:r>
      <w:r w:rsidR="00457E18" w:rsidRPr="00457E18">
        <w:rPr>
          <w:sz w:val="22"/>
          <w:szCs w:val="22"/>
        </w:rPr>
        <w:t>although</w:t>
      </w:r>
      <w:r>
        <w:rPr>
          <w:sz w:val="22"/>
          <w:szCs w:val="22"/>
        </w:rPr>
        <w:t xml:space="preserve"> UTAUT </w:t>
      </w:r>
      <w:r w:rsidR="00457E18" w:rsidRPr="00457E18">
        <w:rPr>
          <w:sz w:val="22"/>
          <w:szCs w:val="22"/>
        </w:rPr>
        <w:t>provides</w:t>
      </w:r>
      <w:r>
        <w:rPr>
          <w:sz w:val="22"/>
          <w:szCs w:val="22"/>
        </w:rPr>
        <w:t xml:space="preserve"> a useful baseline for AI-adoption research, its conventional four-construct formulation is </w:t>
      </w:r>
      <w:r w:rsidR="00457E18" w:rsidRPr="00457E18">
        <w:rPr>
          <w:sz w:val="22"/>
          <w:szCs w:val="22"/>
        </w:rPr>
        <w:t>often</w:t>
      </w:r>
      <w:r>
        <w:rPr>
          <w:sz w:val="22"/>
          <w:szCs w:val="22"/>
        </w:rPr>
        <w:t xml:space="preserve"> insufficient </w:t>
      </w:r>
      <w:r w:rsidR="00457E18" w:rsidRPr="00457E18">
        <w:rPr>
          <w:sz w:val="22"/>
          <w:szCs w:val="22"/>
        </w:rPr>
        <w:t xml:space="preserve">when applied </w:t>
      </w:r>
      <w:r>
        <w:rPr>
          <w:sz w:val="22"/>
          <w:szCs w:val="22"/>
        </w:rPr>
        <w:t xml:space="preserve">on its own. Consistent with the broader UTAUT2 literature (Tamilmani et al., 2021), more than 80% of the reviewed studies extended the base model </w:t>
      </w:r>
      <w:r w:rsidR="00457E18" w:rsidRPr="00457E18">
        <w:rPr>
          <w:sz w:val="22"/>
          <w:szCs w:val="22"/>
        </w:rPr>
        <w:t>by adding</w:t>
      </w:r>
      <w:r>
        <w:rPr>
          <w:sz w:val="22"/>
          <w:szCs w:val="22"/>
        </w:rPr>
        <w:t xml:space="preserve"> at least one </w:t>
      </w:r>
      <w:r>
        <w:rPr>
          <w:sz w:val="22"/>
          <w:szCs w:val="22"/>
        </w:rPr>
        <w:t>construct</w:t>
      </w:r>
      <w:r w:rsidR="00457E18" w:rsidRPr="00457E18">
        <w:rPr>
          <w:sz w:val="22"/>
          <w:szCs w:val="22"/>
        </w:rPr>
        <w:t>,</w:t>
      </w:r>
      <w:r>
        <w:rPr>
          <w:sz w:val="22"/>
          <w:szCs w:val="22"/>
        </w:rPr>
        <w:t xml:space="preserve"> most commonly trust, perceived risk, anxiety, or perceived transparency. This pattern </w:t>
      </w:r>
      <w:r w:rsidR="00457E18" w:rsidRPr="00457E18">
        <w:rPr>
          <w:sz w:val="22"/>
          <w:szCs w:val="22"/>
        </w:rPr>
        <w:t>appears</w:t>
      </w:r>
      <w:r>
        <w:rPr>
          <w:sz w:val="22"/>
          <w:szCs w:val="22"/>
        </w:rPr>
        <w:t xml:space="preserve"> across sectors</w:t>
      </w:r>
      <w:r w:rsidR="00457E18" w:rsidRPr="00457E18">
        <w:rPr>
          <w:sz w:val="22"/>
          <w:szCs w:val="22"/>
        </w:rPr>
        <w:t>. Reviews</w:t>
      </w:r>
      <w:r>
        <w:rPr>
          <w:sz w:val="22"/>
          <w:szCs w:val="22"/>
        </w:rPr>
        <w:t xml:space="preserve"> of UTAUT and UTAUT2 applications to AI in education report similar extension rates and identify trust and perceived risk as the most frequently added constructs (Xue, 2025; Nikolic et al., 2024</w:t>
      </w:r>
      <w:r w:rsidR="00457E18" w:rsidRPr="00457E18">
        <w:rPr>
          <w:sz w:val="22"/>
          <w:szCs w:val="22"/>
        </w:rPr>
        <w:t>). Likewise,</w:t>
      </w:r>
      <w:r>
        <w:rPr>
          <w:sz w:val="22"/>
          <w:szCs w:val="22"/>
        </w:rPr>
        <w:t xml:space="preserve"> studies of generative AI adoption in organisational settings </w:t>
      </w:r>
      <w:r w:rsidR="00457E18" w:rsidRPr="00457E18">
        <w:rPr>
          <w:sz w:val="22"/>
          <w:szCs w:val="22"/>
        </w:rPr>
        <w:t>show that the</w:t>
      </w:r>
      <w:r>
        <w:rPr>
          <w:sz w:val="22"/>
          <w:szCs w:val="22"/>
        </w:rPr>
        <w:t xml:space="preserve"> core UTAUT constructs alone leave a substantial share of variance in behavioural intention unexplained (Kim et al., 2024).</w:t>
      </w:r>
    </w:p>
    <w:p w14:paraId="10CB5A9C" w14:textId="6A967343" w:rsidR="00B22A9E" w:rsidRPr="00C2763C" w:rsidRDefault="00B22A9E">
      <w:pPr>
        <w:spacing w:after="200" w:line="300" w:lineRule="auto"/>
        <w:jc w:val="both"/>
        <w:rPr>
          <w:sz w:val="22"/>
          <w:szCs w:val="22"/>
        </w:rPr>
      </w:pPr>
      <w:r w:rsidRPr="00C2763C">
        <w:rPr>
          <w:sz w:val="22"/>
          <w:szCs w:val="22"/>
        </w:rPr>
        <w:t>This extension rate is consistent with patterns observed in related technology-adoption research. For instance, Jumaat et al. (2025), in validating a technology acceptance scale for AI marketing tools, found that constructs capturing trust and perceived intelligence were necessary to achieve adequate model fit, echoing the findings of the present review. Similarly, Musa et al. (2025) demonstrated that sustainable technology adoption in tourism contexts required the incorporation of environmental attitudes and trust-based constructs beyond the conventional TAM and UTAUT specifications. These parallel findings across domains strengthen the case that intelligent, autonomous, and ethically salient technologies demand theoretically enriched acceptance models.</w:t>
      </w:r>
    </w:p>
    <w:p w14:paraId="6E8C8399" w14:textId="77777777" w:rsidR="00F43B96" w:rsidRDefault="00000000">
      <w:pPr>
        <w:pStyle w:val="Heading2"/>
        <w:spacing w:before="260" w:after="140"/>
      </w:pPr>
      <w:r>
        <w:rPr>
          <w:b/>
          <w:bCs/>
          <w:i/>
          <w:iCs/>
          <w:color w:val="1B2A4A"/>
          <w:sz w:val="23"/>
          <w:szCs w:val="23"/>
        </w:rPr>
        <w:t>4.2 RQ2: Documented Limitations of UTAUT in AI Contexts</w:t>
      </w:r>
    </w:p>
    <w:p w14:paraId="1FA17B6C" w14:textId="77777777" w:rsidR="00F43B96" w:rsidRDefault="00000000">
      <w:pPr>
        <w:spacing w:after="200" w:line="300" w:lineRule="auto"/>
        <w:jc w:val="both"/>
      </w:pPr>
      <w:r>
        <w:rPr>
          <w:sz w:val="22"/>
          <w:szCs w:val="22"/>
        </w:rPr>
        <w:t>Thematic analysis of the reviewed studies' findings and discussion sections revealed three recurring limitations of the conventional UTAUT framework in response to RQ2.</w:t>
      </w:r>
    </w:p>
    <w:p w14:paraId="11089503" w14:textId="671B3448" w:rsidR="00F43B96" w:rsidRDefault="00C2763C">
      <w:pPr>
        <w:spacing w:after="160" w:line="300" w:lineRule="auto"/>
        <w:jc w:val="both"/>
      </w:pPr>
      <w:r>
        <w:rPr>
          <w:b/>
          <w:bCs/>
          <w:sz w:val="22"/>
          <w:szCs w:val="22"/>
        </w:rPr>
        <w:t xml:space="preserve">a) </w:t>
      </w:r>
      <w:r w:rsidR="00000000">
        <w:rPr>
          <w:b/>
          <w:bCs/>
          <w:sz w:val="22"/>
          <w:szCs w:val="22"/>
        </w:rPr>
        <w:t xml:space="preserve">The Black Box Problem. </w:t>
      </w:r>
      <w:r w:rsidR="00000000">
        <w:rPr>
          <w:sz w:val="22"/>
          <w:szCs w:val="22"/>
        </w:rPr>
        <w:t xml:space="preserve">UTAUT's Performance Expectancy construct focuses on the outcomes of technology use but does not address users' need to understand how an AI system arrives at its decisions. Even where outcomes are beneficial, this opacity can erode acceptance and trust. Shin (2021) shows that </w:t>
      </w:r>
      <w:r w:rsidR="00000000">
        <w:rPr>
          <w:sz w:val="22"/>
          <w:szCs w:val="22"/>
        </w:rPr>
        <w:lastRenderedPageBreak/>
        <w:t xml:space="preserve">explainability and </w:t>
      </w:r>
      <w:proofErr w:type="spellStart"/>
      <w:r w:rsidR="00000000">
        <w:rPr>
          <w:sz w:val="22"/>
          <w:szCs w:val="22"/>
        </w:rPr>
        <w:t>causability</w:t>
      </w:r>
      <w:proofErr w:type="spellEnd"/>
      <w:r w:rsidR="00000000">
        <w:rPr>
          <w:sz w:val="22"/>
          <w:szCs w:val="22"/>
        </w:rPr>
        <w:t xml:space="preserve"> operate as distinct antecedents of trust and perceived performance, a relationship the base UTAUT model does not accommodate.</w:t>
      </w:r>
    </w:p>
    <w:p w14:paraId="11493F1A" w14:textId="32853282" w:rsidR="00F43B96" w:rsidRDefault="00C2763C">
      <w:pPr>
        <w:spacing w:after="160" w:line="300" w:lineRule="auto"/>
        <w:jc w:val="both"/>
      </w:pPr>
      <w:r>
        <w:rPr>
          <w:b/>
          <w:bCs/>
          <w:sz w:val="22"/>
          <w:szCs w:val="22"/>
        </w:rPr>
        <w:t xml:space="preserve">b) </w:t>
      </w:r>
      <w:r w:rsidR="00000000">
        <w:rPr>
          <w:b/>
          <w:bCs/>
          <w:sz w:val="22"/>
          <w:szCs w:val="22"/>
        </w:rPr>
        <w:t xml:space="preserve">Neglect of the Relational Dynamic. </w:t>
      </w:r>
      <w:r w:rsidR="00000000">
        <w:rPr>
          <w:sz w:val="22"/>
          <w:szCs w:val="22"/>
        </w:rPr>
        <w:t>UTAUT typically frames technology as a passive instrument. Users, however, frequently treat AI as a quasi-social actor and anthropomorphise it to varying degrees. This relational dynamic makes perceptions of an AI system's intelligence and benevolence dimensions that UTAUT does not capture central to the adoption decision, particularly in high-stakes domains such as healthcare, where trust has been shown to shape acceptance independently of demonstrated system performance (</w:t>
      </w:r>
      <w:proofErr w:type="spellStart"/>
      <w:r w:rsidR="00000000">
        <w:rPr>
          <w:sz w:val="22"/>
          <w:szCs w:val="22"/>
        </w:rPr>
        <w:t>Kauttonen</w:t>
      </w:r>
      <w:proofErr w:type="spellEnd"/>
      <w:r w:rsidR="00000000">
        <w:rPr>
          <w:sz w:val="22"/>
          <w:szCs w:val="22"/>
        </w:rPr>
        <w:t xml:space="preserve"> et al., 2025).</w:t>
      </w:r>
    </w:p>
    <w:p w14:paraId="420685F6" w14:textId="5C872830" w:rsidR="00F43B96" w:rsidRDefault="00C2763C">
      <w:pPr>
        <w:spacing w:after="200" w:line="300" w:lineRule="auto"/>
        <w:jc w:val="both"/>
      </w:pPr>
      <w:r>
        <w:rPr>
          <w:b/>
          <w:bCs/>
          <w:sz w:val="22"/>
          <w:szCs w:val="22"/>
        </w:rPr>
        <w:t xml:space="preserve">c) </w:t>
      </w:r>
      <w:r w:rsidR="00000000">
        <w:rPr>
          <w:b/>
          <w:bCs/>
          <w:sz w:val="22"/>
          <w:szCs w:val="22"/>
        </w:rPr>
        <w:t xml:space="preserve">Insufficient Attention to Ethical Considerations. </w:t>
      </w:r>
      <w:r w:rsidR="00000000">
        <w:rPr>
          <w:sz w:val="22"/>
          <w:szCs w:val="22"/>
        </w:rPr>
        <w:t xml:space="preserve">Concerns regarding algorithmic fairness, accountability, and data </w:t>
      </w:r>
      <w:r w:rsidR="00637A9B">
        <w:rPr>
          <w:sz w:val="22"/>
          <w:szCs w:val="22"/>
        </w:rPr>
        <w:t>privacy recurring</w:t>
      </w:r>
      <w:r w:rsidR="00000000">
        <w:rPr>
          <w:sz w:val="22"/>
          <w:szCs w:val="22"/>
        </w:rPr>
        <w:t xml:space="preserve"> themes across the AI-adoption literature — are not automatically captured by UTAUT. Effort Expectancy and Social Influence, as originally specified, do not account for users' reluctance to adopt systems they perceive as biased or unethical (Pasipamire &amp; Muroyiwa, 2024).</w:t>
      </w:r>
    </w:p>
    <w:p w14:paraId="0F4E0D14" w14:textId="03C2D549" w:rsidR="00F43B96" w:rsidRDefault="00000000">
      <w:pPr>
        <w:pStyle w:val="Heading2"/>
        <w:spacing w:before="260" w:after="140"/>
      </w:pPr>
      <w:r>
        <w:rPr>
          <w:b/>
          <w:bCs/>
          <w:i/>
          <w:iCs/>
          <w:color w:val="1B2A4A"/>
          <w:sz w:val="23"/>
          <w:szCs w:val="23"/>
        </w:rPr>
        <w:t>4.3 RQ3: A Proposed Conceptual Framework</w:t>
      </w:r>
    </w:p>
    <w:p w14:paraId="10E454C9" w14:textId="672092CF" w:rsidR="00F43B96" w:rsidRDefault="00000000">
      <w:pPr>
        <w:spacing w:after="200" w:line="300" w:lineRule="auto"/>
        <w:jc w:val="both"/>
      </w:pPr>
      <w:r>
        <w:rPr>
          <w:sz w:val="22"/>
          <w:szCs w:val="22"/>
        </w:rPr>
        <w:t xml:space="preserve">The review synthesises these findings into a new conceptual framework to address RQ3. Perceived Intelligence is positioned as a key mediating variable between the core UTAUT constructs and </w:t>
      </w:r>
      <w:proofErr w:type="spellStart"/>
      <w:r>
        <w:rPr>
          <w:sz w:val="22"/>
          <w:szCs w:val="22"/>
        </w:rPr>
        <w:t>Behavioral</w:t>
      </w:r>
      <w:proofErr w:type="spellEnd"/>
      <w:r>
        <w:rPr>
          <w:sz w:val="22"/>
          <w:szCs w:val="22"/>
        </w:rPr>
        <w:t xml:space="preserve"> Intention, as shown in Figure 2. In the proposed model, a user's assessment of an AI system's intelligence is shaped by both Performance Expectancy and Effort Expectancy: users are more likely to judge a system as intelligent when it is easy to use </w:t>
      </w:r>
      <w:r>
        <w:rPr>
          <w:sz w:val="22"/>
          <w:szCs w:val="22"/>
        </w:rPr>
        <w:t>and produces accurate, useful outputs</w:t>
      </w:r>
      <w:r w:rsidR="00073F9E" w:rsidRPr="00073F9E">
        <w:rPr>
          <w:sz w:val="22"/>
          <w:szCs w:val="22"/>
        </w:rPr>
        <w:t>.</w:t>
      </w:r>
      <w:r>
        <w:rPr>
          <w:sz w:val="22"/>
          <w:szCs w:val="22"/>
        </w:rPr>
        <w:t xml:space="preserve"> Perceived Intelligence, in turn, significantly influences </w:t>
      </w:r>
      <w:proofErr w:type="spellStart"/>
      <w:r>
        <w:rPr>
          <w:sz w:val="22"/>
          <w:szCs w:val="22"/>
        </w:rPr>
        <w:t>Behavioral</w:t>
      </w:r>
      <w:proofErr w:type="spellEnd"/>
      <w:r>
        <w:rPr>
          <w:sz w:val="22"/>
          <w:szCs w:val="22"/>
        </w:rPr>
        <w:t xml:space="preserve"> Intention. The framework further specifies </w:t>
      </w:r>
      <w:r>
        <w:rPr>
          <w:sz w:val="22"/>
          <w:szCs w:val="22"/>
        </w:rPr>
        <w:t xml:space="preserve">Trust in AI </w:t>
      </w:r>
      <w:r w:rsidR="00073F9E" w:rsidRPr="00073F9E">
        <w:rPr>
          <w:sz w:val="22"/>
          <w:szCs w:val="22"/>
        </w:rPr>
        <w:t>as</w:t>
      </w:r>
      <w:r>
        <w:rPr>
          <w:sz w:val="22"/>
          <w:szCs w:val="22"/>
        </w:rPr>
        <w:t xml:space="preserve"> a critical antecedent of Perceived Intelligence</w:t>
      </w:r>
      <w:r w:rsidR="00073F9E" w:rsidRPr="00073F9E">
        <w:rPr>
          <w:sz w:val="22"/>
          <w:szCs w:val="22"/>
        </w:rPr>
        <w:t>. In other words,</w:t>
      </w:r>
      <w:r>
        <w:rPr>
          <w:sz w:val="22"/>
          <w:szCs w:val="22"/>
        </w:rPr>
        <w:t xml:space="preserve"> users must </w:t>
      </w:r>
      <w:r w:rsidR="00073F9E" w:rsidRPr="00073F9E">
        <w:rPr>
          <w:sz w:val="22"/>
          <w:szCs w:val="22"/>
        </w:rPr>
        <w:t>possess</w:t>
      </w:r>
      <w:r>
        <w:rPr>
          <w:sz w:val="22"/>
          <w:szCs w:val="22"/>
        </w:rPr>
        <w:t xml:space="preserve"> a baseline level of confidence in a system's competence, integrity, and transparency before they are willing to recognise and credit its intelligence. Social Influence and Facilitating Conditions are retained as direct predictors of </w:t>
      </w:r>
      <w:proofErr w:type="spellStart"/>
      <w:r>
        <w:rPr>
          <w:sz w:val="22"/>
          <w:szCs w:val="22"/>
        </w:rPr>
        <w:t>Behavioral</w:t>
      </w:r>
      <w:proofErr w:type="spellEnd"/>
      <w:r>
        <w:rPr>
          <w:sz w:val="22"/>
          <w:szCs w:val="22"/>
        </w:rPr>
        <w:t xml:space="preserve"> Intention, consistent with the original UTAUT specification. By incorporating both a relational construct</w:t>
      </w:r>
      <w:r w:rsidR="00073F9E" w:rsidRPr="00073F9E">
        <w:rPr>
          <w:sz w:val="22"/>
          <w:szCs w:val="22"/>
        </w:rPr>
        <w:t xml:space="preserve">, </w:t>
      </w:r>
      <w:r>
        <w:rPr>
          <w:sz w:val="22"/>
          <w:szCs w:val="22"/>
        </w:rPr>
        <w:t>Trust</w:t>
      </w:r>
      <w:r w:rsidR="00073F9E" w:rsidRPr="00073F9E">
        <w:rPr>
          <w:sz w:val="22"/>
          <w:szCs w:val="22"/>
        </w:rPr>
        <w:t>,</w:t>
      </w:r>
      <w:r>
        <w:rPr>
          <w:sz w:val="22"/>
          <w:szCs w:val="22"/>
        </w:rPr>
        <w:t xml:space="preserve"> and a cognitive construct</w:t>
      </w:r>
      <w:r w:rsidR="00073F9E" w:rsidRPr="00073F9E">
        <w:rPr>
          <w:sz w:val="22"/>
          <w:szCs w:val="22"/>
        </w:rPr>
        <w:t xml:space="preserve">, </w:t>
      </w:r>
      <w:r>
        <w:rPr>
          <w:sz w:val="22"/>
          <w:szCs w:val="22"/>
        </w:rPr>
        <w:t>Perceived Intelligence</w:t>
      </w:r>
      <w:r w:rsidR="00073F9E" w:rsidRPr="00073F9E">
        <w:rPr>
          <w:sz w:val="22"/>
          <w:szCs w:val="22"/>
        </w:rPr>
        <w:t>,</w:t>
      </w:r>
      <w:r>
        <w:rPr>
          <w:sz w:val="22"/>
          <w:szCs w:val="22"/>
        </w:rPr>
        <w:t xml:space="preserve"> this integrated framework directly addresses the three limitations identified under RQ2.</w:t>
      </w:r>
    </w:p>
    <w:p w14:paraId="6D5297BE" w14:textId="27DF83E1" w:rsidR="00C2763C" w:rsidRDefault="00C2763C">
      <w:pPr>
        <w:spacing w:before="200" w:after="80"/>
        <w:jc w:val="center"/>
      </w:pPr>
    </w:p>
    <w:p w14:paraId="15C9D0ED" w14:textId="77777777" w:rsidR="00C2763C" w:rsidRDefault="00C2763C">
      <w:pPr>
        <w:spacing w:before="200" w:after="80"/>
        <w:jc w:val="center"/>
      </w:pPr>
    </w:p>
    <w:p w14:paraId="6F59329D" w14:textId="77777777" w:rsidR="00C2763C" w:rsidRDefault="00C2763C">
      <w:pPr>
        <w:spacing w:before="200" w:after="80"/>
        <w:jc w:val="center"/>
      </w:pPr>
    </w:p>
    <w:p w14:paraId="756624CA" w14:textId="77777777" w:rsidR="00C2763C" w:rsidRDefault="00C2763C">
      <w:pPr>
        <w:spacing w:before="200" w:after="80"/>
        <w:jc w:val="center"/>
      </w:pPr>
    </w:p>
    <w:p w14:paraId="53EEAE8E" w14:textId="77777777" w:rsidR="00C2763C" w:rsidRDefault="00C2763C">
      <w:pPr>
        <w:spacing w:before="200" w:after="80"/>
        <w:jc w:val="center"/>
      </w:pPr>
    </w:p>
    <w:p w14:paraId="7A42345B" w14:textId="3775F4F9" w:rsidR="00C2763C" w:rsidRDefault="00C2763C">
      <w:pPr>
        <w:spacing w:before="200" w:after="80"/>
        <w:jc w:val="center"/>
      </w:pPr>
      <w:r>
        <w:rPr>
          <w:noProof/>
        </w:rPr>
        <w:lastRenderedPageBreak/>
        <w:drawing>
          <wp:anchor distT="0" distB="0" distL="114300" distR="114300" simplePos="0" relativeHeight="251659264" behindDoc="1" locked="0" layoutInCell="1" allowOverlap="1" wp14:anchorId="75337EA7" wp14:editId="1A2BB859">
            <wp:simplePos x="0" y="0"/>
            <wp:positionH relativeFrom="column">
              <wp:posOffset>919079</wp:posOffset>
            </wp:positionH>
            <wp:positionV relativeFrom="paragraph">
              <wp:posOffset>0</wp:posOffset>
            </wp:positionV>
            <wp:extent cx="3736975" cy="2287905"/>
            <wp:effectExtent l="0" t="0" r="0" b="0"/>
            <wp:wrapTight wrapText="bothSides">
              <wp:wrapPolygon edited="0">
                <wp:start x="0" y="0"/>
                <wp:lineTo x="0" y="21402"/>
                <wp:lineTo x="21472" y="21402"/>
                <wp:lineTo x="21472" y="0"/>
                <wp:lineTo x="0" y="0"/>
              </wp:wrapPolygon>
            </wp:wrapTight>
            <wp:docPr id="814744307" name="Picture 1" descr="A diagram of a research frame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research framework&#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6975" cy="228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D50B7" w14:textId="77777777" w:rsidR="00C2763C" w:rsidRDefault="00C2763C">
      <w:pPr>
        <w:spacing w:before="200" w:after="80"/>
        <w:jc w:val="center"/>
      </w:pPr>
    </w:p>
    <w:p w14:paraId="442BDC18" w14:textId="77777777" w:rsidR="00C2763C" w:rsidRDefault="00C2763C">
      <w:pPr>
        <w:spacing w:before="200" w:after="80"/>
        <w:jc w:val="center"/>
      </w:pPr>
    </w:p>
    <w:p w14:paraId="039FA2EA" w14:textId="77777777" w:rsidR="00C2763C" w:rsidRDefault="00C2763C">
      <w:pPr>
        <w:spacing w:before="200" w:after="80"/>
        <w:jc w:val="center"/>
      </w:pPr>
    </w:p>
    <w:p w14:paraId="237098FE" w14:textId="77777777" w:rsidR="00C2763C" w:rsidRDefault="00C2763C">
      <w:pPr>
        <w:spacing w:before="200" w:after="80"/>
        <w:jc w:val="center"/>
      </w:pPr>
    </w:p>
    <w:p w14:paraId="65DBE06D" w14:textId="6534D901" w:rsidR="00C2763C" w:rsidRDefault="00C2763C">
      <w:pPr>
        <w:spacing w:before="200" w:after="80"/>
        <w:jc w:val="center"/>
      </w:pPr>
    </w:p>
    <w:p w14:paraId="3B61F30B" w14:textId="77777777" w:rsidR="00C2763C" w:rsidRDefault="00C2763C">
      <w:pPr>
        <w:spacing w:before="200" w:after="80"/>
        <w:jc w:val="center"/>
      </w:pPr>
    </w:p>
    <w:p w14:paraId="1E940262" w14:textId="774290AD" w:rsidR="00F43B96" w:rsidRDefault="00F43B96">
      <w:pPr>
        <w:spacing w:before="200" w:after="80"/>
        <w:jc w:val="center"/>
      </w:pPr>
    </w:p>
    <w:p w14:paraId="01047AB0" w14:textId="77777777" w:rsidR="00C2763C" w:rsidRDefault="00C2763C">
      <w:pPr>
        <w:spacing w:after="240"/>
        <w:jc w:val="center"/>
        <w:rPr>
          <w:i/>
          <w:iCs/>
          <w:color w:val="444444"/>
        </w:rPr>
      </w:pPr>
    </w:p>
    <w:p w14:paraId="2F2C29D1" w14:textId="615AC0FA" w:rsidR="00F43B96" w:rsidRDefault="00000000">
      <w:pPr>
        <w:spacing w:after="240"/>
        <w:jc w:val="center"/>
      </w:pPr>
      <w:r>
        <w:rPr>
          <w:i/>
          <w:iCs/>
          <w:color w:val="444444"/>
        </w:rPr>
        <w:t xml:space="preserve">Figure 2. Proposed </w:t>
      </w:r>
      <w:r w:rsidR="00FA008F">
        <w:rPr>
          <w:i/>
          <w:iCs/>
          <w:color w:val="444444"/>
        </w:rPr>
        <w:t>research framework</w:t>
      </w:r>
      <w:r>
        <w:rPr>
          <w:i/>
          <w:iCs/>
          <w:color w:val="444444"/>
        </w:rPr>
        <w:t xml:space="preserve"> for AI adoption, in which Perceived Intelligence mediates the relationship between core UTAUT constructs and </w:t>
      </w:r>
      <w:proofErr w:type="spellStart"/>
      <w:r>
        <w:rPr>
          <w:i/>
          <w:iCs/>
          <w:color w:val="444444"/>
        </w:rPr>
        <w:t>Behavioral</w:t>
      </w:r>
      <w:proofErr w:type="spellEnd"/>
      <w:r>
        <w:rPr>
          <w:i/>
          <w:iCs/>
          <w:color w:val="444444"/>
        </w:rPr>
        <w:t xml:space="preserve"> Intention</w:t>
      </w:r>
    </w:p>
    <w:p w14:paraId="4C4D03F4" w14:textId="5493C63C" w:rsidR="00F43B96" w:rsidRDefault="00000000">
      <w:pPr>
        <w:pStyle w:val="Heading2"/>
        <w:spacing w:before="260" w:after="140"/>
      </w:pPr>
      <w:r>
        <w:rPr>
          <w:b/>
          <w:bCs/>
          <w:i/>
          <w:iCs/>
          <w:color w:val="1B2A4A"/>
          <w:sz w:val="23"/>
          <w:szCs w:val="23"/>
        </w:rPr>
        <w:t>Table 2. Synthesis of Key AI-Specific Constructs from Reviewed Literature</w:t>
      </w:r>
    </w:p>
    <w:tbl>
      <w:tblPr>
        <w:tblW w:w="9350" w:type="dxa"/>
        <w:tblBorders>
          <w:top w:val="single" w:sz="4" w:space="0" w:color="1B2A4A"/>
          <w:bottom w:val="single" w:sz="4" w:space="0" w:color="1B2A4A"/>
          <w:insideH w:val="single" w:sz="2" w:space="0" w:color="CCCCCC"/>
        </w:tblBorders>
        <w:tblCellMar>
          <w:left w:w="10" w:type="dxa"/>
          <w:right w:w="10" w:type="dxa"/>
        </w:tblCellMar>
        <w:tblLook w:val="0000" w:firstRow="0" w:lastRow="0" w:firstColumn="0" w:lastColumn="0" w:noHBand="0" w:noVBand="0"/>
      </w:tblPr>
      <w:tblGrid>
        <w:gridCol w:w="2350"/>
        <w:gridCol w:w="3600"/>
        <w:gridCol w:w="3400"/>
      </w:tblGrid>
      <w:tr w:rsidR="00F43B96" w:rsidRPr="008F6519" w14:paraId="5A0DFE9D" w14:textId="77777777" w:rsidTr="008F6519">
        <w:tblPrEx>
          <w:tblCellMar>
            <w:top w:w="0" w:type="dxa"/>
            <w:bottom w:w="0" w:type="dxa"/>
          </w:tblCellMar>
        </w:tblPrEx>
        <w:trPr>
          <w:tblHeader/>
        </w:trPr>
        <w:tc>
          <w:tcPr>
            <w:tcW w:w="2350" w:type="dxa"/>
            <w:tcMar>
              <w:top w:w="100" w:type="dxa"/>
              <w:left w:w="120" w:type="dxa"/>
              <w:bottom w:w="100" w:type="dxa"/>
              <w:right w:w="120" w:type="dxa"/>
            </w:tcMar>
            <w:vAlign w:val="center"/>
          </w:tcPr>
          <w:p w14:paraId="419D76FD" w14:textId="7FADC192" w:rsidR="00F43B96" w:rsidRPr="008F6519" w:rsidRDefault="00000000">
            <w:pPr>
              <w:jc w:val="center"/>
            </w:pPr>
            <w:r w:rsidRPr="008F6519">
              <w:rPr>
                <w:b/>
                <w:bCs/>
              </w:rPr>
              <w:t>Construct</w:t>
            </w:r>
          </w:p>
        </w:tc>
        <w:tc>
          <w:tcPr>
            <w:tcW w:w="3600" w:type="dxa"/>
            <w:tcMar>
              <w:top w:w="100" w:type="dxa"/>
              <w:left w:w="120" w:type="dxa"/>
              <w:bottom w:w="100" w:type="dxa"/>
              <w:right w:w="120" w:type="dxa"/>
            </w:tcMar>
            <w:vAlign w:val="center"/>
          </w:tcPr>
          <w:p w14:paraId="50EAAF76" w14:textId="77777777" w:rsidR="00F43B96" w:rsidRPr="008F6519" w:rsidRDefault="00000000">
            <w:pPr>
              <w:jc w:val="center"/>
            </w:pPr>
            <w:r w:rsidRPr="008F6519">
              <w:rPr>
                <w:b/>
                <w:bCs/>
              </w:rPr>
              <w:t>Definition</w:t>
            </w:r>
          </w:p>
        </w:tc>
        <w:tc>
          <w:tcPr>
            <w:tcW w:w="3400" w:type="dxa"/>
            <w:tcMar>
              <w:top w:w="100" w:type="dxa"/>
              <w:left w:w="120" w:type="dxa"/>
              <w:bottom w:w="100" w:type="dxa"/>
              <w:right w:w="120" w:type="dxa"/>
            </w:tcMar>
            <w:vAlign w:val="center"/>
          </w:tcPr>
          <w:p w14:paraId="565A1CC1" w14:textId="77777777" w:rsidR="00F43B96" w:rsidRPr="008F6519" w:rsidRDefault="00000000">
            <w:pPr>
              <w:jc w:val="center"/>
            </w:pPr>
            <w:r w:rsidRPr="008F6519">
              <w:rPr>
                <w:b/>
                <w:bCs/>
              </w:rPr>
              <w:t>Relevance to AI Adoption</w:t>
            </w:r>
          </w:p>
        </w:tc>
      </w:tr>
      <w:tr w:rsidR="00F43B96" w:rsidRPr="008F6519" w14:paraId="3ABE3056" w14:textId="77777777" w:rsidTr="008F6519">
        <w:tblPrEx>
          <w:tblCellMar>
            <w:top w:w="0" w:type="dxa"/>
            <w:bottom w:w="0" w:type="dxa"/>
          </w:tblCellMar>
        </w:tblPrEx>
        <w:tc>
          <w:tcPr>
            <w:tcW w:w="2350" w:type="dxa"/>
            <w:tcMar>
              <w:top w:w="100" w:type="dxa"/>
              <w:left w:w="120" w:type="dxa"/>
              <w:bottom w:w="100" w:type="dxa"/>
              <w:right w:w="120" w:type="dxa"/>
            </w:tcMar>
            <w:vAlign w:val="center"/>
          </w:tcPr>
          <w:p w14:paraId="65EDB974" w14:textId="77777777" w:rsidR="00F43B96" w:rsidRPr="008F6519" w:rsidRDefault="00000000">
            <w:r w:rsidRPr="008F6519">
              <w:t>Perceived Intelligence</w:t>
            </w:r>
          </w:p>
        </w:tc>
        <w:tc>
          <w:tcPr>
            <w:tcW w:w="3600" w:type="dxa"/>
            <w:tcMar>
              <w:top w:w="100" w:type="dxa"/>
              <w:left w:w="120" w:type="dxa"/>
              <w:bottom w:w="100" w:type="dxa"/>
              <w:right w:w="120" w:type="dxa"/>
            </w:tcMar>
            <w:vAlign w:val="center"/>
          </w:tcPr>
          <w:p w14:paraId="6BF090F9" w14:textId="77777777" w:rsidR="00F43B96" w:rsidRPr="008F6519" w:rsidRDefault="00000000">
            <w:r w:rsidRPr="008F6519">
              <w:t>User's subjective assessment of an AI system's capability to learn, reason, adapt, and solve problems.</w:t>
            </w:r>
          </w:p>
        </w:tc>
        <w:tc>
          <w:tcPr>
            <w:tcW w:w="3400" w:type="dxa"/>
            <w:tcMar>
              <w:top w:w="100" w:type="dxa"/>
              <w:left w:w="120" w:type="dxa"/>
              <w:bottom w:w="100" w:type="dxa"/>
              <w:right w:w="120" w:type="dxa"/>
            </w:tcMar>
            <w:vAlign w:val="center"/>
          </w:tcPr>
          <w:p w14:paraId="06F687A3" w14:textId="77777777" w:rsidR="00F43B96" w:rsidRPr="008F6519" w:rsidRDefault="00000000">
            <w:r w:rsidRPr="008F6519">
              <w:t>Addresses the relational dynamic and the need to perceive AI as a competent agent, not merely a passive tool.</w:t>
            </w:r>
          </w:p>
        </w:tc>
      </w:tr>
      <w:tr w:rsidR="00F43B96" w:rsidRPr="008F6519" w14:paraId="1ABE5A15" w14:textId="77777777" w:rsidTr="008F6519">
        <w:tblPrEx>
          <w:tblCellMar>
            <w:top w:w="0" w:type="dxa"/>
            <w:bottom w:w="0" w:type="dxa"/>
          </w:tblCellMar>
        </w:tblPrEx>
        <w:tc>
          <w:tcPr>
            <w:tcW w:w="2350" w:type="dxa"/>
            <w:tcMar>
              <w:top w:w="100" w:type="dxa"/>
              <w:left w:w="120" w:type="dxa"/>
              <w:bottom w:w="100" w:type="dxa"/>
              <w:right w:w="120" w:type="dxa"/>
            </w:tcMar>
            <w:vAlign w:val="center"/>
          </w:tcPr>
          <w:p w14:paraId="2D512EF5" w14:textId="77777777" w:rsidR="00F43B96" w:rsidRPr="008F6519" w:rsidRDefault="00000000">
            <w:r w:rsidRPr="008F6519">
              <w:t>Trust in AI</w:t>
            </w:r>
          </w:p>
        </w:tc>
        <w:tc>
          <w:tcPr>
            <w:tcW w:w="3600" w:type="dxa"/>
            <w:tcMar>
              <w:top w:w="100" w:type="dxa"/>
              <w:left w:w="120" w:type="dxa"/>
              <w:bottom w:w="100" w:type="dxa"/>
              <w:right w:w="120" w:type="dxa"/>
            </w:tcMar>
            <w:vAlign w:val="center"/>
          </w:tcPr>
          <w:p w14:paraId="1E832D12" w14:textId="77777777" w:rsidR="00F43B96" w:rsidRPr="008F6519" w:rsidRDefault="00000000">
            <w:r w:rsidRPr="008F6519">
              <w:t>User's willingness to be vulnerable to an AI system's actions, based on expectations of its competence, integrity, and benevolence.</w:t>
            </w:r>
          </w:p>
        </w:tc>
        <w:tc>
          <w:tcPr>
            <w:tcW w:w="3400" w:type="dxa"/>
            <w:tcMar>
              <w:top w:w="100" w:type="dxa"/>
              <w:left w:w="120" w:type="dxa"/>
              <w:bottom w:w="100" w:type="dxa"/>
              <w:right w:w="120" w:type="dxa"/>
            </w:tcMar>
            <w:vAlign w:val="center"/>
          </w:tcPr>
          <w:p w14:paraId="2964CAA1" w14:textId="77777777" w:rsidR="00F43B96" w:rsidRPr="008F6519" w:rsidRDefault="00000000">
            <w:r w:rsidRPr="008F6519">
              <w:t>Mitigates the black-box problem and ethical concerns; a foundational precondition for accepting autonomous decisions.</w:t>
            </w:r>
          </w:p>
        </w:tc>
      </w:tr>
      <w:tr w:rsidR="00F43B96" w:rsidRPr="008F6519" w14:paraId="5A8A3E5B" w14:textId="77777777" w:rsidTr="008F6519">
        <w:tblPrEx>
          <w:tblCellMar>
            <w:top w:w="0" w:type="dxa"/>
            <w:bottom w:w="0" w:type="dxa"/>
          </w:tblCellMar>
        </w:tblPrEx>
        <w:tc>
          <w:tcPr>
            <w:tcW w:w="2350" w:type="dxa"/>
            <w:tcMar>
              <w:top w:w="100" w:type="dxa"/>
              <w:left w:w="120" w:type="dxa"/>
              <w:bottom w:w="100" w:type="dxa"/>
              <w:right w:w="120" w:type="dxa"/>
            </w:tcMar>
            <w:vAlign w:val="center"/>
          </w:tcPr>
          <w:p w14:paraId="13929812" w14:textId="77777777" w:rsidR="00F43B96" w:rsidRPr="008F6519" w:rsidRDefault="00000000">
            <w:r w:rsidRPr="008F6519">
              <w:t>Perceived Transparency / Explainability</w:t>
            </w:r>
          </w:p>
        </w:tc>
        <w:tc>
          <w:tcPr>
            <w:tcW w:w="3600" w:type="dxa"/>
            <w:tcMar>
              <w:top w:w="100" w:type="dxa"/>
              <w:left w:w="120" w:type="dxa"/>
              <w:bottom w:w="100" w:type="dxa"/>
              <w:right w:w="120" w:type="dxa"/>
            </w:tcMar>
            <w:vAlign w:val="center"/>
          </w:tcPr>
          <w:p w14:paraId="79E0A61B" w14:textId="77777777" w:rsidR="00F43B96" w:rsidRPr="008F6519" w:rsidRDefault="00000000">
            <w:r w:rsidRPr="008F6519">
              <w:t>The degree to which a user believes an AI system's decision-making process is observable and understandable.</w:t>
            </w:r>
          </w:p>
        </w:tc>
        <w:tc>
          <w:tcPr>
            <w:tcW w:w="3400" w:type="dxa"/>
            <w:tcMar>
              <w:top w:w="100" w:type="dxa"/>
              <w:left w:w="120" w:type="dxa"/>
              <w:bottom w:w="100" w:type="dxa"/>
              <w:right w:w="120" w:type="dxa"/>
            </w:tcMar>
            <w:vAlign w:val="center"/>
          </w:tcPr>
          <w:p w14:paraId="3A514329" w14:textId="77777777" w:rsidR="00F43B96" w:rsidRPr="008F6519" w:rsidRDefault="00000000">
            <w:r w:rsidRPr="008F6519">
              <w:t>Directly addresses the opacity and black-box problem, feeding into both trust and perceived intelligence (Shin, 2021).</w:t>
            </w:r>
          </w:p>
        </w:tc>
      </w:tr>
      <w:tr w:rsidR="00F43B96" w:rsidRPr="008F6519" w14:paraId="553C760E" w14:textId="77777777" w:rsidTr="008F6519">
        <w:tblPrEx>
          <w:tblCellMar>
            <w:top w:w="0" w:type="dxa"/>
            <w:bottom w:w="0" w:type="dxa"/>
          </w:tblCellMar>
        </w:tblPrEx>
        <w:tc>
          <w:tcPr>
            <w:tcW w:w="2350" w:type="dxa"/>
            <w:tcMar>
              <w:top w:w="100" w:type="dxa"/>
              <w:left w:w="120" w:type="dxa"/>
              <w:bottom w:w="100" w:type="dxa"/>
              <w:right w:w="120" w:type="dxa"/>
            </w:tcMar>
            <w:vAlign w:val="center"/>
          </w:tcPr>
          <w:p w14:paraId="04870753" w14:textId="77777777" w:rsidR="00F43B96" w:rsidRPr="008F6519" w:rsidRDefault="00000000">
            <w:r w:rsidRPr="008F6519">
              <w:t>Algorithmic Bias / Fairness</w:t>
            </w:r>
          </w:p>
        </w:tc>
        <w:tc>
          <w:tcPr>
            <w:tcW w:w="3600" w:type="dxa"/>
            <w:tcMar>
              <w:top w:w="100" w:type="dxa"/>
              <w:left w:w="120" w:type="dxa"/>
              <w:bottom w:w="100" w:type="dxa"/>
              <w:right w:w="120" w:type="dxa"/>
            </w:tcMar>
            <w:vAlign w:val="center"/>
          </w:tcPr>
          <w:p w14:paraId="4B309B99" w14:textId="77777777" w:rsidR="00F43B96" w:rsidRPr="008F6519" w:rsidRDefault="00000000">
            <w:r w:rsidRPr="008F6519">
              <w:t>User's concern that an AI system may produce systematically unfair or discriminatory outcomes.</w:t>
            </w:r>
          </w:p>
        </w:tc>
        <w:tc>
          <w:tcPr>
            <w:tcW w:w="3400" w:type="dxa"/>
            <w:tcMar>
              <w:top w:w="100" w:type="dxa"/>
              <w:left w:w="120" w:type="dxa"/>
              <w:bottom w:w="100" w:type="dxa"/>
              <w:right w:w="120" w:type="dxa"/>
            </w:tcMar>
            <w:vAlign w:val="center"/>
          </w:tcPr>
          <w:p w14:paraId="22CE0903" w14:textId="77777777" w:rsidR="00F43B96" w:rsidRPr="008F6519" w:rsidRDefault="00000000">
            <w:r w:rsidRPr="008F6519">
              <w:t>Captures a key ethical dimension that can negatively influence Social Influence and Performance Expectancy (Pasipamire &amp; Muroyiwa, 2024).</w:t>
            </w:r>
          </w:p>
        </w:tc>
      </w:tr>
    </w:tbl>
    <w:p w14:paraId="0B89D93F" w14:textId="77777777" w:rsidR="00F43B96" w:rsidRDefault="00000000">
      <w:pPr>
        <w:pStyle w:val="Heading1"/>
        <w:spacing w:before="320" w:after="160"/>
      </w:pPr>
      <w:r>
        <w:rPr>
          <w:b/>
          <w:bCs/>
          <w:color w:val="1B2A4A"/>
          <w:sz w:val="26"/>
          <w:szCs w:val="26"/>
        </w:rPr>
        <w:t>5. Discussion</w:t>
      </w:r>
    </w:p>
    <w:p w14:paraId="425FF76A" w14:textId="77777777" w:rsidR="00F43B96" w:rsidRDefault="00000000">
      <w:pPr>
        <w:spacing w:after="200" w:line="300" w:lineRule="auto"/>
        <w:jc w:val="both"/>
      </w:pPr>
      <w:r>
        <w:rPr>
          <w:sz w:val="22"/>
          <w:szCs w:val="22"/>
        </w:rPr>
        <w:t xml:space="preserve">The results of this systematic review demonstrate that, despite its enduring strength, UTAUT requires deliberate theoretical extension to remain applicable in the AI era. A central contribution of this review is the proposed positioning of Perceived Intelligence as a mediator between the core UTAUT constructs and </w:t>
      </w:r>
      <w:proofErr w:type="spellStart"/>
      <w:r>
        <w:rPr>
          <w:sz w:val="22"/>
          <w:szCs w:val="22"/>
        </w:rPr>
        <w:t>Behavioral</w:t>
      </w:r>
      <w:proofErr w:type="spellEnd"/>
      <w:r>
        <w:rPr>
          <w:sz w:val="22"/>
          <w:szCs w:val="22"/>
        </w:rPr>
        <w:t xml:space="preserve"> Intention. This positioning recognises that users evaluate an AI system's cognitive capabilities through the lens of utility and ease of use, rather than in isolation: a system's perceived intelligence and adaptability may be precisely why a user finds it beneficial. This extends UTAUT's original instrumental focus and deepens our understanding of the cognitive processes underlying the adoption of intelligent systems.</w:t>
      </w:r>
    </w:p>
    <w:p w14:paraId="76A379D1" w14:textId="77777777" w:rsidR="00F43B96" w:rsidRDefault="00000000">
      <w:pPr>
        <w:spacing w:after="200" w:line="300" w:lineRule="auto"/>
        <w:jc w:val="both"/>
        <w:rPr>
          <w:sz w:val="22"/>
          <w:szCs w:val="22"/>
        </w:rPr>
      </w:pPr>
      <w:r>
        <w:rPr>
          <w:sz w:val="22"/>
          <w:szCs w:val="22"/>
        </w:rPr>
        <w:lastRenderedPageBreak/>
        <w:t>A second key insight concerns the role of Trust in AI as a precondition for Perceived Intelligence. This relationship implies that a lack of early trust can function as a cognitive block, preventing a user from recognising or crediting a system's intelligence regardless of its actual capabilities. This carries meaningful practical implications: organisational efforts to encourage AI adoption cannot be limited to training (Facilitating Conditions) or demonstrating functionality (Performance Expectancy). Organisations must also actively cultivate trust through transparent data-use communication, explainable AI (XAI) interfaces, and verifiable fairness audits (Shin, 2021; Pasipamire &amp; Muroyiwa, 2024).</w:t>
      </w:r>
    </w:p>
    <w:p w14:paraId="02DE8515" w14:textId="4DFF8978" w:rsidR="00F43B96" w:rsidRDefault="00000000">
      <w:pPr>
        <w:spacing w:after="200" w:line="300" w:lineRule="auto"/>
        <w:jc w:val="both"/>
      </w:pPr>
      <w:r w:rsidRPr="00C2763C">
        <w:rPr>
          <w:sz w:val="22"/>
          <w:szCs w:val="22"/>
        </w:rPr>
        <w:t xml:space="preserve">The emphasis on trust-building as a precondition for AI adoption </w:t>
      </w:r>
      <w:r w:rsidR="00BF2296" w:rsidRPr="00BF2296">
        <w:rPr>
          <w:sz w:val="22"/>
          <w:szCs w:val="22"/>
        </w:rPr>
        <w:t>is consistent</w:t>
      </w:r>
      <w:r w:rsidRPr="00C2763C">
        <w:rPr>
          <w:sz w:val="22"/>
          <w:szCs w:val="22"/>
        </w:rPr>
        <w:t xml:space="preserve"> with findings from broader service contexts. </w:t>
      </w:r>
      <w:r w:rsidRPr="00C2763C">
        <w:rPr>
          <w:sz w:val="22"/>
          <w:szCs w:val="22"/>
        </w:rPr>
        <w:t xml:space="preserve">Shafeeq et al. (2026), </w:t>
      </w:r>
      <w:r w:rsidR="00BF2296" w:rsidRPr="00BF2296">
        <w:rPr>
          <w:sz w:val="22"/>
          <w:szCs w:val="22"/>
        </w:rPr>
        <w:t>showed</w:t>
      </w:r>
      <w:r w:rsidRPr="00C2763C">
        <w:rPr>
          <w:sz w:val="22"/>
          <w:szCs w:val="22"/>
        </w:rPr>
        <w:t xml:space="preserve"> that trust in </w:t>
      </w:r>
      <w:r w:rsidR="00BF2296" w:rsidRPr="00BF2296">
        <w:rPr>
          <w:sz w:val="22"/>
          <w:szCs w:val="22"/>
        </w:rPr>
        <w:t>a</w:t>
      </w:r>
      <w:r w:rsidRPr="00C2763C">
        <w:rPr>
          <w:sz w:val="22"/>
          <w:szCs w:val="22"/>
        </w:rPr>
        <w:t xml:space="preserve"> guide's competence and benevolence was the strongest predictor of positive service evaluations</w:t>
      </w:r>
      <w:r w:rsidR="00BF2296" w:rsidRPr="00BF2296">
        <w:rPr>
          <w:sz w:val="22"/>
          <w:szCs w:val="22"/>
        </w:rPr>
        <w:t>. This</w:t>
      </w:r>
      <w:r w:rsidRPr="00C2763C">
        <w:rPr>
          <w:sz w:val="22"/>
          <w:szCs w:val="22"/>
        </w:rPr>
        <w:t xml:space="preserve"> finding</w:t>
      </w:r>
      <w:r w:rsidRPr="00C2763C">
        <w:rPr>
          <w:sz w:val="22"/>
          <w:szCs w:val="22"/>
        </w:rPr>
        <w:t xml:space="preserve"> parallels the proposed role of Trust in AI as an antecedent of Perceived Intelligence. </w:t>
      </w:r>
      <w:r w:rsidR="00BF2296" w:rsidRPr="00BF2296">
        <w:rPr>
          <w:sz w:val="22"/>
          <w:szCs w:val="22"/>
        </w:rPr>
        <w:t>Such</w:t>
      </w:r>
      <w:r w:rsidRPr="00C2763C">
        <w:rPr>
          <w:sz w:val="22"/>
          <w:szCs w:val="22"/>
        </w:rPr>
        <w:t xml:space="preserve"> cross-contextual consistency suggests that relational trust </w:t>
      </w:r>
      <w:r w:rsidR="00BF2296" w:rsidRPr="00BF2296">
        <w:rPr>
          <w:sz w:val="22"/>
          <w:szCs w:val="22"/>
        </w:rPr>
        <w:t>functions</w:t>
      </w:r>
      <w:r w:rsidRPr="00C2763C">
        <w:rPr>
          <w:sz w:val="22"/>
          <w:szCs w:val="22"/>
        </w:rPr>
        <w:t xml:space="preserve"> as </w:t>
      </w:r>
      <w:r w:rsidR="00BF2296" w:rsidRPr="00BF2296">
        <w:rPr>
          <w:sz w:val="22"/>
          <w:szCs w:val="22"/>
        </w:rPr>
        <w:t>an important</w:t>
      </w:r>
      <w:r w:rsidRPr="00C2763C">
        <w:rPr>
          <w:sz w:val="22"/>
          <w:szCs w:val="22"/>
        </w:rPr>
        <w:t xml:space="preserve"> psychological mechanism in both human-human and human-AI service encounters, </w:t>
      </w:r>
      <w:r w:rsidR="00BF2296" w:rsidRPr="00BF2296">
        <w:rPr>
          <w:sz w:val="22"/>
          <w:szCs w:val="22"/>
        </w:rPr>
        <w:t>strengthening</w:t>
      </w:r>
      <w:r w:rsidRPr="00C2763C">
        <w:rPr>
          <w:sz w:val="22"/>
          <w:szCs w:val="22"/>
        </w:rPr>
        <w:t xml:space="preserve"> the theoretical </w:t>
      </w:r>
      <w:r w:rsidR="00BF2296" w:rsidRPr="00BF2296">
        <w:rPr>
          <w:sz w:val="22"/>
          <w:szCs w:val="22"/>
        </w:rPr>
        <w:t>basis</w:t>
      </w:r>
      <w:r w:rsidRPr="00C2763C">
        <w:rPr>
          <w:sz w:val="22"/>
          <w:szCs w:val="22"/>
        </w:rPr>
        <w:t xml:space="preserve"> of the proposed framework.</w:t>
      </w:r>
    </w:p>
    <w:p w14:paraId="78853EBC" w14:textId="77777777" w:rsidR="00F43B96" w:rsidRDefault="00000000">
      <w:pPr>
        <w:spacing w:after="200" w:line="300" w:lineRule="auto"/>
        <w:jc w:val="both"/>
      </w:pPr>
      <w:r>
        <w:rPr>
          <w:sz w:val="22"/>
          <w:szCs w:val="22"/>
        </w:rPr>
        <w:t>The proposed framework also helps reconcile conflicting findings in the existing literature. The relationship between Performance Expectancy and adoption intention, for instance, appears modest in some studies and robust in others. This inconsistency may be explained by variation in the underlying levels of perceived intelligence and trust: in low-trust conditions, the path from demonstrated performance to adoption intention may be attenuated because users remain sceptical of the system's capabilities despite evidence of its usefulness. This offers a more context-sensitive model for researchers to test and validate across cultures and industries.</w:t>
      </w:r>
    </w:p>
    <w:p w14:paraId="2AC49D39" w14:textId="77777777" w:rsidR="00F43B96" w:rsidRDefault="00000000">
      <w:pPr>
        <w:spacing w:after="200" w:line="300" w:lineRule="auto"/>
        <w:jc w:val="both"/>
      </w:pPr>
      <w:r>
        <w:rPr>
          <w:sz w:val="22"/>
          <w:szCs w:val="22"/>
        </w:rPr>
        <w:t>From a policy standpoint, this review suggests that national AI strategies must incorporate explicit guidance on competency demonstration and trust-building alongside infrastructure and training investment. To strengthen perceived intelligence and trust and thereby ease adoption, policymakers and organisational leaders should invest in explainability features and require adherence to ethical AI frameworks. For industry practitioners, the review underscores that user interface and experience design for AI systems must move beyond usability to actively and transparently communicate a system's intelligence and dependability.</w:t>
      </w:r>
    </w:p>
    <w:p w14:paraId="53D04EF9" w14:textId="77777777" w:rsidR="00F43B96" w:rsidRDefault="00000000">
      <w:pPr>
        <w:pStyle w:val="Heading1"/>
        <w:spacing w:before="320" w:after="160"/>
      </w:pPr>
      <w:r>
        <w:rPr>
          <w:b/>
          <w:bCs/>
          <w:color w:val="1B2A4A"/>
          <w:sz w:val="26"/>
          <w:szCs w:val="26"/>
        </w:rPr>
        <w:t>6. Theoretical and Practical Implications</w:t>
      </w:r>
    </w:p>
    <w:p w14:paraId="79729A4B" w14:textId="77777777" w:rsidR="00F43B96" w:rsidRDefault="00000000">
      <w:pPr>
        <w:pStyle w:val="Heading2"/>
        <w:spacing w:before="260" w:after="140"/>
      </w:pPr>
      <w:r>
        <w:rPr>
          <w:b/>
          <w:bCs/>
          <w:i/>
          <w:iCs/>
          <w:color w:val="1B2A4A"/>
          <w:sz w:val="23"/>
          <w:szCs w:val="23"/>
        </w:rPr>
        <w:t>6.1 Theoretical Implications</w:t>
      </w:r>
    </w:p>
    <w:p w14:paraId="3C962868" w14:textId="77777777" w:rsidR="00F43B96" w:rsidRDefault="00000000">
      <w:pPr>
        <w:spacing w:after="200" w:line="300" w:lineRule="auto"/>
        <w:jc w:val="both"/>
        <w:rPr>
          <w:sz w:val="22"/>
          <w:szCs w:val="22"/>
        </w:rPr>
      </w:pPr>
      <w:r>
        <w:rPr>
          <w:sz w:val="22"/>
          <w:szCs w:val="22"/>
        </w:rPr>
        <w:t>This review contributes to technology-acceptance theory by formally integrating a cognitive mediator (Perceived Intelligence) and a relational antecedent (Trust) into the UTAUT nomological network, addressing calls from prior meta-analytic work (Tamilmani et al., 2021) for more theoretically grounded, context-specific UTAUT extensions rather than ad hoc construct addition. The framework offers a parsimonious, falsifiable structure that can be operationalised and tested via structural equation modelling in future empirical work.</w:t>
      </w:r>
    </w:p>
    <w:p w14:paraId="6B2D0893" w14:textId="3E476C63" w:rsidR="00B22A9E" w:rsidRPr="00C2763C" w:rsidRDefault="00B22A9E">
      <w:pPr>
        <w:spacing w:after="200" w:line="300" w:lineRule="auto"/>
        <w:jc w:val="both"/>
        <w:rPr>
          <w:sz w:val="22"/>
          <w:szCs w:val="22"/>
        </w:rPr>
      </w:pPr>
      <w:r w:rsidRPr="00C2763C">
        <w:rPr>
          <w:sz w:val="22"/>
          <w:szCs w:val="22"/>
        </w:rPr>
        <w:t xml:space="preserve">The proposed framework also contributes to the ongoing refinement of technology acceptance theory in non-organisational contexts. As Musa et al. (2025) have demonstrated in the tourism sector, the integration </w:t>
      </w:r>
      <w:r w:rsidRPr="00C2763C">
        <w:rPr>
          <w:sz w:val="22"/>
          <w:szCs w:val="22"/>
        </w:rPr>
        <w:lastRenderedPageBreak/>
        <w:t>of context-specific constructs such as perceived sustainability and trust can substantially improve the explanatory power of baseline models. The present review extends this line of inquiry by formally integrating Perceived Intelligence and Trust into the UTAUT nomological network, offering a model that is both theoretically grounded and empirically testable across diverse application domains, from education and healthcare to public administration and retail services.</w:t>
      </w:r>
    </w:p>
    <w:p w14:paraId="6798ECAE" w14:textId="77777777" w:rsidR="00F43B96" w:rsidRDefault="00000000">
      <w:pPr>
        <w:pStyle w:val="Heading2"/>
        <w:spacing w:before="260" w:after="140"/>
      </w:pPr>
      <w:r>
        <w:rPr>
          <w:b/>
          <w:bCs/>
          <w:i/>
          <w:iCs/>
          <w:color w:val="1B2A4A"/>
          <w:sz w:val="23"/>
          <w:szCs w:val="23"/>
        </w:rPr>
        <w:t>6.2 Practical Implications</w:t>
      </w:r>
    </w:p>
    <w:p w14:paraId="5507F943" w14:textId="77777777" w:rsidR="00F43B96" w:rsidRDefault="00000000">
      <w:pPr>
        <w:spacing w:after="200" w:line="300" w:lineRule="auto"/>
        <w:jc w:val="both"/>
      </w:pPr>
      <w:r>
        <w:rPr>
          <w:sz w:val="22"/>
          <w:szCs w:val="22"/>
        </w:rPr>
        <w:t xml:space="preserve">For practitioners and managers deploying AI systems, the review highlights that user interface design, onboarding, and communication strategies should be evaluated not only for usability but </w:t>
      </w:r>
      <w:r w:rsidR="00E24888" w:rsidRPr="00E24888">
        <w:rPr>
          <w:sz w:val="22"/>
          <w:szCs w:val="22"/>
        </w:rPr>
        <w:t xml:space="preserve">also </w:t>
      </w:r>
      <w:r>
        <w:rPr>
          <w:sz w:val="22"/>
          <w:szCs w:val="22"/>
        </w:rPr>
        <w:t xml:space="preserve">for their capacity to signal </w:t>
      </w:r>
      <w:r>
        <w:rPr>
          <w:sz w:val="22"/>
          <w:szCs w:val="22"/>
        </w:rPr>
        <w:t>competence</w:t>
      </w:r>
      <w:r w:rsidR="00E24888" w:rsidRPr="00E24888">
        <w:rPr>
          <w:sz w:val="22"/>
          <w:szCs w:val="22"/>
        </w:rPr>
        <w:t>, which supports</w:t>
      </w:r>
      <w:r>
        <w:rPr>
          <w:sz w:val="22"/>
          <w:szCs w:val="22"/>
        </w:rPr>
        <w:t xml:space="preserve"> Perceived Intelligence</w:t>
      </w:r>
      <w:r w:rsidR="00E24888" w:rsidRPr="00E24888">
        <w:rPr>
          <w:sz w:val="22"/>
          <w:szCs w:val="22"/>
        </w:rPr>
        <w:t>,</w:t>
      </w:r>
      <w:r>
        <w:rPr>
          <w:sz w:val="22"/>
          <w:szCs w:val="22"/>
        </w:rPr>
        <w:t xml:space="preserve"> and trustworthiness</w:t>
      </w:r>
      <w:r w:rsidR="00E24888" w:rsidRPr="00E24888">
        <w:rPr>
          <w:sz w:val="22"/>
          <w:szCs w:val="22"/>
        </w:rPr>
        <w:t>, which supports</w:t>
      </w:r>
      <w:r>
        <w:rPr>
          <w:sz w:val="22"/>
          <w:szCs w:val="22"/>
        </w:rPr>
        <w:t xml:space="preserve"> Trust</w:t>
      </w:r>
      <w:r w:rsidR="00E24888" w:rsidRPr="00E24888">
        <w:rPr>
          <w:sz w:val="22"/>
          <w:szCs w:val="22"/>
        </w:rPr>
        <w:t>.</w:t>
      </w:r>
      <w:r>
        <w:rPr>
          <w:sz w:val="22"/>
          <w:szCs w:val="22"/>
        </w:rPr>
        <w:t xml:space="preserve"> For policymakers, the review suggests that regulatory and governance frameworks for AI adoption</w:t>
      </w:r>
      <w:r w:rsidR="00E24888" w:rsidRPr="00E24888">
        <w:rPr>
          <w:sz w:val="22"/>
          <w:szCs w:val="22"/>
        </w:rPr>
        <w:t>,</w:t>
      </w:r>
      <w:r>
        <w:rPr>
          <w:sz w:val="22"/>
          <w:szCs w:val="22"/>
        </w:rPr>
        <w:t xml:space="preserve"> </w:t>
      </w:r>
      <w:r>
        <w:rPr>
          <w:sz w:val="22"/>
          <w:szCs w:val="22"/>
        </w:rPr>
        <w:t>including transparency and explainability requirements</w:t>
      </w:r>
      <w:r w:rsidR="00E24888" w:rsidRPr="00E24888">
        <w:rPr>
          <w:sz w:val="22"/>
          <w:szCs w:val="22"/>
        </w:rPr>
        <w:t>,</w:t>
      </w:r>
      <w:r>
        <w:rPr>
          <w:sz w:val="22"/>
          <w:szCs w:val="22"/>
        </w:rPr>
        <w:t xml:space="preserve"> should be understood as adoption-enabling infrastructure</w:t>
      </w:r>
      <w:r w:rsidR="00E24888" w:rsidRPr="00E24888">
        <w:rPr>
          <w:sz w:val="22"/>
          <w:szCs w:val="22"/>
        </w:rPr>
        <w:t xml:space="preserve"> rather than</w:t>
      </w:r>
      <w:r>
        <w:rPr>
          <w:sz w:val="22"/>
          <w:szCs w:val="22"/>
        </w:rPr>
        <w:t xml:space="preserve"> merely </w:t>
      </w:r>
      <w:r w:rsidR="00E24888" w:rsidRPr="00E24888">
        <w:rPr>
          <w:sz w:val="22"/>
          <w:szCs w:val="22"/>
        </w:rPr>
        <w:t xml:space="preserve">as </w:t>
      </w:r>
      <w:r>
        <w:rPr>
          <w:sz w:val="22"/>
          <w:szCs w:val="22"/>
        </w:rPr>
        <w:t>compliance obligations.</w:t>
      </w:r>
    </w:p>
    <w:p w14:paraId="1237F7AE" w14:textId="77777777" w:rsidR="00F43B96" w:rsidRDefault="00000000">
      <w:pPr>
        <w:pStyle w:val="Heading1"/>
        <w:spacing w:before="320" w:after="160"/>
      </w:pPr>
      <w:r>
        <w:rPr>
          <w:b/>
          <w:bCs/>
          <w:color w:val="1B2A4A"/>
          <w:sz w:val="26"/>
          <w:szCs w:val="26"/>
        </w:rPr>
        <w:t>7. Limitations and Future Research</w:t>
      </w:r>
    </w:p>
    <w:p w14:paraId="08258C2E" w14:textId="77777777" w:rsidR="00F43B96" w:rsidRDefault="00000000">
      <w:pPr>
        <w:spacing w:after="200" w:line="300" w:lineRule="auto"/>
        <w:jc w:val="both"/>
      </w:pPr>
      <w:r>
        <w:rPr>
          <w:sz w:val="22"/>
          <w:szCs w:val="22"/>
        </w:rPr>
        <w:t>As with any systematic review, this study has limitations. First, the search was restricted to four databases and English-language publications, which may have excluded relevant non-English or grey literature. Second, the proposed conceptual framework, while grounded in thematic synthesis of the reviewed literature, has not yet been empirically tested through structural equation modelling; this represents an important direction for future research. Third, the categorisation of studies by sector and year, while informative for mapping the field, necessarily simplifies studies that span multiple sectors or AI applications.</w:t>
      </w:r>
    </w:p>
    <w:p w14:paraId="237F7C81" w14:textId="77777777" w:rsidR="00F43B96" w:rsidRDefault="00000000">
      <w:pPr>
        <w:spacing w:after="200" w:line="300" w:lineRule="auto"/>
        <w:jc w:val="both"/>
      </w:pPr>
      <w:r>
        <w:rPr>
          <w:sz w:val="22"/>
          <w:szCs w:val="22"/>
        </w:rPr>
        <w:t>Future research should prioritise operationalising and empirically testing the proposed Perceived Intelligence – Trust – UTAUT framework across diverse cultural and organisational contexts, including public-sector settings where algorithmic accountability and trust-building are especially salient. Longitudinal designs would further help clarify whether trust and perceived intelligence function as stable dispositions or evolve dynamically over the course of sustained AI use.</w:t>
      </w:r>
    </w:p>
    <w:p w14:paraId="6CD838C0" w14:textId="77777777" w:rsidR="00F43B96" w:rsidRDefault="00000000">
      <w:pPr>
        <w:pStyle w:val="Heading1"/>
        <w:spacing w:before="320" w:after="160"/>
      </w:pPr>
      <w:r>
        <w:rPr>
          <w:b/>
          <w:bCs/>
          <w:color w:val="1B2A4A"/>
          <w:sz w:val="26"/>
          <w:szCs w:val="26"/>
        </w:rPr>
        <w:t>8. Conclusion</w:t>
      </w:r>
    </w:p>
    <w:p w14:paraId="3E06206D" w14:textId="77777777" w:rsidR="00F43B96" w:rsidRDefault="00000000">
      <w:pPr>
        <w:spacing w:after="200" w:line="300" w:lineRule="auto"/>
        <w:jc w:val="both"/>
      </w:pPr>
      <w:r>
        <w:rPr>
          <w:sz w:val="22"/>
          <w:szCs w:val="22"/>
        </w:rPr>
        <w:t>This systematic literature review has critically examined the application of the UTAUT model in AI-adoption research, identifying significant theoretical gaps related to AI's opacity, relational nature, and ethical dimensions. In response, the review offers a primary contribution to the technology-acceptance literature: a novel conceptual framework in which Perceived Intelligence serves as a crucial mediator and Trust as a critical antecedent. This framework provides a more sophisticated lens through which to examine the psychological processes driving AI acceptance, establishing a foundation for future empirical research. Future studies should focus on operationalising and quantitatively testing this extended model through structural equation modelling across diverse organisational and cultural contexts to establish its predictive validity.</w:t>
      </w:r>
    </w:p>
    <w:p w14:paraId="3D186086" w14:textId="77777777" w:rsidR="00F43B96" w:rsidRDefault="00000000">
      <w:pPr>
        <w:spacing w:after="200" w:line="300" w:lineRule="auto"/>
        <w:jc w:val="both"/>
      </w:pPr>
      <w:r w:rsidRPr="00B22A9E">
        <w:rPr>
          <w:sz w:val="22"/>
          <w:szCs w:val="22"/>
        </w:rPr>
        <w:lastRenderedPageBreak/>
        <w:t xml:space="preserve">From a practical and policy standpoint, the review's contributions are equally significant. The findings </w:t>
      </w:r>
      <w:r w:rsidR="008847A1" w:rsidRPr="008847A1">
        <w:rPr>
          <w:sz w:val="22"/>
          <w:szCs w:val="22"/>
        </w:rPr>
        <w:t>direct</w:t>
      </w:r>
      <w:r w:rsidRPr="00B22A9E">
        <w:rPr>
          <w:sz w:val="22"/>
          <w:szCs w:val="22"/>
        </w:rPr>
        <w:t xml:space="preserve"> managers and policymakers toward a more comprehensive approach to AI adoption</w:t>
      </w:r>
      <w:r w:rsidR="008847A1" w:rsidRPr="008847A1">
        <w:rPr>
          <w:sz w:val="22"/>
          <w:szCs w:val="22"/>
        </w:rPr>
        <w:t>,</w:t>
      </w:r>
      <w:r w:rsidRPr="00B22A9E">
        <w:rPr>
          <w:sz w:val="22"/>
          <w:szCs w:val="22"/>
        </w:rPr>
        <w:t xml:space="preserve"> one that foregrounds trust and demonstrated competence alongside </w:t>
      </w:r>
      <w:r w:rsidRPr="00B22A9E">
        <w:rPr>
          <w:sz w:val="22"/>
          <w:szCs w:val="22"/>
        </w:rPr>
        <w:t xml:space="preserve">conventional considerations such as usefulness and training. By prioritising transparency, ethical design, and clear communication of AI capabilities, organisations can more effectively address adoption barriers. The theoretical contributions of this review are </w:t>
      </w:r>
      <w:r w:rsidR="008847A1" w:rsidRPr="008847A1">
        <w:rPr>
          <w:sz w:val="22"/>
          <w:szCs w:val="22"/>
        </w:rPr>
        <w:t>also reinforced</w:t>
      </w:r>
      <w:r w:rsidRPr="00B22A9E">
        <w:rPr>
          <w:sz w:val="22"/>
          <w:szCs w:val="22"/>
        </w:rPr>
        <w:t xml:space="preserve"> by its practical relevance across sectors. As organisations increasingly deploy AI systems in customer-facing and service-delivery roles, the principles of trust-building and competence signalling outlined in this framework become essential managerial considerations. These principles resonate with findings from service-industry research (</w:t>
      </w:r>
      <w:r w:rsidRPr="00B22A9E">
        <w:rPr>
          <w:sz w:val="22"/>
          <w:szCs w:val="22"/>
        </w:rPr>
        <w:t>Shafeeq et al., 2026; Musa et al., 2025), where user perceptions of trust and competence consistently emerge as determinants of successful adoption and sustained engagement. By bridging technology acceptance theory with insights from service management and human-computer interaction, this review provides a comprehensive foundation for future research and practice in the AI era.</w:t>
      </w:r>
    </w:p>
    <w:p w14:paraId="60DEDBD8" w14:textId="77777777" w:rsidR="00F43B96" w:rsidRDefault="00000000">
      <w:pPr>
        <w:pStyle w:val="Heading1"/>
        <w:spacing w:before="320" w:after="160"/>
      </w:pPr>
      <w:r>
        <w:rPr>
          <w:b/>
          <w:bCs/>
          <w:color w:val="1B2A4A"/>
          <w:sz w:val="26"/>
          <w:szCs w:val="26"/>
        </w:rPr>
        <w:t>Acknowledgement</w:t>
      </w:r>
    </w:p>
    <w:p w14:paraId="4E7A596D" w14:textId="77777777" w:rsidR="00F43B96" w:rsidRDefault="00000000">
      <w:pPr>
        <w:spacing w:after="200" w:line="300" w:lineRule="auto"/>
        <w:jc w:val="both"/>
      </w:pPr>
      <w:r w:rsidRPr="001639F4">
        <w:rPr>
          <w:sz w:val="22"/>
          <w:szCs w:val="22"/>
        </w:rPr>
        <w:t>The authors would like to thank the Ministry of Higher Education (MOHE</w:t>
      </w:r>
      <w:r w:rsidR="00B1187A" w:rsidRPr="00B1187A">
        <w:rPr>
          <w:sz w:val="22"/>
          <w:szCs w:val="22"/>
        </w:rPr>
        <w:t>)</w:t>
      </w:r>
      <w:r w:rsidRPr="001639F4">
        <w:rPr>
          <w:sz w:val="22"/>
          <w:szCs w:val="22"/>
        </w:rPr>
        <w:t xml:space="preserve"> for sponsoring this work. This study was funded by the Fundamental Research Grant Scheme FRGS/1/2025/FPTT/F00617. </w:t>
      </w:r>
      <w:r w:rsidR="00B1187A" w:rsidRPr="00B1187A">
        <w:rPr>
          <w:sz w:val="22"/>
          <w:szCs w:val="22"/>
        </w:rPr>
        <w:t>The authors also extend their sincere appreciation</w:t>
      </w:r>
      <w:r w:rsidRPr="001639F4">
        <w:rPr>
          <w:sz w:val="22"/>
          <w:szCs w:val="22"/>
        </w:rPr>
        <w:t xml:space="preserve"> to the Faculty of Technology Management and </w:t>
      </w:r>
      <w:proofErr w:type="spellStart"/>
      <w:r w:rsidR="00B1187A" w:rsidRPr="00B1187A">
        <w:rPr>
          <w:sz w:val="22"/>
          <w:szCs w:val="22"/>
        </w:rPr>
        <w:t>Technopreneurship</w:t>
      </w:r>
      <w:proofErr w:type="spellEnd"/>
      <w:r w:rsidR="00B1187A" w:rsidRPr="00B1187A">
        <w:rPr>
          <w:sz w:val="22"/>
          <w:szCs w:val="22"/>
        </w:rPr>
        <w:t>,</w:t>
      </w:r>
      <w:r w:rsidRPr="001639F4">
        <w:rPr>
          <w:sz w:val="22"/>
          <w:szCs w:val="22"/>
        </w:rPr>
        <w:t xml:space="preserve"> Universiti </w:t>
      </w:r>
      <w:proofErr w:type="spellStart"/>
      <w:r w:rsidRPr="001639F4">
        <w:rPr>
          <w:sz w:val="22"/>
          <w:szCs w:val="22"/>
        </w:rPr>
        <w:t>Teknikal</w:t>
      </w:r>
      <w:proofErr w:type="spellEnd"/>
      <w:r w:rsidRPr="001639F4">
        <w:rPr>
          <w:sz w:val="22"/>
          <w:szCs w:val="22"/>
        </w:rPr>
        <w:t xml:space="preserve"> </w:t>
      </w:r>
      <w:r w:rsidRPr="001639F4">
        <w:rPr>
          <w:sz w:val="22"/>
          <w:szCs w:val="22"/>
        </w:rPr>
        <w:t>Malaysia Melaka (</w:t>
      </w:r>
      <w:proofErr w:type="spellStart"/>
      <w:r w:rsidRPr="001639F4">
        <w:rPr>
          <w:sz w:val="22"/>
          <w:szCs w:val="22"/>
        </w:rPr>
        <w:t>UTeM</w:t>
      </w:r>
      <w:proofErr w:type="spellEnd"/>
      <w:r w:rsidR="00B1187A" w:rsidRPr="00B1187A">
        <w:rPr>
          <w:sz w:val="22"/>
          <w:szCs w:val="22"/>
        </w:rPr>
        <w:t>),</w:t>
      </w:r>
      <w:r w:rsidRPr="001639F4">
        <w:rPr>
          <w:sz w:val="22"/>
          <w:szCs w:val="22"/>
        </w:rPr>
        <w:t xml:space="preserve"> for </w:t>
      </w:r>
      <w:r w:rsidR="00B1187A" w:rsidRPr="00B1187A">
        <w:rPr>
          <w:sz w:val="22"/>
          <w:szCs w:val="22"/>
        </w:rPr>
        <w:t>its</w:t>
      </w:r>
      <w:r w:rsidRPr="001639F4">
        <w:rPr>
          <w:sz w:val="22"/>
          <w:szCs w:val="22"/>
        </w:rPr>
        <w:t xml:space="preserve"> support.</w:t>
      </w:r>
      <w:r>
        <w:br w:type="page"/>
      </w:r>
    </w:p>
    <w:p w14:paraId="6C0B7FCE" w14:textId="77777777" w:rsidR="00F43B96" w:rsidRDefault="00000000">
      <w:pPr>
        <w:pStyle w:val="Heading1"/>
        <w:spacing w:before="320" w:after="160"/>
      </w:pPr>
      <w:r>
        <w:rPr>
          <w:b/>
          <w:bCs/>
          <w:color w:val="1B2A4A"/>
          <w:sz w:val="26"/>
          <w:szCs w:val="26"/>
        </w:rPr>
        <w:lastRenderedPageBreak/>
        <w:t>References</w:t>
      </w:r>
    </w:p>
    <w:p w14:paraId="6071AF6B" w14:textId="77777777" w:rsidR="00F43B96" w:rsidRDefault="00000000">
      <w:pPr>
        <w:spacing w:after="160" w:line="276" w:lineRule="auto"/>
        <w:ind w:left="720" w:hanging="720"/>
        <w:jc w:val="both"/>
      </w:pPr>
      <w:r w:rsidRPr="00B22A9E">
        <w:rPr>
          <w:sz w:val="21"/>
          <w:szCs w:val="21"/>
        </w:rPr>
        <w:t xml:space="preserve">Dwivedi, Y. K., Hughes, L., </w:t>
      </w:r>
      <w:proofErr w:type="spellStart"/>
      <w:r w:rsidRPr="00B22A9E">
        <w:rPr>
          <w:sz w:val="21"/>
          <w:szCs w:val="21"/>
        </w:rPr>
        <w:t>Ismagilova</w:t>
      </w:r>
      <w:proofErr w:type="spellEnd"/>
      <w:r w:rsidRPr="00B22A9E">
        <w:rPr>
          <w:sz w:val="21"/>
          <w:szCs w:val="21"/>
        </w:rPr>
        <w:t xml:space="preserve">, E., Aarts, G., Coombs, C., Crick, T., Duan, Y., Dwivedi, R., Edwards, J., </w:t>
      </w:r>
      <w:proofErr w:type="spellStart"/>
      <w:r w:rsidRPr="00B22A9E">
        <w:rPr>
          <w:sz w:val="21"/>
          <w:szCs w:val="21"/>
        </w:rPr>
        <w:t>Eirug</w:t>
      </w:r>
      <w:proofErr w:type="spellEnd"/>
      <w:r w:rsidRPr="00B22A9E">
        <w:rPr>
          <w:sz w:val="21"/>
          <w:szCs w:val="21"/>
        </w:rPr>
        <w:t xml:space="preserve">, A., Galanos, V., Ilavarasan, P. V., Janssen, M., Jones, P., Kar, A. K., </w:t>
      </w:r>
      <w:proofErr w:type="spellStart"/>
      <w:r w:rsidRPr="00B22A9E">
        <w:rPr>
          <w:sz w:val="21"/>
          <w:szCs w:val="21"/>
        </w:rPr>
        <w:t>Kizgin</w:t>
      </w:r>
      <w:proofErr w:type="spellEnd"/>
      <w:r w:rsidRPr="00B22A9E">
        <w:rPr>
          <w:sz w:val="21"/>
          <w:szCs w:val="21"/>
        </w:rPr>
        <w:t xml:space="preserve">, H., Kronemann, B., Lal, B., Lucini, B., … Williams, M. D. (2021). Artificial </w:t>
      </w:r>
      <w:r w:rsidR="00546F77" w:rsidRPr="00546F77">
        <w:rPr>
          <w:sz w:val="21"/>
          <w:szCs w:val="21"/>
        </w:rPr>
        <w:t>intelligence</w:t>
      </w:r>
      <w:r w:rsidRPr="00B22A9E">
        <w:rPr>
          <w:sz w:val="21"/>
          <w:szCs w:val="21"/>
        </w:rPr>
        <w:t xml:space="preserve"> (AI): Multidisciplinary perspectives on emerging challenges, opportunities, and agenda for research, practice and policy.</w:t>
      </w:r>
      <w:r w:rsidR="00546F77" w:rsidRPr="00546F77">
        <w:rPr>
          <w:sz w:val="21"/>
          <w:szCs w:val="21"/>
        </w:rPr>
        <w:t xml:space="preserve"> </w:t>
      </w:r>
      <w:r w:rsidRPr="00B22A9E">
        <w:rPr>
          <w:i/>
          <w:iCs/>
          <w:sz w:val="21"/>
          <w:szCs w:val="21"/>
        </w:rPr>
        <w:t>International Journal of Information Management</w:t>
      </w:r>
      <w:r w:rsidRPr="00B22A9E">
        <w:rPr>
          <w:sz w:val="21"/>
          <w:szCs w:val="21"/>
        </w:rPr>
        <w:t>, 57, Article 101994.</w:t>
      </w:r>
      <w:r w:rsidR="00546F77" w:rsidRPr="00546F77">
        <w:rPr>
          <w:sz w:val="21"/>
          <w:szCs w:val="21"/>
        </w:rPr>
        <w:t xml:space="preserve"> https://doi.org/10.1016/j.ijinfomgt.2019.08.002</w:t>
      </w:r>
    </w:p>
    <w:p w14:paraId="0056CF28" w14:textId="77777777" w:rsidR="00F43B96" w:rsidRDefault="00000000">
      <w:pPr>
        <w:spacing w:after="160" w:line="276" w:lineRule="auto"/>
        <w:ind w:left="720" w:hanging="720"/>
        <w:jc w:val="both"/>
      </w:pPr>
      <w:r w:rsidRPr="00B22A9E">
        <w:rPr>
          <w:sz w:val="21"/>
          <w:szCs w:val="21"/>
        </w:rPr>
        <w:t xml:space="preserve">Dwivedi, Y. K., </w:t>
      </w:r>
      <w:proofErr w:type="spellStart"/>
      <w:r w:rsidRPr="00B22A9E">
        <w:rPr>
          <w:sz w:val="21"/>
          <w:szCs w:val="21"/>
        </w:rPr>
        <w:t>Kshetri</w:t>
      </w:r>
      <w:proofErr w:type="spellEnd"/>
      <w:r w:rsidRPr="00B22A9E">
        <w:rPr>
          <w:sz w:val="21"/>
          <w:szCs w:val="21"/>
        </w:rPr>
        <w:t xml:space="preserve">, N., Hughes, L., Slade, E. L., Jeyaraj, A., Kar, A. K., … Wright, R. (2023). </w:t>
      </w:r>
      <w:proofErr w:type="gramStart"/>
      <w:r w:rsidRPr="00B22A9E">
        <w:rPr>
          <w:sz w:val="21"/>
          <w:szCs w:val="21"/>
        </w:rPr>
        <w:t>So</w:t>
      </w:r>
      <w:proofErr w:type="gramEnd"/>
      <w:r w:rsidRPr="00B22A9E">
        <w:rPr>
          <w:sz w:val="21"/>
          <w:szCs w:val="21"/>
        </w:rPr>
        <w:t xml:space="preserve"> what if ChatGPT wrote it</w:t>
      </w:r>
      <w:r w:rsidR="00A94273" w:rsidRPr="00A94273">
        <w:rPr>
          <w:sz w:val="21"/>
          <w:szCs w:val="21"/>
        </w:rPr>
        <w:t>?</w:t>
      </w:r>
      <w:r w:rsidRPr="00B22A9E">
        <w:rPr>
          <w:sz w:val="21"/>
          <w:szCs w:val="21"/>
        </w:rPr>
        <w:t xml:space="preserve"> Multidisciplinary perspectives on opportunities, challenges and implications of generative conversational AI for research, practice and policy.</w:t>
      </w:r>
      <w:r w:rsidR="00A94273" w:rsidRPr="00A94273">
        <w:rPr>
          <w:sz w:val="21"/>
          <w:szCs w:val="21"/>
        </w:rPr>
        <w:t xml:space="preserve"> </w:t>
      </w:r>
      <w:r w:rsidRPr="00B22A9E">
        <w:rPr>
          <w:i/>
          <w:iCs/>
          <w:sz w:val="21"/>
          <w:szCs w:val="21"/>
        </w:rPr>
        <w:t>International Journal of Information Management</w:t>
      </w:r>
      <w:r w:rsidRPr="00B22A9E">
        <w:rPr>
          <w:sz w:val="21"/>
          <w:szCs w:val="21"/>
        </w:rPr>
        <w:t>, 71, Article 102642.</w:t>
      </w:r>
      <w:r w:rsidR="00A94273" w:rsidRPr="00A94273">
        <w:rPr>
          <w:sz w:val="21"/>
          <w:szCs w:val="21"/>
        </w:rPr>
        <w:t xml:space="preserve"> https://doi.org/10.1016/j.ijinfomgt.2023.102642</w:t>
      </w:r>
    </w:p>
    <w:p w14:paraId="221FFF6F" w14:textId="77777777" w:rsidR="00B22A9E" w:rsidRPr="00B22A9E" w:rsidRDefault="00B22A9E" w:rsidP="00B22A9E">
      <w:pPr>
        <w:spacing w:after="160" w:line="276" w:lineRule="auto"/>
        <w:ind w:left="720" w:hanging="720"/>
        <w:jc w:val="both"/>
        <w:rPr>
          <w:sz w:val="21"/>
          <w:szCs w:val="21"/>
        </w:rPr>
      </w:pPr>
      <w:r w:rsidRPr="00B22A9E">
        <w:rPr>
          <w:sz w:val="21"/>
          <w:szCs w:val="21"/>
        </w:rPr>
        <w:t>Jumaat, E. J., Musa, H., &amp; Rashid, N. (2025). Adoption of AI marketing tools: Technology scale validation. </w:t>
      </w:r>
      <w:r w:rsidRPr="00B22A9E">
        <w:rPr>
          <w:i/>
          <w:iCs/>
          <w:sz w:val="21"/>
          <w:szCs w:val="21"/>
        </w:rPr>
        <w:t xml:space="preserve">Journal of Technology Management and </w:t>
      </w:r>
      <w:proofErr w:type="spellStart"/>
      <w:r w:rsidRPr="00B22A9E">
        <w:rPr>
          <w:i/>
          <w:iCs/>
          <w:sz w:val="21"/>
          <w:szCs w:val="21"/>
        </w:rPr>
        <w:t>Technopreneurship</w:t>
      </w:r>
      <w:proofErr w:type="spellEnd"/>
      <w:r w:rsidRPr="00B22A9E">
        <w:rPr>
          <w:sz w:val="21"/>
          <w:szCs w:val="21"/>
        </w:rPr>
        <w:t>, 13(1), 45–62.</w:t>
      </w:r>
    </w:p>
    <w:p w14:paraId="78E91315" w14:textId="77777777" w:rsidR="00F43B96" w:rsidRDefault="00000000">
      <w:pPr>
        <w:spacing w:after="160" w:line="276" w:lineRule="auto"/>
        <w:ind w:left="720" w:hanging="720"/>
        <w:jc w:val="both"/>
      </w:pPr>
      <w:proofErr w:type="spellStart"/>
      <w:r w:rsidRPr="00B22A9E">
        <w:rPr>
          <w:sz w:val="21"/>
          <w:szCs w:val="21"/>
        </w:rPr>
        <w:t>Kauttonen</w:t>
      </w:r>
      <w:proofErr w:type="spellEnd"/>
      <w:r w:rsidRPr="00B22A9E">
        <w:rPr>
          <w:sz w:val="21"/>
          <w:szCs w:val="21"/>
        </w:rPr>
        <w:t xml:space="preserve">, J., </w:t>
      </w:r>
      <w:proofErr w:type="spellStart"/>
      <w:r w:rsidRPr="00B22A9E">
        <w:rPr>
          <w:sz w:val="21"/>
          <w:szCs w:val="21"/>
        </w:rPr>
        <w:t>Rousi</w:t>
      </w:r>
      <w:proofErr w:type="spellEnd"/>
      <w:r w:rsidRPr="00B22A9E">
        <w:rPr>
          <w:sz w:val="21"/>
          <w:szCs w:val="21"/>
        </w:rPr>
        <w:t>, R., &amp; Alamäki, A. (2025). Trust and acceptance challenges in the adoption of AI applications in health care: Quantitative survey analysis.</w:t>
      </w:r>
      <w:r w:rsidR="00110530" w:rsidRPr="00110530">
        <w:rPr>
          <w:sz w:val="21"/>
          <w:szCs w:val="21"/>
        </w:rPr>
        <w:t xml:space="preserve"> </w:t>
      </w:r>
      <w:r w:rsidRPr="00B22A9E">
        <w:rPr>
          <w:i/>
          <w:iCs/>
          <w:sz w:val="21"/>
          <w:szCs w:val="21"/>
        </w:rPr>
        <w:t>Journal of Medical Internet Research</w:t>
      </w:r>
      <w:r w:rsidRPr="00B22A9E">
        <w:rPr>
          <w:sz w:val="21"/>
          <w:szCs w:val="21"/>
        </w:rPr>
        <w:t>, 27, Article e65567.</w:t>
      </w:r>
      <w:r w:rsidR="00110530" w:rsidRPr="00110530">
        <w:rPr>
          <w:sz w:val="21"/>
          <w:szCs w:val="21"/>
        </w:rPr>
        <w:t xml:space="preserve"> https://doi.org/10.2196/65567</w:t>
      </w:r>
    </w:p>
    <w:p w14:paraId="1636A383" w14:textId="77777777" w:rsidR="00F43B96" w:rsidRDefault="00000000">
      <w:pPr>
        <w:spacing w:after="160" w:line="276" w:lineRule="auto"/>
        <w:ind w:left="720" w:hanging="720"/>
        <w:jc w:val="both"/>
      </w:pPr>
      <w:r w:rsidRPr="00B22A9E">
        <w:rPr>
          <w:sz w:val="21"/>
          <w:szCs w:val="21"/>
        </w:rPr>
        <w:t xml:space="preserve">Kim, Y., Blazquez, V., &amp; Oh, T. (2024). Determinants of generative AI system adoption and usage </w:t>
      </w:r>
      <w:proofErr w:type="spellStart"/>
      <w:r w:rsidRPr="00B22A9E">
        <w:rPr>
          <w:sz w:val="21"/>
          <w:szCs w:val="21"/>
        </w:rPr>
        <w:t>behavior</w:t>
      </w:r>
      <w:proofErr w:type="spellEnd"/>
      <w:r w:rsidRPr="00B22A9E">
        <w:rPr>
          <w:sz w:val="21"/>
          <w:szCs w:val="21"/>
        </w:rPr>
        <w:t xml:space="preserve"> in Korean companies: Applying the UTAUT model.</w:t>
      </w:r>
      <w:r w:rsidR="00E97424" w:rsidRPr="00E97424">
        <w:rPr>
          <w:sz w:val="21"/>
          <w:szCs w:val="21"/>
        </w:rPr>
        <w:t xml:space="preserve"> </w:t>
      </w:r>
      <w:proofErr w:type="spellStart"/>
      <w:r w:rsidRPr="00B22A9E">
        <w:rPr>
          <w:i/>
          <w:iCs/>
          <w:sz w:val="21"/>
          <w:szCs w:val="21"/>
        </w:rPr>
        <w:t>Behavioral</w:t>
      </w:r>
      <w:proofErr w:type="spellEnd"/>
      <w:r w:rsidRPr="00B22A9E">
        <w:rPr>
          <w:i/>
          <w:iCs/>
          <w:sz w:val="21"/>
          <w:szCs w:val="21"/>
        </w:rPr>
        <w:t xml:space="preserve"> Sciences</w:t>
      </w:r>
      <w:r w:rsidRPr="00B22A9E">
        <w:rPr>
          <w:sz w:val="21"/>
          <w:szCs w:val="21"/>
        </w:rPr>
        <w:t xml:space="preserve">, </w:t>
      </w:r>
      <w:r w:rsidRPr="00E97424">
        <w:rPr>
          <w:i/>
          <w:sz w:val="21"/>
          <w:szCs w:val="21"/>
        </w:rPr>
        <w:t>14</w:t>
      </w:r>
      <w:r w:rsidRPr="00B22A9E">
        <w:rPr>
          <w:sz w:val="21"/>
          <w:szCs w:val="21"/>
        </w:rPr>
        <w:t>(11), 1035.</w:t>
      </w:r>
      <w:r w:rsidR="00E97424" w:rsidRPr="00E97424">
        <w:rPr>
          <w:sz w:val="21"/>
          <w:szCs w:val="21"/>
        </w:rPr>
        <w:t xml:space="preserve"> https://doi.org/10.3390/bs14111035</w:t>
      </w:r>
    </w:p>
    <w:p w14:paraId="2D551FAE" w14:textId="77777777" w:rsidR="00F43B96" w:rsidRDefault="00000000">
      <w:pPr>
        <w:spacing w:after="160" w:line="276" w:lineRule="auto"/>
        <w:ind w:left="720" w:hanging="720"/>
        <w:jc w:val="both"/>
      </w:pPr>
      <w:r w:rsidRPr="00051E42">
        <w:rPr>
          <w:sz w:val="21"/>
          <w:szCs w:val="21"/>
        </w:rPr>
        <w:t>Shafeeq, M. S</w:t>
      </w:r>
      <w:r w:rsidR="00727760" w:rsidRPr="00727760">
        <w:rPr>
          <w:sz w:val="21"/>
          <w:szCs w:val="21"/>
        </w:rPr>
        <w:t>. M</w:t>
      </w:r>
      <w:r w:rsidRPr="00051E42">
        <w:rPr>
          <w:sz w:val="21"/>
          <w:szCs w:val="21"/>
        </w:rPr>
        <w:t>., Thinaraj, B., Zawawi, A. A., &amp; Isai Amutan, K. (2026).</w:t>
      </w:r>
      <w:r w:rsidR="00727760" w:rsidRPr="00727760">
        <w:rPr>
          <w:sz w:val="21"/>
          <w:szCs w:val="21"/>
        </w:rPr>
        <w:t xml:space="preserve"> </w:t>
      </w:r>
      <w:r w:rsidRPr="00637A9B">
        <w:rPr>
          <w:sz w:val="21"/>
          <w:szCs w:val="21"/>
        </w:rPr>
        <w:t xml:space="preserve">Voices </w:t>
      </w:r>
      <w:r w:rsidR="00727760" w:rsidRPr="00727760">
        <w:rPr>
          <w:sz w:val="21"/>
          <w:szCs w:val="21"/>
        </w:rPr>
        <w:t>from</w:t>
      </w:r>
      <w:r w:rsidRPr="00637A9B">
        <w:rPr>
          <w:sz w:val="21"/>
          <w:szCs w:val="21"/>
        </w:rPr>
        <w:t xml:space="preserve"> the </w:t>
      </w:r>
      <w:r w:rsidR="00727760" w:rsidRPr="00727760">
        <w:rPr>
          <w:sz w:val="21"/>
          <w:szCs w:val="21"/>
        </w:rPr>
        <w:t>trails</w:t>
      </w:r>
      <w:r w:rsidRPr="00637A9B">
        <w:rPr>
          <w:sz w:val="21"/>
          <w:szCs w:val="21"/>
        </w:rPr>
        <w:t xml:space="preserve">: Hikers' </w:t>
      </w:r>
      <w:r w:rsidR="00727760" w:rsidRPr="00727760">
        <w:rPr>
          <w:sz w:val="21"/>
          <w:szCs w:val="21"/>
        </w:rPr>
        <w:t>perceptions</w:t>
      </w:r>
      <w:r w:rsidRPr="00637A9B">
        <w:rPr>
          <w:sz w:val="21"/>
          <w:szCs w:val="21"/>
        </w:rPr>
        <w:t xml:space="preserve"> of Malaysian </w:t>
      </w:r>
      <w:r w:rsidR="00727760" w:rsidRPr="00727760">
        <w:rPr>
          <w:sz w:val="21"/>
          <w:szCs w:val="21"/>
        </w:rPr>
        <w:t xml:space="preserve">forest guides. </w:t>
      </w:r>
      <w:r w:rsidRPr="00637A9B">
        <w:rPr>
          <w:i/>
          <w:iCs/>
          <w:sz w:val="21"/>
          <w:szCs w:val="21"/>
        </w:rPr>
        <w:t>Malaysian Journal of Social Sciences and Humanities (MJSSH)</w:t>
      </w:r>
      <w:r w:rsidRPr="00637A9B">
        <w:rPr>
          <w:sz w:val="21"/>
          <w:szCs w:val="21"/>
        </w:rPr>
        <w:t>, 11(1), e003763.</w:t>
      </w:r>
      <w:r w:rsidR="00727760" w:rsidRPr="00727760">
        <w:rPr>
          <w:sz w:val="21"/>
          <w:szCs w:val="21"/>
        </w:rPr>
        <w:t xml:space="preserve"> https://doi.org/10.47405/mjssh.v11i1.3763</w:t>
      </w:r>
    </w:p>
    <w:p w14:paraId="6CEC99BA" w14:textId="77777777" w:rsidR="00F43B96" w:rsidRDefault="00000000">
      <w:pPr>
        <w:spacing w:after="160" w:line="276" w:lineRule="auto"/>
        <w:ind w:left="720" w:hanging="720"/>
        <w:jc w:val="both"/>
      </w:pPr>
      <w:r w:rsidRPr="00B22A9E">
        <w:rPr>
          <w:sz w:val="21"/>
          <w:szCs w:val="21"/>
        </w:rPr>
        <w:t>Musa, H., Ab. Rahman, A., &amp; Mohd Shariff, M. N. (2016). Adoption of mobile marketing in SMEs: Extending the UTAUT model.</w:t>
      </w:r>
      <w:r w:rsidR="000307E0" w:rsidRPr="000307E0">
        <w:rPr>
          <w:sz w:val="21"/>
          <w:szCs w:val="21"/>
        </w:rPr>
        <w:t xml:space="preserve"> </w:t>
      </w:r>
      <w:r w:rsidRPr="00B22A9E">
        <w:rPr>
          <w:i/>
          <w:iCs/>
          <w:sz w:val="21"/>
          <w:szCs w:val="21"/>
        </w:rPr>
        <w:t>European Proceedings of Social and Behavioural Sciences</w:t>
      </w:r>
      <w:r w:rsidRPr="00B22A9E">
        <w:rPr>
          <w:sz w:val="21"/>
          <w:szCs w:val="21"/>
        </w:rPr>
        <w:t>, 15, 267–276.</w:t>
      </w:r>
      <w:r w:rsidR="000307E0" w:rsidRPr="000307E0">
        <w:rPr>
          <w:sz w:val="21"/>
          <w:szCs w:val="21"/>
        </w:rPr>
        <w:t xml:space="preserve"> https://doi.org/10.15405/epsbs.2016.05.02.24</w:t>
      </w:r>
    </w:p>
    <w:p w14:paraId="26E4DF12" w14:textId="77777777" w:rsidR="00F43B96" w:rsidRDefault="00000000">
      <w:pPr>
        <w:spacing w:after="160" w:line="276" w:lineRule="auto"/>
        <w:ind w:left="720" w:hanging="720"/>
        <w:jc w:val="both"/>
      </w:pPr>
      <w:r w:rsidRPr="00051E42">
        <w:rPr>
          <w:sz w:val="21"/>
          <w:szCs w:val="21"/>
        </w:rPr>
        <w:t>Musa, H., Abdullah, A. R., Othman, M. N., Rashid, N., &amp; Azmi, F. R. (2025).</w:t>
      </w:r>
      <w:r w:rsidR="00931A32" w:rsidRPr="00931A32">
        <w:rPr>
          <w:sz w:val="21"/>
          <w:szCs w:val="21"/>
        </w:rPr>
        <w:t xml:space="preserve"> </w:t>
      </w:r>
      <w:r w:rsidRPr="00637A9B">
        <w:rPr>
          <w:sz w:val="21"/>
          <w:szCs w:val="21"/>
        </w:rPr>
        <w:t>Rethinking the Technology Acceptance Model: A structural analysis of sustainable technology adoption in Malaysian tourism.</w:t>
      </w:r>
      <w:r w:rsidR="00931A32" w:rsidRPr="00931A32">
        <w:rPr>
          <w:sz w:val="21"/>
          <w:szCs w:val="21"/>
        </w:rPr>
        <w:t xml:space="preserve"> </w:t>
      </w:r>
      <w:r w:rsidRPr="00637A9B">
        <w:rPr>
          <w:i/>
          <w:iCs/>
          <w:sz w:val="21"/>
          <w:szCs w:val="21"/>
        </w:rPr>
        <w:t>International Journal of Research and Innovation in Social Science</w:t>
      </w:r>
      <w:r w:rsidRPr="00637A9B">
        <w:rPr>
          <w:sz w:val="21"/>
          <w:szCs w:val="21"/>
        </w:rPr>
        <w:t>,</w:t>
      </w:r>
      <w:r w:rsidR="00931A32" w:rsidRPr="00931A32">
        <w:rPr>
          <w:sz w:val="21"/>
          <w:szCs w:val="21"/>
        </w:rPr>
        <w:t xml:space="preserve"> </w:t>
      </w:r>
      <w:r w:rsidRPr="00931A32">
        <w:rPr>
          <w:i/>
          <w:sz w:val="21"/>
          <w:szCs w:val="21"/>
        </w:rPr>
        <w:t>9</w:t>
      </w:r>
      <w:r w:rsidR="00931A32" w:rsidRPr="00931A32">
        <w:rPr>
          <w:sz w:val="21"/>
          <w:szCs w:val="21"/>
        </w:rPr>
        <w:t>(</w:t>
      </w:r>
      <w:r w:rsidRPr="00637A9B">
        <w:rPr>
          <w:sz w:val="21"/>
          <w:szCs w:val="21"/>
        </w:rPr>
        <w:t>9), 6125–6139.</w:t>
      </w:r>
      <w:r w:rsidR="00931A32" w:rsidRPr="00931A32">
        <w:rPr>
          <w:sz w:val="21"/>
          <w:szCs w:val="21"/>
        </w:rPr>
        <w:t xml:space="preserve"> https://doi.org/10.47772/IJRISS.2025.909000500</w:t>
      </w:r>
    </w:p>
    <w:p w14:paraId="5117DA39" w14:textId="77777777" w:rsidR="00F43B96" w:rsidRDefault="00000000">
      <w:pPr>
        <w:spacing w:after="160" w:line="276" w:lineRule="auto"/>
        <w:ind w:left="720" w:hanging="720"/>
        <w:jc w:val="both"/>
      </w:pPr>
      <w:r w:rsidRPr="00B22A9E">
        <w:rPr>
          <w:sz w:val="21"/>
          <w:szCs w:val="21"/>
        </w:rPr>
        <w:t xml:space="preserve">Nikolic, S., Wentworth, I., Sheridan, L., Moss, S., </w:t>
      </w:r>
      <w:proofErr w:type="spellStart"/>
      <w:r w:rsidRPr="00B22A9E">
        <w:rPr>
          <w:sz w:val="21"/>
          <w:szCs w:val="21"/>
        </w:rPr>
        <w:t>Duursma</w:t>
      </w:r>
      <w:proofErr w:type="spellEnd"/>
      <w:r w:rsidRPr="00B22A9E">
        <w:rPr>
          <w:sz w:val="21"/>
          <w:szCs w:val="21"/>
        </w:rPr>
        <w:t>, E., Jones, R. A., … Middleton, R. (2024). A systematic literature review of attitudes, intentions and behaviours of teaching academics pertaining to AI and generative AI (GenAI) in higher education: An analysis of GenAI adoption using the UTAUT framework.</w:t>
      </w:r>
      <w:r w:rsidR="009D3FBE" w:rsidRPr="009D3FBE">
        <w:rPr>
          <w:sz w:val="21"/>
          <w:szCs w:val="21"/>
        </w:rPr>
        <w:t xml:space="preserve"> </w:t>
      </w:r>
      <w:r w:rsidRPr="00B22A9E">
        <w:rPr>
          <w:i/>
          <w:iCs/>
          <w:sz w:val="21"/>
          <w:szCs w:val="21"/>
        </w:rPr>
        <w:t>Australasian Journal of Educational Technology</w:t>
      </w:r>
      <w:r w:rsidRPr="00B22A9E">
        <w:rPr>
          <w:sz w:val="21"/>
          <w:szCs w:val="21"/>
        </w:rPr>
        <w:t xml:space="preserve">, </w:t>
      </w:r>
      <w:r w:rsidRPr="009D3FBE">
        <w:rPr>
          <w:i/>
          <w:sz w:val="21"/>
          <w:szCs w:val="21"/>
        </w:rPr>
        <w:t>40</w:t>
      </w:r>
      <w:r w:rsidRPr="00B22A9E">
        <w:rPr>
          <w:sz w:val="21"/>
          <w:szCs w:val="21"/>
        </w:rPr>
        <w:t>(6), 56–75.</w:t>
      </w:r>
      <w:r w:rsidR="009D3FBE" w:rsidRPr="009D3FBE">
        <w:rPr>
          <w:sz w:val="21"/>
          <w:szCs w:val="21"/>
        </w:rPr>
        <w:t xml:space="preserve"> https://doi.org/10.14742/ajet.9643</w:t>
      </w:r>
    </w:p>
    <w:p w14:paraId="1FB41BA3" w14:textId="77777777" w:rsidR="00F43B96" w:rsidRDefault="00000000">
      <w:pPr>
        <w:spacing w:after="160" w:line="276" w:lineRule="auto"/>
        <w:ind w:left="720" w:hanging="720"/>
        <w:jc w:val="both"/>
      </w:pPr>
      <w:r w:rsidRPr="00B22A9E">
        <w:rPr>
          <w:sz w:val="21"/>
          <w:szCs w:val="21"/>
        </w:rPr>
        <w:t xml:space="preserve">Page, M. J., McKenzie, J. E., Bossuyt, P. M., </w:t>
      </w:r>
      <w:proofErr w:type="spellStart"/>
      <w:r w:rsidRPr="00B22A9E">
        <w:rPr>
          <w:sz w:val="21"/>
          <w:szCs w:val="21"/>
        </w:rPr>
        <w:t>Boutron</w:t>
      </w:r>
      <w:proofErr w:type="spellEnd"/>
      <w:r w:rsidRPr="00B22A9E">
        <w:rPr>
          <w:sz w:val="21"/>
          <w:szCs w:val="21"/>
        </w:rPr>
        <w:t xml:space="preserve">, I., Hoffmann, T. C., Mulrow, C. D., </w:t>
      </w:r>
      <w:proofErr w:type="spellStart"/>
      <w:r w:rsidRPr="00B22A9E">
        <w:rPr>
          <w:sz w:val="21"/>
          <w:szCs w:val="21"/>
        </w:rPr>
        <w:t>Shamseer</w:t>
      </w:r>
      <w:proofErr w:type="spellEnd"/>
      <w:r w:rsidRPr="00B22A9E">
        <w:rPr>
          <w:sz w:val="21"/>
          <w:szCs w:val="21"/>
        </w:rPr>
        <w:t>, L., Tetzlaff, J. M., Akl, E. A., Brennan, S. E., Chou, R., Glanville, J., Grimshaw, J. M., Hróbjartsson, A., Lalu, M. M., Li, T., Loder, E. W., Mayo-Wilson, E., McDonald, S., … Moher, D. (2021). The PRISMA 2020 statement: An updated guideline for reporting systematic reviews.</w:t>
      </w:r>
      <w:r w:rsidR="0051264B" w:rsidRPr="0051264B">
        <w:rPr>
          <w:sz w:val="21"/>
          <w:szCs w:val="21"/>
        </w:rPr>
        <w:t xml:space="preserve"> </w:t>
      </w:r>
      <w:r w:rsidRPr="00B22A9E">
        <w:rPr>
          <w:i/>
          <w:iCs/>
          <w:sz w:val="21"/>
          <w:szCs w:val="21"/>
        </w:rPr>
        <w:t>BMJ</w:t>
      </w:r>
      <w:r w:rsidRPr="00B22A9E">
        <w:rPr>
          <w:sz w:val="21"/>
          <w:szCs w:val="21"/>
        </w:rPr>
        <w:t>, 372, Article n71.</w:t>
      </w:r>
      <w:r w:rsidR="0051264B" w:rsidRPr="0051264B">
        <w:rPr>
          <w:sz w:val="21"/>
          <w:szCs w:val="21"/>
        </w:rPr>
        <w:t xml:space="preserve"> https://doi.org/10.1136/bmj.n71</w:t>
      </w:r>
    </w:p>
    <w:p w14:paraId="777E05E7" w14:textId="77777777" w:rsidR="00F43B96" w:rsidRDefault="00000000">
      <w:pPr>
        <w:spacing w:after="160" w:line="276" w:lineRule="auto"/>
        <w:ind w:left="720" w:hanging="720"/>
        <w:jc w:val="both"/>
      </w:pPr>
      <w:r w:rsidRPr="00B22A9E">
        <w:rPr>
          <w:sz w:val="21"/>
          <w:szCs w:val="21"/>
        </w:rPr>
        <w:lastRenderedPageBreak/>
        <w:t xml:space="preserve">Pasipamire, N., &amp; </w:t>
      </w:r>
      <w:r w:rsidRPr="00B22A9E">
        <w:rPr>
          <w:sz w:val="21"/>
          <w:szCs w:val="21"/>
        </w:rPr>
        <w:t>Muroyiwa, A. (2024). Navigating algorithm bias in AI: Ensuring fairness and trust in Africa.</w:t>
      </w:r>
      <w:r w:rsidR="00F766E7" w:rsidRPr="00F766E7">
        <w:rPr>
          <w:sz w:val="21"/>
          <w:szCs w:val="21"/>
        </w:rPr>
        <w:t xml:space="preserve"> </w:t>
      </w:r>
      <w:r w:rsidRPr="00B22A9E">
        <w:rPr>
          <w:i/>
          <w:iCs/>
          <w:sz w:val="21"/>
          <w:szCs w:val="21"/>
        </w:rPr>
        <w:t>Frontiers in Research Metrics and Analytics</w:t>
      </w:r>
      <w:r w:rsidRPr="00B22A9E">
        <w:rPr>
          <w:sz w:val="21"/>
          <w:szCs w:val="21"/>
        </w:rPr>
        <w:t>, 9, Article 1486600.</w:t>
      </w:r>
      <w:r w:rsidR="00F766E7" w:rsidRPr="00F766E7">
        <w:rPr>
          <w:sz w:val="21"/>
          <w:szCs w:val="21"/>
        </w:rPr>
        <w:t xml:space="preserve"> https://doi.org/10.3389/frma.2024.1486600</w:t>
      </w:r>
    </w:p>
    <w:p w14:paraId="2EEBC4F5" w14:textId="77777777" w:rsidR="00F43B96" w:rsidRDefault="00000000">
      <w:pPr>
        <w:spacing w:after="160" w:line="276" w:lineRule="auto"/>
        <w:ind w:left="720" w:hanging="720"/>
        <w:jc w:val="both"/>
      </w:pPr>
      <w:r w:rsidRPr="00B22A9E">
        <w:rPr>
          <w:sz w:val="21"/>
          <w:szCs w:val="21"/>
        </w:rPr>
        <w:t xml:space="preserve">Shin, D. (2021). The effects of explainability and </w:t>
      </w:r>
      <w:proofErr w:type="spellStart"/>
      <w:r w:rsidRPr="00B22A9E">
        <w:rPr>
          <w:sz w:val="21"/>
          <w:szCs w:val="21"/>
        </w:rPr>
        <w:t>causability</w:t>
      </w:r>
      <w:proofErr w:type="spellEnd"/>
      <w:r w:rsidRPr="00B22A9E">
        <w:rPr>
          <w:sz w:val="21"/>
          <w:szCs w:val="21"/>
        </w:rPr>
        <w:t xml:space="preserve"> on perception, trust, and acceptance: Implications for explainable AI.</w:t>
      </w:r>
      <w:r w:rsidR="00AB0B39" w:rsidRPr="00AB0B39">
        <w:rPr>
          <w:sz w:val="21"/>
          <w:szCs w:val="21"/>
        </w:rPr>
        <w:t xml:space="preserve"> </w:t>
      </w:r>
      <w:r w:rsidRPr="00B22A9E">
        <w:rPr>
          <w:i/>
          <w:iCs/>
          <w:sz w:val="21"/>
          <w:szCs w:val="21"/>
        </w:rPr>
        <w:t>International Journal of Human-Computer Studies</w:t>
      </w:r>
      <w:r w:rsidRPr="00B22A9E">
        <w:rPr>
          <w:sz w:val="21"/>
          <w:szCs w:val="21"/>
        </w:rPr>
        <w:t>, 146, Article 102551.</w:t>
      </w:r>
      <w:r w:rsidR="00AB0B39" w:rsidRPr="00AB0B39">
        <w:rPr>
          <w:sz w:val="21"/>
          <w:szCs w:val="21"/>
        </w:rPr>
        <w:t xml:space="preserve"> https://doi.org/10.1016/j.ijhcs.2020.102551</w:t>
      </w:r>
    </w:p>
    <w:p w14:paraId="7DE49074" w14:textId="77777777" w:rsidR="00F43B96" w:rsidRDefault="00000000">
      <w:pPr>
        <w:spacing w:after="160" w:line="276" w:lineRule="auto"/>
        <w:ind w:left="720" w:hanging="720"/>
        <w:jc w:val="both"/>
      </w:pPr>
      <w:r w:rsidRPr="00B22A9E">
        <w:rPr>
          <w:sz w:val="21"/>
          <w:szCs w:val="21"/>
        </w:rPr>
        <w:t>Tamilmani, K., Rana, N. P., &amp; Dwivedi, Y. K. (2021). Consumer acceptance and use of information technology: A meta-analytic evaluation of UTAUT2.</w:t>
      </w:r>
      <w:r w:rsidR="00DC7B95" w:rsidRPr="00DC7B95">
        <w:rPr>
          <w:sz w:val="21"/>
          <w:szCs w:val="21"/>
        </w:rPr>
        <w:t xml:space="preserve"> </w:t>
      </w:r>
      <w:r w:rsidRPr="00B22A9E">
        <w:rPr>
          <w:i/>
          <w:iCs/>
          <w:sz w:val="21"/>
          <w:szCs w:val="21"/>
        </w:rPr>
        <w:t>Information Systems Frontiers</w:t>
      </w:r>
      <w:r w:rsidRPr="00B22A9E">
        <w:rPr>
          <w:sz w:val="21"/>
          <w:szCs w:val="21"/>
        </w:rPr>
        <w:t xml:space="preserve">, </w:t>
      </w:r>
      <w:r w:rsidRPr="00DC7B95">
        <w:rPr>
          <w:i/>
          <w:sz w:val="21"/>
          <w:szCs w:val="21"/>
        </w:rPr>
        <w:t>23</w:t>
      </w:r>
      <w:r w:rsidRPr="00B22A9E">
        <w:rPr>
          <w:sz w:val="21"/>
          <w:szCs w:val="21"/>
        </w:rPr>
        <w:t>(4), 987–1005.</w:t>
      </w:r>
      <w:r w:rsidR="00DC7B95" w:rsidRPr="00DC7B95">
        <w:rPr>
          <w:sz w:val="21"/>
          <w:szCs w:val="21"/>
        </w:rPr>
        <w:t xml:space="preserve"> https://doi.org/10.1007/s10796-020-10007-6</w:t>
      </w:r>
    </w:p>
    <w:p w14:paraId="33E337E1" w14:textId="77777777" w:rsidR="00F43B96" w:rsidRDefault="00000000">
      <w:pPr>
        <w:spacing w:after="160" w:line="276" w:lineRule="auto"/>
        <w:ind w:left="720" w:hanging="720"/>
        <w:jc w:val="both"/>
      </w:pPr>
      <w:r w:rsidRPr="00B22A9E">
        <w:rPr>
          <w:sz w:val="21"/>
          <w:szCs w:val="21"/>
        </w:rPr>
        <w:t xml:space="preserve">Venkatesh, V., Morris, M. G., Davis, G. B., &amp; </w:t>
      </w:r>
      <w:r w:rsidRPr="00B22A9E">
        <w:rPr>
          <w:sz w:val="21"/>
          <w:szCs w:val="21"/>
        </w:rPr>
        <w:t>Davis, F. D. (2003). User acceptance of information technology: Toward a unified view.</w:t>
      </w:r>
      <w:r w:rsidR="00F30AE5" w:rsidRPr="00F30AE5">
        <w:rPr>
          <w:sz w:val="21"/>
          <w:szCs w:val="21"/>
        </w:rPr>
        <w:t xml:space="preserve"> </w:t>
      </w:r>
      <w:r w:rsidRPr="00B22A9E">
        <w:rPr>
          <w:i/>
          <w:iCs/>
          <w:sz w:val="21"/>
          <w:szCs w:val="21"/>
        </w:rPr>
        <w:t>MIS Quarterly</w:t>
      </w:r>
      <w:r w:rsidRPr="00B22A9E">
        <w:rPr>
          <w:sz w:val="21"/>
          <w:szCs w:val="21"/>
        </w:rPr>
        <w:t xml:space="preserve">, </w:t>
      </w:r>
      <w:r w:rsidRPr="00F30AE5">
        <w:rPr>
          <w:i/>
          <w:sz w:val="21"/>
          <w:szCs w:val="21"/>
        </w:rPr>
        <w:t>27</w:t>
      </w:r>
      <w:r w:rsidRPr="00B22A9E">
        <w:rPr>
          <w:sz w:val="21"/>
          <w:szCs w:val="21"/>
        </w:rPr>
        <w:t>(3), 425–478.</w:t>
      </w:r>
      <w:r w:rsidR="00F30AE5" w:rsidRPr="00F30AE5">
        <w:rPr>
          <w:sz w:val="21"/>
          <w:szCs w:val="21"/>
        </w:rPr>
        <w:t xml:space="preserve"> https://doi.org/10.2307/30036540</w:t>
      </w:r>
    </w:p>
    <w:p w14:paraId="32CDCDE5" w14:textId="77777777" w:rsidR="00F43B96" w:rsidRDefault="00000000">
      <w:pPr>
        <w:spacing w:after="160" w:line="276" w:lineRule="auto"/>
        <w:ind w:left="720" w:hanging="720"/>
        <w:jc w:val="both"/>
      </w:pPr>
      <w:r w:rsidRPr="00B22A9E">
        <w:rPr>
          <w:sz w:val="21"/>
          <w:szCs w:val="21"/>
        </w:rPr>
        <w:t>Venkatesh, V., Thong, J. Y. L., &amp; Xu, X. (2012). Consumer acceptance and use of information technology: Extending the unified theory of acceptance and use of technology.</w:t>
      </w:r>
      <w:r w:rsidR="00982B24" w:rsidRPr="00982B24">
        <w:rPr>
          <w:sz w:val="21"/>
          <w:szCs w:val="21"/>
        </w:rPr>
        <w:t xml:space="preserve"> </w:t>
      </w:r>
      <w:r w:rsidRPr="00B22A9E">
        <w:rPr>
          <w:i/>
          <w:iCs/>
          <w:sz w:val="21"/>
          <w:szCs w:val="21"/>
        </w:rPr>
        <w:t>MIS Quarterly</w:t>
      </w:r>
      <w:r w:rsidRPr="00B22A9E">
        <w:rPr>
          <w:sz w:val="21"/>
          <w:szCs w:val="21"/>
        </w:rPr>
        <w:t xml:space="preserve">, </w:t>
      </w:r>
      <w:r w:rsidRPr="00982B24">
        <w:rPr>
          <w:i/>
          <w:sz w:val="21"/>
          <w:szCs w:val="21"/>
        </w:rPr>
        <w:t>36</w:t>
      </w:r>
      <w:r w:rsidRPr="00B22A9E">
        <w:rPr>
          <w:sz w:val="21"/>
          <w:szCs w:val="21"/>
        </w:rPr>
        <w:t>(1), 157–178.</w:t>
      </w:r>
      <w:r w:rsidR="00982B24" w:rsidRPr="00982B24">
        <w:rPr>
          <w:sz w:val="21"/>
          <w:szCs w:val="21"/>
        </w:rPr>
        <w:t xml:space="preserve"> https://doi.org/10.2307/41410412</w:t>
      </w:r>
    </w:p>
    <w:p w14:paraId="0838BE42" w14:textId="77777777" w:rsidR="00F43B96" w:rsidRDefault="00000000">
      <w:pPr>
        <w:spacing w:after="160" w:line="276" w:lineRule="auto"/>
        <w:ind w:left="720" w:hanging="720"/>
        <w:jc w:val="both"/>
      </w:pPr>
      <w:r w:rsidRPr="00B22A9E">
        <w:rPr>
          <w:sz w:val="21"/>
          <w:szCs w:val="21"/>
        </w:rPr>
        <w:t>Xue, L. (2025). A systematic review of UTAUT and UTAUT2 for AI adoption in education.</w:t>
      </w:r>
      <w:r w:rsidR="00E7407B" w:rsidRPr="00E7407B">
        <w:rPr>
          <w:sz w:val="21"/>
          <w:szCs w:val="21"/>
        </w:rPr>
        <w:t xml:space="preserve"> </w:t>
      </w:r>
      <w:r w:rsidRPr="00B22A9E">
        <w:rPr>
          <w:i/>
          <w:iCs/>
          <w:sz w:val="21"/>
          <w:szCs w:val="21"/>
        </w:rPr>
        <w:t>International Journal of Human</w:t>
      </w:r>
      <w:r w:rsidR="00E7407B" w:rsidRPr="00E7407B">
        <w:rPr>
          <w:i/>
          <w:iCs/>
          <w:sz w:val="21"/>
          <w:szCs w:val="21"/>
        </w:rPr>
        <w:t>-</w:t>
      </w:r>
      <w:r w:rsidRPr="00B22A9E">
        <w:rPr>
          <w:i/>
          <w:iCs/>
          <w:sz w:val="21"/>
          <w:szCs w:val="21"/>
        </w:rPr>
        <w:t>Computer Interaction</w:t>
      </w:r>
      <w:r w:rsidRPr="00B22A9E">
        <w:rPr>
          <w:sz w:val="21"/>
          <w:szCs w:val="21"/>
        </w:rPr>
        <w:t xml:space="preserve">, </w:t>
      </w:r>
      <w:r w:rsidRPr="00E7407B">
        <w:rPr>
          <w:i/>
          <w:sz w:val="21"/>
          <w:szCs w:val="21"/>
        </w:rPr>
        <w:t>42</w:t>
      </w:r>
      <w:r w:rsidRPr="00B22A9E">
        <w:rPr>
          <w:sz w:val="21"/>
          <w:szCs w:val="21"/>
        </w:rPr>
        <w:t>(8).</w:t>
      </w:r>
      <w:r w:rsidR="00E7407B" w:rsidRPr="00E7407B">
        <w:rPr>
          <w:sz w:val="21"/>
          <w:szCs w:val="21"/>
        </w:rPr>
        <w:t xml:space="preserve"> https://doi.org/10.1080/10447318.2025.2552867</w:t>
      </w:r>
    </w:p>
    <w:p w14:paraId="0E5A5480" w14:textId="20DE4E80" w:rsidR="00F43B96" w:rsidRDefault="00F43B96" w:rsidP="00B22A9E">
      <w:pPr>
        <w:spacing w:after="160" w:line="276" w:lineRule="auto"/>
        <w:ind w:left="720" w:hanging="720"/>
        <w:jc w:val="both"/>
      </w:pPr>
    </w:p>
    <w:sectPr w:rsidR="00F43B9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D85C" w14:textId="77777777" w:rsidR="00C32C5A" w:rsidRDefault="00C32C5A">
      <w:r>
        <w:separator/>
      </w:r>
    </w:p>
  </w:endnote>
  <w:endnote w:type="continuationSeparator" w:id="0">
    <w:p w14:paraId="5FD44141" w14:textId="77777777" w:rsidR="00C32C5A" w:rsidRDefault="00C3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C7A5" w14:textId="77777777" w:rsidR="00654461" w:rsidRDefault="00654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F3FF" w14:textId="77777777" w:rsidR="00F43B96" w:rsidRDefault="00000000">
    <w:pPr>
      <w:jc w:val="center"/>
    </w:pPr>
    <w:r>
      <w:rPr>
        <w:sz w:val="18"/>
        <w:szCs w:val="18"/>
      </w:rPr>
      <w:fldChar w:fldCharType="begin"/>
    </w:r>
    <w:r>
      <w:rPr>
        <w:sz w:val="18"/>
        <w:szCs w:val="18"/>
      </w:rPr>
      <w:instrText>PAGE</w:instrText>
    </w:r>
    <w:r>
      <w:rPr>
        <w:sz w:val="18"/>
        <w:szCs w:val="18"/>
      </w:rPr>
      <w:fldChar w:fldCharType="separate"/>
    </w:r>
    <w:r w:rsidR="00D40C00">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3046" w14:textId="77777777" w:rsidR="00654461" w:rsidRDefault="0065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E640" w14:textId="77777777" w:rsidR="00C32C5A" w:rsidRDefault="00C32C5A">
      <w:r>
        <w:separator/>
      </w:r>
    </w:p>
  </w:footnote>
  <w:footnote w:type="continuationSeparator" w:id="0">
    <w:p w14:paraId="38D90B4C" w14:textId="77777777" w:rsidR="00C32C5A" w:rsidRDefault="00C32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C7B1" w14:textId="77777777" w:rsidR="00654461" w:rsidRDefault="00654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FAAA" w14:textId="77777777" w:rsidR="00654461" w:rsidRDefault="00654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DF42" w14:textId="77777777" w:rsidR="00654461" w:rsidRDefault="0065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9174A"/>
    <w:multiLevelType w:val="hybridMultilevel"/>
    <w:tmpl w:val="36387142"/>
    <w:lvl w:ilvl="0" w:tplc="496E72AE">
      <w:start w:val="1"/>
      <w:numFmt w:val="bullet"/>
      <w:lvlText w:val="●"/>
      <w:lvlJc w:val="left"/>
      <w:pPr>
        <w:ind w:left="720" w:hanging="360"/>
      </w:pPr>
    </w:lvl>
    <w:lvl w:ilvl="1" w:tplc="DF0ED356">
      <w:start w:val="1"/>
      <w:numFmt w:val="bullet"/>
      <w:lvlText w:val="○"/>
      <w:lvlJc w:val="left"/>
      <w:pPr>
        <w:ind w:left="1440" w:hanging="360"/>
      </w:pPr>
    </w:lvl>
    <w:lvl w:ilvl="2" w:tplc="157C7732">
      <w:start w:val="1"/>
      <w:numFmt w:val="bullet"/>
      <w:lvlText w:val="■"/>
      <w:lvlJc w:val="left"/>
      <w:pPr>
        <w:ind w:left="2160" w:hanging="360"/>
      </w:pPr>
    </w:lvl>
    <w:lvl w:ilvl="3" w:tplc="131EDF0A">
      <w:start w:val="1"/>
      <w:numFmt w:val="bullet"/>
      <w:lvlText w:val="●"/>
      <w:lvlJc w:val="left"/>
      <w:pPr>
        <w:ind w:left="2880" w:hanging="360"/>
      </w:pPr>
    </w:lvl>
    <w:lvl w:ilvl="4" w:tplc="19902F7E">
      <w:start w:val="1"/>
      <w:numFmt w:val="bullet"/>
      <w:lvlText w:val="○"/>
      <w:lvlJc w:val="left"/>
      <w:pPr>
        <w:ind w:left="3600" w:hanging="360"/>
      </w:pPr>
    </w:lvl>
    <w:lvl w:ilvl="5" w:tplc="43DEFFAA">
      <w:start w:val="1"/>
      <w:numFmt w:val="bullet"/>
      <w:lvlText w:val="■"/>
      <w:lvlJc w:val="left"/>
      <w:pPr>
        <w:ind w:left="4320" w:hanging="360"/>
      </w:pPr>
    </w:lvl>
    <w:lvl w:ilvl="6" w:tplc="D8CA7404">
      <w:start w:val="1"/>
      <w:numFmt w:val="bullet"/>
      <w:lvlText w:val="●"/>
      <w:lvlJc w:val="left"/>
      <w:pPr>
        <w:ind w:left="5040" w:hanging="360"/>
      </w:pPr>
    </w:lvl>
    <w:lvl w:ilvl="7" w:tplc="5BCABFAC">
      <w:start w:val="1"/>
      <w:numFmt w:val="bullet"/>
      <w:lvlText w:val="●"/>
      <w:lvlJc w:val="left"/>
      <w:pPr>
        <w:ind w:left="5760" w:hanging="360"/>
      </w:pPr>
    </w:lvl>
    <w:lvl w:ilvl="8" w:tplc="BAA03E06">
      <w:start w:val="1"/>
      <w:numFmt w:val="bullet"/>
      <w:lvlText w:val="●"/>
      <w:lvlJc w:val="left"/>
      <w:pPr>
        <w:ind w:left="6480" w:hanging="360"/>
      </w:pPr>
    </w:lvl>
  </w:abstractNum>
  <w:abstractNum w:abstractNumId="1" w15:restartNumberingAfterBreak="0">
    <w:nsid w:val="521F395A"/>
    <w:multiLevelType w:val="hybridMultilevel"/>
    <w:tmpl w:val="C89487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576866247">
    <w:abstractNumId w:val="0"/>
    <w:lvlOverride w:ilvl="0">
      <w:startOverride w:val="1"/>
    </w:lvlOverride>
  </w:num>
  <w:num w:numId="2" w16cid:durableId="84856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B96"/>
    <w:rsid w:val="000307E0"/>
    <w:rsid w:val="00051E42"/>
    <w:rsid w:val="00073F9E"/>
    <w:rsid w:val="000C503B"/>
    <w:rsid w:val="00110530"/>
    <w:rsid w:val="001639F4"/>
    <w:rsid w:val="001A1058"/>
    <w:rsid w:val="002071F0"/>
    <w:rsid w:val="00223250"/>
    <w:rsid w:val="00295FFE"/>
    <w:rsid w:val="00457E18"/>
    <w:rsid w:val="0051264B"/>
    <w:rsid w:val="00546F77"/>
    <w:rsid w:val="0056743E"/>
    <w:rsid w:val="005B45EA"/>
    <w:rsid w:val="00637A9B"/>
    <w:rsid w:val="00654461"/>
    <w:rsid w:val="006978C4"/>
    <w:rsid w:val="00727760"/>
    <w:rsid w:val="007906AB"/>
    <w:rsid w:val="007C15BD"/>
    <w:rsid w:val="00812B24"/>
    <w:rsid w:val="008847A1"/>
    <w:rsid w:val="008F6519"/>
    <w:rsid w:val="00931A32"/>
    <w:rsid w:val="00982B24"/>
    <w:rsid w:val="009C7FA5"/>
    <w:rsid w:val="009D3FBE"/>
    <w:rsid w:val="00A94273"/>
    <w:rsid w:val="00AB0B39"/>
    <w:rsid w:val="00B1187A"/>
    <w:rsid w:val="00B22A9E"/>
    <w:rsid w:val="00B452FE"/>
    <w:rsid w:val="00B956BA"/>
    <w:rsid w:val="00BE3720"/>
    <w:rsid w:val="00BF2296"/>
    <w:rsid w:val="00C2763C"/>
    <w:rsid w:val="00C32C5A"/>
    <w:rsid w:val="00D40C00"/>
    <w:rsid w:val="00D662FD"/>
    <w:rsid w:val="00D70BF2"/>
    <w:rsid w:val="00DA3F16"/>
    <w:rsid w:val="00DC7B95"/>
    <w:rsid w:val="00E24888"/>
    <w:rsid w:val="00E47D23"/>
    <w:rsid w:val="00E7407B"/>
    <w:rsid w:val="00E97424"/>
    <w:rsid w:val="00EB4050"/>
    <w:rsid w:val="00EE7702"/>
    <w:rsid w:val="00F30AE5"/>
    <w:rsid w:val="00F43B96"/>
    <w:rsid w:val="00F65105"/>
    <w:rsid w:val="00F766E7"/>
    <w:rsid w:val="00FA008F"/>
    <w:rsid w:val="00FB07B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C9CF"/>
  <w15:docId w15:val="{8CB82366-8E72-47C2-B556-5BBAB813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paragraph" w:styleId="Heading7">
    <w:name w:val="heading 7"/>
    <w:basedOn w:val="Normal"/>
    <w:next w:val="Normal"/>
    <w:link w:val="Heading7Char"/>
    <w:uiPriority w:val="9"/>
    <w:semiHidden/>
    <w:unhideWhenUsed/>
    <w:qFormat/>
    <w:rsid w:val="00654461"/>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65446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5446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22A9E"/>
    <w:rPr>
      <w:color w:val="605E5C"/>
      <w:shd w:val="clear" w:color="auto" w:fill="E1DFDD"/>
    </w:rPr>
  </w:style>
  <w:style w:type="paragraph" w:styleId="Header">
    <w:name w:val="header"/>
    <w:basedOn w:val="Normal"/>
    <w:link w:val="HeaderChar"/>
    <w:uiPriority w:val="99"/>
    <w:unhideWhenUsed/>
    <w:rsid w:val="00E47D23"/>
    <w:pPr>
      <w:tabs>
        <w:tab w:val="center" w:pos="4513"/>
        <w:tab w:val="right" w:pos="9026"/>
      </w:tabs>
    </w:pPr>
  </w:style>
  <w:style w:type="character" w:customStyle="1" w:styleId="HeaderChar">
    <w:name w:val="Header Char"/>
    <w:basedOn w:val="DefaultParagraphFont"/>
    <w:link w:val="Header"/>
    <w:uiPriority w:val="99"/>
    <w:rsid w:val="00E47D23"/>
  </w:style>
  <w:style w:type="paragraph" w:styleId="Footer">
    <w:name w:val="footer"/>
    <w:basedOn w:val="Normal"/>
    <w:link w:val="FooterChar"/>
    <w:uiPriority w:val="99"/>
    <w:unhideWhenUsed/>
    <w:rsid w:val="00E47D23"/>
    <w:pPr>
      <w:tabs>
        <w:tab w:val="center" w:pos="4513"/>
        <w:tab w:val="right" w:pos="9026"/>
      </w:tabs>
    </w:pPr>
  </w:style>
  <w:style w:type="character" w:customStyle="1" w:styleId="FooterChar">
    <w:name w:val="Footer Char"/>
    <w:basedOn w:val="DefaultParagraphFont"/>
    <w:link w:val="Footer"/>
    <w:uiPriority w:val="99"/>
    <w:rsid w:val="00E47D23"/>
  </w:style>
  <w:style w:type="character" w:styleId="BookTitle">
    <w:name w:val="Book Title"/>
    <w:basedOn w:val="DefaultParagraphFont"/>
    <w:uiPriority w:val="33"/>
    <w:qFormat/>
    <w:rsid w:val="00654461"/>
    <w:rPr>
      <w:b/>
      <w:bCs/>
      <w:i/>
      <w:iCs/>
      <w:spacing w:val="5"/>
    </w:rPr>
  </w:style>
  <w:style w:type="paragraph" w:styleId="Caption">
    <w:name w:val="caption"/>
    <w:basedOn w:val="Normal"/>
    <w:next w:val="Normal"/>
    <w:uiPriority w:val="35"/>
    <w:semiHidden/>
    <w:unhideWhenUsed/>
    <w:qFormat/>
    <w:rsid w:val="00654461"/>
    <w:pPr>
      <w:spacing w:after="200"/>
    </w:pPr>
    <w:rPr>
      <w:i/>
      <w:iCs/>
      <w:color w:val="0E2841" w:themeColor="text2"/>
      <w:sz w:val="18"/>
      <w:szCs w:val="18"/>
    </w:rPr>
  </w:style>
  <w:style w:type="character" w:styleId="Emphasis">
    <w:name w:val="Emphasis"/>
    <w:basedOn w:val="DefaultParagraphFont"/>
    <w:uiPriority w:val="20"/>
    <w:qFormat/>
    <w:rsid w:val="00654461"/>
    <w:rPr>
      <w:i/>
      <w:iCs/>
    </w:rPr>
  </w:style>
  <w:style w:type="character" w:customStyle="1" w:styleId="Heading7Char">
    <w:name w:val="Heading 7 Char"/>
    <w:basedOn w:val="DefaultParagraphFont"/>
    <w:link w:val="Heading7"/>
    <w:uiPriority w:val="9"/>
    <w:semiHidden/>
    <w:rsid w:val="00654461"/>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6544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4461"/>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654461"/>
    <w:rPr>
      <w:i/>
      <w:iCs/>
      <w:color w:val="156082" w:themeColor="accent1"/>
    </w:rPr>
  </w:style>
  <w:style w:type="paragraph" w:styleId="IntenseQuote">
    <w:name w:val="Intense Quote"/>
    <w:basedOn w:val="Normal"/>
    <w:next w:val="Normal"/>
    <w:link w:val="IntenseQuoteChar"/>
    <w:uiPriority w:val="30"/>
    <w:qFormat/>
    <w:rsid w:val="0065446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654461"/>
    <w:rPr>
      <w:i/>
      <w:iCs/>
      <w:color w:val="156082" w:themeColor="accent1"/>
    </w:rPr>
  </w:style>
  <w:style w:type="character" w:styleId="IntenseReference">
    <w:name w:val="Intense Reference"/>
    <w:basedOn w:val="DefaultParagraphFont"/>
    <w:uiPriority w:val="32"/>
    <w:qFormat/>
    <w:rsid w:val="00654461"/>
    <w:rPr>
      <w:b/>
      <w:bCs/>
      <w:smallCaps/>
      <w:color w:val="156082" w:themeColor="accent1"/>
      <w:spacing w:val="5"/>
    </w:rPr>
  </w:style>
  <w:style w:type="paragraph" w:styleId="NoSpacing">
    <w:name w:val="No Spacing"/>
    <w:uiPriority w:val="1"/>
    <w:qFormat/>
    <w:rsid w:val="00654461"/>
  </w:style>
  <w:style w:type="paragraph" w:styleId="Quote">
    <w:name w:val="Quote"/>
    <w:basedOn w:val="Normal"/>
    <w:next w:val="Normal"/>
    <w:link w:val="QuoteChar"/>
    <w:uiPriority w:val="29"/>
    <w:qFormat/>
    <w:rsid w:val="006544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4461"/>
    <w:rPr>
      <w:i/>
      <w:iCs/>
      <w:color w:val="404040" w:themeColor="text1" w:themeTint="BF"/>
    </w:rPr>
  </w:style>
  <w:style w:type="character" w:styleId="Strong">
    <w:name w:val="Strong"/>
    <w:basedOn w:val="DefaultParagraphFont"/>
    <w:uiPriority w:val="22"/>
    <w:qFormat/>
    <w:rsid w:val="00654461"/>
    <w:rPr>
      <w:b/>
      <w:bCs/>
    </w:rPr>
  </w:style>
  <w:style w:type="paragraph" w:styleId="Subtitle">
    <w:name w:val="Subtitle"/>
    <w:basedOn w:val="Normal"/>
    <w:next w:val="Normal"/>
    <w:link w:val="SubtitleChar"/>
    <w:uiPriority w:val="11"/>
    <w:qFormat/>
    <w:rsid w:val="006544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5446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654461"/>
    <w:rPr>
      <w:i/>
      <w:iCs/>
      <w:color w:val="404040" w:themeColor="text1" w:themeTint="BF"/>
    </w:rPr>
  </w:style>
  <w:style w:type="character" w:styleId="SubtleReference">
    <w:name w:val="Subtle Reference"/>
    <w:basedOn w:val="DefaultParagraphFont"/>
    <w:uiPriority w:val="31"/>
    <w:qFormat/>
    <w:rsid w:val="00654461"/>
    <w:rPr>
      <w:smallCaps/>
      <w:color w:val="5A5A5A" w:themeColor="text1" w:themeTint="A5"/>
    </w:rPr>
  </w:style>
  <w:style w:type="paragraph" w:styleId="TOCHeading">
    <w:name w:val="TOC Heading"/>
    <w:basedOn w:val="Heading1"/>
    <w:next w:val="Normal"/>
    <w:uiPriority w:val="39"/>
    <w:semiHidden/>
    <w:unhideWhenUsed/>
    <w:qFormat/>
    <w:rsid w:val="00654461"/>
    <w:pPr>
      <w:keepNext/>
      <w:keepLines/>
      <w:spacing w:before="240"/>
      <w:outlineLvl w:val="9"/>
    </w:pPr>
    <w:rPr>
      <w:rFonts w:asciiTheme="majorHAnsi" w:eastAsiaTheme="majorEastAsia" w:hAnsiTheme="majorHAnsi" w:cstheme="majorBidi"/>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15</Pages>
  <Words>5364</Words>
  <Characters>33686</Characters>
  <Application>Microsoft Office Word</Application>
  <DocSecurity>0</DocSecurity>
  <Lines>502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Muhammad Shafeeq Mohd Sapian</cp:lastModifiedBy>
  <cp:revision>14</cp:revision>
  <dcterms:created xsi:type="dcterms:W3CDTF">2026-07-01T07:18:00Z</dcterms:created>
  <dcterms:modified xsi:type="dcterms:W3CDTF">2026-07-01T09:14:00Z</dcterms:modified>
</cp:coreProperties>
</file>