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B069" w14:textId="16DC0973" w:rsidR="00FE45AC" w:rsidRDefault="00FE45AC">
      <w:pPr>
        <w:rPr>
          <w:rFonts w:ascii="Times New Roman" w:hAnsi="Times New Roman" w:cs="Times New Roman"/>
          <w:b/>
          <w:sz w:val="32"/>
          <w:szCs w:val="32"/>
        </w:rPr>
      </w:pPr>
      <w:r w:rsidRPr="00FE45AC">
        <w:rPr>
          <w:rFonts w:ascii="Times New Roman" w:hAnsi="Times New Roman" w:cs="Times New Roman"/>
          <w:b/>
          <w:sz w:val="32"/>
          <w:szCs w:val="32"/>
        </w:rPr>
        <w:t xml:space="preserve">Child Rights: Gaps between UNCRC &amp; Indian laws; the way out </w:t>
      </w:r>
    </w:p>
    <w:p w14:paraId="780F4842" w14:textId="77777777" w:rsidR="00D22BB9" w:rsidRDefault="00D22BB9" w:rsidP="00CD39EC">
      <w:pPr>
        <w:spacing w:after="0" w:line="360" w:lineRule="auto"/>
        <w:jc w:val="both"/>
        <w:rPr>
          <w:rFonts w:ascii="Times New Roman" w:hAnsi="Times New Roman" w:cs="Times New Roman"/>
          <w:b/>
        </w:rPr>
      </w:pPr>
    </w:p>
    <w:p w14:paraId="55555F09" w14:textId="5B698765" w:rsidR="00CD39EC" w:rsidRPr="00D13E18" w:rsidRDefault="00CD39EC" w:rsidP="00CD39EC">
      <w:pPr>
        <w:spacing w:after="0" w:line="360" w:lineRule="auto"/>
        <w:jc w:val="both"/>
        <w:rPr>
          <w:rFonts w:ascii="Times New Roman" w:hAnsi="Times New Roman" w:cs="Times New Roman"/>
          <w:b/>
        </w:rPr>
      </w:pPr>
      <w:r w:rsidRPr="00D13E18">
        <w:rPr>
          <w:rFonts w:ascii="Times New Roman" w:hAnsi="Times New Roman" w:cs="Times New Roman"/>
          <w:b/>
        </w:rPr>
        <w:t>Abstract</w:t>
      </w:r>
    </w:p>
    <w:p w14:paraId="472BCA6A" w14:textId="77777777" w:rsidR="00CD39EC" w:rsidRPr="00D13E18" w:rsidRDefault="00CD39EC" w:rsidP="00CD39EC">
      <w:pPr>
        <w:spacing w:after="0" w:line="360" w:lineRule="auto"/>
        <w:jc w:val="both"/>
        <w:rPr>
          <w:rFonts w:ascii="Times New Roman" w:hAnsi="Times New Roman" w:cs="Times New Roman"/>
        </w:rPr>
      </w:pPr>
    </w:p>
    <w:p w14:paraId="76011ECB" w14:textId="172E03F8" w:rsidR="00CD39EC" w:rsidRPr="00D13E18" w:rsidRDefault="00CD39EC" w:rsidP="00CD39EC">
      <w:pPr>
        <w:spacing w:after="0" w:line="360" w:lineRule="auto"/>
        <w:jc w:val="both"/>
        <w:rPr>
          <w:rFonts w:ascii="Times New Roman" w:hAnsi="Times New Roman" w:cs="Times New Roman"/>
        </w:rPr>
      </w:pPr>
      <w:r w:rsidRPr="00D13E18">
        <w:rPr>
          <w:rFonts w:ascii="Times New Roman" w:hAnsi="Times New Roman" w:cs="Times New Roman"/>
        </w:rPr>
        <w:t xml:space="preserve">Child rights worldwide are governed by a statutory framework, which is an amalgamation of national legislation and international norms enshrined in the United Nations Convention on the Rights of the Child (UNCRC). In India, child rights are protected by at least ten statutory provisions, which serve as the cornerstone and are guided by global principles ensuring unhindered growth of children in a safe and empowering environment. However, the Indian legal framework is not fully aligned; thus, breaches between them pose challenges in ensuring protection to children. The critical analysis of this joint legal landscape reveals both strengths and frailties. On one hand, India, having aligned its domestic laws with global standards, demonstrates its determination to improve and secure the lives of children in the country. But the lack of effective implementation and enforcement of these laws deprives children of quality education, better healthcare, clean </w:t>
      </w:r>
      <w:r w:rsidR="000608F7">
        <w:rPr>
          <w:rFonts w:ascii="Times New Roman" w:hAnsi="Times New Roman" w:cs="Times New Roman"/>
        </w:rPr>
        <w:t xml:space="preserve">drinking </w:t>
      </w:r>
      <w:r w:rsidRPr="00D13E18">
        <w:rPr>
          <w:rFonts w:ascii="Times New Roman" w:hAnsi="Times New Roman" w:cs="Times New Roman"/>
        </w:rPr>
        <w:t>water, and protection. Therefore, by examining the nuances of Indian jurisprudence, this research aims to elucidate the dynamic interface between domestic and international benchmarks. An inclusive overview of the Indian legal architecture tries to inform and apprise academics, policymakers, and practitioners about the existing gaps and key areas to be analysed and evaluated in the Indian legal framework that safeguard the rights of children.</w:t>
      </w:r>
    </w:p>
    <w:p w14:paraId="24074D3B" w14:textId="77777777" w:rsidR="00CD39EC" w:rsidRPr="00D13E18" w:rsidRDefault="00CD39EC" w:rsidP="00CD39EC">
      <w:pPr>
        <w:spacing w:after="0" w:line="360" w:lineRule="auto"/>
        <w:jc w:val="both"/>
        <w:rPr>
          <w:rFonts w:ascii="Times New Roman" w:hAnsi="Times New Roman" w:cs="Times New Roman"/>
        </w:rPr>
      </w:pPr>
    </w:p>
    <w:p w14:paraId="472A9119" w14:textId="77777777" w:rsidR="00CD39EC" w:rsidRPr="00D13E18" w:rsidRDefault="00CD39EC" w:rsidP="00CD39EC">
      <w:pPr>
        <w:spacing w:after="0" w:line="360" w:lineRule="auto"/>
        <w:jc w:val="both"/>
        <w:rPr>
          <w:rFonts w:ascii="Times New Roman" w:hAnsi="Times New Roman" w:cs="Times New Roman"/>
        </w:rPr>
      </w:pPr>
      <w:r w:rsidRPr="00D13E18">
        <w:rPr>
          <w:rFonts w:ascii="Times New Roman" w:hAnsi="Times New Roman" w:cs="Times New Roman"/>
          <w:b/>
        </w:rPr>
        <w:t>Keywords:</w:t>
      </w:r>
      <w:r w:rsidRPr="00D13E18">
        <w:rPr>
          <w:rFonts w:ascii="Times New Roman" w:hAnsi="Times New Roman" w:cs="Times New Roman"/>
        </w:rPr>
        <w:t xml:space="preserve"> Human Rights, International norms, children’s privacy, mental health, trafficking, abuse  </w:t>
      </w:r>
    </w:p>
    <w:p w14:paraId="470D3C8E" w14:textId="77777777" w:rsidR="00CD39EC" w:rsidRPr="00D13E18" w:rsidRDefault="00CD39EC" w:rsidP="00CD39EC">
      <w:pPr>
        <w:rPr>
          <w:rFonts w:ascii="Times New Roman" w:hAnsi="Times New Roman" w:cs="Times New Roman"/>
        </w:rPr>
      </w:pPr>
    </w:p>
    <w:p w14:paraId="64C2CCDC" w14:textId="77777777" w:rsidR="007B0531" w:rsidRPr="00D13E18" w:rsidRDefault="007B0531" w:rsidP="007B0531">
      <w:pPr>
        <w:spacing w:after="0" w:line="360" w:lineRule="auto"/>
        <w:jc w:val="both"/>
        <w:rPr>
          <w:rFonts w:ascii="Times New Roman" w:hAnsi="Times New Roman" w:cs="Times New Roman"/>
          <w:b/>
        </w:rPr>
      </w:pPr>
      <w:r w:rsidRPr="00D13E18">
        <w:rPr>
          <w:rFonts w:ascii="Times New Roman" w:hAnsi="Times New Roman" w:cs="Times New Roman"/>
          <w:b/>
        </w:rPr>
        <w:t>Introduction</w:t>
      </w:r>
    </w:p>
    <w:p w14:paraId="2039FFF9" w14:textId="77777777" w:rsidR="007B0531" w:rsidRPr="00D13E18" w:rsidRDefault="007B0531" w:rsidP="007B0531">
      <w:pPr>
        <w:spacing w:after="0" w:line="360" w:lineRule="auto"/>
        <w:jc w:val="both"/>
        <w:rPr>
          <w:rFonts w:ascii="Times New Roman" w:hAnsi="Times New Roman" w:cs="Times New Roman"/>
        </w:rPr>
      </w:pPr>
    </w:p>
    <w:p w14:paraId="6C1DA415" w14:textId="0EE20D31" w:rsidR="007B0531" w:rsidRPr="00D13E18" w:rsidRDefault="007B0531" w:rsidP="007B0531">
      <w:pPr>
        <w:spacing w:after="0" w:line="360" w:lineRule="auto"/>
        <w:jc w:val="both"/>
        <w:rPr>
          <w:rFonts w:ascii="Times New Roman" w:hAnsi="Times New Roman" w:cs="Times New Roman"/>
        </w:rPr>
      </w:pPr>
      <w:r w:rsidRPr="00D13E18">
        <w:rPr>
          <w:rFonts w:ascii="Times New Roman" w:hAnsi="Times New Roman" w:cs="Times New Roman"/>
        </w:rPr>
        <w:t>Children form the backbone of every society, and they possess immense potential. Therefore, it is the foremost responsibility of society to provide all essential facilities and amenities, such as proper nutrition for overall physical development, improved healthcare, quality education, protection from hazardous conditions, and an environment free from exploitation, enabling them to grow into intelligent and responsible citizens. In this context, the UNCRC, adopted on 11</w:t>
      </w:r>
      <w:r w:rsidRPr="00D13E18">
        <w:rPr>
          <w:rFonts w:ascii="Times New Roman" w:hAnsi="Times New Roman" w:cs="Times New Roman"/>
          <w:vertAlign w:val="superscript"/>
        </w:rPr>
        <w:t>th</w:t>
      </w:r>
      <w:r w:rsidRPr="00D13E18">
        <w:rPr>
          <w:rFonts w:ascii="Times New Roman" w:hAnsi="Times New Roman" w:cs="Times New Roman"/>
        </w:rPr>
        <w:t xml:space="preserve"> December 1992, is considered the most credible legal instrument that underscores the importance of creating conditions that uphold children’s rights and human dignity. By ratifying </w:t>
      </w:r>
      <w:r w:rsidRPr="00D13E18">
        <w:rPr>
          <w:rFonts w:ascii="Times New Roman" w:hAnsi="Times New Roman" w:cs="Times New Roman"/>
        </w:rPr>
        <w:lastRenderedPageBreak/>
        <w:t xml:space="preserve">the UNCRC, the Indian government has demonstrated its intention to protect and nurture its children by introducing laws aligned with the global norms to safeguard children from the violation of their rights. The convergence of national laws with the international framework is significant in that it lays the foundation for the legal jurisprudence that is prerequisite to protecting our children in the country, and it elevates children’s well-being to the global benchmark. However, legislation enacted after 1992 in India concerning children’s rights shows that only 11 of the 32 legal provisions address various aspects of children’s mental health; of these, only three refer to the UNCRC in their preamble, while six of the 11 articles appear in separate legislation. Therefore, it is essential to establish children's mental health as a fundamental right. In India, efforts are underway to align domestic laws with global standards. Notably, the Juvenile Justice (Care and Protection of Children) Act, 2015, has increased the age of juvenility, ensuring consistency with the UNCRC’s recognition of anyone under 18 as a child. More importantly, laws concerning children’s well-being, the right to life, survival, development, and the right to be heard require immediate attention. The UNICEF 2024 report highlights that children from slums, rural areas, impoverished urban families, scheduled castes, tribal communities, and other marginalised groups face hardships due to poverty, malnutrition, lack of access to healthcare, sanitation, hygiene, and safe drinking water; high dropout rates from school, poor learning outcomes, and child marriage. Among the eight South Asian nations, India ranks fourth in child marriage prevalence after Bangladesh, Nepal, and Afghanistan. Still, India reports progress, including reductions in extreme poverty, halving of infant mortality, and about 80% of women now </w:t>
      </w:r>
      <w:r w:rsidR="00C62AB6">
        <w:rPr>
          <w:rFonts w:ascii="Times New Roman" w:hAnsi="Times New Roman" w:cs="Times New Roman"/>
        </w:rPr>
        <w:t xml:space="preserve">accessing </w:t>
      </w:r>
      <w:r w:rsidRPr="00D13E18">
        <w:rPr>
          <w:rFonts w:ascii="Times New Roman" w:hAnsi="Times New Roman" w:cs="Times New Roman"/>
        </w:rPr>
        <w:t>health facilities</w:t>
      </w:r>
      <w:r w:rsidR="00C62AB6">
        <w:rPr>
          <w:rFonts w:ascii="Times New Roman" w:hAnsi="Times New Roman" w:cs="Times New Roman"/>
        </w:rPr>
        <w:t xml:space="preserve"> for child delivery</w:t>
      </w:r>
      <w:r w:rsidRPr="00D13E18">
        <w:rPr>
          <w:rFonts w:ascii="Times New Roman" w:hAnsi="Times New Roman" w:cs="Times New Roman"/>
        </w:rPr>
        <w:t>. India has the world’s largest adolescent population, with over 300 million youths, where every 5</w:t>
      </w:r>
      <w:r w:rsidRPr="00D13E18">
        <w:rPr>
          <w:rFonts w:ascii="Times New Roman" w:hAnsi="Times New Roman" w:cs="Times New Roman"/>
          <w:vertAlign w:val="superscript"/>
        </w:rPr>
        <w:t xml:space="preserve">th </w:t>
      </w:r>
      <w:r w:rsidRPr="00D13E18">
        <w:rPr>
          <w:rFonts w:ascii="Times New Roman" w:hAnsi="Times New Roman" w:cs="Times New Roman"/>
        </w:rPr>
        <w:t xml:space="preserve">person is aged 10-19. Data on children under six years old shows that approximately 40% of those under five are malnourished due to insufficient nutritious food. Only 62% of infants receive immunisations against various diseases. Consequently, there are only 916 girls for every 1,000 boys, despite equal numbers of girls and boys being born; girls die in larger numbers due to neglect. Young mothers, lacking proper nutrition, often have unhealthy babies (UNICEF, 2024). In India, only 24% of children are free from child poverty, while around 40% face severe food shortages, and 36% live in moderate poverty (UNICEF Child Food Poverty report 2024). The National Family Health Survey-5 (2019–21) reveals that 11% of children aged 6 to 23 months receive a minimum diet. While the figures among marginalised groups - backward classes, Scheduled Caste, and Scheduled Tribes are 10.4%, 10.8%, and 11.2% respectively. The report further </w:t>
      </w:r>
      <w:r w:rsidR="001C26D4" w:rsidRPr="00D13E18">
        <w:rPr>
          <w:rFonts w:ascii="Times New Roman" w:hAnsi="Times New Roman" w:cs="Times New Roman"/>
        </w:rPr>
        <w:t xml:space="preserve">states that, despite a higher per capita State Domestic Product in Karnataka, Maharashtra, Chhattisgarh, and Assam, </w:t>
      </w:r>
      <w:r w:rsidR="00C461C5">
        <w:rPr>
          <w:rFonts w:ascii="Times New Roman" w:hAnsi="Times New Roman" w:cs="Times New Roman"/>
        </w:rPr>
        <w:t xml:space="preserve">nearly </w:t>
      </w:r>
      <w:r w:rsidR="001C26D4" w:rsidRPr="00D13E18">
        <w:rPr>
          <w:rFonts w:ascii="Times New Roman" w:hAnsi="Times New Roman" w:cs="Times New Roman"/>
        </w:rPr>
        <w:t xml:space="preserve">35% of children </w:t>
      </w:r>
      <w:r w:rsidR="00DB21D0">
        <w:rPr>
          <w:rFonts w:ascii="Times New Roman" w:hAnsi="Times New Roman" w:cs="Times New Roman"/>
        </w:rPr>
        <w:t xml:space="preserve">in the age group </w:t>
      </w:r>
      <w:r w:rsidR="00C461C5">
        <w:rPr>
          <w:rFonts w:ascii="Times New Roman" w:hAnsi="Times New Roman" w:cs="Times New Roman"/>
        </w:rPr>
        <w:lastRenderedPageBreak/>
        <w:t xml:space="preserve">5 </w:t>
      </w:r>
      <w:r w:rsidRPr="00D13E18">
        <w:rPr>
          <w:rFonts w:ascii="Times New Roman" w:hAnsi="Times New Roman" w:cs="Times New Roman"/>
        </w:rPr>
        <w:t>were stunted. It was 23% each in Kerala and Manipur. Correspondingly, the Annual Status of Education Report (ASER 2022) highlights concerning learning outcomes in rural India - approximately 43.8% of Grade V students can read at a Grade-II level, 44.1% of Grade-VIII students can perform division; 67.3% of Grade-III students recognise simple words, and 25.9% of Grade-V students can perform subtraction. However, the General Enrolment Ratio (GER) for 2021-22 indicates that India has achieved over 100% enrolment in elementary education</w:t>
      </w:r>
      <w:r w:rsidR="000608F7">
        <w:rPr>
          <w:rFonts w:ascii="Times New Roman" w:hAnsi="Times New Roman" w:cs="Times New Roman"/>
        </w:rPr>
        <w:t>,</w:t>
      </w:r>
      <w:r w:rsidRPr="00D13E18">
        <w:rPr>
          <w:rFonts w:ascii="Times New Roman" w:hAnsi="Times New Roman" w:cs="Times New Roman"/>
        </w:rPr>
        <w:t xml:space="preserve"> but the rate drops to 79.56% in secondary education and 61.49% in higher education. Child labour in the Asia-Pacific decreased from 62.1 million in 2016 to 48.7 million at the start of 2020. However, this has not yet met the SDG target 8.7 to end child labour by 2025. Projections suggest that there could be 33.4 million child labourers by then without increased efforts (UNICEF, 2024). Similarly, a BBC investigation states that every eight minutes, a child goes missing in India, many trafficked as part of a national trade that separates them from their families. Millions are forced into labour, domestic slavery, and sex work, yet there remains a lack of public outrage. The situation remains far from ideal (Says BBC correspondent Rajini Vaidyanathan, report ‘One every eight minutes: India's missing children’ aired on May </w:t>
      </w:r>
      <w:r w:rsidR="009261C0">
        <w:rPr>
          <w:rFonts w:ascii="Times New Roman" w:hAnsi="Times New Roman" w:cs="Times New Roman"/>
        </w:rPr>
        <w:t>17, 2020</w:t>
      </w:r>
      <w:r w:rsidRPr="00D13E18">
        <w:rPr>
          <w:rFonts w:ascii="Times New Roman" w:hAnsi="Times New Roman" w:cs="Times New Roman"/>
        </w:rPr>
        <w:t xml:space="preserve">).  </w:t>
      </w:r>
    </w:p>
    <w:p w14:paraId="482CB569" w14:textId="77777777" w:rsidR="007B0531" w:rsidRDefault="007B0531" w:rsidP="007B0531">
      <w:pPr>
        <w:rPr>
          <w:rFonts w:ascii="Times New Roman" w:hAnsi="Times New Roman" w:cs="Times New Roman"/>
        </w:rPr>
      </w:pPr>
    </w:p>
    <w:p w14:paraId="4DAA0BA6" w14:textId="77777777" w:rsidR="0062671D" w:rsidRPr="00581438" w:rsidRDefault="0062671D" w:rsidP="0062671D">
      <w:pPr>
        <w:spacing w:after="0" w:line="360" w:lineRule="auto"/>
        <w:rPr>
          <w:rFonts w:ascii="Times New Roman" w:hAnsi="Times New Roman" w:cs="Times New Roman"/>
          <w:b/>
        </w:rPr>
      </w:pPr>
      <w:r w:rsidRPr="00581438">
        <w:rPr>
          <w:rFonts w:ascii="Times New Roman" w:hAnsi="Times New Roman" w:cs="Times New Roman"/>
          <w:b/>
        </w:rPr>
        <w:t>Research Objectives</w:t>
      </w:r>
    </w:p>
    <w:p w14:paraId="0F8DC3A3" w14:textId="77777777" w:rsidR="0062671D" w:rsidRPr="00581438" w:rsidRDefault="0062671D" w:rsidP="0062671D">
      <w:pPr>
        <w:spacing w:after="0" w:line="360" w:lineRule="auto"/>
        <w:jc w:val="both"/>
        <w:rPr>
          <w:rFonts w:ascii="Times New Roman" w:hAnsi="Times New Roman" w:cs="Times New Roman"/>
        </w:rPr>
      </w:pPr>
    </w:p>
    <w:p w14:paraId="4C970002" w14:textId="77777777" w:rsidR="0062671D" w:rsidRDefault="0062671D" w:rsidP="0062671D">
      <w:pPr>
        <w:spacing w:after="0" w:line="360" w:lineRule="auto"/>
        <w:jc w:val="both"/>
        <w:rPr>
          <w:rFonts w:ascii="Times New Roman" w:hAnsi="Times New Roman" w:cs="Times New Roman"/>
        </w:rPr>
      </w:pPr>
      <w:r w:rsidRPr="00581438">
        <w:rPr>
          <w:rFonts w:ascii="Times New Roman" w:hAnsi="Times New Roman" w:cs="Times New Roman"/>
        </w:rPr>
        <w:t>The primary aim of this study is to assess whether India has made significant progress towards UNCRC provisions that address future challenges, including cross-cutting issues such as gender, caste, and ethnic identity. It also proposes ways for India to improve in realising the child rights outlined in the UNCRC. We identified parameters linking the SDGs and the UNCRC framework, alongside issues such as insufficient secondary data on substance abuse, the lack of focus in government policies and programmes on participation, and the prioritisation of sexual abuse of boys for future research. These challenges prompted us to highlight key information across four categories: Survival, Development, Protection, and Participation, which largely incorporate children's civil, social, economic, political, and cultural rights worldwide.</w:t>
      </w:r>
    </w:p>
    <w:p w14:paraId="21E056B4" w14:textId="77777777" w:rsidR="0062671D" w:rsidRDefault="0062671D" w:rsidP="0062671D">
      <w:pPr>
        <w:spacing w:after="0" w:line="360" w:lineRule="auto"/>
        <w:jc w:val="both"/>
        <w:rPr>
          <w:rFonts w:ascii="Times New Roman" w:hAnsi="Times New Roman" w:cs="Times New Roman"/>
        </w:rPr>
      </w:pPr>
    </w:p>
    <w:p w14:paraId="28CC8C60" w14:textId="77777777" w:rsidR="00955353" w:rsidRDefault="00955353" w:rsidP="00AB468F">
      <w:pPr>
        <w:spacing w:after="0" w:line="360" w:lineRule="auto"/>
        <w:rPr>
          <w:rFonts w:ascii="Times New Roman" w:hAnsi="Times New Roman" w:cs="Times New Roman"/>
          <w:b/>
          <w:bCs/>
        </w:rPr>
      </w:pPr>
    </w:p>
    <w:p w14:paraId="7CCE8E76" w14:textId="77777777" w:rsidR="00955353" w:rsidRDefault="00955353" w:rsidP="00AB468F">
      <w:pPr>
        <w:spacing w:after="0" w:line="360" w:lineRule="auto"/>
        <w:rPr>
          <w:rFonts w:ascii="Times New Roman" w:hAnsi="Times New Roman" w:cs="Times New Roman"/>
          <w:b/>
          <w:bCs/>
        </w:rPr>
      </w:pPr>
    </w:p>
    <w:p w14:paraId="7340C920" w14:textId="77777777" w:rsidR="00955353" w:rsidRDefault="00955353" w:rsidP="00AB468F">
      <w:pPr>
        <w:spacing w:after="0" w:line="360" w:lineRule="auto"/>
        <w:rPr>
          <w:rFonts w:ascii="Times New Roman" w:hAnsi="Times New Roman" w:cs="Times New Roman"/>
          <w:b/>
          <w:bCs/>
        </w:rPr>
      </w:pPr>
    </w:p>
    <w:p w14:paraId="7FE05DAA" w14:textId="1B3C4C1E" w:rsidR="00AB468F" w:rsidRPr="00FD68E9" w:rsidRDefault="00AB468F" w:rsidP="00AB468F">
      <w:pPr>
        <w:spacing w:after="0" w:line="360" w:lineRule="auto"/>
        <w:rPr>
          <w:rFonts w:ascii="Times New Roman" w:hAnsi="Times New Roman" w:cs="Times New Roman"/>
          <w:b/>
          <w:bCs/>
        </w:rPr>
      </w:pPr>
      <w:r w:rsidRPr="00FD68E9">
        <w:rPr>
          <w:rFonts w:ascii="Times New Roman" w:hAnsi="Times New Roman" w:cs="Times New Roman"/>
          <w:b/>
          <w:bCs/>
        </w:rPr>
        <w:lastRenderedPageBreak/>
        <w:t>Methodology</w:t>
      </w:r>
    </w:p>
    <w:p w14:paraId="5D764D4C" w14:textId="77777777" w:rsidR="00AB468F" w:rsidRPr="00FD68E9" w:rsidRDefault="00AB468F" w:rsidP="00AB468F">
      <w:pPr>
        <w:spacing w:after="0" w:line="360" w:lineRule="auto"/>
        <w:jc w:val="both"/>
        <w:rPr>
          <w:rFonts w:ascii="Times New Roman" w:hAnsi="Times New Roman" w:cs="Times New Roman"/>
          <w:b/>
          <w:bCs/>
        </w:rPr>
      </w:pPr>
    </w:p>
    <w:p w14:paraId="1E805745" w14:textId="77777777" w:rsidR="00AB468F" w:rsidRPr="00FD68E9" w:rsidRDefault="00AB468F" w:rsidP="00AB468F">
      <w:pPr>
        <w:spacing w:after="0" w:line="360" w:lineRule="auto"/>
        <w:jc w:val="both"/>
        <w:rPr>
          <w:rFonts w:ascii="Times New Roman" w:hAnsi="Times New Roman" w:cs="Times New Roman"/>
        </w:rPr>
      </w:pPr>
      <w:r>
        <w:rPr>
          <w:rFonts w:ascii="Times New Roman" w:hAnsi="Times New Roman" w:cs="Times New Roman"/>
        </w:rPr>
        <w:t>This research employs an exploratory approach to carefully examine the UN Convention on the Rights of the Child documents, which include specific legal provisions addressing identified child rights. The paper also reviews Indian legislation related to children’s rights issues, such as child marriage, trafficking, child labour, sexual abuse, drug addiction, and the right to education. Initially, this study conducted a textual analysis of the UNCRC documents, including the Working Group’s Annual Session Reports from 1979 to 1989, Poland’s initial proposals for the UN Convention, and comments from states and organisations concerning it. The minutes of the working group’s sessions serve as written records of the discussions and decisions made. Similarly, relevant documents related to the Convention, such as the 183rd Plenary Meeting of 1948; the UNCRC Committee’s 100th session; General Assembly resolution 44/25 of 20 November 1989; CRC’s 17th informal meeting with states; the Optional Protocol to the Convention against Torture and other Cruel, Inhuman or Degrading Treatment or Punishment; the Optional Protocol to the Convention on the Rights of the Child on a communications procedure; the Universal Declaration of Human Rights (UDHR); and the International Bill of Human Rights were reviewed. These reports are significant because they detail the procedures adopted during the drafting process. This analysis highlights the importance of children’s rights and the key role of the Convention. We also observed that the UN classifies human rights into social, civil, economic, and political categories. Therefore, we examined Indian jurisprudence and found that the Juvenile Justice (Care and Protection of Children) Act, 2015, and Article 45 of the Indian Constitution make education compulsory for children up to 14 years. However, this legal requirement was not effectively enforced until 2002, when education became a fundamental right under Article 21a. We reviewed the Indian Penal Code (IPC), 1860; the Immoral Traffic (Prevention) Act, 1986; the Bonded Labour Regulation Act, 1986; the Child Labour Regulation Act, 1986, which address trafficking, exploitation, and bonded labour; as well as the Child Marriage Act, 2006, the POCSO Act, and the Narcotic Drugs and Psychotropic Substances (NDPS) Act, 1985, within the context of the UNCRC’s prevailing provisions on child rights. Similarly, we examined the annual reports of UNICEF, ChildLine, CRY, and judicial precedents set by the apex and high courts, supplemented by numerous publications, articles, journals, online books, and research articles from various government and non-governmental organisations for an in-depth analysis.</w:t>
      </w:r>
    </w:p>
    <w:p w14:paraId="3CA0B2CE" w14:textId="77777777" w:rsidR="00AB468F" w:rsidRPr="00FD68E9" w:rsidRDefault="00AB468F" w:rsidP="00AB468F">
      <w:pPr>
        <w:rPr>
          <w:rFonts w:ascii="Times New Roman" w:hAnsi="Times New Roman" w:cs="Times New Roman"/>
        </w:rPr>
      </w:pPr>
    </w:p>
    <w:p w14:paraId="7BF86046" w14:textId="2934FA84" w:rsidR="00AB468F" w:rsidRPr="00FD68E9" w:rsidRDefault="00AB468F" w:rsidP="00AB468F">
      <w:pPr>
        <w:rPr>
          <w:rFonts w:ascii="Times New Roman" w:hAnsi="Times New Roman" w:cs="Times New Roman"/>
          <w:b/>
        </w:rPr>
      </w:pPr>
      <w:r w:rsidRPr="00FD68E9">
        <w:rPr>
          <w:rFonts w:ascii="Times New Roman" w:hAnsi="Times New Roman" w:cs="Times New Roman"/>
          <w:b/>
        </w:rPr>
        <w:lastRenderedPageBreak/>
        <w:t>Comparative analysis</w:t>
      </w:r>
    </w:p>
    <w:p w14:paraId="02925CA9" w14:textId="77777777" w:rsidR="00AB468F" w:rsidRPr="000D3EEC" w:rsidRDefault="00AB468F" w:rsidP="00AB468F">
      <w:pPr>
        <w:spacing w:after="0" w:line="360" w:lineRule="auto"/>
        <w:jc w:val="both"/>
        <w:rPr>
          <w:rFonts w:ascii="Times New Roman" w:hAnsi="Times New Roman" w:cs="Times New Roman"/>
          <w:sz w:val="10"/>
          <w:szCs w:val="10"/>
        </w:rPr>
      </w:pPr>
    </w:p>
    <w:p w14:paraId="43F9835B" w14:textId="16564B9B" w:rsidR="00AB468F" w:rsidRPr="00FD68E9" w:rsidRDefault="00AB468F" w:rsidP="00AB468F">
      <w:pPr>
        <w:spacing w:after="0" w:line="360" w:lineRule="auto"/>
        <w:jc w:val="both"/>
        <w:rPr>
          <w:rFonts w:ascii="Times New Roman" w:hAnsi="Times New Roman" w:cs="Times New Roman"/>
        </w:rPr>
      </w:pPr>
      <w:r>
        <w:rPr>
          <w:rFonts w:ascii="Times New Roman" w:hAnsi="Times New Roman" w:cs="Times New Roman"/>
        </w:rPr>
        <w:t xml:space="preserve">Correspondingly, harmonising domestic laws with international standards is unique because it raises the level of child rights in the country and requires an overhaul of existing laws. Furthermore, legal provisions related to the right to life, the best interests of children, the right to survival and development, and the right to be heard are key areas where alignment between the two legal systems must be addressed. Therefore, identifying gaps that hinder the implementation of global norms within the national context is essential for upcoming reforms and for strengthening jurisprudence related to child rights in India. Incongruities in age determination create contradictions in the application of rights in areas such as juvenile justice and protection. Similarly, in the digital era, key issues like cyberbullying and online exploitation are not addressed by national laws. Problems faced by physically-challenged children from poor socio-economic backgrounds are also overlooked. Such discrepancies in the legal framework prove to be obstacles </w:t>
      </w:r>
      <w:r w:rsidR="005E1A2D">
        <w:rPr>
          <w:rFonts w:ascii="Times New Roman" w:hAnsi="Times New Roman" w:cs="Times New Roman"/>
        </w:rPr>
        <w:t>to</w:t>
      </w:r>
      <w:r>
        <w:rPr>
          <w:rFonts w:ascii="Times New Roman" w:hAnsi="Times New Roman" w:cs="Times New Roman"/>
        </w:rPr>
        <w:t xml:space="preserve"> the strong enforcement of legal provisions. More importantly, integrating child rights into education, labour, trafficking, drug abuse, begging, and health remains a significant challenge. Hence, there is an urgent need to analyse the nuanced understanding that will bridg</w:t>
      </w:r>
      <w:r w:rsidR="002608E1">
        <w:rPr>
          <w:rFonts w:ascii="Times New Roman" w:hAnsi="Times New Roman" w:cs="Times New Roman"/>
        </w:rPr>
        <w:t xml:space="preserve">e </w:t>
      </w:r>
      <w:r>
        <w:rPr>
          <w:rFonts w:ascii="Times New Roman" w:hAnsi="Times New Roman" w:cs="Times New Roman"/>
        </w:rPr>
        <w:t xml:space="preserve">these inconsistencies to achieve holistic </w:t>
      </w:r>
      <w:r w:rsidR="002608E1">
        <w:rPr>
          <w:rFonts w:ascii="Times New Roman" w:hAnsi="Times New Roman" w:cs="Times New Roman"/>
        </w:rPr>
        <w:t xml:space="preserve">safeguard </w:t>
      </w:r>
      <w:r>
        <w:rPr>
          <w:rFonts w:ascii="Times New Roman" w:hAnsi="Times New Roman" w:cs="Times New Roman"/>
        </w:rPr>
        <w:t xml:space="preserve">and </w:t>
      </w:r>
      <w:r w:rsidR="002608E1">
        <w:rPr>
          <w:rFonts w:ascii="Times New Roman" w:hAnsi="Times New Roman" w:cs="Times New Roman"/>
        </w:rPr>
        <w:t xml:space="preserve">elevation </w:t>
      </w:r>
      <w:r>
        <w:rPr>
          <w:rFonts w:ascii="Times New Roman" w:hAnsi="Times New Roman" w:cs="Times New Roman"/>
        </w:rPr>
        <w:t>of child rights in India.</w:t>
      </w:r>
    </w:p>
    <w:p w14:paraId="56310A3C" w14:textId="77777777" w:rsidR="00AB468F" w:rsidRPr="00FD68E9" w:rsidRDefault="00AB468F" w:rsidP="00AB468F">
      <w:pPr>
        <w:spacing w:after="0" w:line="360" w:lineRule="auto"/>
        <w:jc w:val="both"/>
        <w:rPr>
          <w:rFonts w:ascii="Times New Roman" w:hAnsi="Times New Roman" w:cs="Times New Roman"/>
        </w:rPr>
      </w:pPr>
    </w:p>
    <w:p w14:paraId="43A201BB" w14:textId="77777777" w:rsidR="00AB468F" w:rsidRPr="00202013" w:rsidRDefault="00AB468F" w:rsidP="00AB468F">
      <w:pPr>
        <w:spacing w:after="0" w:line="360" w:lineRule="auto"/>
        <w:jc w:val="both"/>
        <w:rPr>
          <w:rFonts w:ascii="Times New Roman" w:hAnsi="Times New Roman" w:cs="Times New Roman"/>
          <w:b/>
        </w:rPr>
      </w:pPr>
      <w:r w:rsidRPr="00202013">
        <w:rPr>
          <w:rFonts w:ascii="Times New Roman" w:hAnsi="Times New Roman" w:cs="Times New Roman"/>
          <w:b/>
        </w:rPr>
        <w:t xml:space="preserve">Review of Literature  </w:t>
      </w:r>
    </w:p>
    <w:p w14:paraId="392946AA" w14:textId="77777777" w:rsidR="00AB468F" w:rsidRPr="00202013" w:rsidRDefault="00AB468F" w:rsidP="00AB468F">
      <w:pPr>
        <w:spacing w:after="0" w:line="360" w:lineRule="auto"/>
        <w:jc w:val="both"/>
        <w:rPr>
          <w:rFonts w:ascii="Times New Roman" w:hAnsi="Times New Roman" w:cs="Times New Roman"/>
          <w:sz w:val="20"/>
          <w:szCs w:val="20"/>
        </w:rPr>
      </w:pPr>
    </w:p>
    <w:p w14:paraId="7F88B887" w14:textId="77777777" w:rsidR="00AB468F" w:rsidRPr="00202013" w:rsidRDefault="00AB468F" w:rsidP="00AB468F">
      <w:pPr>
        <w:spacing w:after="0" w:line="360" w:lineRule="auto"/>
        <w:jc w:val="both"/>
        <w:rPr>
          <w:rFonts w:ascii="Times New Roman" w:hAnsi="Times New Roman" w:cs="Times New Roman"/>
        </w:rPr>
      </w:pPr>
      <w:r w:rsidRPr="00202013">
        <w:rPr>
          <w:rFonts w:ascii="Times New Roman" w:hAnsi="Times New Roman" w:cs="Times New Roman"/>
        </w:rPr>
        <w:t>The research conducted by Clarke Butler at Indiana University-Purdue University Fort Wayne highlighted that Article 50 of the UNCRC makes child rights legally binding for ratifying nations. However, enforcement of these laws remains weak due to a lack of penalties for violations, which means the Convention often lacks tangible impact. Many countries are not aligning their domestic laws with the CRC and fail to fully commit to implementing its recommendations. This leads to a situation where state parties may face criticism from the monitoring committee for non-compliance.</w:t>
      </w:r>
    </w:p>
    <w:p w14:paraId="3B1C0BE7" w14:textId="7344E2EC"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t xml:space="preserve">Prakash Shah highlighted the double standards and politicisation in how international human rights are observed, especially in developing countries. These nations often find their credibility undermined by claims of moral superiority over the West and the imposition of political pressure. Critics question the West's role as champions of human rights and point out the lack of focus on essential </w:t>
      </w:r>
      <w:r w:rsidR="00EB45D9">
        <w:rPr>
          <w:rFonts w:ascii="Times New Roman" w:hAnsi="Times New Roman" w:cs="Times New Roman"/>
        </w:rPr>
        <w:t xml:space="preserve">political and </w:t>
      </w:r>
      <w:r w:rsidRPr="00202013">
        <w:rPr>
          <w:rFonts w:ascii="Times New Roman" w:hAnsi="Times New Roman" w:cs="Times New Roman"/>
        </w:rPr>
        <w:t xml:space="preserve">civil rights in </w:t>
      </w:r>
      <w:r w:rsidR="00EB45D9">
        <w:rPr>
          <w:rFonts w:ascii="Times New Roman" w:hAnsi="Times New Roman" w:cs="Times New Roman"/>
        </w:rPr>
        <w:t xml:space="preserve">third-world </w:t>
      </w:r>
      <w:r w:rsidRPr="00202013">
        <w:rPr>
          <w:rFonts w:ascii="Times New Roman" w:hAnsi="Times New Roman" w:cs="Times New Roman"/>
        </w:rPr>
        <w:t>countries.</w:t>
      </w:r>
    </w:p>
    <w:p w14:paraId="3E01764F" w14:textId="77777777"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lastRenderedPageBreak/>
        <w:t>Another researcher noted that state laws and legal interpretations influence how child labour cases are handled under the UNCRC in India. There is a need for increased awareness of children’s rights, with access to resources and opportunities being essential. Similarly, strong legislation, monitoring, and evaluation systems will enable the effective redressal of the child labour issue. Galena Shpylenko suggested that an ombudsman could help improve laws and policies related to children’s rights. Additionally, a researcher mentioned that various Indian laws define children differently, highlighting the complexity of legal definitions of childhood.</w:t>
      </w:r>
    </w:p>
    <w:p w14:paraId="592482EC" w14:textId="69C05AAF"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t xml:space="preserve">Researcher Jupitara S, in her study, citing Walby (1996:25), argues that children and childhood must be genuinely recognised, and families nurturing children always need a supportive environment. Those caring for children must also receive mutual support from the public. Likewise, issues affecting children should be regularly discussed. </w:t>
      </w:r>
    </w:p>
    <w:p w14:paraId="68BF89D9" w14:textId="77777777" w:rsidR="00AB468F" w:rsidRPr="00202013" w:rsidRDefault="00AB468F" w:rsidP="00AB468F">
      <w:pPr>
        <w:spacing w:after="0" w:line="360" w:lineRule="auto"/>
        <w:ind w:firstLine="720"/>
        <w:jc w:val="both"/>
        <w:rPr>
          <w:rFonts w:ascii="Times New Roman" w:hAnsi="Times New Roman" w:cs="Times New Roman"/>
        </w:rPr>
      </w:pPr>
      <w:r w:rsidRPr="00202013">
        <w:rPr>
          <w:rFonts w:ascii="Times New Roman" w:hAnsi="Times New Roman" w:cs="Times New Roman"/>
        </w:rPr>
        <w:t xml:space="preserve">Cleverly and Phillips (1987) and Archard (1993), in their books, assert that children have been deprived of rights and viewed as assets or property of their parents and guardians; therefore, they are treated as their owners see fit. This perspective slows community awareness and the tendency to recognise child abuse committed by families. As a result, when child abuse occurs, the community's response tends to be silent, favouring the trust placed in families. </w:t>
      </w:r>
    </w:p>
    <w:p w14:paraId="17183C2D" w14:textId="77777777" w:rsidR="00AB468F" w:rsidRPr="00882EC4" w:rsidRDefault="00AB468F" w:rsidP="00AB468F">
      <w:pPr>
        <w:rPr>
          <w:rFonts w:ascii="Times New Roman" w:hAnsi="Times New Roman" w:cs="Times New Roman"/>
          <w:sz w:val="10"/>
          <w:szCs w:val="10"/>
        </w:rPr>
      </w:pPr>
    </w:p>
    <w:p w14:paraId="15A9C1EE" w14:textId="77777777" w:rsidR="00D13E18" w:rsidRPr="00D13E18" w:rsidRDefault="00D13E18" w:rsidP="00D13E18">
      <w:pPr>
        <w:spacing w:after="0" w:line="360" w:lineRule="auto"/>
        <w:jc w:val="both"/>
        <w:rPr>
          <w:rFonts w:ascii="Times New Roman" w:hAnsi="Times New Roman" w:cs="Times New Roman"/>
          <w:b/>
        </w:rPr>
      </w:pPr>
      <w:r w:rsidRPr="00D13E18">
        <w:rPr>
          <w:rFonts w:ascii="Times New Roman" w:hAnsi="Times New Roman" w:cs="Times New Roman"/>
          <w:b/>
        </w:rPr>
        <w:t>Definitions of childhood</w:t>
      </w:r>
    </w:p>
    <w:p w14:paraId="2C8183EE" w14:textId="77777777" w:rsidR="00D13E18" w:rsidRPr="00882EC4" w:rsidRDefault="00D13E18" w:rsidP="00D13E18">
      <w:pPr>
        <w:spacing w:after="0" w:line="360" w:lineRule="auto"/>
        <w:jc w:val="both"/>
        <w:rPr>
          <w:rFonts w:ascii="Times New Roman" w:hAnsi="Times New Roman" w:cs="Times New Roman"/>
          <w:sz w:val="10"/>
          <w:szCs w:val="10"/>
        </w:rPr>
      </w:pPr>
    </w:p>
    <w:p w14:paraId="7FAF0B56" w14:textId="31C9E6C6" w:rsidR="00D13E18" w:rsidRPr="00D13E18" w:rsidRDefault="00D13E18" w:rsidP="00D13E18">
      <w:pPr>
        <w:spacing w:after="0" w:line="360" w:lineRule="auto"/>
        <w:jc w:val="both"/>
        <w:rPr>
          <w:rFonts w:ascii="Times New Roman" w:hAnsi="Times New Roman" w:cs="Times New Roman"/>
        </w:rPr>
      </w:pPr>
      <w:r w:rsidRPr="00D13E18">
        <w:rPr>
          <w:rFonts w:ascii="Times New Roman" w:hAnsi="Times New Roman" w:cs="Times New Roman"/>
        </w:rPr>
        <w:t xml:space="preserve">Child rights are fundamental principles recognising children as individuals with unique rights. These rights include various aspects of a child’s life, such as the right to survive, develop, be protected from abuse or exploitation, and participate in decision-making. Several international human rights treaties apply to children, but only the United Nations Convention on the Rights of the Child (UNCRC) explicitly defines who is considered a child. Article 1 of the Convention states that a child is every human under 18 </w:t>
      </w:r>
      <w:r w:rsidR="00717D50">
        <w:rPr>
          <w:rFonts w:ascii="Times New Roman" w:hAnsi="Times New Roman" w:cs="Times New Roman"/>
        </w:rPr>
        <w:t xml:space="preserve">years of age </w:t>
      </w:r>
      <w:r w:rsidRPr="00D13E18">
        <w:rPr>
          <w:rFonts w:ascii="Times New Roman" w:hAnsi="Times New Roman" w:cs="Times New Roman"/>
        </w:rPr>
        <w:t xml:space="preserve">unless local laws specify </w:t>
      </w:r>
      <w:r w:rsidR="007E363D">
        <w:rPr>
          <w:rFonts w:ascii="Times New Roman" w:hAnsi="Times New Roman" w:cs="Times New Roman"/>
        </w:rPr>
        <w:t>otherwise</w:t>
      </w:r>
      <w:r w:rsidRPr="00D13E18">
        <w:rPr>
          <w:rFonts w:ascii="Times New Roman" w:hAnsi="Times New Roman" w:cs="Times New Roman"/>
        </w:rPr>
        <w:t xml:space="preserve">. During the Convention's negotiation, there was significant debate about defining the start and end of childhood. Based on Principle 1 of the UNCRC 1959, the initial text by the Polish government did not specify childhood (Office of the United Nations High Commissioner for Human Rights and Rädda barnen (Society: Sweden), 2007). Regionally, an exception is made by Article 2 of the African Charter on the Rights and Welfare of the Child (1990), which states that a child is every human being below 18. In India, Section 2 (ii) of the Child Labour (Protection and Regulation) Act, 1986, defines a child as someone </w:t>
      </w:r>
      <w:r w:rsidR="002766DD">
        <w:rPr>
          <w:rFonts w:ascii="Times New Roman" w:hAnsi="Times New Roman" w:cs="Times New Roman"/>
        </w:rPr>
        <w:t xml:space="preserve">who is </w:t>
      </w:r>
      <w:r w:rsidRPr="00D13E18">
        <w:rPr>
          <w:rFonts w:ascii="Times New Roman" w:hAnsi="Times New Roman" w:cs="Times New Roman"/>
        </w:rPr>
        <w:t>under 14</w:t>
      </w:r>
      <w:r w:rsidR="002766DD">
        <w:rPr>
          <w:rFonts w:ascii="Times New Roman" w:hAnsi="Times New Roman" w:cs="Times New Roman"/>
        </w:rPr>
        <w:t xml:space="preserve"> years of age</w:t>
      </w:r>
      <w:r w:rsidRPr="00D13E18">
        <w:rPr>
          <w:rFonts w:ascii="Times New Roman" w:hAnsi="Times New Roman" w:cs="Times New Roman"/>
        </w:rPr>
        <w:t xml:space="preserve">. As per Article 21(a) of the Indian Constitution and the Child Labour (Prohibition and Regulation) Act 1986, a child is a person under 14. The Indian Penal Code, 1860, states that </w:t>
      </w:r>
      <w:r w:rsidRPr="00D13E18">
        <w:rPr>
          <w:rFonts w:ascii="Times New Roman" w:hAnsi="Times New Roman" w:cs="Times New Roman"/>
        </w:rPr>
        <w:lastRenderedPageBreak/>
        <w:t>any act committed by a child under</w:t>
      </w:r>
      <w:r w:rsidR="00201497">
        <w:rPr>
          <w:rFonts w:ascii="Times New Roman" w:hAnsi="Times New Roman" w:cs="Times New Roman"/>
        </w:rPr>
        <w:t>-</w:t>
      </w:r>
      <w:r w:rsidRPr="00D13E18">
        <w:rPr>
          <w:rFonts w:ascii="Times New Roman" w:hAnsi="Times New Roman" w:cs="Times New Roman"/>
        </w:rPr>
        <w:t xml:space="preserve">7 is not an offence. </w:t>
      </w:r>
      <w:r w:rsidR="00201497">
        <w:rPr>
          <w:rFonts w:ascii="Times New Roman" w:hAnsi="Times New Roman" w:cs="Times New Roman"/>
        </w:rPr>
        <w:t xml:space="preserve">A person who is 12 years old can be held accountable for any </w:t>
      </w:r>
      <w:r w:rsidRPr="00D13E18">
        <w:rPr>
          <w:rFonts w:ascii="Times New Roman" w:hAnsi="Times New Roman" w:cs="Times New Roman"/>
        </w:rPr>
        <w:t xml:space="preserve">criminal </w:t>
      </w:r>
      <w:r w:rsidR="00201497">
        <w:rPr>
          <w:rFonts w:ascii="Times New Roman" w:hAnsi="Times New Roman" w:cs="Times New Roman"/>
        </w:rPr>
        <w:t>offence</w:t>
      </w:r>
      <w:r w:rsidRPr="00D13E18">
        <w:rPr>
          <w:rFonts w:ascii="Times New Roman" w:hAnsi="Times New Roman" w:cs="Times New Roman"/>
        </w:rPr>
        <w:t>. As outlined in the National Plan of Action for Children 2005, a child is a person up to 18 years old. According to the Juvenile Justice (Care and Protection of Children) Act, 2000, the age is 18 for boys and girls. Under the Indian Majority Act, 1875, every person in India is considered to have reached majority at 18, with those under 18 regarded as minors.</w:t>
      </w:r>
    </w:p>
    <w:p w14:paraId="7952E630" w14:textId="77777777" w:rsidR="00D13E18" w:rsidRPr="00882EC4" w:rsidRDefault="00D13E18" w:rsidP="00D13E18">
      <w:pPr>
        <w:spacing w:after="0" w:line="360" w:lineRule="auto"/>
        <w:jc w:val="both"/>
        <w:rPr>
          <w:rFonts w:ascii="Times New Roman" w:hAnsi="Times New Roman" w:cs="Times New Roman"/>
          <w:b/>
          <w:sz w:val="10"/>
          <w:szCs w:val="10"/>
        </w:rPr>
      </w:pPr>
    </w:p>
    <w:p w14:paraId="7C55BAB1" w14:textId="77777777" w:rsidR="00D13E18" w:rsidRPr="00D13E18" w:rsidRDefault="00D13E18" w:rsidP="00D13E18">
      <w:pPr>
        <w:spacing w:after="0" w:line="360" w:lineRule="auto"/>
        <w:jc w:val="both"/>
        <w:rPr>
          <w:rFonts w:ascii="Times New Roman" w:hAnsi="Times New Roman" w:cs="Times New Roman"/>
          <w:b/>
        </w:rPr>
      </w:pPr>
      <w:r w:rsidRPr="00D13E18">
        <w:rPr>
          <w:rFonts w:ascii="Times New Roman" w:hAnsi="Times New Roman" w:cs="Times New Roman"/>
          <w:b/>
        </w:rPr>
        <w:t>What are rights?</w:t>
      </w:r>
    </w:p>
    <w:p w14:paraId="7FE810DB" w14:textId="77777777" w:rsidR="00D13E18" w:rsidRPr="00882EC4" w:rsidRDefault="00D13E18" w:rsidP="00D13E18">
      <w:pPr>
        <w:spacing w:after="0" w:line="360" w:lineRule="auto"/>
        <w:jc w:val="both"/>
        <w:rPr>
          <w:rFonts w:ascii="Times New Roman" w:hAnsi="Times New Roman" w:cs="Times New Roman"/>
          <w:sz w:val="10"/>
          <w:szCs w:val="10"/>
        </w:rPr>
      </w:pPr>
    </w:p>
    <w:p w14:paraId="04DBABCE" w14:textId="50091B35" w:rsidR="00D13E18" w:rsidRPr="00D13E18" w:rsidRDefault="00D13E18" w:rsidP="00D13E18">
      <w:pPr>
        <w:spacing w:after="0" w:line="360" w:lineRule="auto"/>
        <w:jc w:val="both"/>
        <w:rPr>
          <w:rFonts w:ascii="Times New Roman" w:hAnsi="Times New Roman" w:cs="Times New Roman"/>
        </w:rPr>
      </w:pPr>
      <w:r w:rsidRPr="00D13E18">
        <w:rPr>
          <w:rFonts w:ascii="Times New Roman" w:hAnsi="Times New Roman" w:cs="Times New Roman"/>
        </w:rPr>
        <w:t xml:space="preserve">Constructed identities, rather than lived conditions, form the basis of rights. An individual claims rights when oppressed by a social hierarchy, and such oppression defines one’s lack of resources, which society perpetuates through exclusion from economic, social, and organisational opportunities. </w:t>
      </w:r>
      <w:r w:rsidR="009261C0">
        <w:rPr>
          <w:rFonts w:ascii="Times New Roman" w:hAnsi="Times New Roman" w:cs="Times New Roman"/>
        </w:rPr>
        <w:t>Notably</w:t>
      </w:r>
      <w:r w:rsidRPr="00D13E18">
        <w:rPr>
          <w:rFonts w:ascii="Times New Roman" w:hAnsi="Times New Roman" w:cs="Times New Roman"/>
        </w:rPr>
        <w:t>, a dearth of resources becomes the social identity or position within the social hierarchy of the victim of exclusion. Therefore, rights should be viewed from the perspective of human, economic, and organisational resources. Hence, where there is pain and suffering, there will be calls for rights to address the issue. So, rights, pain, and suffering are directly proportional, and one cannot exist without the other. Rights reflect a person’s status in society; they exist when a person is treated as less than human.</w:t>
      </w:r>
    </w:p>
    <w:p w14:paraId="7A5AB641" w14:textId="77777777" w:rsidR="00D13E18" w:rsidRPr="00D13E18" w:rsidRDefault="00D13E18" w:rsidP="00D13E18">
      <w:pPr>
        <w:spacing w:after="0" w:line="360" w:lineRule="auto"/>
        <w:jc w:val="both"/>
        <w:rPr>
          <w:rFonts w:ascii="Times New Roman" w:hAnsi="Times New Roman" w:cs="Times New Roman"/>
        </w:rPr>
      </w:pPr>
    </w:p>
    <w:p w14:paraId="050ED334" w14:textId="77777777" w:rsidR="00D13E18" w:rsidRPr="00D13E18" w:rsidRDefault="00D13E18" w:rsidP="00D13E18">
      <w:pPr>
        <w:spacing w:after="0" w:line="360" w:lineRule="auto"/>
        <w:jc w:val="both"/>
        <w:rPr>
          <w:rFonts w:ascii="Times New Roman" w:hAnsi="Times New Roman" w:cs="Times New Roman"/>
          <w:b/>
        </w:rPr>
      </w:pPr>
      <w:r w:rsidRPr="00D13E18">
        <w:rPr>
          <w:rFonts w:ascii="Times New Roman" w:hAnsi="Times New Roman" w:cs="Times New Roman"/>
          <w:b/>
        </w:rPr>
        <w:t>Child Rights Violation</w:t>
      </w:r>
    </w:p>
    <w:p w14:paraId="24C92179" w14:textId="77777777" w:rsidR="00D13E18" w:rsidRPr="00D13E18" w:rsidRDefault="00D13E18" w:rsidP="00D13E18">
      <w:pPr>
        <w:spacing w:after="0" w:line="360" w:lineRule="auto"/>
        <w:jc w:val="both"/>
        <w:rPr>
          <w:rFonts w:ascii="Times New Roman" w:hAnsi="Times New Roman" w:cs="Times New Roman"/>
        </w:rPr>
      </w:pPr>
    </w:p>
    <w:p w14:paraId="5315DF8B" w14:textId="77777777" w:rsidR="00D13E18" w:rsidRPr="00D13E18" w:rsidRDefault="00D13E18" w:rsidP="00D13E18">
      <w:pPr>
        <w:spacing w:after="0" w:line="360" w:lineRule="auto"/>
        <w:jc w:val="both"/>
        <w:rPr>
          <w:rFonts w:ascii="Times New Roman" w:hAnsi="Times New Roman" w:cs="Times New Roman"/>
          <w:bCs/>
        </w:rPr>
      </w:pPr>
      <w:bookmarkStart w:id="0" w:name="_Hlk208395227"/>
      <w:r w:rsidRPr="00D13E18">
        <w:rPr>
          <w:rFonts w:ascii="Times New Roman" w:hAnsi="Times New Roman" w:cs="Times New Roman"/>
          <w:bCs/>
        </w:rPr>
        <w:t>Child rights violations start at birth. When their birth is not registered, it deprives them of a legal identity, which hampers access to education, healthcare, and government employment. Girls from low-income countries have a 50-50 chance of obtaining a legal identity and accessing rights and services. According to Amnesty International, about 290 million children worldwide have registered births, while 61 million do not attend primary school. Annually, an estimated 150 million girls and 73 million boys experience sexual assault. Around 30,000 children are detained in immigration facilities across 80 countries. In some nations, 9-year-old girls are forced into marriage, and boys as young as six are tried as adults in criminal courts. One of the UNCRC’s General Principles is that children have the right to participate; they must be listened to. Similarly, they can voice their concerns, and their opinions must be heard.</w:t>
      </w:r>
    </w:p>
    <w:bookmarkEnd w:id="0"/>
    <w:p w14:paraId="14432483" w14:textId="77777777" w:rsidR="00B14379" w:rsidRPr="00882EC4" w:rsidRDefault="00B14379" w:rsidP="00B14379">
      <w:pPr>
        <w:spacing w:after="0" w:line="360" w:lineRule="auto"/>
        <w:jc w:val="both"/>
        <w:rPr>
          <w:rFonts w:ascii="Times New Roman" w:hAnsi="Times New Roman" w:cs="Times New Roman"/>
          <w:b/>
          <w:sz w:val="10"/>
          <w:szCs w:val="10"/>
        </w:rPr>
      </w:pPr>
    </w:p>
    <w:p w14:paraId="7709A80C" w14:textId="3C339B93" w:rsidR="00B14379" w:rsidRPr="0063010C" w:rsidRDefault="00B14379" w:rsidP="00B14379">
      <w:pPr>
        <w:spacing w:after="0" w:line="360" w:lineRule="auto"/>
        <w:jc w:val="both"/>
        <w:rPr>
          <w:rFonts w:ascii="Times New Roman" w:hAnsi="Times New Roman" w:cs="Times New Roman"/>
          <w:b/>
        </w:rPr>
      </w:pPr>
      <w:r w:rsidRPr="0063010C">
        <w:rPr>
          <w:rFonts w:ascii="Times New Roman" w:hAnsi="Times New Roman" w:cs="Times New Roman"/>
          <w:b/>
        </w:rPr>
        <w:t>Global Scenario</w:t>
      </w:r>
    </w:p>
    <w:p w14:paraId="4880C414" w14:textId="77777777" w:rsidR="00B14379" w:rsidRPr="00882EC4" w:rsidRDefault="00B14379" w:rsidP="00B14379">
      <w:pPr>
        <w:spacing w:after="0" w:line="360" w:lineRule="auto"/>
        <w:jc w:val="both"/>
        <w:rPr>
          <w:rFonts w:ascii="Times New Roman" w:hAnsi="Times New Roman" w:cs="Times New Roman"/>
          <w:sz w:val="10"/>
          <w:szCs w:val="10"/>
        </w:rPr>
      </w:pPr>
    </w:p>
    <w:p w14:paraId="0EEF0684" w14:textId="77777777" w:rsidR="00B14379" w:rsidRPr="0063010C" w:rsidRDefault="00B14379" w:rsidP="00B14379">
      <w:pPr>
        <w:spacing w:after="0" w:line="360" w:lineRule="auto"/>
        <w:jc w:val="both"/>
        <w:rPr>
          <w:rFonts w:ascii="Times New Roman" w:hAnsi="Times New Roman" w:cs="Times New Roman"/>
        </w:rPr>
      </w:pPr>
      <w:r w:rsidRPr="0063010C">
        <w:rPr>
          <w:rFonts w:ascii="Times New Roman" w:hAnsi="Times New Roman" w:cs="Times New Roman"/>
        </w:rPr>
        <w:t xml:space="preserve">In today's war-torn world, children's rights worldwide, especially those in crisis and fragile situations, are often severely threatened. The KidsRights Index Report 2024 reports a 21% </w:t>
      </w:r>
      <w:r w:rsidRPr="0063010C">
        <w:rPr>
          <w:rFonts w:ascii="Times New Roman" w:hAnsi="Times New Roman" w:cs="Times New Roman"/>
        </w:rPr>
        <w:lastRenderedPageBreak/>
        <w:t>increase in serious violations of children's rights in armed conflicts globally. Since October 2023, over 8,000 children have been killed in Gaza and 1,957 in Ukraine. Meanwhile, in Sudan, 14 million children need humanitarian aid, 19 million are out of school, and 4 million are displaced. Climate change and environmental crises continue to impact children's rights, affecting health, nutrition, education, and efforts to reduce poverty through climate-related shocks. Globally, 1 billion children across 33 countries face risks from climate impacts. In 2021 alone, over 10 million children were newly internally displaced. Additionally, 559 million children are exposed to frequent heatwaves, more than 600 million face risks from vector-borne diseases such as malaria and dengue fever, and over 120,000 children have been killed or injured since 2005. At least 105,000 children have been recruited by armed forces or groups, over 32,500 have been abducted, and more than 16000 have suffered sexual violence. Reports also highlight over 16,000 attacks on schools and hospitals, along with more than 22000 instances of denying humanitarian access to children. Furthermore, around 33 countries are responsible for just 9% of global carbon emissions, while the ten highest-polluting nations contribute a staggering 70%. As a result, climate change has exposed over 99% of children to at least one climate shock, environmental stress, or hazard. Considering this crisis, roughly 850 million children face four or more ongoing climate threats, including cyclones, heatwaves, diseases, floods, and water shortages. Moreover, violent armed conflicts have reached their highest levels in three decades, with over 450 million children worldwide</w:t>
      </w:r>
      <w:r>
        <w:rPr>
          <w:rFonts w:ascii="Times New Roman" w:hAnsi="Times New Roman" w:cs="Times New Roman"/>
        </w:rPr>
        <w:t xml:space="preserve"> </w:t>
      </w:r>
      <w:r w:rsidRPr="0063010C">
        <w:rPr>
          <w:rFonts w:ascii="Times New Roman" w:hAnsi="Times New Roman" w:cs="Times New Roman"/>
        </w:rPr>
        <w:t>- one in six</w:t>
      </w:r>
      <w:r>
        <w:rPr>
          <w:rFonts w:ascii="Times New Roman" w:hAnsi="Times New Roman" w:cs="Times New Roman"/>
        </w:rPr>
        <w:t xml:space="preserve"> </w:t>
      </w:r>
      <w:r w:rsidRPr="0063010C">
        <w:rPr>
          <w:rFonts w:ascii="Times New Roman" w:hAnsi="Times New Roman" w:cs="Times New Roman"/>
        </w:rPr>
        <w:t xml:space="preserve">living in conflict zones.  </w:t>
      </w:r>
    </w:p>
    <w:p w14:paraId="02D9A1DD" w14:textId="77777777" w:rsidR="00B14379" w:rsidRPr="00882EC4" w:rsidRDefault="00B14379" w:rsidP="00B14379">
      <w:pPr>
        <w:spacing w:after="0" w:line="360" w:lineRule="auto"/>
        <w:jc w:val="both"/>
        <w:rPr>
          <w:rFonts w:ascii="Times New Roman" w:hAnsi="Times New Roman" w:cs="Times New Roman"/>
          <w:sz w:val="10"/>
          <w:szCs w:val="10"/>
        </w:rPr>
      </w:pPr>
    </w:p>
    <w:p w14:paraId="72235FB1" w14:textId="2BF5F74F" w:rsidR="00B14379" w:rsidRPr="0063010C" w:rsidRDefault="00B14379" w:rsidP="00B14379">
      <w:pPr>
        <w:spacing w:after="0" w:line="360" w:lineRule="auto"/>
        <w:jc w:val="both"/>
        <w:rPr>
          <w:rFonts w:ascii="Times New Roman" w:hAnsi="Times New Roman" w:cs="Times New Roman"/>
          <w:b/>
        </w:rPr>
      </w:pPr>
      <w:bookmarkStart w:id="1" w:name="_Hlk202260037"/>
      <w:r w:rsidRPr="0063010C">
        <w:rPr>
          <w:rFonts w:ascii="Times New Roman" w:hAnsi="Times New Roman" w:cs="Times New Roman"/>
          <w:b/>
        </w:rPr>
        <w:t>Indian perspective</w:t>
      </w:r>
    </w:p>
    <w:p w14:paraId="521B0349" w14:textId="77777777" w:rsidR="00B14379" w:rsidRPr="00882EC4" w:rsidRDefault="00B14379" w:rsidP="00B14379">
      <w:pPr>
        <w:spacing w:after="0" w:line="360" w:lineRule="auto"/>
        <w:jc w:val="both"/>
        <w:rPr>
          <w:rFonts w:ascii="Times New Roman" w:hAnsi="Times New Roman" w:cs="Times New Roman"/>
          <w:sz w:val="10"/>
          <w:szCs w:val="10"/>
        </w:rPr>
      </w:pPr>
    </w:p>
    <w:p w14:paraId="7159ED58" w14:textId="77777777" w:rsidR="00B14379" w:rsidRPr="0063010C" w:rsidRDefault="00B14379" w:rsidP="00B14379">
      <w:pPr>
        <w:spacing w:after="0" w:line="360" w:lineRule="auto"/>
        <w:jc w:val="both"/>
        <w:rPr>
          <w:rFonts w:ascii="Times New Roman" w:hAnsi="Times New Roman" w:cs="Times New Roman"/>
        </w:rPr>
      </w:pPr>
      <w:r>
        <w:rPr>
          <w:rFonts w:ascii="Times New Roman" w:hAnsi="Times New Roman" w:cs="Times New Roman"/>
        </w:rPr>
        <w:t xml:space="preserve">India has numerous domestic laws to protect and nurture children, yet millions still face serious violations of their rights. Children's conditions remain grim despite signing the UNCRC in 1992 and enacting various protective laws. The country continues to struggle with persistent issues such as child labour, child marriage, child trafficking, child abuse, drug addiction, mental health disorders, and malnutrition. These problems are like thorns, causing ongoing pain and demanding urgent action. In different social, economic, legal, and cultural contexts, children are the worst sufferers. Their hardships are endless; even in socio-economically prosperous and politically stable countries, full protection is not guaranteed. These core ideas about human rights weaken India's stance, as most socio-cultural mindsets do not align with child rights. </w:t>
      </w:r>
      <w:r w:rsidRPr="008936A5">
        <w:rPr>
          <w:rFonts w:ascii="Times New Roman" w:hAnsi="Times New Roman" w:cs="Times New Roman"/>
          <w:b/>
        </w:rPr>
        <w:t>Child poverty:</w:t>
      </w:r>
      <w:r>
        <w:rPr>
          <w:rFonts w:ascii="Times New Roman" w:hAnsi="Times New Roman" w:cs="Times New Roman"/>
        </w:rPr>
        <w:t xml:space="preserve"> UNICEF report titled, ‘The State of the World’s Children 2025: Ending Child Poverty – Our Shared Imperative,' states that despite India making rapid progress in reducing poverty and nearing the SDG goal of halving multidimensional poverty before the 2030 </w:t>
      </w:r>
      <w:r>
        <w:rPr>
          <w:rFonts w:ascii="Times New Roman" w:hAnsi="Times New Roman" w:cs="Times New Roman"/>
        </w:rPr>
        <w:lastRenderedPageBreak/>
        <w:t xml:space="preserve">deadline, 206 million children in the country lack six basic amenities such as education, health, nutrition, housing, clean water, and sanitation, which inevitably limit opportunities and affect their quality of life. The report highlighted that between 2013-14 and 2022-23, 248 million Indians escaped multidimensional poverty, with the poverty rate decreasing from 29.2% to 11.3%. Social protection coverage increased from 19% in 2015 to 64.3% in 2025. </w:t>
      </w:r>
      <w:r w:rsidRPr="00C62F7A">
        <w:rPr>
          <w:rFonts w:ascii="Times New Roman" w:hAnsi="Times New Roman" w:cs="Times New Roman"/>
          <w:b/>
        </w:rPr>
        <w:t>Child Labour scenario:</w:t>
      </w:r>
      <w:r>
        <w:rPr>
          <w:rFonts w:ascii="Times New Roman" w:hAnsi="Times New Roman" w:cs="Times New Roman"/>
        </w:rPr>
        <w:t xml:space="preserve"> Current statistics are alarming: In India, child labour is addressed by the Child Labour Act 1986 and the National Child Labour Project. It is estimated that over 10 million children in India are involved in activities such as carpet-weaving, beedi-rolling, domestic work, fireworks, agriculture, and apparel manufacturing, but are not enrolled in school. </w:t>
      </w:r>
      <w:r w:rsidRPr="00C62F7A">
        <w:rPr>
          <w:rFonts w:ascii="Times New Roman" w:hAnsi="Times New Roman" w:cs="Times New Roman"/>
          <w:b/>
        </w:rPr>
        <w:t>Child Begging:</w:t>
      </w:r>
      <w:r>
        <w:rPr>
          <w:rFonts w:ascii="Times New Roman" w:hAnsi="Times New Roman" w:cs="Times New Roman"/>
        </w:rPr>
        <w:t xml:space="preserve"> According to the National Human Rights Commission 2023-24 report, around 44,000 children are abducted each year in India; the real number could be higher. Of these, 11,000 remain untraced, many of whom are killed, some are forced into hazardous factories and illegal establishments. Others become victims of illegal adoption, unlawful organ transplants, or are forced into prostitution, sex slavery, pornography, and forced marriages. </w:t>
      </w:r>
      <w:r w:rsidRPr="00C62F7A">
        <w:rPr>
          <w:rFonts w:ascii="Times New Roman" w:hAnsi="Times New Roman" w:cs="Times New Roman"/>
          <w:b/>
        </w:rPr>
        <w:t>Child Marriage:</w:t>
      </w:r>
      <w:r>
        <w:rPr>
          <w:rFonts w:ascii="Times New Roman" w:hAnsi="Times New Roman" w:cs="Times New Roman"/>
        </w:rPr>
        <w:t xml:space="preserve"> NCRB 2024 data reveal that 16,737 girls and 129 boys were abducted for marriage in 2023. In 2022, 6,038 cases were filed under the Act compared to 1,002 in 2021. Other states with higher prevalence include Tamil Nadu (174), Karnataka (145), and West Bengal (118). </w:t>
      </w:r>
      <w:r w:rsidRPr="00C62F7A">
        <w:rPr>
          <w:rFonts w:ascii="Times New Roman" w:hAnsi="Times New Roman" w:cs="Times New Roman"/>
          <w:b/>
        </w:rPr>
        <w:t>Child sexual abuse:</w:t>
      </w:r>
      <w:r>
        <w:rPr>
          <w:rFonts w:ascii="Times New Roman" w:hAnsi="Times New Roman" w:cs="Times New Roman"/>
        </w:rPr>
        <w:t xml:space="preserve"> The data tabled in the Lok Sabha on 1st August 2025 reveal that Fast Track Special Courts (FTSCs), created to expedite justice in child sexual abuse and rape cases under the POCSO Act, face serious delays in disposing of cases. </w:t>
      </w:r>
      <w:r w:rsidRPr="00ED1EBE">
        <w:rPr>
          <w:rFonts w:ascii="Times New Roman" w:hAnsi="Times New Roman" w:cs="Times New Roman"/>
          <w:b/>
        </w:rPr>
        <w:t>Child mental health:</w:t>
      </w:r>
      <w:r>
        <w:rPr>
          <w:rFonts w:ascii="Times New Roman" w:hAnsi="Times New Roman" w:cs="Times New Roman"/>
        </w:rPr>
        <w:t xml:space="preserve"> According to the United Nations' 2024 data, India's population of 1.45 billion includes 436 million children, comprising 30% of the population in the 0-18 age group. The Global Burden of Disease 2021 reports that about 14% of adolescents in India, aged 11-19, experience mental health issues, with 13.4% of boys and 13.9% of girls affected. The National Mental Health Survey 2015-16 found that 7% of adolescents aged 13-17 require mental healthcare, meaning roughly 8 to 10 million adolescents need mental health support at any time. An Indian Meta-Analytical study on the prevalence of psychiatric disorders among children and adolescents reported that 6.46% of community children and 23.33% of school children and adolescents suffer from such disorders (Malhotra &amp; Patra, 2014). </w:t>
      </w:r>
      <w:r w:rsidRPr="00ED1EBE">
        <w:rPr>
          <w:rFonts w:ascii="Times New Roman" w:hAnsi="Times New Roman" w:cs="Times New Roman"/>
          <w:b/>
        </w:rPr>
        <w:t>Child Trafficking:</w:t>
      </w:r>
      <w:r>
        <w:rPr>
          <w:rFonts w:ascii="Times New Roman" w:hAnsi="Times New Roman" w:cs="Times New Roman"/>
        </w:rPr>
        <w:t xml:space="preserve"> According to a report by the Centre for Legal Action and Behaviour Change (C-LAB) in association with Justice Rights for Children Network 2024-25 - A staggering 53,651 children were rescued from child labour, trafficking, and kidnapping across India in the past year, with nearly 90% trapped in sectors classified as the worst forms of child labour. As per the National Crime Records Bureau (NCRB) 2024 data, almost eight children were trafficked every day in </w:t>
      </w:r>
      <w:r>
        <w:rPr>
          <w:rFonts w:ascii="Times New Roman" w:hAnsi="Times New Roman" w:cs="Times New Roman"/>
        </w:rPr>
        <w:lastRenderedPageBreak/>
        <w:t>2021. A total of 2,189 cases of human trafficking were lodged in 2021 compared to 1,714 in 2020, an uptick of 28%. Around 6,533 victims of trafficking have been reported in 2021, of which 2,877 are children, which constitutes 44%. Uttar Pradesh saw the trafficking of 267 children every year from 2016 to 2019, and 1,214 between 2021-22, followed by Bihar and Andhra Pradesh, making up the top three states where the maximum number of children were trafficked per year.</w:t>
      </w:r>
    </w:p>
    <w:p w14:paraId="21F34367" w14:textId="77777777" w:rsidR="00B14379" w:rsidRPr="00882EC4" w:rsidRDefault="00B14379" w:rsidP="00B14379">
      <w:pPr>
        <w:spacing w:after="0" w:line="360" w:lineRule="auto"/>
        <w:jc w:val="both"/>
        <w:rPr>
          <w:rFonts w:ascii="Times New Roman" w:hAnsi="Times New Roman" w:cs="Times New Roman"/>
          <w:sz w:val="10"/>
          <w:szCs w:val="10"/>
        </w:rPr>
      </w:pPr>
    </w:p>
    <w:p w14:paraId="0C6D98C5" w14:textId="77777777" w:rsidR="00B14379" w:rsidRPr="0063010C" w:rsidRDefault="00B14379" w:rsidP="00B14379">
      <w:pPr>
        <w:spacing w:after="0" w:line="360" w:lineRule="auto"/>
        <w:jc w:val="both"/>
        <w:rPr>
          <w:rFonts w:ascii="Times New Roman" w:hAnsi="Times New Roman" w:cs="Times New Roman"/>
          <w:b/>
        </w:rPr>
      </w:pPr>
      <w:bookmarkStart w:id="2" w:name="_Hlk225865522"/>
      <w:r w:rsidRPr="0063010C">
        <w:rPr>
          <w:rFonts w:ascii="Times New Roman" w:hAnsi="Times New Roman" w:cs="Times New Roman"/>
          <w:b/>
        </w:rPr>
        <w:t xml:space="preserve">Human Rights: Historical Context </w:t>
      </w:r>
    </w:p>
    <w:p w14:paraId="638A6294" w14:textId="77777777" w:rsidR="00B14379" w:rsidRPr="00882EC4" w:rsidRDefault="00B14379" w:rsidP="00B14379">
      <w:pPr>
        <w:spacing w:after="0" w:line="360" w:lineRule="auto"/>
        <w:jc w:val="both"/>
        <w:rPr>
          <w:rFonts w:ascii="Times New Roman" w:hAnsi="Times New Roman" w:cs="Times New Roman"/>
          <w:sz w:val="10"/>
          <w:szCs w:val="10"/>
        </w:rPr>
      </w:pPr>
    </w:p>
    <w:p w14:paraId="4EF4BDA1" w14:textId="77777777" w:rsidR="00B14379" w:rsidRPr="0063010C" w:rsidRDefault="00B14379" w:rsidP="00B14379">
      <w:pPr>
        <w:spacing w:after="0" w:line="360" w:lineRule="auto"/>
        <w:jc w:val="both"/>
        <w:rPr>
          <w:rFonts w:ascii="Times New Roman" w:hAnsi="Times New Roman" w:cs="Times New Roman"/>
        </w:rPr>
      </w:pPr>
      <w:r w:rsidRPr="0063010C">
        <w:rPr>
          <w:rFonts w:ascii="Times New Roman" w:hAnsi="Times New Roman" w:cs="Times New Roman"/>
        </w:rPr>
        <w:t>Considering its broad scope and importance, rights can be categorised as moral claims invoked based on law, establishing statutory guarantees that hold governments accountable within national legal systems. These rights include civil, political, socio-economic, and collective rights. The prevailing narrative suggests that the American Declaration of Independence and the French Declaration of the Rights of Man and of the Citizen are two key documents that institutionalised the concept of human rights within their respective national practices in the 18th century (Villon, 2009). During this period, the expanding role of the state and the rapid pace of globalisation further influenced perspectives on human rights. International institutions that once supported egregious human rights violations, such as slavery, are now dedicated to protecting citizens. In 1919, the International Labour Organisation set a precedent by proposing a standard human right and committing to safeguarding workers' rights in an industrial society. Following World War I, many attempts were made to establish an international standard for human rights; however, the looming shadow of World War II hindered these efforts. In response, the United Nations was created with a global commitment to anti-war measures and the preservation of peace. In 1948, under the UN Commission for Human Rights, the United Nations Declaration of Human Rights (UDHR) was adopted. Consequently, after World War II, various regional organisations emerged to improve the human condition. In 1949, the Council of Europe introduced a treaty known as the European Convention on Human Rights and Fundamental Freedoms. Likewise, in 1948, the Organisation of American States adopted the American Convention on Human Rights, followed by the Organisation of African Unity in 1963, established to uphold the rule of law and prevent war-like events from adversely affecting children’s rights and environments. Recently, we have observed that Africa has established several subregional committees to oversee rights issues at a regional level. The trajectory of human rights history indicates that the increasing violations during World War II led to the creation of global peace-promoting institutions, such as the United Nations and the UDHR. The UN and subcommittees</w:t>
      </w:r>
      <w:r>
        <w:rPr>
          <w:rFonts w:ascii="Times New Roman" w:hAnsi="Times New Roman" w:cs="Times New Roman"/>
        </w:rPr>
        <w:t xml:space="preserve"> </w:t>
      </w:r>
      <w:r w:rsidRPr="0063010C">
        <w:rPr>
          <w:rFonts w:ascii="Times New Roman" w:hAnsi="Times New Roman" w:cs="Times New Roman"/>
        </w:rPr>
        <w:t xml:space="preserve">like the Council of Europe have proven to be vital institutions </w:t>
      </w:r>
      <w:r w:rsidRPr="0063010C">
        <w:rPr>
          <w:rFonts w:ascii="Times New Roman" w:hAnsi="Times New Roman" w:cs="Times New Roman"/>
        </w:rPr>
        <w:lastRenderedPageBreak/>
        <w:t xml:space="preserve">concerning human rights. Esteemed organisations, such as the European Union, the United Nations system, the World Trade Organisation, the North American Free Trade Agreement (NAFTA), MERCOSUR, international environmental agreements, and the international human rights system, function as a global governance regime. (Nickel, 2002, p. 353).  </w:t>
      </w:r>
    </w:p>
    <w:bookmarkEnd w:id="1"/>
    <w:bookmarkEnd w:id="2"/>
    <w:p w14:paraId="1E1B989D" w14:textId="77777777" w:rsidR="00B14379" w:rsidRPr="00F12FA5" w:rsidRDefault="00B14379" w:rsidP="00B14379">
      <w:pPr>
        <w:rPr>
          <w:rFonts w:ascii="Times New Roman" w:hAnsi="Times New Roman" w:cs="Times New Roman"/>
          <w:sz w:val="14"/>
          <w:szCs w:val="14"/>
        </w:rPr>
      </w:pPr>
    </w:p>
    <w:p w14:paraId="3B4AF559" w14:textId="77777777" w:rsidR="00B14379" w:rsidRPr="00B14379" w:rsidRDefault="00B14379" w:rsidP="00B14379">
      <w:pPr>
        <w:rPr>
          <w:rFonts w:ascii="Times New Roman" w:hAnsi="Times New Roman" w:cs="Times New Roman"/>
          <w:b/>
        </w:rPr>
      </w:pPr>
      <w:r w:rsidRPr="00B14379">
        <w:rPr>
          <w:rFonts w:ascii="Times New Roman" w:hAnsi="Times New Roman" w:cs="Times New Roman"/>
          <w:b/>
        </w:rPr>
        <w:t>International framework on child rights</w:t>
      </w:r>
    </w:p>
    <w:p w14:paraId="45B32DA6" w14:textId="77777777" w:rsidR="00B14379" w:rsidRPr="00F12FA5" w:rsidRDefault="00B14379" w:rsidP="00B14379">
      <w:pPr>
        <w:rPr>
          <w:rFonts w:ascii="Times New Roman" w:hAnsi="Times New Roman" w:cs="Times New Roman"/>
          <w:sz w:val="14"/>
          <w:szCs w:val="14"/>
        </w:rPr>
      </w:pPr>
    </w:p>
    <w:p w14:paraId="05EB1CBD" w14:textId="77777777" w:rsidR="00B14379" w:rsidRPr="00B14379" w:rsidRDefault="00B14379" w:rsidP="00B14379">
      <w:pPr>
        <w:spacing w:after="0" w:line="360" w:lineRule="auto"/>
        <w:jc w:val="both"/>
        <w:rPr>
          <w:rFonts w:ascii="Times New Roman" w:hAnsi="Times New Roman" w:cs="Times New Roman"/>
        </w:rPr>
      </w:pPr>
      <w:r w:rsidRPr="00B14379">
        <w:rPr>
          <w:rFonts w:ascii="Times New Roman" w:hAnsi="Times New Roman" w:cs="Times New Roman"/>
        </w:rPr>
        <w:t>The United Nations Convention on the Rights of the Child (UNCRC), adopted on November 20, 1989, is a globally recognised legal instrument that defines the civil, social, economic, political, and cultural rights of every child, regardless of their race, religion, ethnicity, nationality, or abilities. This internationally accepted legal framework, consisting of 54 articles, outlines the rights and measures that should be available to children. All UN member states have ratified this framework, except for the US. The Convention obliges all member states to ensure these rights are accessible to children for their overall development within a supportive environment. It applies to both boys and girls up to 18 years of age, regardless of whether they are married or have their own children. The Convention is guided by three core principles: ‘Best interests of the child and non-discrimination’ and ‘Respect for the opinions or views of children.’ It emphasises the importance of family and the need to create an environment that fosters healthy growth and holistic development for every child. Furthermore, it mandates that states respect and guarantee fair and equitable treatment of children. The General Assembly adopted the Convention on the Rights of the Child on 20</w:t>
      </w:r>
      <w:r w:rsidRPr="00B14379">
        <w:rPr>
          <w:rFonts w:ascii="Times New Roman" w:hAnsi="Times New Roman" w:cs="Times New Roman"/>
          <w:vertAlign w:val="superscript"/>
        </w:rPr>
        <w:t>th</w:t>
      </w:r>
      <w:r w:rsidRPr="00B14379">
        <w:rPr>
          <w:rFonts w:ascii="Times New Roman" w:hAnsi="Times New Roman" w:cs="Times New Roman"/>
        </w:rPr>
        <w:t xml:space="preserve"> November 1989, which is founded on four key substantive standards that serve as the basis for the legal rules within it, as follows:</w:t>
      </w:r>
    </w:p>
    <w:p w14:paraId="27BA3390" w14:textId="77777777" w:rsidR="00B14379" w:rsidRPr="00882EC4" w:rsidRDefault="00B14379" w:rsidP="00B14379">
      <w:pPr>
        <w:spacing w:after="0" w:line="360" w:lineRule="auto"/>
        <w:jc w:val="both"/>
        <w:rPr>
          <w:rFonts w:ascii="Times New Roman" w:hAnsi="Times New Roman" w:cs="Times New Roman"/>
          <w:sz w:val="10"/>
          <w:szCs w:val="10"/>
        </w:rPr>
      </w:pPr>
    </w:p>
    <w:p w14:paraId="2D58D7EE"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b/>
        </w:rPr>
        <w:t>Prohibition of Discrimination:</w:t>
      </w:r>
      <w:r w:rsidRPr="00B14379">
        <w:rPr>
          <w:rFonts w:ascii="Times New Roman" w:hAnsi="Times New Roman" w:cs="Times New Roman"/>
        </w:rPr>
        <w:t xml:space="preserve"> In Article 2, the state non-discriminatorily respects and ensures rights enshrined in the Convention for every child;</w:t>
      </w:r>
    </w:p>
    <w:p w14:paraId="44609D47"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rPr>
        <w:t xml:space="preserve">It is essential to promote children’s interests in all activities related to them.  </w:t>
      </w:r>
    </w:p>
    <w:p w14:paraId="497E8223"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rPr>
        <w:t>The right to survival and development of the child is fundamentally important</w:t>
      </w:r>
    </w:p>
    <w:p w14:paraId="15534E49" w14:textId="77777777" w:rsidR="00B14379" w:rsidRPr="00B14379" w:rsidRDefault="00B14379" w:rsidP="00B14379">
      <w:pPr>
        <w:pStyle w:val="ListParagraph"/>
        <w:numPr>
          <w:ilvl w:val="0"/>
          <w:numId w:val="1"/>
        </w:numPr>
        <w:spacing w:after="0" w:line="360" w:lineRule="auto"/>
        <w:jc w:val="both"/>
        <w:rPr>
          <w:rFonts w:ascii="Times New Roman" w:hAnsi="Times New Roman" w:cs="Times New Roman"/>
        </w:rPr>
      </w:pPr>
      <w:r w:rsidRPr="00B14379">
        <w:rPr>
          <w:rFonts w:ascii="Times New Roman" w:hAnsi="Times New Roman" w:cs="Times New Roman"/>
        </w:rPr>
        <w:t>A child's opinions and expressions must be acknowledged and receive due attention.</w:t>
      </w:r>
    </w:p>
    <w:p w14:paraId="37EF0AA1" w14:textId="77777777" w:rsidR="00B14379" w:rsidRPr="00882EC4" w:rsidRDefault="00B14379" w:rsidP="00B14379">
      <w:pPr>
        <w:spacing w:after="0" w:line="360" w:lineRule="auto"/>
        <w:jc w:val="both"/>
        <w:rPr>
          <w:rFonts w:ascii="Times New Roman" w:hAnsi="Times New Roman" w:cs="Times New Roman"/>
          <w:sz w:val="10"/>
          <w:szCs w:val="10"/>
        </w:rPr>
      </w:pPr>
    </w:p>
    <w:p w14:paraId="6877A099" w14:textId="77777777" w:rsidR="00B14379" w:rsidRPr="00B14379" w:rsidRDefault="00B14379" w:rsidP="00B14379">
      <w:pPr>
        <w:spacing w:after="0" w:line="360" w:lineRule="auto"/>
        <w:jc w:val="both"/>
        <w:rPr>
          <w:rFonts w:ascii="Times New Roman" w:hAnsi="Times New Roman" w:cs="Times New Roman"/>
        </w:rPr>
      </w:pPr>
      <w:r w:rsidRPr="00B14379">
        <w:rPr>
          <w:rFonts w:ascii="Times New Roman" w:hAnsi="Times New Roman" w:cs="Times New Roman"/>
        </w:rPr>
        <w:t xml:space="preserve">The Convention consists of three components: Substantive norms that define children's rights, provisions for establishing a committee on children's rights to oversee its implementation, and clauses that ensure validity, ratification, and accession, among other things. Officially, India ratified the UNCRC on 11 December 1992. The mandatory alignment of domestic laws with international norms necessitates unhindered implementation, reform, and enforcement to make the rights (evolved by the UNCRC) a reality for every child in India. Likewise, the commitment </w:t>
      </w:r>
      <w:r w:rsidRPr="00B14379">
        <w:rPr>
          <w:rFonts w:ascii="Times New Roman" w:hAnsi="Times New Roman" w:cs="Times New Roman"/>
        </w:rPr>
        <w:lastRenderedPageBreak/>
        <w:t xml:space="preserve">on the part of the states involves continuous reporting to the Committee on the Rights of the Child, which monitors implementation of the UNCRC globally. However, it has been apparent that in India, the implementation of such legislation is uncertain, for the system is fraught with inconsistencies that need to be addressed. </w:t>
      </w:r>
    </w:p>
    <w:p w14:paraId="5058ECD1" w14:textId="77777777" w:rsidR="00B14379" w:rsidRPr="00882EC4" w:rsidRDefault="00B14379" w:rsidP="00B14379">
      <w:pPr>
        <w:rPr>
          <w:rFonts w:ascii="Times New Roman" w:hAnsi="Times New Roman" w:cs="Times New Roman"/>
          <w:sz w:val="10"/>
          <w:szCs w:val="10"/>
        </w:rPr>
      </w:pPr>
    </w:p>
    <w:p w14:paraId="036613C2" w14:textId="77777777" w:rsidR="00F12FA5" w:rsidRPr="00F12FA5" w:rsidRDefault="00F12FA5" w:rsidP="00F12FA5">
      <w:pPr>
        <w:spacing w:after="0" w:line="360" w:lineRule="auto"/>
        <w:jc w:val="both"/>
        <w:rPr>
          <w:rFonts w:ascii="Times New Roman" w:hAnsi="Times New Roman" w:cs="Times New Roman"/>
          <w:b/>
        </w:rPr>
      </w:pPr>
      <w:bookmarkStart w:id="3" w:name="_Hlk225865584"/>
      <w:r w:rsidRPr="00F12FA5">
        <w:rPr>
          <w:rFonts w:ascii="Times New Roman" w:hAnsi="Times New Roman" w:cs="Times New Roman"/>
          <w:b/>
        </w:rPr>
        <w:t>Child Rights provisions under the Indian Constitution</w:t>
      </w:r>
    </w:p>
    <w:p w14:paraId="7E10A202" w14:textId="77777777" w:rsidR="00F12FA5" w:rsidRPr="00882EC4" w:rsidRDefault="00F12FA5" w:rsidP="00F12FA5">
      <w:pPr>
        <w:spacing w:after="0" w:line="360" w:lineRule="auto"/>
        <w:jc w:val="both"/>
        <w:rPr>
          <w:rFonts w:ascii="Times New Roman" w:hAnsi="Times New Roman" w:cs="Times New Roman"/>
          <w:b/>
          <w:sz w:val="10"/>
          <w:szCs w:val="10"/>
        </w:rPr>
      </w:pPr>
    </w:p>
    <w:p w14:paraId="5F243131"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 xml:space="preserve">Juvenile Justice (Care and Protection of Children) Act, 2015 </w:t>
      </w:r>
    </w:p>
    <w:p w14:paraId="0A80186B"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Child and Adolescent Labour (Prohibition and Regulation) Act of 1986</w:t>
      </w:r>
    </w:p>
    <w:p w14:paraId="6F357EC2"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Child Labour (Prohibition and Regulation) Amendment Act, 2016 (CLPRA)</w:t>
      </w:r>
    </w:p>
    <w:p w14:paraId="724CDA06" w14:textId="77777777" w:rsidR="00F12FA5" w:rsidRPr="00F12FA5" w:rsidRDefault="00F12FA5" w:rsidP="00F12FA5">
      <w:pPr>
        <w:pStyle w:val="ListParagraph"/>
        <w:numPr>
          <w:ilvl w:val="0"/>
          <w:numId w:val="3"/>
        </w:numPr>
        <w:spacing w:after="0" w:line="360" w:lineRule="auto"/>
        <w:ind w:left="0"/>
        <w:jc w:val="both"/>
        <w:rPr>
          <w:rFonts w:ascii="Times New Roman" w:hAnsi="Times New Roman" w:cs="Times New Roman"/>
          <w:b/>
          <w:bCs/>
        </w:rPr>
      </w:pPr>
      <w:r w:rsidRPr="00F12FA5">
        <w:rPr>
          <w:rFonts w:ascii="Times New Roman" w:hAnsi="Times New Roman" w:cs="Times New Roman"/>
          <w:b/>
          <w:bCs/>
        </w:rPr>
        <w:t>Bonded Labour System (Abolition) Act of 1976</w:t>
      </w:r>
    </w:p>
    <w:p w14:paraId="09551AA2" w14:textId="77777777" w:rsidR="00F12FA5" w:rsidRPr="00BF2402" w:rsidRDefault="00F12FA5" w:rsidP="00F12FA5">
      <w:pPr>
        <w:tabs>
          <w:tab w:val="left" w:pos="6010"/>
        </w:tabs>
        <w:spacing w:after="0" w:line="360" w:lineRule="auto"/>
        <w:jc w:val="both"/>
        <w:rPr>
          <w:rFonts w:ascii="Times New Roman" w:hAnsi="Times New Roman" w:cs="Times New Roman"/>
          <w:sz w:val="10"/>
          <w:szCs w:val="10"/>
        </w:rPr>
      </w:pPr>
    </w:p>
    <w:p w14:paraId="20EB7579" w14:textId="77777777" w:rsidR="00F12FA5" w:rsidRPr="00F12FA5" w:rsidRDefault="00F12FA5" w:rsidP="00F12FA5">
      <w:pPr>
        <w:tabs>
          <w:tab w:val="left" w:pos="6010"/>
        </w:tabs>
        <w:spacing w:after="0" w:line="360" w:lineRule="auto"/>
        <w:jc w:val="both"/>
        <w:rPr>
          <w:rFonts w:ascii="Times New Roman" w:hAnsi="Times New Roman" w:cs="Times New Roman"/>
          <w:b/>
        </w:rPr>
      </w:pPr>
      <w:r w:rsidRPr="00F12FA5">
        <w:rPr>
          <w:rFonts w:ascii="Times New Roman" w:hAnsi="Times New Roman" w:cs="Times New Roman"/>
        </w:rPr>
        <w:t>The articles stated below ensure education, social security, religious rights, and economic rights</w:t>
      </w:r>
    </w:p>
    <w:p w14:paraId="0406546A" w14:textId="57DCC312" w:rsidR="00F12FA5" w:rsidRPr="00F12FA5" w:rsidRDefault="00D207DE" w:rsidP="00F12FA5">
      <w:pPr>
        <w:spacing w:after="0" w:line="360" w:lineRule="auto"/>
        <w:jc w:val="both"/>
        <w:rPr>
          <w:rFonts w:ascii="Times New Roman" w:hAnsi="Times New Roman" w:cs="Times New Roman"/>
        </w:rPr>
      </w:pPr>
      <w:r>
        <w:rPr>
          <w:rFonts w:ascii="Times New Roman" w:hAnsi="Times New Roman" w:cs="Times New Roman"/>
          <w:b/>
        </w:rPr>
        <w:t>a.</w:t>
      </w:r>
      <w:r w:rsidR="00F12FA5" w:rsidRPr="00F12FA5">
        <w:rPr>
          <w:rFonts w:ascii="Times New Roman" w:hAnsi="Times New Roman" w:cs="Times New Roman"/>
          <w:b/>
        </w:rPr>
        <w:t xml:space="preserve"> Article 21: </w:t>
      </w:r>
      <w:r>
        <w:rPr>
          <w:rFonts w:ascii="Times New Roman" w:hAnsi="Times New Roman" w:cs="Times New Roman"/>
        </w:rPr>
        <w:t xml:space="preserve">Ensures </w:t>
      </w:r>
      <w:r w:rsidR="00F12FA5" w:rsidRPr="00F12FA5">
        <w:rPr>
          <w:rFonts w:ascii="Times New Roman" w:hAnsi="Times New Roman" w:cs="Times New Roman"/>
        </w:rPr>
        <w:t>the right to life and personal liberty.</w:t>
      </w:r>
    </w:p>
    <w:p w14:paraId="01E1157E"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d. Article 29: </w:t>
      </w:r>
      <w:r w:rsidRPr="00F12FA5">
        <w:rPr>
          <w:rFonts w:ascii="Times New Roman" w:hAnsi="Times New Roman" w:cs="Times New Roman"/>
        </w:rPr>
        <w:t>Religion, race, caste, language, etc., cannot be a reason for refusing admission.</w:t>
      </w:r>
    </w:p>
    <w:p w14:paraId="330231FB" w14:textId="0F5CC513"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e. Article 30: </w:t>
      </w:r>
      <w:r w:rsidR="00D207DE">
        <w:rPr>
          <w:rFonts w:ascii="Times New Roman" w:hAnsi="Times New Roman" w:cs="Times New Roman"/>
        </w:rPr>
        <w:t xml:space="preserve">Guarantees minorities’ </w:t>
      </w:r>
      <w:r w:rsidRPr="00F12FA5">
        <w:rPr>
          <w:rFonts w:ascii="Times New Roman" w:hAnsi="Times New Roman" w:cs="Times New Roman"/>
        </w:rPr>
        <w:t xml:space="preserve">right to </w:t>
      </w:r>
      <w:r w:rsidR="00D207DE">
        <w:rPr>
          <w:rFonts w:ascii="Times New Roman" w:hAnsi="Times New Roman" w:cs="Times New Roman"/>
        </w:rPr>
        <w:t xml:space="preserve">establish </w:t>
      </w:r>
      <w:r w:rsidRPr="00F12FA5">
        <w:rPr>
          <w:rFonts w:ascii="Times New Roman" w:hAnsi="Times New Roman" w:cs="Times New Roman"/>
        </w:rPr>
        <w:t xml:space="preserve">and </w:t>
      </w:r>
      <w:r w:rsidR="00D207DE">
        <w:rPr>
          <w:rFonts w:ascii="Times New Roman" w:hAnsi="Times New Roman" w:cs="Times New Roman"/>
        </w:rPr>
        <w:t xml:space="preserve">run the </w:t>
      </w:r>
      <w:r w:rsidRPr="00F12FA5">
        <w:rPr>
          <w:rFonts w:ascii="Times New Roman" w:hAnsi="Times New Roman" w:cs="Times New Roman"/>
        </w:rPr>
        <w:t>educational institutions.</w:t>
      </w:r>
    </w:p>
    <w:p w14:paraId="76442E4B"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f. Article 39: S</w:t>
      </w:r>
      <w:r w:rsidRPr="00F12FA5">
        <w:rPr>
          <w:rFonts w:ascii="Times New Roman" w:hAnsi="Times New Roman" w:cs="Times New Roman"/>
        </w:rPr>
        <w:t>tates that policies should prevent child abuse driven by any economic necessity.</w:t>
      </w:r>
    </w:p>
    <w:p w14:paraId="30B0E85C"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g. Article 39(f): </w:t>
      </w:r>
      <w:r w:rsidRPr="00F12FA5">
        <w:rPr>
          <w:rFonts w:ascii="Times New Roman" w:hAnsi="Times New Roman" w:cs="Times New Roman"/>
        </w:rPr>
        <w:t xml:space="preserve">Ensures children receive opportunities and facilities to develop healthily. </w:t>
      </w:r>
    </w:p>
    <w:p w14:paraId="0DCEE7AB"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h. Article 45: </w:t>
      </w:r>
      <w:r w:rsidRPr="00F12FA5">
        <w:rPr>
          <w:rFonts w:ascii="Times New Roman" w:hAnsi="Times New Roman" w:cs="Times New Roman"/>
        </w:rPr>
        <w:t>Addresses early childhood care and education under the age of 6 years.</w:t>
      </w:r>
    </w:p>
    <w:p w14:paraId="559A4138" w14:textId="77777777" w:rsidR="00F12FA5" w:rsidRPr="00BF2402" w:rsidRDefault="00F12FA5" w:rsidP="00F12FA5">
      <w:pPr>
        <w:spacing w:after="0" w:line="360" w:lineRule="auto"/>
        <w:jc w:val="both"/>
        <w:rPr>
          <w:rFonts w:ascii="Times New Roman" w:hAnsi="Times New Roman" w:cs="Times New Roman"/>
          <w:b/>
          <w:bCs/>
          <w:sz w:val="10"/>
          <w:szCs w:val="10"/>
        </w:rPr>
      </w:pPr>
    </w:p>
    <w:p w14:paraId="19C4E0BB"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Indian Majority Act, 1875</w:t>
      </w:r>
    </w:p>
    <w:p w14:paraId="30EE222D" w14:textId="77777777" w:rsidR="00F12FA5" w:rsidRPr="00BF2402" w:rsidRDefault="00F12FA5" w:rsidP="00F12FA5">
      <w:pPr>
        <w:spacing w:after="0" w:line="360" w:lineRule="auto"/>
        <w:jc w:val="both"/>
        <w:rPr>
          <w:rFonts w:ascii="Times New Roman" w:hAnsi="Times New Roman" w:cs="Times New Roman"/>
          <w:b/>
          <w:bCs/>
          <w:sz w:val="10"/>
          <w:szCs w:val="10"/>
        </w:rPr>
      </w:pPr>
    </w:p>
    <w:p w14:paraId="3AA1F3B0"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bCs/>
        </w:rPr>
        <w:t xml:space="preserve">A. Section 3(1): An </w:t>
      </w:r>
      <w:r w:rsidRPr="00F12FA5">
        <w:rPr>
          <w:rFonts w:ascii="Times New Roman" w:hAnsi="Times New Roman" w:cs="Times New Roman"/>
          <w:bCs/>
        </w:rPr>
        <w:t>Indian shall attain the age of majority on completing 18 years, not before.</w:t>
      </w:r>
    </w:p>
    <w:p w14:paraId="720E6A85" w14:textId="05B36B82" w:rsidR="00F12FA5" w:rsidRPr="00BF2402" w:rsidRDefault="00F12FA5" w:rsidP="00F12FA5">
      <w:pPr>
        <w:spacing w:after="0" w:line="360" w:lineRule="auto"/>
        <w:jc w:val="both"/>
        <w:rPr>
          <w:rFonts w:ascii="Times New Roman" w:hAnsi="Times New Roman" w:cs="Times New Roman"/>
          <w:b/>
          <w:bCs/>
          <w:sz w:val="10"/>
          <w:szCs w:val="10"/>
        </w:rPr>
      </w:pPr>
    </w:p>
    <w:p w14:paraId="2E196A60"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Right of Children to Free and Compulsory Education Act (RTE), 2009</w:t>
      </w:r>
    </w:p>
    <w:p w14:paraId="2012BAAC" w14:textId="77777777" w:rsidR="00F12FA5" w:rsidRPr="00BF2402" w:rsidRDefault="00F12FA5" w:rsidP="00F12FA5">
      <w:pPr>
        <w:spacing w:after="0" w:line="360" w:lineRule="auto"/>
        <w:jc w:val="both"/>
        <w:rPr>
          <w:rFonts w:ascii="Times New Roman" w:hAnsi="Times New Roman" w:cs="Times New Roman"/>
          <w:b/>
          <w:sz w:val="10"/>
          <w:szCs w:val="10"/>
        </w:rPr>
      </w:pPr>
    </w:p>
    <w:p w14:paraId="09900B24" w14:textId="77777777" w:rsidR="00F12FA5" w:rsidRPr="00F12FA5" w:rsidRDefault="00F12FA5" w:rsidP="00F12FA5">
      <w:pPr>
        <w:spacing w:after="0" w:line="360" w:lineRule="auto"/>
        <w:jc w:val="both"/>
        <w:rPr>
          <w:rFonts w:ascii="Times New Roman" w:hAnsi="Times New Roman" w:cs="Times New Roman"/>
          <w:b/>
        </w:rPr>
      </w:pPr>
      <w:r w:rsidRPr="00F12FA5">
        <w:rPr>
          <w:rFonts w:ascii="Times New Roman" w:hAnsi="Times New Roman" w:cs="Times New Roman"/>
          <w:b/>
        </w:rPr>
        <w:t xml:space="preserve">a. </w:t>
      </w:r>
      <w:r w:rsidRPr="00F12FA5">
        <w:rPr>
          <w:rFonts w:ascii="Times New Roman" w:hAnsi="Times New Roman" w:cs="Times New Roman"/>
          <w:b/>
          <w:bCs/>
        </w:rPr>
        <w:t xml:space="preserve">Article 23: </w:t>
      </w:r>
      <w:r w:rsidRPr="00F12FA5">
        <w:rPr>
          <w:rFonts w:ascii="Times New Roman" w:hAnsi="Times New Roman" w:cs="Times New Roman"/>
          <w:bCs/>
        </w:rPr>
        <w:t>Prohibits trafficking in human beings and forced labour.</w:t>
      </w:r>
    </w:p>
    <w:p w14:paraId="76080F75"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b. </w:t>
      </w:r>
      <w:r w:rsidRPr="00F12FA5">
        <w:rPr>
          <w:rFonts w:ascii="Times New Roman" w:hAnsi="Times New Roman" w:cs="Times New Roman"/>
          <w:b/>
          <w:bCs/>
        </w:rPr>
        <w:t xml:space="preserve">Article 39: </w:t>
      </w:r>
      <w:r w:rsidRPr="00F12FA5">
        <w:rPr>
          <w:rFonts w:ascii="Times New Roman" w:hAnsi="Times New Roman" w:cs="Times New Roman"/>
          <w:bCs/>
        </w:rPr>
        <w:t>States that the tender age of children is not to be abused.</w:t>
      </w:r>
    </w:p>
    <w:p w14:paraId="2E46023A" w14:textId="77777777"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rPr>
        <w:t xml:space="preserve">c. </w:t>
      </w:r>
      <w:r w:rsidRPr="00F12FA5">
        <w:rPr>
          <w:rFonts w:ascii="Times New Roman" w:hAnsi="Times New Roman" w:cs="Times New Roman"/>
          <w:b/>
          <w:bCs/>
        </w:rPr>
        <w:t xml:space="preserve">Article 39(f): </w:t>
      </w:r>
      <w:r w:rsidRPr="00F12FA5">
        <w:rPr>
          <w:rFonts w:ascii="Times New Roman" w:hAnsi="Times New Roman" w:cs="Times New Roman"/>
          <w:bCs/>
        </w:rPr>
        <w:t xml:space="preserve">Guarantees opportunities and facilities for children to develop healthily. </w:t>
      </w:r>
    </w:p>
    <w:p w14:paraId="4ED03553" w14:textId="77777777" w:rsidR="00F12FA5" w:rsidRPr="00BF2402" w:rsidRDefault="00F12FA5" w:rsidP="00F12FA5">
      <w:pPr>
        <w:spacing w:after="0" w:line="360" w:lineRule="auto"/>
        <w:jc w:val="both"/>
        <w:rPr>
          <w:rFonts w:ascii="Times New Roman" w:hAnsi="Times New Roman" w:cs="Times New Roman"/>
          <w:b/>
          <w:bCs/>
          <w:sz w:val="10"/>
          <w:szCs w:val="10"/>
        </w:rPr>
      </w:pPr>
    </w:p>
    <w:p w14:paraId="249A8B38"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b/>
          <w:bCs/>
        </w:rPr>
      </w:pPr>
      <w:r w:rsidRPr="00F12FA5">
        <w:rPr>
          <w:rFonts w:ascii="Times New Roman" w:hAnsi="Times New Roman" w:cs="Times New Roman"/>
          <w:b/>
          <w:bCs/>
        </w:rPr>
        <w:t>The Prohibition of Child Marriage Act, 2006</w:t>
      </w:r>
    </w:p>
    <w:p w14:paraId="57DBA38E" w14:textId="77777777" w:rsidR="00F12FA5" w:rsidRPr="00BF2402" w:rsidRDefault="00F12FA5" w:rsidP="00F12FA5">
      <w:pPr>
        <w:spacing w:after="0" w:line="360" w:lineRule="auto"/>
        <w:jc w:val="both"/>
        <w:rPr>
          <w:rFonts w:ascii="Times New Roman" w:hAnsi="Times New Roman" w:cs="Times New Roman"/>
          <w:b/>
          <w:bCs/>
          <w:sz w:val="10"/>
          <w:szCs w:val="10"/>
        </w:rPr>
      </w:pPr>
    </w:p>
    <w:p w14:paraId="201E71FA" w14:textId="4C38562C" w:rsidR="00F12FA5" w:rsidRPr="00F12FA5" w:rsidRDefault="00F12FA5" w:rsidP="00F12FA5">
      <w:pPr>
        <w:spacing w:after="0" w:line="360" w:lineRule="auto"/>
        <w:jc w:val="both"/>
        <w:rPr>
          <w:rFonts w:ascii="Times New Roman" w:hAnsi="Times New Roman" w:cs="Times New Roman"/>
        </w:rPr>
      </w:pPr>
      <w:r w:rsidRPr="00F12FA5">
        <w:rPr>
          <w:rFonts w:ascii="Times New Roman" w:hAnsi="Times New Roman" w:cs="Times New Roman"/>
          <w:b/>
          <w:bCs/>
        </w:rPr>
        <w:t xml:space="preserve">Section 12: </w:t>
      </w:r>
      <w:r w:rsidRPr="00F12FA5">
        <w:rPr>
          <w:rFonts w:ascii="Times New Roman" w:hAnsi="Times New Roman" w:cs="Times New Roman"/>
          <w:bCs/>
        </w:rPr>
        <w:t xml:space="preserve">On </w:t>
      </w:r>
      <w:r w:rsidR="000D2A08">
        <w:rPr>
          <w:rFonts w:ascii="Times New Roman" w:hAnsi="Times New Roman" w:cs="Times New Roman"/>
          <w:bCs/>
        </w:rPr>
        <w:t xml:space="preserve">the </w:t>
      </w:r>
      <w:r w:rsidRPr="00F12FA5">
        <w:rPr>
          <w:rFonts w:ascii="Times New Roman" w:hAnsi="Times New Roman" w:cs="Times New Roman"/>
          <w:bCs/>
        </w:rPr>
        <w:t>sale of children for early marriage</w:t>
      </w:r>
      <w:r w:rsidR="000D2A08">
        <w:rPr>
          <w:rFonts w:ascii="Times New Roman" w:hAnsi="Times New Roman" w:cs="Times New Roman"/>
          <w:bCs/>
        </w:rPr>
        <w:t>,</w:t>
      </w:r>
      <w:r w:rsidRPr="00F12FA5">
        <w:rPr>
          <w:rFonts w:ascii="Times New Roman" w:hAnsi="Times New Roman" w:cs="Times New Roman"/>
          <w:bCs/>
        </w:rPr>
        <w:t xml:space="preserve"> it shall be regarded as null and void.</w:t>
      </w:r>
    </w:p>
    <w:p w14:paraId="4B07532B" w14:textId="77777777" w:rsidR="00F12FA5" w:rsidRPr="00BF2402" w:rsidRDefault="00F12FA5" w:rsidP="00F12FA5">
      <w:pPr>
        <w:spacing w:after="0" w:line="360" w:lineRule="auto"/>
        <w:jc w:val="both"/>
        <w:rPr>
          <w:rFonts w:ascii="Times New Roman" w:hAnsi="Times New Roman" w:cs="Times New Roman"/>
          <w:sz w:val="10"/>
          <w:szCs w:val="10"/>
        </w:rPr>
      </w:pPr>
    </w:p>
    <w:p w14:paraId="730E802B"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rPr>
      </w:pPr>
      <w:r w:rsidRPr="00F12FA5">
        <w:rPr>
          <w:rFonts w:ascii="Times New Roman" w:hAnsi="Times New Roman" w:cs="Times New Roman"/>
          <w:b/>
          <w:bCs/>
        </w:rPr>
        <w:t>The Protection of Children from Sexual Offences (POCSO) Act, 2012,</w:t>
      </w:r>
      <w:r w:rsidRPr="00F12FA5">
        <w:rPr>
          <w:rFonts w:ascii="Times New Roman" w:hAnsi="Times New Roman" w:cs="Times New Roman"/>
          <w:bCs/>
        </w:rPr>
        <w:t xml:space="preserve"> is a special law that exclusively addresses sexual offences against children (boys, girls, 3</w:t>
      </w:r>
      <w:r w:rsidRPr="00F12FA5">
        <w:rPr>
          <w:rFonts w:ascii="Times New Roman" w:hAnsi="Times New Roman" w:cs="Times New Roman"/>
          <w:bCs/>
          <w:vertAlign w:val="superscript"/>
        </w:rPr>
        <w:t>rd</w:t>
      </w:r>
      <w:r w:rsidRPr="00F12FA5">
        <w:rPr>
          <w:rFonts w:ascii="Times New Roman" w:hAnsi="Times New Roman" w:cs="Times New Roman"/>
          <w:bCs/>
        </w:rPr>
        <w:t xml:space="preserve"> gender).</w:t>
      </w:r>
    </w:p>
    <w:p w14:paraId="0E57F2E0" w14:textId="77777777" w:rsidR="00F12FA5" w:rsidRPr="00BF2402" w:rsidRDefault="00F12FA5" w:rsidP="00F12FA5">
      <w:pPr>
        <w:spacing w:after="0" w:line="360" w:lineRule="auto"/>
        <w:jc w:val="both"/>
        <w:rPr>
          <w:rFonts w:ascii="Times New Roman" w:hAnsi="Times New Roman" w:cs="Times New Roman"/>
          <w:b/>
          <w:sz w:val="10"/>
          <w:szCs w:val="10"/>
        </w:rPr>
      </w:pPr>
    </w:p>
    <w:p w14:paraId="5F0D3B96" w14:textId="77777777" w:rsidR="00F12FA5" w:rsidRPr="00F12FA5" w:rsidRDefault="00F12FA5" w:rsidP="00F12FA5">
      <w:pPr>
        <w:pStyle w:val="ListParagraph"/>
        <w:numPr>
          <w:ilvl w:val="0"/>
          <w:numId w:val="2"/>
        </w:numPr>
        <w:spacing w:after="0" w:line="360" w:lineRule="auto"/>
        <w:ind w:left="0"/>
        <w:jc w:val="both"/>
        <w:rPr>
          <w:rFonts w:ascii="Times New Roman" w:hAnsi="Times New Roman" w:cs="Times New Roman"/>
        </w:rPr>
      </w:pPr>
      <w:r w:rsidRPr="00F12FA5">
        <w:rPr>
          <w:rFonts w:ascii="Times New Roman" w:hAnsi="Times New Roman" w:cs="Times New Roman"/>
          <w:b/>
        </w:rPr>
        <w:t>Non-discrimination: Article 14:</w:t>
      </w:r>
      <w:r w:rsidRPr="00F12FA5">
        <w:rPr>
          <w:rFonts w:ascii="Times New Roman" w:hAnsi="Times New Roman" w:cs="Times New Roman"/>
        </w:rPr>
        <w:t xml:space="preserve"> Right to Equality, </w:t>
      </w:r>
      <w:r w:rsidRPr="00F12FA5">
        <w:rPr>
          <w:rFonts w:ascii="Times New Roman" w:hAnsi="Times New Roman" w:cs="Times New Roman"/>
          <w:b/>
        </w:rPr>
        <w:t xml:space="preserve">Article 15: </w:t>
      </w:r>
      <w:r w:rsidRPr="00F12FA5">
        <w:rPr>
          <w:rFonts w:ascii="Times New Roman" w:hAnsi="Times New Roman" w:cs="Times New Roman"/>
        </w:rPr>
        <w:t xml:space="preserve">Prohibition of discrimination on religion, race, caste, sex, or place of birth. </w:t>
      </w:r>
      <w:r w:rsidRPr="00F12FA5">
        <w:rPr>
          <w:rFonts w:ascii="Times New Roman" w:hAnsi="Times New Roman" w:cs="Times New Roman"/>
          <w:b/>
        </w:rPr>
        <w:t xml:space="preserve">Article 25: </w:t>
      </w:r>
      <w:r w:rsidRPr="00F12FA5">
        <w:rPr>
          <w:rFonts w:ascii="Times New Roman" w:hAnsi="Times New Roman" w:cs="Times New Roman"/>
        </w:rPr>
        <w:t xml:space="preserve">Freedom of conscience, free profession, practice, and propagation of religion. </w:t>
      </w:r>
      <w:r w:rsidRPr="00F12FA5">
        <w:rPr>
          <w:rFonts w:ascii="Times New Roman" w:hAnsi="Times New Roman" w:cs="Times New Roman"/>
          <w:b/>
        </w:rPr>
        <w:t xml:space="preserve">Article 29(1): </w:t>
      </w:r>
      <w:r w:rsidRPr="00F12FA5">
        <w:rPr>
          <w:rFonts w:ascii="Times New Roman" w:hAnsi="Times New Roman" w:cs="Times New Roman"/>
        </w:rPr>
        <w:t xml:space="preserve">No state-funded educational </w:t>
      </w:r>
      <w:r w:rsidRPr="00F12FA5">
        <w:rPr>
          <w:rFonts w:ascii="Times New Roman" w:hAnsi="Times New Roman" w:cs="Times New Roman"/>
        </w:rPr>
        <w:lastRenderedPageBreak/>
        <w:t xml:space="preserve">institution may refuse admission to a child based on religion, race, caste, language, or other factors. </w:t>
      </w:r>
    </w:p>
    <w:bookmarkEnd w:id="3"/>
    <w:p w14:paraId="5495BBC0" w14:textId="77777777" w:rsidR="00105EB4" w:rsidRPr="00882EC4" w:rsidRDefault="00105EB4">
      <w:pPr>
        <w:rPr>
          <w:rFonts w:ascii="Times New Roman" w:hAnsi="Times New Roman" w:cs="Times New Roman"/>
          <w:b/>
          <w:sz w:val="10"/>
          <w:szCs w:val="10"/>
        </w:rPr>
      </w:pPr>
    </w:p>
    <w:p w14:paraId="5A7BD0F1"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Interface between the UNCRC and domestic legislations</w:t>
      </w:r>
    </w:p>
    <w:p w14:paraId="5B0B9493" w14:textId="77777777" w:rsidR="0071192D" w:rsidRPr="00882EC4" w:rsidRDefault="0071192D" w:rsidP="0071192D">
      <w:pPr>
        <w:spacing w:after="0" w:line="360" w:lineRule="auto"/>
        <w:jc w:val="both"/>
        <w:rPr>
          <w:rFonts w:ascii="Times New Roman" w:hAnsi="Times New Roman" w:cs="Times New Roman"/>
          <w:sz w:val="10"/>
          <w:szCs w:val="10"/>
        </w:rPr>
      </w:pPr>
    </w:p>
    <w:p w14:paraId="664FC23D"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The UNCRC, as the most crucial international instrument, consistently urges state parties to align their domestic laws with its provisions that protect children from various issues. Although 192 countries have ratified the UNCRC, including India, inconsistencies in the Indian framework weaken the commitment to children’s protection after 32 years. This calls for an in-depth assessment and scrutiny of child rights related to juvenile justice, education, child marriage, trafficking, sexual abuse, and drug misuse.  </w:t>
      </w:r>
    </w:p>
    <w:p w14:paraId="1CDB7B26" w14:textId="77777777" w:rsidR="0071192D" w:rsidRPr="00882EC4" w:rsidRDefault="0071192D" w:rsidP="0071192D">
      <w:pPr>
        <w:spacing w:after="0" w:line="360" w:lineRule="auto"/>
        <w:jc w:val="both"/>
        <w:rPr>
          <w:rFonts w:ascii="Times New Roman" w:hAnsi="Times New Roman" w:cs="Times New Roman"/>
          <w:sz w:val="10"/>
          <w:szCs w:val="10"/>
        </w:rPr>
      </w:pPr>
    </w:p>
    <w:p w14:paraId="2B10243E" w14:textId="77777777" w:rsidR="0071192D" w:rsidRPr="00573A50" w:rsidRDefault="0071192D" w:rsidP="0071192D">
      <w:pPr>
        <w:spacing w:after="0" w:line="360" w:lineRule="auto"/>
        <w:rPr>
          <w:rFonts w:ascii="Times New Roman" w:hAnsi="Times New Roman" w:cs="Times New Roman"/>
          <w:b/>
        </w:rPr>
      </w:pPr>
      <w:r w:rsidRPr="00573A50">
        <w:rPr>
          <w:rFonts w:ascii="Times New Roman" w:hAnsi="Times New Roman" w:cs="Times New Roman"/>
          <w:b/>
        </w:rPr>
        <w:t>Major inconsistencies to be dealt with</w:t>
      </w:r>
    </w:p>
    <w:p w14:paraId="254B2449" w14:textId="77777777" w:rsidR="0071192D" w:rsidRPr="00882EC4" w:rsidRDefault="0071192D" w:rsidP="0071192D">
      <w:pPr>
        <w:spacing w:after="0" w:line="360" w:lineRule="auto"/>
        <w:jc w:val="both"/>
        <w:rPr>
          <w:rFonts w:ascii="Times New Roman" w:hAnsi="Times New Roman" w:cs="Times New Roman"/>
          <w:sz w:val="10"/>
          <w:szCs w:val="10"/>
        </w:rPr>
      </w:pPr>
    </w:p>
    <w:p w14:paraId="4EBBBC1E"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The major inconsistencies regarding India's ratification of the UNCRC involve the definition of a child in Article I, which describes a child as anyone under the age of 18. According to Indian law, a person under the age of 14 is a child. Therefore, it is a law that determines whether an individual is considered a child or not. Due to neglect in the timely registration of child births, the accurate age of a child is often poorly estimated in municipalities, local registration centres, and school records. This situation inevitably has significant implications for the enforcement of laws related to offences like begging, drug trafficking, prostitution, child marriage, and theft. Consequently, to address these discrepancies, the government of India is reviewing its legal framework to align it with the UNCRC standards. </w:t>
      </w:r>
    </w:p>
    <w:p w14:paraId="2637F5FA" w14:textId="77777777" w:rsidR="00882EC4" w:rsidRPr="00882EC4" w:rsidRDefault="00882EC4" w:rsidP="0071192D">
      <w:pPr>
        <w:spacing w:line="360" w:lineRule="auto"/>
        <w:rPr>
          <w:rFonts w:ascii="Times New Roman" w:hAnsi="Times New Roman" w:cs="Times New Roman"/>
          <w:b/>
          <w:sz w:val="10"/>
          <w:szCs w:val="10"/>
        </w:rPr>
      </w:pPr>
    </w:p>
    <w:p w14:paraId="31710714" w14:textId="4CEFCA7D" w:rsidR="0071192D" w:rsidRPr="00573A50" w:rsidRDefault="0071192D" w:rsidP="0071192D">
      <w:pPr>
        <w:spacing w:line="360" w:lineRule="auto"/>
        <w:rPr>
          <w:rFonts w:ascii="Times New Roman" w:hAnsi="Times New Roman" w:cs="Times New Roman"/>
          <w:b/>
        </w:rPr>
      </w:pPr>
      <w:r w:rsidRPr="00573A50">
        <w:rPr>
          <w:rFonts w:ascii="Times New Roman" w:hAnsi="Times New Roman" w:cs="Times New Roman"/>
          <w:b/>
        </w:rPr>
        <w:t xml:space="preserve">Discrepancies on child trafficking </w:t>
      </w:r>
    </w:p>
    <w:p w14:paraId="582946BB"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The UNCRC adopted the ‘Optional Protocol’ on 25</w:t>
      </w:r>
      <w:r w:rsidRPr="00573A50">
        <w:rPr>
          <w:rFonts w:ascii="Times New Roman" w:hAnsi="Times New Roman" w:cs="Times New Roman"/>
          <w:vertAlign w:val="superscript"/>
        </w:rPr>
        <w:t>th</w:t>
      </w:r>
      <w:r w:rsidRPr="00573A50">
        <w:rPr>
          <w:rFonts w:ascii="Times New Roman" w:hAnsi="Times New Roman" w:cs="Times New Roman"/>
        </w:rPr>
        <w:t xml:space="preserve"> May 2000, which addresses the sale of children, child prostitution, and child pornography; it came into force on 18</w:t>
      </w:r>
      <w:r w:rsidRPr="00573A50">
        <w:rPr>
          <w:rFonts w:ascii="Times New Roman" w:hAnsi="Times New Roman" w:cs="Times New Roman"/>
          <w:vertAlign w:val="superscript"/>
        </w:rPr>
        <w:t>th</w:t>
      </w:r>
      <w:r w:rsidRPr="00573A50">
        <w:rPr>
          <w:rFonts w:ascii="Times New Roman" w:hAnsi="Times New Roman" w:cs="Times New Roman"/>
        </w:rPr>
        <w:t xml:space="preserve"> December 2002. Its key Articles 1, 11, 21, 32, 33, 34, 35, and 36 require state parties to align their domestic laws with it and ensure the protection of children from sale, prostitution, and pornography. Due to a lack of a comprehensive and effective legal framework and thoroughness in Indian anti-trafficking laws, the responsibility falls on the judiciary, for Indian laws are ill-equipped to grasp the nuances of child trafficking. In such circumstances, the courts should redefine and reinterpret in the present context. Specifically, legal technicalities that only regard minors under the age of 14 as children make the situation complicated. Only hazardous labour is covered, </w:t>
      </w:r>
      <w:r w:rsidRPr="00573A50">
        <w:rPr>
          <w:rFonts w:ascii="Times New Roman" w:hAnsi="Times New Roman" w:cs="Times New Roman"/>
        </w:rPr>
        <w:lastRenderedPageBreak/>
        <w:t>even though children over 14 are often trafficked and exploited. Therefore, the situation calls for more comprehensive laws to address these complex issues (Lal, 2021).</w:t>
      </w:r>
    </w:p>
    <w:p w14:paraId="428B642D" w14:textId="77777777" w:rsidR="0071192D" w:rsidRPr="00882EC4" w:rsidRDefault="0071192D" w:rsidP="0071192D">
      <w:pPr>
        <w:spacing w:after="0" w:line="360" w:lineRule="auto"/>
        <w:jc w:val="both"/>
        <w:rPr>
          <w:rFonts w:ascii="Times New Roman" w:hAnsi="Times New Roman" w:cs="Times New Roman"/>
          <w:sz w:val="10"/>
          <w:szCs w:val="10"/>
        </w:rPr>
      </w:pPr>
    </w:p>
    <w:tbl>
      <w:tblPr>
        <w:tblStyle w:val="TableGrid"/>
        <w:tblW w:w="0" w:type="auto"/>
        <w:tblLook w:val="04A0" w:firstRow="1" w:lastRow="0" w:firstColumn="1" w:lastColumn="0" w:noHBand="0" w:noVBand="1"/>
      </w:tblPr>
      <w:tblGrid>
        <w:gridCol w:w="1980"/>
        <w:gridCol w:w="7036"/>
      </w:tblGrid>
      <w:tr w:rsidR="00882EC4" w:rsidRPr="000F69B3" w14:paraId="3F094DB2" w14:textId="77777777" w:rsidTr="001619F3">
        <w:tc>
          <w:tcPr>
            <w:tcW w:w="9016" w:type="dxa"/>
            <w:gridSpan w:val="2"/>
          </w:tcPr>
          <w:p w14:paraId="7E5286C6" w14:textId="77777777" w:rsidR="00882EC4" w:rsidRPr="000F69B3" w:rsidRDefault="00882EC4" w:rsidP="001619F3">
            <w:pPr>
              <w:spacing w:line="360" w:lineRule="auto"/>
              <w:jc w:val="center"/>
              <w:rPr>
                <w:rFonts w:ascii="Times New Roman" w:hAnsi="Times New Roman" w:cs="Times New Roman"/>
                <w:b/>
                <w:bCs/>
                <w:sz w:val="24"/>
                <w:szCs w:val="24"/>
              </w:rPr>
            </w:pPr>
            <w:r w:rsidRPr="000F69B3">
              <w:rPr>
                <w:rFonts w:ascii="Times New Roman" w:hAnsi="Times New Roman" w:cs="Times New Roman"/>
                <w:b/>
                <w:bCs/>
                <w:sz w:val="24"/>
                <w:szCs w:val="24"/>
              </w:rPr>
              <w:t>Age limits in different countries for Juvenile offences</w:t>
            </w:r>
          </w:p>
        </w:tc>
      </w:tr>
      <w:tr w:rsidR="00882EC4" w:rsidRPr="000F69B3" w14:paraId="0C96F680" w14:textId="77777777" w:rsidTr="001619F3">
        <w:tc>
          <w:tcPr>
            <w:tcW w:w="1980" w:type="dxa"/>
          </w:tcPr>
          <w:p w14:paraId="62F67191" w14:textId="77777777" w:rsidR="00882EC4" w:rsidRPr="000F69B3" w:rsidRDefault="00882EC4" w:rsidP="001619F3">
            <w:pPr>
              <w:spacing w:line="360" w:lineRule="auto"/>
              <w:jc w:val="center"/>
              <w:rPr>
                <w:rFonts w:ascii="Times New Roman" w:hAnsi="Times New Roman" w:cs="Times New Roman"/>
                <w:b/>
                <w:bCs/>
                <w:sz w:val="24"/>
                <w:szCs w:val="24"/>
              </w:rPr>
            </w:pPr>
            <w:r w:rsidRPr="000F69B3">
              <w:rPr>
                <w:rFonts w:ascii="Times New Roman" w:hAnsi="Times New Roman" w:cs="Times New Roman"/>
                <w:b/>
                <w:bCs/>
                <w:sz w:val="24"/>
                <w:szCs w:val="24"/>
              </w:rPr>
              <w:t>Country</w:t>
            </w:r>
          </w:p>
        </w:tc>
        <w:tc>
          <w:tcPr>
            <w:tcW w:w="7036" w:type="dxa"/>
          </w:tcPr>
          <w:p w14:paraId="236FA198" w14:textId="77777777" w:rsidR="00882EC4" w:rsidRPr="000F69B3" w:rsidRDefault="00882EC4" w:rsidP="001619F3">
            <w:pPr>
              <w:spacing w:line="360" w:lineRule="auto"/>
              <w:jc w:val="center"/>
              <w:rPr>
                <w:rFonts w:ascii="Times New Roman" w:hAnsi="Times New Roman" w:cs="Times New Roman"/>
                <w:b/>
                <w:bCs/>
                <w:sz w:val="24"/>
                <w:szCs w:val="24"/>
              </w:rPr>
            </w:pPr>
            <w:r w:rsidRPr="000F69B3">
              <w:rPr>
                <w:rFonts w:ascii="Times New Roman" w:hAnsi="Times New Roman" w:cs="Times New Roman"/>
                <w:b/>
                <w:bCs/>
                <w:sz w:val="24"/>
                <w:szCs w:val="24"/>
              </w:rPr>
              <w:t>The minimum age for a juvenile to be charged with an offence</w:t>
            </w:r>
          </w:p>
        </w:tc>
      </w:tr>
      <w:tr w:rsidR="00882EC4" w:rsidRPr="000F69B3" w14:paraId="51941ED5" w14:textId="77777777" w:rsidTr="001619F3">
        <w:tc>
          <w:tcPr>
            <w:tcW w:w="1980" w:type="dxa"/>
          </w:tcPr>
          <w:p w14:paraId="167B3B68"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America (USA)</w:t>
            </w:r>
          </w:p>
        </w:tc>
        <w:tc>
          <w:tcPr>
            <w:tcW w:w="7036" w:type="dxa"/>
          </w:tcPr>
          <w:p w14:paraId="10A2D362"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range is from 6 to 10 years</w:t>
            </w:r>
          </w:p>
        </w:tc>
      </w:tr>
      <w:tr w:rsidR="00882EC4" w:rsidRPr="000F69B3" w14:paraId="65FFD628" w14:textId="77777777" w:rsidTr="001619F3">
        <w:tc>
          <w:tcPr>
            <w:tcW w:w="1980" w:type="dxa"/>
          </w:tcPr>
          <w:p w14:paraId="3A6FAF1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United Kingdom</w:t>
            </w:r>
          </w:p>
        </w:tc>
        <w:tc>
          <w:tcPr>
            <w:tcW w:w="7036" w:type="dxa"/>
          </w:tcPr>
          <w:p w14:paraId="699DCE4A"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limit is 10 years.</w:t>
            </w:r>
          </w:p>
        </w:tc>
      </w:tr>
      <w:tr w:rsidR="00882EC4" w:rsidRPr="000F69B3" w14:paraId="45502EFC" w14:textId="77777777" w:rsidTr="001619F3">
        <w:tc>
          <w:tcPr>
            <w:tcW w:w="1980" w:type="dxa"/>
          </w:tcPr>
          <w:p w14:paraId="22C79E3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South Africa</w:t>
            </w:r>
          </w:p>
        </w:tc>
        <w:tc>
          <w:tcPr>
            <w:tcW w:w="7036" w:type="dxa"/>
          </w:tcPr>
          <w:p w14:paraId="5F0E5E9A"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of 10 years</w:t>
            </w:r>
          </w:p>
        </w:tc>
      </w:tr>
      <w:tr w:rsidR="00882EC4" w:rsidRPr="000F69B3" w14:paraId="28136022" w14:textId="77777777" w:rsidTr="001619F3">
        <w:tc>
          <w:tcPr>
            <w:tcW w:w="1980" w:type="dxa"/>
          </w:tcPr>
          <w:p w14:paraId="302748BF"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France</w:t>
            </w:r>
          </w:p>
        </w:tc>
        <w:tc>
          <w:tcPr>
            <w:tcW w:w="7036" w:type="dxa"/>
          </w:tcPr>
          <w:p w14:paraId="6E1EA100"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By the offence committed</w:t>
            </w:r>
          </w:p>
        </w:tc>
      </w:tr>
      <w:tr w:rsidR="00882EC4" w:rsidRPr="000F69B3" w14:paraId="68D828D5" w14:textId="77777777" w:rsidTr="001619F3">
        <w:tc>
          <w:tcPr>
            <w:tcW w:w="1980" w:type="dxa"/>
          </w:tcPr>
          <w:p w14:paraId="0A5BB7D2"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Canada</w:t>
            </w:r>
          </w:p>
        </w:tc>
        <w:tc>
          <w:tcPr>
            <w:tcW w:w="7036" w:type="dxa"/>
          </w:tcPr>
          <w:p w14:paraId="7BA7A0FE"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beyond 12 years</w:t>
            </w:r>
          </w:p>
        </w:tc>
      </w:tr>
      <w:tr w:rsidR="00882EC4" w:rsidRPr="000F69B3" w14:paraId="12B1F332" w14:textId="77777777" w:rsidTr="001619F3">
        <w:tc>
          <w:tcPr>
            <w:tcW w:w="1980" w:type="dxa"/>
          </w:tcPr>
          <w:p w14:paraId="47A35742"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Germany</w:t>
            </w:r>
          </w:p>
        </w:tc>
        <w:tc>
          <w:tcPr>
            <w:tcW w:w="7036" w:type="dxa"/>
          </w:tcPr>
          <w:p w14:paraId="60575DAF"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The age of 14 years</w:t>
            </w:r>
          </w:p>
        </w:tc>
      </w:tr>
      <w:tr w:rsidR="00882EC4" w:rsidRPr="000F69B3" w14:paraId="0477A76A" w14:textId="77777777" w:rsidTr="001619F3">
        <w:tc>
          <w:tcPr>
            <w:tcW w:w="1980" w:type="dxa"/>
          </w:tcPr>
          <w:p w14:paraId="4FCB78D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India (Juvenile</w:t>
            </w:r>
          </w:p>
          <w:p w14:paraId="4BE89CDD"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Justice Act 2015)</w:t>
            </w:r>
          </w:p>
        </w:tc>
        <w:tc>
          <w:tcPr>
            <w:tcW w:w="7036" w:type="dxa"/>
          </w:tcPr>
          <w:p w14:paraId="35D69750"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Under IPC after the age of 7 years</w:t>
            </w:r>
          </w:p>
        </w:tc>
      </w:tr>
      <w:tr w:rsidR="00882EC4" w:rsidRPr="000F69B3" w14:paraId="172950CD" w14:textId="77777777" w:rsidTr="001619F3">
        <w:tc>
          <w:tcPr>
            <w:tcW w:w="1980" w:type="dxa"/>
          </w:tcPr>
          <w:p w14:paraId="7D5E4EB1"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b/>
                <w:bCs/>
                <w:sz w:val="24"/>
                <w:szCs w:val="24"/>
              </w:rPr>
              <w:t>Country</w:t>
            </w:r>
          </w:p>
        </w:tc>
        <w:tc>
          <w:tcPr>
            <w:tcW w:w="7036" w:type="dxa"/>
          </w:tcPr>
          <w:p w14:paraId="25FDDD8E" w14:textId="77777777" w:rsidR="00882EC4" w:rsidRPr="000F69B3" w:rsidRDefault="00882EC4" w:rsidP="001619F3">
            <w:pPr>
              <w:spacing w:line="360" w:lineRule="auto"/>
              <w:jc w:val="both"/>
              <w:rPr>
                <w:rFonts w:ascii="Times New Roman" w:hAnsi="Times New Roman" w:cs="Times New Roman"/>
                <w:b/>
                <w:sz w:val="24"/>
                <w:szCs w:val="24"/>
              </w:rPr>
            </w:pPr>
            <w:r w:rsidRPr="000F69B3">
              <w:rPr>
                <w:rFonts w:ascii="Times New Roman" w:hAnsi="Times New Roman" w:cs="Times New Roman"/>
                <w:b/>
                <w:sz w:val="24"/>
                <w:szCs w:val="24"/>
              </w:rPr>
              <w:t>The types of offences for which a minor can be tried</w:t>
            </w:r>
          </w:p>
        </w:tc>
      </w:tr>
      <w:tr w:rsidR="00882EC4" w:rsidRPr="000F69B3" w14:paraId="11055263" w14:textId="77777777" w:rsidTr="001619F3">
        <w:tc>
          <w:tcPr>
            <w:tcW w:w="1980" w:type="dxa"/>
          </w:tcPr>
          <w:p w14:paraId="270D9580"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USA</w:t>
            </w:r>
          </w:p>
        </w:tc>
        <w:tc>
          <w:tcPr>
            <w:tcW w:w="7036" w:type="dxa"/>
          </w:tcPr>
          <w:p w14:paraId="4F2D1ED9"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Murder, assault, robbery, brutal sexual abuse, firearms offences &amp; drug</w:t>
            </w:r>
          </w:p>
        </w:tc>
      </w:tr>
      <w:tr w:rsidR="00882EC4" w:rsidRPr="000F69B3" w14:paraId="4E3F4811" w14:textId="77777777" w:rsidTr="001619F3">
        <w:tc>
          <w:tcPr>
            <w:tcW w:w="1980" w:type="dxa"/>
          </w:tcPr>
          <w:p w14:paraId="1436547E"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United Kingdom</w:t>
            </w:r>
          </w:p>
        </w:tc>
        <w:tc>
          <w:tcPr>
            <w:tcW w:w="7036" w:type="dxa"/>
          </w:tcPr>
          <w:p w14:paraId="035425EB"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Rape, murder, or causing an explosion to endanger life or property</w:t>
            </w:r>
          </w:p>
        </w:tc>
      </w:tr>
      <w:tr w:rsidR="00882EC4" w:rsidRPr="000F69B3" w14:paraId="59C6519B" w14:textId="77777777" w:rsidTr="001619F3">
        <w:tc>
          <w:tcPr>
            <w:tcW w:w="1980" w:type="dxa"/>
          </w:tcPr>
          <w:p w14:paraId="6CBC87A5"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South Africa</w:t>
            </w:r>
          </w:p>
        </w:tc>
        <w:tc>
          <w:tcPr>
            <w:tcW w:w="7036" w:type="dxa"/>
          </w:tcPr>
          <w:p w14:paraId="17ACC320"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Rape, murder, robbery</w:t>
            </w:r>
          </w:p>
        </w:tc>
      </w:tr>
      <w:tr w:rsidR="00882EC4" w:rsidRPr="000F69B3" w14:paraId="73DC6DF0" w14:textId="77777777" w:rsidTr="001619F3">
        <w:tc>
          <w:tcPr>
            <w:tcW w:w="1980" w:type="dxa"/>
          </w:tcPr>
          <w:p w14:paraId="28357CE1"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France</w:t>
            </w:r>
          </w:p>
        </w:tc>
        <w:tc>
          <w:tcPr>
            <w:tcW w:w="7036" w:type="dxa"/>
          </w:tcPr>
          <w:p w14:paraId="270487DA"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Drug offences, rape, murder, &amp; armed robbery</w:t>
            </w:r>
          </w:p>
        </w:tc>
      </w:tr>
      <w:tr w:rsidR="00882EC4" w:rsidRPr="000F69B3" w14:paraId="30CE6764" w14:textId="77777777" w:rsidTr="001619F3">
        <w:tc>
          <w:tcPr>
            <w:tcW w:w="1980" w:type="dxa"/>
          </w:tcPr>
          <w:p w14:paraId="6A7295C8"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Canada</w:t>
            </w:r>
          </w:p>
        </w:tc>
        <w:tc>
          <w:tcPr>
            <w:tcW w:w="7036" w:type="dxa"/>
          </w:tcPr>
          <w:p w14:paraId="48E914C3"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Serious bodily harm to any person, murder, or brutal sexual assault</w:t>
            </w:r>
          </w:p>
        </w:tc>
      </w:tr>
      <w:tr w:rsidR="00882EC4" w:rsidRPr="000F69B3" w14:paraId="76D0BA36" w14:textId="77777777" w:rsidTr="001619F3">
        <w:tc>
          <w:tcPr>
            <w:tcW w:w="1980" w:type="dxa"/>
          </w:tcPr>
          <w:p w14:paraId="7961260A"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Germany</w:t>
            </w:r>
          </w:p>
        </w:tc>
        <w:tc>
          <w:tcPr>
            <w:tcW w:w="7036" w:type="dxa"/>
          </w:tcPr>
          <w:p w14:paraId="1EFD4F1C"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Child abuse leading to death, sexual abuse, or abuse of a person who cannot resist</w:t>
            </w:r>
          </w:p>
        </w:tc>
      </w:tr>
      <w:tr w:rsidR="00882EC4" w:rsidRPr="000F69B3" w14:paraId="7BD1714F" w14:textId="77777777" w:rsidTr="001619F3">
        <w:tc>
          <w:tcPr>
            <w:tcW w:w="1980" w:type="dxa"/>
          </w:tcPr>
          <w:p w14:paraId="4084B00A"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India (Juvenile</w:t>
            </w:r>
          </w:p>
          <w:p w14:paraId="3D624461" w14:textId="77777777" w:rsidR="00882EC4" w:rsidRPr="000F69B3" w:rsidRDefault="00882EC4" w:rsidP="001619F3">
            <w:pPr>
              <w:spacing w:line="360" w:lineRule="auto"/>
              <w:jc w:val="center"/>
              <w:rPr>
                <w:rFonts w:ascii="Times New Roman" w:hAnsi="Times New Roman" w:cs="Times New Roman"/>
                <w:sz w:val="24"/>
                <w:szCs w:val="24"/>
              </w:rPr>
            </w:pPr>
            <w:r w:rsidRPr="000F69B3">
              <w:rPr>
                <w:rFonts w:ascii="Times New Roman" w:hAnsi="Times New Roman" w:cs="Times New Roman"/>
                <w:sz w:val="24"/>
                <w:szCs w:val="24"/>
              </w:rPr>
              <w:t>Justice Act 2015)</w:t>
            </w:r>
          </w:p>
        </w:tc>
        <w:tc>
          <w:tcPr>
            <w:tcW w:w="7036" w:type="dxa"/>
          </w:tcPr>
          <w:p w14:paraId="7DE6016B" w14:textId="77777777" w:rsidR="00882EC4" w:rsidRPr="000F69B3" w:rsidRDefault="00882EC4" w:rsidP="001619F3">
            <w:pPr>
              <w:spacing w:line="360" w:lineRule="auto"/>
              <w:jc w:val="both"/>
              <w:rPr>
                <w:rFonts w:ascii="Times New Roman" w:hAnsi="Times New Roman" w:cs="Times New Roman"/>
                <w:sz w:val="24"/>
                <w:szCs w:val="24"/>
              </w:rPr>
            </w:pPr>
            <w:r w:rsidRPr="000F69B3">
              <w:rPr>
                <w:rFonts w:ascii="Times New Roman" w:hAnsi="Times New Roman" w:cs="Times New Roman"/>
                <w:sz w:val="24"/>
                <w:szCs w:val="24"/>
              </w:rPr>
              <w:t xml:space="preserve">‘Serious offence (punishment 3-7 years, e.g., cheating, counterfeiting or heinous offence – murder, rape, robbery, punishment over 7 years. </w:t>
            </w:r>
          </w:p>
        </w:tc>
      </w:tr>
    </w:tbl>
    <w:p w14:paraId="7F691B8A" w14:textId="77777777" w:rsidR="00882EC4" w:rsidRDefault="00882EC4" w:rsidP="0071192D">
      <w:pPr>
        <w:spacing w:after="0" w:line="360" w:lineRule="auto"/>
        <w:rPr>
          <w:rFonts w:ascii="Times New Roman" w:hAnsi="Times New Roman" w:cs="Times New Roman"/>
          <w:b/>
          <w:bCs/>
        </w:rPr>
      </w:pPr>
    </w:p>
    <w:p w14:paraId="788EEFEE" w14:textId="4AAC2DAE" w:rsidR="0071192D" w:rsidRPr="00573A50" w:rsidRDefault="0071192D" w:rsidP="0071192D">
      <w:pPr>
        <w:spacing w:after="0" w:line="360" w:lineRule="auto"/>
        <w:rPr>
          <w:rFonts w:ascii="Times New Roman" w:hAnsi="Times New Roman" w:cs="Times New Roman"/>
          <w:b/>
          <w:bCs/>
        </w:rPr>
      </w:pPr>
      <w:r w:rsidRPr="00573A50">
        <w:rPr>
          <w:rFonts w:ascii="Times New Roman" w:hAnsi="Times New Roman" w:cs="Times New Roman"/>
          <w:b/>
          <w:bCs/>
        </w:rPr>
        <w:t>Juvenile Justice System – A global challenge</w:t>
      </w:r>
    </w:p>
    <w:p w14:paraId="1E9778A5" w14:textId="77777777" w:rsidR="0071192D" w:rsidRPr="00882EC4" w:rsidRDefault="0071192D" w:rsidP="0071192D">
      <w:pPr>
        <w:spacing w:after="0" w:line="360" w:lineRule="auto"/>
        <w:jc w:val="both"/>
        <w:rPr>
          <w:rFonts w:ascii="Times New Roman" w:hAnsi="Times New Roman" w:cs="Times New Roman"/>
          <w:sz w:val="10"/>
          <w:szCs w:val="10"/>
        </w:rPr>
      </w:pPr>
    </w:p>
    <w:p w14:paraId="33FC1D18"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Negative portrayals of child offenders pose serious challenges to the rehabilitative aims of juvenile justice, often undermining the protections provided to children within this system. For example, the ‘juvenile super-predator’ theory in the USA led to waivers allowing some states to try children as young as 10 years old as adults. Although these waivers failed to prevent crime, the Delhi gang rape case used them to prosecute the adolescent accused of the heinous offence. Unfortunately, in many parts of the world, there is a precedent for trying children as adults solely based on the severity of the crime. Similarly, European countries have separate procedures for handling children involved in serious crimes. In the Netherlands, depending on </w:t>
      </w:r>
      <w:r w:rsidRPr="00573A50">
        <w:rPr>
          <w:rFonts w:ascii="Times New Roman" w:hAnsi="Times New Roman" w:cs="Times New Roman"/>
        </w:rPr>
        <w:lastRenderedPageBreak/>
        <w:t xml:space="preserve">the seriousness of the offence and the offender's character, a youth court judge may impose adult sanctions on offenders aged 16 to 18. Likewise, Brazil considered amending its constitution in 2017 to allow those over 16 to be tried and punished as adults for offences such as homicide, armed robbery, and rape. International Human Rights Law (IHRL) explicitly affirms that all persons under 18 in conflict with the law should be treated within a system dedicated to their welfare and reintegration. IHRL also bans the death penalty for children, and the UNCRC prohibits both capital punishment and life imprisonment without parole. </w:t>
      </w:r>
    </w:p>
    <w:p w14:paraId="34E30200" w14:textId="77777777" w:rsidR="00327CC7" w:rsidRPr="00327CC7" w:rsidRDefault="00327CC7" w:rsidP="0071192D">
      <w:pPr>
        <w:spacing w:line="360" w:lineRule="auto"/>
        <w:rPr>
          <w:rFonts w:ascii="Times New Roman" w:hAnsi="Times New Roman" w:cs="Times New Roman"/>
          <w:b/>
          <w:sz w:val="10"/>
          <w:szCs w:val="10"/>
        </w:rPr>
      </w:pPr>
    </w:p>
    <w:p w14:paraId="77748255" w14:textId="2A9BC50B" w:rsidR="0071192D" w:rsidRPr="00573A50" w:rsidRDefault="0071192D" w:rsidP="0071192D">
      <w:pPr>
        <w:spacing w:line="360" w:lineRule="auto"/>
        <w:rPr>
          <w:rFonts w:ascii="Times New Roman" w:hAnsi="Times New Roman" w:cs="Times New Roman"/>
          <w:b/>
        </w:rPr>
      </w:pPr>
      <w:r w:rsidRPr="00573A50">
        <w:rPr>
          <w:rFonts w:ascii="Times New Roman" w:hAnsi="Times New Roman" w:cs="Times New Roman"/>
          <w:b/>
        </w:rPr>
        <w:t>Anomalies on the right to education: The UNCRC &amp; Indian law</w:t>
      </w:r>
    </w:p>
    <w:p w14:paraId="4BB8EEC4" w14:textId="775FB05A"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Specifically, Article 28 of the UNCRC guarantees free and compulsory primary &amp; secondary education, higher education, thus</w:t>
      </w:r>
      <w:r w:rsidR="000473A9">
        <w:rPr>
          <w:rFonts w:ascii="Times New Roman" w:hAnsi="Times New Roman" w:cs="Times New Roman"/>
        </w:rPr>
        <w:t>,</w:t>
      </w:r>
      <w:r w:rsidRPr="00573A50">
        <w:rPr>
          <w:rFonts w:ascii="Times New Roman" w:hAnsi="Times New Roman" w:cs="Times New Roman"/>
        </w:rPr>
        <w:t xml:space="preserve"> enabling children to achieve comprehensive development across all disciplines. Furthermore, Article 29 emphasises the importance of developing mental and physical abilities to their fullest potential, requiring the government to provide quality education for every child. The right to education ensures access to quality schooling for all children aged 6 to 14. It also includes mid-day meals, scholarships, and reservations in private schools to maximise the enrolment of students from poor socio-economic backgrounds. Although Article 45 of the Indian Constitution guarantees free education for children aged 14, it was not effectively enforced. It became mandatory only after the verdict in the J. P. Unnikrishnan vs State of AP (1993) case. Article 21a: The Act passed by the Indian Parliament on 4</w:t>
      </w:r>
      <w:r w:rsidRPr="00573A50">
        <w:rPr>
          <w:rFonts w:ascii="Times New Roman" w:hAnsi="Times New Roman" w:cs="Times New Roman"/>
          <w:vertAlign w:val="superscript"/>
        </w:rPr>
        <w:t>th</w:t>
      </w:r>
      <w:r w:rsidRPr="00573A50">
        <w:rPr>
          <w:rFonts w:ascii="Times New Roman" w:hAnsi="Times New Roman" w:cs="Times New Roman"/>
        </w:rPr>
        <w:t xml:space="preserve"> August 2009 is called the Free and Compulsory Education Act (RTE), which came into force on 1</w:t>
      </w:r>
      <w:r w:rsidRPr="00573A50">
        <w:rPr>
          <w:rFonts w:ascii="Times New Roman" w:hAnsi="Times New Roman" w:cs="Times New Roman"/>
          <w:vertAlign w:val="superscript"/>
        </w:rPr>
        <w:t>st</w:t>
      </w:r>
      <w:r w:rsidRPr="00573A50">
        <w:rPr>
          <w:rFonts w:ascii="Times New Roman" w:hAnsi="Times New Roman" w:cs="Times New Roman"/>
        </w:rPr>
        <w:t xml:space="preserve"> April 2010, and underscores the importance of free and compulsory education for children aged 6 to 14 in India, ensuring adherence to the legal framework.</w:t>
      </w:r>
    </w:p>
    <w:p w14:paraId="10ACA0A9" w14:textId="77777777" w:rsidR="0071192D" w:rsidRPr="00836ACF" w:rsidRDefault="0071192D" w:rsidP="0071192D">
      <w:pPr>
        <w:spacing w:line="360" w:lineRule="auto"/>
        <w:rPr>
          <w:rFonts w:ascii="Times New Roman" w:hAnsi="Times New Roman" w:cs="Times New Roman"/>
          <w:b/>
          <w:sz w:val="10"/>
          <w:szCs w:val="10"/>
        </w:rPr>
      </w:pPr>
    </w:p>
    <w:p w14:paraId="499C2380" w14:textId="77777777" w:rsidR="0071192D" w:rsidRPr="00573A50" w:rsidRDefault="0071192D" w:rsidP="0071192D">
      <w:pPr>
        <w:spacing w:after="0" w:line="360" w:lineRule="auto"/>
        <w:rPr>
          <w:rFonts w:ascii="Times New Roman" w:hAnsi="Times New Roman" w:cs="Times New Roman"/>
          <w:b/>
        </w:rPr>
      </w:pPr>
      <w:r w:rsidRPr="00573A50">
        <w:rPr>
          <w:rFonts w:ascii="Times New Roman" w:hAnsi="Times New Roman" w:cs="Times New Roman"/>
          <w:b/>
        </w:rPr>
        <w:t>Indian predicament on Child Marriage</w:t>
      </w:r>
    </w:p>
    <w:p w14:paraId="060AB082" w14:textId="77777777" w:rsidR="0071192D" w:rsidRPr="00573A50" w:rsidRDefault="0071192D" w:rsidP="0071192D">
      <w:pPr>
        <w:spacing w:after="0" w:line="360" w:lineRule="auto"/>
        <w:jc w:val="both"/>
        <w:rPr>
          <w:rFonts w:ascii="Times New Roman" w:hAnsi="Times New Roman" w:cs="Times New Roman"/>
        </w:rPr>
      </w:pPr>
    </w:p>
    <w:p w14:paraId="632217E2"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 xml:space="preserve">Unlike the UNCRC, India has also committed to achieving Sustainable Development Goal 5, which aims to eliminate harmful practices such as early child and forced marriage by 2023. It is also a signatory of the Convention on the Elimination of All Forms of Discrimination Against Women (CEDAW), and Articles 2, 3, and 5 demonstrate a commitment to ending these discriminatory practices. In India, child marriage is addressed within the framework of women’s welfare and is classified as a health issue under reproductive and sexual health programmes. However, the Indian government has enacted laws such as the Prohibition of Child Marriage Act, 2006, and the Protection of Children from Sexual Offences (POCSO) Act, 2012, both aimed at protecting children from violations of human rights and other abuses. </w:t>
      </w:r>
      <w:r w:rsidRPr="00573A50">
        <w:rPr>
          <w:rFonts w:ascii="Times New Roman" w:hAnsi="Times New Roman" w:cs="Times New Roman"/>
        </w:rPr>
        <w:lastRenderedPageBreak/>
        <w:t>According to the National Family Health Survey data, child marriages in India have declined from 47.4% to 23.3% in 2019-21. The current statistics reveal that despite preventing over 200,000 child marriages, one in five girls in India is married before reaching the legal age of 18. To tackle this issue, the government has identified 300 districts with a high burden across states such as West Bengal, Bihar, Jharkhand, Rajasthan, Tripura, Assam, and Andhra Pradesh. The government has further pledged to reduce child marriage rates to below 5% by 2029.</w:t>
      </w:r>
    </w:p>
    <w:p w14:paraId="2DFB1CD5" w14:textId="77777777" w:rsidR="0071192D" w:rsidRPr="00836ACF" w:rsidRDefault="0071192D" w:rsidP="0071192D">
      <w:pPr>
        <w:spacing w:after="0" w:line="360" w:lineRule="auto"/>
        <w:jc w:val="both"/>
        <w:rPr>
          <w:rFonts w:ascii="Times New Roman" w:hAnsi="Times New Roman" w:cs="Times New Roman"/>
          <w:b/>
          <w:sz w:val="10"/>
          <w:szCs w:val="10"/>
        </w:rPr>
      </w:pPr>
    </w:p>
    <w:p w14:paraId="158DE828"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Concerns about child sexual abuse</w:t>
      </w:r>
    </w:p>
    <w:p w14:paraId="000FF2AB" w14:textId="77777777" w:rsidR="0071192D" w:rsidRPr="00573A50" w:rsidRDefault="0071192D" w:rsidP="0071192D">
      <w:pPr>
        <w:spacing w:after="0" w:line="360" w:lineRule="auto"/>
        <w:jc w:val="both"/>
        <w:rPr>
          <w:rFonts w:ascii="Times New Roman" w:hAnsi="Times New Roman" w:cs="Times New Roman"/>
          <w:b/>
        </w:rPr>
      </w:pPr>
    </w:p>
    <w:p w14:paraId="7EDD3D12"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Cs/>
        </w:rPr>
        <w:t xml:space="preserve">Article 34 of the UNCRC guarantees children’s rights to be protected from sexual abuse regardless of their gender or whom they are attracted to. It further emphasises that the government must protect children with disabilities and even refugees from sexual harassment. It also states that being married before reaching the legal age can be considered sexual abuse. Therefore, young people and children have the right to be safeguarded from this social evil. </w:t>
      </w:r>
      <w:r w:rsidRPr="00573A50">
        <w:rPr>
          <w:rFonts w:ascii="Times New Roman" w:hAnsi="Times New Roman" w:cs="Times New Roman"/>
        </w:rPr>
        <w:t>In India, the Protection of Children from Sexual Offences (POCSO) Act, 2012, has raised the age of consent for sexual activity from 16 to 18 years; it still considers any sexual activity with a child over 16 an offence, even if consensual. Mandatory reporting of such cases requires adults to report concerns about child welfare, but there is reluctance to lodge an FIR, because there is no ‘support structure’ which would offer physical or mental healthcare to the victimised children.</w:t>
      </w:r>
    </w:p>
    <w:p w14:paraId="087CC92A" w14:textId="77777777" w:rsidR="0071192D" w:rsidRPr="0071192D" w:rsidRDefault="0071192D" w:rsidP="0071192D">
      <w:pPr>
        <w:spacing w:after="0" w:line="360" w:lineRule="auto"/>
        <w:jc w:val="both"/>
        <w:rPr>
          <w:rFonts w:ascii="Times New Roman" w:hAnsi="Times New Roman" w:cs="Times New Roman"/>
          <w:sz w:val="10"/>
          <w:szCs w:val="10"/>
        </w:rPr>
      </w:pPr>
    </w:p>
    <w:p w14:paraId="363E077B" w14:textId="77777777" w:rsidR="0071192D" w:rsidRPr="00573A50" w:rsidRDefault="0071192D" w:rsidP="0071192D">
      <w:pPr>
        <w:spacing w:line="360" w:lineRule="auto"/>
        <w:rPr>
          <w:rFonts w:ascii="Times New Roman" w:hAnsi="Times New Roman" w:cs="Times New Roman"/>
          <w:b/>
        </w:rPr>
      </w:pPr>
      <w:r w:rsidRPr="00573A50">
        <w:rPr>
          <w:rFonts w:ascii="Times New Roman" w:hAnsi="Times New Roman" w:cs="Times New Roman"/>
          <w:b/>
        </w:rPr>
        <w:t>Scourge of drug abuse among children</w:t>
      </w:r>
    </w:p>
    <w:p w14:paraId="04B1CE82"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The UNCRC’s Article 33 urges state parties to enact essential legislative, administrative, social, and educational measures to protect children from the illegal use of narcotic drugs and psychotropic substances as outlined in relevant international treaties, and to prevent children from being involved in their illicit production and trafficking. In India, firstly, the Narcotic Drugs and Psychotropic Substances Act (NDPS Act), 1985, remains the primary legislation overseeing drug offences. Its provisions primarily focus on preventing, treating, and rehabilitating juveniles involved in drug abuse, as there is limited access to specialised treatment, low awareness, and inadequate preventive measures. Additionally, there is a need for improved understanding and coordination among stakeholders. Furthermore, safeguarding children's rights during legal proceedings and in correctional facilities requires urgent attention.</w:t>
      </w:r>
    </w:p>
    <w:p w14:paraId="344BF604" w14:textId="77777777" w:rsidR="0071192D" w:rsidRPr="00573A50" w:rsidRDefault="0071192D" w:rsidP="0071192D">
      <w:pPr>
        <w:spacing w:after="0" w:line="360" w:lineRule="auto"/>
        <w:jc w:val="both"/>
        <w:rPr>
          <w:rFonts w:ascii="Times New Roman" w:hAnsi="Times New Roman" w:cs="Times New Roman"/>
          <w:b/>
        </w:rPr>
      </w:pPr>
    </w:p>
    <w:p w14:paraId="18B78BAE" w14:textId="77777777" w:rsidR="00741E9E" w:rsidRDefault="00741E9E" w:rsidP="0071192D">
      <w:pPr>
        <w:spacing w:after="0" w:line="360" w:lineRule="auto"/>
        <w:jc w:val="both"/>
        <w:rPr>
          <w:rFonts w:ascii="Times New Roman" w:hAnsi="Times New Roman" w:cs="Times New Roman"/>
          <w:b/>
        </w:rPr>
      </w:pPr>
    </w:p>
    <w:p w14:paraId="6129D869" w14:textId="56EB375B"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lastRenderedPageBreak/>
        <w:t>Children’s protection from violence</w:t>
      </w:r>
    </w:p>
    <w:p w14:paraId="1D600FA2" w14:textId="77777777" w:rsidR="0071192D" w:rsidRPr="00836ACF" w:rsidRDefault="0071192D" w:rsidP="0071192D">
      <w:pPr>
        <w:spacing w:after="0" w:line="360" w:lineRule="auto"/>
        <w:jc w:val="both"/>
        <w:rPr>
          <w:rFonts w:ascii="Times New Roman" w:hAnsi="Times New Roman" w:cs="Times New Roman"/>
          <w:b/>
          <w:sz w:val="10"/>
          <w:szCs w:val="10"/>
        </w:rPr>
      </w:pPr>
    </w:p>
    <w:p w14:paraId="09448B61"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To safeguard children from violence, abuse, and neglect, the UNCRC’s Article 19 calls for the protection of children from all forms of physical and mental harm, including torture, injury, abuse, neglect, negligent treatment, ill-treatment, or exploitation. It enjoins state parties to ensure children’s safety by harmonising national laws with the Convention. The Indian Parliament has ratified several laws to protect children from violence. The most common legislations are, ‘the Beedi and Cigar Workers (Condition of Employment) Act, 1966; the Child Labour (Regulation and Prohibition) Act, 1986; the Right of Children to Free and Compulsory Education Act, 2009; the Juvenile Justice (Care and Protection of Children) Act, 2015 (JJ Act); and the Protection of Children from Sexual Offences (POCSO) Act, 2012, but the scenario is uncertain.</w:t>
      </w:r>
    </w:p>
    <w:p w14:paraId="25A3AD54" w14:textId="77777777" w:rsidR="0071192D" w:rsidRPr="00327CC7" w:rsidRDefault="0071192D" w:rsidP="0071192D">
      <w:pPr>
        <w:spacing w:after="0" w:line="360" w:lineRule="auto"/>
        <w:jc w:val="both"/>
        <w:rPr>
          <w:rFonts w:ascii="Times New Roman" w:hAnsi="Times New Roman" w:cs="Times New Roman"/>
          <w:sz w:val="10"/>
          <w:szCs w:val="10"/>
        </w:rPr>
      </w:pPr>
    </w:p>
    <w:p w14:paraId="133D45FC"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Alignment of national legal provisions with the UNCRC standard</w:t>
      </w:r>
    </w:p>
    <w:p w14:paraId="30B29F8D" w14:textId="77777777" w:rsidR="0071192D" w:rsidRPr="00327CC7" w:rsidRDefault="0071192D" w:rsidP="0071192D">
      <w:pPr>
        <w:spacing w:after="0" w:line="360" w:lineRule="auto"/>
        <w:jc w:val="both"/>
        <w:rPr>
          <w:rFonts w:ascii="Times New Roman" w:hAnsi="Times New Roman" w:cs="Times New Roman"/>
          <w:sz w:val="10"/>
          <w:szCs w:val="10"/>
        </w:rPr>
      </w:pPr>
    </w:p>
    <w:p w14:paraId="4F9FB73E" w14:textId="77777777" w:rsidR="0071192D" w:rsidRPr="00573A50" w:rsidRDefault="0071192D" w:rsidP="0071192D">
      <w:pPr>
        <w:spacing w:after="0" w:line="360" w:lineRule="auto"/>
        <w:jc w:val="both"/>
        <w:rPr>
          <w:rFonts w:ascii="Times New Roman" w:hAnsi="Times New Roman" w:cs="Times New Roman"/>
        </w:rPr>
      </w:pPr>
      <w:bookmarkStart w:id="4" w:name="_Hlk216780751"/>
      <w:r w:rsidRPr="00573A50">
        <w:rPr>
          <w:rFonts w:ascii="Times New Roman" w:hAnsi="Times New Roman" w:cs="Times New Roman"/>
          <w:bCs/>
        </w:rPr>
        <w:t xml:space="preserve">The phenomenon, called harmonisation, is a vital process wherein national laws are subsumed under international norms, giving rise to a legal framework that is consistently inclusive and upholds the rights of children. This synergistic process </w:t>
      </w:r>
      <w:r w:rsidRPr="00573A50">
        <w:rPr>
          <w:rFonts w:ascii="Times New Roman" w:hAnsi="Times New Roman" w:cs="Times New Roman"/>
        </w:rPr>
        <w:t>entails a comprehensive review and adjustment of national jurisprudence with the UNCRC’s standards. This leads to the creation of a framework that is a more solid and legally-insulated system, which demands unhindered implementation, that is global in nature and Indian in context.</w:t>
      </w:r>
      <w:bookmarkEnd w:id="4"/>
      <w:r w:rsidRPr="00573A50">
        <w:rPr>
          <w:rFonts w:ascii="Times New Roman" w:hAnsi="Times New Roman" w:cs="Times New Roman"/>
        </w:rPr>
        <w:t xml:space="preserve"> </w:t>
      </w:r>
    </w:p>
    <w:p w14:paraId="3D45A941" w14:textId="77777777" w:rsidR="0071192D" w:rsidRPr="00836ACF" w:rsidRDefault="0071192D" w:rsidP="0071192D">
      <w:pPr>
        <w:spacing w:after="0" w:line="360" w:lineRule="auto"/>
        <w:jc w:val="both"/>
        <w:rPr>
          <w:rFonts w:ascii="Times New Roman" w:hAnsi="Times New Roman" w:cs="Times New Roman"/>
          <w:sz w:val="10"/>
          <w:szCs w:val="10"/>
        </w:rPr>
      </w:pPr>
    </w:p>
    <w:p w14:paraId="347AF363" w14:textId="77777777"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t>Interplay between national laws and international norms</w:t>
      </w:r>
    </w:p>
    <w:p w14:paraId="6BD7EF75" w14:textId="77777777" w:rsidR="0071192D" w:rsidRPr="00836ACF" w:rsidRDefault="0071192D" w:rsidP="0071192D">
      <w:pPr>
        <w:spacing w:after="0" w:line="360" w:lineRule="auto"/>
        <w:jc w:val="both"/>
        <w:rPr>
          <w:rFonts w:ascii="Times New Roman" w:hAnsi="Times New Roman" w:cs="Times New Roman"/>
          <w:sz w:val="10"/>
          <w:szCs w:val="10"/>
        </w:rPr>
      </w:pPr>
    </w:p>
    <w:p w14:paraId="560A5B2E" w14:textId="77777777" w:rsidR="0071192D" w:rsidRPr="00573A50" w:rsidRDefault="0071192D" w:rsidP="0071192D">
      <w:pPr>
        <w:spacing w:after="0" w:line="360" w:lineRule="auto"/>
        <w:jc w:val="both"/>
        <w:rPr>
          <w:rFonts w:ascii="Times New Roman" w:hAnsi="Times New Roman" w:cs="Times New Roman"/>
        </w:rPr>
      </w:pPr>
      <w:r w:rsidRPr="00573A50">
        <w:rPr>
          <w:rFonts w:ascii="Times New Roman" w:hAnsi="Times New Roman" w:cs="Times New Roman"/>
        </w:rPr>
        <w:t>In India, various factors like resource constraints, socio-economic disparities, and cultural diversities genuinely act as obstacles to the effective implementation and enforcement of child rights. Infrastructural inadequacy hinders the delivery of quality services to children. Often, it is observed that some unusual social norms and cultural ethos prevent the enforcement of legal provisions outlined in international conventions. Key constraints, such as financial and human resources, are closely linked to the establishment and functioning of institutions like Juvenile Justice Boards and Child Welfare Committees. Capacity building, coordination, and a strong monitoring mechanism are crucial for the successful implementation and enforcement of child rights laws. These provisions highlight a continuous connection between national laws and global norms, which face numerous challenges in translating these provisions into tangible outcomes in the form of child rights.</w:t>
      </w:r>
    </w:p>
    <w:p w14:paraId="6658E154" w14:textId="77777777" w:rsidR="0071192D" w:rsidRPr="00836ACF" w:rsidRDefault="0071192D" w:rsidP="00836ACF">
      <w:pPr>
        <w:spacing w:after="0" w:line="360" w:lineRule="auto"/>
        <w:jc w:val="both"/>
        <w:rPr>
          <w:rFonts w:ascii="Times New Roman" w:hAnsi="Times New Roman" w:cs="Times New Roman"/>
          <w:b/>
          <w:sz w:val="10"/>
          <w:szCs w:val="10"/>
        </w:rPr>
      </w:pPr>
    </w:p>
    <w:p w14:paraId="5C9DB198" w14:textId="77777777" w:rsidR="00741E9E" w:rsidRDefault="00741E9E" w:rsidP="0071192D">
      <w:pPr>
        <w:spacing w:after="0" w:line="360" w:lineRule="auto"/>
        <w:jc w:val="both"/>
        <w:rPr>
          <w:rFonts w:ascii="Times New Roman" w:hAnsi="Times New Roman" w:cs="Times New Roman"/>
          <w:b/>
        </w:rPr>
      </w:pPr>
    </w:p>
    <w:p w14:paraId="7AC949C0" w14:textId="54766215" w:rsidR="0071192D" w:rsidRPr="00573A50" w:rsidRDefault="0071192D" w:rsidP="0071192D">
      <w:pPr>
        <w:spacing w:after="0" w:line="360" w:lineRule="auto"/>
        <w:jc w:val="both"/>
        <w:rPr>
          <w:rFonts w:ascii="Times New Roman" w:hAnsi="Times New Roman" w:cs="Times New Roman"/>
          <w:b/>
        </w:rPr>
      </w:pPr>
      <w:r w:rsidRPr="00573A50">
        <w:rPr>
          <w:rFonts w:ascii="Times New Roman" w:hAnsi="Times New Roman" w:cs="Times New Roman"/>
          <w:b/>
        </w:rPr>
        <w:lastRenderedPageBreak/>
        <w:t>The catch in implementation and coordination</w:t>
      </w:r>
    </w:p>
    <w:p w14:paraId="171F3CB8" w14:textId="77777777" w:rsidR="0071192D" w:rsidRPr="00836ACF" w:rsidRDefault="0071192D" w:rsidP="0071192D">
      <w:pPr>
        <w:spacing w:after="0" w:line="360" w:lineRule="auto"/>
        <w:jc w:val="both"/>
        <w:rPr>
          <w:rFonts w:ascii="Times New Roman" w:hAnsi="Times New Roman" w:cs="Times New Roman"/>
          <w:sz w:val="10"/>
          <w:szCs w:val="10"/>
        </w:rPr>
      </w:pPr>
    </w:p>
    <w:p w14:paraId="6F1735BA" w14:textId="6B2AA7BE" w:rsidR="0071192D" w:rsidRPr="00573A50" w:rsidRDefault="0071192D" w:rsidP="00AB468F">
      <w:pPr>
        <w:spacing w:after="0" w:line="360" w:lineRule="auto"/>
        <w:jc w:val="both"/>
        <w:rPr>
          <w:rFonts w:ascii="Times New Roman" w:hAnsi="Times New Roman" w:cs="Times New Roman"/>
        </w:rPr>
      </w:pPr>
      <w:r w:rsidRPr="00573A50">
        <w:rPr>
          <w:rFonts w:ascii="Times New Roman" w:hAnsi="Times New Roman" w:cs="Times New Roman"/>
        </w:rPr>
        <w:t xml:space="preserve">Despite India aligning domestic laws with global standards, enforcement and effective implementation remain challenging due to factors such as socio-economic disparities, resource shortages, and cultural diversity. Initially, poor infrastructure often hampers the success of any project or enterprise by affecting accessibility and the quality of service. More importantly, a lack of awareness about child rights and prevailing cultural attitudes can hinder the full enforcement of child rights. Furthermore, insufficient financial and human resources impede the functioning of institutions such as Juvenile Justice Boards and Child Welfare Committees. Moreover, when experts, professionals, law enforcement agencies, and other stakeholders are not adequately trained, it can alter the trajectory of our efforts, leading to setbacks. Furthermore, disjointed coordination and monitoring processes fail to ensure consistency in the enforcement of child rights laws in the country. These are the primary challenges that prevent legal prohibitions from translating into tangible results. </w:t>
      </w:r>
    </w:p>
    <w:p w14:paraId="44FBF053" w14:textId="77777777" w:rsidR="00F12FA5" w:rsidRPr="00327CC7" w:rsidRDefault="00F12FA5">
      <w:pPr>
        <w:rPr>
          <w:rFonts w:ascii="Times New Roman" w:hAnsi="Times New Roman" w:cs="Times New Roman"/>
          <w:b/>
          <w:sz w:val="10"/>
          <w:szCs w:val="10"/>
        </w:rPr>
      </w:pPr>
    </w:p>
    <w:p w14:paraId="6A20ECA0" w14:textId="77777777" w:rsidR="00AB468F" w:rsidRPr="007B4F72" w:rsidRDefault="00AB468F" w:rsidP="00AB468F">
      <w:pPr>
        <w:spacing w:after="0" w:line="360" w:lineRule="auto"/>
        <w:jc w:val="both"/>
        <w:rPr>
          <w:rFonts w:ascii="Times New Roman" w:hAnsi="Times New Roman" w:cs="Times New Roman"/>
          <w:b/>
        </w:rPr>
      </w:pPr>
      <w:r w:rsidRPr="007B4F72">
        <w:rPr>
          <w:rFonts w:ascii="Times New Roman" w:hAnsi="Times New Roman" w:cs="Times New Roman"/>
          <w:b/>
        </w:rPr>
        <w:t xml:space="preserve">Digital perspective of children’s rights  </w:t>
      </w:r>
    </w:p>
    <w:p w14:paraId="0C22B0F0" w14:textId="77777777" w:rsidR="00AB468F" w:rsidRPr="00327CC7" w:rsidRDefault="00AB468F" w:rsidP="00AB468F">
      <w:pPr>
        <w:spacing w:after="0" w:line="360" w:lineRule="auto"/>
        <w:jc w:val="both"/>
        <w:rPr>
          <w:rFonts w:ascii="Times New Roman" w:hAnsi="Times New Roman" w:cs="Times New Roman"/>
          <w:sz w:val="10"/>
          <w:szCs w:val="10"/>
        </w:rPr>
      </w:pPr>
    </w:p>
    <w:p w14:paraId="29EA8F80" w14:textId="77777777" w:rsidR="00AB468F" w:rsidRPr="007B4F72" w:rsidRDefault="00AB468F" w:rsidP="00AB468F">
      <w:pPr>
        <w:spacing w:after="0" w:line="360" w:lineRule="auto"/>
        <w:jc w:val="both"/>
        <w:rPr>
          <w:rFonts w:ascii="Times New Roman" w:hAnsi="Times New Roman" w:cs="Times New Roman"/>
        </w:rPr>
      </w:pPr>
      <w:r w:rsidRPr="007B4F72">
        <w:rPr>
          <w:rFonts w:ascii="Times New Roman" w:hAnsi="Times New Roman" w:cs="Times New Roman"/>
        </w:rPr>
        <w:t xml:space="preserve">Today’s ever-changing scenario, where information and communication technology (ICT) has literally taken the world by storm with its rapid development, is reshaping children’s lives. The lives of their families and communities are dictated by technologies, which have become indispensable to them (Star &amp; Bowker, 2006). Either through direct engagement with ICT or institutionalised services and content that influence children’s lives has an online dimension that subtly blurs the demarcation between online and offline. It is noticed that children are conveniently ignored when governments promote ICT in every sphere of life. Ironically, it is assumed that provision for adults will meet the children’s needs, or parents would take care of their children’s online conduct (Helsper &amp; Eynon, 2010). Invariably, the onus falls on educators and third sector organisations to inquire how the online position of children can be understood or strengthened (Livingstone &amp; Bulger, 2013; UNICEF, 2011). The UNCRC, which was formulated in the pre-digital era, are implemented in some countries and controversial for some (Alderson, 2000; eNACSO, 2012). However, it applies to all children without prejudice, and enjoins states to implement prescribed minimum entitlements. The Oslo Challenge, 2009, while extending the CRC to children’s media use, asserts that the communication environment and media are central to children’s rights (Hamelink &amp; Hoffman, 2008; Wheatley Sacino, 2012). </w:t>
      </w:r>
    </w:p>
    <w:p w14:paraId="268FF0B3" w14:textId="77777777" w:rsidR="00AB468F" w:rsidRPr="00327CC7" w:rsidRDefault="00AB468F" w:rsidP="00AB468F">
      <w:pPr>
        <w:spacing w:after="0" w:line="360" w:lineRule="auto"/>
        <w:jc w:val="both"/>
        <w:rPr>
          <w:rFonts w:ascii="Times New Roman" w:hAnsi="Times New Roman" w:cs="Times New Roman"/>
          <w:sz w:val="10"/>
          <w:szCs w:val="10"/>
        </w:rPr>
      </w:pPr>
    </w:p>
    <w:p w14:paraId="45CC4289" w14:textId="77777777" w:rsidR="00327CC7" w:rsidRDefault="00327CC7" w:rsidP="00AB468F">
      <w:pPr>
        <w:spacing w:after="0" w:line="360" w:lineRule="auto"/>
        <w:jc w:val="both"/>
        <w:rPr>
          <w:rFonts w:ascii="Times New Roman" w:hAnsi="Times New Roman" w:cs="Times New Roman"/>
          <w:b/>
        </w:rPr>
      </w:pPr>
    </w:p>
    <w:p w14:paraId="40ECD68E" w14:textId="77777777" w:rsidR="00327CC7" w:rsidRDefault="00327CC7" w:rsidP="00AB468F">
      <w:pPr>
        <w:spacing w:after="0" w:line="360" w:lineRule="auto"/>
        <w:jc w:val="both"/>
        <w:rPr>
          <w:rFonts w:ascii="Times New Roman" w:hAnsi="Times New Roman" w:cs="Times New Roman"/>
          <w:b/>
        </w:rPr>
      </w:pPr>
    </w:p>
    <w:p w14:paraId="7B11DCA3" w14:textId="48214F52" w:rsidR="00AB468F" w:rsidRPr="007B4F72" w:rsidRDefault="00AB468F" w:rsidP="00AB468F">
      <w:pPr>
        <w:spacing w:after="0" w:line="360" w:lineRule="auto"/>
        <w:jc w:val="both"/>
        <w:rPr>
          <w:rFonts w:ascii="Times New Roman" w:hAnsi="Times New Roman" w:cs="Times New Roman"/>
          <w:b/>
        </w:rPr>
      </w:pPr>
      <w:r w:rsidRPr="007B4F72">
        <w:rPr>
          <w:rFonts w:ascii="Times New Roman" w:hAnsi="Times New Roman" w:cs="Times New Roman"/>
          <w:b/>
        </w:rPr>
        <w:t>Indian perspective on digital safety</w:t>
      </w:r>
    </w:p>
    <w:p w14:paraId="774A62B5" w14:textId="77777777" w:rsidR="00AB468F" w:rsidRPr="00327CC7" w:rsidRDefault="00AB468F" w:rsidP="00AB468F">
      <w:pPr>
        <w:spacing w:after="0" w:line="360" w:lineRule="auto"/>
        <w:jc w:val="both"/>
        <w:rPr>
          <w:rFonts w:ascii="Times New Roman" w:hAnsi="Times New Roman" w:cs="Times New Roman"/>
          <w:sz w:val="10"/>
          <w:szCs w:val="10"/>
        </w:rPr>
      </w:pPr>
    </w:p>
    <w:p w14:paraId="7BB99F94" w14:textId="2A50B938" w:rsidR="00AB468F" w:rsidRPr="007B4F72" w:rsidRDefault="00AB468F" w:rsidP="00AB468F">
      <w:pPr>
        <w:spacing w:after="0" w:line="360" w:lineRule="auto"/>
        <w:jc w:val="both"/>
        <w:rPr>
          <w:rFonts w:ascii="Times New Roman" w:hAnsi="Times New Roman" w:cs="Times New Roman"/>
        </w:rPr>
      </w:pPr>
      <w:r w:rsidRPr="007B4F72">
        <w:rPr>
          <w:rFonts w:ascii="Times New Roman" w:hAnsi="Times New Roman" w:cs="Times New Roman"/>
        </w:rPr>
        <w:t xml:space="preserve">According to the NITI Aayog’s Child Internet Safety 2023 report, children aged 6 to 18 who possess smartphones invest at least 4 hours daily on social media and gaming platforms. In today’s digital era, most emerging child concerns are digital addiction, cyberbullying, and exposure to inappropriate, sexually explicit content online. And when parents and guardians lack digital literacy, children become vulnerable, </w:t>
      </w:r>
      <w:r w:rsidR="00E24ABB" w:rsidRPr="007B4F72">
        <w:rPr>
          <w:rFonts w:ascii="Times New Roman" w:hAnsi="Times New Roman" w:cs="Times New Roman"/>
        </w:rPr>
        <w:t>mentally,</w:t>
      </w:r>
      <w:r w:rsidRPr="007B4F72">
        <w:rPr>
          <w:rFonts w:ascii="Times New Roman" w:hAnsi="Times New Roman" w:cs="Times New Roman"/>
        </w:rPr>
        <w:t xml:space="preserve"> and emotionally drained. The Digital Personal Data Protection Act of 2023 in India requires parental consent before processing the data of any individual who is under 18. The National Statistical Office’s 78</w:t>
      </w:r>
      <w:r w:rsidRPr="007B4F72">
        <w:rPr>
          <w:rFonts w:ascii="Times New Roman" w:hAnsi="Times New Roman" w:cs="Times New Roman"/>
          <w:vertAlign w:val="superscript"/>
        </w:rPr>
        <w:t>th</w:t>
      </w:r>
      <w:r w:rsidRPr="007B4F72">
        <w:rPr>
          <w:rFonts w:ascii="Times New Roman" w:hAnsi="Times New Roman" w:cs="Times New Roman"/>
        </w:rPr>
        <w:t xml:space="preserve"> Round Survey report reveals that the younger age group has higher ICT skills. Hence, securing parental consent for data processing </w:t>
      </w:r>
      <w:r w:rsidR="000473A9">
        <w:rPr>
          <w:rFonts w:ascii="Times New Roman" w:hAnsi="Times New Roman" w:cs="Times New Roman"/>
        </w:rPr>
        <w:t xml:space="preserve">does not </w:t>
      </w:r>
      <w:r w:rsidRPr="007B4F72">
        <w:rPr>
          <w:rFonts w:ascii="Times New Roman" w:hAnsi="Times New Roman" w:cs="Times New Roman"/>
        </w:rPr>
        <w:t>hold water because empirical evidence shows that parents seek children’s advice to navigate digital devices. Therefore, lumping children into broad categories such as under-13s and 18s will be of no help. Using arbitrary age thresholds to evaluate children’s capacity to provide digital consent would be equally fruitless. Ultimately, such a lopsided approach will not protect children’s rights and well-being. Recently, to balance innovation with safeguards in the ever-expanding digital world, the Central government has launched a draft on Digital Personal Data Protection (DPDP) rules, 2025. This draft is open for public feedback until February 18, 2026. It has a striking provision, where children under the age of 18 will need parental consent to join social media platforms. Herein, social media platforms, gaming apps, and e-commerce websites categorised as data fiduciaries will have to obtain verifiable and explicit consent from users before collecting, processing, and storing personal data (Ashish Mukherjee, India Today, 2025).</w:t>
      </w:r>
    </w:p>
    <w:p w14:paraId="48907261" w14:textId="77777777" w:rsidR="00AB468F" w:rsidRPr="00327CC7" w:rsidRDefault="00AB468F" w:rsidP="00AB468F">
      <w:pPr>
        <w:spacing w:after="0" w:line="360" w:lineRule="auto"/>
        <w:jc w:val="both"/>
        <w:rPr>
          <w:rFonts w:ascii="Times New Roman" w:hAnsi="Times New Roman" w:cs="Times New Roman"/>
          <w:sz w:val="10"/>
          <w:szCs w:val="10"/>
        </w:rPr>
      </w:pPr>
    </w:p>
    <w:p w14:paraId="6880CD86" w14:textId="77777777" w:rsidR="00AB468F" w:rsidRPr="004C2BF9" w:rsidRDefault="00AB468F" w:rsidP="00AB468F">
      <w:pPr>
        <w:spacing w:after="0" w:line="360" w:lineRule="auto"/>
        <w:jc w:val="both"/>
        <w:rPr>
          <w:rFonts w:ascii="Times New Roman" w:hAnsi="Times New Roman" w:cs="Times New Roman"/>
          <w:b/>
        </w:rPr>
      </w:pPr>
      <w:r>
        <w:rPr>
          <w:rFonts w:ascii="Times New Roman" w:hAnsi="Times New Roman" w:cs="Times New Roman"/>
          <w:b/>
        </w:rPr>
        <w:t>D</w:t>
      </w:r>
      <w:r w:rsidRPr="004C2BF9">
        <w:rPr>
          <w:rFonts w:ascii="Times New Roman" w:hAnsi="Times New Roman" w:cs="Times New Roman"/>
          <w:b/>
        </w:rPr>
        <w:t xml:space="preserve">igital divide </w:t>
      </w:r>
      <w:r>
        <w:rPr>
          <w:rFonts w:ascii="Times New Roman" w:hAnsi="Times New Roman" w:cs="Times New Roman"/>
          <w:b/>
        </w:rPr>
        <w:t xml:space="preserve">woes </w:t>
      </w:r>
      <w:r w:rsidRPr="004C2BF9">
        <w:rPr>
          <w:rFonts w:ascii="Times New Roman" w:hAnsi="Times New Roman" w:cs="Times New Roman"/>
          <w:b/>
        </w:rPr>
        <w:t>and children</w:t>
      </w:r>
    </w:p>
    <w:p w14:paraId="3059892A" w14:textId="77777777" w:rsidR="00AB468F" w:rsidRPr="00FE6F1B" w:rsidRDefault="00AB468F" w:rsidP="00AB468F">
      <w:pPr>
        <w:spacing w:after="0" w:line="360" w:lineRule="auto"/>
        <w:jc w:val="both"/>
        <w:rPr>
          <w:rFonts w:ascii="Times New Roman" w:hAnsi="Times New Roman" w:cs="Times New Roman"/>
          <w:sz w:val="10"/>
          <w:szCs w:val="10"/>
        </w:rPr>
      </w:pPr>
    </w:p>
    <w:p w14:paraId="75EFD0EB" w14:textId="77777777" w:rsidR="00AB468F" w:rsidRDefault="00AB468F" w:rsidP="00AB468F">
      <w:pPr>
        <w:spacing w:after="0" w:line="360" w:lineRule="auto"/>
        <w:jc w:val="both"/>
        <w:rPr>
          <w:rFonts w:ascii="Times New Roman" w:hAnsi="Times New Roman" w:cs="Times New Roman"/>
        </w:rPr>
      </w:pPr>
      <w:r>
        <w:rPr>
          <w:rFonts w:ascii="Times New Roman" w:hAnsi="Times New Roman" w:cs="Times New Roman"/>
        </w:rPr>
        <w:t xml:space="preserve">The ability of individuals and communities to access and use Information and Communication Technologies (ICTs) is known as digital inclusion. It is not just a technological issue in India but a complex phenomenon connected to socio-economic, caste, regional, and gender disparities, which deepen the global digital divide and impede inclusivity. Essentially, the unequal internet penetration between urban and rural areas summarises the issue. In India, urban internet access stands at 72%, compared to 37% in rural areas (IAMAI, 2023). This reality has left rural populations nearly disconnected from the digital ecosystem, which provides access to economic services, healthcare, quality education, and government schemes. This gap widened during the COVID-19 lockdown, as 86% of students from high-income </w:t>
      </w:r>
      <w:r>
        <w:rPr>
          <w:rFonts w:ascii="Times New Roman" w:hAnsi="Times New Roman" w:cs="Times New Roman"/>
        </w:rPr>
        <w:lastRenderedPageBreak/>
        <w:t xml:space="preserve">families attended online classes, while only 24% from low-income families could (NSSO, 2022). Furthermore, a stark disparity was observed in the BharatNet Project, aimed at linking Gram Panchayats with high-speed internet – Kerala had 92% connectivity, whereas Jharkhand lagged with just 38% (MeitY, 2023). This showed ongoing inequality in digital infrastructure expansion. During school closures, Azim Premji University (2021) discovered that over 60% of students from disadvantaged backgrounds lacked smartphones or internet connectivity. Such a digital divide leads to learning loss, skill gaps, and dropout risks among vulnerable groups, impacting employment opportunities and prospects (Mukerji &amp; Tripathi, 2010). In this challenging context, India's marginalised groups have the following digital literacy rates: General Category, 64%; Other Backwards Classes, 52%; Scheduled Caste (SC), 38%; and Scheduled Tribe (ST), 31% (Sharma, 2022). Nonetheless, the government has launched flagship schemes such as Digital India, BharatNet, Pradhan Mantri Gramin Digital Saksharta Abhiyan (PMGDISHA), and Common Service Centres (CSCs) to improve and expand internet access, empowering rural populations. So far, BharatNet has achieved 74% coverage, PMGDISHA 41%, and CSCs 80%. The digital divide is a complex, multidimensional challenge in India that requires a multi-pronged approach. Eliminating digital disparities is essential, but equally important is creating access to quality education, healthcare, and economic opportunities. India has made significant progress in building digital infrastructure and expanding coverage, yet much work remains to address this urgent social issue. Key areas include creating affordable access, promoting digital literacy, ensuring gender equity, and fostering public-private partnerships. Addressing these will benefit even those living in the most remote villages. </w:t>
      </w:r>
    </w:p>
    <w:p w14:paraId="536E97D0" w14:textId="77777777" w:rsidR="00AB468F" w:rsidRPr="00FE6F1B" w:rsidRDefault="00AB468F">
      <w:pPr>
        <w:rPr>
          <w:rFonts w:ascii="Times New Roman" w:hAnsi="Times New Roman" w:cs="Times New Roman"/>
          <w:b/>
          <w:sz w:val="10"/>
          <w:szCs w:val="10"/>
        </w:rPr>
      </w:pPr>
    </w:p>
    <w:p w14:paraId="62969154" w14:textId="77777777" w:rsidR="00AB468F" w:rsidRPr="00AB468F" w:rsidRDefault="00AB468F" w:rsidP="00AB468F">
      <w:pPr>
        <w:spacing w:after="0" w:line="360" w:lineRule="auto"/>
        <w:jc w:val="both"/>
        <w:rPr>
          <w:rFonts w:ascii="Times New Roman" w:hAnsi="Times New Roman" w:cs="Times New Roman"/>
          <w:b/>
        </w:rPr>
      </w:pPr>
      <w:bookmarkStart w:id="5" w:name="_Hlk220508253"/>
      <w:r w:rsidRPr="00AB468F">
        <w:rPr>
          <w:rFonts w:ascii="Times New Roman" w:hAnsi="Times New Roman" w:cs="Times New Roman"/>
          <w:b/>
        </w:rPr>
        <w:t>Community-driven child protection initiative</w:t>
      </w:r>
    </w:p>
    <w:p w14:paraId="45523D46" w14:textId="77777777" w:rsidR="00AB468F" w:rsidRPr="005E6407" w:rsidRDefault="00AB468F" w:rsidP="00AB468F">
      <w:pPr>
        <w:spacing w:after="0" w:line="360" w:lineRule="auto"/>
        <w:jc w:val="both"/>
        <w:rPr>
          <w:rFonts w:ascii="Times New Roman" w:hAnsi="Times New Roman" w:cs="Times New Roman"/>
          <w:sz w:val="10"/>
          <w:szCs w:val="10"/>
        </w:rPr>
      </w:pPr>
    </w:p>
    <w:bookmarkEnd w:id="5"/>
    <w:p w14:paraId="7F0586A2" w14:textId="77777777" w:rsidR="00AB468F" w:rsidRPr="00AB468F" w:rsidRDefault="00AB468F" w:rsidP="00AB468F">
      <w:pPr>
        <w:spacing w:after="0" w:line="360" w:lineRule="auto"/>
        <w:jc w:val="both"/>
        <w:rPr>
          <w:rFonts w:ascii="Times New Roman" w:hAnsi="Times New Roman" w:cs="Times New Roman"/>
        </w:rPr>
      </w:pPr>
      <w:r w:rsidRPr="00AB468F">
        <w:rPr>
          <w:rFonts w:ascii="Times New Roman" w:hAnsi="Times New Roman" w:cs="Times New Roman"/>
        </w:rPr>
        <w:t xml:space="preserve">According to the UNCRC, the family essentially provides the natural environment for the overall well-being of children (UNHRC, High Commissioner's Office, 1990). It further states that family is the source of love, compassion, and understanding, which enables a child's comprehensive growth. Similarly, the UN Guidelines on Alternative Care endorse family-oriented policies that promote and strengthen parents’ capacity to care for their children (UN General Assembly, 2010). Additionally, Sustainable Development Goal (SDG) 16.2 aims to eradicate all forms of abuse, trafficking, exploitation, torture, and violence against children (UNSDGs, Statistical Division, 2020). Society is a diverse entity, while the family functions as a collection of unified units, which can include extended family, neighbourhoods, duty bearers, </w:t>
      </w:r>
      <w:r w:rsidRPr="00AB468F">
        <w:rPr>
          <w:rFonts w:ascii="Times New Roman" w:hAnsi="Times New Roman" w:cs="Times New Roman"/>
        </w:rPr>
        <w:lastRenderedPageBreak/>
        <w:t>public services, public spaces, and elected representatives. Therefore, when a family nurtures its children, it involves the entire ecosystem operating in seamless collaboration. Likewise, communities are a unique blend of physical spaces and public elements, endowed with essential characteristics that enable them to care for and support each other through behaviours, thoughts, and practices that address the emerging needs of children. The reality is that urban areas are often unaware of the community-led child protection system from the people, including children, in communities. Decentralising the rural self-governance system (Rath &amp; Panda, 2018) will empower communities to take initiative and influence governments to invest in child protection efforts. Conversely, the urban governance system is more complex, making it difficult to understand the needs of children. Perhaps, the government could learn from the experiment carried out in Madhubani village in Bihar, where an informal village child protection committee (VCPC) was established. This unique experiment was based on the Integrated Child Protection Scheme (ICPS), introduced by the government of India in 2009 (GoI, Ministry of Child Development). The core principles of ICPS aim to create a safe and secure environment for children through efforts at the village, block, and district levels. In modern India, safeguarding children's rights remains a challenge. This is not due to a lack of resources but to ground realities such as a growing population, limited financial and administrative capacity, casual attitudes, weak enforcement, and poor implementation of existing legal measures to protect children from exploitation and other hardships. In this context, the country can consider investing in community-led protection services, which could alleviate the growing burden on the state to manage this social malaise. There is also a need to strengthen community-driven mechanisms, where cooperation among people, families, and the formal child protection system can produce significant results. If governments invest in this bottom-up, community-led protection system, with the community acting as a gatekeeper, it could help India fulfil the UNCRC provisions and the UN guidelines on alternative care and advance related SDGs. However, community-led child protection mechanisms can operate in complete freedom. They can be innovative in developing strategies and operating methods. They can be pragmatic in handling issues and have disaster management plans in place for any uncertain situations, such as community backlash or failure.</w:t>
      </w:r>
    </w:p>
    <w:p w14:paraId="055C2736" w14:textId="77777777" w:rsidR="00AB468F" w:rsidRPr="00FE6F1B" w:rsidRDefault="00AB468F">
      <w:pPr>
        <w:rPr>
          <w:rFonts w:ascii="Times New Roman" w:hAnsi="Times New Roman" w:cs="Times New Roman"/>
          <w:b/>
          <w:sz w:val="10"/>
          <w:szCs w:val="10"/>
        </w:rPr>
      </w:pPr>
    </w:p>
    <w:p w14:paraId="12E83369" w14:textId="77777777" w:rsidR="00FE6F1B" w:rsidRPr="00AA73F8" w:rsidRDefault="00FE6F1B" w:rsidP="00FE6F1B">
      <w:pPr>
        <w:spacing w:after="0" w:line="360" w:lineRule="auto"/>
        <w:jc w:val="both"/>
        <w:rPr>
          <w:rFonts w:ascii="Times New Roman" w:hAnsi="Times New Roman" w:cs="Times New Roman"/>
          <w:b/>
        </w:rPr>
      </w:pPr>
      <w:r w:rsidRPr="00AA73F8">
        <w:rPr>
          <w:rFonts w:ascii="Times New Roman" w:hAnsi="Times New Roman" w:cs="Times New Roman"/>
          <w:b/>
        </w:rPr>
        <w:t>Traditional child-rearing system</w:t>
      </w:r>
    </w:p>
    <w:p w14:paraId="710909E0" w14:textId="77777777" w:rsidR="00FE6F1B" w:rsidRPr="001417A8" w:rsidRDefault="00FE6F1B" w:rsidP="00FE6F1B">
      <w:pPr>
        <w:spacing w:after="0" w:line="360" w:lineRule="auto"/>
        <w:jc w:val="both"/>
        <w:rPr>
          <w:rFonts w:ascii="Times New Roman" w:hAnsi="Times New Roman" w:cs="Times New Roman"/>
          <w:sz w:val="12"/>
          <w:szCs w:val="12"/>
        </w:rPr>
      </w:pPr>
    </w:p>
    <w:p w14:paraId="02CCC233" w14:textId="3CAAE20B" w:rsidR="00FE6F1B" w:rsidRPr="00DF3D09" w:rsidRDefault="00FE6F1B" w:rsidP="00FE6F1B">
      <w:pPr>
        <w:spacing w:after="0" w:line="360" w:lineRule="auto"/>
        <w:jc w:val="both"/>
        <w:rPr>
          <w:rFonts w:ascii="Times New Roman" w:hAnsi="Times New Roman" w:cs="Times New Roman"/>
        </w:rPr>
      </w:pPr>
      <w:r>
        <w:rPr>
          <w:rFonts w:ascii="Times New Roman" w:hAnsi="Times New Roman" w:cs="Times New Roman"/>
        </w:rPr>
        <w:t xml:space="preserve">In India, the history of child-rearing can be traced back thousands of years within a triune mechanism where culture, religion, and social ethos work together. The nuclear family has </w:t>
      </w:r>
      <w:r>
        <w:rPr>
          <w:rFonts w:ascii="Times New Roman" w:hAnsi="Times New Roman" w:cs="Times New Roman"/>
        </w:rPr>
        <w:lastRenderedPageBreak/>
        <w:t xml:space="preserve">always been the cornerstone of society, while joint families living under one roof played a pivotal role in raising children. Here, responsibilities cascade down from grandparents, parents, uncles, aunts, and cousins, all participating in nurturing children. This system imparts cultural values, traditions, and virtues to the next generation, perpetuating a family-oriented child-rearing approach across generations, where children feel safe and protected. It boasts a rich inventory of rituals and ceremonies that keep family members united as a close-knit community. Ceremonies such as child dedication and naming leave lasting impressions on a child’s life. Traditionally, mothers nurture children, and fathers provide resources and support. Family elders responsibly pass on moral stories and folklore, along with knowledge of traditional medicines, their therapeutic value, and a holistic approach to child health and well-being. Children are taught obedience and reverence toward grandparents, parents, and other elders. This grounded system fosters peace, love, compassion, and harmony within the family- a treasure of happiness and peaceful coexistence. It operates on principles of service, responsibility, and social accountability, which should be appreciated and harnessed for the overall well-being of children in society, especially where the state often fails to fulfil its duties toward these little angels. A strategically well-designed child welfare and protection policy can prevent child exploitation and maltreatment, support children suffered traumas, and facilitate access to healthcare, </w:t>
      </w:r>
      <w:r w:rsidR="00D34C5E">
        <w:rPr>
          <w:rFonts w:ascii="Times New Roman" w:hAnsi="Times New Roman" w:cs="Times New Roman"/>
        </w:rPr>
        <w:t>education,</w:t>
      </w:r>
      <w:r>
        <w:rPr>
          <w:rFonts w:ascii="Times New Roman" w:hAnsi="Times New Roman" w:cs="Times New Roman"/>
        </w:rPr>
        <w:t xml:space="preserve"> and other essential services. Family-centric care and preventive policies strengthen child protection, ensures child’s safety, and foster long-term results. Such approaches are cost-effective, which reduces overall expenditure for child welfare by 3-7% (UNICEF India, Social </w:t>
      </w:r>
      <w:r w:rsidR="00E24ABB">
        <w:rPr>
          <w:rFonts w:ascii="Times New Roman" w:hAnsi="Times New Roman" w:cs="Times New Roman"/>
        </w:rPr>
        <w:t>Policy,</w:t>
      </w:r>
      <w:r>
        <w:rPr>
          <w:rFonts w:ascii="Times New Roman" w:hAnsi="Times New Roman" w:cs="Times New Roman"/>
        </w:rPr>
        <w:t xml:space="preserve"> and Protection).  </w:t>
      </w:r>
    </w:p>
    <w:p w14:paraId="0442E0B1" w14:textId="77777777" w:rsidR="00FE6F1B" w:rsidRPr="00B609DC" w:rsidRDefault="00FE6F1B" w:rsidP="00FE6F1B">
      <w:pPr>
        <w:spacing w:after="0" w:line="360" w:lineRule="auto"/>
        <w:jc w:val="both"/>
        <w:rPr>
          <w:rFonts w:ascii="Times New Roman" w:hAnsi="Times New Roman" w:cs="Times New Roman"/>
          <w:sz w:val="10"/>
          <w:szCs w:val="10"/>
        </w:rPr>
      </w:pPr>
    </w:p>
    <w:p w14:paraId="557835D7" w14:textId="77777777" w:rsidR="00487693" w:rsidRPr="00D65F2F" w:rsidRDefault="00487693" w:rsidP="00487693">
      <w:pPr>
        <w:spacing w:after="0" w:line="360" w:lineRule="auto"/>
        <w:jc w:val="both"/>
        <w:rPr>
          <w:rFonts w:ascii="Times New Roman" w:hAnsi="Times New Roman" w:cs="Times New Roman"/>
          <w:b/>
        </w:rPr>
      </w:pPr>
      <w:r w:rsidRPr="00D65F2F">
        <w:rPr>
          <w:rFonts w:ascii="Times New Roman" w:hAnsi="Times New Roman" w:cs="Times New Roman"/>
          <w:b/>
        </w:rPr>
        <w:t xml:space="preserve">Recommendations </w:t>
      </w:r>
    </w:p>
    <w:p w14:paraId="7FB64F0B" w14:textId="77777777" w:rsidR="00487693" w:rsidRPr="00B609DC" w:rsidRDefault="00487693" w:rsidP="00487693">
      <w:pPr>
        <w:spacing w:after="0" w:line="360" w:lineRule="auto"/>
        <w:jc w:val="both"/>
        <w:rPr>
          <w:rFonts w:ascii="Times New Roman" w:hAnsi="Times New Roman" w:cs="Times New Roman"/>
          <w:sz w:val="10"/>
          <w:szCs w:val="10"/>
        </w:rPr>
      </w:pPr>
    </w:p>
    <w:p w14:paraId="10036650" w14:textId="0C6BA6F8" w:rsidR="00487693" w:rsidRPr="00D65F2F" w:rsidRDefault="00745C9E" w:rsidP="00487693">
      <w:pPr>
        <w:spacing w:after="0" w:line="360" w:lineRule="auto"/>
        <w:jc w:val="both"/>
        <w:rPr>
          <w:rFonts w:ascii="Times New Roman" w:hAnsi="Times New Roman" w:cs="Times New Roman"/>
        </w:rPr>
      </w:pPr>
      <w:r>
        <w:rPr>
          <w:rFonts w:ascii="Times New Roman" w:hAnsi="Times New Roman" w:cs="Times New Roman"/>
        </w:rPr>
        <w:t xml:space="preserve">After reviewing the inconsistencies between the UNCRC and Indian laws, I firmly believe there is an urgent need to revisit the jurisprudence surrounding children’s rights. The priority areas requiring special attention include child labour, child trafficking, sexual abuse, and gender bias. Initially, it is essential to coordinate all relevant ministries and departments of both the Central and State governments responsible for child rights issues. Next, an urgent overhaul of all existing child-related legislation is necessary, along with the sensitisation of the country's law enforcement agencies to streamline the redressal process and administration of justice concerning children's rights. A review of the national policy must stress the importance and centrality of the family's role. This requires significant effort and seamless collaboration among the states, communities, market/private sector, and stakeholders who play vital roles. Moreover, Panchayati Raj institutions (local self-governing bodies) should be revitalised to </w:t>
      </w:r>
      <w:r>
        <w:rPr>
          <w:rFonts w:ascii="Times New Roman" w:hAnsi="Times New Roman" w:cs="Times New Roman"/>
        </w:rPr>
        <w:lastRenderedPageBreak/>
        <w:t>make delivery of services in healthcare, education, nutrition, and caretaker training quite effective. Education must be central to children’s transformation, with particular focus from early childhood through primary and higher education. If these three prominent pillars of society—the state, civil society, and the market/private sector, including other stakeholders—can create synergy whereby each performs a specific role that leads to a sustainable solution for this social malaise, it would be most effective. Most importantly, the state, as the custodian of the public, can act as a regulator, thus ensuring the protection of children from any infringement of their rights. It must primarily ensure that a strong infrastructure and administrative framework are in place. Civil society, at its core, can act as a facilitator and should undertake the task of raising awareness and running sustained advocacy campaigns, fostering a broader understanding and sense of ownership among the masses towards children’s holistic welfare. The private sector (market), with major business houses at its helm, must ensure the application of ethical standards in labour practices; its community social responsibility initiatives must align with the welfare of the community, and ongoing advancements in technical know-how should have a social dimension. Its strategic policy must include a component addressing children’s rights. So, the state as a regulator, civil society as facilitator, and the private sector as contributor can bring about a remarkable transformation in the field of child rights. Additionally, to foster a supportive environment, the media must play a pivotal role in raising awareness about child rights, child abuse, and everything necessary for children’s proper growth and development. Ironically, in India, the Child Labour Act does not prohibit child labour but merely regulates it. This creates a legal situation where children aged 4 to 5 years can work as domestic servants, vendors, rag-pickers, etc. Therefore, addressing child labour-related crimes is challenging, and enforcement agencies must ensure effective compliance with the law. It is also crucial to recognise the large number of child prostitutes in the country, and to address this, we need specialised legislation and a reporting system for cases of sexual violence against children nationwide.</w:t>
      </w:r>
    </w:p>
    <w:p w14:paraId="6D78D4B7" w14:textId="77777777" w:rsidR="00487693" w:rsidRPr="00B609DC" w:rsidRDefault="00487693" w:rsidP="00487693">
      <w:pPr>
        <w:rPr>
          <w:rFonts w:ascii="Times New Roman" w:hAnsi="Times New Roman" w:cs="Times New Roman"/>
          <w:sz w:val="10"/>
          <w:szCs w:val="10"/>
        </w:rPr>
      </w:pPr>
    </w:p>
    <w:p w14:paraId="4F855F86" w14:textId="77777777" w:rsidR="00487693" w:rsidRPr="00D65F2F" w:rsidRDefault="00487693" w:rsidP="00487693">
      <w:pPr>
        <w:rPr>
          <w:rFonts w:ascii="Times New Roman" w:hAnsi="Times New Roman" w:cs="Times New Roman"/>
          <w:b/>
        </w:rPr>
      </w:pPr>
      <w:r w:rsidRPr="00D65F2F">
        <w:rPr>
          <w:rFonts w:ascii="Times New Roman" w:hAnsi="Times New Roman" w:cs="Times New Roman"/>
          <w:b/>
        </w:rPr>
        <w:t>Conclusion</w:t>
      </w:r>
    </w:p>
    <w:p w14:paraId="4AAE7903" w14:textId="77777777" w:rsidR="00487693" w:rsidRPr="00B609DC" w:rsidRDefault="00487693" w:rsidP="00487693">
      <w:pPr>
        <w:spacing w:after="0" w:line="360" w:lineRule="auto"/>
        <w:jc w:val="both"/>
        <w:rPr>
          <w:rFonts w:ascii="Times New Roman" w:hAnsi="Times New Roman" w:cs="Times New Roman"/>
          <w:sz w:val="10"/>
          <w:szCs w:val="10"/>
        </w:rPr>
      </w:pPr>
    </w:p>
    <w:p w14:paraId="2265400F" w14:textId="77777777" w:rsidR="00487693" w:rsidRDefault="00487693" w:rsidP="00487693">
      <w:pPr>
        <w:spacing w:after="0" w:line="360" w:lineRule="auto"/>
        <w:jc w:val="both"/>
        <w:rPr>
          <w:rFonts w:ascii="Times New Roman" w:hAnsi="Times New Roman" w:cs="Times New Roman"/>
        </w:rPr>
      </w:pPr>
      <w:r w:rsidRPr="00D65F2F">
        <w:rPr>
          <w:rFonts w:ascii="Times New Roman" w:hAnsi="Times New Roman" w:cs="Times New Roman"/>
        </w:rPr>
        <w:t xml:space="preserve">In India, child rights still lack full societal acceptance and political support as they should. Incidents involving children often attract public attention and frequently become topics of debate. The media reports these incidents superficially, while state governments, through fragmented efforts, try to reassure the public of progress. After thoroughly analysing the UN Convention and the current Indian legal framework, the existing gaps demand a broader </w:t>
      </w:r>
      <w:r w:rsidRPr="00D65F2F">
        <w:rPr>
          <w:rFonts w:ascii="Times New Roman" w:hAnsi="Times New Roman" w:cs="Times New Roman"/>
        </w:rPr>
        <w:lastRenderedPageBreak/>
        <w:t xml:space="preserve">commitment, consistency, and a collaborative approach to understanding and addressing issues, with a diagnostic perspective and a remedial plan to halt decline. To make meaningful and promising progress, all stakeholders urgently need to lobby authorities to enact significant legislative reforms to protect child rights. Furthermore, policymakers, legal experts, parents, civil society, communities, academic institutions, and other stakeholders must collaborate not only to identify gaps between the UNCRC and domestic laws but also to contribute to creating an enabling environment for the all-around development of children. At this juncture where governmental initiatives fall short of expectations, there is a need for civil societies, parents, NGOs, and other stakeholders to join hands in replicating the system of community-led protection of our children, as it has been successfully experimented with in the village of Madhubani in Bihar, which would be beneficial across the nation as well. At this crucial time, the business world in India has a significant role to play in bolstering child protection efforts by aligning its strategic policies, rules, and regulations with the overall welfare of our children. While communities engage in this, we need effective jurisprudence that will not only deter violations but also help tackle problems like child labour, early child marriage, human trafficking, sexual exploitation, pornography, slavery, and poverty, thereby significantly reducing these issues. The main challenge is to accurately assess the severity of problems like child trafficking, child labour, privacy, mental health, and exploitation. Similarly, promoting education and digital literacy should be prioritised to ensure responsible online behaviour among children with sensitised parental support. A robust system is required to ensure strict compliance by state parties, including penalties or sanctions for laxity, violations, or infringements. Child poverty requires urgent intervention, as it hampers physical development and causes malnutrition, adversely affecting their cognitive abilities. In this regard, the state must swiftly allocate adequate financial aid and develop infrastructure to provide shelter and comprehensive care for impoverished children. Therefore, forming strategic alliances among the government, hi-tech firms, educational institutions, civil societies, and various stakeholders is essential for creating effective policies and programmes to safeguard children's rights. The systemic failure originates from a lack of proper orientation among those addressing these issues. The administrative machinery requires specialised training and enough resources to implement remedial measures to tackle these problems. Aligning national efforts with the global agenda and engaging proactively with civil societies and NGOs will pave the way for a brighter future. By developing innovative approaches, we can effectively obviate emerging threats.  </w:t>
      </w:r>
    </w:p>
    <w:p w14:paraId="2CEF928D" w14:textId="77777777" w:rsidR="00487693" w:rsidRDefault="00487693" w:rsidP="00487693">
      <w:pPr>
        <w:spacing w:after="0" w:line="360" w:lineRule="auto"/>
        <w:jc w:val="both"/>
        <w:rPr>
          <w:rFonts w:ascii="Times New Roman" w:hAnsi="Times New Roman" w:cs="Times New Roman"/>
        </w:rPr>
      </w:pPr>
    </w:p>
    <w:p w14:paraId="0611E664" w14:textId="77777777" w:rsidR="00B609DC" w:rsidRDefault="00B609DC" w:rsidP="001156F2">
      <w:pPr>
        <w:spacing w:after="0" w:line="360" w:lineRule="auto"/>
        <w:jc w:val="both"/>
        <w:rPr>
          <w:rFonts w:ascii="Arial" w:hAnsi="Arial" w:cs="Arial"/>
          <w:b/>
          <w:sz w:val="20"/>
          <w:szCs w:val="20"/>
        </w:rPr>
      </w:pPr>
    </w:p>
    <w:p w14:paraId="2A5F2DEA" w14:textId="2D03CE66" w:rsidR="001156F2" w:rsidRPr="000A23EF" w:rsidRDefault="001156F2" w:rsidP="001156F2">
      <w:pPr>
        <w:spacing w:after="0" w:line="360" w:lineRule="auto"/>
        <w:jc w:val="both"/>
        <w:rPr>
          <w:rFonts w:ascii="Arial" w:hAnsi="Arial" w:cs="Arial"/>
          <w:b/>
          <w:sz w:val="20"/>
          <w:szCs w:val="20"/>
        </w:rPr>
      </w:pPr>
      <w:r w:rsidRPr="000A23EF">
        <w:rPr>
          <w:rFonts w:ascii="Arial" w:hAnsi="Arial" w:cs="Arial"/>
          <w:b/>
          <w:sz w:val="20"/>
          <w:szCs w:val="20"/>
        </w:rPr>
        <w:t>Reference</w:t>
      </w:r>
    </w:p>
    <w:p w14:paraId="20713DDB" w14:textId="77777777" w:rsidR="001156F2" w:rsidRDefault="001156F2" w:rsidP="001156F2">
      <w:pPr>
        <w:pStyle w:val="ListParagraph"/>
        <w:spacing w:after="0" w:line="360" w:lineRule="auto"/>
        <w:jc w:val="both"/>
        <w:rPr>
          <w:rFonts w:ascii="Arial" w:hAnsi="Arial" w:cs="Arial"/>
          <w:sz w:val="20"/>
          <w:szCs w:val="20"/>
        </w:rPr>
      </w:pPr>
    </w:p>
    <w:p w14:paraId="335EB7DA" w14:textId="77777777" w:rsidR="001156F2" w:rsidRDefault="001156F2" w:rsidP="001156F2">
      <w:pPr>
        <w:pStyle w:val="ListParagraph"/>
        <w:numPr>
          <w:ilvl w:val="0"/>
          <w:numId w:val="4"/>
        </w:numPr>
        <w:spacing w:after="0" w:line="360" w:lineRule="auto"/>
        <w:ind w:left="714"/>
        <w:jc w:val="both"/>
        <w:rPr>
          <w:rFonts w:ascii="Arial" w:hAnsi="Arial" w:cs="Arial"/>
          <w:sz w:val="20"/>
          <w:szCs w:val="20"/>
        </w:rPr>
      </w:pPr>
      <w:r>
        <w:rPr>
          <w:rFonts w:ascii="Arial" w:hAnsi="Arial" w:cs="Arial"/>
          <w:sz w:val="20"/>
          <w:szCs w:val="20"/>
        </w:rPr>
        <w:t xml:space="preserve">Ajit Murmu (2025). </w:t>
      </w:r>
      <w:r w:rsidRPr="005E4110">
        <w:rPr>
          <w:rFonts w:ascii="Arial" w:hAnsi="Arial" w:cs="Arial"/>
          <w:sz w:val="20"/>
          <w:szCs w:val="20"/>
        </w:rPr>
        <w:t>Unequal Access and Unequal Outcomes: Digital inequalities and the Knowledge Divide in India</w:t>
      </w:r>
      <w:r>
        <w:rPr>
          <w:rFonts w:ascii="Arial" w:hAnsi="Arial" w:cs="Arial"/>
          <w:sz w:val="20"/>
          <w:szCs w:val="20"/>
        </w:rPr>
        <w:t xml:space="preserve">, </w:t>
      </w:r>
      <w:r w:rsidRPr="005E4110">
        <w:rPr>
          <w:rFonts w:ascii="Arial" w:hAnsi="Arial" w:cs="Arial"/>
          <w:sz w:val="20"/>
          <w:szCs w:val="20"/>
        </w:rPr>
        <w:t>Volume 7, Issue 5</w:t>
      </w:r>
      <w:r>
        <w:rPr>
          <w:rFonts w:ascii="Arial" w:hAnsi="Arial" w:cs="Arial"/>
          <w:sz w:val="20"/>
          <w:szCs w:val="20"/>
        </w:rPr>
        <w:t>, 2025.</w:t>
      </w:r>
    </w:p>
    <w:p w14:paraId="53BFF000"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Al</w:t>
      </w:r>
      <w:r>
        <w:rPr>
          <w:rFonts w:ascii="Arial" w:hAnsi="Arial" w:cs="Arial"/>
          <w:sz w:val="20"/>
          <w:szCs w:val="20"/>
        </w:rPr>
        <w:t xml:space="preserve"> </w:t>
      </w:r>
      <w:r w:rsidRPr="004E0CEB">
        <w:rPr>
          <w:rFonts w:ascii="Arial" w:hAnsi="Arial" w:cs="Arial"/>
          <w:sz w:val="20"/>
          <w:szCs w:val="20"/>
        </w:rPr>
        <w:t>Matrooshi, A. M. J. M. (2018). </w:t>
      </w:r>
      <w:r w:rsidRPr="004E0CEB">
        <w:rPr>
          <w:rFonts w:ascii="Arial" w:hAnsi="Arial" w:cs="Arial"/>
          <w:i/>
          <w:iCs/>
          <w:sz w:val="20"/>
          <w:szCs w:val="20"/>
        </w:rPr>
        <w:t xml:space="preserve">A critical evaluation on combating child sexual abuse and the limitations of international law: a case study of </w:t>
      </w:r>
      <w:r>
        <w:rPr>
          <w:rFonts w:ascii="Arial" w:hAnsi="Arial" w:cs="Arial"/>
          <w:i/>
          <w:iCs/>
          <w:sz w:val="20"/>
          <w:szCs w:val="20"/>
        </w:rPr>
        <w:t xml:space="preserve">the </w:t>
      </w:r>
      <w:r w:rsidRPr="004E0CEB">
        <w:rPr>
          <w:rFonts w:ascii="Arial" w:hAnsi="Arial" w:cs="Arial"/>
          <w:i/>
          <w:iCs/>
          <w:sz w:val="20"/>
          <w:szCs w:val="20"/>
        </w:rPr>
        <w:t>United Arab Emirates</w:t>
      </w:r>
      <w:r w:rsidRPr="004E0CEB">
        <w:rPr>
          <w:rFonts w:ascii="Arial" w:hAnsi="Arial" w:cs="Arial"/>
          <w:sz w:val="20"/>
          <w:szCs w:val="20"/>
        </w:rPr>
        <w:t> (Doctoral dissertation, Brunel University London).</w:t>
      </w:r>
    </w:p>
    <w:p w14:paraId="0567069F"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2F4C59">
        <w:rPr>
          <w:rFonts w:ascii="Arial" w:hAnsi="Arial" w:cs="Arial"/>
          <w:sz w:val="20"/>
          <w:szCs w:val="20"/>
          <w:lang w:val="nb-NO"/>
        </w:rPr>
        <w:t xml:space="preserve">Alam, K., &amp; Halder, U. K. (2018). </w:t>
      </w:r>
      <w:r w:rsidRPr="00EB4AD1">
        <w:rPr>
          <w:rFonts w:ascii="Arial" w:hAnsi="Arial" w:cs="Arial"/>
          <w:sz w:val="20"/>
          <w:szCs w:val="20"/>
        </w:rPr>
        <w:t xml:space="preserve">Human rights and </w:t>
      </w:r>
      <w:r>
        <w:rPr>
          <w:rFonts w:ascii="Arial" w:hAnsi="Arial" w:cs="Arial"/>
          <w:sz w:val="20"/>
          <w:szCs w:val="20"/>
        </w:rPr>
        <w:t xml:space="preserve">the </w:t>
      </w:r>
      <w:r w:rsidRPr="00EB4AD1">
        <w:rPr>
          <w:rFonts w:ascii="Arial" w:hAnsi="Arial" w:cs="Arial"/>
          <w:sz w:val="20"/>
          <w:szCs w:val="20"/>
        </w:rPr>
        <w:t>right to education in India. </w:t>
      </w:r>
      <w:r w:rsidRPr="00EB4AD1">
        <w:rPr>
          <w:rFonts w:ascii="Arial" w:hAnsi="Arial" w:cs="Arial"/>
          <w:i/>
          <w:iCs/>
          <w:sz w:val="20"/>
          <w:szCs w:val="20"/>
        </w:rPr>
        <w:t>International Journal of Research and Analytical Reviews</w:t>
      </w:r>
      <w:r w:rsidRPr="00EB4AD1">
        <w:rPr>
          <w:rFonts w:ascii="Arial" w:hAnsi="Arial" w:cs="Arial"/>
          <w:sz w:val="20"/>
          <w:szCs w:val="20"/>
        </w:rPr>
        <w:t>, </w:t>
      </w:r>
      <w:r w:rsidRPr="00EB4AD1">
        <w:rPr>
          <w:rFonts w:ascii="Arial" w:hAnsi="Arial" w:cs="Arial"/>
          <w:i/>
          <w:iCs/>
          <w:sz w:val="20"/>
          <w:szCs w:val="20"/>
        </w:rPr>
        <w:t>5</w:t>
      </w:r>
      <w:r w:rsidRPr="00EB4AD1">
        <w:rPr>
          <w:rFonts w:ascii="Arial" w:hAnsi="Arial" w:cs="Arial"/>
          <w:sz w:val="20"/>
          <w:szCs w:val="20"/>
        </w:rPr>
        <w:t>(2), 2183-2186.</w:t>
      </w:r>
    </w:p>
    <w:p w14:paraId="5C75B456"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Ali, B. (2018). </w:t>
      </w:r>
      <w:r w:rsidRPr="004E0CEB">
        <w:rPr>
          <w:rFonts w:ascii="Arial" w:hAnsi="Arial" w:cs="Arial"/>
          <w:i/>
          <w:iCs/>
          <w:sz w:val="20"/>
          <w:szCs w:val="20"/>
        </w:rPr>
        <w:t>Implementation of the POCSO Act: Goals, gaps, and challenges</w:t>
      </w:r>
      <w:r w:rsidRPr="004E0CEB">
        <w:rPr>
          <w:rFonts w:ascii="Arial" w:hAnsi="Arial" w:cs="Arial"/>
          <w:sz w:val="20"/>
          <w:szCs w:val="20"/>
        </w:rPr>
        <w:t> (No id: 12741).</w:t>
      </w:r>
    </w:p>
    <w:p w14:paraId="2A943863"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6E3AC9">
        <w:rPr>
          <w:rFonts w:ascii="Arial" w:hAnsi="Arial" w:cs="Arial"/>
          <w:sz w:val="20"/>
          <w:szCs w:val="20"/>
        </w:rPr>
        <w:t>ASER (202</w:t>
      </w:r>
      <w:r>
        <w:rPr>
          <w:rFonts w:ascii="Arial" w:hAnsi="Arial" w:cs="Arial"/>
          <w:sz w:val="20"/>
          <w:szCs w:val="20"/>
        </w:rPr>
        <w:t>2</w:t>
      </w:r>
      <w:r w:rsidRPr="006E3AC9">
        <w:rPr>
          <w:rFonts w:ascii="Arial" w:hAnsi="Arial" w:cs="Arial"/>
          <w:sz w:val="20"/>
          <w:szCs w:val="20"/>
        </w:rPr>
        <w:t>). Annual status of education report (rural) 202</w:t>
      </w:r>
      <w:r>
        <w:rPr>
          <w:rFonts w:ascii="Arial" w:hAnsi="Arial" w:cs="Arial"/>
          <w:sz w:val="20"/>
          <w:szCs w:val="20"/>
        </w:rPr>
        <w:t>2.</w:t>
      </w:r>
    </w:p>
    <w:p w14:paraId="1343EC15" w14:textId="77777777" w:rsidR="001156F2" w:rsidRDefault="001156F2" w:rsidP="001156F2">
      <w:pPr>
        <w:pStyle w:val="ListParagraph"/>
        <w:numPr>
          <w:ilvl w:val="0"/>
          <w:numId w:val="4"/>
        </w:numPr>
        <w:spacing w:after="0" w:line="360" w:lineRule="auto"/>
        <w:ind w:left="714"/>
        <w:jc w:val="both"/>
        <w:rPr>
          <w:rFonts w:ascii="Arial" w:hAnsi="Arial" w:cs="Arial"/>
          <w:sz w:val="20"/>
          <w:szCs w:val="20"/>
        </w:rPr>
      </w:pPr>
      <w:r w:rsidRPr="00912CE5">
        <w:rPr>
          <w:rFonts w:ascii="Arial" w:hAnsi="Arial" w:cs="Arial"/>
          <w:sz w:val="20"/>
          <w:szCs w:val="20"/>
        </w:rPr>
        <w:t>Ashish Mukherjee (2025). Govt plans to regulate digital access for minors. Indiatoday.com</w:t>
      </w:r>
    </w:p>
    <w:p w14:paraId="2FC4AB5C"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Bal, J. (2015). </w:t>
      </w:r>
      <w:r w:rsidRPr="004E0CEB">
        <w:rPr>
          <w:rFonts w:ascii="Arial" w:hAnsi="Arial" w:cs="Arial"/>
          <w:i/>
          <w:iCs/>
          <w:sz w:val="20"/>
          <w:szCs w:val="20"/>
        </w:rPr>
        <w:t>Children’s rights and spaces: an ethnographic look at children’s rights in Punjab, India and Ontario, Canada</w:t>
      </w:r>
      <w:r w:rsidRPr="004E0CEB">
        <w:rPr>
          <w:rFonts w:ascii="Arial" w:hAnsi="Arial" w:cs="Arial"/>
          <w:sz w:val="20"/>
          <w:szCs w:val="20"/>
        </w:rPr>
        <w:t> (Doctoral dissertation).</w:t>
      </w:r>
    </w:p>
    <w:p w14:paraId="26EEB813"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Barrett, D. (2017). The child’s right to protection from drugs: Understanding history to move forward. </w:t>
      </w:r>
      <w:r w:rsidRPr="004E0CEB">
        <w:rPr>
          <w:rFonts w:ascii="Arial" w:hAnsi="Arial" w:cs="Arial"/>
          <w:i/>
          <w:iCs/>
          <w:sz w:val="20"/>
          <w:szCs w:val="20"/>
        </w:rPr>
        <w:t>Health and Human Rights</w:t>
      </w:r>
      <w:r w:rsidRPr="004E0CEB">
        <w:rPr>
          <w:rFonts w:ascii="Arial" w:hAnsi="Arial" w:cs="Arial"/>
          <w:sz w:val="20"/>
          <w:szCs w:val="20"/>
        </w:rPr>
        <w:t>, </w:t>
      </w:r>
      <w:r w:rsidRPr="004E0CEB">
        <w:rPr>
          <w:rFonts w:ascii="Arial" w:hAnsi="Arial" w:cs="Arial"/>
          <w:i/>
          <w:iCs/>
          <w:sz w:val="20"/>
          <w:szCs w:val="20"/>
        </w:rPr>
        <w:t>19</w:t>
      </w:r>
      <w:r w:rsidRPr="004E0CEB">
        <w:rPr>
          <w:rFonts w:ascii="Arial" w:hAnsi="Arial" w:cs="Arial"/>
          <w:sz w:val="20"/>
          <w:szCs w:val="20"/>
        </w:rPr>
        <w:t>(1), 263.</w:t>
      </w:r>
    </w:p>
    <w:p w14:paraId="2F18679A"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Bhattacharya, N. (2022). Historical Background and Evaluation of Rights of Children. </w:t>
      </w:r>
      <w:r w:rsidRPr="00B058A8">
        <w:rPr>
          <w:rFonts w:ascii="Arial" w:hAnsi="Arial" w:cs="Arial"/>
          <w:i/>
          <w:iCs/>
          <w:sz w:val="20"/>
          <w:szCs w:val="20"/>
        </w:rPr>
        <w:t xml:space="preserve">Part 1 Indian J. Integrated </w:t>
      </w:r>
      <w:r>
        <w:rPr>
          <w:rFonts w:ascii="Arial" w:hAnsi="Arial" w:cs="Arial"/>
          <w:i/>
          <w:iCs/>
          <w:sz w:val="20"/>
          <w:szCs w:val="20"/>
        </w:rPr>
        <w:t>Research</w:t>
      </w:r>
      <w:r w:rsidRPr="00B058A8">
        <w:rPr>
          <w:rFonts w:ascii="Arial" w:hAnsi="Arial" w:cs="Arial"/>
          <w:i/>
          <w:iCs/>
          <w:sz w:val="20"/>
          <w:szCs w:val="20"/>
        </w:rPr>
        <w:t>. L.</w:t>
      </w:r>
      <w:r w:rsidRPr="00B058A8">
        <w:rPr>
          <w:rFonts w:ascii="Arial" w:hAnsi="Arial" w:cs="Arial"/>
          <w:sz w:val="20"/>
          <w:szCs w:val="20"/>
        </w:rPr>
        <w:t>, </w:t>
      </w:r>
      <w:r w:rsidRPr="00B058A8">
        <w:rPr>
          <w:rFonts w:ascii="Arial" w:hAnsi="Arial" w:cs="Arial"/>
          <w:i/>
          <w:iCs/>
          <w:sz w:val="20"/>
          <w:szCs w:val="20"/>
        </w:rPr>
        <w:t>2</w:t>
      </w:r>
      <w:r w:rsidRPr="00B058A8">
        <w:rPr>
          <w:rFonts w:ascii="Arial" w:hAnsi="Arial" w:cs="Arial"/>
          <w:sz w:val="20"/>
          <w:szCs w:val="20"/>
        </w:rPr>
        <w:t>, 1.</w:t>
      </w:r>
    </w:p>
    <w:p w14:paraId="564B4959"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Butler, C. (Ed.). (2012). </w:t>
      </w:r>
      <w:r w:rsidRPr="004E0CEB">
        <w:rPr>
          <w:rFonts w:ascii="Arial" w:hAnsi="Arial" w:cs="Arial"/>
          <w:i/>
          <w:iCs/>
          <w:sz w:val="20"/>
          <w:szCs w:val="20"/>
        </w:rPr>
        <w:t>Child rights: The movement, international law, and opposition</w:t>
      </w:r>
      <w:r w:rsidRPr="004E0CEB">
        <w:rPr>
          <w:rFonts w:ascii="Arial" w:hAnsi="Arial" w:cs="Arial"/>
          <w:sz w:val="20"/>
          <w:szCs w:val="20"/>
        </w:rPr>
        <w:t>. Purdue University Press.</w:t>
      </w:r>
    </w:p>
    <w:p w14:paraId="2149C356"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Chopra, G. (2015). Child rights in India. </w:t>
      </w:r>
      <w:r w:rsidRPr="00B058A8">
        <w:rPr>
          <w:rFonts w:ascii="Arial" w:hAnsi="Arial" w:cs="Arial"/>
          <w:i/>
          <w:iCs/>
          <w:sz w:val="20"/>
          <w:szCs w:val="20"/>
        </w:rPr>
        <w:t>New Delhi: Springer</w:t>
      </w:r>
      <w:r w:rsidRPr="00B058A8">
        <w:rPr>
          <w:rFonts w:ascii="Arial" w:hAnsi="Arial" w:cs="Arial"/>
          <w:sz w:val="20"/>
          <w:szCs w:val="20"/>
        </w:rPr>
        <w:t>, 45-76.</w:t>
      </w:r>
    </w:p>
    <w:p w14:paraId="25D77237"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Cole-Albäck, A. (2021). A brief history of children’s rights. </w:t>
      </w:r>
      <w:r w:rsidRPr="00B058A8">
        <w:rPr>
          <w:rFonts w:ascii="Arial" w:hAnsi="Arial" w:cs="Arial"/>
          <w:i/>
          <w:iCs/>
          <w:sz w:val="20"/>
          <w:szCs w:val="20"/>
        </w:rPr>
        <w:t>The Centre for Research in Early Childhood. Birmingham, England</w:t>
      </w:r>
      <w:r w:rsidRPr="00B058A8">
        <w:rPr>
          <w:rFonts w:ascii="Arial" w:hAnsi="Arial" w:cs="Arial"/>
          <w:sz w:val="20"/>
          <w:szCs w:val="20"/>
        </w:rPr>
        <w:t>.</w:t>
      </w:r>
    </w:p>
    <w:p w14:paraId="554575C1"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D42F82">
        <w:rPr>
          <w:rFonts w:ascii="Arial" w:hAnsi="Arial" w:cs="Arial"/>
          <w:sz w:val="20"/>
          <w:szCs w:val="20"/>
        </w:rPr>
        <w:t xml:space="preserve">Dinesh, T., Ayilliath, A., Ephraim, R., &amp; Parikkal, R. (2023). Laws of child abuse in </w:t>
      </w:r>
      <w:r>
        <w:rPr>
          <w:rFonts w:ascii="Arial" w:hAnsi="Arial" w:cs="Arial"/>
          <w:sz w:val="20"/>
          <w:szCs w:val="20"/>
        </w:rPr>
        <w:t xml:space="preserve">the </w:t>
      </w:r>
      <w:r w:rsidRPr="00D42F82">
        <w:rPr>
          <w:rFonts w:ascii="Arial" w:hAnsi="Arial" w:cs="Arial"/>
          <w:sz w:val="20"/>
          <w:szCs w:val="20"/>
        </w:rPr>
        <w:t>Indian perspective: A review. </w:t>
      </w:r>
      <w:r w:rsidRPr="00D42F82">
        <w:rPr>
          <w:rFonts w:ascii="Arial" w:hAnsi="Arial" w:cs="Arial"/>
          <w:i/>
          <w:iCs/>
          <w:sz w:val="20"/>
          <w:szCs w:val="20"/>
        </w:rPr>
        <w:t>Journal of family medicine and primary care</w:t>
      </w:r>
      <w:r w:rsidRPr="00D42F82">
        <w:rPr>
          <w:rFonts w:ascii="Arial" w:hAnsi="Arial" w:cs="Arial"/>
          <w:sz w:val="20"/>
          <w:szCs w:val="20"/>
        </w:rPr>
        <w:t>, </w:t>
      </w:r>
      <w:r w:rsidRPr="00D42F82">
        <w:rPr>
          <w:rFonts w:ascii="Arial" w:hAnsi="Arial" w:cs="Arial"/>
          <w:i/>
          <w:iCs/>
          <w:sz w:val="20"/>
          <w:szCs w:val="20"/>
        </w:rPr>
        <w:t>12</w:t>
      </w:r>
      <w:r w:rsidRPr="00D42F82">
        <w:rPr>
          <w:rFonts w:ascii="Arial" w:hAnsi="Arial" w:cs="Arial"/>
          <w:sz w:val="20"/>
          <w:szCs w:val="20"/>
        </w:rPr>
        <w:t>(5), 856-862.</w:t>
      </w:r>
    </w:p>
    <w:p w14:paraId="64C35BC8" w14:textId="77777777" w:rsidR="001156F2" w:rsidRPr="006A60EE" w:rsidRDefault="001156F2" w:rsidP="001156F2">
      <w:pPr>
        <w:pStyle w:val="ListParagraph"/>
        <w:numPr>
          <w:ilvl w:val="0"/>
          <w:numId w:val="4"/>
        </w:numPr>
        <w:spacing w:after="0" w:line="360" w:lineRule="auto"/>
        <w:ind w:left="714"/>
        <w:jc w:val="both"/>
      </w:pPr>
      <w:r>
        <w:rPr>
          <w:rFonts w:ascii="Arial" w:hAnsi="Arial" w:cs="Arial"/>
          <w:sz w:val="20"/>
          <w:szCs w:val="20"/>
        </w:rPr>
        <w:t>Dr</w:t>
      </w:r>
      <w:r w:rsidRPr="006A60EE">
        <w:rPr>
          <w:rFonts w:ascii="Arial" w:hAnsi="Arial" w:cs="Arial"/>
          <w:sz w:val="20"/>
          <w:szCs w:val="20"/>
        </w:rPr>
        <w:t xml:space="preserve"> Shalu Nehra &amp; </w:t>
      </w:r>
      <w:r>
        <w:rPr>
          <w:rFonts w:ascii="Arial" w:hAnsi="Arial" w:cs="Arial"/>
          <w:sz w:val="20"/>
          <w:szCs w:val="20"/>
        </w:rPr>
        <w:t>Dr</w:t>
      </w:r>
      <w:r w:rsidRPr="006A60EE">
        <w:rPr>
          <w:rFonts w:ascii="Arial" w:hAnsi="Arial" w:cs="Arial"/>
          <w:sz w:val="20"/>
          <w:szCs w:val="20"/>
        </w:rPr>
        <w:t xml:space="preserve"> Nishma Singh (023). Traditional vs. Modern Child-Rearing Practices in India: An Exploration of Trends and Implications</w:t>
      </w:r>
      <w:r>
        <w:rPr>
          <w:rFonts w:ascii="Arial" w:hAnsi="Arial" w:cs="Arial"/>
          <w:sz w:val="20"/>
          <w:szCs w:val="20"/>
        </w:rPr>
        <w:t xml:space="preserve">. </w:t>
      </w:r>
      <w:r w:rsidRPr="006A60EE">
        <w:rPr>
          <w:rFonts w:ascii="Arial" w:hAnsi="Arial" w:cs="Arial"/>
          <w:sz w:val="20"/>
          <w:szCs w:val="20"/>
        </w:rPr>
        <w:t>JETIR May 2023, Volume 10, Issue 5</w:t>
      </w:r>
      <w:r>
        <w:rPr>
          <w:rFonts w:ascii="Arial" w:hAnsi="Arial" w:cs="Arial"/>
          <w:sz w:val="20"/>
          <w:szCs w:val="20"/>
        </w:rPr>
        <w:t>.</w:t>
      </w:r>
    </w:p>
    <w:p w14:paraId="35A4EC5C"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94134">
        <w:rPr>
          <w:rFonts w:ascii="Arial" w:hAnsi="Arial" w:cs="Arial"/>
          <w:sz w:val="20"/>
          <w:szCs w:val="20"/>
        </w:rPr>
        <w:t>Europe, I. (2014). </w:t>
      </w:r>
      <w:r w:rsidRPr="00994134">
        <w:rPr>
          <w:rFonts w:ascii="Arial" w:hAnsi="Arial" w:cs="Arial"/>
          <w:i/>
          <w:iCs/>
          <w:sz w:val="20"/>
          <w:szCs w:val="20"/>
        </w:rPr>
        <w:t>Protecting the rights of children: the role of the media. Lessons from Brazil, India and Kenya</w:t>
      </w:r>
      <w:r w:rsidRPr="00994134">
        <w:rPr>
          <w:rFonts w:ascii="Arial" w:hAnsi="Arial" w:cs="Arial"/>
          <w:sz w:val="20"/>
          <w:szCs w:val="20"/>
        </w:rPr>
        <w:t xml:space="preserve">. </w:t>
      </w:r>
    </w:p>
    <w:p w14:paraId="130C640F" w14:textId="77777777" w:rsidR="001156F2" w:rsidRDefault="001156F2" w:rsidP="001156F2">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General Enrolment Ratio (GER), 2021-22, e</w:t>
      </w:r>
      <w:r w:rsidRPr="00C32B6A">
        <w:rPr>
          <w:rFonts w:ascii="Arial" w:hAnsi="Arial" w:cs="Arial"/>
          <w:sz w:val="20"/>
          <w:szCs w:val="20"/>
        </w:rPr>
        <w:t>ducationfor</w:t>
      </w:r>
      <w:r>
        <w:rPr>
          <w:rFonts w:ascii="Arial" w:hAnsi="Arial" w:cs="Arial"/>
          <w:sz w:val="20"/>
          <w:szCs w:val="20"/>
        </w:rPr>
        <w:t>a</w:t>
      </w:r>
      <w:r w:rsidRPr="00C32B6A">
        <w:rPr>
          <w:rFonts w:ascii="Arial" w:hAnsi="Arial" w:cs="Arial"/>
          <w:sz w:val="20"/>
          <w:szCs w:val="20"/>
        </w:rPr>
        <w:t>llin</w:t>
      </w:r>
      <w:r>
        <w:rPr>
          <w:rFonts w:ascii="Arial" w:hAnsi="Arial" w:cs="Arial"/>
          <w:sz w:val="20"/>
          <w:szCs w:val="20"/>
        </w:rPr>
        <w:t>i</w:t>
      </w:r>
      <w:r w:rsidRPr="00C32B6A">
        <w:rPr>
          <w:rFonts w:ascii="Arial" w:hAnsi="Arial" w:cs="Arial"/>
          <w:sz w:val="20"/>
          <w:szCs w:val="20"/>
        </w:rPr>
        <w:t>India.</w:t>
      </w:r>
      <w:r>
        <w:rPr>
          <w:rFonts w:ascii="Arial" w:hAnsi="Arial" w:cs="Arial"/>
          <w:sz w:val="20"/>
          <w:szCs w:val="20"/>
        </w:rPr>
        <w:t>com/national-highlights /udesiplus/data/-2021-22.</w:t>
      </w:r>
    </w:p>
    <w:p w14:paraId="5D6756BC"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Golic, D., &amp; </w:t>
      </w:r>
      <w:r>
        <w:rPr>
          <w:rFonts w:ascii="Arial" w:hAnsi="Arial" w:cs="Arial"/>
          <w:sz w:val="20"/>
          <w:szCs w:val="20"/>
        </w:rPr>
        <w:t>Logarusic</w:t>
      </w:r>
      <w:r w:rsidRPr="004E0CEB">
        <w:rPr>
          <w:rFonts w:ascii="Arial" w:hAnsi="Arial" w:cs="Arial"/>
          <w:sz w:val="20"/>
          <w:szCs w:val="20"/>
        </w:rPr>
        <w:t xml:space="preserve">, D. (2023). Child rights: International standards and their implementation in the legal system of </w:t>
      </w:r>
      <w:r>
        <w:rPr>
          <w:rFonts w:ascii="Arial" w:hAnsi="Arial" w:cs="Arial"/>
          <w:sz w:val="20"/>
          <w:szCs w:val="20"/>
        </w:rPr>
        <w:t xml:space="preserve">the </w:t>
      </w:r>
      <w:r w:rsidRPr="004E0CEB">
        <w:rPr>
          <w:rFonts w:ascii="Arial" w:hAnsi="Arial" w:cs="Arial"/>
          <w:sz w:val="20"/>
          <w:szCs w:val="20"/>
        </w:rPr>
        <w:t>Republic of Serbia. </w:t>
      </w:r>
      <w:r w:rsidRPr="004E0CEB">
        <w:rPr>
          <w:rFonts w:ascii="Arial" w:hAnsi="Arial" w:cs="Arial"/>
          <w:i/>
          <w:iCs/>
          <w:sz w:val="20"/>
          <w:szCs w:val="20"/>
        </w:rPr>
        <w:t>Law Theory &amp; Prac.</w:t>
      </w:r>
      <w:r w:rsidRPr="004E0CEB">
        <w:rPr>
          <w:rFonts w:ascii="Arial" w:hAnsi="Arial" w:cs="Arial"/>
          <w:sz w:val="20"/>
          <w:szCs w:val="20"/>
        </w:rPr>
        <w:t>, </w:t>
      </w:r>
      <w:r w:rsidRPr="004E0CEB">
        <w:rPr>
          <w:rFonts w:ascii="Arial" w:hAnsi="Arial" w:cs="Arial"/>
          <w:i/>
          <w:iCs/>
          <w:sz w:val="20"/>
          <w:szCs w:val="20"/>
        </w:rPr>
        <w:t>40</w:t>
      </w:r>
      <w:r w:rsidRPr="004E0CEB">
        <w:rPr>
          <w:rFonts w:ascii="Arial" w:hAnsi="Arial" w:cs="Arial"/>
          <w:sz w:val="20"/>
          <w:szCs w:val="20"/>
        </w:rPr>
        <w:t>, 34.</w:t>
      </w:r>
    </w:p>
    <w:p w14:paraId="6077487B"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Grahn-Farley, M. (2002). A Theory of Child Rights. </w:t>
      </w:r>
      <w:r w:rsidRPr="00B058A8">
        <w:rPr>
          <w:rFonts w:ascii="Arial" w:hAnsi="Arial" w:cs="Arial"/>
          <w:i/>
          <w:iCs/>
          <w:sz w:val="20"/>
          <w:szCs w:val="20"/>
        </w:rPr>
        <w:t>U. Miami L. Rev..</w:t>
      </w:r>
      <w:r w:rsidRPr="00B058A8">
        <w:rPr>
          <w:rFonts w:ascii="Arial" w:hAnsi="Arial" w:cs="Arial"/>
          <w:sz w:val="20"/>
          <w:szCs w:val="20"/>
        </w:rPr>
        <w:t>, </w:t>
      </w:r>
      <w:r w:rsidRPr="00B058A8">
        <w:rPr>
          <w:rFonts w:ascii="Arial" w:hAnsi="Arial" w:cs="Arial"/>
          <w:i/>
          <w:iCs/>
          <w:sz w:val="20"/>
          <w:szCs w:val="20"/>
        </w:rPr>
        <w:t>57</w:t>
      </w:r>
      <w:r w:rsidRPr="00B058A8">
        <w:rPr>
          <w:rFonts w:ascii="Arial" w:hAnsi="Arial" w:cs="Arial"/>
          <w:sz w:val="20"/>
          <w:szCs w:val="20"/>
        </w:rPr>
        <w:t>, 867.</w:t>
      </w:r>
    </w:p>
    <w:p w14:paraId="5B247CE2"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A1F8D">
        <w:rPr>
          <w:rFonts w:ascii="Arial" w:hAnsi="Arial" w:cs="Arial"/>
          <w:sz w:val="20"/>
          <w:szCs w:val="20"/>
        </w:rPr>
        <w:t xml:space="preserve">Hawkins, E. D., Turner, M. L., Dowling, M. R., Van Gend, C., &amp; Hodgkin, P. D. (2007). A model of immune regulation as a consequence of </w:t>
      </w:r>
      <w:r>
        <w:rPr>
          <w:rFonts w:ascii="Arial" w:hAnsi="Arial" w:cs="Arial"/>
          <w:sz w:val="20"/>
          <w:szCs w:val="20"/>
        </w:rPr>
        <w:t>randomised</w:t>
      </w:r>
      <w:r w:rsidRPr="009A1F8D">
        <w:rPr>
          <w:rFonts w:ascii="Arial" w:hAnsi="Arial" w:cs="Arial"/>
          <w:sz w:val="20"/>
          <w:szCs w:val="20"/>
        </w:rPr>
        <w:t xml:space="preserve"> lymphocyte division and death times. </w:t>
      </w:r>
      <w:r w:rsidRPr="009A1F8D">
        <w:rPr>
          <w:rFonts w:ascii="Arial" w:hAnsi="Arial" w:cs="Arial"/>
          <w:i/>
          <w:iCs/>
          <w:sz w:val="20"/>
          <w:szCs w:val="20"/>
        </w:rPr>
        <w:t>Proceedings of the National Academy of Sciences</w:t>
      </w:r>
      <w:r w:rsidRPr="009A1F8D">
        <w:rPr>
          <w:rFonts w:ascii="Arial" w:hAnsi="Arial" w:cs="Arial"/>
          <w:sz w:val="20"/>
          <w:szCs w:val="20"/>
        </w:rPr>
        <w:t>, </w:t>
      </w:r>
      <w:r w:rsidRPr="009A1F8D">
        <w:rPr>
          <w:rFonts w:ascii="Arial" w:hAnsi="Arial" w:cs="Arial"/>
          <w:i/>
          <w:iCs/>
          <w:sz w:val="20"/>
          <w:szCs w:val="20"/>
        </w:rPr>
        <w:t>104</w:t>
      </w:r>
      <w:r w:rsidRPr="009A1F8D">
        <w:rPr>
          <w:rFonts w:ascii="Arial" w:hAnsi="Arial" w:cs="Arial"/>
          <w:sz w:val="20"/>
          <w:szCs w:val="20"/>
        </w:rPr>
        <w:t>(12), 5032-5037.</w:t>
      </w:r>
    </w:p>
    <w:p w14:paraId="21D7E104"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C52EEB">
        <w:rPr>
          <w:rFonts w:ascii="Arial" w:hAnsi="Arial" w:cs="Arial"/>
          <w:sz w:val="20"/>
          <w:szCs w:val="20"/>
        </w:rPr>
        <w:t>Islam, M. R., &amp; Sikder, M. A. I. (2014). Effectiveness of legal and institutional framework for juvenile justice in Bangladesh: a critical analysis. </w:t>
      </w:r>
      <w:r w:rsidRPr="00C52EEB">
        <w:rPr>
          <w:rFonts w:ascii="Arial" w:hAnsi="Arial" w:cs="Arial"/>
          <w:i/>
          <w:iCs/>
          <w:sz w:val="20"/>
          <w:szCs w:val="20"/>
        </w:rPr>
        <w:t>Social Research Reports</w:t>
      </w:r>
      <w:r w:rsidRPr="00C52EEB">
        <w:rPr>
          <w:rFonts w:ascii="Arial" w:hAnsi="Arial" w:cs="Arial"/>
          <w:sz w:val="20"/>
          <w:szCs w:val="20"/>
        </w:rPr>
        <w:t>, </w:t>
      </w:r>
      <w:r w:rsidRPr="00C52EEB">
        <w:rPr>
          <w:rFonts w:ascii="Arial" w:hAnsi="Arial" w:cs="Arial"/>
          <w:i/>
          <w:iCs/>
          <w:sz w:val="20"/>
          <w:szCs w:val="20"/>
        </w:rPr>
        <w:t>26</w:t>
      </w:r>
      <w:r w:rsidRPr="00C52EEB">
        <w:rPr>
          <w:rFonts w:ascii="Arial" w:hAnsi="Arial" w:cs="Arial"/>
          <w:sz w:val="20"/>
          <w:szCs w:val="20"/>
        </w:rPr>
        <w:t>, 66.</w:t>
      </w:r>
    </w:p>
    <w:p w14:paraId="71E0140B"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C37729">
        <w:rPr>
          <w:rFonts w:ascii="Arial" w:hAnsi="Arial" w:cs="Arial"/>
          <w:sz w:val="20"/>
          <w:szCs w:val="20"/>
          <w:lang w:val="nb-NO"/>
        </w:rPr>
        <w:lastRenderedPageBreak/>
        <w:t xml:space="preserve">Kaletski, E., Watson, K. A., &amp; Hawley, V. (2024). </w:t>
      </w:r>
      <w:r w:rsidRPr="00FB4691">
        <w:rPr>
          <w:rFonts w:ascii="Arial" w:hAnsi="Arial" w:cs="Arial"/>
          <w:sz w:val="20"/>
          <w:szCs w:val="20"/>
        </w:rPr>
        <w:t>Quantifications of the Rights of the Child: Lessons Learned and Moving Forward. </w:t>
      </w:r>
      <w:r w:rsidRPr="00FB4691">
        <w:rPr>
          <w:rFonts w:ascii="Arial" w:hAnsi="Arial" w:cs="Arial"/>
          <w:i/>
          <w:iCs/>
          <w:sz w:val="20"/>
          <w:szCs w:val="20"/>
        </w:rPr>
        <w:t>Child Indicators Research</w:t>
      </w:r>
      <w:r w:rsidRPr="00FB4691">
        <w:rPr>
          <w:rFonts w:ascii="Arial" w:hAnsi="Arial" w:cs="Arial"/>
          <w:sz w:val="20"/>
          <w:szCs w:val="20"/>
        </w:rPr>
        <w:t>, </w:t>
      </w:r>
      <w:r w:rsidRPr="00FB4691">
        <w:rPr>
          <w:rFonts w:ascii="Arial" w:hAnsi="Arial" w:cs="Arial"/>
          <w:i/>
          <w:iCs/>
          <w:sz w:val="20"/>
          <w:szCs w:val="20"/>
        </w:rPr>
        <w:t>17</w:t>
      </w:r>
      <w:r w:rsidRPr="00FB4691">
        <w:rPr>
          <w:rFonts w:ascii="Arial" w:hAnsi="Arial" w:cs="Arial"/>
          <w:sz w:val="20"/>
          <w:szCs w:val="20"/>
        </w:rPr>
        <w:t>(2), 483-508.</w:t>
      </w:r>
    </w:p>
    <w:p w14:paraId="3C6DCFAD"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FC5281">
        <w:rPr>
          <w:rFonts w:ascii="Arial" w:hAnsi="Arial" w:cs="Arial"/>
          <w:sz w:val="20"/>
          <w:szCs w:val="20"/>
        </w:rPr>
        <w:t>Kaur, N., &amp; Gulati, D. S. (2021). Trafficking of children for child labour in India. </w:t>
      </w:r>
      <w:r w:rsidRPr="00FC5281">
        <w:rPr>
          <w:rFonts w:ascii="Arial" w:hAnsi="Arial" w:cs="Arial"/>
          <w:i/>
          <w:iCs/>
          <w:sz w:val="20"/>
          <w:szCs w:val="20"/>
        </w:rPr>
        <w:t>International journal of education, modern management, applied science and social science</w:t>
      </w:r>
      <w:r w:rsidRPr="00FC5281">
        <w:rPr>
          <w:rFonts w:ascii="Arial" w:hAnsi="Arial" w:cs="Arial"/>
          <w:sz w:val="20"/>
          <w:szCs w:val="20"/>
        </w:rPr>
        <w:t>, </w:t>
      </w:r>
      <w:r w:rsidRPr="00FC5281">
        <w:rPr>
          <w:rFonts w:ascii="Arial" w:hAnsi="Arial" w:cs="Arial"/>
          <w:i/>
          <w:iCs/>
          <w:sz w:val="20"/>
          <w:szCs w:val="20"/>
        </w:rPr>
        <w:t>3</w:t>
      </w:r>
      <w:r w:rsidRPr="00FC5281">
        <w:rPr>
          <w:rFonts w:ascii="Arial" w:hAnsi="Arial" w:cs="Arial"/>
          <w:sz w:val="20"/>
          <w:szCs w:val="20"/>
        </w:rPr>
        <w:t>(4), 24-28.</w:t>
      </w:r>
    </w:p>
    <w:p w14:paraId="5BC4E60E" w14:textId="77777777" w:rsidR="001156F2" w:rsidRPr="00636E5B" w:rsidRDefault="001156F2" w:rsidP="001156F2">
      <w:pPr>
        <w:pStyle w:val="ListParagraph"/>
        <w:numPr>
          <w:ilvl w:val="0"/>
          <w:numId w:val="4"/>
        </w:numPr>
        <w:spacing w:after="0" w:line="360" w:lineRule="auto"/>
        <w:jc w:val="both"/>
      </w:pPr>
      <w:r>
        <w:rPr>
          <w:rFonts w:ascii="Arial" w:hAnsi="Arial" w:cs="Arial"/>
          <w:sz w:val="20"/>
          <w:szCs w:val="20"/>
        </w:rPr>
        <w:t>KidsRights Index Report 2024</w:t>
      </w:r>
    </w:p>
    <w:p w14:paraId="2BBA887F"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Kothari, M., &amp; Sharma, S. (2024). The Impact of the United Nations Human Rights Treaties on the Domestic Level in India. In </w:t>
      </w:r>
      <w:r w:rsidRPr="004E0CEB">
        <w:rPr>
          <w:rFonts w:ascii="Arial" w:hAnsi="Arial" w:cs="Arial"/>
          <w:i/>
          <w:iCs/>
          <w:sz w:val="20"/>
          <w:szCs w:val="20"/>
        </w:rPr>
        <w:t>The Impact of the United Nations Human Rights Treaties on the Domestic Level: Twenty Years On</w:t>
      </w:r>
      <w:r w:rsidRPr="004E0CEB">
        <w:rPr>
          <w:rFonts w:ascii="Arial" w:hAnsi="Arial" w:cs="Arial"/>
          <w:sz w:val="20"/>
          <w:szCs w:val="20"/>
        </w:rPr>
        <w:t> (pp. 532-568). Brill Nijhoff.</w:t>
      </w:r>
    </w:p>
    <w:p w14:paraId="2E1328B6"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Kumar, A., Srivastava, J. S. P., &amp; Asthana, K. B. J</w:t>
      </w:r>
      <w:r>
        <w:rPr>
          <w:rFonts w:ascii="Arial" w:hAnsi="Arial" w:cs="Arial"/>
          <w:sz w:val="20"/>
          <w:szCs w:val="20"/>
        </w:rPr>
        <w:t>ustice delivery to children in India</w:t>
      </w:r>
      <w:r w:rsidRPr="004E0CEB">
        <w:rPr>
          <w:rFonts w:ascii="Arial" w:hAnsi="Arial" w:cs="Arial"/>
          <w:sz w:val="20"/>
          <w:szCs w:val="20"/>
        </w:rPr>
        <w:t xml:space="preserve">: A </w:t>
      </w:r>
      <w:r>
        <w:rPr>
          <w:rFonts w:ascii="Arial" w:hAnsi="Arial" w:cs="Arial"/>
          <w:sz w:val="20"/>
          <w:szCs w:val="20"/>
        </w:rPr>
        <w:t>study in the context of their rights</w:t>
      </w:r>
      <w:r w:rsidRPr="004E0CEB">
        <w:rPr>
          <w:rFonts w:ascii="Arial" w:hAnsi="Arial" w:cs="Arial"/>
          <w:sz w:val="20"/>
          <w:szCs w:val="20"/>
        </w:rPr>
        <w:t>. </w:t>
      </w:r>
      <w:r w:rsidRPr="004E0CEB">
        <w:rPr>
          <w:rFonts w:ascii="Arial" w:hAnsi="Arial" w:cs="Arial"/>
          <w:i/>
          <w:iCs/>
          <w:sz w:val="20"/>
          <w:szCs w:val="20"/>
        </w:rPr>
        <w:t>B</w:t>
      </w:r>
      <w:r>
        <w:rPr>
          <w:rFonts w:ascii="Arial" w:hAnsi="Arial" w:cs="Arial"/>
          <w:i/>
          <w:iCs/>
          <w:sz w:val="20"/>
          <w:szCs w:val="20"/>
        </w:rPr>
        <w:t xml:space="preserve">ihar </w:t>
      </w:r>
      <w:r w:rsidRPr="004E0CEB">
        <w:rPr>
          <w:rFonts w:ascii="Arial" w:hAnsi="Arial" w:cs="Arial"/>
          <w:i/>
          <w:iCs/>
          <w:sz w:val="20"/>
          <w:szCs w:val="20"/>
        </w:rPr>
        <w:t>J</w:t>
      </w:r>
      <w:r>
        <w:rPr>
          <w:rFonts w:ascii="Arial" w:hAnsi="Arial" w:cs="Arial"/>
          <w:i/>
          <w:iCs/>
          <w:sz w:val="20"/>
          <w:szCs w:val="20"/>
        </w:rPr>
        <w:t>ournal of</w:t>
      </w:r>
      <w:r w:rsidRPr="004E0CEB">
        <w:rPr>
          <w:rFonts w:ascii="Arial" w:hAnsi="Arial" w:cs="Arial"/>
          <w:sz w:val="20"/>
          <w:szCs w:val="20"/>
        </w:rPr>
        <w:t>, 422.</w:t>
      </w:r>
    </w:p>
    <w:p w14:paraId="300D86EA"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22B75">
        <w:rPr>
          <w:rFonts w:ascii="Arial" w:hAnsi="Arial" w:cs="Arial"/>
          <w:sz w:val="20"/>
          <w:szCs w:val="20"/>
        </w:rPr>
        <w:t>Lal, N. (2021). India's Child-Trafficking Nightmare Deepens in the Pandemic. </w:t>
      </w:r>
      <w:r w:rsidRPr="00922B75">
        <w:rPr>
          <w:rFonts w:ascii="Arial" w:hAnsi="Arial" w:cs="Arial"/>
          <w:i/>
          <w:iCs/>
          <w:sz w:val="20"/>
          <w:szCs w:val="20"/>
        </w:rPr>
        <w:t>Global Asia</w:t>
      </w:r>
      <w:r w:rsidRPr="00922B75">
        <w:rPr>
          <w:rFonts w:ascii="Arial" w:hAnsi="Arial" w:cs="Arial"/>
          <w:sz w:val="20"/>
          <w:szCs w:val="20"/>
        </w:rPr>
        <w:t>, </w:t>
      </w:r>
      <w:r w:rsidRPr="00922B75">
        <w:rPr>
          <w:rFonts w:ascii="Arial" w:hAnsi="Arial" w:cs="Arial"/>
          <w:i/>
          <w:iCs/>
          <w:sz w:val="20"/>
          <w:szCs w:val="20"/>
        </w:rPr>
        <w:t>16</w:t>
      </w:r>
      <w:r w:rsidRPr="00922B75">
        <w:rPr>
          <w:rFonts w:ascii="Arial" w:hAnsi="Arial" w:cs="Arial"/>
          <w:sz w:val="20"/>
          <w:szCs w:val="20"/>
        </w:rPr>
        <w:t>(1), 82-87.</w:t>
      </w:r>
    </w:p>
    <w:p w14:paraId="11FD8CB6"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E6611A">
        <w:rPr>
          <w:rFonts w:ascii="Arial" w:hAnsi="Arial" w:cs="Arial"/>
          <w:sz w:val="20"/>
          <w:szCs w:val="20"/>
        </w:rPr>
        <w:t>Lansdown, G. (2022, January). Article 31: The rights to rest, play, recreation, and Cultural and artistic activities. In </w:t>
      </w:r>
      <w:r w:rsidRPr="00E6611A">
        <w:rPr>
          <w:rFonts w:ascii="Arial" w:hAnsi="Arial" w:cs="Arial"/>
          <w:i/>
          <w:iCs/>
          <w:sz w:val="20"/>
          <w:szCs w:val="20"/>
        </w:rPr>
        <w:t>Monitoring State Compliance with the UN Convention on the Rights of the Child</w:t>
      </w:r>
      <w:r w:rsidRPr="00E6611A">
        <w:rPr>
          <w:rFonts w:ascii="Arial" w:hAnsi="Arial" w:cs="Arial"/>
          <w:sz w:val="20"/>
          <w:szCs w:val="20"/>
        </w:rPr>
        <w:t> (p. 281). Cham: Springer.</w:t>
      </w:r>
    </w:p>
    <w:p w14:paraId="470BE374"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903A2E">
        <w:rPr>
          <w:rFonts w:ascii="Arial" w:hAnsi="Arial" w:cs="Arial"/>
          <w:sz w:val="20"/>
          <w:szCs w:val="20"/>
        </w:rPr>
        <w:t>Livingstone, S., &amp; Bulger, M. (2014). A global research agenda for children's rights in the digital age. </w:t>
      </w:r>
      <w:r w:rsidRPr="00903A2E">
        <w:rPr>
          <w:rFonts w:ascii="Arial" w:hAnsi="Arial" w:cs="Arial"/>
          <w:i/>
          <w:iCs/>
          <w:sz w:val="20"/>
          <w:szCs w:val="20"/>
        </w:rPr>
        <w:t>Journal of Children and Media</w:t>
      </w:r>
      <w:r w:rsidRPr="00903A2E">
        <w:rPr>
          <w:rFonts w:ascii="Arial" w:hAnsi="Arial" w:cs="Arial"/>
          <w:sz w:val="20"/>
          <w:szCs w:val="20"/>
        </w:rPr>
        <w:t>, </w:t>
      </w:r>
      <w:r w:rsidRPr="00903A2E">
        <w:rPr>
          <w:rFonts w:ascii="Arial" w:hAnsi="Arial" w:cs="Arial"/>
          <w:i/>
          <w:iCs/>
          <w:sz w:val="20"/>
          <w:szCs w:val="20"/>
        </w:rPr>
        <w:t>8</w:t>
      </w:r>
      <w:r w:rsidRPr="00903A2E">
        <w:rPr>
          <w:rFonts w:ascii="Arial" w:hAnsi="Arial" w:cs="Arial"/>
          <w:sz w:val="20"/>
          <w:szCs w:val="20"/>
        </w:rPr>
        <w:t>(4), 317-335.</w:t>
      </w:r>
    </w:p>
    <w:p w14:paraId="2E21C1F7" w14:textId="77777777" w:rsidR="001156F2" w:rsidRPr="00B058A8" w:rsidRDefault="001156F2" w:rsidP="001156F2">
      <w:pPr>
        <w:pStyle w:val="ListParagraph"/>
        <w:numPr>
          <w:ilvl w:val="0"/>
          <w:numId w:val="4"/>
        </w:numPr>
        <w:spacing w:after="0" w:line="360" w:lineRule="auto"/>
        <w:jc w:val="both"/>
        <w:rPr>
          <w:rFonts w:ascii="Arial" w:hAnsi="Arial" w:cs="Arial"/>
          <w:sz w:val="20"/>
          <w:szCs w:val="20"/>
        </w:rPr>
      </w:pPr>
      <w:r w:rsidRPr="00B058A8">
        <w:rPr>
          <w:rFonts w:ascii="Arial" w:hAnsi="Arial" w:cs="Arial"/>
          <w:sz w:val="20"/>
          <w:szCs w:val="20"/>
        </w:rPr>
        <w:t>Mahmood, A., &amp; Tahir, R. (2021). Historically Transvaluating the Newspaper of the Colonial Rule. </w:t>
      </w:r>
      <w:r w:rsidRPr="00B058A8">
        <w:rPr>
          <w:rFonts w:ascii="Arial" w:hAnsi="Arial" w:cs="Arial"/>
          <w:i/>
          <w:iCs/>
          <w:sz w:val="20"/>
          <w:szCs w:val="20"/>
        </w:rPr>
        <w:t>Journal of Research (Humanities)</w:t>
      </w:r>
      <w:r w:rsidRPr="00B058A8">
        <w:rPr>
          <w:rFonts w:ascii="Arial" w:hAnsi="Arial" w:cs="Arial"/>
          <w:sz w:val="20"/>
          <w:szCs w:val="20"/>
        </w:rPr>
        <w:t>, </w:t>
      </w:r>
      <w:r w:rsidRPr="00B058A8">
        <w:rPr>
          <w:rFonts w:ascii="Arial" w:hAnsi="Arial" w:cs="Arial"/>
          <w:i/>
          <w:iCs/>
          <w:sz w:val="20"/>
          <w:szCs w:val="20"/>
        </w:rPr>
        <w:t>57</w:t>
      </w:r>
      <w:r w:rsidRPr="00B058A8">
        <w:rPr>
          <w:rFonts w:ascii="Arial" w:hAnsi="Arial" w:cs="Arial"/>
          <w:sz w:val="20"/>
          <w:szCs w:val="20"/>
        </w:rPr>
        <w:t>(2).</w:t>
      </w:r>
    </w:p>
    <w:p w14:paraId="601AFEFD"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 xml:space="preserve">Majumdar, P., &amp; Sarkar, A. K. (2025). </w:t>
      </w:r>
      <w:r>
        <w:rPr>
          <w:rFonts w:ascii="Arial" w:hAnsi="Arial" w:cs="Arial"/>
          <w:sz w:val="20"/>
          <w:szCs w:val="20"/>
        </w:rPr>
        <w:t>Family-centred</w:t>
      </w:r>
      <w:r w:rsidRPr="001B005B">
        <w:rPr>
          <w:rFonts w:ascii="Arial" w:hAnsi="Arial" w:cs="Arial"/>
          <w:sz w:val="20"/>
          <w:szCs w:val="20"/>
        </w:rPr>
        <w:t xml:space="preserve"> approach to child protection services in India: Future scope for non-governmental </w:t>
      </w:r>
      <w:r>
        <w:rPr>
          <w:rFonts w:ascii="Arial" w:hAnsi="Arial" w:cs="Arial"/>
          <w:sz w:val="20"/>
          <w:szCs w:val="20"/>
        </w:rPr>
        <w:t>organisations</w:t>
      </w:r>
      <w:r w:rsidRPr="001B005B">
        <w:rPr>
          <w:rFonts w:ascii="Arial" w:hAnsi="Arial" w:cs="Arial"/>
          <w:sz w:val="20"/>
          <w:szCs w:val="20"/>
        </w:rPr>
        <w:t xml:space="preserve"> to prevent child maltreatment. </w:t>
      </w:r>
      <w:r w:rsidRPr="001B005B">
        <w:rPr>
          <w:rFonts w:ascii="Arial" w:hAnsi="Arial" w:cs="Arial"/>
          <w:i/>
          <w:iCs/>
          <w:sz w:val="20"/>
          <w:szCs w:val="20"/>
        </w:rPr>
        <w:t>Child Protection and Practice</w:t>
      </w:r>
      <w:r w:rsidRPr="001B005B">
        <w:rPr>
          <w:rFonts w:ascii="Arial" w:hAnsi="Arial" w:cs="Arial"/>
          <w:sz w:val="20"/>
          <w:szCs w:val="20"/>
        </w:rPr>
        <w:t>, </w:t>
      </w:r>
      <w:r w:rsidRPr="001B005B">
        <w:rPr>
          <w:rFonts w:ascii="Arial" w:hAnsi="Arial" w:cs="Arial"/>
          <w:i/>
          <w:iCs/>
          <w:sz w:val="20"/>
          <w:szCs w:val="20"/>
        </w:rPr>
        <w:t>5</w:t>
      </w:r>
      <w:r w:rsidRPr="001B005B">
        <w:rPr>
          <w:rFonts w:ascii="Arial" w:hAnsi="Arial" w:cs="Arial"/>
          <w:sz w:val="20"/>
          <w:szCs w:val="20"/>
        </w:rPr>
        <w:t>, 100157.</w:t>
      </w:r>
    </w:p>
    <w:p w14:paraId="6D297B0E"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Menon, K., &amp; Rangel, N. (2021). Enabling Community-led Child Protection. </w:t>
      </w:r>
      <w:r w:rsidRPr="001B005B">
        <w:rPr>
          <w:rFonts w:ascii="Arial" w:hAnsi="Arial" w:cs="Arial"/>
          <w:i/>
          <w:iCs/>
          <w:sz w:val="20"/>
          <w:szCs w:val="20"/>
        </w:rPr>
        <w:t>Child Welfare</w:t>
      </w:r>
      <w:r w:rsidRPr="001B005B">
        <w:rPr>
          <w:rFonts w:ascii="Arial" w:hAnsi="Arial" w:cs="Arial"/>
          <w:sz w:val="20"/>
          <w:szCs w:val="20"/>
        </w:rPr>
        <w:t>, </w:t>
      </w:r>
      <w:r w:rsidRPr="001B005B">
        <w:rPr>
          <w:rFonts w:ascii="Arial" w:hAnsi="Arial" w:cs="Arial"/>
          <w:i/>
          <w:iCs/>
          <w:sz w:val="20"/>
          <w:szCs w:val="20"/>
        </w:rPr>
        <w:t>98</w:t>
      </w:r>
      <w:r w:rsidRPr="001B005B">
        <w:rPr>
          <w:rFonts w:ascii="Arial" w:hAnsi="Arial" w:cs="Arial"/>
          <w:sz w:val="20"/>
          <w:szCs w:val="20"/>
        </w:rPr>
        <w:t>(6), 203-226.</w:t>
      </w:r>
    </w:p>
    <w:p w14:paraId="6B62AC6A"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4809F1">
        <w:rPr>
          <w:rFonts w:ascii="Arial" w:hAnsi="Arial" w:cs="Arial"/>
          <w:sz w:val="20"/>
          <w:szCs w:val="20"/>
        </w:rPr>
        <w:t>Nickel, J. W. (2002). Is today's international human rights system a global governance regime</w:t>
      </w:r>
      <w:r>
        <w:rPr>
          <w:rFonts w:ascii="Arial" w:hAnsi="Arial" w:cs="Arial"/>
          <w:sz w:val="20"/>
          <w:szCs w:val="20"/>
        </w:rPr>
        <w:t xml:space="preserve"> </w:t>
      </w:r>
      <w:r w:rsidRPr="004809F1">
        <w:rPr>
          <w:rFonts w:ascii="Arial" w:hAnsi="Arial" w:cs="Arial"/>
          <w:sz w:val="20"/>
          <w:szCs w:val="20"/>
        </w:rPr>
        <w:t>?. </w:t>
      </w:r>
      <w:r w:rsidRPr="004809F1">
        <w:rPr>
          <w:rFonts w:ascii="Arial" w:hAnsi="Arial" w:cs="Arial"/>
          <w:i/>
          <w:iCs/>
          <w:sz w:val="20"/>
          <w:szCs w:val="20"/>
        </w:rPr>
        <w:t>The journal of ethics</w:t>
      </w:r>
      <w:r w:rsidRPr="004809F1">
        <w:rPr>
          <w:rFonts w:ascii="Arial" w:hAnsi="Arial" w:cs="Arial"/>
          <w:sz w:val="20"/>
          <w:szCs w:val="20"/>
        </w:rPr>
        <w:t>, </w:t>
      </w:r>
      <w:r w:rsidRPr="004809F1">
        <w:rPr>
          <w:rFonts w:ascii="Arial" w:hAnsi="Arial" w:cs="Arial"/>
          <w:i/>
          <w:iCs/>
          <w:sz w:val="20"/>
          <w:szCs w:val="20"/>
        </w:rPr>
        <w:t>6</w:t>
      </w:r>
      <w:r w:rsidRPr="004809F1">
        <w:rPr>
          <w:rFonts w:ascii="Arial" w:hAnsi="Arial" w:cs="Arial"/>
          <w:sz w:val="20"/>
          <w:szCs w:val="20"/>
        </w:rPr>
        <w:t>, 353-371.</w:t>
      </w:r>
    </w:p>
    <w:p w14:paraId="437D40BD"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Niranjan Parida (2020). Trafficking in women and children in India in the context of judicial response method and strategy of protection – a socio-legal study. International Journal of Law. Pg 1-to-09</w:t>
      </w:r>
    </w:p>
    <w:p w14:paraId="37297198"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895B49">
        <w:rPr>
          <w:rFonts w:ascii="Arial" w:hAnsi="Arial" w:cs="Arial"/>
          <w:sz w:val="20"/>
          <w:szCs w:val="20"/>
        </w:rPr>
        <w:t xml:space="preserve">Parveen, M. S. (2021). A Critical Analysis </w:t>
      </w:r>
      <w:r>
        <w:rPr>
          <w:rFonts w:ascii="Arial" w:hAnsi="Arial" w:cs="Arial"/>
          <w:sz w:val="20"/>
          <w:szCs w:val="20"/>
        </w:rPr>
        <w:t>of</w:t>
      </w:r>
      <w:r w:rsidRPr="00895B49">
        <w:rPr>
          <w:rFonts w:ascii="Arial" w:hAnsi="Arial" w:cs="Arial"/>
          <w:sz w:val="20"/>
          <w:szCs w:val="20"/>
        </w:rPr>
        <w:t xml:space="preserve"> </w:t>
      </w:r>
      <w:r>
        <w:rPr>
          <w:rFonts w:ascii="Arial" w:hAnsi="Arial" w:cs="Arial"/>
          <w:sz w:val="20"/>
          <w:szCs w:val="20"/>
        </w:rPr>
        <w:t xml:space="preserve">the </w:t>
      </w:r>
      <w:r w:rsidRPr="00895B49">
        <w:rPr>
          <w:rFonts w:ascii="Arial" w:hAnsi="Arial" w:cs="Arial"/>
          <w:sz w:val="20"/>
          <w:szCs w:val="20"/>
        </w:rPr>
        <w:t>National Commission for Protection of Child Rights. </w:t>
      </w:r>
      <w:r w:rsidRPr="00895B49">
        <w:rPr>
          <w:rFonts w:ascii="Arial" w:hAnsi="Arial" w:cs="Arial"/>
          <w:i/>
          <w:iCs/>
          <w:sz w:val="20"/>
          <w:szCs w:val="20"/>
        </w:rPr>
        <w:t>Indian JL &amp; Legal Rsch.</w:t>
      </w:r>
      <w:r w:rsidRPr="00895B49">
        <w:rPr>
          <w:rFonts w:ascii="Arial" w:hAnsi="Arial" w:cs="Arial"/>
          <w:sz w:val="20"/>
          <w:szCs w:val="20"/>
        </w:rPr>
        <w:t>, </w:t>
      </w:r>
      <w:r w:rsidRPr="00895B49">
        <w:rPr>
          <w:rFonts w:ascii="Arial" w:hAnsi="Arial" w:cs="Arial"/>
          <w:i/>
          <w:iCs/>
          <w:sz w:val="20"/>
          <w:szCs w:val="20"/>
        </w:rPr>
        <w:t>2</w:t>
      </w:r>
      <w:r w:rsidRPr="00895B49">
        <w:rPr>
          <w:rFonts w:ascii="Arial" w:hAnsi="Arial" w:cs="Arial"/>
          <w:sz w:val="20"/>
          <w:szCs w:val="20"/>
        </w:rPr>
        <w:t>, 1.</w:t>
      </w:r>
    </w:p>
    <w:p w14:paraId="4BF7B361"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Pattnaik, A., &amp; SNIL, S. (2018). UNCRC &amp; </w:t>
      </w:r>
      <w:r>
        <w:rPr>
          <w:rFonts w:ascii="Arial" w:hAnsi="Arial" w:cs="Arial"/>
          <w:sz w:val="20"/>
          <w:szCs w:val="20"/>
        </w:rPr>
        <w:t>labouring children in India</w:t>
      </w:r>
      <w:r w:rsidRPr="004E0CEB">
        <w:rPr>
          <w:rFonts w:ascii="Arial" w:hAnsi="Arial" w:cs="Arial"/>
          <w:sz w:val="20"/>
          <w:szCs w:val="20"/>
        </w:rPr>
        <w:t>.</w:t>
      </w:r>
    </w:p>
    <w:p w14:paraId="78A95DF0"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Raha, S. (2019). Treatment of Children as Adults under India’s Juvenile Justice (Care and Protection of Children) Act, 2015: A Retreat from International Human Rights Law. </w:t>
      </w:r>
      <w:r w:rsidRPr="004E0CEB">
        <w:rPr>
          <w:rFonts w:ascii="Arial" w:hAnsi="Arial" w:cs="Arial"/>
          <w:i/>
          <w:iCs/>
          <w:sz w:val="20"/>
          <w:szCs w:val="20"/>
        </w:rPr>
        <w:t>The International Journal of Children's Rights</w:t>
      </w:r>
      <w:r w:rsidRPr="004E0CEB">
        <w:rPr>
          <w:rFonts w:ascii="Arial" w:hAnsi="Arial" w:cs="Arial"/>
          <w:sz w:val="20"/>
          <w:szCs w:val="20"/>
        </w:rPr>
        <w:t>, </w:t>
      </w:r>
      <w:r w:rsidRPr="004E0CEB">
        <w:rPr>
          <w:rFonts w:ascii="Arial" w:hAnsi="Arial" w:cs="Arial"/>
          <w:i/>
          <w:iCs/>
          <w:sz w:val="20"/>
          <w:szCs w:val="20"/>
        </w:rPr>
        <w:t>27</w:t>
      </w:r>
      <w:r w:rsidRPr="004E0CEB">
        <w:rPr>
          <w:rFonts w:ascii="Arial" w:hAnsi="Arial" w:cs="Arial"/>
          <w:sz w:val="20"/>
          <w:szCs w:val="20"/>
        </w:rPr>
        <w:t>(4), 757-795.</w:t>
      </w:r>
    </w:p>
    <w:p w14:paraId="1485A7E4"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Raha, S., &amp; Ramakrishnan, S. (2022). Implication of the POCSO Act in India on adolescent sexuality: A policy brief.</w:t>
      </w:r>
    </w:p>
    <w:p w14:paraId="6686984A"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Rajini Vaidyanathan (2020). bbc.com/news/av/world-south-asia-52685559</w:t>
      </w:r>
    </w:p>
    <w:p w14:paraId="548D2D24"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Saini, N. (2013). Child abuse and neglect in India: time to act. </w:t>
      </w:r>
      <w:r w:rsidRPr="004E0CEB">
        <w:rPr>
          <w:rFonts w:ascii="Arial" w:hAnsi="Arial" w:cs="Arial"/>
          <w:i/>
          <w:iCs/>
          <w:sz w:val="20"/>
          <w:szCs w:val="20"/>
        </w:rPr>
        <w:t>Japan Medical Association Journal</w:t>
      </w:r>
      <w:r w:rsidRPr="004E0CEB">
        <w:rPr>
          <w:rFonts w:ascii="Arial" w:hAnsi="Arial" w:cs="Arial"/>
          <w:sz w:val="20"/>
          <w:szCs w:val="20"/>
        </w:rPr>
        <w:t>, </w:t>
      </w:r>
      <w:r w:rsidRPr="004E0CEB">
        <w:rPr>
          <w:rFonts w:ascii="Arial" w:hAnsi="Arial" w:cs="Arial"/>
          <w:i/>
          <w:iCs/>
          <w:sz w:val="20"/>
          <w:szCs w:val="20"/>
        </w:rPr>
        <w:t>56</w:t>
      </w:r>
      <w:r w:rsidRPr="004E0CEB">
        <w:rPr>
          <w:rFonts w:ascii="Arial" w:hAnsi="Arial" w:cs="Arial"/>
          <w:sz w:val="20"/>
          <w:szCs w:val="20"/>
        </w:rPr>
        <w:t>(5), 302-309.</w:t>
      </w:r>
    </w:p>
    <w:p w14:paraId="4709AB40"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lastRenderedPageBreak/>
        <w:t>Sarvaani, V. V., Pratima, J., Satyanarayana, P., Charan, J. L., Krishna, M. M., &amp; Charan, J. K. (2024). Legal Architecture Of Child Rights In India: Bridging National Legislation With International Standards. </w:t>
      </w:r>
      <w:r w:rsidRPr="004E0CEB">
        <w:rPr>
          <w:rFonts w:ascii="Arial" w:hAnsi="Arial" w:cs="Arial"/>
          <w:i/>
          <w:iCs/>
          <w:sz w:val="20"/>
          <w:szCs w:val="20"/>
        </w:rPr>
        <w:t>Educational Administration: Theory and Practice</w:t>
      </w:r>
      <w:r w:rsidRPr="004E0CEB">
        <w:rPr>
          <w:rFonts w:ascii="Arial" w:hAnsi="Arial" w:cs="Arial"/>
          <w:sz w:val="20"/>
          <w:szCs w:val="20"/>
        </w:rPr>
        <w:t>, </w:t>
      </w:r>
      <w:r w:rsidRPr="004E0CEB">
        <w:rPr>
          <w:rFonts w:ascii="Arial" w:hAnsi="Arial" w:cs="Arial"/>
          <w:i/>
          <w:iCs/>
          <w:sz w:val="20"/>
          <w:szCs w:val="20"/>
        </w:rPr>
        <w:t>30</w:t>
      </w:r>
      <w:r w:rsidRPr="004E0CEB">
        <w:rPr>
          <w:rFonts w:ascii="Arial" w:hAnsi="Arial" w:cs="Arial"/>
          <w:sz w:val="20"/>
          <w:szCs w:val="20"/>
        </w:rPr>
        <w:t>(6), 170-179.</w:t>
      </w:r>
    </w:p>
    <w:p w14:paraId="58FB82AD"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Satyanarayana, P., Undrakonda, A. B., &amp; Naidu, S. T. "A </w:t>
      </w:r>
      <w:r>
        <w:rPr>
          <w:rFonts w:ascii="Arial" w:hAnsi="Arial" w:cs="Arial"/>
          <w:sz w:val="20"/>
          <w:szCs w:val="20"/>
        </w:rPr>
        <w:t>comparative analysis of international standards and Indian legal provisions on children’s privacy</w:t>
      </w:r>
      <w:r w:rsidRPr="004E0CEB">
        <w:rPr>
          <w:rFonts w:ascii="Arial" w:hAnsi="Arial" w:cs="Arial"/>
          <w:sz w:val="20"/>
          <w:szCs w:val="20"/>
        </w:rPr>
        <w:t>.</w:t>
      </w:r>
    </w:p>
    <w:p w14:paraId="43D10B2D"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Shah, P. (1997). International human rights: a perspective from India. </w:t>
      </w:r>
      <w:r w:rsidRPr="004E0CEB">
        <w:rPr>
          <w:rFonts w:ascii="Arial" w:hAnsi="Arial" w:cs="Arial"/>
          <w:i/>
          <w:iCs/>
          <w:sz w:val="20"/>
          <w:szCs w:val="20"/>
        </w:rPr>
        <w:t>Fordham Int'l LJ</w:t>
      </w:r>
      <w:r w:rsidRPr="004E0CEB">
        <w:rPr>
          <w:rFonts w:ascii="Arial" w:hAnsi="Arial" w:cs="Arial"/>
          <w:sz w:val="20"/>
          <w:szCs w:val="20"/>
        </w:rPr>
        <w:t>, </w:t>
      </w:r>
      <w:r w:rsidRPr="004E0CEB">
        <w:rPr>
          <w:rFonts w:ascii="Arial" w:hAnsi="Arial" w:cs="Arial"/>
          <w:i/>
          <w:iCs/>
          <w:sz w:val="20"/>
          <w:szCs w:val="20"/>
        </w:rPr>
        <w:t>21</w:t>
      </w:r>
      <w:r w:rsidRPr="004E0CEB">
        <w:rPr>
          <w:rFonts w:ascii="Arial" w:hAnsi="Arial" w:cs="Arial"/>
          <w:sz w:val="20"/>
          <w:szCs w:val="20"/>
        </w:rPr>
        <w:t>, 24.</w:t>
      </w:r>
    </w:p>
    <w:p w14:paraId="45A69F81"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Sharma, R. (2020). Reading UNCRC and children’s rights sociologically: A paradigm shift from ‘protection to rights. </w:t>
      </w:r>
      <w:r w:rsidRPr="004E0CEB">
        <w:rPr>
          <w:rFonts w:ascii="Arial" w:hAnsi="Arial" w:cs="Arial"/>
          <w:i/>
          <w:iCs/>
          <w:sz w:val="20"/>
          <w:szCs w:val="20"/>
        </w:rPr>
        <w:t>International Journal of Multidisciplinary Education and Research</w:t>
      </w:r>
      <w:r w:rsidRPr="004E0CEB">
        <w:rPr>
          <w:rFonts w:ascii="Arial" w:hAnsi="Arial" w:cs="Arial"/>
          <w:sz w:val="20"/>
          <w:szCs w:val="20"/>
        </w:rPr>
        <w:t>, </w:t>
      </w:r>
      <w:r w:rsidRPr="004E0CEB">
        <w:rPr>
          <w:rFonts w:ascii="Arial" w:hAnsi="Arial" w:cs="Arial"/>
          <w:i/>
          <w:iCs/>
          <w:sz w:val="20"/>
          <w:szCs w:val="20"/>
        </w:rPr>
        <w:t>9</w:t>
      </w:r>
      <w:r w:rsidRPr="004E0CEB">
        <w:rPr>
          <w:rFonts w:ascii="Arial" w:hAnsi="Arial" w:cs="Arial"/>
          <w:sz w:val="20"/>
          <w:szCs w:val="20"/>
        </w:rPr>
        <w:t>(11), 188-198.</w:t>
      </w:r>
    </w:p>
    <w:p w14:paraId="2441EFC2"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Shreya Sinha (2020). </w:t>
      </w:r>
      <w:r>
        <w:rPr>
          <w:rFonts w:ascii="Arial" w:hAnsi="Arial" w:cs="Arial"/>
          <w:sz w:val="20"/>
          <w:szCs w:val="20"/>
        </w:rPr>
        <w:t>Implications</w:t>
      </w:r>
      <w:r w:rsidRPr="004E0CEB">
        <w:rPr>
          <w:rFonts w:ascii="Arial" w:hAnsi="Arial" w:cs="Arial"/>
          <w:sz w:val="20"/>
          <w:szCs w:val="20"/>
        </w:rPr>
        <w:t xml:space="preserve"> of UNCRC within </w:t>
      </w:r>
      <w:r>
        <w:rPr>
          <w:rFonts w:ascii="Arial" w:hAnsi="Arial" w:cs="Arial"/>
          <w:sz w:val="20"/>
          <w:szCs w:val="20"/>
        </w:rPr>
        <w:t xml:space="preserve">the </w:t>
      </w:r>
      <w:r w:rsidRPr="004E0CEB">
        <w:rPr>
          <w:rFonts w:ascii="Arial" w:hAnsi="Arial" w:cs="Arial"/>
          <w:sz w:val="20"/>
          <w:szCs w:val="20"/>
        </w:rPr>
        <w:t xml:space="preserve">Indian Legal </w:t>
      </w:r>
      <w:r>
        <w:rPr>
          <w:rFonts w:ascii="Arial" w:hAnsi="Arial" w:cs="Arial"/>
          <w:sz w:val="20"/>
          <w:szCs w:val="20"/>
        </w:rPr>
        <w:t>System</w:t>
      </w:r>
      <w:r w:rsidRPr="004E0CEB">
        <w:rPr>
          <w:rFonts w:ascii="Arial" w:hAnsi="Arial" w:cs="Arial"/>
          <w:sz w:val="20"/>
          <w:szCs w:val="20"/>
        </w:rPr>
        <w:t>. Child Rights Centre.</w:t>
      </w:r>
    </w:p>
    <w:p w14:paraId="10979B6E" w14:textId="01985305" w:rsidR="001156F2" w:rsidRPr="00074666" w:rsidRDefault="001156F2" w:rsidP="001156F2">
      <w:pPr>
        <w:pStyle w:val="ListParagraph"/>
        <w:numPr>
          <w:ilvl w:val="0"/>
          <w:numId w:val="4"/>
        </w:numPr>
        <w:spacing w:after="0" w:line="360" w:lineRule="auto"/>
        <w:jc w:val="both"/>
        <w:rPr>
          <w:rFonts w:ascii="Arial" w:hAnsi="Arial" w:cs="Arial"/>
          <w:sz w:val="20"/>
          <w:szCs w:val="20"/>
        </w:rPr>
      </w:pPr>
      <w:r w:rsidRPr="000608F7">
        <w:rPr>
          <w:rFonts w:ascii="Arial" w:hAnsi="Arial" w:cs="Arial"/>
          <w:sz w:val="20"/>
          <w:szCs w:val="20"/>
        </w:rPr>
        <w:t xml:space="preserve">Sikder, S., &amp; Banu, LFA. (2018). </w:t>
      </w:r>
      <w:r w:rsidRPr="00074666">
        <w:rPr>
          <w:rFonts w:ascii="Arial" w:hAnsi="Arial" w:cs="Arial"/>
          <w:sz w:val="20"/>
          <w:szCs w:val="20"/>
        </w:rPr>
        <w:t>Early childhood care and education in Bangladesh: a review of policies, practices</w:t>
      </w:r>
      <w:r>
        <w:rPr>
          <w:rFonts w:ascii="Arial" w:hAnsi="Arial" w:cs="Arial"/>
          <w:sz w:val="20"/>
          <w:szCs w:val="20"/>
        </w:rPr>
        <w:t>,</w:t>
      </w:r>
      <w:r w:rsidRPr="00074666">
        <w:rPr>
          <w:rFonts w:ascii="Arial" w:hAnsi="Arial" w:cs="Arial"/>
          <w:sz w:val="20"/>
          <w:szCs w:val="20"/>
        </w:rPr>
        <w:t xml:space="preserve"> </w:t>
      </w:r>
      <w:r w:rsidR="00BE17DD">
        <w:rPr>
          <w:rFonts w:ascii="Arial" w:hAnsi="Arial" w:cs="Arial"/>
          <w:sz w:val="20"/>
          <w:szCs w:val="20"/>
        </w:rPr>
        <w:t xml:space="preserve">&amp; </w:t>
      </w:r>
      <w:r w:rsidRPr="00074666">
        <w:rPr>
          <w:rFonts w:ascii="Arial" w:hAnsi="Arial" w:cs="Arial"/>
          <w:sz w:val="20"/>
          <w:szCs w:val="20"/>
        </w:rPr>
        <w:t>research. </w:t>
      </w:r>
      <w:r w:rsidRPr="00074666">
        <w:rPr>
          <w:rFonts w:ascii="Arial" w:hAnsi="Arial" w:cs="Arial"/>
          <w:i/>
          <w:iCs/>
          <w:sz w:val="20"/>
          <w:szCs w:val="20"/>
        </w:rPr>
        <w:t>International handbook of early childhood education</w:t>
      </w:r>
      <w:r w:rsidRPr="00074666">
        <w:rPr>
          <w:rFonts w:ascii="Arial" w:hAnsi="Arial" w:cs="Arial"/>
          <w:sz w:val="20"/>
          <w:szCs w:val="20"/>
        </w:rPr>
        <w:t>, 569-587.</w:t>
      </w:r>
    </w:p>
    <w:p w14:paraId="2332760C"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571A13">
        <w:rPr>
          <w:rFonts w:ascii="Arial" w:hAnsi="Arial" w:cs="Arial"/>
          <w:sz w:val="20"/>
          <w:szCs w:val="20"/>
        </w:rPr>
        <w:t>Singh, A. (2025). Balancing Protection and Participation: Children's Data, Online Privacy, and Age of Digital Consent. In </w:t>
      </w:r>
      <w:r w:rsidRPr="00571A13">
        <w:rPr>
          <w:rFonts w:ascii="Arial" w:hAnsi="Arial" w:cs="Arial"/>
          <w:i/>
          <w:iCs/>
          <w:sz w:val="20"/>
          <w:szCs w:val="20"/>
        </w:rPr>
        <w:t>Child Protection in India</w:t>
      </w:r>
      <w:r w:rsidRPr="00571A13">
        <w:rPr>
          <w:rFonts w:ascii="Arial" w:hAnsi="Arial" w:cs="Arial"/>
          <w:sz w:val="20"/>
          <w:szCs w:val="20"/>
        </w:rPr>
        <w:t> (pp. 169-180). Routledge.</w:t>
      </w:r>
    </w:p>
    <w:p w14:paraId="61E76ED8"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Tanveer, F., &amp; Babu, S. (2024). The United Nations Convention on the Rights of the Child (UNCRC): Examining the Tenets, Practices, and Related Studies. </w:t>
      </w:r>
      <w:r w:rsidRPr="004E0CEB">
        <w:rPr>
          <w:rFonts w:ascii="Arial" w:hAnsi="Arial" w:cs="Arial"/>
          <w:i/>
          <w:iCs/>
          <w:sz w:val="20"/>
          <w:szCs w:val="20"/>
        </w:rPr>
        <w:t>Library Progress International</w:t>
      </w:r>
      <w:r w:rsidRPr="004E0CEB">
        <w:rPr>
          <w:rFonts w:ascii="Arial" w:hAnsi="Arial" w:cs="Arial"/>
          <w:sz w:val="20"/>
          <w:szCs w:val="20"/>
        </w:rPr>
        <w:t>, </w:t>
      </w:r>
      <w:r w:rsidRPr="004E0CEB">
        <w:rPr>
          <w:rFonts w:ascii="Arial" w:hAnsi="Arial" w:cs="Arial"/>
          <w:i/>
          <w:iCs/>
          <w:sz w:val="20"/>
          <w:szCs w:val="20"/>
        </w:rPr>
        <w:t>44</w:t>
      </w:r>
      <w:r w:rsidRPr="004E0CEB">
        <w:rPr>
          <w:rFonts w:ascii="Arial" w:hAnsi="Arial" w:cs="Arial"/>
          <w:sz w:val="20"/>
          <w:szCs w:val="20"/>
        </w:rPr>
        <w:t>(3), 17987-17995.</w:t>
      </w:r>
    </w:p>
    <w:p w14:paraId="06942F10"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032A6E">
        <w:rPr>
          <w:rFonts w:ascii="Arial" w:hAnsi="Arial" w:cs="Arial"/>
          <w:sz w:val="20"/>
          <w:szCs w:val="20"/>
        </w:rPr>
        <w:t xml:space="preserve">Tanwar, R. (2023). A REVIEW OF ANTI-DRUG REGULATIONS </w:t>
      </w:r>
      <w:r>
        <w:rPr>
          <w:rFonts w:ascii="Arial" w:hAnsi="Arial" w:cs="Arial"/>
          <w:sz w:val="20"/>
          <w:szCs w:val="20"/>
        </w:rPr>
        <w:t>ABOUT</w:t>
      </w:r>
      <w:r w:rsidRPr="00032A6E">
        <w:rPr>
          <w:rFonts w:ascii="Arial" w:hAnsi="Arial" w:cs="Arial"/>
          <w:sz w:val="20"/>
          <w:szCs w:val="20"/>
        </w:rPr>
        <w:t xml:space="preserve"> JUVENILES: AN INDIAN PERSPECTIVE. </w:t>
      </w:r>
      <w:r w:rsidRPr="00032A6E">
        <w:rPr>
          <w:rFonts w:ascii="Arial" w:hAnsi="Arial" w:cs="Arial"/>
          <w:i/>
          <w:iCs/>
          <w:sz w:val="20"/>
          <w:szCs w:val="20"/>
        </w:rPr>
        <w:t>The American Journal of Political Science Law and Criminology</w:t>
      </w:r>
      <w:r w:rsidRPr="00032A6E">
        <w:rPr>
          <w:rFonts w:ascii="Arial" w:hAnsi="Arial" w:cs="Arial"/>
          <w:sz w:val="20"/>
          <w:szCs w:val="20"/>
        </w:rPr>
        <w:t>, </w:t>
      </w:r>
      <w:r w:rsidRPr="00032A6E">
        <w:rPr>
          <w:rFonts w:ascii="Arial" w:hAnsi="Arial" w:cs="Arial"/>
          <w:i/>
          <w:iCs/>
          <w:sz w:val="20"/>
          <w:szCs w:val="20"/>
        </w:rPr>
        <w:t>5</w:t>
      </w:r>
      <w:r w:rsidRPr="00032A6E">
        <w:rPr>
          <w:rFonts w:ascii="Arial" w:hAnsi="Arial" w:cs="Arial"/>
          <w:sz w:val="20"/>
          <w:szCs w:val="20"/>
        </w:rPr>
        <w:t>(07), 10-13.</w:t>
      </w:r>
    </w:p>
    <w:p w14:paraId="7DDE1D13"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C37729">
        <w:rPr>
          <w:rFonts w:ascii="Arial" w:hAnsi="Arial" w:cs="Arial"/>
          <w:sz w:val="20"/>
          <w:szCs w:val="20"/>
          <w:lang w:val="nb-NO"/>
        </w:rPr>
        <w:t xml:space="preserve">Ubale, P. D., &amp; Sekher, T. V. (2023). </w:t>
      </w:r>
      <w:r w:rsidRPr="00DA39C4">
        <w:rPr>
          <w:rFonts w:ascii="Arial" w:hAnsi="Arial" w:cs="Arial"/>
          <w:sz w:val="20"/>
          <w:szCs w:val="20"/>
        </w:rPr>
        <w:t xml:space="preserve">Risky Sexual </w:t>
      </w:r>
      <w:r>
        <w:rPr>
          <w:rFonts w:ascii="Arial" w:hAnsi="Arial" w:cs="Arial"/>
          <w:sz w:val="20"/>
          <w:szCs w:val="20"/>
        </w:rPr>
        <w:t>Behaviours</w:t>
      </w:r>
      <w:r w:rsidRPr="00DA39C4">
        <w:rPr>
          <w:rFonts w:ascii="Arial" w:hAnsi="Arial" w:cs="Arial"/>
          <w:sz w:val="20"/>
          <w:szCs w:val="20"/>
        </w:rPr>
        <w:t xml:space="preserve"> Among Unmarried Youth in India: </w:t>
      </w:r>
      <w:r>
        <w:rPr>
          <w:rFonts w:ascii="Arial" w:hAnsi="Arial" w:cs="Arial"/>
          <w:sz w:val="20"/>
          <w:szCs w:val="20"/>
        </w:rPr>
        <w:t>Evidence</w:t>
      </w:r>
      <w:r w:rsidRPr="00DA39C4">
        <w:rPr>
          <w:rFonts w:ascii="Arial" w:hAnsi="Arial" w:cs="Arial"/>
          <w:sz w:val="20"/>
          <w:szCs w:val="20"/>
        </w:rPr>
        <w:t xml:space="preserve"> from National Family Health Survey, 2019–21. In </w:t>
      </w:r>
      <w:r w:rsidRPr="00DA39C4">
        <w:rPr>
          <w:rFonts w:ascii="Arial" w:hAnsi="Arial" w:cs="Arial"/>
          <w:i/>
          <w:iCs/>
          <w:sz w:val="20"/>
          <w:szCs w:val="20"/>
        </w:rPr>
        <w:t>Handbook of Youth Development: Policies and Perspectives from India and Beyond</w:t>
      </w:r>
      <w:r w:rsidRPr="00DA39C4">
        <w:rPr>
          <w:rFonts w:ascii="Arial" w:hAnsi="Arial" w:cs="Arial"/>
          <w:sz w:val="20"/>
          <w:szCs w:val="20"/>
        </w:rPr>
        <w:t> (pp. 413-439). Singapore: Springer Nature Singapore.</w:t>
      </w:r>
    </w:p>
    <w:p w14:paraId="4D0E5ECF" w14:textId="77777777" w:rsidR="001156F2" w:rsidRPr="00B443DE"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UNICEF, U. (2012). The UN Convention on the Rights of the Child: a study of legal implementation in 12 countries. </w:t>
      </w:r>
      <w:r w:rsidRPr="001F2484">
        <w:rPr>
          <w:rFonts w:ascii="Arial" w:hAnsi="Arial" w:cs="Arial"/>
          <w:i/>
          <w:iCs/>
          <w:sz w:val="20"/>
          <w:szCs w:val="20"/>
          <w:lang w:val="nb-NO"/>
        </w:rPr>
        <w:t xml:space="preserve">L Lundy, U Kilkelly, B Byrne, J Kang-UNICEF UK at http://www. </w:t>
      </w:r>
      <w:r w:rsidRPr="00B443DE">
        <w:rPr>
          <w:rFonts w:ascii="Arial" w:hAnsi="Arial" w:cs="Arial"/>
          <w:i/>
          <w:iCs/>
          <w:sz w:val="20"/>
          <w:szCs w:val="20"/>
        </w:rPr>
        <w:t>Unicef. Org. uk</w:t>
      </w:r>
      <w:r w:rsidRPr="00B443DE">
        <w:rPr>
          <w:rFonts w:ascii="Arial" w:hAnsi="Arial" w:cs="Arial"/>
          <w:sz w:val="20"/>
          <w:szCs w:val="20"/>
        </w:rPr>
        <w:t>.</w:t>
      </w:r>
    </w:p>
    <w:p w14:paraId="3B57FD3F" w14:textId="77777777" w:rsidR="001156F2" w:rsidRPr="004E0CEB" w:rsidRDefault="001156F2" w:rsidP="001156F2">
      <w:pPr>
        <w:pStyle w:val="ListParagraph"/>
        <w:numPr>
          <w:ilvl w:val="0"/>
          <w:numId w:val="4"/>
        </w:numPr>
        <w:spacing w:after="0" w:line="360" w:lineRule="auto"/>
        <w:jc w:val="both"/>
        <w:rPr>
          <w:rFonts w:ascii="Arial" w:hAnsi="Arial" w:cs="Arial"/>
          <w:sz w:val="20"/>
          <w:szCs w:val="20"/>
        </w:rPr>
      </w:pPr>
      <w:r w:rsidRPr="004E0CEB">
        <w:rPr>
          <w:rFonts w:ascii="Arial" w:hAnsi="Arial" w:cs="Arial"/>
          <w:sz w:val="20"/>
          <w:szCs w:val="20"/>
        </w:rPr>
        <w:t xml:space="preserve">UNICEF. (2023). Child Rights </w:t>
      </w:r>
      <w:r>
        <w:rPr>
          <w:rFonts w:ascii="Arial" w:hAnsi="Arial" w:cs="Arial"/>
          <w:sz w:val="20"/>
          <w:szCs w:val="20"/>
        </w:rPr>
        <w:t>Situation</w:t>
      </w:r>
      <w:r w:rsidRPr="004E0CEB">
        <w:rPr>
          <w:rFonts w:ascii="Arial" w:hAnsi="Arial" w:cs="Arial"/>
          <w:sz w:val="20"/>
          <w:szCs w:val="20"/>
        </w:rPr>
        <w:t xml:space="preserve"> in India 2023.</w:t>
      </w:r>
    </w:p>
    <w:p w14:paraId="399B2FC1"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F31A2D">
        <w:rPr>
          <w:rFonts w:ascii="Arial" w:hAnsi="Arial" w:cs="Arial"/>
          <w:sz w:val="20"/>
          <w:szCs w:val="20"/>
        </w:rPr>
        <w:t>UNICEF. (2024). Child food poverty: nutrition deprivation in early childhood: child nutrition report 2024.</w:t>
      </w:r>
    </w:p>
    <w:p w14:paraId="1183DF19"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50239B">
        <w:rPr>
          <w:rFonts w:ascii="Arial" w:hAnsi="Arial" w:cs="Arial"/>
          <w:sz w:val="20"/>
          <w:szCs w:val="20"/>
        </w:rPr>
        <w:t>UNICEF. (2024). UNICEF Annual Report 2023.</w:t>
      </w:r>
    </w:p>
    <w:p w14:paraId="0B128FB6" w14:textId="77777777" w:rsidR="001156F2" w:rsidRDefault="001156F2" w:rsidP="001156F2">
      <w:pPr>
        <w:pStyle w:val="ListParagraph"/>
        <w:numPr>
          <w:ilvl w:val="0"/>
          <w:numId w:val="4"/>
        </w:numPr>
        <w:spacing w:after="0" w:line="360" w:lineRule="auto"/>
        <w:jc w:val="both"/>
        <w:rPr>
          <w:rFonts w:ascii="Arial" w:hAnsi="Arial" w:cs="Arial"/>
          <w:sz w:val="20"/>
          <w:szCs w:val="20"/>
        </w:rPr>
      </w:pPr>
      <w:r w:rsidRPr="001B005B">
        <w:rPr>
          <w:rFonts w:ascii="Arial" w:hAnsi="Arial" w:cs="Arial"/>
          <w:sz w:val="20"/>
          <w:szCs w:val="20"/>
        </w:rPr>
        <w:t xml:space="preserve">United Nations, Human Rights Office of the High Commissioner, (ohchr.org/en/countries/india), ratification of treaties by India. </w:t>
      </w:r>
    </w:p>
    <w:p w14:paraId="3D478435" w14:textId="77777777" w:rsidR="00F345B1" w:rsidRPr="00F345B1" w:rsidRDefault="001156F2" w:rsidP="00BE17DD">
      <w:pPr>
        <w:pStyle w:val="ListParagraph"/>
        <w:numPr>
          <w:ilvl w:val="0"/>
          <w:numId w:val="4"/>
        </w:numPr>
        <w:spacing w:after="0" w:line="360" w:lineRule="auto"/>
        <w:ind w:left="360"/>
        <w:jc w:val="both"/>
        <w:rPr>
          <w:rFonts w:ascii="Times New Roman" w:hAnsi="Times New Roman" w:cs="Times New Roman"/>
          <w:b/>
        </w:rPr>
      </w:pPr>
      <w:r w:rsidRPr="00F345B1">
        <w:rPr>
          <w:rFonts w:ascii="Arial" w:hAnsi="Arial" w:cs="Arial"/>
          <w:sz w:val="20"/>
          <w:szCs w:val="20"/>
        </w:rPr>
        <w:t>United Nations. General Assembly, &amp; Canada. Human Rights Directorate. (1991). </w:t>
      </w:r>
      <w:r w:rsidRPr="00F345B1">
        <w:rPr>
          <w:rFonts w:ascii="Arial" w:hAnsi="Arial" w:cs="Arial"/>
          <w:i/>
          <w:iCs/>
          <w:sz w:val="20"/>
          <w:szCs w:val="20"/>
        </w:rPr>
        <w:t>Convention on the Rights of the Child</w:t>
      </w:r>
      <w:r w:rsidRPr="00F345B1">
        <w:rPr>
          <w:rFonts w:ascii="Arial" w:hAnsi="Arial" w:cs="Arial"/>
          <w:sz w:val="20"/>
          <w:szCs w:val="20"/>
        </w:rPr>
        <w:t xml:space="preserve">. Human Rights Directorate. </w:t>
      </w:r>
    </w:p>
    <w:p w14:paraId="586F3EA6" w14:textId="075404C4" w:rsidR="00AB468F" w:rsidRPr="00F345B1" w:rsidRDefault="001156F2" w:rsidP="00BE17DD">
      <w:pPr>
        <w:pStyle w:val="ListParagraph"/>
        <w:numPr>
          <w:ilvl w:val="0"/>
          <w:numId w:val="4"/>
        </w:numPr>
        <w:spacing w:after="0" w:line="360" w:lineRule="auto"/>
        <w:ind w:left="360"/>
        <w:jc w:val="both"/>
        <w:rPr>
          <w:rFonts w:ascii="Times New Roman" w:hAnsi="Times New Roman" w:cs="Times New Roman"/>
          <w:b/>
        </w:rPr>
      </w:pPr>
      <w:r w:rsidRPr="00F345B1">
        <w:rPr>
          <w:rFonts w:ascii="Arial" w:hAnsi="Arial" w:cs="Arial"/>
          <w:sz w:val="20"/>
          <w:szCs w:val="20"/>
        </w:rPr>
        <w:t>Vaghri, Z., Zermatten, J., Lansdown, G., &amp; Ruggiero, R. (2022). </w:t>
      </w:r>
      <w:r w:rsidRPr="00F345B1">
        <w:rPr>
          <w:rFonts w:ascii="Arial" w:hAnsi="Arial" w:cs="Arial"/>
          <w:i/>
          <w:iCs/>
          <w:sz w:val="20"/>
          <w:szCs w:val="20"/>
        </w:rPr>
        <w:t>Monitoring state compliance with the UN Convention on the Rights of the Child: an analysis of attributes</w:t>
      </w:r>
      <w:r w:rsidRPr="00F345B1">
        <w:rPr>
          <w:rFonts w:ascii="Arial" w:hAnsi="Arial" w:cs="Arial"/>
          <w:sz w:val="20"/>
          <w:szCs w:val="20"/>
        </w:rPr>
        <w:t> (p. 435). Springer Nature.</w:t>
      </w:r>
    </w:p>
    <w:sectPr w:rsidR="00AB468F" w:rsidRPr="00F34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A1EA6"/>
    <w:multiLevelType w:val="hybridMultilevel"/>
    <w:tmpl w:val="6FAED0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0206D1"/>
    <w:multiLevelType w:val="hybridMultilevel"/>
    <w:tmpl w:val="E7B80298"/>
    <w:lvl w:ilvl="0" w:tplc="C10ED978">
      <w:start w:val="1"/>
      <w:numFmt w:val="upp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A9A7487"/>
    <w:multiLevelType w:val="hybridMultilevel"/>
    <w:tmpl w:val="43405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5712E97"/>
    <w:multiLevelType w:val="hybridMultilevel"/>
    <w:tmpl w:val="0268AC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32934568">
    <w:abstractNumId w:val="1"/>
  </w:num>
  <w:num w:numId="2" w16cid:durableId="256254163">
    <w:abstractNumId w:val="0"/>
  </w:num>
  <w:num w:numId="3" w16cid:durableId="1725328320">
    <w:abstractNumId w:val="3"/>
  </w:num>
  <w:num w:numId="4" w16cid:durableId="1347755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AC"/>
    <w:rsid w:val="00014804"/>
    <w:rsid w:val="0003261B"/>
    <w:rsid w:val="000473A9"/>
    <w:rsid w:val="000608F7"/>
    <w:rsid w:val="000804AE"/>
    <w:rsid w:val="000D2A08"/>
    <w:rsid w:val="000D3EEC"/>
    <w:rsid w:val="00105EB4"/>
    <w:rsid w:val="001156F2"/>
    <w:rsid w:val="001B3DDE"/>
    <w:rsid w:val="001C26D4"/>
    <w:rsid w:val="001C3AE2"/>
    <w:rsid w:val="001C730B"/>
    <w:rsid w:val="001D1AC8"/>
    <w:rsid w:val="00201497"/>
    <w:rsid w:val="0021122E"/>
    <w:rsid w:val="002608E1"/>
    <w:rsid w:val="002766DD"/>
    <w:rsid w:val="00291E33"/>
    <w:rsid w:val="002A798D"/>
    <w:rsid w:val="00327CC7"/>
    <w:rsid w:val="004134DB"/>
    <w:rsid w:val="00465DC7"/>
    <w:rsid w:val="00487693"/>
    <w:rsid w:val="00497BD7"/>
    <w:rsid w:val="004E3199"/>
    <w:rsid w:val="0056004F"/>
    <w:rsid w:val="005E1A2D"/>
    <w:rsid w:val="005E6407"/>
    <w:rsid w:val="005F71B2"/>
    <w:rsid w:val="00600EEA"/>
    <w:rsid w:val="0062671D"/>
    <w:rsid w:val="006624E1"/>
    <w:rsid w:val="0071192D"/>
    <w:rsid w:val="0071250F"/>
    <w:rsid w:val="00717D50"/>
    <w:rsid w:val="007234E1"/>
    <w:rsid w:val="00741E9E"/>
    <w:rsid w:val="00745C9E"/>
    <w:rsid w:val="007B0531"/>
    <w:rsid w:val="007E363D"/>
    <w:rsid w:val="00823F9C"/>
    <w:rsid w:val="00836ACF"/>
    <w:rsid w:val="00882EC4"/>
    <w:rsid w:val="008B4E36"/>
    <w:rsid w:val="009261C0"/>
    <w:rsid w:val="00955353"/>
    <w:rsid w:val="00A2576E"/>
    <w:rsid w:val="00A650A9"/>
    <w:rsid w:val="00AB468F"/>
    <w:rsid w:val="00AB5D02"/>
    <w:rsid w:val="00AE1502"/>
    <w:rsid w:val="00B14379"/>
    <w:rsid w:val="00B148D7"/>
    <w:rsid w:val="00B609DC"/>
    <w:rsid w:val="00B64649"/>
    <w:rsid w:val="00B7681B"/>
    <w:rsid w:val="00B82BF7"/>
    <w:rsid w:val="00BB411D"/>
    <w:rsid w:val="00BE17DD"/>
    <w:rsid w:val="00BF2402"/>
    <w:rsid w:val="00C41A23"/>
    <w:rsid w:val="00C461C5"/>
    <w:rsid w:val="00C62AB6"/>
    <w:rsid w:val="00C80880"/>
    <w:rsid w:val="00C90A05"/>
    <w:rsid w:val="00CA0893"/>
    <w:rsid w:val="00CD39EC"/>
    <w:rsid w:val="00D13E18"/>
    <w:rsid w:val="00D207DE"/>
    <w:rsid w:val="00D22BB9"/>
    <w:rsid w:val="00D34C5E"/>
    <w:rsid w:val="00D37A7A"/>
    <w:rsid w:val="00DB21D0"/>
    <w:rsid w:val="00DE3176"/>
    <w:rsid w:val="00E24ABB"/>
    <w:rsid w:val="00EB45D9"/>
    <w:rsid w:val="00F12FA5"/>
    <w:rsid w:val="00F2475D"/>
    <w:rsid w:val="00F345B1"/>
    <w:rsid w:val="00FE45AC"/>
    <w:rsid w:val="00FE6F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E248"/>
  <w15:chartTrackingRefBased/>
  <w15:docId w15:val="{CA803CCB-6FED-433F-9F7B-D9E8B07F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4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4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5AC"/>
    <w:rPr>
      <w:rFonts w:eastAsiaTheme="majorEastAsia" w:cstheme="majorBidi"/>
      <w:color w:val="272727" w:themeColor="text1" w:themeTint="D8"/>
    </w:rPr>
  </w:style>
  <w:style w:type="paragraph" w:styleId="Title">
    <w:name w:val="Title"/>
    <w:basedOn w:val="Normal"/>
    <w:next w:val="Normal"/>
    <w:link w:val="TitleChar"/>
    <w:uiPriority w:val="10"/>
    <w:qFormat/>
    <w:rsid w:val="00FE4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5AC"/>
    <w:pPr>
      <w:spacing w:before="160"/>
      <w:jc w:val="center"/>
    </w:pPr>
    <w:rPr>
      <w:i/>
      <w:iCs/>
      <w:color w:val="404040" w:themeColor="text1" w:themeTint="BF"/>
    </w:rPr>
  </w:style>
  <w:style w:type="character" w:customStyle="1" w:styleId="QuoteChar">
    <w:name w:val="Quote Char"/>
    <w:basedOn w:val="DefaultParagraphFont"/>
    <w:link w:val="Quote"/>
    <w:uiPriority w:val="29"/>
    <w:rsid w:val="00FE45AC"/>
    <w:rPr>
      <w:i/>
      <w:iCs/>
      <w:color w:val="404040" w:themeColor="text1" w:themeTint="BF"/>
    </w:rPr>
  </w:style>
  <w:style w:type="paragraph" w:styleId="ListParagraph">
    <w:name w:val="List Paragraph"/>
    <w:basedOn w:val="Normal"/>
    <w:uiPriority w:val="34"/>
    <w:qFormat/>
    <w:rsid w:val="00FE45AC"/>
    <w:pPr>
      <w:ind w:left="720"/>
      <w:contextualSpacing/>
    </w:pPr>
  </w:style>
  <w:style w:type="character" w:styleId="IntenseEmphasis">
    <w:name w:val="Intense Emphasis"/>
    <w:basedOn w:val="DefaultParagraphFont"/>
    <w:uiPriority w:val="21"/>
    <w:qFormat/>
    <w:rsid w:val="00FE45AC"/>
    <w:rPr>
      <w:i/>
      <w:iCs/>
      <w:color w:val="2F5496" w:themeColor="accent1" w:themeShade="BF"/>
    </w:rPr>
  </w:style>
  <w:style w:type="paragraph" w:styleId="IntenseQuote">
    <w:name w:val="Intense Quote"/>
    <w:basedOn w:val="Normal"/>
    <w:next w:val="Normal"/>
    <w:link w:val="IntenseQuoteChar"/>
    <w:uiPriority w:val="30"/>
    <w:qFormat/>
    <w:rsid w:val="00FE4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5AC"/>
    <w:rPr>
      <w:i/>
      <w:iCs/>
      <w:color w:val="2F5496" w:themeColor="accent1" w:themeShade="BF"/>
    </w:rPr>
  </w:style>
  <w:style w:type="character" w:styleId="IntenseReference">
    <w:name w:val="Intense Reference"/>
    <w:basedOn w:val="DefaultParagraphFont"/>
    <w:uiPriority w:val="32"/>
    <w:qFormat/>
    <w:rsid w:val="00FE45AC"/>
    <w:rPr>
      <w:b/>
      <w:bCs/>
      <w:smallCaps/>
      <w:color w:val="2F5496" w:themeColor="accent1" w:themeShade="BF"/>
      <w:spacing w:val="5"/>
    </w:rPr>
  </w:style>
  <w:style w:type="table" w:styleId="TableGrid">
    <w:name w:val="Table Grid"/>
    <w:basedOn w:val="TableNormal"/>
    <w:uiPriority w:val="39"/>
    <w:rsid w:val="0071192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1AC8"/>
    <w:rPr>
      <w:color w:val="0563C1" w:themeColor="hyperlink"/>
      <w:u w:val="single"/>
    </w:rPr>
  </w:style>
  <w:style w:type="character" w:styleId="UnresolvedMention">
    <w:name w:val="Unresolved Mention"/>
    <w:basedOn w:val="DefaultParagraphFont"/>
    <w:uiPriority w:val="99"/>
    <w:semiHidden/>
    <w:unhideWhenUsed/>
    <w:rsid w:val="001D1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10828</Words>
  <Characters>61724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 Joseph</dc:creator>
  <cp:keywords/>
  <dc:description/>
  <cp:lastModifiedBy>Philips Joseph</cp:lastModifiedBy>
  <cp:revision>3</cp:revision>
  <dcterms:created xsi:type="dcterms:W3CDTF">2026-04-24T09:46:00Z</dcterms:created>
  <dcterms:modified xsi:type="dcterms:W3CDTF">2026-04-24T09:46:00Z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b6d9a07e-0270-4234-acb1-01714a78c85f</vt:lpwstr>
  </property>
</Properties>
</file>