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4DE" w:rsidRDefault="00DC2725" w:rsidP="00DC2725">
      <w:pPr>
        <w:jc w:val="center"/>
        <w:rPr>
          <w:rFonts w:ascii="Times New Roman" w:hAnsi="Times New Roman" w:cs="Times New Roman"/>
          <w:b/>
          <w:sz w:val="32"/>
          <w:szCs w:val="32"/>
        </w:rPr>
      </w:pPr>
      <w:r w:rsidRPr="008F34FA">
        <w:rPr>
          <w:rFonts w:ascii="Times New Roman" w:hAnsi="Times New Roman" w:cs="Times New Roman"/>
          <w:b/>
          <w:sz w:val="32"/>
          <w:szCs w:val="32"/>
        </w:rPr>
        <w:t>Private Security Governance in Kenya: Accountability Challenges and the Role of International Norms and Best Practices</w:t>
      </w:r>
    </w:p>
    <w:p w:rsidR="00F76DE4" w:rsidRPr="00F76DE4" w:rsidRDefault="00F76DE4" w:rsidP="00F76DE4">
      <w:pPr>
        <w:spacing w:line="240" w:lineRule="auto"/>
        <w:jc w:val="center"/>
        <w:rPr>
          <w:rFonts w:ascii="Times New Roman" w:hAnsi="Times New Roman" w:cs="Times New Roman"/>
          <w:sz w:val="24"/>
          <w:szCs w:val="24"/>
        </w:rPr>
      </w:pPr>
      <w:r w:rsidRPr="00F76DE4">
        <w:rPr>
          <w:rFonts w:ascii="Times New Roman" w:hAnsi="Times New Roman" w:cs="Times New Roman"/>
          <w:sz w:val="24"/>
          <w:szCs w:val="24"/>
        </w:rPr>
        <w:t>Benson Nalo</w:t>
      </w:r>
    </w:p>
    <w:p w:rsidR="00F76DE4" w:rsidRPr="00F76DE4" w:rsidRDefault="00F76DE4" w:rsidP="00F76DE4">
      <w:pPr>
        <w:spacing w:line="240" w:lineRule="auto"/>
        <w:jc w:val="center"/>
        <w:rPr>
          <w:rFonts w:ascii="Times New Roman" w:hAnsi="Times New Roman" w:cs="Times New Roman"/>
          <w:sz w:val="24"/>
          <w:szCs w:val="24"/>
        </w:rPr>
      </w:pPr>
      <w:r w:rsidRPr="00F76DE4">
        <w:rPr>
          <w:rFonts w:ascii="Times New Roman" w:hAnsi="Times New Roman" w:cs="Times New Roman"/>
          <w:sz w:val="24"/>
          <w:szCs w:val="24"/>
        </w:rPr>
        <w:t>Senior Lecturer, International Relations, Security and Strategic Studies</w:t>
      </w:r>
    </w:p>
    <w:p w:rsidR="00F76DE4" w:rsidRPr="00F76DE4" w:rsidRDefault="00F76DE4" w:rsidP="00F76DE4">
      <w:pPr>
        <w:spacing w:line="240" w:lineRule="auto"/>
        <w:jc w:val="center"/>
        <w:rPr>
          <w:rFonts w:ascii="Times New Roman" w:hAnsi="Times New Roman" w:cs="Times New Roman"/>
          <w:sz w:val="24"/>
          <w:szCs w:val="24"/>
        </w:rPr>
      </w:pPr>
      <w:r w:rsidRPr="00F76DE4">
        <w:rPr>
          <w:rFonts w:ascii="Times New Roman" w:hAnsi="Times New Roman" w:cs="Times New Roman"/>
          <w:sz w:val="24"/>
          <w:szCs w:val="24"/>
        </w:rPr>
        <w:t>Pioneer International University, Nairobi, Kenya</w:t>
      </w:r>
    </w:p>
    <w:p w:rsidR="00F76DE4" w:rsidRPr="00F76DE4" w:rsidRDefault="00F76DE4" w:rsidP="00F76DE4">
      <w:pPr>
        <w:spacing w:line="240" w:lineRule="auto"/>
        <w:jc w:val="center"/>
        <w:rPr>
          <w:rFonts w:ascii="Times New Roman" w:hAnsi="Times New Roman" w:cs="Times New Roman"/>
          <w:sz w:val="24"/>
          <w:szCs w:val="24"/>
        </w:rPr>
      </w:pPr>
      <w:r w:rsidRPr="00F76DE4">
        <w:rPr>
          <w:rFonts w:ascii="Times New Roman" w:hAnsi="Times New Roman" w:cs="Times New Roman"/>
          <w:sz w:val="24"/>
          <w:szCs w:val="24"/>
        </w:rPr>
        <w:t>bnalo@yahoo.com</w:t>
      </w:r>
    </w:p>
    <w:p w:rsidR="00DC2725" w:rsidRPr="008F34FA" w:rsidRDefault="00DC2725" w:rsidP="00DC2725">
      <w:pPr>
        <w:jc w:val="both"/>
        <w:rPr>
          <w:rFonts w:ascii="Times New Roman" w:hAnsi="Times New Roman" w:cs="Times New Roman"/>
          <w:b/>
          <w:sz w:val="32"/>
          <w:szCs w:val="32"/>
        </w:rPr>
      </w:pPr>
    </w:p>
    <w:p w:rsidR="00DC2725" w:rsidRPr="00DC2725" w:rsidRDefault="00DC2725" w:rsidP="0088481E">
      <w:pPr>
        <w:spacing w:before="100" w:beforeAutospacing="1" w:after="100" w:afterAutospacing="1" w:line="240" w:lineRule="auto"/>
        <w:ind w:firstLine="0"/>
        <w:contextualSpacing/>
        <w:outlineLvl w:val="1"/>
        <w:rPr>
          <w:rFonts w:ascii="Times New Roman" w:eastAsia="Times New Roman" w:hAnsi="Times New Roman" w:cs="Times New Roman"/>
          <w:b/>
          <w:bCs/>
          <w:sz w:val="28"/>
          <w:szCs w:val="28"/>
        </w:rPr>
      </w:pPr>
      <w:r w:rsidRPr="00DC2725">
        <w:rPr>
          <w:rFonts w:ascii="Times New Roman" w:eastAsia="Times New Roman" w:hAnsi="Times New Roman" w:cs="Times New Roman"/>
          <w:b/>
          <w:bCs/>
          <w:sz w:val="28"/>
          <w:szCs w:val="28"/>
        </w:rPr>
        <w:t>Abstract</w:t>
      </w:r>
    </w:p>
    <w:p w:rsidR="00DC2725" w:rsidRPr="008F34FA" w:rsidRDefault="00DC2725" w:rsidP="0088481E">
      <w:pPr>
        <w:spacing w:before="100" w:beforeAutospacing="1" w:after="100" w:afterAutospacing="1" w:line="240" w:lineRule="auto"/>
        <w:ind w:firstLine="0"/>
        <w:contextualSpacing/>
        <w:jc w:val="both"/>
        <w:rPr>
          <w:rFonts w:ascii="Times New Roman" w:eastAsia="Times New Roman" w:hAnsi="Times New Roman" w:cs="Times New Roman"/>
          <w:sz w:val="24"/>
          <w:szCs w:val="24"/>
        </w:rPr>
      </w:pPr>
      <w:r w:rsidRPr="00DC2725">
        <w:rPr>
          <w:rFonts w:ascii="Times New Roman" w:eastAsia="Times New Roman" w:hAnsi="Times New Roman" w:cs="Times New Roman"/>
          <w:sz w:val="24"/>
          <w:szCs w:val="24"/>
        </w:rPr>
        <w:t xml:space="preserve">Kenya’s private security industry has experienced rapid growth, emerging as one of the largest in Africa and playing a pivotal role in supplementing state security functions. </w:t>
      </w:r>
      <w:r w:rsidR="00A32594">
        <w:rPr>
          <w:rFonts w:ascii="Times New Roman" w:eastAsia="Times New Roman" w:hAnsi="Times New Roman" w:cs="Times New Roman"/>
          <w:sz w:val="24"/>
          <w:szCs w:val="24"/>
        </w:rPr>
        <w:t>However</w:t>
      </w:r>
      <w:r w:rsidRPr="00DC2725">
        <w:rPr>
          <w:rFonts w:ascii="Times New Roman" w:eastAsia="Times New Roman" w:hAnsi="Times New Roman" w:cs="Times New Roman"/>
          <w:sz w:val="24"/>
          <w:szCs w:val="24"/>
        </w:rPr>
        <w:t>, this expansion has not been matched by effective governance and accountability mechanisms. Oversight remains fragmented, with overlapping mandates between regulatory agencies, weak enforcement capacity, and limited transparency. These accountability gaps raise pressing concerns about professionalism, human rights compliance, and the legitimacy of private security providers within Kenya’s broader security architecture.</w:t>
      </w:r>
      <w:r w:rsidRPr="008F34FA">
        <w:rPr>
          <w:rFonts w:ascii="Times New Roman" w:eastAsia="Times New Roman" w:hAnsi="Times New Roman" w:cs="Times New Roman"/>
          <w:sz w:val="24"/>
          <w:szCs w:val="24"/>
        </w:rPr>
        <w:t xml:space="preserve"> </w:t>
      </w:r>
      <w:r w:rsidRPr="00DC2725">
        <w:rPr>
          <w:rFonts w:ascii="Times New Roman" w:eastAsia="Times New Roman" w:hAnsi="Times New Roman" w:cs="Times New Roman"/>
          <w:sz w:val="24"/>
          <w:szCs w:val="24"/>
        </w:rPr>
        <w:t>This study investigates the governance challenges confronting Kenya’s private security sector and evaluates the relevance of international norms and best practices as frameworks for reform. Methodologically, the research adopts a qualitative design, combining policy analysis, document review, and semi-structured interviews with regulators, private security firms, and civil society actors. Comparative case studies from South Africa and Nigeria provide a regional lens for situating Kenya’s experience within broader African trends.</w:t>
      </w:r>
      <w:r w:rsidRPr="008F34FA">
        <w:rPr>
          <w:rFonts w:ascii="Times New Roman" w:eastAsia="Times New Roman" w:hAnsi="Times New Roman" w:cs="Times New Roman"/>
          <w:sz w:val="24"/>
          <w:szCs w:val="24"/>
        </w:rPr>
        <w:t xml:space="preserve"> </w:t>
      </w:r>
      <w:r w:rsidRPr="00DC2725">
        <w:rPr>
          <w:rFonts w:ascii="Times New Roman" w:eastAsia="Times New Roman" w:hAnsi="Times New Roman" w:cs="Times New Roman"/>
          <w:sz w:val="24"/>
          <w:szCs w:val="24"/>
        </w:rPr>
        <w:t>The analysis is grounded in governance and accountability theory, drawing on institutionalism and global norm diffusion to assess how international frameworks—specifically the Montreux Document (2008) and the International Code of Conduct for Private Security Providers (</w:t>
      </w:r>
      <w:proofErr w:type="spellStart"/>
      <w:r w:rsidRPr="00DC2725">
        <w:rPr>
          <w:rFonts w:ascii="Times New Roman" w:eastAsia="Times New Roman" w:hAnsi="Times New Roman" w:cs="Times New Roman"/>
          <w:sz w:val="24"/>
          <w:szCs w:val="24"/>
        </w:rPr>
        <w:t>ICoCA</w:t>
      </w:r>
      <w:proofErr w:type="spellEnd"/>
      <w:r w:rsidRPr="00DC2725">
        <w:rPr>
          <w:rFonts w:ascii="Times New Roman" w:eastAsia="Times New Roman" w:hAnsi="Times New Roman" w:cs="Times New Roman"/>
          <w:sz w:val="24"/>
          <w:szCs w:val="24"/>
        </w:rPr>
        <w:t>, 2010)—can inform domestic regulation. Findings reveal persistent accountability gaps in Kenya’s private security governance, including weak oversight by the Private Security Regulatory Authority (PSRA), inadequate coordination with public security agencies, and limited mechanisms for monitoring compliance with human rights standards. While international norms offer valuable guidance, Kenya’s adoption remains partial, constrained by institutional weaknesses and political inertia.</w:t>
      </w:r>
      <w:r w:rsidRPr="008F34FA">
        <w:rPr>
          <w:rFonts w:ascii="Times New Roman" w:eastAsia="Times New Roman" w:hAnsi="Times New Roman" w:cs="Times New Roman"/>
          <w:sz w:val="24"/>
          <w:szCs w:val="24"/>
        </w:rPr>
        <w:t xml:space="preserve"> </w:t>
      </w:r>
      <w:r w:rsidRPr="00DC2725">
        <w:rPr>
          <w:rFonts w:ascii="Times New Roman" w:eastAsia="Times New Roman" w:hAnsi="Times New Roman" w:cs="Times New Roman"/>
          <w:sz w:val="24"/>
          <w:szCs w:val="24"/>
        </w:rPr>
        <w:t>The study concludes that integrating international norms and best practices into Kenya’s regulatory framework is essential for bridging accountability gaps and enhancing the legitimacy of private security governance. Strengthening institutional coordination, embedding human rights safeguards, and aligning domestic regulation with global standards would not only improve accountability but also position Kenya as a regional leader in private security governance.</w:t>
      </w:r>
    </w:p>
    <w:p w:rsidR="00DC2725" w:rsidRPr="008F34FA" w:rsidRDefault="00DC2725" w:rsidP="0088481E">
      <w:pPr>
        <w:pStyle w:val="NormalWeb"/>
        <w:contextualSpacing/>
        <w:rPr>
          <w:i/>
        </w:rPr>
      </w:pPr>
      <w:r w:rsidRPr="008F34FA">
        <w:rPr>
          <w:b/>
        </w:rPr>
        <w:t>Key Words</w:t>
      </w:r>
      <w:r w:rsidRPr="008F34FA">
        <w:t xml:space="preserve">:  </w:t>
      </w:r>
      <w:r w:rsidRPr="008F34FA">
        <w:rPr>
          <w:i/>
        </w:rPr>
        <w:t xml:space="preserve">Private Security </w:t>
      </w:r>
      <w:r w:rsidR="000C0C50" w:rsidRPr="008F34FA">
        <w:rPr>
          <w:i/>
        </w:rPr>
        <w:t>Governance, Accountability, Human</w:t>
      </w:r>
      <w:r w:rsidRPr="008F34FA">
        <w:rPr>
          <w:i/>
        </w:rPr>
        <w:t xml:space="preserve"> </w:t>
      </w:r>
      <w:r w:rsidR="000C0C50" w:rsidRPr="008F34FA">
        <w:rPr>
          <w:i/>
        </w:rPr>
        <w:t>Rights, International</w:t>
      </w:r>
      <w:r w:rsidRPr="008F34FA">
        <w:rPr>
          <w:i/>
        </w:rPr>
        <w:t xml:space="preserve"> </w:t>
      </w:r>
      <w:r w:rsidR="000C0C50" w:rsidRPr="008F34FA">
        <w:rPr>
          <w:i/>
        </w:rPr>
        <w:t>Norms</w:t>
      </w:r>
    </w:p>
    <w:p w:rsidR="0018330C" w:rsidRPr="0018330C" w:rsidRDefault="0018330C" w:rsidP="0018330C">
      <w:pPr>
        <w:spacing w:after="0" w:line="240" w:lineRule="auto"/>
        <w:contextualSpacing/>
        <w:jc w:val="both"/>
        <w:rPr>
          <w:rFonts w:ascii="Times New Roman" w:eastAsia="Times New Roman" w:hAnsi="Times New Roman" w:cs="Times New Roman"/>
          <w:sz w:val="24"/>
          <w:szCs w:val="24"/>
          <w:lang/>
        </w:rPr>
      </w:pPr>
    </w:p>
    <w:p w:rsidR="0018330C" w:rsidRPr="0018330C" w:rsidRDefault="0018330C" w:rsidP="0018330C">
      <w:pPr>
        <w:spacing w:after="0" w:line="240" w:lineRule="auto"/>
        <w:contextualSpacing/>
        <w:jc w:val="both"/>
        <w:rPr>
          <w:rFonts w:ascii="Times New Roman" w:eastAsia="Times New Roman" w:hAnsi="Times New Roman" w:cs="Times New Roman"/>
          <w:sz w:val="24"/>
          <w:szCs w:val="24"/>
          <w:lang/>
        </w:rPr>
      </w:pPr>
    </w:p>
    <w:p w:rsidR="0018330C" w:rsidRPr="0018330C" w:rsidRDefault="0018330C" w:rsidP="0018330C">
      <w:pPr>
        <w:spacing w:before="100" w:beforeAutospacing="1" w:after="100" w:afterAutospacing="1" w:line="240" w:lineRule="auto"/>
        <w:contextualSpacing/>
        <w:jc w:val="both"/>
        <w:outlineLvl w:val="2"/>
        <w:rPr>
          <w:rFonts w:ascii="Times New Roman" w:eastAsia="Times New Roman" w:hAnsi="Times New Roman" w:cs="Times New Roman"/>
          <w:b/>
          <w:bCs/>
          <w:sz w:val="27"/>
          <w:szCs w:val="27"/>
          <w:lang/>
        </w:rPr>
      </w:pPr>
      <w:r w:rsidRPr="0018330C">
        <w:rPr>
          <w:rFonts w:ascii="Times New Roman" w:eastAsia="Times New Roman" w:hAnsi="Times New Roman" w:cs="Times New Roman"/>
          <w:b/>
          <w:bCs/>
          <w:sz w:val="27"/>
          <w:szCs w:val="27"/>
          <w:lang/>
        </w:rPr>
        <w:t xml:space="preserve">Introduction </w:t>
      </w:r>
    </w:p>
    <w:p w:rsidR="0018330C" w:rsidRPr="0018330C" w:rsidRDefault="0018330C" w:rsidP="0018330C">
      <w:pPr>
        <w:spacing w:before="100" w:beforeAutospacing="1" w:after="100" w:afterAutospacing="1" w:line="240" w:lineRule="auto"/>
        <w:contextualSpacing/>
        <w:jc w:val="both"/>
        <w:rPr>
          <w:rFonts w:ascii="Times New Roman" w:eastAsia="Times New Roman" w:hAnsi="Times New Roman" w:cs="Times New Roman"/>
          <w:sz w:val="24"/>
          <w:szCs w:val="24"/>
          <w:lang/>
        </w:rPr>
      </w:pPr>
      <w:r w:rsidRPr="0018330C">
        <w:rPr>
          <w:rFonts w:ascii="Times New Roman" w:eastAsia="Times New Roman" w:hAnsi="Times New Roman" w:cs="Times New Roman"/>
          <w:sz w:val="24"/>
          <w:szCs w:val="24"/>
          <w:lang/>
        </w:rPr>
        <w:t xml:space="preserve">The governance of private security has become a critical issue in contemporary security studies, particularly in states where rapid industry expansion has outpaced regulatory oversight. Kenya exemplifies this dynamic. With a workforce exceeding half a million, the sector supplements state security functions yet operates in a fragmented regulatory environment characterized by overlapping mandates, weak enforcement, and limited transparency (Abrahamsen &amp; Williams, 2011; Mkutu, 2020). These governance gaps undermine accountability and heighten risks of human rights violations, </w:t>
      </w:r>
      <w:r w:rsidRPr="0018330C">
        <w:rPr>
          <w:rFonts w:ascii="Times New Roman" w:eastAsia="Times New Roman" w:hAnsi="Times New Roman" w:cs="Times New Roman"/>
          <w:sz w:val="24"/>
          <w:szCs w:val="24"/>
          <w:lang/>
        </w:rPr>
        <w:lastRenderedPageBreak/>
        <w:t>raising pressing concerns about professionalism and legitimacy within Kenya’s broader security architecture (Krahmann, 2017; Mutahi, 2021).</w:t>
      </w:r>
    </w:p>
    <w:p w:rsidR="0018330C" w:rsidRPr="0018330C" w:rsidRDefault="0018330C" w:rsidP="0018330C">
      <w:pPr>
        <w:spacing w:before="100" w:beforeAutospacing="1" w:after="100" w:afterAutospacing="1" w:line="240" w:lineRule="auto"/>
        <w:contextualSpacing/>
        <w:jc w:val="both"/>
        <w:rPr>
          <w:rFonts w:ascii="Times New Roman" w:eastAsia="Times New Roman" w:hAnsi="Times New Roman" w:cs="Times New Roman"/>
          <w:sz w:val="24"/>
          <w:szCs w:val="24"/>
          <w:lang/>
        </w:rPr>
      </w:pPr>
      <w:r w:rsidRPr="0018330C">
        <w:rPr>
          <w:rFonts w:ascii="Times New Roman" w:eastAsia="Times New Roman" w:hAnsi="Times New Roman" w:cs="Times New Roman"/>
          <w:sz w:val="24"/>
          <w:szCs w:val="24"/>
          <w:lang/>
        </w:rPr>
        <w:t>The Private Security Regulatory Authority (PSRA), established to provide oversight, has struggled with institutional weakness, limited resources, and contested legitimacy. As a result, private security providers operate in conditions of regulatory ambiguity, creating opportunities for abuse and eroding public trust. These challenges have manifested in concrete violations: during the 2024 “Gen Z” protests, contracted private actors were implicated in unlawful killings and arbitrary arrests, while civil society organizations documented enforced disappearances and extrajudicial executions linked to counterterrorism operations (Human Rights Watch, 2024; Amnesty International, 2023). Such incidents underscore the urgent need for stronger governance structures and effective accountability mechanisms to safeguard human rights.</w:t>
      </w:r>
    </w:p>
    <w:p w:rsidR="0018330C" w:rsidRPr="0018330C" w:rsidRDefault="0018330C" w:rsidP="0018330C">
      <w:pPr>
        <w:spacing w:before="100" w:beforeAutospacing="1" w:after="100" w:afterAutospacing="1" w:line="240" w:lineRule="auto"/>
        <w:contextualSpacing/>
        <w:jc w:val="both"/>
        <w:rPr>
          <w:rFonts w:ascii="Times New Roman" w:eastAsia="Times New Roman" w:hAnsi="Times New Roman" w:cs="Times New Roman"/>
          <w:sz w:val="24"/>
          <w:szCs w:val="24"/>
          <w:lang/>
        </w:rPr>
      </w:pPr>
      <w:r w:rsidRPr="0018330C">
        <w:rPr>
          <w:rFonts w:ascii="Times New Roman" w:eastAsia="Times New Roman" w:hAnsi="Times New Roman" w:cs="Times New Roman"/>
          <w:sz w:val="24"/>
          <w:szCs w:val="24"/>
          <w:lang/>
        </w:rPr>
        <w:t>At the international level, frameworks such as the Montreux Document (2008) and the International Code of Conduct for Private Security Providers (ICoCA, 2010) emphasize accountability, transparency, and rights protection, offering guidance for aligning domestic regulation with global best practices (Cockayne, 2016). Kenya’s partial engagement with these instruments provides an opportunity to assess how international norms can be localized to strengthen governance and accountability. Comparative experiences from South Africa and Nigeria further highlight the stakes: South Africa has pursued deliberate reforms to regulate its private security industry, while Nigeria has faced persistent allegations of collusion between private providers and state forces in suppressing community protests (Agbiboa, 2019; Berg &amp; Howell, 2017). These cases illustrate both the risks of weak oversight and the potential of international norms to reinforce accountability and human rights protections.</w:t>
      </w:r>
    </w:p>
    <w:p w:rsidR="0018330C" w:rsidRPr="0018330C" w:rsidRDefault="0018330C" w:rsidP="0018330C">
      <w:pPr>
        <w:spacing w:before="100" w:beforeAutospacing="1" w:after="100" w:afterAutospacing="1" w:line="240" w:lineRule="auto"/>
        <w:contextualSpacing/>
        <w:jc w:val="both"/>
        <w:rPr>
          <w:rFonts w:ascii="Times New Roman" w:eastAsia="Times New Roman" w:hAnsi="Times New Roman" w:cs="Times New Roman"/>
          <w:sz w:val="24"/>
          <w:szCs w:val="24"/>
          <w:lang/>
        </w:rPr>
      </w:pPr>
      <w:r w:rsidRPr="0018330C">
        <w:rPr>
          <w:rFonts w:ascii="Times New Roman" w:eastAsia="Times New Roman" w:hAnsi="Times New Roman" w:cs="Times New Roman"/>
          <w:sz w:val="24"/>
          <w:szCs w:val="24"/>
          <w:lang/>
        </w:rPr>
        <w:t>Against this backdrop, the study seeks to achieve several interrelated objectives. It examines the accountability challenges that undermine effective regulation of private security providers in Kenya and evaluates the role of the PSRA in addressing governance gaps and promoting oversight. It further assesses the applicability of international frameworks—most notably the Montreux Document and ICoCA—in strengthening accountability and embedding human rights safeguards within Kenya’s regulatory landscape. To enrich this analysis, the study draws comparative lessons from South Africa and Nigeria, situating Kenya’s experience within broader African debates on security governance. Ultimately, the research aims to propose actionable recommendations for aligning Kenya’s domestic regulation with international best practices, thereby enhancing accountability, safeguarding human rights, and positioning Kenya as a regional leader in private security governance.</w:t>
      </w:r>
    </w:p>
    <w:p w:rsidR="004930E4" w:rsidRPr="00BC09E7" w:rsidRDefault="004930E4" w:rsidP="004930E4">
      <w:pPr>
        <w:spacing w:before="100" w:beforeAutospacing="1" w:after="100" w:afterAutospacing="1" w:line="240" w:lineRule="auto"/>
        <w:contextualSpacing/>
        <w:jc w:val="both"/>
        <w:outlineLvl w:val="2"/>
        <w:rPr>
          <w:rFonts w:ascii="Times New Roman" w:eastAsia="Times New Roman" w:hAnsi="Times New Roman" w:cs="Times New Roman"/>
          <w:b/>
          <w:bCs/>
          <w:sz w:val="27"/>
          <w:szCs w:val="27"/>
          <w:lang/>
        </w:rPr>
      </w:pPr>
      <w:r w:rsidRPr="00BC09E7">
        <w:rPr>
          <w:rFonts w:ascii="Times New Roman" w:eastAsia="Times New Roman" w:hAnsi="Times New Roman" w:cs="Times New Roman"/>
          <w:b/>
          <w:bCs/>
          <w:sz w:val="27"/>
          <w:szCs w:val="27"/>
          <w:lang/>
        </w:rPr>
        <w:t xml:space="preserve">Literature Review </w:t>
      </w:r>
    </w:p>
    <w:p w:rsidR="0018330C" w:rsidRPr="0018330C" w:rsidRDefault="0018330C" w:rsidP="0018330C">
      <w:pPr>
        <w:spacing w:before="100" w:beforeAutospacing="1" w:after="100" w:afterAutospacing="1" w:line="240" w:lineRule="auto"/>
        <w:contextualSpacing/>
        <w:jc w:val="both"/>
        <w:rPr>
          <w:rFonts w:ascii="Times New Roman" w:eastAsia="Times New Roman" w:hAnsi="Times New Roman" w:cs="Times New Roman"/>
          <w:sz w:val="24"/>
          <w:szCs w:val="24"/>
          <w:lang/>
        </w:rPr>
      </w:pPr>
      <w:r w:rsidRPr="0018330C">
        <w:rPr>
          <w:rFonts w:ascii="Times New Roman" w:eastAsia="Times New Roman" w:hAnsi="Times New Roman" w:cs="Times New Roman"/>
          <w:sz w:val="24"/>
          <w:szCs w:val="24"/>
          <w:lang/>
        </w:rPr>
        <w:t>The privatization of security has reconfigured state authority and introduced complex governance challenges, particularly in contexts where regulatory frameworks remain weak (Avant, 2005; Abrahamsen &amp; Williams, 2011). Across Africa, the rapid expansion of private security industries has been driven by urbanization, rising crime, and overstretched state institutions, yet oversight mechanisms have lagged behind (Mkutu, 2020). This governance deficit has created conditions where accountability is fragile and human rights protections are precarious. Krahmann (2017) underscores how fragmented mandates and limited institutional capacity undermine effective regulation, while Mutahi (2021) highlights the persistence of institutional constraints in Kenya’s oversight structures.</w:t>
      </w:r>
    </w:p>
    <w:p w:rsidR="0018330C" w:rsidRPr="0018330C" w:rsidRDefault="0018330C" w:rsidP="0018330C">
      <w:pPr>
        <w:spacing w:before="100" w:beforeAutospacing="1" w:after="100" w:afterAutospacing="1" w:line="240" w:lineRule="auto"/>
        <w:contextualSpacing/>
        <w:jc w:val="both"/>
        <w:rPr>
          <w:rFonts w:ascii="Times New Roman" w:eastAsia="Times New Roman" w:hAnsi="Times New Roman" w:cs="Times New Roman"/>
          <w:sz w:val="24"/>
          <w:szCs w:val="24"/>
          <w:lang/>
        </w:rPr>
      </w:pPr>
      <w:r w:rsidRPr="0018330C">
        <w:rPr>
          <w:rFonts w:ascii="Times New Roman" w:eastAsia="Times New Roman" w:hAnsi="Times New Roman" w:cs="Times New Roman"/>
          <w:sz w:val="24"/>
          <w:szCs w:val="24"/>
          <w:lang/>
        </w:rPr>
        <w:t xml:space="preserve">Comparative scholarship demonstrates that these challenges are not unique to Kenya but reflect broader regional struggles. In Nigeria, private security providers have colluded with state forces to suppress community protests, raising questions about legitimacy and accountability (Agbiboa, 2019). In the Democratic Republic of Congo, companies guarding mining operations have been implicated in intimidation and excessive force, illustrating the dangers of unregulated private security in fragile governance contexts (Global Witness, 2020). South Africa, by contrast, has pursued more deliberate reforms to regulate its private security industry, though enforcement and compliance remain uneven (Berg &amp; Howell, 2017). These cases highlight how governance failures translate into accountability </w:t>
      </w:r>
      <w:r w:rsidRPr="0018330C">
        <w:rPr>
          <w:rFonts w:ascii="Times New Roman" w:eastAsia="Times New Roman" w:hAnsi="Times New Roman" w:cs="Times New Roman"/>
          <w:sz w:val="24"/>
          <w:szCs w:val="24"/>
          <w:lang/>
        </w:rPr>
        <w:lastRenderedPageBreak/>
        <w:t>deficits and human rights risks, reinforcing the need for robust oversight frameworks across the continent.</w:t>
      </w:r>
    </w:p>
    <w:p w:rsidR="0018330C" w:rsidRPr="0018330C" w:rsidRDefault="0018330C" w:rsidP="0018330C">
      <w:pPr>
        <w:spacing w:before="100" w:beforeAutospacing="1" w:after="100" w:afterAutospacing="1" w:line="240" w:lineRule="auto"/>
        <w:contextualSpacing/>
        <w:jc w:val="both"/>
        <w:rPr>
          <w:rFonts w:ascii="Times New Roman" w:eastAsia="Times New Roman" w:hAnsi="Times New Roman" w:cs="Times New Roman"/>
          <w:sz w:val="24"/>
          <w:szCs w:val="24"/>
          <w:lang/>
        </w:rPr>
      </w:pPr>
      <w:r w:rsidRPr="0018330C">
        <w:rPr>
          <w:rFonts w:ascii="Times New Roman" w:eastAsia="Times New Roman" w:hAnsi="Times New Roman" w:cs="Times New Roman"/>
          <w:sz w:val="24"/>
          <w:szCs w:val="24"/>
          <w:lang/>
        </w:rPr>
        <w:t>International norms have been advanced as corrective instruments to address these governance and accountability gaps. The Montreux Document (2008) and the International Code of Conduct for Private Security Providers (ICoCA, 2010) emphasize transparency, accountability, and rights protection, offering states guidance for aligning domestic regulation with global standards (Cockayne, 2016). While voluntary, these frameworks represent significant attempts to establish normative benchmarks for private security governance. Kenya’s partial engagement demonstrates both the promise and limitations of norm diffusion: global frameworks provide a blueprint for reform, but their localization requires political will, institutional capacity, and stakeholder buy-in (Mutahi, 2021).</w:t>
      </w:r>
    </w:p>
    <w:p w:rsidR="0018330C" w:rsidRPr="0018330C" w:rsidRDefault="0018330C" w:rsidP="0018330C">
      <w:pPr>
        <w:spacing w:before="100" w:beforeAutospacing="1" w:after="100" w:afterAutospacing="1" w:line="240" w:lineRule="auto"/>
        <w:contextualSpacing/>
        <w:jc w:val="both"/>
        <w:rPr>
          <w:rFonts w:ascii="Times New Roman" w:eastAsia="Times New Roman" w:hAnsi="Times New Roman" w:cs="Times New Roman"/>
          <w:sz w:val="24"/>
          <w:szCs w:val="24"/>
          <w:lang/>
        </w:rPr>
      </w:pPr>
      <w:r w:rsidRPr="0018330C">
        <w:rPr>
          <w:rFonts w:ascii="Times New Roman" w:eastAsia="Times New Roman" w:hAnsi="Times New Roman" w:cs="Times New Roman"/>
          <w:sz w:val="24"/>
          <w:szCs w:val="24"/>
          <w:lang/>
        </w:rPr>
        <w:t>Taken together, the literature converges on three critical insights. First, governance deficits weaken oversight and create regulatory ambiguity. Second, accountability failures enable abuses that erode legitimacy and public trust. Third, human rights risks are intrinsic to weakly regulated private security sectors, underscoring the importance of embedding international norms into domestic frameworks. Kenya’s case remains underexplored in this regard, particularly in terms of how global standards might be adapted to strengthen accountability and reinforce governance. By situating Kenya’s experience within comparative African contexts, this study seeks to fill that gap and assess the potential of international norms to safeguard rights and enhance regulatory legitimacy.</w:t>
      </w:r>
    </w:p>
    <w:p w:rsidR="001C56D3" w:rsidRPr="001C56D3" w:rsidRDefault="001C56D3" w:rsidP="001C56D3">
      <w:pPr>
        <w:spacing w:before="100" w:beforeAutospacing="1" w:after="100" w:afterAutospacing="1" w:line="240" w:lineRule="auto"/>
        <w:contextualSpacing/>
        <w:jc w:val="both"/>
        <w:outlineLvl w:val="1"/>
        <w:rPr>
          <w:rFonts w:ascii="Times New Roman" w:eastAsia="Times New Roman" w:hAnsi="Times New Roman" w:cs="Times New Roman"/>
          <w:b/>
          <w:bCs/>
          <w:sz w:val="28"/>
          <w:szCs w:val="28"/>
        </w:rPr>
      </w:pPr>
      <w:r w:rsidRPr="001C56D3">
        <w:rPr>
          <w:rFonts w:ascii="Times New Roman" w:eastAsia="Times New Roman" w:hAnsi="Times New Roman" w:cs="Times New Roman"/>
          <w:b/>
          <w:bCs/>
          <w:sz w:val="28"/>
          <w:szCs w:val="28"/>
        </w:rPr>
        <w:t>Theoretical Framework</w:t>
      </w:r>
    </w:p>
    <w:p w:rsidR="001C56D3" w:rsidRPr="001C56D3" w:rsidRDefault="001C56D3" w:rsidP="001C56D3">
      <w:pPr>
        <w:spacing w:before="100" w:beforeAutospacing="1" w:after="100" w:afterAutospacing="1" w:line="240" w:lineRule="auto"/>
        <w:contextualSpacing/>
        <w:jc w:val="both"/>
        <w:rPr>
          <w:rFonts w:ascii="Times New Roman" w:eastAsia="Times New Roman" w:hAnsi="Times New Roman" w:cs="Times New Roman"/>
          <w:sz w:val="24"/>
          <w:szCs w:val="24"/>
        </w:rPr>
      </w:pPr>
      <w:r w:rsidRPr="001C56D3">
        <w:rPr>
          <w:rFonts w:ascii="Times New Roman" w:eastAsia="Times New Roman" w:hAnsi="Times New Roman" w:cs="Times New Roman"/>
          <w:sz w:val="24"/>
          <w:szCs w:val="24"/>
        </w:rPr>
        <w:t xml:space="preserve">This study is anchored in two complementary theoretical lenses: </w:t>
      </w:r>
      <w:r w:rsidRPr="001C56D3">
        <w:rPr>
          <w:rFonts w:ascii="Times New Roman" w:eastAsia="Times New Roman" w:hAnsi="Times New Roman" w:cs="Times New Roman"/>
          <w:bCs/>
          <w:sz w:val="24"/>
          <w:szCs w:val="24"/>
        </w:rPr>
        <w:t>accountability theory</w:t>
      </w:r>
      <w:r w:rsidRPr="001C56D3">
        <w:rPr>
          <w:rFonts w:ascii="Times New Roman" w:eastAsia="Times New Roman" w:hAnsi="Times New Roman" w:cs="Times New Roman"/>
          <w:sz w:val="24"/>
          <w:szCs w:val="24"/>
        </w:rPr>
        <w:t xml:space="preserve"> and </w:t>
      </w:r>
      <w:r w:rsidRPr="001C56D3">
        <w:rPr>
          <w:rFonts w:ascii="Times New Roman" w:eastAsia="Times New Roman" w:hAnsi="Times New Roman" w:cs="Times New Roman"/>
          <w:bCs/>
          <w:sz w:val="24"/>
          <w:szCs w:val="24"/>
        </w:rPr>
        <w:t>norm diffusion theory</w:t>
      </w:r>
      <w:r w:rsidRPr="001C56D3">
        <w:rPr>
          <w:rFonts w:ascii="Times New Roman" w:eastAsia="Times New Roman" w:hAnsi="Times New Roman" w:cs="Times New Roman"/>
          <w:sz w:val="24"/>
          <w:szCs w:val="24"/>
        </w:rPr>
        <w:t>. Together, they provide a robust framework for interrogating the governance of private security in Kenya and situating it within broader comparative debates in international security.</w:t>
      </w:r>
    </w:p>
    <w:p w:rsidR="001C56D3" w:rsidRPr="001C56D3" w:rsidRDefault="001C56D3" w:rsidP="001C56D3">
      <w:pPr>
        <w:spacing w:before="100" w:beforeAutospacing="1" w:after="100" w:afterAutospacing="1" w:line="240" w:lineRule="auto"/>
        <w:contextualSpacing/>
        <w:jc w:val="both"/>
        <w:rPr>
          <w:rFonts w:ascii="Times New Roman" w:eastAsia="Times New Roman" w:hAnsi="Times New Roman" w:cs="Times New Roman"/>
          <w:sz w:val="24"/>
          <w:szCs w:val="24"/>
        </w:rPr>
      </w:pPr>
      <w:r w:rsidRPr="001C56D3">
        <w:rPr>
          <w:rFonts w:ascii="Times New Roman" w:eastAsia="Times New Roman" w:hAnsi="Times New Roman" w:cs="Times New Roman"/>
          <w:bCs/>
          <w:sz w:val="24"/>
          <w:szCs w:val="24"/>
        </w:rPr>
        <w:t>Accountability theory</w:t>
      </w:r>
      <w:r w:rsidRPr="001C56D3">
        <w:rPr>
          <w:rFonts w:ascii="Times New Roman" w:eastAsia="Times New Roman" w:hAnsi="Times New Roman" w:cs="Times New Roman"/>
          <w:sz w:val="24"/>
          <w:szCs w:val="24"/>
        </w:rPr>
        <w:t xml:space="preserve"> emphasizes the mechanisms through which actors are held responsible for their actions, particularly in contexts where authority is delegated and oversight is fragmented. In the case of private security, accountability involves not only compliance with domestic regulation but also adherence to professional standards and respect for human rights. Scholars argue that accountability requires clear institutional mandates, transparency in operations, and effective enforcement mechanisms to ensure that private actors do not undermine public trust or democratic governance (Krahmann, 2017). Applied to Kenya, this lens highlights how weak oversight, overlapping mandates, and limited enforcement capacity create accountability deficits that compromise the legitimacy of private security providers. The persistence of abuses—such as excessive use of force during protests, arbitrary arrests, and collusion with state agencies in counterterrorism operations—illustrates how accountability gaps translate into tangible human rights violations and erode public confidence in both private and state security institutions.</w:t>
      </w:r>
    </w:p>
    <w:p w:rsidR="001C56D3" w:rsidRPr="001C56D3" w:rsidRDefault="001C56D3" w:rsidP="001C56D3">
      <w:pPr>
        <w:spacing w:before="100" w:beforeAutospacing="1" w:after="100" w:afterAutospacing="1" w:line="240" w:lineRule="auto"/>
        <w:contextualSpacing/>
        <w:jc w:val="both"/>
        <w:rPr>
          <w:rFonts w:ascii="Times New Roman" w:eastAsia="Times New Roman" w:hAnsi="Times New Roman" w:cs="Times New Roman"/>
          <w:sz w:val="24"/>
          <w:szCs w:val="24"/>
        </w:rPr>
      </w:pPr>
      <w:r w:rsidRPr="001C56D3">
        <w:rPr>
          <w:rFonts w:ascii="Times New Roman" w:eastAsia="Times New Roman" w:hAnsi="Times New Roman" w:cs="Times New Roman"/>
          <w:bCs/>
          <w:sz w:val="24"/>
          <w:szCs w:val="24"/>
        </w:rPr>
        <w:t>Norm diffusion theory</w:t>
      </w:r>
      <w:r w:rsidRPr="001C56D3">
        <w:rPr>
          <w:rFonts w:ascii="Times New Roman" w:eastAsia="Times New Roman" w:hAnsi="Times New Roman" w:cs="Times New Roman"/>
          <w:sz w:val="24"/>
          <w:szCs w:val="24"/>
        </w:rPr>
        <w:t xml:space="preserve"> complements this analysis by explaining how international standards and practices are transmitted across borders and embedded within domestic governance structures. Norm diffusion emphasizes the processes through which global frameworks—such as the Montreux Document (2008) and the International Code of Conduct for Private Security Providers (ICoCA, 2010)—gain traction within national contexts. These norms establish expectations of accountability, transparency, and human rights compliance, but their adoption depends on domestic institutional capacity, political will, and the alignment of local interests with international standards (Finnemore &amp; Sikkink, 1998). In Kenya, partial engagement with these frameworks illustrates both the opportunities and challenges of norm diffusion. While international norms provide guidance, their localization requires adaptation to Kenya’s regulatory environment and socio-political realities, including resource constraints, contested legitimacy of oversight bodies, and resistance from entrenched industry actors.</w:t>
      </w:r>
    </w:p>
    <w:p w:rsidR="001C56D3" w:rsidRPr="001C56D3" w:rsidRDefault="001C56D3" w:rsidP="00405627">
      <w:pPr>
        <w:spacing w:before="100" w:beforeAutospacing="1" w:after="100" w:afterAutospacing="1" w:line="240" w:lineRule="auto"/>
        <w:contextualSpacing/>
        <w:jc w:val="both"/>
      </w:pPr>
      <w:r w:rsidRPr="001C56D3">
        <w:rPr>
          <w:rFonts w:ascii="Times New Roman" w:eastAsia="Times New Roman" w:hAnsi="Times New Roman" w:cs="Times New Roman"/>
          <w:sz w:val="24"/>
          <w:szCs w:val="24"/>
        </w:rPr>
        <w:t xml:space="preserve">By integrating accountability theory and norm diffusion, this conceptual framework provides a dual lens for analyzing Kenya’s private security governance. Accountability theory foregrounds the institutional weaknesses and oversight challenges that undermine effective regulation, while norm diffusion highlights the relevance of international standards and the pathways through which they can shape domestic governance. Together, these perspectives enable a comprehensive analysis of how </w:t>
      </w:r>
      <w:r w:rsidRPr="001C56D3">
        <w:rPr>
          <w:rFonts w:ascii="Times New Roman" w:eastAsia="Times New Roman" w:hAnsi="Times New Roman" w:cs="Times New Roman"/>
          <w:sz w:val="24"/>
          <w:szCs w:val="24"/>
        </w:rPr>
        <w:lastRenderedPageBreak/>
        <w:t>Kenya can strengthen accountability in its private security sector by aligning domestic regulation with global best practices. This framework also situates Kenya within broader comparative debates, demonstrating how local governance challenges intersect with international normative pressures in shaping security governance in Africa.</w:t>
      </w:r>
    </w:p>
    <w:p w:rsidR="00566E29" w:rsidRDefault="00566E29" w:rsidP="0088481E">
      <w:pPr>
        <w:spacing w:before="100" w:beforeAutospacing="1" w:after="100" w:afterAutospacing="1" w:line="240" w:lineRule="auto"/>
        <w:contextualSpacing/>
        <w:jc w:val="both"/>
        <w:rPr>
          <w:rFonts w:ascii="Times New Roman" w:eastAsia="Times New Roman" w:hAnsi="Times New Roman" w:cs="Times New Roman"/>
          <w:b/>
          <w:sz w:val="28"/>
          <w:szCs w:val="28"/>
        </w:rPr>
      </w:pPr>
      <w:r w:rsidRPr="008F34FA">
        <w:rPr>
          <w:rFonts w:ascii="Times New Roman" w:eastAsia="Times New Roman" w:hAnsi="Times New Roman" w:cs="Times New Roman"/>
          <w:b/>
          <w:sz w:val="28"/>
          <w:szCs w:val="28"/>
        </w:rPr>
        <w:t>Conceptual Framework</w:t>
      </w:r>
    </w:p>
    <w:p w:rsidR="00766B58" w:rsidRPr="00766B58" w:rsidRDefault="00766B58" w:rsidP="00766B58">
      <w:pPr>
        <w:spacing w:before="100" w:beforeAutospacing="1" w:after="100" w:afterAutospacing="1" w:line="240" w:lineRule="auto"/>
        <w:contextualSpacing/>
        <w:jc w:val="both"/>
        <w:rPr>
          <w:rFonts w:ascii="Times New Roman" w:eastAsia="Times New Roman" w:hAnsi="Times New Roman" w:cs="Times New Roman"/>
          <w:sz w:val="24"/>
          <w:szCs w:val="24"/>
          <w:lang/>
        </w:rPr>
      </w:pPr>
      <w:r w:rsidRPr="00766B58">
        <w:rPr>
          <w:rFonts w:ascii="Times New Roman" w:eastAsia="Times New Roman" w:hAnsi="Times New Roman" w:cs="Times New Roman"/>
          <w:sz w:val="24"/>
          <w:szCs w:val="24"/>
          <w:lang/>
        </w:rPr>
        <w:t xml:space="preserve">This study conceptualizes Kenya’s private security governance through a </w:t>
      </w:r>
      <w:r w:rsidRPr="00766B58">
        <w:rPr>
          <w:rFonts w:ascii="Times New Roman" w:eastAsia="Times New Roman" w:hAnsi="Times New Roman" w:cs="Times New Roman"/>
          <w:bCs/>
          <w:sz w:val="24"/>
          <w:szCs w:val="24"/>
          <w:lang/>
        </w:rPr>
        <w:t>triangular model</w:t>
      </w:r>
      <w:r w:rsidRPr="00766B58">
        <w:rPr>
          <w:rFonts w:ascii="Times New Roman" w:eastAsia="Times New Roman" w:hAnsi="Times New Roman" w:cs="Times New Roman"/>
          <w:sz w:val="24"/>
          <w:szCs w:val="24"/>
          <w:lang/>
        </w:rPr>
        <w:t xml:space="preserve"> that integrates three interconnected dimensions: </w:t>
      </w:r>
      <w:r w:rsidRPr="00766B58">
        <w:rPr>
          <w:rFonts w:ascii="Times New Roman" w:eastAsia="Times New Roman" w:hAnsi="Times New Roman" w:cs="Times New Roman"/>
          <w:bCs/>
          <w:sz w:val="24"/>
          <w:szCs w:val="24"/>
          <w:lang/>
        </w:rPr>
        <w:t>domestic accountability mechanisms, international normative frameworks, and comparative regional experiences</w:t>
      </w:r>
      <w:r w:rsidRPr="00766B58">
        <w:rPr>
          <w:rFonts w:ascii="Times New Roman" w:eastAsia="Times New Roman" w:hAnsi="Times New Roman" w:cs="Times New Roman"/>
          <w:sz w:val="24"/>
          <w:szCs w:val="24"/>
          <w:lang/>
        </w:rPr>
        <w:t>. Together, these dimensions provide the analytical lens through which governance outcomes are assessed.</w:t>
      </w:r>
    </w:p>
    <w:p w:rsidR="00766B58" w:rsidRPr="00766B58" w:rsidRDefault="00766B58" w:rsidP="0088481E">
      <w:pPr>
        <w:spacing w:before="100" w:beforeAutospacing="1" w:after="100" w:afterAutospacing="1" w:line="240" w:lineRule="auto"/>
        <w:contextualSpacing/>
        <w:jc w:val="both"/>
        <w:rPr>
          <w:rFonts w:ascii="Times New Roman" w:eastAsia="Times New Roman" w:hAnsi="Times New Roman" w:cs="Times New Roman"/>
          <w:sz w:val="28"/>
          <w:szCs w:val="28"/>
          <w:lang/>
        </w:rPr>
      </w:pPr>
    </w:p>
    <w:p w:rsidR="005C749D" w:rsidRPr="008F34FA" w:rsidRDefault="009255D3" w:rsidP="0088481E">
      <w:pPr>
        <w:spacing w:after="0" w:line="240" w:lineRule="auto"/>
        <w:contextualSpacing/>
        <w:jc w:val="center"/>
        <w:rPr>
          <w:rFonts w:ascii="Times New Roman" w:eastAsia="Times New Roman" w:hAnsi="Times New Roman" w:cs="Times New Roman"/>
          <w:sz w:val="24"/>
          <w:szCs w:val="24"/>
        </w:rPr>
      </w:pPr>
      <w:r w:rsidRPr="008F34FA">
        <w:rPr>
          <w:rFonts w:ascii="Times New Roman" w:eastAsia="Times New Roman" w:hAnsi="Times New Roman" w:cs="Times New Roman"/>
          <w:noProof/>
          <w:sz w:val="24"/>
          <w:szCs w:val="24"/>
        </w:rPr>
        <w:drawing>
          <wp:inline distT="0" distB="0" distL="0" distR="0" wp14:anchorId="7D7B131B">
            <wp:extent cx="5116195" cy="3410797"/>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17255" cy="3411504"/>
                    </a:xfrm>
                    <a:prstGeom prst="rect">
                      <a:avLst/>
                    </a:prstGeom>
                    <a:noFill/>
                  </pic:spPr>
                </pic:pic>
              </a:graphicData>
            </a:graphic>
          </wp:inline>
        </w:drawing>
      </w:r>
    </w:p>
    <w:p w:rsidR="00405627" w:rsidRPr="00405627" w:rsidRDefault="00405627" w:rsidP="00B70E81">
      <w:pPr>
        <w:spacing w:before="100" w:beforeAutospacing="1" w:after="100" w:afterAutospacing="1" w:line="240" w:lineRule="auto"/>
        <w:ind w:firstLine="0"/>
        <w:jc w:val="both"/>
        <w:rPr>
          <w:rFonts w:ascii="Times New Roman" w:eastAsia="Times New Roman" w:hAnsi="Times New Roman" w:cs="Times New Roman"/>
          <w:sz w:val="24"/>
          <w:szCs w:val="24"/>
        </w:rPr>
      </w:pPr>
      <w:r w:rsidRPr="00405627">
        <w:rPr>
          <w:rFonts w:ascii="Times New Roman" w:eastAsia="Times New Roman" w:hAnsi="Times New Roman" w:cs="Times New Roman"/>
          <w:b/>
          <w:i/>
          <w:iCs/>
          <w:sz w:val="24"/>
          <w:szCs w:val="24"/>
        </w:rPr>
        <w:t>Figure 1.</w:t>
      </w:r>
      <w:r w:rsidRPr="00405627">
        <w:rPr>
          <w:rFonts w:ascii="Times New Roman" w:eastAsia="Times New Roman" w:hAnsi="Times New Roman" w:cs="Times New Roman"/>
          <w:i/>
          <w:iCs/>
          <w:sz w:val="24"/>
          <w:szCs w:val="24"/>
        </w:rPr>
        <w:t xml:space="preserve"> Conceptual framework of private security governance in Kenya, illustrating the interaction between domestic accountability mechanisms, international normative frameworks, and comparative regional experiences. The model integrates accountability theory and norm diffusion to explain how local institutional weaknesses intersect with global normative pressures and regional lessons to shape governance outcomes.</w:t>
      </w:r>
    </w:p>
    <w:p w:rsidR="00405627" w:rsidRPr="00405627" w:rsidRDefault="00405627" w:rsidP="00B70E81">
      <w:pPr>
        <w:spacing w:before="100" w:beforeAutospacing="1" w:after="100" w:afterAutospacing="1" w:line="240" w:lineRule="auto"/>
        <w:contextualSpacing/>
        <w:jc w:val="both"/>
        <w:rPr>
          <w:rFonts w:ascii="Times New Roman" w:eastAsia="Times New Roman" w:hAnsi="Times New Roman" w:cs="Times New Roman"/>
          <w:sz w:val="24"/>
          <w:szCs w:val="24"/>
        </w:rPr>
      </w:pPr>
      <w:r w:rsidRPr="00405627">
        <w:rPr>
          <w:rFonts w:ascii="Times New Roman" w:eastAsia="Times New Roman" w:hAnsi="Times New Roman" w:cs="Times New Roman"/>
          <w:sz w:val="24"/>
          <w:szCs w:val="24"/>
        </w:rPr>
        <w:t xml:space="preserve">At the </w:t>
      </w:r>
      <w:r w:rsidRPr="00405627">
        <w:rPr>
          <w:rFonts w:ascii="Times New Roman" w:eastAsia="Times New Roman" w:hAnsi="Times New Roman" w:cs="Times New Roman"/>
          <w:bCs/>
          <w:sz w:val="24"/>
          <w:szCs w:val="24"/>
        </w:rPr>
        <w:t>international level</w:t>
      </w:r>
      <w:r w:rsidRPr="00405627">
        <w:rPr>
          <w:rFonts w:ascii="Times New Roman" w:eastAsia="Times New Roman" w:hAnsi="Times New Roman" w:cs="Times New Roman"/>
          <w:sz w:val="24"/>
          <w:szCs w:val="24"/>
        </w:rPr>
        <w:t>, norm diffusion explains how global standards, particularly the Montreux Document (2008) and the International Code of Conduct for Private Security Providers (ICoCA, 2010), exert pressure on states to adopt accountability, transparency, and human rights safeguards. These norms form the second node of the framework. Their influence depends on Kenya’s institutional capacity, political will, and the ability to embed international standards within domestic regulation (Finnemore &amp; Sikkink, 1998). Partial engagement with these frameworks demonstrates both the opportunities for reform and the challenges of localization, as global norms must be adapted to Kenya’s socio-political realities.</w:t>
      </w:r>
    </w:p>
    <w:p w:rsidR="00405627" w:rsidRPr="00405627" w:rsidRDefault="00405627" w:rsidP="00B70E81">
      <w:pPr>
        <w:spacing w:before="100" w:beforeAutospacing="1" w:after="100" w:afterAutospacing="1" w:line="240" w:lineRule="auto"/>
        <w:contextualSpacing/>
        <w:jc w:val="both"/>
        <w:rPr>
          <w:rFonts w:ascii="Times New Roman" w:eastAsia="Times New Roman" w:hAnsi="Times New Roman" w:cs="Times New Roman"/>
          <w:sz w:val="24"/>
          <w:szCs w:val="24"/>
        </w:rPr>
      </w:pPr>
      <w:r w:rsidRPr="00405627">
        <w:rPr>
          <w:rFonts w:ascii="Times New Roman" w:eastAsia="Times New Roman" w:hAnsi="Times New Roman" w:cs="Times New Roman"/>
          <w:sz w:val="24"/>
          <w:szCs w:val="24"/>
        </w:rPr>
        <w:t xml:space="preserve">The </w:t>
      </w:r>
      <w:r w:rsidRPr="00405627">
        <w:rPr>
          <w:rFonts w:ascii="Times New Roman" w:eastAsia="Times New Roman" w:hAnsi="Times New Roman" w:cs="Times New Roman"/>
          <w:bCs/>
          <w:sz w:val="24"/>
          <w:szCs w:val="24"/>
        </w:rPr>
        <w:t>regional comparative dimension</w:t>
      </w:r>
      <w:r w:rsidRPr="00405627">
        <w:rPr>
          <w:rFonts w:ascii="Times New Roman" w:eastAsia="Times New Roman" w:hAnsi="Times New Roman" w:cs="Times New Roman"/>
          <w:sz w:val="24"/>
          <w:szCs w:val="24"/>
        </w:rPr>
        <w:t xml:space="preserve"> constitutes the third node. Experiences from South Africa and Nigeria illustrate how African states have responded differently to the challenges of private security governance. South Africa’s relatively stronger regulatory institutions demonstrate the potential of accountability mechanisms, while Nigeria’s weaker frameworks highlight risks of parallel security structures and human rights abuses (Berg &amp; Howell, 2017; Agbiboa, 2019). These cases </w:t>
      </w:r>
      <w:r w:rsidRPr="00405627">
        <w:rPr>
          <w:rFonts w:ascii="Times New Roman" w:eastAsia="Times New Roman" w:hAnsi="Times New Roman" w:cs="Times New Roman"/>
          <w:sz w:val="24"/>
          <w:szCs w:val="24"/>
        </w:rPr>
        <w:lastRenderedPageBreak/>
        <w:t>provide lessons for Kenya, reinforcing the importance of adapting international norms to local realities and situating Kenya’s reform trajectory within a broader African policy environment.</w:t>
      </w:r>
    </w:p>
    <w:p w:rsidR="00405627" w:rsidRPr="00405627" w:rsidRDefault="00405627" w:rsidP="00B70E81">
      <w:pPr>
        <w:spacing w:before="100" w:beforeAutospacing="1" w:after="100" w:afterAutospacing="1" w:line="240" w:lineRule="auto"/>
        <w:contextualSpacing/>
        <w:jc w:val="both"/>
        <w:rPr>
          <w:rFonts w:ascii="Times New Roman" w:eastAsia="Times New Roman" w:hAnsi="Times New Roman" w:cs="Times New Roman"/>
          <w:sz w:val="24"/>
          <w:szCs w:val="24"/>
        </w:rPr>
      </w:pPr>
      <w:r w:rsidRPr="00405627">
        <w:rPr>
          <w:rFonts w:ascii="Times New Roman" w:eastAsia="Times New Roman" w:hAnsi="Times New Roman" w:cs="Times New Roman"/>
          <w:sz w:val="24"/>
          <w:szCs w:val="24"/>
        </w:rPr>
        <w:t>The arrows connecting these three nodes represent the dynamic interplay between theory and practice. Domestic accountability mechanisms are influenced by international norms, while comparative experiences provide contextual lessons that inform reform. Conversely, weak domestic accountability can hinder the effective diffusion of international norms, while successful regional models can accelerate adoption. The framework thus illustrates a feedback loop: accountability deficits drive the need for international guidance, while norm diffusion and comparative lessons provide pathways for reform.</w:t>
      </w:r>
    </w:p>
    <w:p w:rsidR="00B70E81" w:rsidRDefault="00405627" w:rsidP="00B70E81">
      <w:pPr>
        <w:spacing w:before="100" w:beforeAutospacing="1" w:after="100" w:afterAutospacing="1" w:line="240" w:lineRule="auto"/>
        <w:contextualSpacing/>
        <w:jc w:val="both"/>
        <w:rPr>
          <w:rFonts w:ascii="Times New Roman" w:eastAsia="Times New Roman" w:hAnsi="Times New Roman" w:cs="Times New Roman"/>
          <w:sz w:val="24"/>
          <w:szCs w:val="24"/>
        </w:rPr>
      </w:pPr>
      <w:r w:rsidRPr="00405627">
        <w:rPr>
          <w:rFonts w:ascii="Times New Roman" w:eastAsia="Times New Roman" w:hAnsi="Times New Roman" w:cs="Times New Roman"/>
          <w:sz w:val="24"/>
          <w:szCs w:val="24"/>
        </w:rPr>
        <w:t>In sum, the conceptual framework positions Kenya’s private security governance at the intersection of accountability theory (domestic oversight and legitimacy) and norm diffusion (international standards and regional adaptation). This dual lens enables a comprehensive analysis of how Kenya can strengthen accountability by aligning domestic regulation with global best practices, while learning from regional experiences to ensure reforms are contextually grounded.</w:t>
      </w:r>
      <w:r>
        <w:rPr>
          <w:rFonts w:ascii="Times New Roman" w:eastAsia="Times New Roman" w:hAnsi="Times New Roman" w:cs="Times New Roman"/>
          <w:sz w:val="24"/>
          <w:szCs w:val="24"/>
        </w:rPr>
        <w:t xml:space="preserve"> </w:t>
      </w:r>
    </w:p>
    <w:p w:rsidR="00405627" w:rsidRPr="00C9298B" w:rsidRDefault="00405627" w:rsidP="00B70E81">
      <w:pPr>
        <w:spacing w:before="100" w:beforeAutospacing="1" w:after="100" w:afterAutospacing="1" w:line="240" w:lineRule="auto"/>
        <w:contextualSpacing/>
        <w:jc w:val="both"/>
        <w:rPr>
          <w:rFonts w:ascii="Times New Roman" w:eastAsia="Times New Roman" w:hAnsi="Times New Roman" w:cs="Times New Roman"/>
          <w:sz w:val="24"/>
          <w:szCs w:val="24"/>
        </w:rPr>
      </w:pPr>
      <w:r w:rsidRPr="00C9298B">
        <w:rPr>
          <w:rFonts w:ascii="Times New Roman" w:eastAsia="Times New Roman" w:hAnsi="Times New Roman" w:cs="Times New Roman"/>
          <w:sz w:val="24"/>
          <w:szCs w:val="24"/>
        </w:rPr>
        <w:t>Building on this conceptual framework, the study’s methodology operationalizes these theoretical lenses by employing qualitative approaches—policy analysis, document review, and semi</w:t>
      </w:r>
      <w:r w:rsidRPr="00C9298B">
        <w:rPr>
          <w:rFonts w:ascii="Times New Roman" w:eastAsia="Times New Roman" w:hAnsi="Times New Roman" w:cs="Times New Roman"/>
          <w:sz w:val="24"/>
          <w:szCs w:val="24"/>
        </w:rPr>
        <w:noBreakHyphen/>
        <w:t>structured interviews—supplemented by comparative case studies from South Africa and Nigeria. This design ensures that theoretical insights are systematically connected to empirical investigation, allowing the study to bridge conceptual debates with practical policy relevance.</w:t>
      </w:r>
    </w:p>
    <w:p w:rsidR="00E25538" w:rsidRDefault="00A127B4" w:rsidP="0088481E">
      <w:pPr>
        <w:spacing w:before="100" w:beforeAutospacing="1" w:after="100" w:afterAutospacing="1" w:line="240" w:lineRule="auto"/>
        <w:contextualSpacing/>
        <w:jc w:val="both"/>
        <w:outlineLvl w:val="1"/>
        <w:rPr>
          <w:rFonts w:ascii="Times New Roman" w:eastAsia="Times New Roman" w:hAnsi="Times New Roman" w:cs="Times New Roman"/>
          <w:b/>
          <w:bCs/>
          <w:sz w:val="28"/>
          <w:szCs w:val="28"/>
        </w:rPr>
      </w:pPr>
      <w:r w:rsidRPr="00A127B4">
        <w:rPr>
          <w:rFonts w:ascii="Times New Roman" w:eastAsia="Times New Roman" w:hAnsi="Times New Roman" w:cs="Times New Roman"/>
          <w:b/>
          <w:bCs/>
          <w:sz w:val="28"/>
          <w:szCs w:val="28"/>
        </w:rPr>
        <w:t>Methodology</w:t>
      </w:r>
    </w:p>
    <w:p w:rsidR="00080522" w:rsidRPr="00080522" w:rsidRDefault="00080522" w:rsidP="00080522">
      <w:pPr>
        <w:spacing w:before="100" w:beforeAutospacing="1" w:after="100" w:afterAutospacing="1" w:line="240" w:lineRule="auto"/>
        <w:contextualSpacing/>
        <w:jc w:val="both"/>
        <w:rPr>
          <w:rFonts w:ascii="Times New Roman" w:eastAsia="Times New Roman" w:hAnsi="Times New Roman" w:cs="Times New Roman"/>
          <w:sz w:val="24"/>
          <w:szCs w:val="24"/>
          <w:lang/>
        </w:rPr>
      </w:pPr>
      <w:bookmarkStart w:id="0" w:name="_GoBack"/>
      <w:bookmarkEnd w:id="0"/>
      <w:r w:rsidRPr="00080522">
        <w:rPr>
          <w:rFonts w:ascii="Times New Roman" w:eastAsia="Times New Roman" w:hAnsi="Times New Roman" w:cs="Times New Roman"/>
          <w:sz w:val="24"/>
          <w:szCs w:val="24"/>
          <w:lang/>
        </w:rPr>
        <w:t>Building on the governance, accountability, and human rights challenges identified in the literature, this study adopts a qualitative research design to interrogate Kenya’s private security governance and evaluate the relevance of international norms as frameworks for reform. A qualitative approach is particularly suited to unpacking complex institutional dynamics, regulatory frameworks, and normative influences, as it allows for in</w:t>
      </w:r>
      <w:r w:rsidRPr="00080522">
        <w:rPr>
          <w:rFonts w:ascii="Times New Roman" w:eastAsia="Times New Roman" w:hAnsi="Times New Roman" w:cs="Times New Roman"/>
          <w:sz w:val="24"/>
          <w:szCs w:val="24"/>
          <w:lang/>
        </w:rPr>
        <w:noBreakHyphen/>
        <w:t>depth exploration of processes, perceptions, and contextual realities that cannot be adequately captured through quantitative measures (Creswell &amp; Poth, 2018).</w:t>
      </w:r>
    </w:p>
    <w:p w:rsidR="00080522" w:rsidRPr="00080522" w:rsidRDefault="00080522" w:rsidP="00080522">
      <w:pPr>
        <w:spacing w:before="100" w:beforeAutospacing="1" w:after="100" w:afterAutospacing="1" w:line="240" w:lineRule="auto"/>
        <w:contextualSpacing/>
        <w:jc w:val="both"/>
        <w:rPr>
          <w:rFonts w:ascii="Times New Roman" w:eastAsia="Times New Roman" w:hAnsi="Times New Roman" w:cs="Times New Roman"/>
          <w:sz w:val="24"/>
          <w:szCs w:val="24"/>
          <w:lang/>
        </w:rPr>
      </w:pPr>
      <w:r w:rsidRPr="00080522">
        <w:rPr>
          <w:rFonts w:ascii="Times New Roman" w:eastAsia="Times New Roman" w:hAnsi="Times New Roman" w:cs="Times New Roman"/>
          <w:sz w:val="24"/>
          <w:szCs w:val="24"/>
          <w:lang/>
        </w:rPr>
        <w:t xml:space="preserve">The research design integrates three complementary strategies: </w:t>
      </w:r>
      <w:r w:rsidRPr="00080522">
        <w:rPr>
          <w:rFonts w:ascii="Times New Roman" w:eastAsia="Times New Roman" w:hAnsi="Times New Roman" w:cs="Times New Roman"/>
          <w:b/>
          <w:bCs/>
          <w:sz w:val="24"/>
          <w:szCs w:val="24"/>
          <w:lang/>
        </w:rPr>
        <w:t>policy analysis, document review, and semi</w:t>
      </w:r>
      <w:r w:rsidRPr="00080522">
        <w:rPr>
          <w:rFonts w:ascii="Times New Roman" w:eastAsia="Times New Roman" w:hAnsi="Times New Roman" w:cs="Times New Roman"/>
          <w:b/>
          <w:bCs/>
          <w:sz w:val="24"/>
          <w:szCs w:val="24"/>
          <w:lang/>
        </w:rPr>
        <w:noBreakHyphen/>
        <w:t>structured interviews</w:t>
      </w:r>
      <w:r w:rsidRPr="00080522">
        <w:rPr>
          <w:rFonts w:ascii="Times New Roman" w:eastAsia="Times New Roman" w:hAnsi="Times New Roman" w:cs="Times New Roman"/>
          <w:sz w:val="24"/>
          <w:szCs w:val="24"/>
          <w:lang/>
        </w:rPr>
        <w:t>. Policy analysis enables systematic examination of Kenya’s regulatory instruments, including the Private Security Regulation Act and the operational mandate of the Private Security Regulatory Authority (PSRA), to assess their effectiveness in promoting accountability and safeguarding rights. Document review supplements this analysis by drawing on government reports, parliamentary debates, civil society publications, and industry guidelines, thereby providing a comprehensive picture of the regulatory environment (Bowen, 2009). Semi</w:t>
      </w:r>
      <w:r w:rsidRPr="00080522">
        <w:rPr>
          <w:rFonts w:ascii="Times New Roman" w:eastAsia="Times New Roman" w:hAnsi="Times New Roman" w:cs="Times New Roman"/>
          <w:sz w:val="24"/>
          <w:szCs w:val="24"/>
          <w:lang/>
        </w:rPr>
        <w:noBreakHyphen/>
        <w:t>structured interviews with key stakeholders—including regulators, private security firms, and civil society actors—offer firsthand insights into accountability challenges, institutional practices, and perceptions of international norms (Kvale &amp; Brinkmann, 2015).</w:t>
      </w:r>
    </w:p>
    <w:p w:rsidR="00080522" w:rsidRPr="00080522" w:rsidRDefault="00080522" w:rsidP="00080522">
      <w:pPr>
        <w:spacing w:before="100" w:beforeAutospacing="1" w:after="100" w:afterAutospacing="1" w:line="240" w:lineRule="auto"/>
        <w:contextualSpacing/>
        <w:jc w:val="both"/>
        <w:rPr>
          <w:rFonts w:ascii="Times New Roman" w:eastAsia="Times New Roman" w:hAnsi="Times New Roman" w:cs="Times New Roman"/>
          <w:sz w:val="24"/>
          <w:szCs w:val="24"/>
          <w:lang/>
        </w:rPr>
      </w:pPr>
      <w:r w:rsidRPr="00080522">
        <w:rPr>
          <w:rFonts w:ascii="Times New Roman" w:eastAsia="Times New Roman" w:hAnsi="Times New Roman" w:cs="Times New Roman"/>
          <w:sz w:val="24"/>
          <w:szCs w:val="24"/>
          <w:lang/>
        </w:rPr>
        <w:t xml:space="preserve">To situate Kenya’s experience within a broader African context, the study employs </w:t>
      </w:r>
      <w:r w:rsidRPr="00080522">
        <w:rPr>
          <w:rFonts w:ascii="Times New Roman" w:eastAsia="Times New Roman" w:hAnsi="Times New Roman" w:cs="Times New Roman"/>
          <w:b/>
          <w:bCs/>
          <w:sz w:val="24"/>
          <w:szCs w:val="24"/>
          <w:lang/>
        </w:rPr>
        <w:t>comparative case studies of South Africa and Nigeria</w:t>
      </w:r>
      <w:r w:rsidRPr="00080522">
        <w:rPr>
          <w:rFonts w:ascii="Times New Roman" w:eastAsia="Times New Roman" w:hAnsi="Times New Roman" w:cs="Times New Roman"/>
          <w:sz w:val="24"/>
          <w:szCs w:val="24"/>
          <w:lang/>
        </w:rPr>
        <w:t>. South Africa represents one of the most advanced regulatory environments for private security in Africa, with licensing regimes, training standards, and oversight mechanisms that provide a useful benchmark for accountability (Buur, 2015). Nigeria, by contrast, illustrates the risks of weak regulation, where private security firms often operate in parallel to state agencies with limited oversight and accountability (Hills, 2000). These contrasting trajectories enrich the analysis by highlighting both the opportunities and constraints of embedding international norms into domestic governance structures.</w:t>
      </w:r>
    </w:p>
    <w:p w:rsidR="00080522" w:rsidRPr="00080522" w:rsidRDefault="00080522" w:rsidP="00080522">
      <w:pPr>
        <w:spacing w:before="100" w:beforeAutospacing="1" w:after="100" w:afterAutospacing="1" w:line="240" w:lineRule="auto"/>
        <w:contextualSpacing/>
        <w:jc w:val="both"/>
        <w:rPr>
          <w:rFonts w:ascii="Times New Roman" w:eastAsia="Times New Roman" w:hAnsi="Times New Roman" w:cs="Times New Roman"/>
          <w:sz w:val="24"/>
          <w:szCs w:val="24"/>
          <w:lang/>
        </w:rPr>
      </w:pPr>
      <w:r w:rsidRPr="00080522">
        <w:rPr>
          <w:rFonts w:ascii="Times New Roman" w:eastAsia="Times New Roman" w:hAnsi="Times New Roman" w:cs="Times New Roman"/>
          <w:b/>
          <w:bCs/>
          <w:sz w:val="24"/>
          <w:szCs w:val="24"/>
          <w:lang/>
        </w:rPr>
        <w:t>Data collection</w:t>
      </w:r>
      <w:r w:rsidRPr="00080522">
        <w:rPr>
          <w:rFonts w:ascii="Times New Roman" w:eastAsia="Times New Roman" w:hAnsi="Times New Roman" w:cs="Times New Roman"/>
          <w:sz w:val="24"/>
          <w:szCs w:val="24"/>
          <w:lang/>
        </w:rPr>
        <w:t xml:space="preserve"> proceeded in three stages. First, policy and legislative documents were systematically reviewed to identify accountability provisions and regulatory gaps. Second, secondary sources—including academic literature, civil society reports, and international guidelines—were analyzed to trace the diffusion of global norms into Kenya’s governance structures (Abrahamsen &amp; Williams, 2011; Cockayne, 2016). Third, semi</w:t>
      </w:r>
      <w:r w:rsidRPr="00080522">
        <w:rPr>
          <w:rFonts w:ascii="Times New Roman" w:eastAsia="Times New Roman" w:hAnsi="Times New Roman" w:cs="Times New Roman"/>
          <w:sz w:val="24"/>
          <w:szCs w:val="24"/>
          <w:lang/>
        </w:rPr>
        <w:noBreakHyphen/>
        <w:t xml:space="preserve">structured interviews were conducted with a purposive </w:t>
      </w:r>
      <w:r w:rsidRPr="00080522">
        <w:rPr>
          <w:rFonts w:ascii="Times New Roman" w:eastAsia="Times New Roman" w:hAnsi="Times New Roman" w:cs="Times New Roman"/>
          <w:sz w:val="24"/>
          <w:szCs w:val="24"/>
          <w:lang/>
        </w:rPr>
        <w:lastRenderedPageBreak/>
        <w:t>sample of stakeholders, ensuring representation from regulatory authorities, private security providers, and advocacy organizations. Interviews were guided by open</w:t>
      </w:r>
      <w:r w:rsidRPr="00080522">
        <w:rPr>
          <w:rFonts w:ascii="Times New Roman" w:eastAsia="Times New Roman" w:hAnsi="Times New Roman" w:cs="Times New Roman"/>
          <w:sz w:val="24"/>
          <w:szCs w:val="24"/>
          <w:lang/>
        </w:rPr>
        <w:noBreakHyphen/>
        <w:t>ended questions aligned with the study’s objectives, allowing participants to elaborate on institutional challenges, normative influences, and reform prospects.</w:t>
      </w:r>
    </w:p>
    <w:p w:rsidR="00080522" w:rsidRPr="00080522" w:rsidRDefault="00080522" w:rsidP="00080522">
      <w:pPr>
        <w:spacing w:before="100" w:beforeAutospacing="1" w:after="100" w:afterAutospacing="1" w:line="240" w:lineRule="auto"/>
        <w:contextualSpacing/>
        <w:jc w:val="both"/>
        <w:rPr>
          <w:rFonts w:ascii="Times New Roman" w:eastAsia="Times New Roman" w:hAnsi="Times New Roman" w:cs="Times New Roman"/>
          <w:sz w:val="24"/>
          <w:szCs w:val="24"/>
          <w:lang/>
        </w:rPr>
      </w:pPr>
      <w:r w:rsidRPr="00080522">
        <w:rPr>
          <w:rFonts w:ascii="Times New Roman" w:eastAsia="Times New Roman" w:hAnsi="Times New Roman" w:cs="Times New Roman"/>
          <w:b/>
          <w:bCs/>
          <w:sz w:val="24"/>
          <w:szCs w:val="24"/>
          <w:lang/>
        </w:rPr>
        <w:t>Data analysis</w:t>
      </w:r>
      <w:r w:rsidRPr="00080522">
        <w:rPr>
          <w:rFonts w:ascii="Times New Roman" w:eastAsia="Times New Roman" w:hAnsi="Times New Roman" w:cs="Times New Roman"/>
          <w:sz w:val="24"/>
          <w:szCs w:val="24"/>
          <w:lang/>
        </w:rPr>
        <w:t xml:space="preserve"> followed a thematic approach, guided by the conceptual framework. Accountability theory provided categories for examining oversight mechanisms, enforcement capacity, and legitimacy (Krahmann, 2017), while norm diffusion informed analysis of how international standards are localized within Kenya’s regulatory environment (Finnemore &amp; Sikkink, 1998). Comparative insights from South Africa and Nigeria were used to triangulate findings, highlighting similarities, divergences, and lessons for Kenya. Coding was conducted manually, with themes iteratively refined to ensure alignment with the research questions and objectives.</w:t>
      </w:r>
    </w:p>
    <w:p w:rsidR="00080522" w:rsidRPr="00080522" w:rsidRDefault="00080522" w:rsidP="00080522">
      <w:pPr>
        <w:spacing w:before="100" w:beforeAutospacing="1" w:after="100" w:afterAutospacing="1" w:line="240" w:lineRule="auto"/>
        <w:contextualSpacing/>
        <w:jc w:val="both"/>
        <w:rPr>
          <w:rFonts w:ascii="Times New Roman" w:eastAsia="Times New Roman" w:hAnsi="Times New Roman" w:cs="Times New Roman"/>
          <w:sz w:val="24"/>
          <w:szCs w:val="24"/>
          <w:lang/>
        </w:rPr>
      </w:pPr>
      <w:r w:rsidRPr="00080522">
        <w:rPr>
          <w:rFonts w:ascii="Times New Roman" w:eastAsia="Times New Roman" w:hAnsi="Times New Roman" w:cs="Times New Roman"/>
          <w:b/>
          <w:bCs/>
          <w:sz w:val="24"/>
          <w:szCs w:val="24"/>
          <w:lang/>
        </w:rPr>
        <w:t>Ethical integrity</w:t>
      </w:r>
      <w:r w:rsidRPr="00080522">
        <w:rPr>
          <w:rFonts w:ascii="Times New Roman" w:eastAsia="Times New Roman" w:hAnsi="Times New Roman" w:cs="Times New Roman"/>
          <w:sz w:val="24"/>
          <w:szCs w:val="24"/>
          <w:lang/>
        </w:rPr>
        <w:t xml:space="preserve"> was maintained throughout the research process. Informed consent was obtained from all interview participants, and confidentiality was assured by anonymizing responses. The study adhered to institutional ethical guidelines, ensuring that data collection and analysis respected participants’ rights and minimized potential risks (Israel &amp; Hay, 2006).</w:t>
      </w:r>
    </w:p>
    <w:p w:rsidR="00080522" w:rsidRPr="00080522" w:rsidRDefault="00080522" w:rsidP="00080522">
      <w:pPr>
        <w:spacing w:before="100" w:beforeAutospacing="1" w:after="100" w:afterAutospacing="1" w:line="240" w:lineRule="auto"/>
        <w:contextualSpacing/>
        <w:jc w:val="both"/>
        <w:rPr>
          <w:rFonts w:ascii="Times New Roman" w:eastAsia="Times New Roman" w:hAnsi="Times New Roman" w:cs="Times New Roman"/>
          <w:sz w:val="24"/>
          <w:szCs w:val="24"/>
          <w:lang/>
        </w:rPr>
      </w:pPr>
      <w:r w:rsidRPr="00080522">
        <w:rPr>
          <w:rFonts w:ascii="Times New Roman" w:eastAsia="Times New Roman" w:hAnsi="Times New Roman" w:cs="Times New Roman"/>
          <w:b/>
          <w:bCs/>
          <w:sz w:val="24"/>
          <w:szCs w:val="24"/>
          <w:lang/>
        </w:rPr>
        <w:t>Methodological limitations</w:t>
      </w:r>
      <w:r w:rsidRPr="00080522">
        <w:rPr>
          <w:rFonts w:ascii="Times New Roman" w:eastAsia="Times New Roman" w:hAnsi="Times New Roman" w:cs="Times New Roman"/>
          <w:sz w:val="24"/>
          <w:szCs w:val="24"/>
          <w:lang/>
        </w:rPr>
        <w:t xml:space="preserve"> must also be acknowledged. Reliance on qualitative methods means that findings are interpretive rather than statistically generalizable (Creswell &amp; Poth, 2018). Access to data was constrained by the sensitivity of security issues and the restricted availability of official records, necessitating reliance on secondary sources and stakeholder perspectives, which may introduce bias despite efforts at triangulation. The comparative case studies of South Africa and Nigeria, while illustrative, cannot capture the full diversity of private security governance across Africa. Finally, interviews were conducted with a purposive sample of stakeholders, which, although appropriate for qualitative inquiry, may not encompass the full range of perspectives within the sector.</w:t>
      </w:r>
    </w:p>
    <w:p w:rsidR="00080522" w:rsidRPr="00080522" w:rsidRDefault="00080522" w:rsidP="00080522">
      <w:pPr>
        <w:spacing w:before="100" w:beforeAutospacing="1" w:after="100" w:afterAutospacing="1" w:line="240" w:lineRule="auto"/>
        <w:contextualSpacing/>
        <w:jc w:val="both"/>
        <w:rPr>
          <w:rFonts w:ascii="Times New Roman" w:eastAsia="Times New Roman" w:hAnsi="Times New Roman" w:cs="Times New Roman"/>
          <w:sz w:val="24"/>
          <w:szCs w:val="24"/>
          <w:lang/>
        </w:rPr>
      </w:pPr>
      <w:r w:rsidRPr="00080522">
        <w:rPr>
          <w:rFonts w:ascii="Times New Roman" w:eastAsia="Times New Roman" w:hAnsi="Times New Roman" w:cs="Times New Roman"/>
          <w:sz w:val="24"/>
          <w:szCs w:val="24"/>
          <w:lang/>
        </w:rPr>
        <w:t>Despite these limitations, the study mitigated potential weaknesses through triangulation of multiple data sources, careful thematic coding, and adherence to ethical standards. The findings should therefore be understood as analytically robust within the scope of the research design, while also pointing to areas for further empirical investigation.</w:t>
      </w:r>
    </w:p>
    <w:p w:rsidR="00080522" w:rsidRPr="00080522" w:rsidRDefault="00080522" w:rsidP="00080522">
      <w:pPr>
        <w:contextualSpacing/>
        <w:jc w:val="both"/>
        <w:rPr>
          <w:lang/>
        </w:rPr>
      </w:pPr>
    </w:p>
    <w:p w:rsidR="008F34FA" w:rsidRPr="008F34FA" w:rsidRDefault="008F34FA" w:rsidP="008F34FA">
      <w:pPr>
        <w:spacing w:before="100" w:beforeAutospacing="1" w:after="100" w:afterAutospacing="1" w:line="240" w:lineRule="auto"/>
        <w:contextualSpacing/>
        <w:jc w:val="both"/>
        <w:outlineLvl w:val="1"/>
        <w:rPr>
          <w:rFonts w:ascii="Times New Roman" w:eastAsia="Times New Roman" w:hAnsi="Times New Roman" w:cs="Times New Roman"/>
          <w:b/>
          <w:bCs/>
          <w:sz w:val="28"/>
          <w:szCs w:val="28"/>
        </w:rPr>
      </w:pPr>
      <w:r w:rsidRPr="008F34FA">
        <w:rPr>
          <w:rFonts w:ascii="Times New Roman" w:eastAsia="Times New Roman" w:hAnsi="Times New Roman" w:cs="Times New Roman"/>
          <w:b/>
          <w:bCs/>
          <w:sz w:val="28"/>
          <w:szCs w:val="28"/>
        </w:rPr>
        <w:t>Case Study Analysis</w:t>
      </w:r>
    </w:p>
    <w:p w:rsidR="008F34FA" w:rsidRPr="008F34FA" w:rsidRDefault="008F34FA" w:rsidP="008F34FA">
      <w:pPr>
        <w:spacing w:before="100" w:beforeAutospacing="1" w:after="100" w:afterAutospacing="1" w:line="240" w:lineRule="auto"/>
        <w:contextualSpacing/>
        <w:jc w:val="both"/>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Kenya’s private security sector has expanded rapidly, with personnel now outnumbering state police forces by a significant margin (</w:t>
      </w:r>
      <w:proofErr w:type="spellStart"/>
      <w:r w:rsidRPr="008F34FA">
        <w:rPr>
          <w:rFonts w:ascii="Times New Roman" w:eastAsia="Times New Roman" w:hAnsi="Times New Roman" w:cs="Times New Roman"/>
          <w:sz w:val="24"/>
          <w:szCs w:val="24"/>
        </w:rPr>
        <w:t>Mkutu</w:t>
      </w:r>
      <w:proofErr w:type="spellEnd"/>
      <w:r w:rsidRPr="008F34FA">
        <w:rPr>
          <w:rFonts w:ascii="Times New Roman" w:eastAsia="Times New Roman" w:hAnsi="Times New Roman" w:cs="Times New Roman"/>
          <w:sz w:val="24"/>
          <w:szCs w:val="24"/>
        </w:rPr>
        <w:t xml:space="preserve">, 2020). The </w:t>
      </w:r>
      <w:r w:rsidRPr="008F34FA">
        <w:rPr>
          <w:rFonts w:ascii="Times New Roman" w:eastAsia="Times New Roman" w:hAnsi="Times New Roman" w:cs="Times New Roman"/>
          <w:i/>
          <w:iCs/>
          <w:sz w:val="24"/>
          <w:szCs w:val="24"/>
        </w:rPr>
        <w:t>Private Security Regulation Act</w:t>
      </w:r>
      <w:r w:rsidRPr="008F34FA">
        <w:rPr>
          <w:rFonts w:ascii="Times New Roman" w:eastAsia="Times New Roman" w:hAnsi="Times New Roman" w:cs="Times New Roman"/>
          <w:sz w:val="24"/>
          <w:szCs w:val="24"/>
        </w:rPr>
        <w:t xml:space="preserve"> established the Private Security Regulatory Authority (PSRA) to oversee licensing, training, and compliance. Despite this formal framework, accountability challenges persist due to weak enforcement, overlapping mandates, and limited transparency (</w:t>
      </w:r>
      <w:proofErr w:type="spellStart"/>
      <w:r w:rsidRPr="008F34FA">
        <w:rPr>
          <w:rFonts w:ascii="Times New Roman" w:eastAsia="Times New Roman" w:hAnsi="Times New Roman" w:cs="Times New Roman"/>
          <w:sz w:val="24"/>
          <w:szCs w:val="24"/>
        </w:rPr>
        <w:t>Mutahi</w:t>
      </w:r>
      <w:proofErr w:type="spellEnd"/>
      <w:r w:rsidRPr="008F34FA">
        <w:rPr>
          <w:rFonts w:ascii="Times New Roman" w:eastAsia="Times New Roman" w:hAnsi="Times New Roman" w:cs="Times New Roman"/>
          <w:sz w:val="24"/>
          <w:szCs w:val="24"/>
        </w:rPr>
        <w:t xml:space="preserve">, 2021). Civil society reports have raised concerns about human rights abuses and the absence of standardized professional practices, particularly in contexts where private security intersects with counterterrorism and community policing (Ramadhan, </w:t>
      </w:r>
      <w:proofErr w:type="spellStart"/>
      <w:r w:rsidRPr="008F34FA">
        <w:rPr>
          <w:rFonts w:ascii="Times New Roman" w:eastAsia="Times New Roman" w:hAnsi="Times New Roman" w:cs="Times New Roman"/>
          <w:sz w:val="24"/>
          <w:szCs w:val="24"/>
        </w:rPr>
        <w:t>Ouma</w:t>
      </w:r>
      <w:proofErr w:type="spellEnd"/>
      <w:r w:rsidRPr="008F34FA">
        <w:rPr>
          <w:rFonts w:ascii="Times New Roman" w:eastAsia="Times New Roman" w:hAnsi="Times New Roman" w:cs="Times New Roman"/>
          <w:sz w:val="24"/>
          <w:szCs w:val="24"/>
        </w:rPr>
        <w:t xml:space="preserve">, </w:t>
      </w:r>
      <w:proofErr w:type="spellStart"/>
      <w:r w:rsidRPr="008F34FA">
        <w:rPr>
          <w:rFonts w:ascii="Times New Roman" w:eastAsia="Times New Roman" w:hAnsi="Times New Roman" w:cs="Times New Roman"/>
          <w:sz w:val="24"/>
          <w:szCs w:val="24"/>
        </w:rPr>
        <w:t>Mutahi</w:t>
      </w:r>
      <w:proofErr w:type="spellEnd"/>
      <w:r w:rsidRPr="008F34FA">
        <w:rPr>
          <w:rFonts w:ascii="Times New Roman" w:eastAsia="Times New Roman" w:hAnsi="Times New Roman" w:cs="Times New Roman"/>
          <w:sz w:val="24"/>
          <w:szCs w:val="24"/>
        </w:rPr>
        <w:t xml:space="preserve">, &amp; </w:t>
      </w:r>
      <w:proofErr w:type="spellStart"/>
      <w:r w:rsidRPr="008F34FA">
        <w:rPr>
          <w:rFonts w:ascii="Times New Roman" w:eastAsia="Times New Roman" w:hAnsi="Times New Roman" w:cs="Times New Roman"/>
          <w:sz w:val="24"/>
          <w:szCs w:val="24"/>
        </w:rPr>
        <w:t>Ruteere</w:t>
      </w:r>
      <w:proofErr w:type="spellEnd"/>
      <w:r w:rsidRPr="008F34FA">
        <w:rPr>
          <w:rFonts w:ascii="Times New Roman" w:eastAsia="Times New Roman" w:hAnsi="Times New Roman" w:cs="Times New Roman"/>
          <w:sz w:val="24"/>
          <w:szCs w:val="24"/>
        </w:rPr>
        <w:t>, 2021). Kenya’s partial engagement with international frameworks such as the Montreux Document and the International Code of Conduct for Private Security Providers (</w:t>
      </w:r>
      <w:proofErr w:type="spellStart"/>
      <w:r w:rsidRPr="008F34FA">
        <w:rPr>
          <w:rFonts w:ascii="Times New Roman" w:eastAsia="Times New Roman" w:hAnsi="Times New Roman" w:cs="Times New Roman"/>
          <w:sz w:val="24"/>
          <w:szCs w:val="24"/>
        </w:rPr>
        <w:t>ICoCA</w:t>
      </w:r>
      <w:proofErr w:type="spellEnd"/>
      <w:r w:rsidRPr="008F34FA">
        <w:rPr>
          <w:rFonts w:ascii="Times New Roman" w:eastAsia="Times New Roman" w:hAnsi="Times New Roman" w:cs="Times New Roman"/>
          <w:sz w:val="24"/>
          <w:szCs w:val="24"/>
        </w:rPr>
        <w:t>) demonstrates normative awareness but limited institutionalization, reflecting both opportunities and constraints in norm diffusion.</w:t>
      </w:r>
    </w:p>
    <w:p w:rsidR="008F34FA" w:rsidRPr="008F34FA" w:rsidRDefault="008F34FA" w:rsidP="008F34FA">
      <w:pPr>
        <w:spacing w:before="100" w:beforeAutospacing="1" w:after="100" w:afterAutospacing="1" w:line="240" w:lineRule="auto"/>
        <w:contextualSpacing/>
        <w:jc w:val="both"/>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South Africa represents one of the most advanced regulatory environments in Africa. The Private Security Industry Regulatory Authority (PSIRA) enforces licensing, training standards, and compliance mechanisms, making accountability more institutionalized than in Kenya (</w:t>
      </w:r>
      <w:proofErr w:type="spellStart"/>
      <w:r w:rsidRPr="008F34FA">
        <w:rPr>
          <w:rFonts w:ascii="Times New Roman" w:eastAsia="Times New Roman" w:hAnsi="Times New Roman" w:cs="Times New Roman"/>
          <w:sz w:val="24"/>
          <w:szCs w:val="24"/>
        </w:rPr>
        <w:t>Buur</w:t>
      </w:r>
      <w:proofErr w:type="spellEnd"/>
      <w:r w:rsidRPr="008F34FA">
        <w:rPr>
          <w:rFonts w:ascii="Times New Roman" w:eastAsia="Times New Roman" w:hAnsi="Times New Roman" w:cs="Times New Roman"/>
          <w:sz w:val="24"/>
          <w:szCs w:val="24"/>
        </w:rPr>
        <w:t>, 2015). Nonetheless, enforcement challenges remain, particularly in monitoring smaller firms and ensuring compliance across a vast industry. South Africa’s experience demonstrates the potential of strong regulatory institutions to enhance professionalism and legitimacy, while also highlighting the need for continuous oversight and adaptation. For Kenya, South Africa provides a benchmark for how accountability mechanisms can be institutionalized, even in a rapidly expanding sector.</w:t>
      </w:r>
    </w:p>
    <w:p w:rsidR="008F34FA" w:rsidRPr="008F34FA" w:rsidRDefault="008F34FA" w:rsidP="008F34FA">
      <w:pPr>
        <w:spacing w:before="100" w:beforeAutospacing="1" w:after="100" w:afterAutospacing="1" w:line="240" w:lineRule="auto"/>
        <w:contextualSpacing/>
        <w:jc w:val="both"/>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 xml:space="preserve">Nigeria, by contrast, illustrates the risks of weak regulation in a context of high demand for private security. Private firms often operate in parallel to state agencies, with limited oversight and </w:t>
      </w:r>
      <w:r w:rsidRPr="008F34FA">
        <w:rPr>
          <w:rFonts w:ascii="Times New Roman" w:eastAsia="Times New Roman" w:hAnsi="Times New Roman" w:cs="Times New Roman"/>
          <w:sz w:val="24"/>
          <w:szCs w:val="24"/>
        </w:rPr>
        <w:lastRenderedPageBreak/>
        <w:t>accountability (Hills, 2000). This fragmented governance structure has generated concerns about legitimacy, professionalism, and the potential for abuse. Nigeria’s case underscores how accountability deficits can exacerbate insecurity rather than mitigate it. For Kenya, Nigeria serves as a cautionary example of how weak institutional frameworks can undermine both state authority and public trust in private security providers.</w:t>
      </w:r>
    </w:p>
    <w:p w:rsidR="008F34FA" w:rsidRPr="008F34FA" w:rsidRDefault="008F34FA"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Taken together, the comparative analysis reveals three key insights. Kenya’s regulatory framework is more developed than Nigeria’s but less institutionalized than South Africa’s, situating it between these two trajectories. South Africa demonstrates the potential of accountability mechanisms when supported by strong institutions, while Nigeria highlights the risks of weak oversight. Kenya’s partial adoption of international norms reflects both the influence of global standards and the challenges of localization. These insights underscore the study’s theoretical argument: accountability theory explains Kenya’s institutional weaknesses, while norm diffusion highlights the pathways through which international standards can shape domestic governance.</w:t>
      </w:r>
    </w:p>
    <w:p w:rsidR="008F34FA" w:rsidRPr="008F34FA" w:rsidRDefault="008F34FA" w:rsidP="008F34FA">
      <w:pPr>
        <w:spacing w:before="100" w:beforeAutospacing="1" w:after="100" w:afterAutospacing="1" w:line="240" w:lineRule="auto"/>
        <w:contextualSpacing/>
        <w:jc w:val="both"/>
        <w:outlineLvl w:val="1"/>
        <w:rPr>
          <w:rFonts w:ascii="Times New Roman" w:eastAsia="Times New Roman" w:hAnsi="Times New Roman" w:cs="Times New Roman"/>
          <w:b/>
          <w:bCs/>
          <w:sz w:val="28"/>
          <w:szCs w:val="28"/>
        </w:rPr>
      </w:pPr>
      <w:r w:rsidRPr="008F34FA">
        <w:rPr>
          <w:rFonts w:ascii="Times New Roman" w:eastAsia="Times New Roman" w:hAnsi="Times New Roman" w:cs="Times New Roman"/>
          <w:b/>
          <w:bCs/>
          <w:sz w:val="28"/>
          <w:szCs w:val="28"/>
        </w:rPr>
        <w:t>Findings</w:t>
      </w:r>
    </w:p>
    <w:p w:rsidR="008F34FA" w:rsidRPr="008F34FA" w:rsidRDefault="008F34FA" w:rsidP="008F34FA">
      <w:pPr>
        <w:spacing w:before="100" w:beforeAutospacing="1" w:after="100" w:afterAutospacing="1" w:line="240" w:lineRule="auto"/>
        <w:contextualSpacing/>
        <w:jc w:val="both"/>
        <w:outlineLvl w:val="1"/>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 xml:space="preserve">The comparative analysis of Kenya, South Africa, and Nigeria reveals several thematic conclusions that illuminate the governance of private security in Kenya and its positioning within broader African and international contexts. Kenya’s private security sector has expanded rapidly, yet regulatory oversight remains weak. Although the </w:t>
      </w:r>
      <w:r w:rsidRPr="008F34FA">
        <w:rPr>
          <w:rFonts w:ascii="Times New Roman" w:eastAsia="Times New Roman" w:hAnsi="Times New Roman" w:cs="Times New Roman"/>
          <w:i/>
          <w:iCs/>
          <w:sz w:val="24"/>
          <w:szCs w:val="24"/>
        </w:rPr>
        <w:t>Private Security Regulation Act</w:t>
      </w:r>
      <w:r w:rsidRPr="008F34FA">
        <w:rPr>
          <w:rFonts w:ascii="Times New Roman" w:eastAsia="Times New Roman" w:hAnsi="Times New Roman" w:cs="Times New Roman"/>
          <w:sz w:val="24"/>
          <w:szCs w:val="24"/>
        </w:rPr>
        <w:t xml:space="preserve"> and the PSRA provide a formal framework, enforcement is inconsistent and professional standards are unevenly applied. Interviews with stakeholders underscored concerns about fragmented mandates and limited transparency, which undermine legitimacy. This finding resonates with accountability theory, which emphasizes the importance of clear institutional mechanisms to ensure compliance and build public trust.</w:t>
      </w:r>
    </w:p>
    <w:p w:rsidR="008F34FA" w:rsidRPr="008F34FA" w:rsidRDefault="008F34FA" w:rsidP="008F34FA">
      <w:pPr>
        <w:spacing w:before="100" w:beforeAutospacing="1" w:after="100" w:afterAutospacing="1" w:line="240" w:lineRule="auto"/>
        <w:contextualSpacing/>
        <w:jc w:val="both"/>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Regional comparisons further highlight the lessons Kenya can draw from its neighbors. South Africa demonstrates the potential of institutionalized accountability mechanisms, with licensing and training standards enforced by PSIRA that enhance professionalism and legitimacy despite persistent enforcement challenges. Nigeria, by contrast, illustrates the risks of weak regulation, where private firms operate in parallel to state agencies with minimal oversight, exacerbating insecurity and eroding public trust. Kenya’s trajectory lies between these two extremes, suggesting that strengthening institutional capacity could move it closer to South Africa’s model while avoiding Nigeria’s pitfalls.</w:t>
      </w:r>
    </w:p>
    <w:p w:rsidR="008F34FA" w:rsidRPr="008F34FA" w:rsidRDefault="008F34FA" w:rsidP="008F34FA">
      <w:pPr>
        <w:spacing w:before="100" w:beforeAutospacing="1" w:after="100" w:afterAutospacing="1" w:line="240" w:lineRule="auto"/>
        <w:contextualSpacing/>
        <w:jc w:val="both"/>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Kenya’s engagement with international frameworks such as the Montreux Document and the International Code of Conduct for Private Security Providers (</w:t>
      </w:r>
      <w:proofErr w:type="spellStart"/>
      <w:r w:rsidRPr="008F34FA">
        <w:rPr>
          <w:rFonts w:ascii="Times New Roman" w:eastAsia="Times New Roman" w:hAnsi="Times New Roman" w:cs="Times New Roman"/>
          <w:sz w:val="24"/>
          <w:szCs w:val="24"/>
        </w:rPr>
        <w:t>ICoCA</w:t>
      </w:r>
      <w:proofErr w:type="spellEnd"/>
      <w:r w:rsidRPr="008F34FA">
        <w:rPr>
          <w:rFonts w:ascii="Times New Roman" w:eastAsia="Times New Roman" w:hAnsi="Times New Roman" w:cs="Times New Roman"/>
          <w:sz w:val="24"/>
          <w:szCs w:val="24"/>
        </w:rPr>
        <w:t>) reflects awareness of global standards but limited institutionalization. Stakeholders noted that while these norms provide valuable guidance, their localization is constrained by political will and institutional capacity. This finding illustrates norm diffusion theory, which posits that global standards exert pressure but their adoption depends on domestic contexts. Kenya’s partial adoption highlights both opportunities for reform and the challenges of embedding international norms in local governance structures.</w:t>
      </w:r>
    </w:p>
    <w:p w:rsidR="008F34FA" w:rsidRPr="008F34FA" w:rsidRDefault="008F34FA" w:rsidP="008F34FA">
      <w:pPr>
        <w:spacing w:before="100" w:beforeAutospacing="1" w:after="100" w:afterAutospacing="1" w:line="240" w:lineRule="auto"/>
        <w:contextualSpacing/>
        <w:jc w:val="both"/>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The findings also underscore the dynamic interplay between domestic accountability mechanisms and international normative influences. Weak domestic oversight creates accountability deficits that drive the need for international guidance, while global norms provide pathways for reform. Comparative lessons from South Africa and Nigeria reinforce this process, offering models of both success and failure. This feedback loop illustrates how accountability theory and norm diffusion converge to explain Kenya’s governance challenges and reform opportunities.</w:t>
      </w:r>
    </w:p>
    <w:p w:rsidR="0088481E" w:rsidRPr="008F34FA" w:rsidRDefault="008F34FA"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8F34FA">
        <w:rPr>
          <w:rFonts w:ascii="Times New Roman" w:eastAsia="Times New Roman" w:hAnsi="Times New Roman" w:cs="Times New Roman"/>
          <w:sz w:val="24"/>
          <w:szCs w:val="24"/>
        </w:rPr>
        <w:t>Taken together, the synthesis of case insights suggests that Kenya’s reform trajectory requires a dual strategy: strengthening domestic accountability mechanisms while deepening engagement with international norms. Institutional capacity building, enhanced enforcement, and standardized training are critical to addressing accountability deficits. At the same time, embedding global standards into domestic regulation can enhance legitimacy and align Kenya with international best practices. Regional lessons provide practical guidance, demonstrating both the potential of strong institutions and the risks of weak oversight.</w:t>
      </w:r>
    </w:p>
    <w:p w:rsidR="00A127B4" w:rsidRPr="00A127B4" w:rsidRDefault="00A127B4" w:rsidP="0088481E">
      <w:pPr>
        <w:spacing w:before="100" w:beforeAutospacing="1" w:after="100" w:afterAutospacing="1" w:line="240" w:lineRule="auto"/>
        <w:contextualSpacing/>
        <w:jc w:val="both"/>
        <w:outlineLvl w:val="1"/>
        <w:rPr>
          <w:rFonts w:ascii="Times New Roman" w:eastAsia="Times New Roman" w:hAnsi="Times New Roman" w:cs="Times New Roman"/>
          <w:b/>
          <w:bCs/>
          <w:sz w:val="28"/>
          <w:szCs w:val="28"/>
        </w:rPr>
      </w:pPr>
      <w:r w:rsidRPr="00A127B4">
        <w:rPr>
          <w:rFonts w:ascii="Times New Roman" w:eastAsia="Times New Roman" w:hAnsi="Times New Roman" w:cs="Times New Roman"/>
          <w:b/>
          <w:bCs/>
          <w:sz w:val="28"/>
          <w:szCs w:val="28"/>
        </w:rPr>
        <w:lastRenderedPageBreak/>
        <w:t>Discussion</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 xml:space="preserve">The findings of this study underscore the centrality of accountability theory and norm diffusion in explaining the governance challenges and reform opportunities within Kenya’s private security sector. Accountability theory highlights how weak oversight, fragmented mandates, and limited transparency undermine legitimacy and professionalism. Kenya’s regulatory framework, while formally established through the </w:t>
      </w:r>
      <w:r w:rsidRPr="00A127B4">
        <w:rPr>
          <w:rFonts w:ascii="Times New Roman" w:eastAsia="Times New Roman" w:hAnsi="Times New Roman" w:cs="Times New Roman"/>
          <w:i/>
          <w:iCs/>
          <w:sz w:val="24"/>
          <w:szCs w:val="24"/>
        </w:rPr>
        <w:t>Private Security Regulation Act</w:t>
      </w:r>
      <w:r w:rsidRPr="00A127B4">
        <w:rPr>
          <w:rFonts w:ascii="Times New Roman" w:eastAsia="Times New Roman" w:hAnsi="Times New Roman" w:cs="Times New Roman"/>
          <w:sz w:val="24"/>
          <w:szCs w:val="24"/>
        </w:rPr>
        <w:t xml:space="preserve"> and the PSRA, remains constrained by enforcement deficits. This reflects the theoretical argument that accountability requires not only institutional design but also effective implementation and monitoring (</w:t>
      </w:r>
      <w:proofErr w:type="spellStart"/>
      <w:r w:rsidRPr="00A127B4">
        <w:rPr>
          <w:rFonts w:ascii="Times New Roman" w:eastAsia="Times New Roman" w:hAnsi="Times New Roman" w:cs="Times New Roman"/>
          <w:sz w:val="24"/>
          <w:szCs w:val="24"/>
        </w:rPr>
        <w:t>Krahmann</w:t>
      </w:r>
      <w:proofErr w:type="spellEnd"/>
      <w:r w:rsidRPr="00A127B4">
        <w:rPr>
          <w:rFonts w:ascii="Times New Roman" w:eastAsia="Times New Roman" w:hAnsi="Times New Roman" w:cs="Times New Roman"/>
          <w:sz w:val="24"/>
          <w:szCs w:val="24"/>
        </w:rPr>
        <w:t>, 2017).</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 xml:space="preserve">Norm diffusion provides a complementary lens, illustrating how international standards such as the Montreux Document and </w:t>
      </w:r>
      <w:proofErr w:type="spellStart"/>
      <w:r w:rsidRPr="00A127B4">
        <w:rPr>
          <w:rFonts w:ascii="Times New Roman" w:eastAsia="Times New Roman" w:hAnsi="Times New Roman" w:cs="Times New Roman"/>
          <w:sz w:val="24"/>
          <w:szCs w:val="24"/>
        </w:rPr>
        <w:t>ICoCA</w:t>
      </w:r>
      <w:proofErr w:type="spellEnd"/>
      <w:r w:rsidRPr="00A127B4">
        <w:rPr>
          <w:rFonts w:ascii="Times New Roman" w:eastAsia="Times New Roman" w:hAnsi="Times New Roman" w:cs="Times New Roman"/>
          <w:sz w:val="24"/>
          <w:szCs w:val="24"/>
        </w:rPr>
        <w:t xml:space="preserve"> exert normative pressure on Kenya to adopt transparency and human rights safeguards. However, the findings reveal that Kenya’s engagement with these frameworks remains partial, constrained by institutional capacity and political will. This aligns with Finnemore and </w:t>
      </w:r>
      <w:proofErr w:type="spellStart"/>
      <w:r w:rsidRPr="00A127B4">
        <w:rPr>
          <w:rFonts w:ascii="Times New Roman" w:eastAsia="Times New Roman" w:hAnsi="Times New Roman" w:cs="Times New Roman"/>
          <w:sz w:val="24"/>
          <w:szCs w:val="24"/>
        </w:rPr>
        <w:t>Sikkink’s</w:t>
      </w:r>
      <w:proofErr w:type="spellEnd"/>
      <w:r w:rsidRPr="00A127B4">
        <w:rPr>
          <w:rFonts w:ascii="Times New Roman" w:eastAsia="Times New Roman" w:hAnsi="Times New Roman" w:cs="Times New Roman"/>
          <w:sz w:val="24"/>
          <w:szCs w:val="24"/>
        </w:rPr>
        <w:t xml:space="preserve"> (1998) observation that norm adoption is contingent on domestic contexts and actor incentives. Kenya’s case demonstrates that diffusion is not automatic; it requires deliberate localization and adaptation to national realities.</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The comparative insights from South Africa and Nigeria reinforce these theoretical perspectives. South Africa exemplifies how institutionalized accountability mechanisms can enhance professionalism and legitimacy, even amid enforcement challenges. Nigeria, conversely, illustrates the risks of weak regulation, where private firms operate in parallel to state agencies with minimal oversight. Kenya’s positioning between these two trajectories highlights both the potential for reform and the risks of stagnation. The comparative lens thus situates Kenya within a spectrum of African experiences, demonstrating how regional lessons can inform domestic reform while also contributing to broader debates on security governance in Africa.</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The study’s findings contribute to global debates on the privatization of security by illustrating how domestic accountability deficits intersect with international normative pressures. Kenya’s partial adoption of global standards reflects a broader challenge in global security governance: the uneven localization of norms across diverse contexts. This underscores the need for international frameworks to be adaptable and responsive to local institutional realities, rather than prescriptive in ways that may be difficult to implement. The Kenyan case also demonstrates the importance of regional comparative analysis in understanding how global norms are diffused and localized within specific African contexts.</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For Kenya, the findings suggest that reform must be pursued through a dual strategy. First, strengthening domestic accountability mechanisms—through enhanced enforcement, standardized training, and clearer institutional mandates—is essential to address legitimacy deficits. Second, deepening engagement with international frameworks can enhance transparency and align Kenya with global best practices. Regional lessons provide practical guidance: South Africa demonstrates the benefits of institutionalized regulation, while Nigeria highlights the risks of weak oversight. By situating reform within both domestic and international contexts, Kenya can position itself as a regional leader in private security governance, contributing to both national security and global normative debates.</w:t>
      </w:r>
    </w:p>
    <w:p w:rsidR="00A127B4" w:rsidRPr="00A127B4" w:rsidRDefault="00A127B4" w:rsidP="0088481E">
      <w:pPr>
        <w:spacing w:before="100" w:beforeAutospacing="1" w:after="100" w:afterAutospacing="1" w:line="240" w:lineRule="auto"/>
        <w:contextualSpacing/>
        <w:jc w:val="both"/>
        <w:outlineLvl w:val="1"/>
        <w:rPr>
          <w:rFonts w:ascii="Times New Roman" w:eastAsia="Times New Roman" w:hAnsi="Times New Roman" w:cs="Times New Roman"/>
          <w:b/>
          <w:bCs/>
          <w:sz w:val="28"/>
          <w:szCs w:val="28"/>
        </w:rPr>
      </w:pPr>
      <w:r w:rsidRPr="00A127B4">
        <w:rPr>
          <w:rFonts w:ascii="Times New Roman" w:eastAsia="Times New Roman" w:hAnsi="Times New Roman" w:cs="Times New Roman"/>
          <w:b/>
          <w:bCs/>
          <w:sz w:val="28"/>
          <w:szCs w:val="28"/>
        </w:rPr>
        <w:t>Conclusion and Policy Recommendations</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 xml:space="preserve">This study has shown that Kenya’s private security governance is situated at the intersection of accountability theory and norm diffusion. The findings reveal that while Kenya has established a formal regulatory framework through the </w:t>
      </w:r>
      <w:r w:rsidRPr="00A127B4">
        <w:rPr>
          <w:rFonts w:ascii="Times New Roman" w:eastAsia="Times New Roman" w:hAnsi="Times New Roman" w:cs="Times New Roman"/>
          <w:i/>
          <w:iCs/>
          <w:sz w:val="24"/>
          <w:szCs w:val="24"/>
        </w:rPr>
        <w:t>Private Security Regulation Act</w:t>
      </w:r>
      <w:r w:rsidRPr="00A127B4">
        <w:rPr>
          <w:rFonts w:ascii="Times New Roman" w:eastAsia="Times New Roman" w:hAnsi="Times New Roman" w:cs="Times New Roman"/>
          <w:sz w:val="24"/>
          <w:szCs w:val="24"/>
        </w:rPr>
        <w:t xml:space="preserve"> and the Private Security Regulatory Authority (PSRA), enforcement remains weak, mandates are fragmented, and transparency is limited. These accountability deficits undermine legitimacy and professionalism, confirming the theoretical argument that effective governance requires not only institutional design but also robust implementation. At the same time, Kenya’s partial engagement with international frameworks such as the Montreux Document and the International Code of Conduct for Private Security Providers (</w:t>
      </w:r>
      <w:proofErr w:type="spellStart"/>
      <w:r w:rsidRPr="00A127B4">
        <w:rPr>
          <w:rFonts w:ascii="Times New Roman" w:eastAsia="Times New Roman" w:hAnsi="Times New Roman" w:cs="Times New Roman"/>
          <w:sz w:val="24"/>
          <w:szCs w:val="24"/>
        </w:rPr>
        <w:t>ICoCA</w:t>
      </w:r>
      <w:proofErr w:type="spellEnd"/>
      <w:r w:rsidRPr="00A127B4">
        <w:rPr>
          <w:rFonts w:ascii="Times New Roman" w:eastAsia="Times New Roman" w:hAnsi="Times New Roman" w:cs="Times New Roman"/>
          <w:sz w:val="24"/>
          <w:szCs w:val="24"/>
        </w:rPr>
        <w:t xml:space="preserve">) demonstrates normative awareness but limited institutionalization. This reflects the dynamics of norm </w:t>
      </w:r>
      <w:r w:rsidRPr="00A127B4">
        <w:rPr>
          <w:rFonts w:ascii="Times New Roman" w:eastAsia="Times New Roman" w:hAnsi="Times New Roman" w:cs="Times New Roman"/>
          <w:sz w:val="24"/>
          <w:szCs w:val="24"/>
        </w:rPr>
        <w:lastRenderedPageBreak/>
        <w:t>diffusion, where global standards exert pressure but their adoption depends on domestic political will and institutional capacity. Comparative insights from South Africa and Nigeria further enrich the analysis: South Africa illustrates the potential of institutionalized accountability mechanisms, while Nigeria highlights the risks of weak oversight and fragmented governance. Kenya’s positioning between these two trajectories underscores both the opportunities for reform and the risks of stagnation.</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The broader implication is that Kenya’s experience contributes to global debates on the privatization of security by showing how domestic accountability structures mediate the localization of international norms. It also demonstrates the value of regional comparative analysis in understanding reform pathways across Africa. For Kenya, the challenge is to strengthen its domestic institutions while embedding international standards in ways that are contextually grounded and politically feasible.</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Policy reform should therefore proceed along several interrelated lines. First, domestic accountability mechanisms must be reinforced through enhanced enforcement capacity, standardized licensing and training, and clearer oversight mandates. Second, Kenya should deepen its engagement with international frameworks by institutionalizing global standards within its regulatory system and promoting awareness among private security providers. Third, regional lessons should be leveraged: South Africa’s experience offers a model for institutionalized regulation, while Nigeria’s trajectory provides a cautionary example of the consequences of weak oversight. Fourth, transparency and public trust must be prioritized through civil society oversight, anti</w:t>
      </w:r>
      <w:r w:rsidRPr="00A127B4">
        <w:rPr>
          <w:rFonts w:ascii="Times New Roman" w:eastAsia="Times New Roman" w:hAnsi="Times New Roman" w:cs="Times New Roman"/>
          <w:sz w:val="24"/>
          <w:szCs w:val="24"/>
        </w:rPr>
        <w:noBreakHyphen/>
        <w:t>corruption safeguards, and community engagement. Finally, private security governance should be explicitly linked to Kenya’s broader national security strategy, ensuring that regulation supports sovereignty objectives and strengthens the state’s authority over security provision.</w:t>
      </w:r>
    </w:p>
    <w:p w:rsidR="00A127B4" w:rsidRPr="00A127B4" w:rsidRDefault="00A127B4" w:rsidP="0088481E">
      <w:pPr>
        <w:spacing w:before="100" w:beforeAutospacing="1" w:after="100" w:afterAutospacing="1" w:line="240" w:lineRule="auto"/>
        <w:contextualSpacing/>
        <w:jc w:val="both"/>
        <w:rPr>
          <w:rFonts w:ascii="Times New Roman" w:eastAsia="Times New Roman" w:hAnsi="Times New Roman" w:cs="Times New Roman"/>
          <w:sz w:val="24"/>
          <w:szCs w:val="24"/>
        </w:rPr>
      </w:pPr>
      <w:r w:rsidRPr="00A127B4">
        <w:rPr>
          <w:rFonts w:ascii="Times New Roman" w:eastAsia="Times New Roman" w:hAnsi="Times New Roman" w:cs="Times New Roman"/>
          <w:sz w:val="24"/>
          <w:szCs w:val="24"/>
        </w:rPr>
        <w:t>In conclusion, Kenya’s reform trajectory requires a dual strategy that combines domestic accountability with international norm localization. By pursuing this path, Kenya can enhance legitimacy, align with global best practices, and position itself as a regional leader in private security governance. This study thus contributes both to scholarly debates on accountability and norm diffusion and to policy discussions on how African states can assert sovereignty while engaging constructively with global security governance.</w:t>
      </w:r>
    </w:p>
    <w:p w:rsidR="00A127B4" w:rsidRPr="00A127B4" w:rsidRDefault="00A127B4" w:rsidP="00A127B4">
      <w:pPr>
        <w:spacing w:after="0" w:line="240" w:lineRule="auto"/>
        <w:ind w:firstLine="0"/>
        <w:rPr>
          <w:rFonts w:ascii="Times New Roman" w:eastAsia="Times New Roman" w:hAnsi="Times New Roman" w:cs="Times New Roman"/>
          <w:sz w:val="24"/>
          <w:szCs w:val="24"/>
        </w:rPr>
      </w:pPr>
    </w:p>
    <w:p w:rsidR="00A127B4" w:rsidRPr="00BA5F72" w:rsidRDefault="00A127B4" w:rsidP="00A127B4">
      <w:pPr>
        <w:spacing w:before="100" w:beforeAutospacing="1" w:after="100" w:afterAutospacing="1" w:line="240" w:lineRule="auto"/>
        <w:ind w:firstLine="0"/>
        <w:outlineLvl w:val="1"/>
        <w:rPr>
          <w:rFonts w:ascii="Times New Roman" w:eastAsia="Times New Roman" w:hAnsi="Times New Roman" w:cs="Times New Roman"/>
          <w:b/>
          <w:bCs/>
          <w:sz w:val="28"/>
          <w:szCs w:val="28"/>
        </w:rPr>
      </w:pPr>
      <w:r w:rsidRPr="00A127B4">
        <w:rPr>
          <w:rFonts w:ascii="Times New Roman" w:eastAsia="Times New Roman" w:hAnsi="Times New Roman" w:cs="Times New Roman"/>
          <w:b/>
          <w:bCs/>
          <w:sz w:val="28"/>
          <w:szCs w:val="28"/>
        </w:rPr>
        <w:t>References</w:t>
      </w:r>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Abrahamsen, R., &amp; Williams, M. C. (2011). </w:t>
      </w:r>
      <w:r w:rsidRPr="00BA5F72">
        <w:rPr>
          <w:rFonts w:ascii="Times New Roman" w:eastAsia="Times New Roman" w:hAnsi="Times New Roman" w:cs="Times New Roman"/>
          <w:i/>
          <w:iCs/>
          <w:sz w:val="24"/>
          <w:szCs w:val="24"/>
        </w:rPr>
        <w:t>Security beyond the state: Private security in international politics</w:t>
      </w:r>
      <w:r w:rsidRPr="00BA5F72">
        <w:rPr>
          <w:rFonts w:ascii="Times New Roman" w:eastAsia="Times New Roman" w:hAnsi="Times New Roman" w:cs="Times New Roman"/>
          <w:sz w:val="24"/>
          <w:szCs w:val="24"/>
        </w:rPr>
        <w:t>. Cambridge University Press.</w:t>
      </w:r>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Bowen, G. A. (2009). Document analysis as a qualitative research method. </w:t>
      </w:r>
      <w:r w:rsidRPr="00BA5F72">
        <w:rPr>
          <w:rFonts w:ascii="Times New Roman" w:eastAsia="Times New Roman" w:hAnsi="Times New Roman" w:cs="Times New Roman"/>
          <w:i/>
          <w:iCs/>
          <w:sz w:val="24"/>
          <w:szCs w:val="24"/>
        </w:rPr>
        <w:t>Qualitative Research Journal, 9</w:t>
      </w:r>
      <w:r w:rsidRPr="00BA5F72">
        <w:rPr>
          <w:rFonts w:ascii="Times New Roman" w:eastAsia="Times New Roman" w:hAnsi="Times New Roman" w:cs="Times New Roman"/>
          <w:sz w:val="24"/>
          <w:szCs w:val="24"/>
        </w:rPr>
        <w:t xml:space="preserve">(2), 27–40. </w:t>
      </w:r>
      <w:hyperlink r:id="rId8" w:history="1">
        <w:r w:rsidRPr="00BA5F72">
          <w:rPr>
            <w:rFonts w:ascii="Times New Roman" w:eastAsia="Times New Roman" w:hAnsi="Times New Roman" w:cs="Times New Roman"/>
            <w:color w:val="0000FF"/>
            <w:sz w:val="24"/>
            <w:szCs w:val="24"/>
            <w:u w:val="single"/>
          </w:rPr>
          <w:t>https://doi.org/10.3316/QRJ0902027</w:t>
        </w:r>
      </w:hyperlink>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Buur, L. (2015). Private security and the South African state. </w:t>
      </w:r>
      <w:r w:rsidRPr="00BA5F72">
        <w:rPr>
          <w:rFonts w:ascii="Times New Roman" w:eastAsia="Times New Roman" w:hAnsi="Times New Roman" w:cs="Times New Roman"/>
          <w:i/>
          <w:iCs/>
          <w:sz w:val="24"/>
          <w:szCs w:val="24"/>
        </w:rPr>
        <w:t>African Affairs, 114</w:t>
      </w:r>
      <w:r w:rsidRPr="00BA5F72">
        <w:rPr>
          <w:rFonts w:ascii="Times New Roman" w:eastAsia="Times New Roman" w:hAnsi="Times New Roman" w:cs="Times New Roman"/>
          <w:sz w:val="24"/>
          <w:szCs w:val="24"/>
        </w:rPr>
        <w:t xml:space="preserve">(456), 1–23. </w:t>
      </w:r>
      <w:hyperlink r:id="rId9" w:history="1">
        <w:r w:rsidRPr="00BA5F72">
          <w:rPr>
            <w:rFonts w:ascii="Times New Roman" w:eastAsia="Times New Roman" w:hAnsi="Times New Roman" w:cs="Times New Roman"/>
            <w:color w:val="0000FF"/>
            <w:sz w:val="24"/>
            <w:szCs w:val="24"/>
            <w:u w:val="single"/>
          </w:rPr>
          <w:t>https://doi.org/10.1093/afraf/adu083</w:t>
        </w:r>
      </w:hyperlink>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Cockayne, J. (2016). </w:t>
      </w:r>
      <w:r w:rsidRPr="00BA5F72">
        <w:rPr>
          <w:rFonts w:ascii="Times New Roman" w:eastAsia="Times New Roman" w:hAnsi="Times New Roman" w:cs="Times New Roman"/>
          <w:i/>
          <w:iCs/>
          <w:sz w:val="24"/>
          <w:szCs w:val="24"/>
        </w:rPr>
        <w:t>Private military and security companies: A framework for regulation</w:t>
      </w:r>
      <w:r w:rsidRPr="00BA5F72">
        <w:rPr>
          <w:rFonts w:ascii="Times New Roman" w:eastAsia="Times New Roman" w:hAnsi="Times New Roman" w:cs="Times New Roman"/>
          <w:sz w:val="24"/>
          <w:szCs w:val="24"/>
        </w:rPr>
        <w:t>. Geneva Centre for the Democratic Control of Armed Forces (DCAF).</w:t>
      </w:r>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Creswell, J. W., &amp; Poth, C. N. (2018). </w:t>
      </w:r>
      <w:r w:rsidRPr="00BA5F72">
        <w:rPr>
          <w:rFonts w:ascii="Times New Roman" w:eastAsia="Times New Roman" w:hAnsi="Times New Roman" w:cs="Times New Roman"/>
          <w:i/>
          <w:iCs/>
          <w:sz w:val="24"/>
          <w:szCs w:val="24"/>
        </w:rPr>
        <w:t>Qualitative inquiry and research design: Choosing among five approaches</w:t>
      </w:r>
      <w:r w:rsidRPr="00BA5F72">
        <w:rPr>
          <w:rFonts w:ascii="Times New Roman" w:eastAsia="Times New Roman" w:hAnsi="Times New Roman" w:cs="Times New Roman"/>
          <w:sz w:val="24"/>
          <w:szCs w:val="24"/>
        </w:rPr>
        <w:t xml:space="preserve"> (4th ed.). SAGE Publications.</w:t>
      </w:r>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Finnemore, M., &amp; Sikkink, K. (1998). International norm dynamics and political change. </w:t>
      </w:r>
      <w:r w:rsidRPr="00BA5F72">
        <w:rPr>
          <w:rFonts w:ascii="Times New Roman" w:eastAsia="Times New Roman" w:hAnsi="Times New Roman" w:cs="Times New Roman"/>
          <w:i/>
          <w:iCs/>
          <w:sz w:val="24"/>
          <w:szCs w:val="24"/>
        </w:rPr>
        <w:t>International Organization, 52</w:t>
      </w:r>
      <w:r w:rsidRPr="00BA5F72">
        <w:rPr>
          <w:rFonts w:ascii="Times New Roman" w:eastAsia="Times New Roman" w:hAnsi="Times New Roman" w:cs="Times New Roman"/>
          <w:sz w:val="24"/>
          <w:szCs w:val="24"/>
        </w:rPr>
        <w:t xml:space="preserve">(4), 887–917. </w:t>
      </w:r>
      <w:hyperlink r:id="rId10" w:history="1">
        <w:r w:rsidRPr="00BA5F72">
          <w:rPr>
            <w:rFonts w:ascii="Times New Roman" w:eastAsia="Times New Roman" w:hAnsi="Times New Roman" w:cs="Times New Roman"/>
            <w:color w:val="0000FF"/>
            <w:sz w:val="24"/>
            <w:szCs w:val="24"/>
            <w:u w:val="single"/>
          </w:rPr>
          <w:t>https://doi.org/10.1162/002081898550789</w:t>
        </w:r>
      </w:hyperlink>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Hills, A. (2000). Policing Africa: Internal security and the limits of liberalization. </w:t>
      </w:r>
      <w:r w:rsidRPr="00BA5F72">
        <w:rPr>
          <w:rFonts w:ascii="Times New Roman" w:eastAsia="Times New Roman" w:hAnsi="Times New Roman" w:cs="Times New Roman"/>
          <w:i/>
          <w:iCs/>
          <w:sz w:val="24"/>
          <w:szCs w:val="24"/>
        </w:rPr>
        <w:t>African Affairs, 99</w:t>
      </w:r>
      <w:r w:rsidRPr="00BA5F72">
        <w:rPr>
          <w:rFonts w:ascii="Times New Roman" w:eastAsia="Times New Roman" w:hAnsi="Times New Roman" w:cs="Times New Roman"/>
          <w:sz w:val="24"/>
          <w:szCs w:val="24"/>
        </w:rPr>
        <w:t xml:space="preserve">(395), 201–222. </w:t>
      </w:r>
      <w:hyperlink r:id="rId11" w:history="1">
        <w:r w:rsidRPr="00BA5F72">
          <w:rPr>
            <w:rFonts w:ascii="Times New Roman" w:eastAsia="Times New Roman" w:hAnsi="Times New Roman" w:cs="Times New Roman"/>
            <w:color w:val="0000FF"/>
            <w:sz w:val="24"/>
            <w:szCs w:val="24"/>
            <w:u w:val="single"/>
          </w:rPr>
          <w:t>https://doi.org/10.1093/oxfordjournals.afraf.a038389</w:t>
        </w:r>
      </w:hyperlink>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Israel, M., &amp; Hay, I. (2006). </w:t>
      </w:r>
      <w:r w:rsidRPr="00BA5F72">
        <w:rPr>
          <w:rFonts w:ascii="Times New Roman" w:eastAsia="Times New Roman" w:hAnsi="Times New Roman" w:cs="Times New Roman"/>
          <w:i/>
          <w:iCs/>
          <w:sz w:val="24"/>
          <w:szCs w:val="24"/>
        </w:rPr>
        <w:t>Research ethics for social scientists</w:t>
      </w:r>
      <w:r w:rsidRPr="00BA5F72">
        <w:rPr>
          <w:rFonts w:ascii="Times New Roman" w:eastAsia="Times New Roman" w:hAnsi="Times New Roman" w:cs="Times New Roman"/>
          <w:sz w:val="24"/>
          <w:szCs w:val="24"/>
        </w:rPr>
        <w:t>. SAGE Publications.</w:t>
      </w:r>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Krahmann, E. (2017). Legitimacy and private security: Theories and practices. </w:t>
      </w:r>
      <w:r w:rsidRPr="00BA5F72">
        <w:rPr>
          <w:rFonts w:ascii="Times New Roman" w:eastAsia="Times New Roman" w:hAnsi="Times New Roman" w:cs="Times New Roman"/>
          <w:i/>
          <w:iCs/>
          <w:sz w:val="24"/>
          <w:szCs w:val="24"/>
        </w:rPr>
        <w:t>Security Dialogue, 48</w:t>
      </w:r>
      <w:r w:rsidRPr="00BA5F72">
        <w:rPr>
          <w:rFonts w:ascii="Times New Roman" w:eastAsia="Times New Roman" w:hAnsi="Times New Roman" w:cs="Times New Roman"/>
          <w:sz w:val="24"/>
          <w:szCs w:val="24"/>
        </w:rPr>
        <w:t xml:space="preserve">(4), 345–361. </w:t>
      </w:r>
      <w:hyperlink r:id="rId12" w:history="1">
        <w:r w:rsidRPr="00BA5F72">
          <w:rPr>
            <w:rFonts w:ascii="Times New Roman" w:eastAsia="Times New Roman" w:hAnsi="Times New Roman" w:cs="Times New Roman"/>
            <w:color w:val="0000FF"/>
            <w:sz w:val="24"/>
            <w:szCs w:val="24"/>
            <w:u w:val="single"/>
          </w:rPr>
          <w:t>https://doi.org/10.1177/0967010617714060</w:t>
        </w:r>
      </w:hyperlink>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lastRenderedPageBreak/>
        <w:t xml:space="preserve">Kvale, S., &amp; Brinkmann, S. (2015). </w:t>
      </w:r>
      <w:r w:rsidRPr="00BA5F72">
        <w:rPr>
          <w:rFonts w:ascii="Times New Roman" w:eastAsia="Times New Roman" w:hAnsi="Times New Roman" w:cs="Times New Roman"/>
          <w:i/>
          <w:iCs/>
          <w:sz w:val="24"/>
          <w:szCs w:val="24"/>
        </w:rPr>
        <w:t>Interviews: Learning the craft of qualitative research interviewing</w:t>
      </w:r>
      <w:r w:rsidRPr="00BA5F72">
        <w:rPr>
          <w:rFonts w:ascii="Times New Roman" w:eastAsia="Times New Roman" w:hAnsi="Times New Roman" w:cs="Times New Roman"/>
          <w:sz w:val="24"/>
          <w:szCs w:val="24"/>
        </w:rPr>
        <w:t xml:space="preserve"> (3rd ed.). SAGE Publications.</w:t>
      </w:r>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Mkutu, K. (2020). The growth of private security in Kenya: Implications for governance. </w:t>
      </w:r>
      <w:r w:rsidRPr="00BA5F72">
        <w:rPr>
          <w:rFonts w:ascii="Times New Roman" w:eastAsia="Times New Roman" w:hAnsi="Times New Roman" w:cs="Times New Roman"/>
          <w:i/>
          <w:iCs/>
          <w:sz w:val="24"/>
          <w:szCs w:val="24"/>
        </w:rPr>
        <w:t>African Security Review, 29</w:t>
      </w:r>
      <w:r w:rsidRPr="00BA5F72">
        <w:rPr>
          <w:rFonts w:ascii="Times New Roman" w:eastAsia="Times New Roman" w:hAnsi="Times New Roman" w:cs="Times New Roman"/>
          <w:sz w:val="24"/>
          <w:szCs w:val="24"/>
        </w:rPr>
        <w:t xml:space="preserve">(2), 123–140. </w:t>
      </w:r>
      <w:hyperlink r:id="rId13" w:history="1">
        <w:r w:rsidRPr="00BA5F72">
          <w:rPr>
            <w:rFonts w:ascii="Times New Roman" w:eastAsia="Times New Roman" w:hAnsi="Times New Roman" w:cs="Times New Roman"/>
            <w:color w:val="0000FF"/>
            <w:sz w:val="24"/>
            <w:szCs w:val="24"/>
            <w:u w:val="single"/>
          </w:rPr>
          <w:t>https://doi.org/10.1080/10246029.2020.1769804</w:t>
        </w:r>
      </w:hyperlink>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Mutahi, P. (2021). Private security and accountability in Kenya. </w:t>
      </w:r>
      <w:r w:rsidRPr="00BA5F72">
        <w:rPr>
          <w:rFonts w:ascii="Times New Roman" w:eastAsia="Times New Roman" w:hAnsi="Times New Roman" w:cs="Times New Roman"/>
          <w:i/>
          <w:iCs/>
          <w:sz w:val="24"/>
          <w:szCs w:val="24"/>
        </w:rPr>
        <w:t>Journal of African Security Studies, 17</w:t>
      </w:r>
      <w:r w:rsidRPr="00BA5F72">
        <w:rPr>
          <w:rFonts w:ascii="Times New Roman" w:eastAsia="Times New Roman" w:hAnsi="Times New Roman" w:cs="Times New Roman"/>
          <w:sz w:val="24"/>
          <w:szCs w:val="24"/>
        </w:rPr>
        <w:t>(3), 45–62.</w:t>
      </w:r>
    </w:p>
    <w:p w:rsidR="00BA5F72" w:rsidRPr="00BA5F72" w:rsidRDefault="00BA5F72" w:rsidP="00BA5F7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BA5F72">
        <w:rPr>
          <w:rFonts w:ascii="Times New Roman" w:eastAsia="Times New Roman" w:hAnsi="Times New Roman" w:cs="Times New Roman"/>
          <w:sz w:val="24"/>
          <w:szCs w:val="24"/>
        </w:rPr>
        <w:t xml:space="preserve">Ramadhan, R., Ouma, L., Mutahi, P., &amp; Ruteere, M. (2021). </w:t>
      </w:r>
      <w:r w:rsidRPr="00BA5F72">
        <w:rPr>
          <w:rFonts w:ascii="Times New Roman" w:eastAsia="Times New Roman" w:hAnsi="Times New Roman" w:cs="Times New Roman"/>
          <w:i/>
          <w:iCs/>
          <w:sz w:val="24"/>
          <w:szCs w:val="24"/>
        </w:rPr>
        <w:t>Role and accountability of private security in countering violent extremism in Kenya</w:t>
      </w:r>
      <w:r w:rsidRPr="00BA5F72">
        <w:rPr>
          <w:rFonts w:ascii="Times New Roman" w:eastAsia="Times New Roman" w:hAnsi="Times New Roman" w:cs="Times New Roman"/>
          <w:sz w:val="24"/>
          <w:szCs w:val="24"/>
        </w:rPr>
        <w:t>. Centre for Human Rights and Policy Studies.</w:t>
      </w:r>
    </w:p>
    <w:p w:rsidR="00BA5F72" w:rsidRPr="00A127B4" w:rsidRDefault="00BA5F72" w:rsidP="00BA5F72">
      <w:pPr>
        <w:spacing w:before="100" w:beforeAutospacing="1" w:after="100" w:afterAutospacing="1" w:line="240" w:lineRule="auto"/>
        <w:ind w:firstLine="0"/>
        <w:jc w:val="both"/>
        <w:outlineLvl w:val="1"/>
        <w:rPr>
          <w:rFonts w:ascii="Times New Roman" w:eastAsia="Times New Roman" w:hAnsi="Times New Roman" w:cs="Times New Roman"/>
          <w:bCs/>
          <w:sz w:val="24"/>
          <w:szCs w:val="24"/>
        </w:rPr>
      </w:pPr>
    </w:p>
    <w:sectPr w:rsidR="00BA5F72" w:rsidRPr="00A127B4" w:rsidSect="00DC2725">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15C" w:rsidRDefault="0023715C" w:rsidP="009255D3">
      <w:pPr>
        <w:spacing w:after="0" w:line="240" w:lineRule="auto"/>
      </w:pPr>
      <w:r>
        <w:separator/>
      </w:r>
    </w:p>
  </w:endnote>
  <w:endnote w:type="continuationSeparator" w:id="0">
    <w:p w:rsidR="0023715C" w:rsidRDefault="0023715C" w:rsidP="00925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559623"/>
      <w:docPartObj>
        <w:docPartGallery w:val="Page Numbers (Bottom of Page)"/>
        <w:docPartUnique/>
      </w:docPartObj>
    </w:sdtPr>
    <w:sdtEndPr>
      <w:rPr>
        <w:noProof/>
      </w:rPr>
    </w:sdtEndPr>
    <w:sdtContent>
      <w:p w:rsidR="009255D3" w:rsidRDefault="009255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255D3" w:rsidRDefault="00925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15C" w:rsidRDefault="0023715C" w:rsidP="009255D3">
      <w:pPr>
        <w:spacing w:after="0" w:line="240" w:lineRule="auto"/>
      </w:pPr>
      <w:r>
        <w:separator/>
      </w:r>
    </w:p>
  </w:footnote>
  <w:footnote w:type="continuationSeparator" w:id="0">
    <w:p w:rsidR="0023715C" w:rsidRDefault="0023715C" w:rsidP="009255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3DDE"/>
    <w:multiLevelType w:val="multilevel"/>
    <w:tmpl w:val="82DE1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A544D"/>
    <w:multiLevelType w:val="multilevel"/>
    <w:tmpl w:val="BE0E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7425E"/>
    <w:multiLevelType w:val="multilevel"/>
    <w:tmpl w:val="97F41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961D8"/>
    <w:multiLevelType w:val="multilevel"/>
    <w:tmpl w:val="D028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A64785"/>
    <w:multiLevelType w:val="multilevel"/>
    <w:tmpl w:val="E79C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3B55C4"/>
    <w:multiLevelType w:val="multilevel"/>
    <w:tmpl w:val="F3D6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440D46"/>
    <w:multiLevelType w:val="multilevel"/>
    <w:tmpl w:val="C3B6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B55DC1"/>
    <w:multiLevelType w:val="multilevel"/>
    <w:tmpl w:val="1F4C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EE63E5"/>
    <w:multiLevelType w:val="multilevel"/>
    <w:tmpl w:val="2380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8"/>
  </w:num>
  <w:num w:numId="5">
    <w:abstractNumId w:val="1"/>
  </w:num>
  <w:num w:numId="6">
    <w:abstractNumId w:val="6"/>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725"/>
    <w:rsid w:val="00080522"/>
    <w:rsid w:val="000C0C50"/>
    <w:rsid w:val="001736C1"/>
    <w:rsid w:val="0018330C"/>
    <w:rsid w:val="001C56D3"/>
    <w:rsid w:val="00234834"/>
    <w:rsid w:val="0023715C"/>
    <w:rsid w:val="0040188F"/>
    <w:rsid w:val="00405627"/>
    <w:rsid w:val="00423CBD"/>
    <w:rsid w:val="00456371"/>
    <w:rsid w:val="004930E4"/>
    <w:rsid w:val="00566E29"/>
    <w:rsid w:val="005C749D"/>
    <w:rsid w:val="00624916"/>
    <w:rsid w:val="006323AC"/>
    <w:rsid w:val="00766B58"/>
    <w:rsid w:val="007E1F6C"/>
    <w:rsid w:val="00802A43"/>
    <w:rsid w:val="0088481E"/>
    <w:rsid w:val="00891A6D"/>
    <w:rsid w:val="008F34FA"/>
    <w:rsid w:val="009255D3"/>
    <w:rsid w:val="009D637E"/>
    <w:rsid w:val="00A127B4"/>
    <w:rsid w:val="00A32594"/>
    <w:rsid w:val="00A60051"/>
    <w:rsid w:val="00B044DE"/>
    <w:rsid w:val="00B70E81"/>
    <w:rsid w:val="00BA5F72"/>
    <w:rsid w:val="00DC2725"/>
    <w:rsid w:val="00E25538"/>
    <w:rsid w:val="00E42DEA"/>
    <w:rsid w:val="00F76DE4"/>
    <w:rsid w:val="00FA6A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2D5E"/>
  <w15:chartTrackingRefBased/>
  <w15:docId w15:val="{817D13C0-38E1-4369-BCE4-350BD820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2725"/>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55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5D3"/>
    <w:rPr>
      <w:lang w:val="en-US"/>
    </w:rPr>
  </w:style>
  <w:style w:type="paragraph" w:styleId="Footer">
    <w:name w:val="footer"/>
    <w:basedOn w:val="Normal"/>
    <w:link w:val="FooterChar"/>
    <w:uiPriority w:val="99"/>
    <w:unhideWhenUsed/>
    <w:rsid w:val="009255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5D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0985">
      <w:bodyDiv w:val="1"/>
      <w:marLeft w:val="0"/>
      <w:marRight w:val="0"/>
      <w:marTop w:val="0"/>
      <w:marBottom w:val="0"/>
      <w:divBdr>
        <w:top w:val="none" w:sz="0" w:space="0" w:color="auto"/>
        <w:left w:val="none" w:sz="0" w:space="0" w:color="auto"/>
        <w:bottom w:val="none" w:sz="0" w:space="0" w:color="auto"/>
        <w:right w:val="none" w:sz="0" w:space="0" w:color="auto"/>
      </w:divBdr>
    </w:div>
    <w:div w:id="66349358">
      <w:bodyDiv w:val="1"/>
      <w:marLeft w:val="0"/>
      <w:marRight w:val="0"/>
      <w:marTop w:val="0"/>
      <w:marBottom w:val="0"/>
      <w:divBdr>
        <w:top w:val="none" w:sz="0" w:space="0" w:color="auto"/>
        <w:left w:val="none" w:sz="0" w:space="0" w:color="auto"/>
        <w:bottom w:val="none" w:sz="0" w:space="0" w:color="auto"/>
        <w:right w:val="none" w:sz="0" w:space="0" w:color="auto"/>
      </w:divBdr>
    </w:div>
    <w:div w:id="278533015">
      <w:bodyDiv w:val="1"/>
      <w:marLeft w:val="0"/>
      <w:marRight w:val="0"/>
      <w:marTop w:val="0"/>
      <w:marBottom w:val="0"/>
      <w:divBdr>
        <w:top w:val="none" w:sz="0" w:space="0" w:color="auto"/>
        <w:left w:val="none" w:sz="0" w:space="0" w:color="auto"/>
        <w:bottom w:val="none" w:sz="0" w:space="0" w:color="auto"/>
        <w:right w:val="none" w:sz="0" w:space="0" w:color="auto"/>
      </w:divBdr>
    </w:div>
    <w:div w:id="298922004">
      <w:bodyDiv w:val="1"/>
      <w:marLeft w:val="0"/>
      <w:marRight w:val="0"/>
      <w:marTop w:val="0"/>
      <w:marBottom w:val="0"/>
      <w:divBdr>
        <w:top w:val="none" w:sz="0" w:space="0" w:color="auto"/>
        <w:left w:val="none" w:sz="0" w:space="0" w:color="auto"/>
        <w:bottom w:val="none" w:sz="0" w:space="0" w:color="auto"/>
        <w:right w:val="none" w:sz="0" w:space="0" w:color="auto"/>
      </w:divBdr>
    </w:div>
    <w:div w:id="321856668">
      <w:bodyDiv w:val="1"/>
      <w:marLeft w:val="0"/>
      <w:marRight w:val="0"/>
      <w:marTop w:val="0"/>
      <w:marBottom w:val="0"/>
      <w:divBdr>
        <w:top w:val="none" w:sz="0" w:space="0" w:color="auto"/>
        <w:left w:val="none" w:sz="0" w:space="0" w:color="auto"/>
        <w:bottom w:val="none" w:sz="0" w:space="0" w:color="auto"/>
        <w:right w:val="none" w:sz="0" w:space="0" w:color="auto"/>
      </w:divBdr>
    </w:div>
    <w:div w:id="424115078">
      <w:bodyDiv w:val="1"/>
      <w:marLeft w:val="0"/>
      <w:marRight w:val="0"/>
      <w:marTop w:val="0"/>
      <w:marBottom w:val="0"/>
      <w:divBdr>
        <w:top w:val="none" w:sz="0" w:space="0" w:color="auto"/>
        <w:left w:val="none" w:sz="0" w:space="0" w:color="auto"/>
        <w:bottom w:val="none" w:sz="0" w:space="0" w:color="auto"/>
        <w:right w:val="none" w:sz="0" w:space="0" w:color="auto"/>
      </w:divBdr>
    </w:div>
    <w:div w:id="426317562">
      <w:bodyDiv w:val="1"/>
      <w:marLeft w:val="0"/>
      <w:marRight w:val="0"/>
      <w:marTop w:val="0"/>
      <w:marBottom w:val="0"/>
      <w:divBdr>
        <w:top w:val="none" w:sz="0" w:space="0" w:color="auto"/>
        <w:left w:val="none" w:sz="0" w:space="0" w:color="auto"/>
        <w:bottom w:val="none" w:sz="0" w:space="0" w:color="auto"/>
        <w:right w:val="none" w:sz="0" w:space="0" w:color="auto"/>
      </w:divBdr>
    </w:div>
    <w:div w:id="574557329">
      <w:bodyDiv w:val="1"/>
      <w:marLeft w:val="0"/>
      <w:marRight w:val="0"/>
      <w:marTop w:val="0"/>
      <w:marBottom w:val="0"/>
      <w:divBdr>
        <w:top w:val="none" w:sz="0" w:space="0" w:color="auto"/>
        <w:left w:val="none" w:sz="0" w:space="0" w:color="auto"/>
        <w:bottom w:val="none" w:sz="0" w:space="0" w:color="auto"/>
        <w:right w:val="none" w:sz="0" w:space="0" w:color="auto"/>
      </w:divBdr>
    </w:div>
    <w:div w:id="575477168">
      <w:bodyDiv w:val="1"/>
      <w:marLeft w:val="0"/>
      <w:marRight w:val="0"/>
      <w:marTop w:val="0"/>
      <w:marBottom w:val="0"/>
      <w:divBdr>
        <w:top w:val="none" w:sz="0" w:space="0" w:color="auto"/>
        <w:left w:val="none" w:sz="0" w:space="0" w:color="auto"/>
        <w:bottom w:val="none" w:sz="0" w:space="0" w:color="auto"/>
        <w:right w:val="none" w:sz="0" w:space="0" w:color="auto"/>
      </w:divBdr>
    </w:div>
    <w:div w:id="581138946">
      <w:bodyDiv w:val="1"/>
      <w:marLeft w:val="0"/>
      <w:marRight w:val="0"/>
      <w:marTop w:val="0"/>
      <w:marBottom w:val="0"/>
      <w:divBdr>
        <w:top w:val="none" w:sz="0" w:space="0" w:color="auto"/>
        <w:left w:val="none" w:sz="0" w:space="0" w:color="auto"/>
        <w:bottom w:val="none" w:sz="0" w:space="0" w:color="auto"/>
        <w:right w:val="none" w:sz="0" w:space="0" w:color="auto"/>
      </w:divBdr>
    </w:div>
    <w:div w:id="613175677">
      <w:bodyDiv w:val="1"/>
      <w:marLeft w:val="0"/>
      <w:marRight w:val="0"/>
      <w:marTop w:val="0"/>
      <w:marBottom w:val="0"/>
      <w:divBdr>
        <w:top w:val="none" w:sz="0" w:space="0" w:color="auto"/>
        <w:left w:val="none" w:sz="0" w:space="0" w:color="auto"/>
        <w:bottom w:val="none" w:sz="0" w:space="0" w:color="auto"/>
        <w:right w:val="none" w:sz="0" w:space="0" w:color="auto"/>
      </w:divBdr>
    </w:div>
    <w:div w:id="983048411">
      <w:bodyDiv w:val="1"/>
      <w:marLeft w:val="0"/>
      <w:marRight w:val="0"/>
      <w:marTop w:val="0"/>
      <w:marBottom w:val="0"/>
      <w:divBdr>
        <w:top w:val="none" w:sz="0" w:space="0" w:color="auto"/>
        <w:left w:val="none" w:sz="0" w:space="0" w:color="auto"/>
        <w:bottom w:val="none" w:sz="0" w:space="0" w:color="auto"/>
        <w:right w:val="none" w:sz="0" w:space="0" w:color="auto"/>
      </w:divBdr>
    </w:div>
    <w:div w:id="1226835042">
      <w:bodyDiv w:val="1"/>
      <w:marLeft w:val="0"/>
      <w:marRight w:val="0"/>
      <w:marTop w:val="0"/>
      <w:marBottom w:val="0"/>
      <w:divBdr>
        <w:top w:val="none" w:sz="0" w:space="0" w:color="auto"/>
        <w:left w:val="none" w:sz="0" w:space="0" w:color="auto"/>
        <w:bottom w:val="none" w:sz="0" w:space="0" w:color="auto"/>
        <w:right w:val="none" w:sz="0" w:space="0" w:color="auto"/>
      </w:divBdr>
    </w:div>
    <w:div w:id="1229531341">
      <w:bodyDiv w:val="1"/>
      <w:marLeft w:val="0"/>
      <w:marRight w:val="0"/>
      <w:marTop w:val="0"/>
      <w:marBottom w:val="0"/>
      <w:divBdr>
        <w:top w:val="none" w:sz="0" w:space="0" w:color="auto"/>
        <w:left w:val="none" w:sz="0" w:space="0" w:color="auto"/>
        <w:bottom w:val="none" w:sz="0" w:space="0" w:color="auto"/>
        <w:right w:val="none" w:sz="0" w:space="0" w:color="auto"/>
      </w:divBdr>
    </w:div>
    <w:div w:id="1344433104">
      <w:bodyDiv w:val="1"/>
      <w:marLeft w:val="0"/>
      <w:marRight w:val="0"/>
      <w:marTop w:val="0"/>
      <w:marBottom w:val="0"/>
      <w:divBdr>
        <w:top w:val="none" w:sz="0" w:space="0" w:color="auto"/>
        <w:left w:val="none" w:sz="0" w:space="0" w:color="auto"/>
        <w:bottom w:val="none" w:sz="0" w:space="0" w:color="auto"/>
        <w:right w:val="none" w:sz="0" w:space="0" w:color="auto"/>
      </w:divBdr>
    </w:div>
    <w:div w:id="1405253644">
      <w:bodyDiv w:val="1"/>
      <w:marLeft w:val="0"/>
      <w:marRight w:val="0"/>
      <w:marTop w:val="0"/>
      <w:marBottom w:val="0"/>
      <w:divBdr>
        <w:top w:val="none" w:sz="0" w:space="0" w:color="auto"/>
        <w:left w:val="none" w:sz="0" w:space="0" w:color="auto"/>
        <w:bottom w:val="none" w:sz="0" w:space="0" w:color="auto"/>
        <w:right w:val="none" w:sz="0" w:space="0" w:color="auto"/>
      </w:divBdr>
    </w:div>
    <w:div w:id="1431009507">
      <w:bodyDiv w:val="1"/>
      <w:marLeft w:val="0"/>
      <w:marRight w:val="0"/>
      <w:marTop w:val="0"/>
      <w:marBottom w:val="0"/>
      <w:divBdr>
        <w:top w:val="none" w:sz="0" w:space="0" w:color="auto"/>
        <w:left w:val="none" w:sz="0" w:space="0" w:color="auto"/>
        <w:bottom w:val="none" w:sz="0" w:space="0" w:color="auto"/>
        <w:right w:val="none" w:sz="0" w:space="0" w:color="auto"/>
      </w:divBdr>
    </w:div>
    <w:div w:id="1539076706">
      <w:bodyDiv w:val="1"/>
      <w:marLeft w:val="0"/>
      <w:marRight w:val="0"/>
      <w:marTop w:val="0"/>
      <w:marBottom w:val="0"/>
      <w:divBdr>
        <w:top w:val="none" w:sz="0" w:space="0" w:color="auto"/>
        <w:left w:val="none" w:sz="0" w:space="0" w:color="auto"/>
        <w:bottom w:val="none" w:sz="0" w:space="0" w:color="auto"/>
        <w:right w:val="none" w:sz="0" w:space="0" w:color="auto"/>
      </w:divBdr>
    </w:div>
    <w:div w:id="1580869090">
      <w:bodyDiv w:val="1"/>
      <w:marLeft w:val="0"/>
      <w:marRight w:val="0"/>
      <w:marTop w:val="0"/>
      <w:marBottom w:val="0"/>
      <w:divBdr>
        <w:top w:val="none" w:sz="0" w:space="0" w:color="auto"/>
        <w:left w:val="none" w:sz="0" w:space="0" w:color="auto"/>
        <w:bottom w:val="none" w:sz="0" w:space="0" w:color="auto"/>
        <w:right w:val="none" w:sz="0" w:space="0" w:color="auto"/>
      </w:divBdr>
    </w:div>
    <w:div w:id="1695422362">
      <w:bodyDiv w:val="1"/>
      <w:marLeft w:val="0"/>
      <w:marRight w:val="0"/>
      <w:marTop w:val="0"/>
      <w:marBottom w:val="0"/>
      <w:divBdr>
        <w:top w:val="none" w:sz="0" w:space="0" w:color="auto"/>
        <w:left w:val="none" w:sz="0" w:space="0" w:color="auto"/>
        <w:bottom w:val="none" w:sz="0" w:space="0" w:color="auto"/>
        <w:right w:val="none" w:sz="0" w:space="0" w:color="auto"/>
      </w:divBdr>
    </w:div>
    <w:div w:id="1720519468">
      <w:bodyDiv w:val="1"/>
      <w:marLeft w:val="0"/>
      <w:marRight w:val="0"/>
      <w:marTop w:val="0"/>
      <w:marBottom w:val="0"/>
      <w:divBdr>
        <w:top w:val="none" w:sz="0" w:space="0" w:color="auto"/>
        <w:left w:val="none" w:sz="0" w:space="0" w:color="auto"/>
        <w:bottom w:val="none" w:sz="0" w:space="0" w:color="auto"/>
        <w:right w:val="none" w:sz="0" w:space="0" w:color="auto"/>
      </w:divBdr>
    </w:div>
    <w:div w:id="189183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16/QRJ0902027" TargetMode="External"/><Relationship Id="rId13" Type="http://schemas.openxmlformats.org/officeDocument/2006/relationships/hyperlink" Target="https://doi.org/10.1080/10246029.2020.176980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177/096701061771406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oxfordjournals.afraf.a03838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162/002081898550789" TargetMode="External"/><Relationship Id="rId4" Type="http://schemas.openxmlformats.org/officeDocument/2006/relationships/webSettings" Target="webSettings.xml"/><Relationship Id="rId9" Type="http://schemas.openxmlformats.org/officeDocument/2006/relationships/hyperlink" Target="https://doi.org/10.1093/afraf/adu0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10</Pages>
  <Words>5623</Words>
  <Characters>32054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2026-05-18T14:45:00Z</dcterms:created>
  <dcterms:modified xsi:type="dcterms:W3CDTF">2026-05-19T06:04:00Z</dcterms:modified>
</cp:coreProperties>
</file>