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7830" w14:textId="77777777" w:rsidR="000E098E" w:rsidRPr="005262CB" w:rsidRDefault="000E098E" w:rsidP="000E098E">
      <w:pPr>
        <w:spacing w:after="0" w:line="240" w:lineRule="auto"/>
        <w:jc w:val="center"/>
        <w:outlineLvl w:val="0"/>
        <w:rPr>
          <w:rFonts w:asciiTheme="majorBidi" w:eastAsia="Times New Roman" w:hAnsiTheme="majorBidi" w:cstheme="majorBidi"/>
          <w:b/>
          <w:bCs/>
          <w:color w:val="1F1F1F"/>
          <w:kern w:val="36"/>
          <w:sz w:val="36"/>
          <w:szCs w:val="36"/>
          <w:lang w:eastAsia="en-MY"/>
          <w14:ligatures w14:val="none"/>
        </w:rPr>
      </w:pPr>
      <w:r w:rsidRPr="005262CB">
        <w:rPr>
          <w:rFonts w:asciiTheme="majorBidi" w:eastAsia="Times New Roman" w:hAnsiTheme="majorBidi" w:cstheme="majorBidi"/>
          <w:b/>
          <w:bCs/>
          <w:color w:val="1F1F1F"/>
          <w:kern w:val="36"/>
          <w:sz w:val="36"/>
          <w:szCs w:val="36"/>
          <w:lang w:eastAsia="en-MY"/>
          <w14:ligatures w14:val="none"/>
        </w:rPr>
        <w:t>UNSHACKLING THE PROSECUTOR: A COMPARATIVE ANALYSIS OF PROSECUTORAL INDEPENDENCE AND REFORM IN MALAYSIA, THE UNITED KINGDOM, AND INDIA</w:t>
      </w:r>
    </w:p>
    <w:p w14:paraId="06C34355" w14:textId="77777777" w:rsidR="000E098E" w:rsidRPr="005262CB" w:rsidRDefault="000E098E" w:rsidP="000E098E">
      <w:pPr>
        <w:spacing w:after="0" w:line="240" w:lineRule="auto"/>
        <w:jc w:val="center"/>
        <w:outlineLvl w:val="0"/>
        <w:rPr>
          <w:rFonts w:asciiTheme="majorBidi" w:eastAsia="Times New Roman" w:hAnsiTheme="majorBidi" w:cstheme="majorBidi"/>
          <w:b/>
          <w:bCs/>
          <w:color w:val="1F1F1F"/>
          <w:kern w:val="36"/>
          <w:sz w:val="20"/>
          <w:szCs w:val="20"/>
          <w:lang w:eastAsia="en-MY"/>
          <w14:ligatures w14:val="none"/>
        </w:rPr>
      </w:pPr>
    </w:p>
    <w:p w14:paraId="00198DED" w14:textId="77777777" w:rsidR="000E098E" w:rsidRPr="005262CB" w:rsidRDefault="000E098E" w:rsidP="000E098E">
      <w:pPr>
        <w:spacing w:after="0" w:line="240" w:lineRule="auto"/>
        <w:jc w:val="center"/>
        <w:rPr>
          <w:rFonts w:asciiTheme="majorBidi" w:eastAsia="Times New Roman" w:hAnsiTheme="majorBidi" w:cstheme="majorBidi"/>
          <w:b/>
          <w:bCs/>
          <w:color w:val="1F1F1F"/>
          <w:kern w:val="0"/>
          <w:sz w:val="20"/>
          <w:szCs w:val="20"/>
          <w:bdr w:val="none" w:sz="0" w:space="0" w:color="auto" w:frame="1"/>
          <w:lang w:eastAsia="en-MY"/>
          <w14:ligatures w14:val="none"/>
        </w:rPr>
      </w:pPr>
      <w:r w:rsidRPr="005262CB">
        <w:rPr>
          <w:rFonts w:asciiTheme="majorBidi" w:eastAsia="Times New Roman" w:hAnsiTheme="majorBidi" w:cstheme="majorBidi"/>
          <w:b/>
          <w:bCs/>
          <w:color w:val="1F1F1F"/>
          <w:kern w:val="0"/>
          <w:sz w:val="20"/>
          <w:szCs w:val="20"/>
          <w:bdr w:val="none" w:sz="0" w:space="0" w:color="auto" w:frame="1"/>
          <w:lang w:eastAsia="en-MY"/>
          <w14:ligatures w14:val="none"/>
        </w:rPr>
        <w:t/>
      </w:r>
    </w:p>
    <w:p w14:paraId="409881E8" w14:textId="77777777" w:rsidR="000E098E" w:rsidRPr="005262CB" w:rsidRDefault="000E098E" w:rsidP="000E098E">
      <w:pPr>
        <w:spacing w:after="0" w:line="240" w:lineRule="auto"/>
        <w:rPr>
          <w:rFonts w:asciiTheme="majorBidi" w:eastAsia="Times New Roman" w:hAnsiTheme="majorBidi" w:cstheme="majorBidi"/>
          <w:color w:val="1F1F1F"/>
          <w:kern w:val="0"/>
          <w:sz w:val="20"/>
          <w:szCs w:val="20"/>
          <w:lang w:eastAsia="en-MY"/>
          <w14:ligatures w14:val="none"/>
        </w:rPr>
      </w:pPr>
    </w:p>
    <w:p w14:paraId="6F667152" w14:textId="756E3623" w:rsidR="000E098E" w:rsidRPr="005262CB" w:rsidRDefault="000E098E" w:rsidP="000E098E">
      <w:pPr>
        <w:spacing w:after="0" w:line="240" w:lineRule="auto"/>
        <w:jc w:val="center"/>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vertAlign w:val="superscript"/>
          <w:lang w:eastAsia="en-MY"/>
          <w14:ligatures w14:val="none"/>
        </w:rPr>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
      </w:r>
    </w:p>
    <w:p w14:paraId="481647C8" w14:textId="201FD1E8" w:rsidR="000E098E" w:rsidRPr="005262CB" w:rsidRDefault="000E098E" w:rsidP="000E098E">
      <w:pPr>
        <w:spacing w:after="0" w:line="240" w:lineRule="auto"/>
        <w:jc w:val="center"/>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vertAlign w:val="superscript"/>
          <w:lang w:eastAsia="en-MY"/>
          <w14:ligatures w14:val="none"/>
        </w:rPr>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
      </w:r>
    </w:p>
    <w:p w14:paraId="19CCA7FD" w14:textId="7FC4680D" w:rsidR="000E098E" w:rsidRPr="005262CB" w:rsidRDefault="000E098E" w:rsidP="000E098E">
      <w:pPr>
        <w:spacing w:after="0" w:line="240" w:lineRule="auto"/>
        <w:jc w:val="center"/>
        <w:rPr>
          <w:rFonts w:asciiTheme="majorBidi" w:eastAsia="Times New Roman" w:hAnsiTheme="majorBidi" w:cstheme="majorBidi"/>
          <w:i/>
          <w:iCs/>
          <w:color w:val="1F1F1F"/>
          <w:kern w:val="0"/>
          <w:sz w:val="20"/>
          <w:szCs w:val="20"/>
          <w:bdr w:val="none" w:sz="0" w:space="0" w:color="auto" w:frame="1"/>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vertAlign w:val="superscript"/>
          <w:lang w:eastAsia="en-MY"/>
          <w14:ligatures w14:val="none"/>
        </w:rPr>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
      </w:r>
    </w:p>
    <w:p w14:paraId="383EEF64" w14:textId="77777777" w:rsidR="000E098E" w:rsidRPr="005262CB" w:rsidRDefault="000E098E" w:rsidP="000E098E">
      <w:pPr>
        <w:spacing w:after="0" w:line="240" w:lineRule="auto"/>
        <w:jc w:val="center"/>
        <w:rPr>
          <w:rFonts w:asciiTheme="majorBidi" w:eastAsia="Times New Roman" w:hAnsiTheme="majorBidi" w:cstheme="majorBidi"/>
          <w:i/>
          <w:iCs/>
          <w:color w:val="1F1F1F"/>
          <w:kern w:val="0"/>
          <w:sz w:val="20"/>
          <w:szCs w:val="20"/>
          <w:bdr w:val="none" w:sz="0" w:space="0" w:color="auto" w:frame="1"/>
          <w:lang w:eastAsia="en-MY"/>
          <w14:ligatures w14:val="none"/>
        </w:rPr>
      </w:pPr>
    </w:p>
    <w:p w14:paraId="088E1E3F" w14:textId="77777777" w:rsidR="000E098E" w:rsidRPr="005262CB" w:rsidRDefault="000E098E" w:rsidP="000E098E">
      <w:pPr>
        <w:rPr>
          <w:rFonts w:asciiTheme="majorBidi" w:hAnsiTheme="majorBidi" w:cstheme="majorBidi"/>
          <w:b/>
          <w:bCs/>
          <w:sz w:val="20"/>
          <w:szCs w:val="20"/>
        </w:rPr>
      </w:pPr>
    </w:p>
    <w:p w14:paraId="5C276D05" w14:textId="4EE37F0E" w:rsidR="000E098E" w:rsidRPr="005262CB" w:rsidRDefault="000E098E" w:rsidP="000E098E">
      <w:pPr>
        <w:rPr>
          <w:rFonts w:asciiTheme="majorBidi" w:hAnsiTheme="majorBidi" w:cstheme="majorBidi"/>
          <w:b/>
          <w:bCs/>
          <w:sz w:val="20"/>
          <w:szCs w:val="20"/>
        </w:rPr>
      </w:pPr>
      <w:r w:rsidRPr="005262CB">
        <w:rPr>
          <w:rFonts w:asciiTheme="majorBidi" w:hAnsiTheme="majorBidi" w:cstheme="majorBidi"/>
          <w:b/>
          <w:bCs/>
          <w:sz w:val="20"/>
          <w:szCs w:val="20"/>
        </w:rPr>
        <w:t>ABSTRACT</w:t>
      </w:r>
    </w:p>
    <w:p w14:paraId="19DA088E" w14:textId="35BDB114" w:rsidR="000E098E" w:rsidRPr="005262CB" w:rsidRDefault="000E098E" w:rsidP="000E098E">
      <w:pPr>
        <w:jc w:val="both"/>
        <w:rPr>
          <w:rFonts w:asciiTheme="majorBidi" w:hAnsiTheme="majorBidi" w:cstheme="majorBidi"/>
          <w:sz w:val="20"/>
          <w:szCs w:val="20"/>
        </w:rPr>
      </w:pPr>
      <w:r w:rsidRPr="005262CB">
        <w:rPr>
          <w:rFonts w:asciiTheme="majorBidi" w:hAnsiTheme="majorBidi" w:cstheme="majorBidi"/>
          <w:sz w:val="20"/>
          <w:szCs w:val="20"/>
        </w:rPr>
        <w:t xml:space="preserve">The institutional integration of state legal counselling and public criminal prosecution into the single office of the Malaysian Attorney-General (AG) has long constituted a profound structural vulnerability. Entrenched under Article 145(3) of the Federal Constitution, this dual mandate created an inherent conflict of interest that systematically undermined public confidence in the administration of justice. In light of the </w:t>
      </w:r>
      <w:r w:rsidR="003F4CAE" w:rsidRPr="005262CB">
        <w:rPr>
          <w:rFonts w:asciiTheme="majorBidi" w:hAnsiTheme="majorBidi" w:cstheme="majorBidi"/>
          <w:sz w:val="20"/>
          <w:szCs w:val="20"/>
        </w:rPr>
        <w:t xml:space="preserve">recent </w:t>
      </w:r>
      <w:r w:rsidRPr="005262CB">
        <w:rPr>
          <w:rFonts w:asciiTheme="majorBidi" w:hAnsiTheme="majorBidi" w:cstheme="majorBidi"/>
          <w:sz w:val="20"/>
          <w:szCs w:val="20"/>
        </w:rPr>
        <w:t xml:space="preserve">historic passage of the Constitution (Amendment) (No. 2) Act 2026, this paper examines the procedural, constitutional, and structural implications of decoupling these legal roles. Utilising a comparative legal methodology, this study analyses the functional firewall of the United Kingdom's bifurcated executive model and the rigid structural separation in India's decentralised prosecution system to identify institutional mechanisms that prevent executive overreach. It highlights how the active 2026 reforms successfully address previous systemic gaps by establishing an independent Office of the Public Prosecutor under a new Article 145A. Ultimately, this paper demonstrates how Malaysia's legal </w:t>
      </w:r>
      <w:r w:rsidRPr="005262CB">
        <w:rPr>
          <w:rFonts w:asciiTheme="majorBidi" w:hAnsiTheme="majorBidi" w:cstheme="majorBidi"/>
          <w:sz w:val="20"/>
          <w:szCs w:val="20"/>
        </w:rPr>
        <w:t>transformation operationalises a multi-layered, merit-based appointment framework, guarantees tenure security, provides financial autonomy, and mandates parliamentary accountability, thereby shifting the domestic reform trajectory from initial policy advocacy to subsequent statutory implementation and institutional safeguarding.</w:t>
      </w:r>
    </w:p>
    <w:p w14:paraId="2A2D7303" w14:textId="3BE0BBC3" w:rsidR="000E098E" w:rsidRPr="005262CB" w:rsidRDefault="000E098E" w:rsidP="000E098E">
      <w:pPr>
        <w:jc w:val="both"/>
        <w:rPr>
          <w:rFonts w:asciiTheme="majorBidi" w:hAnsiTheme="majorBidi" w:cstheme="majorBidi"/>
          <w:sz w:val="20"/>
          <w:szCs w:val="20"/>
        </w:rPr>
      </w:pPr>
      <w:r w:rsidRPr="005262CB">
        <w:rPr>
          <w:rFonts w:asciiTheme="majorBidi" w:hAnsiTheme="majorBidi" w:cstheme="majorBidi"/>
          <w:b/>
          <w:bCs/>
          <w:sz w:val="20"/>
          <w:szCs w:val="20"/>
        </w:rPr>
        <w:t>Keywords</w:t>
      </w:r>
      <w:r w:rsidRPr="005262CB">
        <w:rPr>
          <w:rFonts w:asciiTheme="majorBidi" w:hAnsiTheme="majorBidi" w:cstheme="majorBidi"/>
          <w:sz w:val="20"/>
          <w:szCs w:val="20"/>
        </w:rPr>
        <w:t>: Separation of Powers, Attorney-General, Public Prosecutor, Malaysia, Constitutional Reform, Comparative Jurisprudence.</w:t>
      </w:r>
    </w:p>
    <w:p w14:paraId="2FD59330" w14:textId="77777777" w:rsidR="000E098E" w:rsidRPr="005262CB" w:rsidRDefault="000E098E" w:rsidP="000E098E">
      <w:pPr>
        <w:spacing w:after="0" w:line="240" w:lineRule="auto"/>
        <w:rPr>
          <w:rFonts w:asciiTheme="majorBidi" w:eastAsia="Times New Roman" w:hAnsiTheme="majorBidi" w:cstheme="majorBidi"/>
          <w:color w:val="1F1F1F"/>
          <w:kern w:val="0"/>
          <w:sz w:val="20"/>
          <w:szCs w:val="20"/>
          <w:lang w:eastAsia="en-MY"/>
          <w14:ligatures w14:val="none"/>
        </w:rPr>
      </w:pPr>
    </w:p>
    <w:p w14:paraId="5B5550B4" w14:textId="6A662164" w:rsidR="000E098E" w:rsidRPr="005262CB" w:rsidRDefault="000E098E" w:rsidP="000E098E">
      <w:pPr>
        <w:pStyle w:val="ListParagraph"/>
        <w:numPr>
          <w:ilvl w:val="0"/>
          <w:numId w:val="3"/>
        </w:numPr>
        <w:spacing w:after="0" w:line="240" w:lineRule="auto"/>
        <w:outlineLvl w:val="1"/>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INTRODUCTION</w:t>
      </w:r>
    </w:p>
    <w:p w14:paraId="2A7DA34F"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7305E147" w14:textId="241A4C3E"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The foundational doctrine of the separation of powers </w:t>
      </w:r>
      <w:r w:rsidR="00AD7F33" w:rsidRPr="005262CB">
        <w:rPr>
          <w:rFonts w:asciiTheme="majorBidi" w:eastAsia="Times New Roman" w:hAnsiTheme="majorBidi" w:cstheme="majorBidi"/>
          <w:color w:val="1F1F1F"/>
          <w:kern w:val="0"/>
          <w:sz w:val="20"/>
          <w:szCs w:val="20"/>
          <w:bdr w:val="none" w:sz="0" w:space="0" w:color="auto" w:frame="1"/>
          <w:lang w:eastAsia="en-MY"/>
          <w14:ligatures w14:val="none"/>
        </w:rPr>
        <w:t>holds that concentrating</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disparate constitutional functions within a single office creates structural vulnerability, threatening both institutional integrity and public confidence. Within Commonwealth legal frameworks, this vulnerability is most pronounced when the roles of the chief executive legal advisor and the supreme public prosecutor are combined in a single individual. In Malaysia, this structural fusion has been constitutionally entrenched under Article 145(3) of the Federal Constitution, which designates the Attorney-General (AG) as the Public Prosecutor</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and grants</w:t>
      </w:r>
      <w:r w:rsidR="00AD7F33"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the AG</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absolute and unreviewable discretion to initiate, conduct, or discontinue criminal proceedings (Sokri, 2026).</w:t>
      </w:r>
      <w:r w:rsidRPr="005262CB">
        <w:rPr>
          <w:rFonts w:asciiTheme="majorBidi" w:eastAsia="Times New Roman" w:hAnsiTheme="majorBidi" w:cstheme="majorBidi"/>
          <w:color w:val="1F1F1F"/>
          <w:kern w:val="0"/>
          <w:sz w:val="20"/>
          <w:szCs w:val="20"/>
          <w:lang w:eastAsia="en-MY"/>
          <w14:ligatures w14:val="none"/>
        </w:rPr>
        <w:t xml:space="preserve"> </w:t>
      </w:r>
    </w:p>
    <w:p w14:paraId="27D696F1"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43A06378"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Consequently, the AG must balance two contradictory mandates: acting as a political appointee tasked with counselling the executive branch, while simultaneously serving as an impartial minister of justice duty-bound to enforce criminal law without fear or favour (Abu Bakar, 2015). When these distinct mandates merge, an inherent conflict of interest arises, particularly in the prosecution of politically sensitive or high-profile corruption cases (Sokri, 2026).</w:t>
      </w:r>
      <w:r w:rsidRPr="005262CB">
        <w:rPr>
          <w:rFonts w:asciiTheme="majorBidi" w:eastAsia="Times New Roman" w:hAnsiTheme="majorBidi" w:cstheme="majorBidi"/>
          <w:color w:val="1F1F1F"/>
          <w:kern w:val="0"/>
          <w:sz w:val="20"/>
          <w:szCs w:val="20"/>
          <w:lang w:eastAsia="en-MY"/>
          <w14:ligatures w14:val="none"/>
        </w:rPr>
        <w:t xml:space="preserve"> </w:t>
      </w:r>
    </w:p>
    <w:p w14:paraId="5AE3DBE0"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7B14C40A"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Historically, the structural overlap of executive influence and prosecutorial authority has exposed the Malaysian criminal justice system to allegations of selective prosecution and political interference. Legal scholars have noted that this "two hats on one head" architecture systematically transfers legitimacy deficits from executive actors to the judiciary, compromising the perceived impartiality of eventual trial outcomes even when handled by independent judges (Sokri, 2026). This tension became acutely visible following the watershed political shifts of 2018, where high-profile financial scandals exposed the fragility of an undivided prosecutorial office and catalysed widespread public demand for structural separation (Foo, 2019).</w:t>
      </w:r>
      <w:r w:rsidRPr="005262CB">
        <w:rPr>
          <w:rFonts w:asciiTheme="majorBidi" w:eastAsia="Times New Roman" w:hAnsiTheme="majorBidi" w:cstheme="majorBidi"/>
          <w:color w:val="1F1F1F"/>
          <w:kern w:val="0"/>
          <w:sz w:val="20"/>
          <w:szCs w:val="20"/>
          <w:lang w:eastAsia="en-MY"/>
          <w14:ligatures w14:val="none"/>
        </w:rPr>
        <w:t xml:space="preserve"> </w:t>
      </w:r>
    </w:p>
    <w:p w14:paraId="5AF0D010"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212C41B5"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lastRenderedPageBreak/>
        <w:t xml:space="preserve">Globally, empirical comparative evidence confirms that prosecutorial independence is a vital precondition for government accountability and the rule of law; without operational autonomy from executive control, criminal enforcement risks devolving into an instrument of political pragmatism rather than objective justice (Gutmann &amp; Voigt, 2019). In response to long-standing systemic critiques, Malaysia's reform trajectory reached an unprecedented constitutional inflexion point with the tabling of the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Constitution (Amendment) (No. 2) Bill 2026</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(Weiss, 2024). </w:t>
      </w:r>
    </w:p>
    <w:p w14:paraId="1DE53C32"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7CCAF683" w14:textId="180E8BA8" w:rsidR="003F4CAE" w:rsidRPr="005262CB" w:rsidRDefault="000E098E" w:rsidP="003F4CAE">
      <w:pPr>
        <w:spacing w:after="0" w:line="240" w:lineRule="auto"/>
        <w:jc w:val="both"/>
        <w:rPr>
          <w:rFonts w:asciiTheme="majorBidi" w:hAnsiTheme="majorBidi" w:cstheme="majorBidi"/>
          <w:sz w:val="20"/>
          <w:szCs w:val="20"/>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This paper examines the constitutional architecture governing the Malaysian prosecutorial framework</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 It evaluates</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the ongoing institutional efforts to decouple these roles, integrating recent bipartisan adjustments finalised by the Parliamentary Special Select Committee (PSSC) on June 22, 2026 (The Star, 2026b).</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hAnsiTheme="majorBidi" w:cstheme="majorBidi"/>
          <w:sz w:val="20"/>
          <w:szCs w:val="20"/>
        </w:rPr>
        <w:t xml:space="preserve">The paper begins with an </w:t>
      </w:r>
      <w:r w:rsidR="00146C50" w:rsidRPr="005262CB">
        <w:rPr>
          <w:rFonts w:asciiTheme="majorBidi" w:hAnsiTheme="majorBidi" w:cstheme="majorBidi"/>
          <w:sz w:val="20"/>
          <w:szCs w:val="20"/>
        </w:rPr>
        <w:t>i</w:t>
      </w:r>
      <w:r w:rsidRPr="005262CB">
        <w:rPr>
          <w:rStyle w:val="Strong"/>
          <w:rFonts w:asciiTheme="majorBidi" w:hAnsiTheme="majorBidi" w:cstheme="majorBidi"/>
          <w:b w:val="0"/>
          <w:bCs w:val="0"/>
          <w:sz w:val="20"/>
          <w:szCs w:val="20"/>
        </w:rPr>
        <w:t>ntroduction</w:t>
      </w:r>
      <w:r w:rsidRPr="005262CB">
        <w:rPr>
          <w:rFonts w:asciiTheme="majorBidi" w:hAnsiTheme="majorBidi" w:cstheme="majorBidi"/>
          <w:sz w:val="20"/>
          <w:szCs w:val="20"/>
        </w:rPr>
        <w:t xml:space="preserve"> that outlines the shortcomings of the current legal framework and situates the debate within Malaysia's constitutional context. The </w:t>
      </w:r>
      <w:r w:rsidRPr="005262CB">
        <w:rPr>
          <w:rStyle w:val="Strong"/>
          <w:rFonts w:asciiTheme="majorBidi" w:hAnsiTheme="majorBidi" w:cstheme="majorBidi"/>
          <w:b w:val="0"/>
          <w:bCs w:val="0"/>
          <w:sz w:val="20"/>
          <w:szCs w:val="20"/>
        </w:rPr>
        <w:t>second section</w:t>
      </w:r>
      <w:r w:rsidRPr="005262CB">
        <w:rPr>
          <w:rFonts w:asciiTheme="majorBidi" w:hAnsiTheme="majorBidi" w:cstheme="majorBidi"/>
          <w:sz w:val="20"/>
          <w:szCs w:val="20"/>
        </w:rPr>
        <w:t xml:space="preserve"> sets out the qualitative and doctrinal methodology adopted for the study. </w:t>
      </w:r>
    </w:p>
    <w:p w14:paraId="28B73995" w14:textId="77777777" w:rsidR="003F4CAE" w:rsidRPr="005262CB" w:rsidRDefault="003F4CAE" w:rsidP="003F4CAE">
      <w:pPr>
        <w:spacing w:after="0" w:line="240" w:lineRule="auto"/>
        <w:jc w:val="both"/>
        <w:rPr>
          <w:rFonts w:asciiTheme="majorBidi" w:hAnsiTheme="majorBidi" w:cstheme="majorBidi"/>
          <w:sz w:val="20"/>
          <w:szCs w:val="20"/>
        </w:rPr>
      </w:pPr>
    </w:p>
    <w:p w14:paraId="6EFEF2CA" w14:textId="7907C620" w:rsidR="000E098E" w:rsidRPr="005262CB" w:rsidRDefault="000E098E" w:rsidP="003F4CAE">
      <w:pPr>
        <w:spacing w:after="0" w:line="240" w:lineRule="auto"/>
        <w:jc w:val="both"/>
        <w:rPr>
          <w:rFonts w:asciiTheme="majorBidi" w:eastAsia="Times New Roman" w:hAnsiTheme="majorBidi" w:cstheme="majorBidi"/>
          <w:kern w:val="0"/>
          <w:sz w:val="20"/>
          <w:szCs w:val="20"/>
          <w:lang w:eastAsia="en-MY"/>
          <w14:ligatures w14:val="none"/>
        </w:rPr>
      </w:pPr>
      <w:r w:rsidRPr="005262CB">
        <w:rPr>
          <w:rFonts w:asciiTheme="majorBidi" w:hAnsiTheme="majorBidi" w:cstheme="majorBidi"/>
          <w:sz w:val="20"/>
          <w:szCs w:val="20"/>
        </w:rPr>
        <w:t xml:space="preserve">The </w:t>
      </w:r>
      <w:r w:rsidRPr="005262CB">
        <w:rPr>
          <w:rStyle w:val="Strong"/>
          <w:rFonts w:asciiTheme="majorBidi" w:hAnsiTheme="majorBidi" w:cstheme="majorBidi"/>
          <w:b w:val="0"/>
          <w:bCs w:val="0"/>
          <w:sz w:val="20"/>
          <w:szCs w:val="20"/>
        </w:rPr>
        <w:t>third section</w:t>
      </w:r>
      <w:r w:rsidRPr="005262CB">
        <w:rPr>
          <w:rFonts w:asciiTheme="majorBidi" w:hAnsiTheme="majorBidi" w:cstheme="majorBidi"/>
          <w:sz w:val="20"/>
          <w:szCs w:val="20"/>
        </w:rPr>
        <w:t xml:space="preserve"> explores the legal position before the 2026 Amendment, highlighting the tensions created by the duality of the Attorney-General's advisory and prosecutorial roles and the resulting impetus for reform. The </w:t>
      </w:r>
      <w:r w:rsidRPr="005262CB">
        <w:rPr>
          <w:rStyle w:val="Strong"/>
          <w:rFonts w:asciiTheme="majorBidi" w:hAnsiTheme="majorBidi" w:cstheme="majorBidi"/>
          <w:b w:val="0"/>
          <w:bCs w:val="0"/>
          <w:sz w:val="20"/>
          <w:szCs w:val="20"/>
        </w:rPr>
        <w:t>fourth section</w:t>
      </w:r>
      <w:r w:rsidRPr="005262CB">
        <w:rPr>
          <w:rFonts w:asciiTheme="majorBidi" w:hAnsiTheme="majorBidi" w:cstheme="majorBidi"/>
          <w:sz w:val="20"/>
          <w:szCs w:val="20"/>
        </w:rPr>
        <w:t xml:space="preserve"> </w:t>
      </w:r>
      <w:r w:rsidR="00D72B1B" w:rsidRPr="005262CB">
        <w:rPr>
          <w:rFonts w:asciiTheme="majorBidi" w:hAnsiTheme="majorBidi" w:cstheme="majorBidi"/>
          <w:sz w:val="20"/>
          <w:szCs w:val="20"/>
        </w:rPr>
        <w:t xml:space="preserve">synthesises the major themes of criminal procedure reform, particularly regarding the separation of powers. </w:t>
      </w:r>
      <w:r w:rsidR="00D72B1B">
        <w:rPr>
          <w:rFonts w:asciiTheme="majorBidi" w:hAnsiTheme="majorBidi" w:cstheme="majorBidi"/>
          <w:sz w:val="20"/>
          <w:szCs w:val="20"/>
        </w:rPr>
        <w:t xml:space="preserve">The fifth section </w:t>
      </w:r>
      <w:r w:rsidRPr="005262CB">
        <w:rPr>
          <w:rFonts w:asciiTheme="majorBidi" w:hAnsiTheme="majorBidi" w:cstheme="majorBidi"/>
          <w:sz w:val="20"/>
          <w:szCs w:val="20"/>
        </w:rPr>
        <w:t xml:space="preserve">turns to comparative perspectives, examining the institutional models of the United Kingdom and India and identifying lessons Malaysia may draw from these jurisdictions. Finally, the </w:t>
      </w:r>
      <w:r w:rsidRPr="005262CB">
        <w:rPr>
          <w:rStyle w:val="Strong"/>
          <w:rFonts w:asciiTheme="majorBidi" w:hAnsiTheme="majorBidi" w:cstheme="majorBidi"/>
          <w:b w:val="0"/>
          <w:bCs w:val="0"/>
          <w:sz w:val="20"/>
          <w:szCs w:val="20"/>
        </w:rPr>
        <w:t>concluding section</w:t>
      </w:r>
      <w:r w:rsidRPr="005262CB">
        <w:rPr>
          <w:rFonts w:asciiTheme="majorBidi" w:hAnsiTheme="majorBidi" w:cstheme="majorBidi"/>
          <w:sz w:val="20"/>
          <w:szCs w:val="20"/>
        </w:rPr>
        <w:t xml:space="preserve"> distils the analysis into four policy recommendations to strengthen prosecutorial independence and enhance constitutional safeguards.</w:t>
      </w:r>
    </w:p>
    <w:p w14:paraId="45B514B0" w14:textId="77777777" w:rsidR="000E098E" w:rsidRPr="005262CB" w:rsidRDefault="000E098E" w:rsidP="000E098E">
      <w:pPr>
        <w:spacing w:after="0" w:line="240" w:lineRule="auto"/>
        <w:jc w:val="both"/>
        <w:rPr>
          <w:rFonts w:asciiTheme="majorBidi" w:eastAsia="Times New Roman" w:hAnsiTheme="majorBidi" w:cstheme="majorBidi"/>
          <w:b/>
          <w:bCs/>
          <w:kern w:val="0"/>
          <w:sz w:val="20"/>
          <w:szCs w:val="20"/>
          <w:lang w:eastAsia="en-MY"/>
          <w14:ligatures w14:val="none"/>
        </w:rPr>
      </w:pPr>
    </w:p>
    <w:p w14:paraId="4EE76D97" w14:textId="27BFD821" w:rsidR="000E098E" w:rsidRPr="005262CB" w:rsidRDefault="000E098E" w:rsidP="000E098E">
      <w:pPr>
        <w:pStyle w:val="ListParagraph"/>
        <w:numPr>
          <w:ilvl w:val="0"/>
          <w:numId w:val="3"/>
        </w:numPr>
        <w:spacing w:after="0" w:line="240" w:lineRule="auto"/>
        <w:jc w:val="both"/>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METHODOLOGY</w:t>
      </w:r>
    </w:p>
    <w:p w14:paraId="1F6428E7"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6081E0BC"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This study adopts a purely doctrinal or "black-letter" legal research methodology, combined with a comparative legal analysis framework. Rather than examining empirical or sociological data, doctrinal legal research focuses on an internal, systematic analysis of the law itself as a cohesive body of rules, principles, and statutory doctrines (McConville &amp; Chui, 2017). This method is particularly appropriate for this study because it enables a critical evaluation of the structural, constitutional, and statutory provisions governing prosecutorial power and executive overreach (Hutchinson &amp; Duncan, 2012).</w:t>
      </w:r>
    </w:p>
    <w:p w14:paraId="71977CB0"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5B975775"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The research is executed through a two-stage qualitative process:</w:t>
      </w:r>
    </w:p>
    <w:p w14:paraId="58031685"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0983BF31" w14:textId="60CE8376" w:rsidR="000E098E" w:rsidRPr="005262CB" w:rsidRDefault="000E098E" w:rsidP="000E098E">
      <w:pPr>
        <w:numPr>
          <w:ilvl w:val="0"/>
          <w:numId w:val="6"/>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lang w:eastAsia="en-MY"/>
          <w14:ligatures w14:val="none"/>
        </w:rPr>
        <w:t>Primary Source Analysis</w:t>
      </w:r>
      <w:r w:rsidRPr="005262CB">
        <w:rPr>
          <w:rFonts w:asciiTheme="majorBidi" w:eastAsia="Times New Roman" w:hAnsiTheme="majorBidi" w:cstheme="majorBidi"/>
          <w:b/>
          <w:bCs/>
          <w:color w:val="1F1F1F"/>
          <w:kern w:val="0"/>
          <w:sz w:val="20"/>
          <w:szCs w:val="20"/>
          <w:bdr w:val="none" w:sz="0" w:space="0" w:color="auto" w:frame="1"/>
          <w:lang w:eastAsia="en-MY"/>
          <w14:ligatures w14:val="none"/>
        </w:rPr>
        <w:t>:</w:t>
      </w:r>
      <w:r w:rsidRPr="005262CB">
        <w:rPr>
          <w:rFonts w:asciiTheme="majorBidi" w:eastAsia="Times New Roman" w:hAnsiTheme="majorBidi" w:cstheme="majorBidi"/>
          <w:color w:val="1F1F1F"/>
          <w:kern w:val="0"/>
          <w:sz w:val="20"/>
          <w:szCs w:val="20"/>
          <w:lang w:eastAsia="en-MY"/>
          <w14:ligatures w14:val="none"/>
        </w:rPr>
        <w:t xml:space="preserve"> The core of the inquiry involves a rigorous textual evaluation of primary legal authorities. For the Malaysian context, this includes an examination of Article 145 of the Federal Constitution, Section 376 of the Criminal Procedure Code (CPC), and the statutory provisions of the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Constitution (Amendment) (No. 2) Act 2026</w:t>
      </w:r>
      <w:r w:rsidRPr="005262CB">
        <w:rPr>
          <w:rFonts w:asciiTheme="majorBidi" w:eastAsia="Times New Roman" w:hAnsiTheme="majorBidi" w:cstheme="majorBidi"/>
          <w:color w:val="1F1F1F"/>
          <w:kern w:val="0"/>
          <w:sz w:val="20"/>
          <w:szCs w:val="20"/>
          <w:lang w:eastAsia="en-MY"/>
          <w14:ligatures w14:val="none"/>
        </w:rPr>
        <w:t>.</w:t>
      </w:r>
    </w:p>
    <w:p w14:paraId="1E4A6A3C"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27DA3273" w14:textId="77777777" w:rsidR="000E098E" w:rsidRPr="005262CB" w:rsidRDefault="000E098E" w:rsidP="000E098E">
      <w:pPr>
        <w:numPr>
          <w:ilvl w:val="0"/>
          <w:numId w:val="6"/>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lang w:eastAsia="en-MY"/>
          <w14:ligatures w14:val="none"/>
        </w:rPr>
        <w:t>Secondary Source Synthesis</w:t>
      </w:r>
      <w:r w:rsidRPr="005262CB">
        <w:rPr>
          <w:rFonts w:asciiTheme="majorBidi" w:eastAsia="Times New Roman" w:hAnsiTheme="majorBidi" w:cstheme="majorBidi"/>
          <w:b/>
          <w:bCs/>
          <w:color w:val="1F1F1F"/>
          <w:kern w:val="0"/>
          <w:sz w:val="20"/>
          <w:szCs w:val="20"/>
          <w:bdr w:val="none" w:sz="0" w:space="0" w:color="auto" w:frame="1"/>
          <w:lang w:eastAsia="en-MY"/>
          <w14:ligatures w14:val="none"/>
        </w:rPr>
        <w:t>:</w:t>
      </w:r>
      <w:r w:rsidRPr="005262CB">
        <w:rPr>
          <w:rFonts w:asciiTheme="majorBidi" w:eastAsia="Times New Roman" w:hAnsiTheme="majorBidi" w:cstheme="majorBidi"/>
          <w:color w:val="1F1F1F"/>
          <w:kern w:val="0"/>
          <w:sz w:val="20"/>
          <w:szCs w:val="20"/>
          <w:lang w:eastAsia="en-MY"/>
          <w14:ligatures w14:val="none"/>
        </w:rPr>
        <w:t xml:space="preserve"> To contextualise these primary texts, the study synthesises secondary legal literature. This process includes peer-reviewed law journals, authoritative textbooks, judicial review jurisprudence, and formal position papers issued by the Malaysian Bar and law reform committees.</w:t>
      </w:r>
    </w:p>
    <w:p w14:paraId="78CE3785" w14:textId="77777777" w:rsidR="000E098E" w:rsidRPr="005262CB" w:rsidRDefault="000E098E" w:rsidP="000E098E">
      <w:pPr>
        <w:spacing w:after="0" w:line="240" w:lineRule="auto"/>
        <w:ind w:left="360"/>
        <w:jc w:val="both"/>
        <w:rPr>
          <w:rFonts w:asciiTheme="majorBidi" w:eastAsia="Times New Roman" w:hAnsiTheme="majorBidi" w:cstheme="majorBidi"/>
          <w:color w:val="1F1F1F"/>
          <w:kern w:val="0"/>
          <w:sz w:val="20"/>
          <w:szCs w:val="20"/>
          <w:lang w:eastAsia="en-MY"/>
          <w14:ligatures w14:val="none"/>
        </w:rPr>
      </w:pPr>
    </w:p>
    <w:p w14:paraId="3444F14F" w14:textId="5EC7C479"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To evaluate the potential efficacy of Malaysia's 2026 legislative reforms, this doctrinal baseline is integrated with a micro-comparative legal framework. Comparative legal analysis serves as </w:t>
      </w:r>
      <w:r w:rsidR="00AD7F33" w:rsidRPr="005262CB">
        <w:rPr>
          <w:rFonts w:asciiTheme="majorBidi" w:eastAsia="Times New Roman" w:hAnsiTheme="majorBidi" w:cstheme="majorBidi"/>
          <w:color w:val="1F1F1F"/>
          <w:kern w:val="0"/>
          <w:sz w:val="20"/>
          <w:szCs w:val="20"/>
          <w:lang w:eastAsia="en-MY"/>
          <w14:ligatures w14:val="none"/>
        </w:rPr>
        <w:t>a tool for law reform by enabling</w:t>
      </w:r>
      <w:r w:rsidRPr="005262CB">
        <w:rPr>
          <w:rFonts w:asciiTheme="majorBidi" w:eastAsia="Times New Roman" w:hAnsiTheme="majorBidi" w:cstheme="majorBidi"/>
          <w:color w:val="1F1F1F"/>
          <w:kern w:val="0"/>
          <w:sz w:val="20"/>
          <w:szCs w:val="20"/>
          <w:lang w:eastAsia="en-MY"/>
          <w14:ligatures w14:val="none"/>
        </w:rPr>
        <w:t xml:space="preserve"> researchers to examine how different jurisdictions resolve identical structural dilemmas (Hutchinson, 2015). </w:t>
      </w:r>
    </w:p>
    <w:p w14:paraId="5D2ABE9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1A34F00A" w14:textId="53EA4375"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This paper contrasts Malaysia's fused institutional model with the bifurcated executive model of England and Wales (focusing on the statutory architecture of the Crown Prosecution Service and the conventional boundaries of the Shawcross Doctrine) and the strict constitutional separation model of India (anchored in Article 76 of the Constitution of India and Section 25A of the Code of Criminal Procedure). By analysing these distinct statutory arrangements, this methodology identifies structural firewalls and systemic vulnerabilities, providing a principled, reform-oriented blueprint for the future of Malaysia's criminal procedure infrastructure.</w:t>
      </w:r>
    </w:p>
    <w:p w14:paraId="7BE979E2"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4719AF6C" w14:textId="0B895333" w:rsidR="000E098E" w:rsidRPr="005262CB" w:rsidRDefault="000E098E" w:rsidP="000E098E">
      <w:pPr>
        <w:pStyle w:val="ListParagraph"/>
        <w:numPr>
          <w:ilvl w:val="0"/>
          <w:numId w:val="6"/>
        </w:num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THE PRE-</w:t>
      </w:r>
      <w:r w:rsidR="00D72B1B">
        <w:rPr>
          <w:rFonts w:asciiTheme="majorBidi" w:eastAsia="Times New Roman" w:hAnsiTheme="majorBidi" w:cstheme="majorBidi"/>
          <w:b/>
          <w:bCs/>
          <w:color w:val="1F1F1F"/>
          <w:kern w:val="0"/>
          <w:sz w:val="20"/>
          <w:szCs w:val="20"/>
          <w:lang w:eastAsia="en-MY"/>
          <w14:ligatures w14:val="none"/>
        </w:rPr>
        <w:t xml:space="preserve"> CONSTITUTIONAL AMENDMENT (NO 2) BILL</w:t>
      </w:r>
      <w:r w:rsidRPr="005262CB">
        <w:rPr>
          <w:rFonts w:asciiTheme="majorBidi" w:eastAsia="Times New Roman" w:hAnsiTheme="majorBidi" w:cstheme="majorBidi"/>
          <w:b/>
          <w:bCs/>
          <w:color w:val="1F1F1F"/>
          <w:kern w:val="0"/>
          <w:sz w:val="20"/>
          <w:szCs w:val="20"/>
          <w:lang w:eastAsia="en-MY"/>
          <w14:ligatures w14:val="none"/>
        </w:rPr>
        <w:t xml:space="preserve"> LEGAL POSITION: STRUCTURAL FUSED POWER</w:t>
      </w:r>
    </w:p>
    <w:p w14:paraId="3A90299B" w14:textId="77777777" w:rsidR="000E098E" w:rsidRPr="005262CB" w:rsidRDefault="000E098E" w:rsidP="000E098E">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p>
    <w:p w14:paraId="3F6B9ACD" w14:textId="4B8C41C4"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The institutional integration of state legal counselling and public criminal prosecution within the </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AG's office</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w:t>
      </w:r>
      <w:r w:rsidR="00AD7F33" w:rsidRPr="005262CB">
        <w:rPr>
          <w:rFonts w:asciiTheme="majorBidi" w:eastAsia="Times New Roman" w:hAnsiTheme="majorBidi" w:cstheme="majorBidi"/>
          <w:color w:val="1F1F1F"/>
          <w:kern w:val="0"/>
          <w:sz w:val="20"/>
          <w:szCs w:val="20"/>
          <w:bdr w:val="none" w:sz="0" w:space="0" w:color="auto" w:frame="1"/>
          <w:lang w:eastAsia="en-MY"/>
          <w14:ligatures w14:val="none"/>
        </w:rPr>
        <w:t>is among</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the most contentious constitutional arrangements in contemporary Malaysian governance. This structural duality was principally anchored in Article 145(3) of the Federal Constitution, which dictated that the AG shall have the power, exercisable at his discretion, to institute, conduct, or discontinue any proceedings for an offence (Sokri, 2026). This constitutional mandate was further reinforced by Section 376(1) of the Criminal Procedure Code (CPC), which formally designated the AG as the Public Prosecutor and explicitly granted him control and direction over all criminal prosecutions and proceedings under the Code.</w:t>
      </w:r>
      <w:r w:rsidRPr="005262CB">
        <w:rPr>
          <w:rFonts w:asciiTheme="majorBidi" w:eastAsia="Times New Roman" w:hAnsiTheme="majorBidi" w:cstheme="majorBidi"/>
          <w:color w:val="1F1F1F"/>
          <w:kern w:val="0"/>
          <w:sz w:val="20"/>
          <w:szCs w:val="20"/>
          <w:lang w:eastAsia="en-MY"/>
          <w14:ligatures w14:val="none"/>
        </w:rPr>
        <w:t xml:space="preserve"> </w:t>
      </w:r>
    </w:p>
    <w:p w14:paraId="2DEF63FA"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1E1E78C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Legal scholars note that the vastness of this authority, paired with historically minimal judicial oversight, effectively established a form of unreviewable prosecutorial hegemony within the domestic criminal procedure system (Hamid, 2023). Because the AG acted simultaneously as the Prime Minister's primary legal advisor and the supreme arbiter of public prosecutions, the office was structurally prone to systemic tensions in which political loyalty and independent ministerial duties inevitably collided (Abu Bakar, 2015).</w:t>
      </w:r>
      <w:r w:rsidRPr="005262CB">
        <w:rPr>
          <w:rFonts w:asciiTheme="majorBidi" w:eastAsia="Times New Roman" w:hAnsiTheme="majorBidi" w:cstheme="majorBidi"/>
          <w:color w:val="1F1F1F"/>
          <w:kern w:val="0"/>
          <w:sz w:val="20"/>
          <w:szCs w:val="20"/>
          <w:lang w:eastAsia="en-MY"/>
          <w14:ligatures w14:val="none"/>
        </w:rPr>
        <w:t xml:space="preserve"> </w:t>
      </w:r>
    </w:p>
    <w:p w14:paraId="1A81DC4C"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120C16A7" w14:textId="64AEE3BD"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This structural framework produced an unavoidable legitimacy deficit that systematically undermined public confidence in the administration of justice. The core institutional flaw did not necessarily stem from personal malfeasance by individual officeholders, but rather from the "two hats on one head" architecture itself. As a political appointee serving at the </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executive branch's pleasure</w:t>
      </w:r>
      <w:r w:rsidRPr="005262CB">
        <w:rPr>
          <w:rFonts w:asciiTheme="majorBidi" w:eastAsia="Times New Roman" w:hAnsiTheme="majorBidi" w:cstheme="majorBidi"/>
          <w:color w:val="1F1F1F"/>
          <w:kern w:val="0"/>
          <w:sz w:val="20"/>
          <w:szCs w:val="20"/>
          <w:bdr w:val="none" w:sz="0" w:space="0" w:color="auto" w:frame="1"/>
          <w:lang w:eastAsia="en-MY"/>
          <w14:ligatures w14:val="none"/>
        </w:rPr>
        <w:t>, the AG routinely faced profound conflicts of interest when handling investigations involving state actors, high-ranking public officials, or political allies (Hong, 2018).</w:t>
      </w:r>
      <w:r w:rsidRPr="005262CB">
        <w:rPr>
          <w:rFonts w:asciiTheme="majorBidi" w:eastAsia="Times New Roman" w:hAnsiTheme="majorBidi" w:cstheme="majorBidi"/>
          <w:color w:val="1F1F1F"/>
          <w:kern w:val="0"/>
          <w:sz w:val="20"/>
          <w:szCs w:val="20"/>
          <w:lang w:eastAsia="en-MY"/>
          <w14:ligatures w14:val="none"/>
        </w:rPr>
        <w:t xml:space="preserve"> </w:t>
      </w:r>
    </w:p>
    <w:p w14:paraId="5DC9848E"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74CDCC85"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When high-profile financial corruption or political trials culminated in unexpected Discharges Not Amounting to an Acquittal (DNAA), public perception frequently attributed these outcomes to executive interference rather than objective evidentiary assessments (Sokri, 2026). This dynamic created a legitimacy crisis rooted in process, as the perceived partiality of the initial prosecutorial decision directly eroded the public trust ultimately placed in the entire trial court process, regardless of how impartial or independent the presiding judges might be (Sokri, 2026).</w:t>
      </w:r>
      <w:r w:rsidRPr="005262CB">
        <w:rPr>
          <w:rFonts w:asciiTheme="majorBidi" w:eastAsia="Times New Roman" w:hAnsiTheme="majorBidi" w:cstheme="majorBidi"/>
          <w:color w:val="1F1F1F"/>
          <w:kern w:val="0"/>
          <w:sz w:val="20"/>
          <w:szCs w:val="20"/>
          <w:lang w:eastAsia="en-MY"/>
          <w14:ligatures w14:val="none"/>
        </w:rPr>
        <w:t xml:space="preserve"> </w:t>
      </w:r>
    </w:p>
    <w:p w14:paraId="6D3E1D7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430A2E27" w14:textId="2F1A21DD"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Following the pivotal 1988 constitutional amendments, which stripped the judiciary of its inherent "judicial power of the Federation" under Article 121(1) and made court jurisdiction dependent on federal statutory law, the traditional checks and balances designed to temper prosecutorial overreach were severely weakened (Power, 2010). Efforts to challenge the AG's absolute prosecutorial discretion through judicial review have historically faced strict jurisprudential hurdles, with local courts frequently affirming that such powers are largely immune from judicial interference unless clear bad faith or unconstitutionality can be proven (Hamid, 2023).</w:t>
      </w:r>
    </w:p>
    <w:p w14:paraId="162C11F1" w14:textId="02FD1B3A"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 </w:t>
      </w:r>
    </w:p>
    <w:p w14:paraId="33B8F556" w14:textId="2E7C0C14"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When the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Constitution (Amendment) (No. 2) Bill 2026</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was initially introduced on February 23, 2026, civil society groups and legal experts quickly pointed out lingering loopholes.</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color w:val="1F1F1F"/>
          <w:kern w:val="0"/>
          <w:sz w:val="20"/>
          <w:szCs w:val="20"/>
          <w:bdr w:val="none" w:sz="0" w:space="0" w:color="auto" w:frame="1"/>
          <w:lang w:eastAsia="en-MY"/>
          <w14:ligatures w14:val="none"/>
        </w:rPr>
        <w:t>Early critiques from the Malaysian Bar (2026b) and Bersih (2026) noted that the original text lacked a clear mechanism for parliamentary oversight, permitted potential term extensions that exposed the office to political influence, and did not fully separate the roles in secondary legal bodies, such as the Pardons Board.</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color w:val="1F1F1F"/>
          <w:kern w:val="0"/>
          <w:sz w:val="20"/>
          <w:szCs w:val="20"/>
          <w:bdr w:val="none" w:sz="0" w:space="0" w:color="auto" w:frame="1"/>
          <w:lang w:eastAsia="en-MY"/>
          <w14:ligatures w14:val="none"/>
        </w:rPr>
        <w:t>These gaps necessitated its referral to a Parliamentary Special Select Committee (PSSC) for rigorous cross-party restructuring (Eu SEE, 2026).</w:t>
      </w:r>
      <w:r w:rsidRPr="005262CB">
        <w:rPr>
          <w:rFonts w:asciiTheme="majorBidi" w:eastAsia="Times New Roman" w:hAnsiTheme="majorBidi" w:cstheme="majorBidi"/>
          <w:color w:val="1F1F1F"/>
          <w:kern w:val="0"/>
          <w:sz w:val="20"/>
          <w:szCs w:val="20"/>
          <w:lang w:eastAsia="en-MY"/>
          <w14:ligatures w14:val="none"/>
        </w:rPr>
        <w:t xml:space="preserve"> </w:t>
      </w:r>
    </w:p>
    <w:p w14:paraId="2C39B461"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2B0F4E48" w14:textId="6BB62EA2" w:rsidR="000E098E" w:rsidRPr="005262CB" w:rsidRDefault="000E098E" w:rsidP="000E098E">
      <w:pPr>
        <w:pStyle w:val="ListParagraph"/>
        <w:numPr>
          <w:ilvl w:val="0"/>
          <w:numId w:val="6"/>
        </w:num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KEY REFORMS AND THEMES UNDER THE AMENDMENT ACT</w:t>
      </w:r>
    </w:p>
    <w:p w14:paraId="52F7520A"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053ADEF3" w14:textId="55EBD280"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The integrated structural architecture finalised by the PSSC on June 22, 2026, builds concrete legal firewalls across four core procedural and operational themes to resolve the historical overlap of powers (Azalina, 2026):</w:t>
      </w:r>
      <w:r w:rsidRPr="005262CB">
        <w:rPr>
          <w:rFonts w:asciiTheme="majorBidi" w:eastAsia="Times New Roman" w:hAnsiTheme="majorBidi" w:cstheme="majorBidi"/>
          <w:color w:val="1F1F1F"/>
          <w:kern w:val="0"/>
          <w:sz w:val="20"/>
          <w:szCs w:val="20"/>
          <w:lang w:eastAsia="en-MY"/>
          <w14:ligatures w14:val="none"/>
        </w:rPr>
        <w:t xml:space="preserve"> </w:t>
      </w:r>
    </w:p>
    <w:p w14:paraId="16D96C68"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3E87CBFF" w14:textId="675E273C" w:rsidR="000E098E" w:rsidRPr="005262CB" w:rsidRDefault="000E098E" w:rsidP="000E098E">
      <w:pPr>
        <w:pStyle w:val="ListParagraph"/>
        <w:numPr>
          <w:ilvl w:val="0"/>
          <w:numId w:val="5"/>
        </w:numPr>
        <w:spacing w:after="0" w:line="240" w:lineRule="auto"/>
        <w:jc w:val="both"/>
        <w:outlineLvl w:val="2"/>
        <w:rPr>
          <w:rFonts w:asciiTheme="majorBidi" w:eastAsia="Times New Roman" w:hAnsiTheme="majorBidi" w:cstheme="majorBidi"/>
          <w:b/>
          <w:bCs/>
          <w:color w:val="1F1F1F"/>
          <w:kern w:val="0"/>
          <w:sz w:val="20"/>
          <w:szCs w:val="20"/>
          <w:bdr w:val="none" w:sz="0" w:space="0" w:color="auto" w:frame="1"/>
          <w:lang w:eastAsia="en-MY"/>
          <w14:ligatures w14:val="none"/>
        </w:rPr>
      </w:pPr>
      <w:r w:rsidRPr="005262CB">
        <w:rPr>
          <w:rFonts w:asciiTheme="majorBidi" w:eastAsia="Times New Roman" w:hAnsiTheme="majorBidi" w:cstheme="majorBidi"/>
          <w:b/>
          <w:bCs/>
          <w:color w:val="1F1F1F"/>
          <w:kern w:val="0"/>
          <w:sz w:val="20"/>
          <w:szCs w:val="20"/>
          <w:bdr w:val="none" w:sz="0" w:space="0" w:color="auto" w:frame="1"/>
          <w:lang w:eastAsia="en-MY"/>
          <w14:ligatures w14:val="none"/>
        </w:rPr>
        <w:t>Implementing a Multi-Layered, Merit-Based Appointment Process</w:t>
      </w:r>
    </w:p>
    <w:p w14:paraId="2F1C2FAF" w14:textId="77777777" w:rsidR="000E098E" w:rsidRPr="005262CB" w:rsidRDefault="000E098E" w:rsidP="000E098E">
      <w:p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p>
    <w:p w14:paraId="7AA9C68E" w14:textId="541F6294"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To permanently eliminate centralised executive command, the reform completely bars the Prime Minister or Cabinet from selecting the independent Public Prosecutor (Dusuki, 2026).</w:t>
      </w:r>
      <w:r w:rsidRPr="005262CB">
        <w:rPr>
          <w:rFonts w:asciiTheme="majorBidi" w:eastAsia="Times New Roman" w:hAnsiTheme="majorBidi" w:cstheme="majorBidi"/>
          <w:color w:val="1F1F1F"/>
          <w:kern w:val="0"/>
          <w:sz w:val="20"/>
          <w:szCs w:val="20"/>
          <w:lang w:eastAsia="en-MY"/>
          <w14:ligatures w14:val="none"/>
        </w:rPr>
        <w:t xml:space="preserve"> This theme is explicitly codified under the new constitutional layout: </w:t>
      </w:r>
    </w:p>
    <w:p w14:paraId="1B589603"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5E333C61"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bdr w:val="none" w:sz="0" w:space="0" w:color="auto" w:frame="1"/>
          <w:lang w:eastAsia="en-MY"/>
          <w14:ligatures w14:val="none"/>
        </w:rPr>
        <w:t>Article 145A. Public Prosecutor</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(1) There shall be a Public Prosecutor who shall be appointed by the Yang di-Pertuan Agong, acting on the advice of the Judicial and Legal Service Commission. (2) The candidate recommended by the Judicial and Legal Service Commission under Clause (1) shall be presented to Parliament for review prior to the appointment by the Yang di-Pertuan Agong.</w:t>
      </w:r>
      <w:r w:rsidRPr="005262CB">
        <w:rPr>
          <w:rFonts w:asciiTheme="majorBidi" w:eastAsia="Times New Roman" w:hAnsiTheme="majorBidi" w:cstheme="majorBidi"/>
          <w:color w:val="1F1F1F"/>
          <w:kern w:val="0"/>
          <w:sz w:val="20"/>
          <w:szCs w:val="20"/>
          <w:lang w:eastAsia="en-MY"/>
          <w14:ligatures w14:val="none"/>
        </w:rPr>
        <w:t xml:space="preserve"> </w:t>
      </w:r>
    </w:p>
    <w:p w14:paraId="2ECFFE35"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6EA04CBF"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By linking the appointment strictly to institutional sourcing from the Judicial and Legal Service Commission (SPKP) and adding a mandatory disclosure clause for parliamentary review, the law ensures that cross-party vetting and public feedback filter the selection process before formal confirmation (Azalina, 2026; 2KBW, 2025).</w:t>
      </w:r>
      <w:r w:rsidRPr="005262CB">
        <w:rPr>
          <w:rFonts w:asciiTheme="majorBidi" w:eastAsia="Times New Roman" w:hAnsiTheme="majorBidi" w:cstheme="majorBidi"/>
          <w:color w:val="1F1F1F"/>
          <w:kern w:val="0"/>
          <w:sz w:val="20"/>
          <w:szCs w:val="20"/>
          <w:lang w:eastAsia="en-MY"/>
          <w14:ligatures w14:val="none"/>
        </w:rPr>
        <w:t xml:space="preserve"> </w:t>
      </w:r>
    </w:p>
    <w:p w14:paraId="57726FF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16AD30BA" w14:textId="16BB132F" w:rsidR="000E098E" w:rsidRPr="005262CB" w:rsidRDefault="000E098E" w:rsidP="000E098E">
      <w:pPr>
        <w:pStyle w:val="ListParagraph"/>
        <w:numPr>
          <w:ilvl w:val="0"/>
          <w:numId w:val="5"/>
        </w:num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Safeguarding Security of Tenure and Financial Autonomy</w:t>
      </w:r>
    </w:p>
    <w:p w14:paraId="5564CA8B" w14:textId="77777777" w:rsidR="000E098E" w:rsidRPr="005262CB" w:rsidRDefault="000E098E" w:rsidP="000E098E">
      <w:p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p>
    <w:p w14:paraId="0D33146F"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To ensure that the independent Public Prosecutor can investigate and charge state actors without fear of sudden retaliatory dismissal, the law grants the officeholder a single, unyielding tenure block and judicial-level protections (Ideas, 2024; Aliran, 2026):</w:t>
      </w:r>
      <w:r w:rsidRPr="005262CB">
        <w:rPr>
          <w:rFonts w:asciiTheme="majorBidi" w:eastAsia="Times New Roman" w:hAnsiTheme="majorBidi" w:cstheme="majorBidi"/>
          <w:color w:val="1F1F1F"/>
          <w:kern w:val="0"/>
          <w:sz w:val="20"/>
          <w:szCs w:val="20"/>
          <w:lang w:eastAsia="en-MY"/>
          <w14:ligatures w14:val="none"/>
        </w:rPr>
        <w:t xml:space="preserve"> </w:t>
      </w:r>
    </w:p>
    <w:p w14:paraId="593354B2"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3427BFC8"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(4) The Public Prosecutor shall hold office for a fixed term of seven years and shall not be eligible for reappointment or renewal of tenure upon expiry of the said term. (5) In the exercise of his powers and functions under this Constitution or any other written law, the Public Prosecutor shall act independently and professionally, free from any executive control or external influence. </w:t>
      </w:r>
    </w:p>
    <w:p w14:paraId="1D46868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7BA39706" w14:textId="2BD6C9C3"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(6) The Public Prosecutor shall be subject to a specific Code of Ethics. Any established breach of the Code of Ethics or misbehaviour shall constitute grounds for removal from office, subject to an inquiry by a tribunal established </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like</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that provided under Article 125 for a Judge of the Federal Court.</w:t>
      </w:r>
      <w:r w:rsidRPr="005262CB">
        <w:rPr>
          <w:rFonts w:asciiTheme="majorBidi" w:eastAsia="Times New Roman" w:hAnsiTheme="majorBidi" w:cstheme="majorBidi"/>
          <w:color w:val="1F1F1F"/>
          <w:kern w:val="0"/>
          <w:sz w:val="20"/>
          <w:szCs w:val="20"/>
          <w:lang w:eastAsia="en-MY"/>
          <w14:ligatures w14:val="none"/>
        </w:rPr>
        <w:t xml:space="preserve"> </w:t>
      </w:r>
    </w:p>
    <w:p w14:paraId="6FE7919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4DE5C3EE" w14:textId="2AF978D8"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Barring automatic renewals prevents the officeholder from modifying prosecutorial priorities to please the executive </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and</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secure a contract extension (Azalina, 2026). This operational firewall is reinforced by independent budgeting separate from executive civil lines (The Star, 2025).</w:t>
      </w:r>
      <w:r w:rsidRPr="005262CB">
        <w:rPr>
          <w:rFonts w:asciiTheme="majorBidi" w:eastAsia="Times New Roman" w:hAnsiTheme="majorBidi" w:cstheme="majorBidi"/>
          <w:color w:val="1F1F1F"/>
          <w:kern w:val="0"/>
          <w:sz w:val="20"/>
          <w:szCs w:val="20"/>
          <w:lang w:eastAsia="en-MY"/>
          <w14:ligatures w14:val="none"/>
        </w:rPr>
        <w:t xml:space="preserve"> </w:t>
      </w:r>
    </w:p>
    <w:p w14:paraId="1303F22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029A59F5" w14:textId="07FA9EF2" w:rsidR="000E098E" w:rsidRPr="005262CB" w:rsidRDefault="000E098E" w:rsidP="000E098E">
      <w:pPr>
        <w:pStyle w:val="ListParagraph"/>
        <w:numPr>
          <w:ilvl w:val="0"/>
          <w:numId w:val="5"/>
        </w:num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Constructing Explicit Accountability and Oversight Mechanisms</w:t>
      </w:r>
    </w:p>
    <w:p w14:paraId="40EEA6D2"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3D1B1E72" w14:textId="4F2B086A"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To prevent the independent Public Prosecutor from operating in a constitutional vacuum or accumulating unchecked power, the PSSC embedded direct oversight links back to the legislature (Hamid, 2023; Malaysian Bar, 2026a):</w:t>
      </w:r>
    </w:p>
    <w:p w14:paraId="7679ACF8" w14:textId="6EC956FD"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 </w:t>
      </w:r>
    </w:p>
    <w:p w14:paraId="34EDA34D" w14:textId="77777777" w:rsidR="000E098E"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(7) The Public Prosecutor shall prepare and submit an annual report on the administration of public prosecutions and criminal proceedings directly to Parliament.</w:t>
      </w:r>
      <w:r w:rsidRPr="005262CB">
        <w:rPr>
          <w:rFonts w:asciiTheme="majorBidi" w:eastAsia="Times New Roman" w:hAnsiTheme="majorBidi" w:cstheme="majorBidi"/>
          <w:color w:val="1F1F1F"/>
          <w:kern w:val="0"/>
          <w:sz w:val="20"/>
          <w:szCs w:val="20"/>
          <w:lang w:eastAsia="en-MY"/>
          <w14:ligatures w14:val="none"/>
        </w:rPr>
        <w:t xml:space="preserve"> </w:t>
      </w:r>
    </w:p>
    <w:p w14:paraId="5782998A" w14:textId="77777777" w:rsidR="00D72B1B" w:rsidRPr="005262CB" w:rsidRDefault="00D72B1B"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1B9E9F76" w14:textId="02218F40"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This statutory mandate provides an arena for bipartisan review, allowing cross-party parliamentary select committees to scrutinise prosecution metrics, guidelines, and resource constraints without compromising individual trial files (Aliran, 2026).</w:t>
      </w:r>
      <w:r w:rsidRPr="005262CB">
        <w:rPr>
          <w:rFonts w:asciiTheme="majorBidi" w:eastAsia="Times New Roman" w:hAnsiTheme="majorBidi" w:cstheme="majorBidi"/>
          <w:color w:val="1F1F1F"/>
          <w:kern w:val="0"/>
          <w:sz w:val="20"/>
          <w:szCs w:val="20"/>
          <w:lang w:eastAsia="en-MY"/>
          <w14:ligatures w14:val="none"/>
        </w:rPr>
        <w:t xml:space="preserve"> </w:t>
      </w:r>
    </w:p>
    <w:p w14:paraId="49F1D87D"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2F582738" w14:textId="13655BAA" w:rsidR="000E098E" w:rsidRPr="005262CB" w:rsidRDefault="000E098E" w:rsidP="000E098E">
      <w:pPr>
        <w:pStyle w:val="ListParagraph"/>
        <w:numPr>
          <w:ilvl w:val="0"/>
          <w:numId w:val="5"/>
        </w:num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Restoring Public Legitimacy and Addressing Procedural Legacies</w:t>
      </w:r>
    </w:p>
    <w:p w14:paraId="6A4FD32D" w14:textId="77777777" w:rsidR="000E098E" w:rsidRPr="005262CB" w:rsidRDefault="000E098E" w:rsidP="000E098E">
      <w:p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p>
    <w:p w14:paraId="63E54F68" w14:textId="121C4780"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The ultimate goal of the reform is to address the process-based legitimacy deficit that previously plagued trial courts during controversial DNAAs (Sokri, 2026). This independent authority is anchored in the core powers provision:</w:t>
      </w:r>
      <w:r w:rsidRPr="005262CB">
        <w:rPr>
          <w:rFonts w:asciiTheme="majorBidi" w:eastAsia="Times New Roman" w:hAnsiTheme="majorBidi" w:cstheme="majorBidi"/>
          <w:color w:val="1F1F1F"/>
          <w:kern w:val="0"/>
          <w:sz w:val="20"/>
          <w:szCs w:val="20"/>
          <w:lang w:eastAsia="en-MY"/>
          <w14:ligatures w14:val="none"/>
        </w:rPr>
        <w:t xml:space="preserve"> </w:t>
      </w:r>
    </w:p>
    <w:p w14:paraId="4649BC4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6F242E3B"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(3) The Public Prosecutor shall have power, exercisable at his discretion, to institute, conduct, or discontinue any proceedings for an offence, other than proceedings before a Syariah court, a native court, or a court-martial.</w:t>
      </w:r>
      <w:r w:rsidRPr="005262CB">
        <w:rPr>
          <w:rFonts w:asciiTheme="majorBidi" w:eastAsia="Times New Roman" w:hAnsiTheme="majorBidi" w:cstheme="majorBidi"/>
          <w:color w:val="1F1F1F"/>
          <w:kern w:val="0"/>
          <w:sz w:val="20"/>
          <w:szCs w:val="20"/>
          <w:lang w:eastAsia="en-MY"/>
          <w14:ligatures w14:val="none"/>
        </w:rPr>
        <w:t xml:space="preserve"> </w:t>
      </w:r>
    </w:p>
    <w:p w14:paraId="4AC25B8B"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5A0E8B63" w14:textId="77777777" w:rsidR="000E098E"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Placing sole discretion over criminal indictments and white-collar enforcement tools—such as Deferred Prosecution Agreements (DPAs)—in an isolated, professional office guarantees that cases are evaluated solely against evidential standards and objective public interest rather than political expediency (Bersih, 2026; Sopah et al., 2026).</w:t>
      </w:r>
      <w:r w:rsidRPr="005262CB">
        <w:rPr>
          <w:rFonts w:asciiTheme="majorBidi" w:eastAsia="Times New Roman" w:hAnsiTheme="majorBidi" w:cstheme="majorBidi"/>
          <w:color w:val="1F1F1F"/>
          <w:kern w:val="0"/>
          <w:sz w:val="20"/>
          <w:szCs w:val="20"/>
          <w:lang w:eastAsia="en-MY"/>
          <w14:ligatures w14:val="none"/>
        </w:rPr>
        <w:t xml:space="preserve"> </w:t>
      </w:r>
    </w:p>
    <w:p w14:paraId="73AB4D6F" w14:textId="77777777" w:rsidR="00D72B1B" w:rsidRDefault="00D72B1B"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100E9379" w14:textId="77777777" w:rsidR="00D72B1B" w:rsidRPr="005262CB" w:rsidRDefault="00D72B1B" w:rsidP="00D72B1B">
      <w:pPr>
        <w:pStyle w:val="ListParagraph"/>
        <w:numPr>
          <w:ilvl w:val="0"/>
          <w:numId w:val="6"/>
        </w:num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COMPARATIVE MODELS: THE UNITED KINGDOM AND INDIAN LEGAL FRAMEWORKS</w:t>
      </w:r>
    </w:p>
    <w:p w14:paraId="1A3C3099" w14:textId="77777777" w:rsidR="00D72B1B" w:rsidRPr="005262CB" w:rsidRDefault="00D72B1B" w:rsidP="00D72B1B">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p>
    <w:p w14:paraId="1221146F" w14:textId="77777777" w:rsidR="00D72B1B" w:rsidRDefault="00D72B1B" w:rsidP="00D72B1B">
      <w:pPr>
        <w:pStyle w:val="ListParagraph"/>
        <w:numPr>
          <w:ilvl w:val="0"/>
          <w:numId w:val="4"/>
        </w:numPr>
        <w:spacing w:after="0" w:line="240" w:lineRule="auto"/>
        <w:ind w:left="720" w:hanging="270"/>
        <w:jc w:val="both"/>
        <w:outlineLvl w:val="2"/>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The United Kingdom: The Bifurcated Executive and the Shawcross Doctrine</w:t>
      </w:r>
    </w:p>
    <w:p w14:paraId="38DDA323" w14:textId="77777777" w:rsidR="00D72B1B" w:rsidRPr="00D72B1B" w:rsidRDefault="00D72B1B" w:rsidP="00D72B1B">
      <w:p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p>
    <w:p w14:paraId="1A19984E"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The United Kingdom addresses the prosecutorial dilemma through a bifurcated executive model that separates political governance from the daily machinery of criminal procedure. While the Attorney General for England and Wales remains a political appointee and a member of the government, the actual initiation and conduct of criminal trials are legally vested in the Director of Public Prosecutions (DPP), who oversees the independent Crown Prosecution Service (CPS) (Abu Bakar, 2015). The Shawcross Doctrine governs this functional firewall. This constitutional convention establishes that, while the Attorney General may consult cabinet colleagues regarding cases with serious national security or public-interest implications, the final prosecutorial determination must remain strictly insulated from political pressure (Stenning, 2009).</w:t>
      </w:r>
      <w:r w:rsidRPr="005262CB">
        <w:rPr>
          <w:rFonts w:asciiTheme="majorBidi" w:eastAsia="Times New Roman" w:hAnsiTheme="majorBidi" w:cstheme="majorBidi"/>
          <w:color w:val="1F1F1F"/>
          <w:kern w:val="0"/>
          <w:sz w:val="20"/>
          <w:szCs w:val="20"/>
          <w:lang w:eastAsia="en-MY"/>
          <w14:ligatures w14:val="none"/>
        </w:rPr>
        <w:t xml:space="preserve"> </w:t>
      </w:r>
    </w:p>
    <w:p w14:paraId="62F4A1BB"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5DED6204"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However, this model is not without its vulnerabilities. When the government hides behind a veneer of prosecutorial independence to influence decisions that involve broader national interests, the doctrine's boundaries are severely strained (Amirthalingam, 2019). The milestone litigation in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R (Corner House Research) v. Serious Fraud Office</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exposed this structural fragility, demonstrating that even within highly evolved common law traditions, executive assertions of national security can directly strain prosecutorial autonomy (Amirthalingam, 2019). </w:t>
      </w:r>
    </w:p>
    <w:p w14:paraId="76D6208C"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0FAB86AF"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For Malaysia, the primary lesson of the British model is that mere functional separation backed by unwritten constitutional conventions is insufficient; a resilient reform requires explicit statutory boundaries rather than relying entirely on political self-restraint.</w:t>
      </w:r>
      <w:r w:rsidRPr="005262CB">
        <w:rPr>
          <w:rFonts w:asciiTheme="majorBidi" w:eastAsia="Times New Roman" w:hAnsiTheme="majorBidi" w:cstheme="majorBidi"/>
          <w:color w:val="1F1F1F"/>
          <w:kern w:val="0"/>
          <w:sz w:val="20"/>
          <w:szCs w:val="20"/>
          <w:lang w:eastAsia="en-MY"/>
          <w14:ligatures w14:val="none"/>
        </w:rPr>
        <w:t xml:space="preserve"> </w:t>
      </w:r>
    </w:p>
    <w:p w14:paraId="425AA9BC"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2B2E7A0C" w14:textId="77777777" w:rsidR="00D72B1B" w:rsidRPr="005262CB" w:rsidRDefault="00D72B1B" w:rsidP="00D72B1B">
      <w:pPr>
        <w:pStyle w:val="ListParagraph"/>
        <w:numPr>
          <w:ilvl w:val="0"/>
          <w:numId w:val="4"/>
        </w:num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The Indian Framework: Structural Separation and Decentralised Prosecution</w:t>
      </w:r>
    </w:p>
    <w:p w14:paraId="310CF5A7" w14:textId="77777777" w:rsidR="00D72B1B" w:rsidRPr="005262CB" w:rsidRDefault="00D72B1B" w:rsidP="00D72B1B">
      <w:pPr>
        <w:spacing w:after="0" w:line="240" w:lineRule="auto"/>
        <w:jc w:val="both"/>
        <w:outlineLvl w:val="2"/>
        <w:rPr>
          <w:rFonts w:asciiTheme="majorBidi" w:eastAsia="Times New Roman" w:hAnsiTheme="majorBidi" w:cstheme="majorBidi"/>
          <w:b/>
          <w:bCs/>
          <w:color w:val="1F1F1F"/>
          <w:kern w:val="0"/>
          <w:sz w:val="20"/>
          <w:szCs w:val="20"/>
          <w:lang w:eastAsia="en-MY"/>
          <w14:ligatures w14:val="none"/>
        </w:rPr>
      </w:pPr>
    </w:p>
    <w:p w14:paraId="5938D298"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In contrast to the United Kingdom's conventional approach, India enforces a strict separation of powers under its Constitution. Under Article 76 of the Constitution of India, the Attorney-General serves strictly as the chief legal advisor to the Union Government, representing the state in civil litigation and having no inherent authority over public criminal prosecutions (Farooqui, 2025). Instead, criminal procedure is structural and decentralised. Under Section 25A of the Code of Criminal Procedure (CrPC)—recently updated via the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Bharatiya Nagarik Suraksha Sanhita</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(BNSS)—the administration of criminal law is explicitly distributed through independent state-level Directorates of Prosecution (Yarragudi, 2024).</w:t>
      </w:r>
      <w:r w:rsidRPr="005262CB">
        <w:rPr>
          <w:rFonts w:asciiTheme="majorBidi" w:eastAsia="Times New Roman" w:hAnsiTheme="majorBidi" w:cstheme="majorBidi"/>
          <w:color w:val="1F1F1F"/>
          <w:kern w:val="0"/>
          <w:sz w:val="20"/>
          <w:szCs w:val="20"/>
          <w:lang w:eastAsia="en-MY"/>
          <w14:ligatures w14:val="none"/>
        </w:rPr>
        <w:t xml:space="preserve"> </w:t>
      </w:r>
    </w:p>
    <w:p w14:paraId="73F403A2"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733C45B3"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This structural firewall ensures that the central executive cannot easily co-opt criminal prosecution as a tool to enhance its political power or suppress individual rights (Amirthalingam, 2019). The Indian Supreme Court has consistently reinforced this independence, ruling that investigators and prosecutors must operate within clear boundaries to ensure due process under Article 21 of the Constitution (Farooqui, 2025). Nonetheless, India's model faces administrative hurdles, as decentralised directorates frequently experience high case pendency, low conviction rates, and systemic coordination bottlenecks with local law enforcement (Yarragudi, 2024). </w:t>
      </w:r>
    </w:p>
    <w:p w14:paraId="6A4ADAF0"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54BE0D37" w14:textId="77777777" w:rsidR="00D72B1B" w:rsidRPr="005262CB" w:rsidRDefault="00D72B1B" w:rsidP="00D72B1B">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The Indian experience teaches Malaysia that while structural separation successfully neutralises central executive overreach, the newly created prosecutorial institutions must be properly funded, operationally streamlined, and legally empowered to prevent administrative paralysis.</w:t>
      </w:r>
      <w:r w:rsidRPr="005262CB">
        <w:rPr>
          <w:rFonts w:asciiTheme="majorBidi" w:eastAsia="Times New Roman" w:hAnsiTheme="majorBidi" w:cstheme="majorBidi"/>
          <w:color w:val="1F1F1F"/>
          <w:kern w:val="0"/>
          <w:sz w:val="20"/>
          <w:szCs w:val="20"/>
          <w:lang w:eastAsia="en-MY"/>
          <w14:ligatures w14:val="none"/>
        </w:rPr>
        <w:t xml:space="preserve"> </w:t>
      </w:r>
    </w:p>
    <w:p w14:paraId="16608658" w14:textId="77777777" w:rsidR="00D72B1B" w:rsidRPr="005262CB" w:rsidRDefault="00D72B1B"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25BB5085" w14:textId="77777777" w:rsidR="000E098E" w:rsidRPr="005262CB" w:rsidRDefault="000E098E" w:rsidP="000E098E">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p>
    <w:p w14:paraId="7B063BD7" w14:textId="263D51D9" w:rsidR="000E098E" w:rsidRPr="005262CB" w:rsidRDefault="000E098E" w:rsidP="000E098E">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5. CONCLUSION</w:t>
      </w:r>
    </w:p>
    <w:p w14:paraId="6B6903BF"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3FC5F931" w14:textId="1A0DE3A1"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The historical consolidation of political</w:t>
      </w:r>
      <w:r w:rsidR="00D72B1B">
        <w:rPr>
          <w:rFonts w:asciiTheme="majorBidi" w:eastAsia="Times New Roman" w:hAnsiTheme="majorBidi" w:cstheme="majorBidi"/>
          <w:color w:val="1F1F1F"/>
          <w:kern w:val="0"/>
          <w:sz w:val="20"/>
          <w:szCs w:val="20"/>
          <w:bdr w:val="none" w:sz="0" w:space="0" w:color="auto" w:frame="1"/>
          <w:lang w:eastAsia="en-MY"/>
          <w14:ligatures w14:val="none"/>
        </w:rPr>
        <w:t>,</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legal counsel and public criminal prosecution within the single office of the Malaysian Attorney-General has long represented a profound structural vulnerability. As analysed throughout this paper, the dual responsibilities mandated under Article 145(3) of the Federal Constitution generated an unavoidable legitimacy deficit grounded in process (Sokri, 2026). </w:t>
      </w:r>
    </w:p>
    <w:p w14:paraId="7417C6F6"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p>
    <w:p w14:paraId="39329001" w14:textId="28F5ADC2"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When the same individual had to act as both an executive advisor and an impartial minister of justice, the "two hats on one head" architecture inevitably fueled public suspicion of selective prosecution or executive interference during high-profile corruption trials (Sinar Daily, 2026; The Star, 2026a).</w:t>
      </w:r>
      <w:r w:rsidRPr="005262CB">
        <w:rPr>
          <w:rFonts w:asciiTheme="majorBidi" w:eastAsia="Times New Roman" w:hAnsiTheme="majorBidi" w:cstheme="majorBidi"/>
          <w:color w:val="1F1F1F"/>
          <w:kern w:val="0"/>
          <w:sz w:val="20"/>
          <w:szCs w:val="20"/>
          <w:lang w:eastAsia="en-MY"/>
          <w14:ligatures w14:val="none"/>
        </w:rPr>
        <w:t xml:space="preserve"> </w:t>
      </w:r>
    </w:p>
    <w:p w14:paraId="585C02DD"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7F9EF410"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bdr w:val="none" w:sz="0" w:space="0" w:color="auto" w:frame="1"/>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The final report tabled by the PSSC on June 22, 2026, marks a historic constitutional inflexion point for Malaysia, signalling a definitive shift toward resilient structural decoupling (Azalina, 2026). Cross-jurisdictional lessons from the United Kingdom and India demonstrate that a perfunctory split is insufficient. At the same time, the British model highlights that unwritten conventions like the Shawcross Doctrine can buckle under intense political pressure (Amirthalingam, 2019), </w:t>
      </w:r>
    </w:p>
    <w:p w14:paraId="63CB5B97" w14:textId="1006176E"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bdr w:val="none" w:sz="0" w:space="0" w:color="auto" w:frame="1"/>
          <w:lang w:eastAsia="en-MY"/>
          <w14:ligatures w14:val="none"/>
        </w:rPr>
        <w:t>India's decentralised approach emphasises that structural separation requires significant institutional and financial support to avoid administrative paralysis (Yarragudi, 2024). Ultimately, Malaysia's legal transformation will not succeed through mere title reallocation; it demands continuous cultivation of the newly established statutory infrastructure to maintain absolute transparency, institutional accountability, and unyielding independence (Malaysian Bar, 2026b).</w:t>
      </w:r>
      <w:r w:rsidRPr="005262CB">
        <w:rPr>
          <w:rFonts w:asciiTheme="majorBidi" w:eastAsia="Times New Roman" w:hAnsiTheme="majorBidi" w:cstheme="majorBidi"/>
          <w:color w:val="1F1F1F"/>
          <w:kern w:val="0"/>
          <w:sz w:val="20"/>
          <w:szCs w:val="20"/>
          <w:lang w:eastAsia="en-MY"/>
          <w14:ligatures w14:val="none"/>
        </w:rPr>
        <w:t xml:space="preserve"> </w:t>
      </w:r>
    </w:p>
    <w:p w14:paraId="736AB3F3" w14:textId="77777777" w:rsidR="000E098E" w:rsidRPr="005262CB" w:rsidRDefault="000E098E" w:rsidP="000E098E">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p>
    <w:p w14:paraId="0B8598E9" w14:textId="56BC9561" w:rsidR="000E098E" w:rsidRPr="005262CB" w:rsidRDefault="000E098E" w:rsidP="000E098E">
      <w:pPr>
        <w:pStyle w:val="ListParagraph"/>
        <w:numPr>
          <w:ilvl w:val="0"/>
          <w:numId w:val="6"/>
        </w:num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SUBSEQUENT POLICY RECOMMENDATIONS</w:t>
      </w:r>
    </w:p>
    <w:p w14:paraId="71DCFC5B" w14:textId="77777777" w:rsidR="000E098E" w:rsidRPr="005262CB" w:rsidRDefault="000E098E" w:rsidP="000E098E">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p>
    <w:p w14:paraId="1F47C916" w14:textId="285AE02E"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Now that the overarching constitutional amendments are structurally integrated, the state's enforcement priorities must shift from advocating for a split toward operationalising and safeguarding the newly codified machinery:</w:t>
      </w:r>
    </w:p>
    <w:p w14:paraId="62170E94"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1FFA0B70" w14:textId="22B22ADE" w:rsidR="000E098E" w:rsidRPr="005262CB" w:rsidRDefault="000E098E" w:rsidP="003F4CA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lang w:eastAsia="en-MY"/>
          <w14:ligatures w14:val="none"/>
        </w:rPr>
        <w:t>Enact a Comprehensive Office of the Public Prosecutor Act (OPPA):</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Parliament must immediately move to pass the accompanying OPPA (Malaysian Bar, 2026b).</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This enabling statutory legislation is required to build the physical infrastructure, govern the systematic transfer of pending criminal files </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from the Attorney General's Chambers, and protect the institutional seniority of civil service prosecutors transferring to</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the newly independent prosecution department.</w:t>
      </w:r>
      <w:r w:rsidRPr="005262CB">
        <w:rPr>
          <w:rFonts w:asciiTheme="majorBidi" w:eastAsia="Times New Roman" w:hAnsiTheme="majorBidi" w:cstheme="majorBidi"/>
          <w:color w:val="1F1F1F"/>
          <w:kern w:val="0"/>
          <w:sz w:val="20"/>
          <w:szCs w:val="20"/>
          <w:lang w:eastAsia="en-MY"/>
          <w14:ligatures w14:val="none"/>
        </w:rPr>
        <w:t xml:space="preserve"> </w:t>
      </w:r>
    </w:p>
    <w:p w14:paraId="128BC4DC" w14:textId="77777777" w:rsidR="000E098E" w:rsidRPr="005262CB" w:rsidRDefault="000E098E" w:rsidP="000E098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15E87B9D" w14:textId="6C7C3825" w:rsidR="000E098E" w:rsidRPr="005262CB" w:rsidRDefault="000E098E" w:rsidP="003F4CA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lang w:eastAsia="en-MY"/>
          <w14:ligatures w14:val="none"/>
        </w:rPr>
        <w:t>Standardise Transparent Vetting Protocols Within the SPKP</w:t>
      </w:r>
      <w:r w:rsidRPr="005262CB">
        <w:rPr>
          <w:rFonts w:asciiTheme="majorBidi" w:eastAsia="Times New Roman" w:hAnsiTheme="majorBidi" w:cstheme="majorBidi"/>
          <w:b/>
          <w:bCs/>
          <w:color w:val="1F1F1F"/>
          <w:kern w:val="0"/>
          <w:sz w:val="20"/>
          <w:szCs w:val="20"/>
          <w:bdr w:val="none" w:sz="0" w:space="0" w:color="auto" w:frame="1"/>
          <w:lang w:eastAsia="en-MY"/>
          <w14:ligatures w14:val="none"/>
        </w:rPr>
        <w:t>:</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Because the Prime Minister and Cabinet have been completely stripped of appointment powers under Article 145A(1), the risk of bias shifts internally to the nominating body (Dusuki, 2026).</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color w:val="1F1F1F"/>
          <w:kern w:val="0"/>
          <w:sz w:val="20"/>
          <w:szCs w:val="20"/>
          <w:bdr w:val="none" w:sz="0" w:space="0" w:color="auto" w:frame="1"/>
          <w:lang w:eastAsia="en-MY"/>
          <w14:ligatures w14:val="none"/>
        </w:rPr>
        <w:t>The SPKP must publish clear evaluation criteria for potential nominees</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and require</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a transparent ranking system based on litigation experience, professional integrity, and lack of political alignment to prevent backroom favouritism (Azalina, 2026; 2KBW, 2025).</w:t>
      </w:r>
      <w:r w:rsidRPr="005262CB">
        <w:rPr>
          <w:rFonts w:asciiTheme="majorBidi" w:eastAsia="Times New Roman" w:hAnsiTheme="majorBidi" w:cstheme="majorBidi"/>
          <w:color w:val="1F1F1F"/>
          <w:kern w:val="0"/>
          <w:sz w:val="20"/>
          <w:szCs w:val="20"/>
          <w:lang w:eastAsia="en-MY"/>
          <w14:ligatures w14:val="none"/>
        </w:rPr>
        <w:t xml:space="preserve"> </w:t>
      </w:r>
    </w:p>
    <w:p w14:paraId="7E64C2CF" w14:textId="77777777" w:rsidR="003F4CAE" w:rsidRPr="005262CB" w:rsidRDefault="003F4CAE" w:rsidP="003F4CA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553231A2" w14:textId="2BE965D7" w:rsidR="000E098E" w:rsidRPr="005262CB" w:rsidRDefault="000E098E" w:rsidP="003F4CA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lang w:eastAsia="en-MY"/>
          <w14:ligatures w14:val="none"/>
        </w:rPr>
        <w:t>Formulate Parliamentary Standing Orders for Nominee Vetting and Report Debates</w:t>
      </w:r>
      <w:r w:rsidRPr="005262CB">
        <w:rPr>
          <w:rFonts w:asciiTheme="majorBidi" w:eastAsia="Times New Roman" w:hAnsiTheme="majorBidi" w:cstheme="majorBidi"/>
          <w:b/>
          <w:bCs/>
          <w:color w:val="1F1F1F"/>
          <w:kern w:val="0"/>
          <w:sz w:val="20"/>
          <w:szCs w:val="20"/>
          <w:bdr w:val="none" w:sz="0" w:space="0" w:color="auto" w:frame="1"/>
          <w:lang w:eastAsia="en-MY"/>
          <w14:ligatures w14:val="none"/>
        </w:rPr>
        <w:t>:</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To prevent the parliamentary disclosure requirement under Article 145A</w:t>
      </w:r>
      <w:r w:rsidR="00146C50"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w:t>
      </w:r>
      <w:r w:rsidRPr="005262CB">
        <w:rPr>
          <w:rFonts w:asciiTheme="majorBidi" w:eastAsia="Times New Roman" w:hAnsiTheme="majorBidi" w:cstheme="majorBidi"/>
          <w:color w:val="1F1F1F"/>
          <w:kern w:val="0"/>
          <w:sz w:val="20"/>
          <w:szCs w:val="20"/>
          <w:bdr w:val="none" w:sz="0" w:space="0" w:color="auto" w:frame="1"/>
          <w:lang w:eastAsia="en-MY"/>
          <w14:ligatures w14:val="none"/>
        </w:rPr>
        <w:t>(2) from becoming political theatre, the Dewan Rakyat must update its Standing Orders (Bersih, 2026).</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color w:val="1F1F1F"/>
          <w:kern w:val="0"/>
          <w:sz w:val="20"/>
          <w:szCs w:val="20"/>
          <w:bdr w:val="none" w:sz="0" w:space="0" w:color="auto" w:frame="1"/>
          <w:lang w:eastAsia="en-MY"/>
          <w14:ligatures w14:val="none"/>
        </w:rPr>
        <w:t>Clear rules must be set for how the cross-party select committee will review the SPKP's nominees, protect candidate privacy, and schedule debates on the mandated annual prosecution reports without infringing upon active court proceedings (Azalina, 2026).</w:t>
      </w:r>
      <w:r w:rsidRPr="005262CB">
        <w:rPr>
          <w:rFonts w:asciiTheme="majorBidi" w:eastAsia="Times New Roman" w:hAnsiTheme="majorBidi" w:cstheme="majorBidi"/>
          <w:color w:val="1F1F1F"/>
          <w:kern w:val="0"/>
          <w:sz w:val="20"/>
          <w:szCs w:val="20"/>
          <w:lang w:eastAsia="en-MY"/>
          <w14:ligatures w14:val="none"/>
        </w:rPr>
        <w:t xml:space="preserve"> </w:t>
      </w:r>
    </w:p>
    <w:p w14:paraId="090766D6" w14:textId="77777777" w:rsidR="003F4CAE" w:rsidRPr="005262CB" w:rsidRDefault="003F4CAE" w:rsidP="003F4CAE">
      <w:pPr>
        <w:spacing w:after="0" w:line="240" w:lineRule="auto"/>
        <w:jc w:val="both"/>
        <w:rPr>
          <w:rFonts w:asciiTheme="majorBidi" w:eastAsia="Times New Roman" w:hAnsiTheme="majorBidi" w:cstheme="majorBidi"/>
          <w:color w:val="1F1F1F"/>
          <w:kern w:val="0"/>
          <w:sz w:val="20"/>
          <w:szCs w:val="20"/>
          <w:lang w:eastAsia="en-MY"/>
          <w14:ligatures w14:val="none"/>
        </w:rPr>
      </w:pPr>
    </w:p>
    <w:p w14:paraId="4B2E34CD" w14:textId="77777777" w:rsidR="000E098E" w:rsidRPr="005262CB" w:rsidRDefault="000E098E" w:rsidP="003F4CAE">
      <w:p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i/>
          <w:iCs/>
          <w:color w:val="1F1F1F"/>
          <w:kern w:val="0"/>
          <w:sz w:val="20"/>
          <w:szCs w:val="20"/>
          <w:bdr w:val="none" w:sz="0" w:space="0" w:color="auto" w:frame="1"/>
          <w:lang w:eastAsia="en-MY"/>
          <w14:ligatures w14:val="none"/>
        </w:rPr>
        <w:t>Insulate Pre-Trial Corporate Enforcement and DPA Guidelines</w:t>
      </w:r>
      <w:r w:rsidRPr="005262CB">
        <w:rPr>
          <w:rFonts w:asciiTheme="majorBidi" w:eastAsia="Times New Roman" w:hAnsiTheme="majorBidi" w:cstheme="majorBidi"/>
          <w:b/>
          <w:bCs/>
          <w:color w:val="1F1F1F"/>
          <w:kern w:val="0"/>
          <w:sz w:val="20"/>
          <w:szCs w:val="20"/>
          <w:bdr w:val="none" w:sz="0" w:space="0" w:color="auto" w:frame="1"/>
          <w:lang w:eastAsia="en-MY"/>
          <w14:ligatures w14:val="none"/>
        </w:rPr>
        <w:t>:</w:t>
      </w:r>
      <w:r w:rsidRPr="005262CB">
        <w:rPr>
          <w:rFonts w:asciiTheme="majorBidi" w:eastAsia="Times New Roman" w:hAnsiTheme="majorBidi" w:cstheme="majorBidi"/>
          <w:color w:val="1F1F1F"/>
          <w:kern w:val="0"/>
          <w:sz w:val="20"/>
          <w:szCs w:val="20"/>
          <w:bdr w:val="none" w:sz="0" w:space="0" w:color="auto" w:frame="1"/>
          <w:lang w:eastAsia="en-MY"/>
          <w14:ligatures w14:val="none"/>
        </w:rPr>
        <w:t xml:space="preserve"> As Malaysia incorporates sophisticated anti-corruption mechanisms under Section 145A(3), the independent Public Prosecutor should publish an explicit Code of Practice for Deferred Prosecution Agreements (Sopah et al., 2026). These guidelines must mandate full disclosure of corporate penalties and require final judicial confirmation to ensure white-collar enforcement tools are used transparently and are never co-opted as mechanisms for political leniency (Bersih, 2026).</w:t>
      </w:r>
      <w:r w:rsidRPr="005262CB">
        <w:rPr>
          <w:rFonts w:asciiTheme="majorBidi" w:eastAsia="Times New Roman" w:hAnsiTheme="majorBidi" w:cstheme="majorBidi"/>
          <w:color w:val="1F1F1F"/>
          <w:kern w:val="0"/>
          <w:sz w:val="20"/>
          <w:szCs w:val="20"/>
          <w:lang w:eastAsia="en-MY"/>
          <w14:ligatures w14:val="none"/>
        </w:rPr>
        <w:t xml:space="preserve"> </w:t>
      </w:r>
    </w:p>
    <w:p w14:paraId="0F695AB8" w14:textId="77777777" w:rsidR="005262CB" w:rsidRDefault="005262CB" w:rsidP="000E098E">
      <w:pPr>
        <w:jc w:val="both"/>
        <w:rPr>
          <w:rFonts w:asciiTheme="majorBidi" w:hAnsiTheme="majorBidi" w:cstheme="majorBidi"/>
          <w:b/>
          <w:bCs/>
          <w:sz w:val="20"/>
          <w:szCs w:val="20"/>
        </w:rPr>
      </w:pPr>
    </w:p>
    <w:p w14:paraId="37A139DE" w14:textId="4DBE0F9A" w:rsidR="000E098E" w:rsidRPr="005262CB" w:rsidRDefault="000E098E" w:rsidP="000E098E">
      <w:pPr>
        <w:jc w:val="both"/>
        <w:rPr>
          <w:rFonts w:asciiTheme="majorBidi" w:hAnsiTheme="majorBidi" w:cstheme="majorBidi"/>
          <w:b/>
          <w:bCs/>
          <w:sz w:val="20"/>
          <w:szCs w:val="20"/>
        </w:rPr>
      </w:pPr>
      <w:r w:rsidRPr="005262CB">
        <w:rPr>
          <w:rFonts w:asciiTheme="majorBidi" w:hAnsiTheme="majorBidi" w:cstheme="majorBidi"/>
          <w:b/>
          <w:bCs/>
          <w:sz w:val="20"/>
          <w:szCs w:val="20"/>
        </w:rPr>
        <w:t>ACKNOWLEDGEMENT</w:t>
      </w:r>
    </w:p>
    <w:p w14:paraId="05541742" w14:textId="77777777" w:rsidR="000E098E" w:rsidRPr="005262CB" w:rsidRDefault="000E098E" w:rsidP="000E098E">
      <w:pPr>
        <w:jc w:val="both"/>
        <w:rPr>
          <w:rFonts w:asciiTheme="majorBidi" w:hAnsiTheme="majorBidi" w:cstheme="majorBidi"/>
          <w:sz w:val="20"/>
          <w:szCs w:val="20"/>
        </w:rPr>
      </w:pPr>
      <w:r w:rsidRPr="005262CB">
        <w:rPr>
          <w:rFonts w:asciiTheme="majorBidi" w:hAnsiTheme="majorBidi" w:cstheme="majorBidi"/>
          <w:sz w:val="20"/>
          <w:szCs w:val="20"/>
        </w:rPr>
        <w:t>The authors thank the Faculty of Law, Universiti Teknologi MARA (UiTM) Shah Alam, for sponsoring this article.</w:t>
      </w:r>
    </w:p>
    <w:p w14:paraId="1442A2F3" w14:textId="77777777" w:rsidR="00D72B1B" w:rsidRDefault="00D72B1B" w:rsidP="000E098E">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p>
    <w:p w14:paraId="46AC79FC" w14:textId="00172DBF" w:rsidR="000E098E" w:rsidRPr="005262CB" w:rsidRDefault="000E098E" w:rsidP="000E098E">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r w:rsidRPr="005262CB">
        <w:rPr>
          <w:rFonts w:asciiTheme="majorBidi" w:eastAsia="Times New Roman" w:hAnsiTheme="majorBidi" w:cstheme="majorBidi"/>
          <w:b/>
          <w:bCs/>
          <w:color w:val="1F1F1F"/>
          <w:kern w:val="0"/>
          <w:sz w:val="20"/>
          <w:szCs w:val="20"/>
          <w:lang w:eastAsia="en-MY"/>
          <w14:ligatures w14:val="none"/>
        </w:rPr>
        <w:t>REFERENCES</w:t>
      </w:r>
    </w:p>
    <w:p w14:paraId="74FD8415" w14:textId="77777777" w:rsidR="000E098E" w:rsidRPr="005262CB" w:rsidRDefault="000E098E" w:rsidP="000E098E">
      <w:pPr>
        <w:spacing w:after="0" w:line="240" w:lineRule="auto"/>
        <w:jc w:val="both"/>
        <w:outlineLvl w:val="1"/>
        <w:rPr>
          <w:rFonts w:asciiTheme="majorBidi" w:eastAsia="Times New Roman" w:hAnsiTheme="majorBidi" w:cstheme="majorBidi"/>
          <w:b/>
          <w:bCs/>
          <w:color w:val="1F1F1F"/>
          <w:kern w:val="0"/>
          <w:sz w:val="20"/>
          <w:szCs w:val="20"/>
          <w:lang w:eastAsia="en-MY"/>
          <w14:ligatures w14:val="none"/>
        </w:rPr>
      </w:pPr>
    </w:p>
    <w:p w14:paraId="61D08665"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2KBW. (2025). Redefining integrity: Building trust through the separation of Attorney General's and Public Prosecutor's roles in Malaysia.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Current Law Journal Supplementary Series</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2025</w:t>
      </w:r>
      <w:r w:rsidRPr="005262CB">
        <w:rPr>
          <w:rFonts w:asciiTheme="majorBidi" w:eastAsia="Times New Roman" w:hAnsiTheme="majorBidi" w:cstheme="majorBidi"/>
          <w:color w:val="1F1F1F"/>
          <w:kern w:val="0"/>
          <w:sz w:val="20"/>
          <w:szCs w:val="20"/>
          <w:lang w:eastAsia="en-MY"/>
          <w14:ligatures w14:val="none"/>
        </w:rPr>
        <w:t xml:space="preserve">(1), xiii–xxxv. </w:t>
      </w:r>
      <w:hyperlink r:id="rId7"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https://2kbw.com/wp-content/uploads/2025/02/2025-CLJUA-xiii_Steven.pdf</w:t>
        </w:r>
      </w:hyperlink>
    </w:p>
    <w:p w14:paraId="17C0C655"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Abu Bakar, B. (2015). The Attorney General as Public Prosecutor in Malaysia: From quasi-judicial to 'executive'.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IIUM Law Journal</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23</w:t>
      </w:r>
      <w:r w:rsidRPr="005262CB">
        <w:rPr>
          <w:rFonts w:asciiTheme="majorBidi" w:eastAsia="Times New Roman" w:hAnsiTheme="majorBidi" w:cstheme="majorBidi"/>
          <w:color w:val="1F1F1F"/>
          <w:kern w:val="0"/>
          <w:sz w:val="20"/>
          <w:szCs w:val="20"/>
          <w:lang w:eastAsia="en-MY"/>
          <w14:ligatures w14:val="none"/>
        </w:rPr>
        <w:t xml:space="preserve">(2), 185–216. </w:t>
      </w:r>
      <w:hyperlink r:id="rId8"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https://doi.org/10.31436/iiumlj.v23i2.188</w:t>
        </w:r>
      </w:hyperlink>
    </w:p>
    <w:p w14:paraId="59856519" w14:textId="2CDACC5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Aliran. (May 22, 2026). Separating the attorney general and public prosecutor roles is not enough: Here is what real reform looks like.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Aliran Thinking Allowed Online</w:t>
      </w:r>
      <w:r w:rsidRPr="005262CB">
        <w:rPr>
          <w:rFonts w:asciiTheme="majorBidi" w:eastAsia="Times New Roman" w:hAnsiTheme="majorBidi" w:cstheme="majorBidi"/>
          <w:color w:val="1F1F1F"/>
          <w:kern w:val="0"/>
          <w:sz w:val="20"/>
          <w:szCs w:val="20"/>
          <w:lang w:eastAsia="en-MY"/>
          <w14:ligatures w14:val="none"/>
        </w:rPr>
        <w:t xml:space="preserve">. </w:t>
      </w:r>
      <w:hyperlink r:id="rId9"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https://m.aliran.com/thinking-allowed-online/separating-attorney-general-and-public-prosecutor-roles-is-not-enough-heres-what-real-reform-looks-like</w:t>
        </w:r>
      </w:hyperlink>
    </w:p>
    <w:p w14:paraId="6D844F17"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Amirthalingam, K. (2019). Prosecutorial discretion is a shield, not a sword.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SSRN Electronic Journal</w:t>
      </w:r>
      <w:r w:rsidRPr="005262CB">
        <w:rPr>
          <w:rFonts w:asciiTheme="majorBidi" w:eastAsia="Times New Roman" w:hAnsiTheme="majorBidi" w:cstheme="majorBidi"/>
          <w:color w:val="1F1F1F"/>
          <w:kern w:val="0"/>
          <w:sz w:val="20"/>
          <w:szCs w:val="20"/>
          <w:lang w:eastAsia="en-MY"/>
          <w14:ligatures w14:val="none"/>
        </w:rPr>
        <w:t xml:space="preserve">, 1–32. </w:t>
      </w:r>
      <w:hyperlink r:id="rId10"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https://doi.org/10.2139/ssrn.3494877</w:t>
        </w:r>
      </w:hyperlink>
    </w:p>
    <w:p w14:paraId="07DB0B7D" w14:textId="27095A52"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Azalina, O. S. (June 22, 2026).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Azalina sets out seven reforms to separate powers and tighten Public Prosecutor accountability</w:t>
      </w:r>
      <w:r w:rsidRPr="005262CB">
        <w:rPr>
          <w:rFonts w:asciiTheme="majorBidi" w:eastAsia="Times New Roman" w:hAnsiTheme="majorBidi" w:cstheme="majorBidi"/>
          <w:color w:val="1F1F1F"/>
          <w:kern w:val="0"/>
          <w:sz w:val="20"/>
          <w:szCs w:val="20"/>
          <w:lang w:eastAsia="en-MY"/>
          <w14:ligatures w14:val="none"/>
        </w:rPr>
        <w:t xml:space="preserve">. Yahoo Malaysia News. </w:t>
      </w:r>
      <w:hyperlink r:id="rId11"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https://malaysia.news.yahoo.com/azalina-sets-seven-reforms-separate-062200525.html</w:t>
        </w:r>
      </w:hyperlink>
    </w:p>
    <w:p w14:paraId="79545DB3" w14:textId="5B027285"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Bersih. (March 2, 2026).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 xml:space="preserve">A Parliamentary Select Committee must review all aspects of the Constitution Amendment Bill, </w:t>
      </w:r>
      <w:r w:rsidR="00146C50" w:rsidRPr="005262CB">
        <w:rPr>
          <w:rFonts w:asciiTheme="majorBidi" w:eastAsia="Times New Roman" w:hAnsiTheme="majorBidi" w:cstheme="majorBidi"/>
          <w:i/>
          <w:iCs/>
          <w:color w:val="1F1F1F"/>
          <w:kern w:val="0"/>
          <w:sz w:val="20"/>
          <w:szCs w:val="20"/>
          <w:bdr w:val="none" w:sz="0" w:space="0" w:color="auto" w:frame="1"/>
          <w:lang w:eastAsia="en-MY"/>
          <w14:ligatures w14:val="none"/>
        </w:rPr>
        <w:t>including the separation of the roles</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 xml:space="preserve"> of the Attorney General and the Public Prosecutor</w:t>
      </w:r>
      <w:r w:rsidRPr="005262CB">
        <w:rPr>
          <w:rFonts w:asciiTheme="majorBidi" w:eastAsia="Times New Roman" w:hAnsiTheme="majorBidi" w:cstheme="majorBidi"/>
          <w:color w:val="1F1F1F"/>
          <w:kern w:val="0"/>
          <w:sz w:val="20"/>
          <w:szCs w:val="20"/>
          <w:lang w:eastAsia="en-MY"/>
          <w14:ligatures w14:val="none"/>
        </w:rPr>
        <w:t xml:space="preserve">. BERSIH. </w:t>
      </w:r>
      <w:hyperlink r:id="rId12"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https://bersih.org/2026/03/02/a-parliamentary-select-committee-must-review-all-aspects-of-the-constitution-amendment-bill-separating-the-role-of-attorney-general-and-public-prosecutor/</w:t>
        </w:r>
      </w:hyperlink>
    </w:p>
    <w:p w14:paraId="349B8B12" w14:textId="25EBECC1"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Dusuki, M. M. (February 23, 2026).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 xml:space="preserve">Constitutional amendments: PM to have no role in </w:t>
      </w:r>
      <w:r w:rsidR="00146C50" w:rsidRPr="005262CB">
        <w:rPr>
          <w:rFonts w:asciiTheme="majorBidi" w:eastAsia="Times New Roman" w:hAnsiTheme="majorBidi" w:cstheme="majorBidi"/>
          <w:i/>
          <w:iCs/>
          <w:color w:val="1F1F1F"/>
          <w:kern w:val="0"/>
          <w:sz w:val="20"/>
          <w:szCs w:val="20"/>
          <w:bdr w:val="none" w:sz="0" w:space="0" w:color="auto" w:frame="1"/>
          <w:lang w:eastAsia="en-MY"/>
          <w14:ligatures w14:val="none"/>
        </w:rPr>
        <w:t xml:space="preserve">the appointment of the Public Prosecutor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 AG</w:t>
      </w:r>
      <w:r w:rsidRPr="005262CB">
        <w:rPr>
          <w:rFonts w:asciiTheme="majorBidi" w:eastAsia="Times New Roman" w:hAnsiTheme="majorBidi" w:cstheme="majorBidi"/>
          <w:color w:val="1F1F1F"/>
          <w:kern w:val="0"/>
          <w:sz w:val="20"/>
          <w:szCs w:val="20"/>
          <w:lang w:eastAsia="en-MY"/>
          <w14:ligatures w14:val="none"/>
        </w:rPr>
        <w:t xml:space="preserve">. Bernama. </w:t>
      </w:r>
      <w:hyperlink r:id="rId13"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https://www.bernama.com/en/general/news.php?id=2526661</w:t>
        </w:r>
      </w:hyperlink>
    </w:p>
    <w:p w14:paraId="4E3312DF" w14:textId="7AE485AE"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Eu SEE. (March 3, 2026). </w:t>
      </w:r>
      <w:r w:rsidR="00146C50" w:rsidRPr="005262CB">
        <w:rPr>
          <w:rFonts w:asciiTheme="majorBidi" w:eastAsia="Times New Roman" w:hAnsiTheme="majorBidi" w:cstheme="majorBidi"/>
          <w:i/>
          <w:iCs/>
          <w:color w:val="1F1F1F"/>
          <w:kern w:val="0"/>
          <w:sz w:val="20"/>
          <w:szCs w:val="20"/>
          <w:bdr w:val="none" w:sz="0" w:space="0" w:color="auto" w:frame="1"/>
          <w:lang w:eastAsia="en-MY"/>
          <w14:ligatures w14:val="none"/>
        </w:rPr>
        <w:t>The government</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 xml:space="preserve"> urged </w:t>
      </w:r>
      <w:r w:rsidR="00146C50" w:rsidRPr="005262CB">
        <w:rPr>
          <w:rFonts w:asciiTheme="majorBidi" w:eastAsia="Times New Roman" w:hAnsiTheme="majorBidi" w:cstheme="majorBidi"/>
          <w:i/>
          <w:iCs/>
          <w:color w:val="1F1F1F"/>
          <w:kern w:val="0"/>
          <w:sz w:val="20"/>
          <w:szCs w:val="20"/>
          <w:bdr w:val="none" w:sz="0" w:space="0" w:color="auto" w:frame="1"/>
          <w:lang w:eastAsia="en-MY"/>
          <w14:ligatures w14:val="none"/>
        </w:rPr>
        <w:t xml:space="preserve">that constitutional amendments on the separation of the Attorney General and the Public Prosecutor be referred to a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Parliamentary Special Select Committee</w:t>
      </w:r>
      <w:r w:rsidRPr="005262CB">
        <w:rPr>
          <w:rFonts w:asciiTheme="majorBidi" w:eastAsia="Times New Roman" w:hAnsiTheme="majorBidi" w:cstheme="majorBidi"/>
          <w:color w:val="1F1F1F"/>
          <w:kern w:val="0"/>
          <w:sz w:val="20"/>
          <w:szCs w:val="20"/>
          <w:lang w:eastAsia="en-MY"/>
          <w14:ligatures w14:val="none"/>
        </w:rPr>
        <w:t xml:space="preserve">. Hivos Eu SEE Alert. </w:t>
      </w:r>
      <w:hyperlink r:id="rId14"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https://eusee.hivos.org/alert/government-urged-to-refer-constitutional-amendments-on-attorney-general-public-prosecutor-separation-to-parliamentary-special-select-committee/</w:t>
        </w:r>
      </w:hyperlink>
    </w:p>
    <w:p w14:paraId="1867CCFB" w14:textId="6CE5A01C"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Farooqui, M. O. (2025). Examining the possibility of transition from the accusatorial to the inquisitorial model of trial in the present criminal justice system.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Prawo i Więź</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54</w:t>
      </w:r>
      <w:r w:rsidRPr="005262CB">
        <w:rPr>
          <w:rFonts w:asciiTheme="majorBidi" w:eastAsia="Times New Roman" w:hAnsiTheme="majorBidi" w:cstheme="majorBidi"/>
          <w:color w:val="1F1F1F"/>
          <w:kern w:val="0"/>
          <w:sz w:val="20"/>
          <w:szCs w:val="20"/>
          <w:lang w:eastAsia="en-MY"/>
          <w14:ligatures w14:val="none"/>
        </w:rPr>
        <w:t xml:space="preserve">(1), 153–174. </w:t>
      </w:r>
      <w:hyperlink r:id="rId15"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https://prawoiwiez.edu.pl/index.php/piw/article/view/865</w:t>
        </w:r>
      </w:hyperlink>
    </w:p>
    <w:p w14:paraId="612F7619"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Foo, R. (2019). Separation of powers in "new Malaysia": Hope and expectations.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Journal of Malaysian and Comparative Law</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46</w:t>
      </w:r>
      <w:r w:rsidRPr="005262CB">
        <w:rPr>
          <w:rFonts w:asciiTheme="majorBidi" w:eastAsia="Times New Roman" w:hAnsiTheme="majorBidi" w:cstheme="majorBidi"/>
          <w:color w:val="1F1F1F"/>
          <w:kern w:val="0"/>
          <w:sz w:val="20"/>
          <w:szCs w:val="20"/>
          <w:lang w:eastAsia="en-MY"/>
          <w14:ligatures w14:val="none"/>
        </w:rPr>
        <w:t xml:space="preserve">(2), 529–567. </w:t>
      </w:r>
      <w:hyperlink r:id="rId16"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https://research.monash.edu/en/publications/separation-of-powers-in-new-malaysia-hope-and-expectations/</w:t>
        </w:r>
      </w:hyperlink>
    </w:p>
    <w:p w14:paraId="74D290C5"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Gutmann, J., &amp; Voigt, S. (2019). The independence of prosecutors and government accountability.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Supreme Court Economic Review</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27</w:t>
      </w:r>
      <w:r w:rsidRPr="005262CB">
        <w:rPr>
          <w:rFonts w:asciiTheme="majorBidi" w:eastAsia="Times New Roman" w:hAnsiTheme="majorBidi" w:cstheme="majorBidi"/>
          <w:color w:val="1F1F1F"/>
          <w:kern w:val="0"/>
          <w:sz w:val="20"/>
          <w:szCs w:val="20"/>
          <w:lang w:eastAsia="en-MY"/>
          <w14:ligatures w14:val="none"/>
        </w:rPr>
        <w:t xml:space="preserve">(1), 1–19. </w:t>
      </w:r>
      <w:hyperlink r:id="rId17"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https://doi.org/10.1086/703749</w:t>
        </w:r>
      </w:hyperlink>
    </w:p>
    <w:p w14:paraId="4D08C0CA"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Hamid, N. A. (2023). Mencabar kuasa pendakwaan peguam negara di Malaysia melalui semakan kehakiman [Challenging the prosecutorial power of the Attorney General in Malaysia through judicial review].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Malaysian Journal of Islamic Studies</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7</w:t>
      </w:r>
      <w:r w:rsidRPr="005262CB">
        <w:rPr>
          <w:rFonts w:asciiTheme="majorBidi" w:eastAsia="Times New Roman" w:hAnsiTheme="majorBidi" w:cstheme="majorBidi"/>
          <w:color w:val="1F1F1F"/>
          <w:kern w:val="0"/>
          <w:sz w:val="20"/>
          <w:szCs w:val="20"/>
          <w:lang w:eastAsia="en-MY"/>
          <w14:ligatures w14:val="none"/>
        </w:rPr>
        <w:t xml:space="preserve">(1), 12–28. </w:t>
      </w:r>
      <w:hyperlink r:id="rId18"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https://journal.unisza.edu.my/mjis/index.php/mjis/article/view/221</w:t>
        </w:r>
      </w:hyperlink>
    </w:p>
    <w:p w14:paraId="63D8DC86"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Harding, A. (2012).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The Constitution of Malaysia: A contextual analysis</w:t>
      </w:r>
      <w:r w:rsidRPr="005262CB">
        <w:rPr>
          <w:rFonts w:asciiTheme="majorBidi" w:eastAsia="Times New Roman" w:hAnsiTheme="majorBidi" w:cstheme="majorBidi"/>
          <w:color w:val="1F1F1F"/>
          <w:kern w:val="0"/>
          <w:sz w:val="20"/>
          <w:szCs w:val="20"/>
          <w:lang w:eastAsia="en-MY"/>
          <w14:ligatures w14:val="none"/>
        </w:rPr>
        <w:t xml:space="preserve">. Hart Publishing. </w:t>
      </w:r>
      <w:hyperlink r:id="rId19"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https://www.bloomsbury.com/uk/constitution-of-malaysia-9781847319814/</w:t>
        </w:r>
      </w:hyperlink>
    </w:p>
    <w:p w14:paraId="1190E40A"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Hong, C. C. (2018).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Reforming the system of asset declaration in Malaysia as a strategy to combat corruption</w:t>
      </w:r>
      <w:r w:rsidRPr="005262CB">
        <w:rPr>
          <w:rFonts w:asciiTheme="majorBidi" w:eastAsia="Times New Roman" w:hAnsiTheme="majorBidi" w:cstheme="majorBidi"/>
          <w:color w:val="1F1F1F"/>
          <w:kern w:val="0"/>
          <w:sz w:val="20"/>
          <w:szCs w:val="20"/>
          <w:lang w:eastAsia="en-MY"/>
          <w14:ligatures w14:val="none"/>
        </w:rPr>
        <w:t xml:space="preserve"> (Master's thesis, International Anti-Corruption Academy). </w:t>
      </w:r>
      <w:hyperlink r:id="rId20"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https://iaca.int/media/attachments/2018/07/24/chin_chin_hong_masters_thesis.pdf</w:t>
        </w:r>
      </w:hyperlink>
    </w:p>
    <w:p w14:paraId="7E89018F"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Hutchinson, T. (2015). The Doctrinal Method: Incorporating interdisciplinary methods in reforming the law.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Erasmus Law Review</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8</w:t>
      </w:r>
      <w:r w:rsidRPr="005262CB">
        <w:rPr>
          <w:rFonts w:asciiTheme="majorBidi" w:eastAsia="Times New Roman" w:hAnsiTheme="majorBidi" w:cstheme="majorBidi"/>
          <w:color w:val="1F1F1F"/>
          <w:kern w:val="0"/>
          <w:sz w:val="20"/>
          <w:szCs w:val="20"/>
          <w:lang w:eastAsia="en-MY"/>
          <w14:ligatures w14:val="none"/>
        </w:rPr>
        <w:t xml:space="preserve">(3), 130–138. </w:t>
      </w:r>
      <w:hyperlink r:id="rId21"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https://doi.org/10.5553/elr.000055</w:t>
        </w:r>
      </w:hyperlink>
    </w:p>
    <w:p w14:paraId="690DD869"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Hutchinson, T., &amp; Duncan, N. (2012). Defining and describing what we do: Doctrinal legal research.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Deakin Law Review</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17</w:t>
      </w:r>
      <w:r w:rsidRPr="005262CB">
        <w:rPr>
          <w:rFonts w:asciiTheme="majorBidi" w:eastAsia="Times New Roman" w:hAnsiTheme="majorBidi" w:cstheme="majorBidi"/>
          <w:color w:val="1F1F1F"/>
          <w:kern w:val="0"/>
          <w:sz w:val="20"/>
          <w:szCs w:val="20"/>
          <w:lang w:eastAsia="en-MY"/>
          <w14:ligatures w14:val="none"/>
        </w:rPr>
        <w:t xml:space="preserve">(1), 83–119. </w:t>
      </w:r>
      <w:hyperlink r:id="rId22"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https://doi.org/10.21153/dlr2012vol17no1art70</w:t>
        </w:r>
      </w:hyperlink>
    </w:p>
    <w:p w14:paraId="533431F3"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Institute for Democracy and Economic Affairs [Ideas]. (2024).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Separating the Attorney-General and Public Prosecutor: Enhancing the rule of law in Malaysia</w:t>
      </w:r>
      <w:r w:rsidRPr="005262CB">
        <w:rPr>
          <w:rFonts w:asciiTheme="majorBidi" w:eastAsia="Times New Roman" w:hAnsiTheme="majorBidi" w:cstheme="majorBidi"/>
          <w:color w:val="1F1F1F"/>
          <w:kern w:val="0"/>
          <w:sz w:val="20"/>
          <w:szCs w:val="20"/>
          <w:lang w:eastAsia="en-MY"/>
          <w14:ligatures w14:val="none"/>
        </w:rPr>
        <w:t xml:space="preserve"> (Policy Paper No. 94). IDEAS Malaysia. </w:t>
      </w:r>
      <w:hyperlink r:id="rId23"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https://www.ideas.org.my/?smd_process_download=1&amp;download_id=5724</w:t>
        </w:r>
      </w:hyperlink>
    </w:p>
    <w:p w14:paraId="146D1025"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Lee, H. P. (2017).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Constitutional conflicts in contemporary Malaysia</w:t>
      </w:r>
      <w:r w:rsidRPr="005262CB">
        <w:rPr>
          <w:rFonts w:asciiTheme="majorBidi" w:eastAsia="Times New Roman" w:hAnsiTheme="majorBidi" w:cstheme="majorBidi"/>
          <w:color w:val="1F1F1F"/>
          <w:kern w:val="0"/>
          <w:sz w:val="20"/>
          <w:szCs w:val="20"/>
          <w:lang w:eastAsia="en-MY"/>
          <w14:ligatures w14:val="none"/>
        </w:rPr>
        <w:t xml:space="preserve"> (2nd ed.). Oxford University Press. </w:t>
      </w:r>
      <w:hyperlink r:id="rId24"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https://global.oup.com/academic/product/constitutional-conflicts-in-contemporary-malaysia-9780198810483</w:t>
        </w:r>
      </w:hyperlink>
    </w:p>
    <w:p w14:paraId="37111F41"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Malaysia, W. B. P. (2025). Report on prosecutorial independence and institutional oversight.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Insaf: Journal of the Malaysian Bar</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54</w:t>
      </w:r>
      <w:r w:rsidRPr="005262CB">
        <w:rPr>
          <w:rFonts w:asciiTheme="majorBidi" w:eastAsia="Times New Roman" w:hAnsiTheme="majorBidi" w:cstheme="majorBidi"/>
          <w:color w:val="1F1F1F"/>
          <w:kern w:val="0"/>
          <w:sz w:val="20"/>
          <w:szCs w:val="20"/>
          <w:lang w:eastAsia="en-MY"/>
          <w14:ligatures w14:val="none"/>
        </w:rPr>
        <w:t xml:space="preserve">(1), 89–114. </w:t>
      </w:r>
      <w:hyperlink r:id="rId25"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https://www.malaysianbar.org.my/cms/upload_files/document/INSAF%20June%202025.pdf</w:t>
        </w:r>
      </w:hyperlink>
    </w:p>
    <w:p w14:paraId="26E8C2DA"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Malaysian Bar. (2026a, March 14).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Resolution on ensuring prosecutorial independence with the separation of the offices of the Attorney General and the Public Prosecutor</w:t>
      </w:r>
      <w:r w:rsidRPr="005262CB">
        <w:rPr>
          <w:rFonts w:asciiTheme="majorBidi" w:eastAsia="Times New Roman" w:hAnsiTheme="majorBidi" w:cstheme="majorBidi"/>
          <w:color w:val="1F1F1F"/>
          <w:kern w:val="0"/>
          <w:sz w:val="20"/>
          <w:szCs w:val="20"/>
          <w:lang w:eastAsia="en-MY"/>
          <w14:ligatures w14:val="none"/>
        </w:rPr>
        <w:t xml:space="preserve">. Adopted at the 80th Annual General Meeting of the Malaysian Bar. </w:t>
      </w:r>
      <w:hyperlink r:id="rId26"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https://www.malaysianbar.org.my/cms/upload_files/document/1.%20Resolution%20on%20Ensuring%20Prosecutorial%20Independence%20with%20the%20Separation%20of%20the%20Offices%20of%20the%20Attorney%20General%20and%20the%20Public%20Prosecutor.pdf</w:t>
        </w:r>
      </w:hyperlink>
    </w:p>
    <w:p w14:paraId="4A87EE8D"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Malaysian Bar. (2026b, June 5).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Press release | AG-PP separation requires transparency, accountability and safeguards, not mere lip service or political compromise</w:t>
      </w:r>
      <w:r w:rsidRPr="005262CB">
        <w:rPr>
          <w:rFonts w:asciiTheme="majorBidi" w:eastAsia="Times New Roman" w:hAnsiTheme="majorBidi" w:cstheme="majorBidi"/>
          <w:color w:val="1F1F1F"/>
          <w:kern w:val="0"/>
          <w:sz w:val="20"/>
          <w:szCs w:val="20"/>
          <w:lang w:eastAsia="en-MY"/>
          <w14:ligatures w14:val="none"/>
        </w:rPr>
        <w:t xml:space="preserve">. The Malaysian Bar Official Portal. </w:t>
      </w:r>
      <w:hyperlink r:id="rId27"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https://www.malaysianbar.org.my/article/news/press-statements/press-statements/press-release-ag-pp-separation-requires-transparency-accountability-and-safeguards-not-mere-lip-service-or-political-compromise</w:t>
        </w:r>
      </w:hyperlink>
    </w:p>
    <w:p w14:paraId="5BD76A64"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McConville, M., &amp; Chui, W. H. (Eds.). (2017).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Research methods for law</w:t>
      </w:r>
      <w:r w:rsidRPr="005262CB">
        <w:rPr>
          <w:rFonts w:asciiTheme="majorBidi" w:eastAsia="Times New Roman" w:hAnsiTheme="majorBidi" w:cstheme="majorBidi"/>
          <w:color w:val="1F1F1F"/>
          <w:kern w:val="0"/>
          <w:sz w:val="20"/>
          <w:szCs w:val="20"/>
          <w:lang w:eastAsia="en-MY"/>
          <w14:ligatures w14:val="none"/>
        </w:rPr>
        <w:t xml:space="preserve"> (2nd ed.). Edinburgh University Press. </w:t>
      </w:r>
      <w:hyperlink r:id="rId28"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https://scholars.cityu.edu.hk/en/publications/research-methods-for-law-2/</w:t>
        </w:r>
      </w:hyperlink>
    </w:p>
    <w:p w14:paraId="72196FFE"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Power, C. J. (2010). Malaysia—Death of a separate constitutional judicial power.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Singapore Journal of Legal Studies</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2010</w:t>
      </w:r>
      <w:r w:rsidRPr="005262CB">
        <w:rPr>
          <w:rFonts w:asciiTheme="majorBidi" w:eastAsia="Times New Roman" w:hAnsiTheme="majorBidi" w:cstheme="majorBidi"/>
          <w:color w:val="1F1F1F"/>
          <w:kern w:val="0"/>
          <w:sz w:val="20"/>
          <w:szCs w:val="20"/>
          <w:lang w:eastAsia="en-MY"/>
          <w14:ligatures w14:val="none"/>
        </w:rPr>
        <w:t xml:space="preserve">(2), 227–239. </w:t>
      </w:r>
      <w:hyperlink r:id="rId29"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https://law.nus.edu.sg/sjls/wp-content/uploads/sites/14/2024/07/2024-2010-sjls-dec-227.pdf</w:t>
        </w:r>
      </w:hyperlink>
    </w:p>
    <w:p w14:paraId="54EA522B" w14:textId="6088143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Sinar Daily. (June 18, 2026). Institutional reform is key to strengthening public trust in the justice system.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Sinar Daily Online</w:t>
      </w:r>
      <w:r w:rsidRPr="005262CB">
        <w:rPr>
          <w:rFonts w:asciiTheme="majorBidi" w:eastAsia="Times New Roman" w:hAnsiTheme="majorBidi" w:cstheme="majorBidi"/>
          <w:color w:val="1F1F1F"/>
          <w:kern w:val="0"/>
          <w:sz w:val="20"/>
          <w:szCs w:val="20"/>
          <w:lang w:eastAsia="en-MY"/>
          <w14:ligatures w14:val="none"/>
        </w:rPr>
        <w:t xml:space="preserve">. </w:t>
      </w:r>
      <w:hyperlink r:id="rId30"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https://www.sinardaily.my/article/737136/focus/national/institutional-reform-key-to-strengthening-public-trust-in-justice-system</w:t>
        </w:r>
      </w:hyperlink>
    </w:p>
    <w:p w14:paraId="3C5F0EDE"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Sokri, A. Y. M. (2026). Rethinking judicial legitimacy: A process-based perspective from Malaysian corruption trials.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Asian Journal of Law and Society</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13</w:t>
      </w:r>
      <w:r w:rsidRPr="005262CB">
        <w:rPr>
          <w:rFonts w:asciiTheme="majorBidi" w:eastAsia="Times New Roman" w:hAnsiTheme="majorBidi" w:cstheme="majorBidi"/>
          <w:color w:val="1F1F1F"/>
          <w:kern w:val="0"/>
          <w:sz w:val="20"/>
          <w:szCs w:val="20"/>
          <w:lang w:eastAsia="en-MY"/>
          <w14:ligatures w14:val="none"/>
        </w:rPr>
        <w:t xml:space="preserve">(1), 45–72. </w:t>
      </w:r>
      <w:hyperlink r:id="rId31"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https://www.cambridge.org/core/journals/asian-journal-of-law-and-society/article/rethinking-judicial-legitimacy-a-processbased-perspective-from-malaysian-corruption-trials/7BACFC17D0264BFF44B56709C2047722</w:t>
        </w:r>
      </w:hyperlink>
    </w:p>
    <w:p w14:paraId="25CA2CEC"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Sopah, S. M., Ali, H. M., &amp; Hashom, M. H. (2026). Deferred prosecution agreements as a corporate governance tool: Malaysia's regulatory and ethical preparedness.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Veredas do Direito</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23</w:t>
      </w:r>
      <w:r w:rsidRPr="005262CB">
        <w:rPr>
          <w:rFonts w:asciiTheme="majorBidi" w:eastAsia="Times New Roman" w:hAnsiTheme="majorBidi" w:cstheme="majorBidi"/>
          <w:color w:val="1F1F1F"/>
          <w:kern w:val="0"/>
          <w:sz w:val="20"/>
          <w:szCs w:val="20"/>
          <w:lang w:eastAsia="en-MY"/>
          <w14:ligatures w14:val="none"/>
        </w:rPr>
        <w:t xml:space="preserve">(4), 1–22. </w:t>
      </w:r>
      <w:hyperlink r:id="rId32"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https://revista.domhelder.edu.br/index.php/veredas/article/view/4718</w:t>
        </w:r>
      </w:hyperlink>
    </w:p>
    <w:p w14:paraId="582A1E25"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Stenning, P. C. (2009). Discretion, politics, and the public interest in "high-profile" criminal investigations and prosecutions.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Canadian Journal of Law and Society</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24</w:t>
      </w:r>
      <w:r w:rsidRPr="005262CB">
        <w:rPr>
          <w:rFonts w:asciiTheme="majorBidi" w:eastAsia="Times New Roman" w:hAnsiTheme="majorBidi" w:cstheme="majorBidi"/>
          <w:color w:val="1F1F1F"/>
          <w:kern w:val="0"/>
          <w:sz w:val="20"/>
          <w:szCs w:val="20"/>
          <w:lang w:eastAsia="en-MY"/>
          <w14:ligatures w14:val="none"/>
        </w:rPr>
        <w:t xml:space="preserve">(3), 337–366. </w:t>
      </w:r>
      <w:hyperlink r:id="rId33"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https://doi.org/10.1017/s0829320100010073</w:t>
        </w:r>
      </w:hyperlink>
    </w:p>
    <w:p w14:paraId="62D3450F"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Tan, A. (2026).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Why the Najib factor continues to represent a gaping wound for the Malaysian polity</w:t>
      </w:r>
      <w:r w:rsidRPr="005262CB">
        <w:rPr>
          <w:rFonts w:asciiTheme="majorBidi" w:eastAsia="Times New Roman" w:hAnsiTheme="majorBidi" w:cstheme="majorBidi"/>
          <w:color w:val="1F1F1F"/>
          <w:kern w:val="0"/>
          <w:sz w:val="20"/>
          <w:szCs w:val="20"/>
          <w:lang w:eastAsia="en-MY"/>
          <w14:ligatures w14:val="none"/>
        </w:rPr>
        <w:t xml:space="preserve"> (RSIS Commentary No. 005). S. Rajaratnam School of International Studies, NTU. </w:t>
      </w:r>
      <w:hyperlink r:id="rId34"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https://hdl.handle.net/10356/174321</w:t>
        </w:r>
      </w:hyperlink>
    </w:p>
    <w:p w14:paraId="5E0D4590" w14:textId="6B31A3A6"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The Star. (September 10, 2025). </w:t>
      </w:r>
      <w:r w:rsidR="00146C50" w:rsidRPr="005262CB">
        <w:rPr>
          <w:rFonts w:asciiTheme="majorBidi" w:eastAsia="Times New Roman" w:hAnsiTheme="majorBidi" w:cstheme="majorBidi"/>
          <w:color w:val="1F1F1F"/>
          <w:kern w:val="0"/>
          <w:sz w:val="20"/>
          <w:szCs w:val="20"/>
          <w:lang w:eastAsia="en-MY"/>
          <w14:ligatures w14:val="none"/>
        </w:rPr>
        <w:t>The government</w:t>
      </w:r>
      <w:r w:rsidRPr="005262CB">
        <w:rPr>
          <w:rFonts w:asciiTheme="majorBidi" w:eastAsia="Times New Roman" w:hAnsiTheme="majorBidi" w:cstheme="majorBidi"/>
          <w:color w:val="1F1F1F"/>
          <w:kern w:val="0"/>
          <w:sz w:val="20"/>
          <w:szCs w:val="20"/>
          <w:lang w:eastAsia="en-MY"/>
          <w14:ligatures w14:val="none"/>
        </w:rPr>
        <w:t xml:space="preserve"> agrees in principle to fully split </w:t>
      </w:r>
      <w:r w:rsidR="00146C50" w:rsidRPr="005262CB">
        <w:rPr>
          <w:rFonts w:asciiTheme="majorBidi" w:eastAsia="Times New Roman" w:hAnsiTheme="majorBidi" w:cstheme="majorBidi"/>
          <w:color w:val="1F1F1F"/>
          <w:kern w:val="0"/>
          <w:sz w:val="20"/>
          <w:szCs w:val="20"/>
          <w:lang w:eastAsia="en-MY"/>
          <w14:ligatures w14:val="none"/>
        </w:rPr>
        <w:t>the roles of the Attorney General and the Public Prosecutor</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The Star Online</w:t>
      </w:r>
      <w:r w:rsidRPr="005262CB">
        <w:rPr>
          <w:rFonts w:asciiTheme="majorBidi" w:eastAsia="Times New Roman" w:hAnsiTheme="majorBidi" w:cstheme="majorBidi"/>
          <w:color w:val="1F1F1F"/>
          <w:kern w:val="0"/>
          <w:sz w:val="20"/>
          <w:szCs w:val="20"/>
          <w:lang w:eastAsia="en-MY"/>
          <w14:ligatures w14:val="none"/>
        </w:rPr>
        <w:t xml:space="preserve">. </w:t>
      </w:r>
      <w:hyperlink r:id="rId35"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https://www.thestar.com.my/news/nation/2025/09/10/govt-agrees-in-principle-to-fully-split-attorney-general-public-prosecutors-roles</w:t>
        </w:r>
      </w:hyperlink>
    </w:p>
    <w:p w14:paraId="3E327B7B"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The Star. (2026a, June 20). Bill to split AG and PP faces final hurdle in looming Parliament debate.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The Star Online</w:t>
      </w:r>
      <w:r w:rsidRPr="005262CB">
        <w:rPr>
          <w:rFonts w:asciiTheme="majorBidi" w:eastAsia="Times New Roman" w:hAnsiTheme="majorBidi" w:cstheme="majorBidi"/>
          <w:color w:val="1F1F1F"/>
          <w:kern w:val="0"/>
          <w:sz w:val="20"/>
          <w:szCs w:val="20"/>
          <w:lang w:eastAsia="en-MY"/>
          <w14:ligatures w14:val="none"/>
        </w:rPr>
        <w:t xml:space="preserve">. </w:t>
      </w:r>
      <w:hyperlink r:id="rId36"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https://www.thestar.com.my/news/nation/2026/06/20/bill-to-split-ag-and-pp-faces-final-hurdle-in-looming-parliament-debate</w:t>
        </w:r>
      </w:hyperlink>
    </w:p>
    <w:p w14:paraId="31B7F32E"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The Star. (2026b, June 22). Pressure your MPs to back AG-PP power separation Bill, Azalina urges public.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The Star Online</w:t>
      </w:r>
      <w:r w:rsidRPr="005262CB">
        <w:rPr>
          <w:rFonts w:asciiTheme="majorBidi" w:eastAsia="Times New Roman" w:hAnsiTheme="majorBidi" w:cstheme="majorBidi"/>
          <w:color w:val="1F1F1F"/>
          <w:kern w:val="0"/>
          <w:sz w:val="20"/>
          <w:szCs w:val="20"/>
          <w:lang w:eastAsia="en-MY"/>
          <w14:ligatures w14:val="none"/>
        </w:rPr>
        <w:t xml:space="preserve">. </w:t>
      </w:r>
      <w:hyperlink r:id="rId37"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https://www.thestar.com.my/news/nation/2026/06/22/pressure-your-mps-to-back-ag-pp-power-separation-bill-azalina-urges-public</w:t>
        </w:r>
      </w:hyperlink>
    </w:p>
    <w:p w14:paraId="78F8E8D9"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Weiss, M. L. (2024).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Whither institutional reform in Malaysia?</w:t>
      </w:r>
      <w:r w:rsidRPr="005262CB">
        <w:rPr>
          <w:rFonts w:asciiTheme="majorBidi" w:eastAsia="Times New Roman" w:hAnsiTheme="majorBidi" w:cstheme="majorBidi"/>
          <w:color w:val="1F1F1F"/>
          <w:kern w:val="0"/>
          <w:sz w:val="20"/>
          <w:szCs w:val="20"/>
          <w:lang w:eastAsia="en-MY"/>
          <w14:ligatures w14:val="none"/>
        </w:rPr>
        <w:t xml:space="preserve"> (ISEAS Perspective No. 2024/50). ISEAS–Yusof Ishak Institute. </w:t>
      </w:r>
      <w:hyperlink r:id="rId38"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https://www.iseas.edu.sg/articles-commentaries/iseas-perspective/2024-50-whither-institutional-reform-in-malaysia-by-meredith-l-weiss/</w:t>
        </w:r>
      </w:hyperlink>
    </w:p>
    <w:p w14:paraId="0009D56E"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Whiting, A. (2020). Prosecutorial independence: A comparative overview of constitutional protections.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International Journal of Constitutional Law</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18</w:t>
      </w:r>
      <w:r w:rsidRPr="005262CB">
        <w:rPr>
          <w:rFonts w:asciiTheme="majorBidi" w:eastAsia="Times New Roman" w:hAnsiTheme="majorBidi" w:cstheme="majorBidi"/>
          <w:color w:val="1F1F1F"/>
          <w:kern w:val="0"/>
          <w:sz w:val="20"/>
          <w:szCs w:val="20"/>
          <w:lang w:eastAsia="en-MY"/>
          <w14:ligatures w14:val="none"/>
        </w:rPr>
        <w:t xml:space="preserve">(3), 812–835. </w:t>
      </w:r>
      <w:hyperlink r:id="rId39"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https://academic.oup.com/icon/article/18/3/812/5919012</w:t>
        </w:r>
      </w:hyperlink>
    </w:p>
    <w:p w14:paraId="144D9589" w14:textId="77777777" w:rsidR="000E098E" w:rsidRPr="005262CB" w:rsidRDefault="000E098E" w:rsidP="000E098E">
      <w:pPr>
        <w:numPr>
          <w:ilvl w:val="0"/>
          <w:numId w:val="2"/>
        </w:numPr>
        <w:spacing w:after="0" w:line="240" w:lineRule="auto"/>
        <w:jc w:val="both"/>
        <w:rPr>
          <w:rFonts w:asciiTheme="majorBidi" w:eastAsia="Times New Roman" w:hAnsiTheme="majorBidi" w:cstheme="majorBidi"/>
          <w:color w:val="1F1F1F"/>
          <w:kern w:val="0"/>
          <w:sz w:val="20"/>
          <w:szCs w:val="20"/>
          <w:lang w:eastAsia="en-MY"/>
          <w14:ligatures w14:val="none"/>
        </w:rPr>
      </w:pPr>
      <w:r w:rsidRPr="005262CB">
        <w:rPr>
          <w:rFonts w:asciiTheme="majorBidi" w:eastAsia="Times New Roman" w:hAnsiTheme="majorBidi" w:cstheme="majorBidi"/>
          <w:color w:val="1F1F1F"/>
          <w:kern w:val="0"/>
          <w:sz w:val="20"/>
          <w:szCs w:val="20"/>
          <w:lang w:eastAsia="en-MY"/>
          <w14:ligatures w14:val="none"/>
        </w:rPr>
        <w:t xml:space="preserve">Yarragudi, M. M. R. (2024). Re-codification of criminal jurisprudence in India: A critical analysis of the 2023 legislative reforms.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International Journal of Advanced Research Publications</w:t>
      </w:r>
      <w:r w:rsidRPr="005262CB">
        <w:rPr>
          <w:rFonts w:asciiTheme="majorBidi" w:eastAsia="Times New Roman" w:hAnsiTheme="majorBidi" w:cstheme="majorBidi"/>
          <w:color w:val="1F1F1F"/>
          <w:kern w:val="0"/>
          <w:sz w:val="20"/>
          <w:szCs w:val="20"/>
          <w:lang w:eastAsia="en-MY"/>
          <w14:ligatures w14:val="none"/>
        </w:rPr>
        <w:t xml:space="preserve">, </w:t>
      </w:r>
      <w:r w:rsidRPr="005262CB">
        <w:rPr>
          <w:rFonts w:asciiTheme="majorBidi" w:eastAsia="Times New Roman" w:hAnsiTheme="majorBidi" w:cstheme="majorBidi"/>
          <w:i/>
          <w:iCs/>
          <w:color w:val="1F1F1F"/>
          <w:kern w:val="0"/>
          <w:sz w:val="20"/>
          <w:szCs w:val="20"/>
          <w:bdr w:val="none" w:sz="0" w:space="0" w:color="auto" w:frame="1"/>
          <w:lang w:eastAsia="en-MY"/>
          <w14:ligatures w14:val="none"/>
        </w:rPr>
        <w:t>8</w:t>
      </w:r>
      <w:r w:rsidRPr="005262CB">
        <w:rPr>
          <w:rFonts w:asciiTheme="majorBidi" w:eastAsia="Times New Roman" w:hAnsiTheme="majorBidi" w:cstheme="majorBidi"/>
          <w:color w:val="1F1F1F"/>
          <w:kern w:val="0"/>
          <w:sz w:val="20"/>
          <w:szCs w:val="20"/>
          <w:lang w:eastAsia="en-MY"/>
          <w14:ligatures w14:val="none"/>
        </w:rPr>
        <w:t xml:space="preserve">(6), 112–128. </w:t>
      </w:r>
      <w:hyperlink r:id="rId40" w:tgtFrame="_blank" w:history="1">
        <w:r w:rsidRPr="005262CB">
          <w:rPr>
            <w:rFonts w:asciiTheme="majorBidi" w:eastAsia="Times New Roman" w:hAnsiTheme="majorBidi" w:cstheme="majorBidi"/>
            <w:color w:val="1F1F1F"/>
            <w:kern w:val="0"/>
            <w:sz w:val="20"/>
            <w:szCs w:val="20"/>
            <w:u w:val="single"/>
            <w:bdr w:val="none" w:sz="0" w:space="0" w:color="auto" w:frame="1"/>
            <w:lang w:eastAsia="en-MY"/>
            <w14:ligatures w14:val="none"/>
          </w:rPr>
          <w:t>http://www.ijarp.org/volume-8-issue-6.html</w:t>
        </w:r>
      </w:hyperlink>
    </w:p>
    <w:p w14:paraId="335878AC" w14:textId="77777777" w:rsidR="00B822C2" w:rsidRPr="005262CB" w:rsidRDefault="00B822C2" w:rsidP="000E098E">
      <w:pPr>
        <w:jc w:val="both"/>
        <w:rPr>
          <w:rFonts w:asciiTheme="majorBidi" w:hAnsiTheme="majorBidi" w:cstheme="majorBidi"/>
          <w:sz w:val="20"/>
          <w:szCs w:val="20"/>
        </w:rPr>
      </w:pPr>
    </w:p>
    <w:sectPr w:rsidR="00B822C2" w:rsidRPr="005262CB" w:rsidSect="00ED6AF9">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1FB2" w14:textId="77777777" w:rsidR="008C0501" w:rsidRDefault="008C0501" w:rsidP="000E098E">
      <w:pPr>
        <w:spacing w:after="0" w:line="240" w:lineRule="auto"/>
      </w:pPr>
      <w:r>
        <w:separator/>
      </w:r>
    </w:p>
  </w:endnote>
  <w:endnote w:type="continuationSeparator" w:id="0">
    <w:p w14:paraId="279016BB" w14:textId="77777777" w:rsidR="008C0501" w:rsidRDefault="008C0501" w:rsidP="000E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1DE8" w14:textId="77777777" w:rsidR="000E098E" w:rsidRDefault="000E0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479001"/>
      <w:docPartObj>
        <w:docPartGallery w:val="Page Numbers (Bottom of Page)"/>
        <w:docPartUnique/>
      </w:docPartObj>
    </w:sdtPr>
    <w:sdtEndPr>
      <w:rPr>
        <w:noProof/>
      </w:rPr>
    </w:sdtEndPr>
    <w:sdtContent>
      <w:p w14:paraId="11FA91EF" w14:textId="0602BF47" w:rsidR="000E098E" w:rsidRDefault="000E09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4BAB6" w14:textId="77777777" w:rsidR="000E098E" w:rsidRDefault="000E0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34C8" w14:textId="77777777" w:rsidR="000E098E" w:rsidRDefault="000E0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38AF" w14:textId="77777777" w:rsidR="008C0501" w:rsidRDefault="008C0501" w:rsidP="000E098E">
      <w:pPr>
        <w:spacing w:after="0" w:line="240" w:lineRule="auto"/>
      </w:pPr>
      <w:r>
        <w:separator/>
      </w:r>
    </w:p>
  </w:footnote>
  <w:footnote w:type="continuationSeparator" w:id="0">
    <w:p w14:paraId="438F1396" w14:textId="77777777" w:rsidR="008C0501" w:rsidRDefault="008C0501" w:rsidP="000E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C8DD" w14:textId="77777777" w:rsidR="000E098E" w:rsidRDefault="000E0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FD9D" w14:textId="77777777" w:rsidR="000E098E" w:rsidRDefault="000E0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AE32" w14:textId="77777777" w:rsidR="000E098E" w:rsidRDefault="000E0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EB5"/>
    <w:multiLevelType w:val="hybridMultilevel"/>
    <w:tmpl w:val="EDF4363C"/>
    <w:lvl w:ilvl="0" w:tplc="44090015">
      <w:start w:val="1"/>
      <w:numFmt w:val="upperLetter"/>
      <w:lvlText w:val="%1."/>
      <w:lvlJc w:val="left"/>
      <w:pPr>
        <w:ind w:left="1170" w:hanging="360"/>
      </w:pPr>
      <w:rPr>
        <w:rFonts w:hint="default"/>
      </w:r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1" w15:restartNumberingAfterBreak="0">
    <w:nsid w:val="22D03D49"/>
    <w:multiLevelType w:val="multilevel"/>
    <w:tmpl w:val="CEEE216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AC1DD7"/>
    <w:multiLevelType w:val="hybridMultilevel"/>
    <w:tmpl w:val="96EA32C0"/>
    <w:lvl w:ilvl="0" w:tplc="F4D41F34">
      <w:start w:val="1"/>
      <w:numFmt w:val="decimal"/>
      <w:lvlText w:val="%1."/>
      <w:lvlJc w:val="left"/>
      <w:pPr>
        <w:ind w:left="400" w:hanging="40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619A2D06"/>
    <w:multiLevelType w:val="multilevel"/>
    <w:tmpl w:val="088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CF7819"/>
    <w:multiLevelType w:val="multilevel"/>
    <w:tmpl w:val="6684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CB5FF0"/>
    <w:multiLevelType w:val="hybridMultilevel"/>
    <w:tmpl w:val="3F6CA36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65676529">
    <w:abstractNumId w:val="4"/>
  </w:num>
  <w:num w:numId="2" w16cid:durableId="660429252">
    <w:abstractNumId w:val="3"/>
  </w:num>
  <w:num w:numId="3" w16cid:durableId="821383526">
    <w:abstractNumId w:val="2"/>
  </w:num>
  <w:num w:numId="4" w16cid:durableId="559290285">
    <w:abstractNumId w:val="0"/>
  </w:num>
  <w:num w:numId="5" w16cid:durableId="808789341">
    <w:abstractNumId w:val="5"/>
  </w:num>
  <w:num w:numId="6" w16cid:durableId="2041275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O1NDQ1NrGwNDUxMDFV0lEKTi0uzszPAykwrgUARSwwcSwAAAA="/>
  </w:docVars>
  <w:rsids>
    <w:rsidRoot w:val="000E098E"/>
    <w:rsid w:val="000E098E"/>
    <w:rsid w:val="001229D6"/>
    <w:rsid w:val="00146C50"/>
    <w:rsid w:val="00192DE8"/>
    <w:rsid w:val="001973CF"/>
    <w:rsid w:val="00220BA9"/>
    <w:rsid w:val="00354173"/>
    <w:rsid w:val="003F4CAE"/>
    <w:rsid w:val="0048495D"/>
    <w:rsid w:val="004B0D72"/>
    <w:rsid w:val="004E571F"/>
    <w:rsid w:val="005262CB"/>
    <w:rsid w:val="0053194B"/>
    <w:rsid w:val="005647AA"/>
    <w:rsid w:val="00574ADB"/>
    <w:rsid w:val="008C0501"/>
    <w:rsid w:val="00AD7F33"/>
    <w:rsid w:val="00B822C2"/>
    <w:rsid w:val="00C41DA7"/>
    <w:rsid w:val="00C70E42"/>
    <w:rsid w:val="00CB75E7"/>
    <w:rsid w:val="00D72B1B"/>
    <w:rsid w:val="00ED6AF9"/>
    <w:rsid w:val="00F2359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4572"/>
  <w15:chartTrackingRefBased/>
  <w15:docId w15:val="{A9C31129-045E-46FE-98A1-786C212D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0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0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0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0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98E"/>
    <w:rPr>
      <w:rFonts w:eastAsiaTheme="majorEastAsia" w:cstheme="majorBidi"/>
      <w:color w:val="272727" w:themeColor="text1" w:themeTint="D8"/>
    </w:rPr>
  </w:style>
  <w:style w:type="paragraph" w:styleId="Title">
    <w:name w:val="Title"/>
    <w:basedOn w:val="Normal"/>
    <w:next w:val="Normal"/>
    <w:link w:val="TitleChar"/>
    <w:uiPriority w:val="10"/>
    <w:qFormat/>
    <w:rsid w:val="000E0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98E"/>
    <w:pPr>
      <w:spacing w:before="160"/>
      <w:jc w:val="center"/>
    </w:pPr>
    <w:rPr>
      <w:i/>
      <w:iCs/>
      <w:color w:val="404040" w:themeColor="text1" w:themeTint="BF"/>
    </w:rPr>
  </w:style>
  <w:style w:type="character" w:customStyle="1" w:styleId="QuoteChar">
    <w:name w:val="Quote Char"/>
    <w:basedOn w:val="DefaultParagraphFont"/>
    <w:link w:val="Quote"/>
    <w:uiPriority w:val="29"/>
    <w:rsid w:val="000E098E"/>
    <w:rPr>
      <w:i/>
      <w:iCs/>
      <w:color w:val="404040" w:themeColor="text1" w:themeTint="BF"/>
    </w:rPr>
  </w:style>
  <w:style w:type="paragraph" w:styleId="ListParagraph">
    <w:name w:val="List Paragraph"/>
    <w:basedOn w:val="Normal"/>
    <w:uiPriority w:val="34"/>
    <w:qFormat/>
    <w:rsid w:val="000E098E"/>
    <w:pPr>
      <w:ind w:left="720"/>
      <w:contextualSpacing/>
    </w:pPr>
  </w:style>
  <w:style w:type="character" w:styleId="IntenseEmphasis">
    <w:name w:val="Intense Emphasis"/>
    <w:basedOn w:val="DefaultParagraphFont"/>
    <w:uiPriority w:val="21"/>
    <w:qFormat/>
    <w:rsid w:val="000E098E"/>
    <w:rPr>
      <w:i/>
      <w:iCs/>
      <w:color w:val="0F4761" w:themeColor="accent1" w:themeShade="BF"/>
    </w:rPr>
  </w:style>
  <w:style w:type="paragraph" w:styleId="IntenseQuote">
    <w:name w:val="Intense Quote"/>
    <w:basedOn w:val="Normal"/>
    <w:next w:val="Normal"/>
    <w:link w:val="IntenseQuoteChar"/>
    <w:uiPriority w:val="30"/>
    <w:qFormat/>
    <w:rsid w:val="000E0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98E"/>
    <w:rPr>
      <w:i/>
      <w:iCs/>
      <w:color w:val="0F4761" w:themeColor="accent1" w:themeShade="BF"/>
    </w:rPr>
  </w:style>
  <w:style w:type="character" w:styleId="IntenseReference">
    <w:name w:val="Intense Reference"/>
    <w:basedOn w:val="DefaultParagraphFont"/>
    <w:uiPriority w:val="32"/>
    <w:qFormat/>
    <w:rsid w:val="000E098E"/>
    <w:rPr>
      <w:b/>
      <w:bCs/>
      <w:smallCaps/>
      <w:color w:val="0F4761" w:themeColor="accent1" w:themeShade="BF"/>
      <w:spacing w:val="5"/>
    </w:rPr>
  </w:style>
  <w:style w:type="paragraph" w:styleId="NormalWeb">
    <w:name w:val="Normal (Web)"/>
    <w:basedOn w:val="Normal"/>
    <w:uiPriority w:val="99"/>
    <w:semiHidden/>
    <w:unhideWhenUsed/>
    <w:rsid w:val="000E098E"/>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customStyle="1" w:styleId="citation-2743">
    <w:name w:val="citation-2743"/>
    <w:basedOn w:val="DefaultParagraphFont"/>
    <w:rsid w:val="000E098E"/>
  </w:style>
  <w:style w:type="character" w:customStyle="1" w:styleId="citation-2742">
    <w:name w:val="citation-2742"/>
    <w:basedOn w:val="DefaultParagraphFont"/>
    <w:rsid w:val="000E098E"/>
  </w:style>
  <w:style w:type="character" w:customStyle="1" w:styleId="citation-2741">
    <w:name w:val="citation-2741"/>
    <w:basedOn w:val="DefaultParagraphFont"/>
    <w:rsid w:val="000E098E"/>
  </w:style>
  <w:style w:type="character" w:customStyle="1" w:styleId="citation-2740">
    <w:name w:val="citation-2740"/>
    <w:basedOn w:val="DefaultParagraphFont"/>
    <w:rsid w:val="000E098E"/>
  </w:style>
  <w:style w:type="character" w:customStyle="1" w:styleId="citation-2739">
    <w:name w:val="citation-2739"/>
    <w:basedOn w:val="DefaultParagraphFont"/>
    <w:rsid w:val="000E098E"/>
  </w:style>
  <w:style w:type="character" w:customStyle="1" w:styleId="citation-2738">
    <w:name w:val="citation-2738"/>
    <w:basedOn w:val="DefaultParagraphFont"/>
    <w:rsid w:val="000E098E"/>
  </w:style>
  <w:style w:type="character" w:customStyle="1" w:styleId="citation-2737">
    <w:name w:val="citation-2737"/>
    <w:basedOn w:val="DefaultParagraphFont"/>
    <w:rsid w:val="000E098E"/>
  </w:style>
  <w:style w:type="character" w:customStyle="1" w:styleId="citation-2736">
    <w:name w:val="citation-2736"/>
    <w:basedOn w:val="DefaultParagraphFont"/>
    <w:rsid w:val="000E098E"/>
  </w:style>
  <w:style w:type="character" w:customStyle="1" w:styleId="citation-2735">
    <w:name w:val="citation-2735"/>
    <w:basedOn w:val="DefaultParagraphFont"/>
    <w:rsid w:val="000E098E"/>
  </w:style>
  <w:style w:type="character" w:customStyle="1" w:styleId="citation-2734">
    <w:name w:val="citation-2734"/>
    <w:basedOn w:val="DefaultParagraphFont"/>
    <w:rsid w:val="000E098E"/>
  </w:style>
  <w:style w:type="character" w:customStyle="1" w:styleId="citation-2733">
    <w:name w:val="citation-2733"/>
    <w:basedOn w:val="DefaultParagraphFont"/>
    <w:rsid w:val="000E098E"/>
  </w:style>
  <w:style w:type="character" w:customStyle="1" w:styleId="citation-2732">
    <w:name w:val="citation-2732"/>
    <w:basedOn w:val="DefaultParagraphFont"/>
    <w:rsid w:val="000E098E"/>
  </w:style>
  <w:style w:type="character" w:customStyle="1" w:styleId="citation-2731">
    <w:name w:val="citation-2731"/>
    <w:basedOn w:val="DefaultParagraphFont"/>
    <w:rsid w:val="000E098E"/>
  </w:style>
  <w:style w:type="character" w:customStyle="1" w:styleId="citation-2730">
    <w:name w:val="citation-2730"/>
    <w:basedOn w:val="DefaultParagraphFont"/>
    <w:rsid w:val="000E098E"/>
  </w:style>
  <w:style w:type="character" w:customStyle="1" w:styleId="citation-2729">
    <w:name w:val="citation-2729"/>
    <w:basedOn w:val="DefaultParagraphFont"/>
    <w:rsid w:val="000E098E"/>
  </w:style>
  <w:style w:type="character" w:customStyle="1" w:styleId="citation-2728">
    <w:name w:val="citation-2728"/>
    <w:basedOn w:val="DefaultParagraphFont"/>
    <w:rsid w:val="000E098E"/>
  </w:style>
  <w:style w:type="character" w:styleId="Hyperlink">
    <w:name w:val="Hyperlink"/>
    <w:basedOn w:val="DefaultParagraphFont"/>
    <w:uiPriority w:val="99"/>
    <w:semiHidden/>
    <w:unhideWhenUsed/>
    <w:rsid w:val="000E098E"/>
    <w:rPr>
      <w:color w:val="0000FF"/>
      <w:u w:val="single"/>
    </w:rPr>
  </w:style>
  <w:style w:type="paragraph" w:styleId="Header">
    <w:name w:val="header"/>
    <w:basedOn w:val="Normal"/>
    <w:link w:val="HeaderChar"/>
    <w:uiPriority w:val="99"/>
    <w:unhideWhenUsed/>
    <w:rsid w:val="000E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98E"/>
  </w:style>
  <w:style w:type="paragraph" w:styleId="Footer">
    <w:name w:val="footer"/>
    <w:basedOn w:val="Normal"/>
    <w:link w:val="FooterChar"/>
    <w:uiPriority w:val="99"/>
    <w:unhideWhenUsed/>
    <w:rsid w:val="000E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98E"/>
  </w:style>
  <w:style w:type="character" w:styleId="Strong">
    <w:name w:val="Strong"/>
    <w:basedOn w:val="DefaultParagraphFont"/>
    <w:uiPriority w:val="22"/>
    <w:qFormat/>
    <w:rsid w:val="000E0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rnama.com/en/general/news.php?id=2526661" TargetMode="External"/><Relationship Id="rId18" Type="http://schemas.openxmlformats.org/officeDocument/2006/relationships/hyperlink" Target="https://journal.unisza.edu.my/mjis/index.php/mjis/article/view/221" TargetMode="External"/><Relationship Id="rId26" Type="http://schemas.openxmlformats.org/officeDocument/2006/relationships/hyperlink" Target="https://www.google.com/search?q=https%3A%2F%2Fwww.malaysianbar.org.my%2Fcms%2Fupload_files%2Fdocument%2F1.%2520Resolution%2520on%2520Ensuring%2520Prosecutorial%2520Independence%2520with%2520the%2520Separation%2520of%2520the%2520Offices%2520of%2520the%2520Attorney%2520General%2520and%2520the%2520Public%2520Prosecutor.pdf" TargetMode="External"/><Relationship Id="rId39" Type="http://schemas.openxmlformats.org/officeDocument/2006/relationships/hyperlink" Target="https://www.google.com/search?q=https%3A%2F%2Facademic.oup.com%2Ficon%2Farticle%2F18%2F3%2F812%2F5919012" TargetMode="External"/><Relationship Id="rId21" Type="http://schemas.openxmlformats.org/officeDocument/2006/relationships/hyperlink" Target="https://www.google.com/search?q=https://doi.org/10.5553/elr.000055" TargetMode="External"/><Relationship Id="rId34" Type="http://schemas.openxmlformats.org/officeDocument/2006/relationships/hyperlink" Target="https://www.google.com/search?q=https%3A%2F%2Fhdl.handle.net%2F10356%2F17432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2kbw.com/wp-content/uploads/2025/02/2025-CLJUA-xiii_Steven.pdf" TargetMode="External"/><Relationship Id="rId2" Type="http://schemas.openxmlformats.org/officeDocument/2006/relationships/styles" Target="styles.xml"/><Relationship Id="rId16" Type="http://schemas.openxmlformats.org/officeDocument/2006/relationships/hyperlink" Target="https://research.monash.edu/en/publications/separation-of-powers-in-new-malaysia-hope-and-expectations/" TargetMode="External"/><Relationship Id="rId29" Type="http://schemas.openxmlformats.org/officeDocument/2006/relationships/hyperlink" Target="https://www.google.com/search?q=https%3A%2F%2Flaw.nus.edu.sg%2Fsjls%2Fwp-content%2Fuploads%2Fsites%2F14%2F2024%2F07%2F2024-2010-sjls-dec-2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aysia.news.yahoo.com/azalina-sets-seven-reforms-separate-062200525.html" TargetMode="External"/><Relationship Id="rId24" Type="http://schemas.openxmlformats.org/officeDocument/2006/relationships/hyperlink" Target="https://www.google.com/search?q=https%3A%2F%2Fglobal.oup.com%2Facademic%2Fproduct%2Fconstitutional-conflicts-in-contemporary-malaysia-9780198810483" TargetMode="External"/><Relationship Id="rId32" Type="http://schemas.openxmlformats.org/officeDocument/2006/relationships/hyperlink" Target="https://www.google.com/search?q=https%3A%2F%2Frevista.domhelder.edu.br%2Findex.php%2Fveredas%2Farticle%2Fview%2F4718" TargetMode="External"/><Relationship Id="rId37" Type="http://schemas.openxmlformats.org/officeDocument/2006/relationships/hyperlink" Target="https://www.google.com/search?q=https%3A%2F%2Fwww.thestar.com.my%2Fnews%2Fnation%2F2026%2F06%2F22%2Fpressure-your-mps-to-back-ag-pp-power-separation-bill-azalina-urges-public" TargetMode="External"/><Relationship Id="rId40" Type="http://schemas.openxmlformats.org/officeDocument/2006/relationships/hyperlink" Target="https://www.google.com/search?q=http%3A%2F%2Fwww.ijarp.org%2Fvolume-8-issue-6.html"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awoiwiez.edu.pl/index.php/piw/article/view/865" TargetMode="External"/><Relationship Id="rId23" Type="http://schemas.openxmlformats.org/officeDocument/2006/relationships/hyperlink" Target="https://www.google.com/search?q=https%3A%2F%2Fwww.ideas.org.my%2F%3Fsmd_process_download%3D1%26download_id%3D5724" TargetMode="External"/><Relationship Id="rId28" Type="http://schemas.openxmlformats.org/officeDocument/2006/relationships/hyperlink" Target="https://www.google.com/search?q=https%3A%2F%2Fscholars.cityu.edu.hk%2Fen%2Fpublications%2Fresearch-methods-for-law-2%2F" TargetMode="External"/><Relationship Id="rId36" Type="http://schemas.openxmlformats.org/officeDocument/2006/relationships/hyperlink" Target="https://www.google.com/search?q=https%3A%2F%2Fwww.thestar.com.my%2Fnews%2Fnation%2F2026%2F06%2F20%2Fbill-to-split-ag-and-pp-faces-final-hurdle-in-looming-parliament-debate" TargetMode="External"/><Relationship Id="rId10" Type="http://schemas.openxmlformats.org/officeDocument/2006/relationships/hyperlink" Target="https://www.google.com/search?q=https://doi.org/10.2139/ssrn.3494877" TargetMode="External"/><Relationship Id="rId19" Type="http://schemas.openxmlformats.org/officeDocument/2006/relationships/hyperlink" Target="https://www.google.com/search?q=https://www.bloomsbury.com/uk/constitution-of-malaysia-9781847319814/" TargetMode="External"/><Relationship Id="rId31" Type="http://schemas.openxmlformats.org/officeDocument/2006/relationships/hyperlink" Target="https://www.google.com/search?q=https%3A%2F%2Fwww.cambridge.org%2Fcore%2Fjournals%2Fasian-journal-of-law-and-society%2Farticle%2Frethinking-judicial-legitimacy-a-processbased-perspective-from-malaysian-corruption-trials%2F7BACFC17D0264BFF44B56709C2047722"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aliran.com/thinking-allowed-online/separating-attorney-general-and-public-prosecutor-roles-is-not-enough-heres-what-real-reform-looks-like" TargetMode="External"/><Relationship Id="rId14" Type="http://schemas.openxmlformats.org/officeDocument/2006/relationships/hyperlink" Target="https://eusee.hivos.org/alert/government-urged-to-refer-constitutional-amendments-on-attorney-general-public-prosecutor-separation-to-parliamentary-special-select-committee/" TargetMode="External"/><Relationship Id="rId22" Type="http://schemas.openxmlformats.org/officeDocument/2006/relationships/hyperlink" Target="https://www.google.com/search?q=https://doi.org/10.21153/dlr2012vol17no1art70" TargetMode="External"/><Relationship Id="rId27" Type="http://schemas.openxmlformats.org/officeDocument/2006/relationships/hyperlink" Target="https://www.google.com/search?q=https%3A%2F%2Fwww.malaysianbar.org.my%2Farticle%2Fnews%2Fpress-statements%2Fpress-statements%2Fpress-release-ag-pp-separation-requires-transparency-accountability-and-safeguards-not-mere-lip-service-or-political-compromise" TargetMode="External"/><Relationship Id="rId30" Type="http://schemas.openxmlformats.org/officeDocument/2006/relationships/hyperlink" Target="https://www.google.com/search?q=https%3A%2F%2Fwww.sinardaily.my%2Farticle%2F737136%2Ffocus%2Fnational%2Finstitutional-reform-key-to-strengthening-public-trust-in-justice-system" TargetMode="External"/><Relationship Id="rId35" Type="http://schemas.openxmlformats.org/officeDocument/2006/relationships/hyperlink" Target="https://www.google.com/search?q=https%3A%2F%2Fwww.thestar.com.my%2Fnews%2Fnation%2F2025%2F09%2F10%2Fgovt-agrees-in-principle-to-fully-split-attorney-general-public-prosecutors-role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google.com/search?q=https://doi.org/10.31436/iiumlj.v23i2.188" TargetMode="External"/><Relationship Id="rId3" Type="http://schemas.openxmlformats.org/officeDocument/2006/relationships/settings" Target="settings.xml"/><Relationship Id="rId12" Type="http://schemas.openxmlformats.org/officeDocument/2006/relationships/hyperlink" Target="https://bersih.org/2026/03/02/a-parliamentary-select-committee-must-review-all-aspects-of-the-constitution-amendment-bill-separating-the-role-of-attorney-general-and-public-prosecutor/" TargetMode="External"/><Relationship Id="rId17" Type="http://schemas.openxmlformats.org/officeDocument/2006/relationships/hyperlink" Target="https://www.google.com/search?q=https://doi.org/10.1086/703749" TargetMode="External"/><Relationship Id="rId25" Type="http://schemas.openxmlformats.org/officeDocument/2006/relationships/hyperlink" Target="https://www.google.com/search?q=https%3A%2F%2Fwww.malaysianbar.org.my%2Fcms%2Fupload_files%2Fdocument%2FINSAF%2520June%25202025.pdf" TargetMode="External"/><Relationship Id="rId33" Type="http://schemas.openxmlformats.org/officeDocument/2006/relationships/hyperlink" Target="https://www.google.com/search?q=https%3A%2F%2Fdoi.org%2F10.1017%2Fs0829320100010073" TargetMode="External"/><Relationship Id="rId38" Type="http://schemas.openxmlformats.org/officeDocument/2006/relationships/hyperlink" Target="https://www.google.com/search?q=https%3A%2F%2Fwww.iseas.edu.sg%2Farticles-commentaries%2Fiseas-perspective%2F2024-50-whither-institutional-reform-in-malaysia-by-meredith-l-weiss%2F" TargetMode="External"/><Relationship Id="rId46" Type="http://schemas.openxmlformats.org/officeDocument/2006/relationships/footer" Target="footer3.xml"/><Relationship Id="rId20" Type="http://schemas.openxmlformats.org/officeDocument/2006/relationships/hyperlink" Target="https://iaca.int/media/attachments/2018/07/24/chin_chin_hong_masters_thesis.pdf"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4715</Words>
  <Characters>33151</Characters>
  <Application>Microsoft Office Word</Application>
  <DocSecurity>0</DocSecurity>
  <Lines>494</Lines>
  <Paragraphs>138</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UNSHACKLING THE PROSECUTOR: A COMPARATIVE ANALYSIS OF PROSECUTORAL INDEPENDENCE </vt:lpstr>
      <vt:lpstr/>
      <vt:lpstr>    INTRODUCTION</vt:lpstr>
      <vt:lpstr>    THE PRE-JUNE 22, 2026, LEGAL POSITION: STRUCTURAL FUSED POWER</vt:lpstr>
      <vt:lpstr>    </vt:lpstr>
      <vt:lpstr>    COMPARATIVE MODELS: THE UNITED KINGDOM AND INDIAN LEGAL FRAMEWORKS</vt:lpstr>
      <vt:lpstr>    </vt:lpstr>
      <vt:lpstr>        The United Kingdom: The Bifurcated Executive and the Shawcross Doctrine</vt:lpstr>
      <vt:lpstr>        The Indian Framework: Structural Separation and Decentralised Prosecution</vt:lpstr>
      <vt:lpstr>        </vt:lpstr>
      <vt:lpstr>    KEY REFORMS AND THEMES UNDER THE AMENDMENT ACT</vt:lpstr>
      <vt:lpstr>        Implementing a Multi-Layered, Merit-Based Appointment Process</vt:lpstr>
      <vt:lpstr>        </vt:lpstr>
      <vt:lpstr>        Safeguarding Security of Tenure and Financial Autonomy</vt:lpstr>
      <vt:lpstr>        </vt:lpstr>
      <vt:lpstr>        Constructing Explicit Accountability and Oversight Mechanisms</vt:lpstr>
      <vt:lpstr>        Restoring Public Legitimacy and Addressing Procedural Legacies</vt:lpstr>
      <vt:lpstr>        </vt:lpstr>
      <vt:lpstr>    </vt:lpstr>
      <vt:lpstr>    5. CONCLUSION</vt:lpstr>
      <vt:lpstr>    </vt:lpstr>
      <vt:lpstr>    SUBSEQUENT POLICY RECOMMENDATIONS</vt:lpstr>
      <vt:lpstr>    </vt:lpstr>
      <vt:lpstr>    REFERENCES</vt:lpstr>
      <vt:lpstr>    </vt:lpstr>
    </vt:vector>
  </TitlesOfParts>
  <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 hamin</dc:creator>
  <cp:keywords/>
  <dc:description/>
  <cp:lastModifiedBy>zai hamin</cp:lastModifiedBy>
  <cp:revision>2</cp:revision>
  <dcterms:created xsi:type="dcterms:W3CDTF">2026-06-24T16:01:00Z</dcterms:created>
  <dcterms:modified xsi:type="dcterms:W3CDTF">2026-06-24T16:01:00Z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843f4265-1e96-45b3-bbfd-6e3be8301ff6</vt:lpwstr>
  </property>
</Properties>
</file>