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92B0" w14:textId="77777777" w:rsidR="002E08BD" w:rsidRPr="0017728B" w:rsidRDefault="003A049D" w:rsidP="00270C1D">
      <w:pPr>
        <w:suppressAutoHyphens/>
        <w:spacing w:before="1247" w:after="340" w:line="240" w:lineRule="auto"/>
        <w:ind w:right="-176"/>
        <w:jc w:val="center"/>
        <w:rPr>
          <w:rFonts w:ascii="Arial" w:eastAsia="Times New Roman" w:hAnsi="Arial" w:cs="Arial"/>
          <w:b/>
          <w:sz w:val="32"/>
          <w:szCs w:val="32"/>
          <w:lang w:val="en-US" w:eastAsia="ar-SA"/>
        </w:rPr>
      </w:pPr>
      <w:r w:rsidRPr="0017728B">
        <w:rPr>
          <w:rFonts w:ascii="Arial" w:eastAsia="Times New Roman" w:hAnsi="Arial" w:cs="Arial"/>
          <w:b/>
          <w:sz w:val="32"/>
          <w:szCs w:val="32"/>
          <w:lang w:val="en-US" w:eastAsia="ar-SA"/>
        </w:rPr>
        <w:t>Health care security in primary healthcare context</w:t>
      </w:r>
    </w:p>
    <w:p w14:paraId="55C1FD7F" w14:textId="2B9025AC" w:rsidR="0017728B" w:rsidRDefault="0017728B" w:rsidP="0017728B">
      <w:pPr>
        <w:suppressAutoHyphens/>
        <w:spacing w:after="0" w:line="240" w:lineRule="auto"/>
        <w:ind w:right="-174"/>
        <w:rPr>
          <w:rFonts w:ascii="Times New Roman" w:eastAsia="Times New Roman" w:hAnsi="Times New Roman" w:cs="Times New Roman"/>
          <w:bCs/>
          <w:iCs/>
          <w:sz w:val="20"/>
          <w:szCs w:val="20"/>
          <w:vertAlign w:val="superscript"/>
          <w:lang w:val="en-US" w:eastAsia="ar-SA"/>
        </w:rPr>
      </w:pPr>
      <w:r w:rsidRPr="004B53E9">
        <w:rPr>
          <w:rFonts w:ascii="Times New Roman" w:eastAsia="Times New Roman" w:hAnsi="Times New Roman" w:cs="Times New Roman"/>
          <w:bCs/>
          <w:i/>
          <w:sz w:val="20"/>
          <w:szCs w:val="20"/>
          <w:lang w:val="en-US" w:eastAsia="ar-SA"/>
        </w:rPr>
        <w:t>H</w:t>
      </w:r>
      <w:r>
        <w:rPr>
          <w:rFonts w:ascii="Times New Roman" w:eastAsia="Times New Roman" w:hAnsi="Times New Roman" w:cs="Times New Roman"/>
          <w:bCs/>
          <w:i/>
          <w:sz w:val="20"/>
          <w:szCs w:val="20"/>
          <w:lang w:val="en-US" w:eastAsia="ar-SA"/>
        </w:rPr>
        <w:t>ayate</w:t>
      </w:r>
      <w:r w:rsidRPr="004B53E9">
        <w:rPr>
          <w:rFonts w:ascii="Times New Roman" w:eastAsia="Times New Roman" w:hAnsi="Times New Roman" w:cs="Times New Roman"/>
          <w:bCs/>
          <w:i/>
          <w:sz w:val="20"/>
          <w:szCs w:val="20"/>
          <w:lang w:val="en-US" w:eastAsia="ar-SA"/>
        </w:rPr>
        <w:t xml:space="preserve"> </w:t>
      </w:r>
      <w:r w:rsidRPr="00780709">
        <w:rPr>
          <w:rFonts w:ascii="Times New Roman" w:eastAsia="Times New Roman" w:hAnsi="Times New Roman" w:cs="Times New Roman"/>
          <w:bCs/>
          <w:iCs/>
          <w:sz w:val="20"/>
          <w:szCs w:val="20"/>
          <w:lang w:val="en-US" w:eastAsia="ar-SA"/>
        </w:rPr>
        <w:t>Koubri</w:t>
      </w:r>
      <w:r w:rsidR="007A5459">
        <w:rPr>
          <w:rFonts w:ascii="Times New Roman" w:eastAsia="Times New Roman" w:hAnsi="Times New Roman" w:cs="Times New Roman"/>
          <w:bCs/>
          <w:iCs/>
          <w:sz w:val="20"/>
          <w:szCs w:val="20"/>
          <w:vertAlign w:val="superscript"/>
          <w:lang w:val="en-US" w:eastAsia="ar-SA"/>
        </w:rPr>
        <w:t>1</w:t>
      </w:r>
      <w:r w:rsidR="005B27B9">
        <w:rPr>
          <w:rFonts w:ascii="Times New Roman" w:eastAsia="Times New Roman" w:hAnsi="Times New Roman" w:cs="Times New Roman"/>
          <w:bCs/>
          <w:iCs/>
          <w:sz w:val="20"/>
          <w:szCs w:val="20"/>
          <w:vertAlign w:val="superscript"/>
          <w:lang w:val="en-US" w:eastAsia="ar-SA"/>
        </w:rPr>
        <w:t>&amp;2</w:t>
      </w:r>
      <w:r w:rsidR="007A5459" w:rsidRPr="007A5459">
        <w:rPr>
          <w:rFonts w:ascii="Times New Roman" w:eastAsia="Times New Roman" w:hAnsi="Times New Roman" w:cs="Times New Roman"/>
          <w:bCs/>
          <w:i/>
          <w:sz w:val="20"/>
          <w:szCs w:val="20"/>
          <w:lang w:val="en-US" w:eastAsia="ar-SA"/>
        </w:rPr>
        <w:t>, Abdelmajid</w:t>
      </w:r>
      <w:r w:rsidR="007A5459" w:rsidRPr="004B53E9">
        <w:rPr>
          <w:rFonts w:ascii="Times New Roman" w:eastAsia="Times New Roman" w:hAnsi="Times New Roman" w:cs="Times New Roman"/>
          <w:bCs/>
          <w:i/>
          <w:sz w:val="20"/>
          <w:szCs w:val="20"/>
          <w:lang w:val="en-US" w:eastAsia="ar-SA"/>
        </w:rPr>
        <w:t xml:space="preserve"> </w:t>
      </w:r>
      <w:r w:rsidR="007A5459" w:rsidRPr="00780709">
        <w:rPr>
          <w:rFonts w:ascii="Times New Roman" w:eastAsia="Times New Roman" w:hAnsi="Times New Roman" w:cs="Times New Roman"/>
          <w:bCs/>
          <w:iCs/>
          <w:sz w:val="20"/>
          <w:szCs w:val="20"/>
          <w:lang w:val="en-US" w:eastAsia="ar-SA"/>
        </w:rPr>
        <w:t>Soulaymani</w:t>
      </w:r>
      <w:r w:rsidR="005B27B9">
        <w:rPr>
          <w:rFonts w:ascii="Times New Roman" w:eastAsia="Times New Roman" w:hAnsi="Times New Roman" w:cs="Times New Roman"/>
          <w:bCs/>
          <w:iCs/>
          <w:sz w:val="20"/>
          <w:szCs w:val="20"/>
          <w:vertAlign w:val="superscript"/>
          <w:lang w:val="en-US" w:eastAsia="ar-SA"/>
        </w:rPr>
        <w:t>2</w:t>
      </w:r>
      <w:r w:rsidR="007A5459" w:rsidRPr="004B53E9">
        <w:rPr>
          <w:rFonts w:ascii="Times New Roman" w:eastAsia="Times New Roman" w:hAnsi="Times New Roman" w:cs="Times New Roman"/>
          <w:bCs/>
          <w:i/>
          <w:sz w:val="20"/>
          <w:szCs w:val="20"/>
          <w:lang w:val="en-US" w:eastAsia="ar-SA"/>
        </w:rPr>
        <w:t>,</w:t>
      </w:r>
      <w:r w:rsidRPr="004B53E9">
        <w:rPr>
          <w:rFonts w:ascii="Times New Roman" w:eastAsia="Times New Roman" w:hAnsi="Times New Roman" w:cs="Times New Roman"/>
          <w:bCs/>
          <w:i/>
          <w:sz w:val="20"/>
          <w:szCs w:val="20"/>
          <w:lang w:val="en-US" w:eastAsia="ar-SA"/>
        </w:rPr>
        <w:t xml:space="preserve"> N</w:t>
      </w:r>
      <w:r>
        <w:rPr>
          <w:rFonts w:ascii="Times New Roman" w:eastAsia="Times New Roman" w:hAnsi="Times New Roman" w:cs="Times New Roman"/>
          <w:bCs/>
          <w:i/>
          <w:sz w:val="20"/>
          <w:szCs w:val="20"/>
          <w:lang w:val="en-US" w:eastAsia="ar-SA"/>
        </w:rPr>
        <w:t>azih</w:t>
      </w:r>
      <w:r w:rsidRPr="004B53E9">
        <w:rPr>
          <w:rFonts w:ascii="Times New Roman" w:eastAsia="Times New Roman" w:hAnsi="Times New Roman" w:cs="Times New Roman"/>
          <w:bCs/>
          <w:i/>
          <w:sz w:val="20"/>
          <w:szCs w:val="20"/>
          <w:lang w:val="en-US" w:eastAsia="ar-SA"/>
        </w:rPr>
        <w:t xml:space="preserve"> </w:t>
      </w:r>
      <w:r w:rsidRPr="00780709">
        <w:rPr>
          <w:rFonts w:ascii="Times New Roman" w:eastAsia="Times New Roman" w:hAnsi="Times New Roman" w:cs="Times New Roman"/>
          <w:bCs/>
          <w:iCs/>
          <w:sz w:val="20"/>
          <w:szCs w:val="20"/>
          <w:lang w:val="en-US" w:eastAsia="ar-SA"/>
        </w:rPr>
        <w:t>El Kouartey</w:t>
      </w:r>
      <w:r w:rsidR="005B27B9">
        <w:rPr>
          <w:rFonts w:ascii="Times New Roman" w:eastAsia="Times New Roman" w:hAnsi="Times New Roman" w:cs="Times New Roman"/>
          <w:bCs/>
          <w:iCs/>
          <w:sz w:val="20"/>
          <w:szCs w:val="20"/>
          <w:vertAlign w:val="superscript"/>
          <w:lang w:val="en-US" w:eastAsia="ar-SA"/>
        </w:rPr>
        <w:t>3</w:t>
      </w:r>
      <w:r w:rsidR="001257B7">
        <w:rPr>
          <w:rFonts w:ascii="Times New Roman" w:eastAsia="Times New Roman" w:hAnsi="Times New Roman" w:cs="Times New Roman"/>
          <w:bCs/>
          <w:iCs/>
          <w:sz w:val="20"/>
          <w:szCs w:val="20"/>
          <w:lang w:val="en-US" w:eastAsia="ar-SA"/>
        </w:rPr>
        <w:t>,</w:t>
      </w:r>
      <w:r w:rsidRPr="004B53E9">
        <w:rPr>
          <w:rFonts w:ascii="Times New Roman" w:eastAsia="Times New Roman" w:hAnsi="Times New Roman" w:cs="Times New Roman"/>
          <w:bCs/>
          <w:i/>
          <w:sz w:val="20"/>
          <w:szCs w:val="20"/>
          <w:lang w:val="en-US" w:eastAsia="ar-SA"/>
        </w:rPr>
        <w:t xml:space="preserve"> </w:t>
      </w:r>
      <w:r>
        <w:rPr>
          <w:rFonts w:ascii="Times New Roman" w:eastAsia="Times New Roman" w:hAnsi="Times New Roman" w:cs="Times New Roman"/>
          <w:bCs/>
          <w:i/>
          <w:sz w:val="20"/>
          <w:szCs w:val="20"/>
          <w:lang w:val="en-US" w:eastAsia="ar-SA"/>
        </w:rPr>
        <w:t xml:space="preserve">and </w:t>
      </w:r>
      <w:r w:rsidR="007A5459" w:rsidRPr="004B53E9">
        <w:rPr>
          <w:rFonts w:ascii="Times New Roman" w:eastAsia="Times New Roman" w:hAnsi="Times New Roman" w:cs="Times New Roman"/>
          <w:bCs/>
          <w:i/>
          <w:sz w:val="20"/>
          <w:szCs w:val="20"/>
          <w:lang w:val="en-US" w:eastAsia="ar-SA"/>
        </w:rPr>
        <w:t>H</w:t>
      </w:r>
      <w:r w:rsidR="007A5459">
        <w:rPr>
          <w:rFonts w:ascii="Times New Roman" w:eastAsia="Times New Roman" w:hAnsi="Times New Roman" w:cs="Times New Roman"/>
          <w:bCs/>
          <w:i/>
          <w:sz w:val="20"/>
          <w:szCs w:val="20"/>
          <w:lang w:val="en-US" w:eastAsia="ar-SA"/>
        </w:rPr>
        <w:t>ind</w:t>
      </w:r>
      <w:r w:rsidR="007A5459" w:rsidRPr="004B53E9">
        <w:rPr>
          <w:rFonts w:ascii="Times New Roman" w:eastAsia="Times New Roman" w:hAnsi="Times New Roman" w:cs="Times New Roman"/>
          <w:bCs/>
          <w:i/>
          <w:sz w:val="20"/>
          <w:szCs w:val="20"/>
          <w:lang w:val="en-US" w:eastAsia="ar-SA"/>
        </w:rPr>
        <w:t xml:space="preserve"> </w:t>
      </w:r>
      <w:r w:rsidR="007A5459" w:rsidRPr="00780709">
        <w:rPr>
          <w:rFonts w:ascii="Times New Roman" w:eastAsia="Times New Roman" w:hAnsi="Times New Roman" w:cs="Times New Roman"/>
          <w:bCs/>
          <w:iCs/>
          <w:sz w:val="20"/>
          <w:szCs w:val="20"/>
          <w:lang w:val="en-US" w:eastAsia="ar-SA"/>
        </w:rPr>
        <w:t>Hami</w:t>
      </w:r>
      <w:r w:rsidR="005B27B9">
        <w:rPr>
          <w:rFonts w:ascii="Times New Roman" w:eastAsia="Times New Roman" w:hAnsi="Times New Roman" w:cs="Times New Roman"/>
          <w:bCs/>
          <w:iCs/>
          <w:sz w:val="20"/>
          <w:szCs w:val="20"/>
          <w:vertAlign w:val="superscript"/>
          <w:lang w:val="en-US" w:eastAsia="ar-SA"/>
        </w:rPr>
        <w:t>2</w:t>
      </w:r>
    </w:p>
    <w:p w14:paraId="16E5B842" w14:textId="324CBA6C" w:rsidR="004F3726" w:rsidRDefault="004F3726" w:rsidP="0017728B">
      <w:pPr>
        <w:suppressAutoHyphens/>
        <w:spacing w:after="0" w:line="240" w:lineRule="auto"/>
        <w:ind w:right="-174"/>
        <w:rPr>
          <w:rFonts w:ascii="Times New Roman" w:eastAsia="Times New Roman" w:hAnsi="Times New Roman" w:cs="Times New Roman"/>
          <w:bCs/>
          <w:iCs/>
          <w:sz w:val="20"/>
          <w:szCs w:val="20"/>
          <w:vertAlign w:val="superscript"/>
          <w:lang w:val="en-US" w:eastAsia="ar-SA"/>
        </w:rPr>
      </w:pPr>
    </w:p>
    <w:p w14:paraId="44989A40" w14:textId="77777777" w:rsidR="00010D05" w:rsidRPr="00354918" w:rsidRDefault="00010D05" w:rsidP="0017728B">
      <w:pPr>
        <w:suppressAutoHyphens/>
        <w:spacing w:after="0" w:line="240" w:lineRule="auto"/>
        <w:ind w:right="-174"/>
        <w:rPr>
          <w:rFonts w:ascii="Times New Roman" w:eastAsia="Times New Roman" w:hAnsi="Times New Roman" w:cs="Times New Roman"/>
          <w:bCs/>
          <w:iCs/>
          <w:sz w:val="20"/>
          <w:szCs w:val="20"/>
          <w:lang w:val="en-US" w:eastAsia="ar-SA"/>
        </w:rPr>
      </w:pPr>
    </w:p>
    <w:p w14:paraId="034A9135" w14:textId="4C38D9A7" w:rsidR="005B27B9" w:rsidRPr="005B27B9" w:rsidRDefault="0017728B" w:rsidP="005B27B9">
      <w:pPr>
        <w:suppressAutoHyphens/>
        <w:spacing w:after="0" w:line="240" w:lineRule="auto"/>
        <w:ind w:right="-174"/>
        <w:rPr>
          <w:rFonts w:ascii="Times New Roman" w:eastAsia="Times New Roman" w:hAnsi="Times New Roman" w:cs="Times New Roman"/>
          <w:bCs/>
          <w:iCs/>
          <w:sz w:val="18"/>
          <w:szCs w:val="18"/>
          <w:lang w:val="en-US" w:eastAsia="ar-SA"/>
        </w:rPr>
      </w:pPr>
      <w:r>
        <w:rPr>
          <w:rFonts w:ascii="Times New Roman" w:eastAsia="Times New Roman" w:hAnsi="Times New Roman" w:cs="Times New Roman"/>
          <w:bCs/>
          <w:sz w:val="18"/>
          <w:szCs w:val="18"/>
          <w:vertAlign w:val="superscript"/>
          <w:lang w:val="en-US" w:eastAsia="ar-SA"/>
        </w:rPr>
        <w:t>1</w:t>
      </w:r>
      <w:r w:rsidRPr="00E42349">
        <w:rPr>
          <w:rFonts w:ascii="Times New Roman" w:eastAsia="Times New Roman" w:hAnsi="Times New Roman" w:cs="Times New Roman"/>
          <w:bCs/>
          <w:sz w:val="18"/>
          <w:szCs w:val="18"/>
          <w:lang w:val="en-US" w:eastAsia="ar-SA"/>
        </w:rPr>
        <w:t xml:space="preserve"> </w:t>
      </w:r>
      <w:r w:rsidR="005B27B9" w:rsidRPr="001257B7">
        <w:rPr>
          <w:rFonts w:ascii="Times New Roman" w:eastAsia="Times New Roman" w:hAnsi="Times New Roman" w:cs="Times New Roman"/>
          <w:bCs/>
          <w:iCs/>
          <w:sz w:val="18"/>
          <w:szCs w:val="18"/>
          <w:lang w:val="en-US" w:eastAsia="ar-SA"/>
        </w:rPr>
        <w:t>National School of</w:t>
      </w:r>
      <w:r w:rsidR="005B27B9">
        <w:rPr>
          <w:rFonts w:ascii="Times New Roman" w:eastAsia="Times New Roman" w:hAnsi="Times New Roman" w:cs="Times New Roman"/>
          <w:bCs/>
          <w:iCs/>
          <w:sz w:val="18"/>
          <w:szCs w:val="18"/>
          <w:lang w:val="en-US" w:eastAsia="ar-SA"/>
        </w:rPr>
        <w:t xml:space="preserve"> </w:t>
      </w:r>
      <w:r w:rsidR="005B27B9" w:rsidRPr="001257B7">
        <w:rPr>
          <w:rFonts w:ascii="Times New Roman" w:eastAsia="Times New Roman" w:hAnsi="Times New Roman" w:cs="Times New Roman"/>
          <w:bCs/>
          <w:iCs/>
          <w:sz w:val="18"/>
          <w:szCs w:val="18"/>
          <w:lang w:val="en-US" w:eastAsia="ar-SA"/>
        </w:rPr>
        <w:t>Public Health</w:t>
      </w:r>
      <w:r w:rsidR="005B27B9">
        <w:rPr>
          <w:rFonts w:ascii="Times New Roman" w:eastAsia="Times New Roman" w:hAnsi="Times New Roman" w:cs="Times New Roman"/>
          <w:bCs/>
          <w:iCs/>
          <w:sz w:val="18"/>
          <w:szCs w:val="18"/>
          <w:lang w:val="en-US" w:eastAsia="ar-SA"/>
        </w:rPr>
        <w:t>.</w:t>
      </w:r>
      <w:r w:rsidR="005B27B9" w:rsidRPr="005B27B9">
        <w:rPr>
          <w:rFonts w:ascii="Times New Roman" w:eastAsia="Times New Roman" w:hAnsi="Times New Roman" w:cs="Times New Roman"/>
          <w:bCs/>
          <w:sz w:val="18"/>
          <w:szCs w:val="18"/>
          <w:lang w:val="en-US" w:eastAsia="ar-SA"/>
        </w:rPr>
        <w:t xml:space="preserve"> </w:t>
      </w:r>
      <w:r w:rsidR="005B27B9">
        <w:rPr>
          <w:rFonts w:ascii="Times New Roman" w:eastAsia="Times New Roman" w:hAnsi="Times New Roman" w:cs="Times New Roman"/>
          <w:bCs/>
          <w:sz w:val="18"/>
          <w:szCs w:val="18"/>
          <w:lang w:val="en-US" w:eastAsia="ar-SA"/>
        </w:rPr>
        <w:t>Morocco.</w:t>
      </w:r>
      <w:r w:rsidR="005B27B9" w:rsidRPr="00E42349">
        <w:rPr>
          <w:rFonts w:ascii="Times New Roman" w:eastAsia="Times New Roman" w:hAnsi="Times New Roman" w:cs="Times New Roman"/>
          <w:bCs/>
          <w:sz w:val="18"/>
          <w:szCs w:val="18"/>
          <w:lang w:val="en-US" w:eastAsia="ar-SA"/>
        </w:rPr>
        <w:t xml:space="preserve"> </w:t>
      </w:r>
      <w:r w:rsidR="005B27B9" w:rsidRPr="00EE7B9F">
        <w:rPr>
          <w:rFonts w:ascii="Times New Roman" w:eastAsia="Times New Roman" w:hAnsi="Times New Roman" w:cs="Times New Roman"/>
          <w:bCs/>
          <w:i/>
          <w:iCs/>
          <w:sz w:val="18"/>
          <w:szCs w:val="18"/>
          <w:lang w:val="en-US" w:eastAsia="ar-SA"/>
        </w:rPr>
        <w:t>hayate.koubri@uit.ac.ma</w:t>
      </w:r>
    </w:p>
    <w:p w14:paraId="3A7A0A96" w14:textId="424D6FEF" w:rsidR="005B27B9" w:rsidRDefault="005B27B9" w:rsidP="00222176">
      <w:pPr>
        <w:suppressAutoHyphens/>
        <w:spacing w:after="0" w:line="240" w:lineRule="auto"/>
        <w:ind w:right="-174"/>
        <w:rPr>
          <w:rFonts w:ascii="Times New Roman" w:eastAsia="Times New Roman" w:hAnsi="Times New Roman" w:cs="Times New Roman"/>
          <w:bCs/>
          <w:sz w:val="18"/>
          <w:szCs w:val="18"/>
          <w:lang w:val="en-US" w:eastAsia="ar-SA"/>
        </w:rPr>
      </w:pPr>
      <w:r w:rsidRPr="00E42349">
        <w:rPr>
          <w:rFonts w:ascii="Times New Roman" w:eastAsia="Times New Roman" w:hAnsi="Times New Roman" w:cs="Times New Roman"/>
          <w:bCs/>
          <w:iCs/>
          <w:sz w:val="18"/>
          <w:szCs w:val="18"/>
          <w:vertAlign w:val="superscript"/>
          <w:lang w:val="en-US" w:eastAsia="ar-SA"/>
        </w:rPr>
        <w:t>2</w:t>
      </w:r>
      <w:r>
        <w:rPr>
          <w:rFonts w:ascii="Times New Roman" w:eastAsia="Times New Roman" w:hAnsi="Times New Roman" w:cs="Times New Roman"/>
          <w:bCs/>
          <w:iCs/>
          <w:sz w:val="18"/>
          <w:szCs w:val="18"/>
          <w:vertAlign w:val="superscript"/>
          <w:lang w:val="en-US" w:eastAsia="ar-SA"/>
        </w:rPr>
        <w:t xml:space="preserve"> </w:t>
      </w:r>
      <w:r w:rsidR="0017728B" w:rsidRPr="00E42349">
        <w:rPr>
          <w:rFonts w:ascii="Times New Roman" w:eastAsia="Times New Roman" w:hAnsi="Times New Roman" w:cs="Times New Roman"/>
          <w:bCs/>
          <w:sz w:val="18"/>
          <w:szCs w:val="18"/>
          <w:lang w:val="en-US" w:eastAsia="ar-SA"/>
        </w:rPr>
        <w:t xml:space="preserve">Laboratory of Biology and Health, Faculty of Science, Ibn </w:t>
      </w:r>
      <w:proofErr w:type="spellStart"/>
      <w:r w:rsidR="0017728B" w:rsidRPr="00E42349">
        <w:rPr>
          <w:rFonts w:ascii="Times New Roman" w:eastAsia="Times New Roman" w:hAnsi="Times New Roman" w:cs="Times New Roman"/>
          <w:bCs/>
          <w:sz w:val="18"/>
          <w:szCs w:val="18"/>
          <w:lang w:val="en-US" w:eastAsia="ar-SA"/>
        </w:rPr>
        <w:t>Tofa</w:t>
      </w:r>
      <w:r w:rsidR="00222176">
        <w:rPr>
          <w:rFonts w:ascii="Times New Roman" w:eastAsia="Times New Roman" w:hAnsi="Times New Roman" w:cs="Times New Roman"/>
          <w:bCs/>
          <w:sz w:val="18"/>
          <w:szCs w:val="18"/>
          <w:lang w:val="en-US" w:eastAsia="ar-SA"/>
        </w:rPr>
        <w:t>ïl</w:t>
      </w:r>
      <w:proofErr w:type="spellEnd"/>
      <w:r w:rsidR="00222176">
        <w:rPr>
          <w:rFonts w:ascii="Times New Roman" w:eastAsia="Times New Roman" w:hAnsi="Times New Roman" w:cs="Times New Roman"/>
          <w:bCs/>
          <w:sz w:val="18"/>
          <w:szCs w:val="18"/>
          <w:lang w:val="en-US" w:eastAsia="ar-SA"/>
        </w:rPr>
        <w:t xml:space="preserve"> University, </w:t>
      </w:r>
      <w:proofErr w:type="spellStart"/>
      <w:r w:rsidR="00222176">
        <w:rPr>
          <w:rFonts w:ascii="Times New Roman" w:eastAsia="Times New Roman" w:hAnsi="Times New Roman" w:cs="Times New Roman"/>
          <w:bCs/>
          <w:sz w:val="18"/>
          <w:szCs w:val="18"/>
          <w:lang w:val="en-US" w:eastAsia="ar-SA"/>
        </w:rPr>
        <w:t>Kénitra</w:t>
      </w:r>
      <w:proofErr w:type="spellEnd"/>
      <w:r w:rsidR="00222176">
        <w:rPr>
          <w:rFonts w:ascii="Times New Roman" w:eastAsia="Times New Roman" w:hAnsi="Times New Roman" w:cs="Times New Roman"/>
          <w:bCs/>
          <w:sz w:val="18"/>
          <w:szCs w:val="18"/>
          <w:lang w:val="en-US" w:eastAsia="ar-SA"/>
        </w:rPr>
        <w:t>, Morocco</w:t>
      </w:r>
      <w:r>
        <w:rPr>
          <w:rFonts w:ascii="Times New Roman" w:eastAsia="Times New Roman" w:hAnsi="Times New Roman" w:cs="Times New Roman"/>
          <w:bCs/>
          <w:sz w:val="18"/>
          <w:szCs w:val="18"/>
          <w:lang w:val="en-US" w:eastAsia="ar-SA"/>
        </w:rPr>
        <w:t>.</w:t>
      </w:r>
      <w:r w:rsidRPr="005B27B9">
        <w:rPr>
          <w:rFonts w:ascii="Times New Roman" w:eastAsia="Times New Roman" w:hAnsi="Times New Roman" w:cs="Times New Roman"/>
          <w:bCs/>
          <w:i/>
          <w:sz w:val="18"/>
          <w:szCs w:val="18"/>
          <w:lang w:val="en-US" w:eastAsia="ar-SA"/>
        </w:rPr>
        <w:t xml:space="preserve"> </w:t>
      </w:r>
      <w:r w:rsidRPr="004B53E9">
        <w:rPr>
          <w:rFonts w:ascii="Times New Roman" w:eastAsia="Times New Roman" w:hAnsi="Times New Roman" w:cs="Times New Roman"/>
          <w:bCs/>
          <w:i/>
          <w:sz w:val="18"/>
          <w:szCs w:val="18"/>
          <w:lang w:val="en-US" w:eastAsia="ar-SA"/>
        </w:rPr>
        <w:t>soulaymani@uit.ac.ma</w:t>
      </w:r>
    </w:p>
    <w:p w14:paraId="05649B09" w14:textId="74F703FE" w:rsidR="0017728B" w:rsidRDefault="005B27B9" w:rsidP="00270C1D">
      <w:pPr>
        <w:suppressAutoHyphens/>
        <w:spacing w:after="0" w:line="240" w:lineRule="auto"/>
        <w:ind w:right="-174"/>
        <w:rPr>
          <w:rFonts w:ascii="Times New Roman" w:eastAsia="Times New Roman" w:hAnsi="Times New Roman" w:cs="Times New Roman"/>
          <w:bCs/>
          <w:i/>
          <w:sz w:val="18"/>
          <w:szCs w:val="18"/>
          <w:lang w:val="en-US" w:eastAsia="ar-SA"/>
        </w:rPr>
      </w:pPr>
      <w:r>
        <w:rPr>
          <w:rFonts w:ascii="Times New Roman" w:eastAsia="Times New Roman" w:hAnsi="Times New Roman" w:cs="Times New Roman"/>
          <w:bCs/>
          <w:iCs/>
          <w:sz w:val="18"/>
          <w:szCs w:val="18"/>
          <w:vertAlign w:val="superscript"/>
          <w:lang w:val="en-US" w:eastAsia="ar-SA"/>
        </w:rPr>
        <w:t>3</w:t>
      </w:r>
      <w:r w:rsidR="0017728B" w:rsidRPr="00E42349">
        <w:rPr>
          <w:rFonts w:ascii="Times New Roman" w:eastAsia="Times New Roman" w:hAnsi="Times New Roman" w:cs="Times New Roman"/>
          <w:bCs/>
          <w:iCs/>
          <w:sz w:val="18"/>
          <w:szCs w:val="18"/>
          <w:lang w:val="en-US" w:eastAsia="ar-SA"/>
        </w:rPr>
        <w:t xml:space="preserve"> </w:t>
      </w:r>
      <w:r w:rsidR="00270C1D" w:rsidRPr="00270C1D">
        <w:rPr>
          <w:rFonts w:ascii="Times New Roman" w:eastAsia="Times New Roman" w:hAnsi="Times New Roman" w:cs="Times New Roman"/>
          <w:bCs/>
          <w:iCs/>
          <w:sz w:val="18"/>
          <w:szCs w:val="18"/>
          <w:lang w:val="en-US" w:eastAsia="ar-SA"/>
        </w:rPr>
        <w:t>World Health Organization, Rabat office</w:t>
      </w:r>
      <w:r w:rsidR="0017728B" w:rsidRPr="00E42349">
        <w:rPr>
          <w:rFonts w:ascii="Times New Roman" w:eastAsia="Times New Roman" w:hAnsi="Times New Roman" w:cs="Times New Roman"/>
          <w:bCs/>
          <w:iCs/>
          <w:sz w:val="18"/>
          <w:szCs w:val="18"/>
          <w:lang w:val="en-US" w:eastAsia="ar-SA"/>
        </w:rPr>
        <w:t xml:space="preserve">, Morocco. </w:t>
      </w:r>
      <w:r w:rsidR="0017728B" w:rsidRPr="00EE7B9F">
        <w:rPr>
          <w:rFonts w:ascii="Times New Roman" w:eastAsia="Times New Roman" w:hAnsi="Times New Roman" w:cs="Times New Roman"/>
          <w:bCs/>
          <w:i/>
          <w:sz w:val="18"/>
          <w:szCs w:val="18"/>
          <w:lang w:val="en-US" w:eastAsia="ar-SA"/>
        </w:rPr>
        <w:t>dr.elkouartey@gmail.com</w:t>
      </w:r>
    </w:p>
    <w:p w14:paraId="29F77CE6" w14:textId="7E968345" w:rsidR="0017728B" w:rsidRPr="004B53E9" w:rsidRDefault="005B27B9" w:rsidP="00270C1D">
      <w:pPr>
        <w:suppressAutoHyphens/>
        <w:spacing w:after="0" w:line="240" w:lineRule="auto"/>
        <w:ind w:right="-174"/>
        <w:rPr>
          <w:rFonts w:ascii="Times New Roman" w:eastAsia="Times New Roman" w:hAnsi="Times New Roman" w:cs="Times New Roman"/>
          <w:bCs/>
          <w:iCs/>
          <w:sz w:val="18"/>
          <w:szCs w:val="18"/>
          <w:lang w:val="en-US" w:eastAsia="ar-SA"/>
        </w:rPr>
      </w:pPr>
      <w:r>
        <w:rPr>
          <w:rFonts w:ascii="Times New Roman" w:eastAsia="Times New Roman" w:hAnsi="Times New Roman" w:cs="Times New Roman"/>
          <w:bCs/>
          <w:iCs/>
          <w:sz w:val="18"/>
          <w:szCs w:val="18"/>
          <w:vertAlign w:val="superscript"/>
          <w:lang w:val="en-US" w:eastAsia="ar-SA"/>
        </w:rPr>
        <w:t>2</w:t>
      </w:r>
      <w:r w:rsidR="0017728B" w:rsidRPr="004B53E9">
        <w:rPr>
          <w:rFonts w:ascii="Times New Roman" w:eastAsia="Times New Roman" w:hAnsi="Times New Roman" w:cs="Times New Roman"/>
          <w:bCs/>
          <w:iCs/>
          <w:sz w:val="18"/>
          <w:szCs w:val="18"/>
          <w:lang w:val="en-US" w:eastAsia="ar-SA"/>
        </w:rPr>
        <w:t xml:space="preserve"> Laboratory of Biology and Health, Faculty of Science, Ibn </w:t>
      </w:r>
      <w:proofErr w:type="spellStart"/>
      <w:r w:rsidR="0017728B" w:rsidRPr="004B53E9">
        <w:rPr>
          <w:rFonts w:ascii="Times New Roman" w:eastAsia="Times New Roman" w:hAnsi="Times New Roman" w:cs="Times New Roman"/>
          <w:bCs/>
          <w:iCs/>
          <w:sz w:val="18"/>
          <w:szCs w:val="18"/>
          <w:lang w:val="en-US" w:eastAsia="ar-SA"/>
        </w:rPr>
        <w:t>Tofaïl</w:t>
      </w:r>
      <w:proofErr w:type="spellEnd"/>
      <w:r w:rsidR="0017728B" w:rsidRPr="004B53E9">
        <w:rPr>
          <w:rFonts w:ascii="Times New Roman" w:eastAsia="Times New Roman" w:hAnsi="Times New Roman" w:cs="Times New Roman"/>
          <w:bCs/>
          <w:iCs/>
          <w:sz w:val="18"/>
          <w:szCs w:val="18"/>
          <w:lang w:val="en-US" w:eastAsia="ar-SA"/>
        </w:rPr>
        <w:t xml:space="preserve"> University, </w:t>
      </w:r>
      <w:proofErr w:type="spellStart"/>
      <w:r w:rsidR="0017728B" w:rsidRPr="004B53E9">
        <w:rPr>
          <w:rFonts w:ascii="Times New Roman" w:eastAsia="Times New Roman" w:hAnsi="Times New Roman" w:cs="Times New Roman"/>
          <w:bCs/>
          <w:iCs/>
          <w:sz w:val="18"/>
          <w:szCs w:val="18"/>
          <w:lang w:val="en-US" w:eastAsia="ar-SA"/>
        </w:rPr>
        <w:t>Kénitra</w:t>
      </w:r>
      <w:proofErr w:type="spellEnd"/>
      <w:r w:rsidR="0017728B" w:rsidRPr="004B53E9">
        <w:rPr>
          <w:rFonts w:ascii="Times New Roman" w:eastAsia="Times New Roman" w:hAnsi="Times New Roman" w:cs="Times New Roman"/>
          <w:bCs/>
          <w:iCs/>
          <w:sz w:val="18"/>
          <w:szCs w:val="18"/>
          <w:lang w:val="en-US" w:eastAsia="ar-SA"/>
        </w:rPr>
        <w:t xml:space="preserve">, Morocco. </w:t>
      </w:r>
      <w:r w:rsidR="00270C1D" w:rsidRPr="004B53E9">
        <w:rPr>
          <w:rFonts w:ascii="Times New Roman" w:eastAsia="Times New Roman" w:hAnsi="Times New Roman" w:cs="Times New Roman"/>
          <w:bCs/>
          <w:i/>
          <w:sz w:val="18"/>
          <w:szCs w:val="18"/>
          <w:lang w:val="en-US" w:eastAsia="ar-SA"/>
        </w:rPr>
        <w:t xml:space="preserve">hind212@yahoo.fr </w:t>
      </w:r>
    </w:p>
    <w:p w14:paraId="0C38AD3C" w14:textId="2BA339E7" w:rsidR="0017728B" w:rsidRPr="00642CC9" w:rsidRDefault="003A049D" w:rsidP="00642CC9">
      <w:pPr>
        <w:suppressAutoHyphens/>
        <w:spacing w:before="454" w:after="0" w:line="276" w:lineRule="auto"/>
        <w:ind w:left="284" w:right="964"/>
        <w:jc w:val="both"/>
        <w:rPr>
          <w:rFonts w:asciiTheme="majorBidi" w:eastAsia="Times New Roman" w:hAnsiTheme="majorBidi" w:cstheme="majorBidi"/>
          <w:bCs/>
          <w:sz w:val="20"/>
          <w:szCs w:val="20"/>
          <w:lang w:val="en-US" w:eastAsia="ar-SA"/>
        </w:rPr>
      </w:pPr>
      <w:r w:rsidRPr="00642CC9">
        <w:rPr>
          <w:rFonts w:asciiTheme="majorBidi" w:eastAsia="Times New Roman" w:hAnsiTheme="majorBidi" w:cstheme="majorBidi"/>
          <w:b/>
          <w:sz w:val="20"/>
          <w:szCs w:val="20"/>
          <w:lang w:val="en-US" w:eastAsia="ar-SA"/>
        </w:rPr>
        <w:t>Abstract</w:t>
      </w:r>
      <w:r w:rsidR="0017728B" w:rsidRPr="00642CC9">
        <w:rPr>
          <w:rFonts w:asciiTheme="majorBidi" w:eastAsia="Times New Roman" w:hAnsiTheme="majorBidi" w:cstheme="majorBidi"/>
          <w:b/>
          <w:sz w:val="20"/>
          <w:szCs w:val="20"/>
          <w:lang w:val="en-US" w:eastAsia="ar-SA"/>
        </w:rPr>
        <w:t>.</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 xml:space="preserve">Each year, many people suffer medical errors or lose their lives due to unsafe and </w:t>
      </w:r>
      <w:proofErr w:type="gramStart"/>
      <w:r w:rsidRPr="00642CC9">
        <w:rPr>
          <w:rFonts w:asciiTheme="majorBidi" w:eastAsia="Times New Roman" w:hAnsiTheme="majorBidi" w:cstheme="majorBidi"/>
          <w:bCs/>
          <w:sz w:val="20"/>
          <w:szCs w:val="20"/>
          <w:lang w:val="en-US" w:eastAsia="ar-SA"/>
        </w:rPr>
        <w:t>poor quality</w:t>
      </w:r>
      <w:proofErr w:type="gramEnd"/>
      <w:r w:rsidRPr="00642CC9">
        <w:rPr>
          <w:rFonts w:asciiTheme="majorBidi" w:eastAsia="Times New Roman" w:hAnsiTheme="majorBidi" w:cstheme="majorBidi"/>
          <w:bCs/>
          <w:sz w:val="20"/>
          <w:szCs w:val="20"/>
          <w:lang w:val="en-US" w:eastAsia="ar-SA"/>
        </w:rPr>
        <w:t xml:space="preserve"> care. Most of these occurrences could be prevented. To date, most research on health security has focused mainly on health services' security in hospitals and has paid little attention to the context of primary healthcare, which represents the main means of achieving sustainable universal health coverage. This study falls within this perspective.</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 xml:space="preserve">Descriptive exploratory study, based on documentary analysis of health security studies in the context of primary healthcare, questionnaires and interviews, conducted with </w:t>
      </w:r>
      <w:r w:rsidR="005A22EF">
        <w:rPr>
          <w:rFonts w:asciiTheme="majorBidi" w:eastAsia="Times New Roman" w:hAnsiTheme="majorBidi" w:cstheme="majorBidi"/>
          <w:bCs/>
          <w:sz w:val="20"/>
          <w:szCs w:val="20"/>
          <w:lang w:val="en-US" w:eastAsia="ar-SA"/>
        </w:rPr>
        <w:t>300</w:t>
      </w:r>
      <w:r w:rsidRPr="00642CC9">
        <w:rPr>
          <w:rFonts w:asciiTheme="majorBidi" w:eastAsia="Times New Roman" w:hAnsiTheme="majorBidi" w:cstheme="majorBidi"/>
          <w:bCs/>
          <w:sz w:val="20"/>
          <w:szCs w:val="20"/>
          <w:lang w:val="en-US" w:eastAsia="ar-SA"/>
        </w:rPr>
        <w:t xml:space="preserve"> professionals from primary healthcare establishments, following proportional stratified sampling.</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The main results revealed that, generally, the culture of safety in primary healthcare is poorly developed or even absent. More than 53% of respondents consider that the security level of primary healthcare is low. In addition, over 65% are unaware of errors that occur in their primary healthcare establishments. 40% declare the absence of a process for collecting and reporting medical errors or adverse effects related to healthcare. More than 60% of respondents consider that factors related to working conditions, daily tasks and organizational factors have a strong influence on healthcare safety.</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It is essential to improve healthcare safety and quality, which is an issue of global importance, and to act on several factors to reduce the incidence of adverse effects of care.</w:t>
      </w:r>
    </w:p>
    <w:p w14:paraId="5CF008AA" w14:textId="6EA02331" w:rsidR="00E31524" w:rsidRPr="004A6AC2" w:rsidRDefault="003A049D" w:rsidP="004A6AC2">
      <w:pPr>
        <w:suppressAutoHyphens/>
        <w:spacing w:after="567" w:line="276" w:lineRule="auto"/>
        <w:ind w:left="284" w:right="964"/>
        <w:jc w:val="both"/>
        <w:rPr>
          <w:rFonts w:asciiTheme="majorBidi" w:eastAsia="Times New Roman" w:hAnsiTheme="majorBidi" w:cstheme="majorBidi"/>
          <w:bCs/>
          <w:sz w:val="20"/>
          <w:szCs w:val="20"/>
          <w:lang w:val="en-US" w:eastAsia="ar-SA"/>
        </w:rPr>
        <w:sectPr w:rsidR="00E31524" w:rsidRPr="004A6AC2" w:rsidSect="00662EC4">
          <w:footerReference w:type="default" r:id="rId6"/>
          <w:pgSz w:w="11906" w:h="16838" w:code="9"/>
          <w:pgMar w:top="1418" w:right="1134" w:bottom="1134" w:left="1134" w:header="709" w:footer="454" w:gutter="0"/>
          <w:cols w:space="708"/>
          <w:docGrid w:linePitch="360"/>
        </w:sectPr>
      </w:pPr>
      <w:r w:rsidRPr="00642CC9">
        <w:rPr>
          <w:rFonts w:asciiTheme="majorBidi" w:eastAsia="Times New Roman" w:hAnsiTheme="majorBidi" w:cstheme="majorBidi"/>
          <w:b/>
          <w:sz w:val="20"/>
          <w:szCs w:val="20"/>
          <w:lang w:val="en-US" w:eastAsia="ar-SA"/>
        </w:rPr>
        <w:t>Keywords:</w:t>
      </w:r>
      <w:r w:rsidRPr="00642CC9">
        <w:rPr>
          <w:rFonts w:asciiTheme="majorBidi" w:eastAsia="Times New Roman" w:hAnsiTheme="majorBidi" w:cstheme="majorBidi"/>
          <w:bCs/>
          <w:sz w:val="20"/>
          <w:szCs w:val="20"/>
          <w:lang w:val="en-US" w:eastAsia="ar-SA"/>
        </w:rPr>
        <w:t xml:space="preserve"> primary health care, safety, health services, quality.</w:t>
      </w:r>
    </w:p>
    <w:p w14:paraId="638CE1F7" w14:textId="723EF67A" w:rsidR="002E08BD" w:rsidRPr="00E31524" w:rsidRDefault="00395548" w:rsidP="00BB169F">
      <w:pPr>
        <w:widowControl w:val="0"/>
        <w:tabs>
          <w:tab w:val="left" w:pos="1260"/>
        </w:tabs>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Introduction</w:t>
      </w:r>
    </w:p>
    <w:p w14:paraId="2EC599AC"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Patient safety is a growing challenge for healthcare systems around the world to reduce the burden of harm caused to individuals. It is of paramount importance for all healthcare services offered in the various healthcare facilities. In this respect, the need to pay attention</w:t>
      </w:r>
      <w:r w:rsidR="000A5350" w:rsidRPr="00E31524">
        <w:rPr>
          <w:rFonts w:asciiTheme="majorBidi" w:eastAsia="Times New Roman" w:hAnsiTheme="majorBidi" w:cstheme="majorBidi"/>
          <w:sz w:val="20"/>
          <w:szCs w:val="20"/>
          <w:lang w:val="en-US"/>
        </w:rPr>
        <w:t xml:space="preserve"> to </w:t>
      </w:r>
      <w:proofErr w:type="gramStart"/>
      <w:r w:rsidR="000A5350" w:rsidRPr="00E31524">
        <w:rPr>
          <w:rFonts w:asciiTheme="majorBidi" w:eastAsia="Times New Roman" w:hAnsiTheme="majorBidi" w:cstheme="majorBidi"/>
          <w:sz w:val="20"/>
          <w:szCs w:val="20"/>
          <w:lang w:val="en-US"/>
        </w:rPr>
        <w:t>quality of care</w:t>
      </w:r>
      <w:proofErr w:type="gramEnd"/>
      <w:r w:rsidR="000A5350" w:rsidRPr="00E31524">
        <w:rPr>
          <w:rFonts w:asciiTheme="majorBidi" w:eastAsia="Times New Roman" w:hAnsiTheme="majorBidi" w:cstheme="majorBidi"/>
          <w:sz w:val="20"/>
          <w:szCs w:val="20"/>
          <w:lang w:val="en-US"/>
        </w:rPr>
        <w:t xml:space="preserve"> safety was first </w:t>
      </w:r>
      <w:r w:rsidRPr="00E31524">
        <w:rPr>
          <w:rFonts w:asciiTheme="majorBidi" w:eastAsia="Times New Roman" w:hAnsiTheme="majorBidi" w:cstheme="majorBidi"/>
          <w:sz w:val="20"/>
          <w:szCs w:val="20"/>
          <w:lang w:val="en-US"/>
        </w:rPr>
        <w:t>expressed by the World Health Assembly in 2002, which urged Member States to pay the utmost attention to the issue of patient safety [1]. In addition, the sixty-second World Health Assembly adopted the resolution on Global Action on Patient Safety in 2019, with the aim of making safety a prior</w:t>
      </w:r>
      <w:r w:rsidR="00245AD7" w:rsidRPr="00E31524">
        <w:rPr>
          <w:rFonts w:asciiTheme="majorBidi" w:eastAsia="Times New Roman" w:hAnsiTheme="majorBidi" w:cstheme="majorBidi"/>
          <w:sz w:val="20"/>
          <w:szCs w:val="20"/>
          <w:lang w:val="en-US"/>
        </w:rPr>
        <w:t>ity for all healthcare systems.</w:t>
      </w:r>
    </w:p>
    <w:p w14:paraId="6DA52643"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Nevertheless, despite </w:t>
      </w:r>
      <w:r w:rsidR="0013294E" w:rsidRPr="00E31524">
        <w:rPr>
          <w:rFonts w:asciiTheme="majorBidi" w:eastAsia="Times New Roman" w:hAnsiTheme="majorBidi" w:cstheme="majorBidi"/>
          <w:sz w:val="20"/>
          <w:szCs w:val="20"/>
          <w:lang w:val="en-US"/>
        </w:rPr>
        <w:t xml:space="preserve">the efforts of healthcare systems around the world, safety measures implemented in high-income countries have had limited effect and have not been adapted to be implemented correctly in low middle-income countries. </w:t>
      </w:r>
      <w:r w:rsidRPr="00E31524">
        <w:rPr>
          <w:rFonts w:asciiTheme="majorBidi" w:eastAsia="Times New Roman" w:hAnsiTheme="majorBidi" w:cstheme="majorBidi"/>
          <w:sz w:val="20"/>
          <w:szCs w:val="20"/>
          <w:lang w:val="en-US"/>
        </w:rPr>
        <w:t>Healthcare safety incidents can result in death, disability and suffering for the victims of these errors and their families, who bear the high financial costs associated with safety problems. For example, according to data available from the World Health Organization (WHO), every year many people suffer from medical error or lose their lives as a result of unsafe, poor-quality care. According to recent estimates, the social cost of harm caused to individuals can be put at between $1,000 and $2,000 billion a year [1].</w:t>
      </w:r>
    </w:p>
    <w:p w14:paraId="73B9BCD1"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Most o</w:t>
      </w:r>
      <w:r w:rsidR="00DC18C9" w:rsidRPr="00E31524">
        <w:rPr>
          <w:rFonts w:asciiTheme="majorBidi" w:eastAsia="Times New Roman" w:hAnsiTheme="majorBidi" w:cstheme="majorBidi"/>
          <w:sz w:val="20"/>
          <w:szCs w:val="20"/>
          <w:lang w:val="en-US"/>
        </w:rPr>
        <w:t>f these events are preventable.</w:t>
      </w:r>
      <w:r w:rsidR="002A44FB" w:rsidRPr="00E31524">
        <w:rPr>
          <w:rFonts w:asciiTheme="majorBidi" w:eastAsia="Times New Roman" w:hAnsiTheme="majorBidi" w:cstheme="majorBidi"/>
          <w:sz w:val="20"/>
          <w:szCs w:val="20"/>
          <w:lang w:val="en-US"/>
        </w:rPr>
        <w:t xml:space="preserve"> </w:t>
      </w:r>
      <w:r w:rsidR="00DC18C9" w:rsidRPr="00E31524">
        <w:rPr>
          <w:rFonts w:asciiTheme="majorBidi" w:eastAsia="Times New Roman" w:hAnsiTheme="majorBidi" w:cstheme="majorBidi"/>
          <w:sz w:val="20"/>
          <w:szCs w:val="20"/>
          <w:lang w:val="en-US"/>
        </w:rPr>
        <w:t xml:space="preserve">Harms from adverse events are among </w:t>
      </w:r>
      <w:r w:rsidR="002A44FB" w:rsidRPr="00E31524">
        <w:rPr>
          <w:rFonts w:asciiTheme="majorBidi" w:eastAsia="Times New Roman" w:hAnsiTheme="majorBidi" w:cstheme="majorBidi"/>
          <w:sz w:val="20"/>
          <w:szCs w:val="20"/>
          <w:lang w:val="en-US"/>
        </w:rPr>
        <w:t>10 most common causes of death and disability</w:t>
      </w:r>
      <w:r w:rsidR="00DC18C9" w:rsidRPr="00E31524">
        <w:rPr>
          <w:rFonts w:asciiTheme="majorBidi" w:eastAsia="Times New Roman" w:hAnsiTheme="majorBidi" w:cstheme="majorBidi"/>
          <w:sz w:val="20"/>
          <w:szCs w:val="20"/>
          <w:lang w:val="en-US"/>
        </w:rPr>
        <w:t>.</w:t>
      </w:r>
      <w:r w:rsidR="002A44FB"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These risks are associated with many medical practices and healthcare risks. In this sense, we find that medication errors are one of the leading causes of preventable injury and harm in healthcare systems. The annual cost of medication administration errors is estimated at $42 billion. Added to this figure are lost wages, productivity and healthcare costs [2]. </w:t>
      </w:r>
    </w:p>
    <w:p w14:paraId="378D8E18" w14:textId="77777777" w:rsidR="00800D6A"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Furthermore, according to data from several countries, the prevalence of healthcare-associated infections is around 7.6% in high-income countries and 10% in low- and middle-income countries [3]. Added to this are diagnostic errors, unsafe </w:t>
      </w:r>
      <w:r w:rsidRPr="00E31524">
        <w:rPr>
          <w:rFonts w:asciiTheme="majorBidi" w:eastAsia="Times New Roman" w:hAnsiTheme="majorBidi" w:cstheme="majorBidi"/>
          <w:sz w:val="20"/>
          <w:szCs w:val="20"/>
          <w:lang w:val="en-US"/>
        </w:rPr>
        <w:lastRenderedPageBreak/>
        <w:t>surgical care, unsafe injections, radiological errors and other harmful practices. Every year, 134 million adverse events due to unsafe care occur in hospitals in low- and middle-income countries, contributing to 2.6 million deaths [1]. 60</w:t>
      </w:r>
      <w:r w:rsidR="00800D6A"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 </w:t>
      </w:r>
      <w:r w:rsidR="00800D6A" w:rsidRPr="00E31524">
        <w:rPr>
          <w:rFonts w:asciiTheme="majorBidi" w:eastAsia="Times New Roman" w:hAnsiTheme="majorBidi" w:cstheme="majorBidi"/>
          <w:sz w:val="20"/>
          <w:szCs w:val="20"/>
          <w:lang w:val="en-US"/>
        </w:rPr>
        <w:t xml:space="preserve">of death in </w:t>
      </w:r>
      <w:proofErr w:type="gramStart"/>
      <w:r w:rsidR="00800D6A" w:rsidRPr="00E31524">
        <w:rPr>
          <w:rFonts w:asciiTheme="majorBidi" w:eastAsia="Times New Roman" w:hAnsiTheme="majorBidi" w:cstheme="majorBidi"/>
          <w:sz w:val="20"/>
          <w:szCs w:val="20"/>
          <w:lang w:val="en-US"/>
        </w:rPr>
        <w:t>low and middle income</w:t>
      </w:r>
      <w:proofErr w:type="gramEnd"/>
      <w:r w:rsidR="00800D6A" w:rsidRPr="00E31524">
        <w:rPr>
          <w:rFonts w:asciiTheme="majorBidi" w:eastAsia="Times New Roman" w:hAnsiTheme="majorBidi" w:cstheme="majorBidi"/>
          <w:sz w:val="20"/>
          <w:szCs w:val="20"/>
          <w:lang w:val="en-US"/>
        </w:rPr>
        <w:t xml:space="preserve"> countries are caused by unsafe and </w:t>
      </w:r>
      <w:proofErr w:type="gramStart"/>
      <w:r w:rsidR="00800D6A" w:rsidRPr="00E31524">
        <w:rPr>
          <w:rFonts w:asciiTheme="majorBidi" w:eastAsia="Times New Roman" w:hAnsiTheme="majorBidi" w:cstheme="majorBidi"/>
          <w:sz w:val="20"/>
          <w:szCs w:val="20"/>
          <w:lang w:val="en-US"/>
        </w:rPr>
        <w:t>low quality</w:t>
      </w:r>
      <w:proofErr w:type="gramEnd"/>
      <w:r w:rsidR="00800D6A" w:rsidRPr="00E31524">
        <w:rPr>
          <w:rFonts w:asciiTheme="majorBidi" w:eastAsia="Times New Roman" w:hAnsiTheme="majorBidi" w:cstheme="majorBidi"/>
          <w:sz w:val="20"/>
          <w:szCs w:val="20"/>
          <w:lang w:val="en-US"/>
        </w:rPr>
        <w:t xml:space="preserve"> care [4].</w:t>
      </w:r>
    </w:p>
    <w:p w14:paraId="4C910569"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primary care, safety tends to be associated with the hospital environment. Yet at-risk care and services are a problem that affects the entire healthcare system. In many countries, healthcare systems are still faced with major problems of public dissatisfaction with the quality of healthcare services provided in primary care settings. Dangerousness and poor quality of care are among the main reasons why patients often opt directly for health services at another level of care [5]. Half of the global burden of patient harm originates in primary and ambulatory care. This </w:t>
      </w:r>
      <w:r w:rsidR="00583760" w:rsidRPr="00E31524">
        <w:rPr>
          <w:rFonts w:asciiTheme="majorBidi" w:eastAsia="Times New Roman" w:hAnsiTheme="majorBidi" w:cstheme="majorBidi"/>
          <w:sz w:val="20"/>
          <w:szCs w:val="20"/>
          <w:lang w:val="en-US"/>
        </w:rPr>
        <w:t xml:space="preserve">is responsible for over </w:t>
      </w:r>
      <w:r w:rsidR="00EE2760" w:rsidRPr="00E31524">
        <w:rPr>
          <w:rFonts w:asciiTheme="majorBidi" w:eastAsia="Times New Roman" w:hAnsiTheme="majorBidi" w:cstheme="majorBidi"/>
          <w:sz w:val="20"/>
          <w:szCs w:val="20"/>
          <w:lang w:val="en-US"/>
        </w:rPr>
        <w:t xml:space="preserve">6% of hospital days and more </w:t>
      </w:r>
      <w:r w:rsidR="00583760" w:rsidRPr="00E31524">
        <w:rPr>
          <w:rFonts w:asciiTheme="majorBidi" w:eastAsia="Times New Roman" w:hAnsiTheme="majorBidi" w:cstheme="majorBidi"/>
          <w:sz w:val="20"/>
          <w:szCs w:val="20"/>
          <w:lang w:val="en-US"/>
        </w:rPr>
        <w:t xml:space="preserve">than seven million </w:t>
      </w:r>
      <w:r w:rsidR="00EE2760" w:rsidRPr="00E31524">
        <w:rPr>
          <w:rFonts w:asciiTheme="majorBidi" w:eastAsia="Times New Roman" w:hAnsiTheme="majorBidi" w:cstheme="majorBidi"/>
          <w:sz w:val="20"/>
          <w:szCs w:val="20"/>
          <w:lang w:val="en-US"/>
        </w:rPr>
        <w:t>admissions in</w:t>
      </w:r>
      <w:r w:rsidRPr="00E31524">
        <w:rPr>
          <w:rFonts w:asciiTheme="majorBidi" w:eastAsia="Times New Roman" w:hAnsiTheme="majorBidi" w:cstheme="majorBidi"/>
          <w:sz w:val="20"/>
          <w:szCs w:val="20"/>
          <w:lang w:val="en-US"/>
        </w:rPr>
        <w:t xml:space="preserve"> </w:t>
      </w:r>
      <w:r w:rsidR="00EE2760" w:rsidRPr="00E31524">
        <w:rPr>
          <w:rFonts w:asciiTheme="majorBidi" w:eastAsia="Times New Roman" w:hAnsiTheme="majorBidi" w:cstheme="majorBidi"/>
          <w:sz w:val="20"/>
          <w:szCs w:val="20"/>
          <w:lang w:val="en-US"/>
        </w:rPr>
        <w:t>Organization</w:t>
      </w:r>
      <w:r w:rsidRPr="00E31524">
        <w:rPr>
          <w:rFonts w:asciiTheme="majorBidi" w:eastAsia="Times New Roman" w:hAnsiTheme="majorBidi" w:cstheme="majorBidi"/>
          <w:sz w:val="20"/>
          <w:szCs w:val="20"/>
          <w:lang w:val="en-US"/>
        </w:rPr>
        <w:t xml:space="preserve"> for Economic Cooperation and Development countries. Furthermore</w:t>
      </w:r>
      <w:r w:rsidR="000930CD" w:rsidRPr="00E31524">
        <w:rPr>
          <w:rFonts w:asciiTheme="majorBidi" w:eastAsia="Times New Roman" w:hAnsiTheme="majorBidi" w:cstheme="majorBidi"/>
          <w:sz w:val="20"/>
          <w:szCs w:val="20"/>
          <w:lang w:val="en-US"/>
        </w:rPr>
        <w:t>, the estimates have shown that up to 80% of</w:t>
      </w:r>
      <w:r w:rsidR="00583760" w:rsidRPr="00E31524">
        <w:rPr>
          <w:rFonts w:asciiTheme="majorBidi" w:eastAsia="Times New Roman" w:hAnsiTheme="majorBidi" w:cstheme="majorBidi"/>
          <w:sz w:val="20"/>
          <w:szCs w:val="20"/>
          <w:lang w:val="en-US"/>
        </w:rPr>
        <w:t xml:space="preserve"> harm in primary car</w:t>
      </w:r>
      <w:r w:rsidR="000930CD" w:rsidRPr="00E31524">
        <w:rPr>
          <w:rFonts w:asciiTheme="majorBidi" w:eastAsia="Times New Roman" w:hAnsiTheme="majorBidi" w:cstheme="majorBidi"/>
          <w:sz w:val="20"/>
          <w:szCs w:val="20"/>
          <w:lang w:val="en-US"/>
        </w:rPr>
        <w:t>e</w:t>
      </w:r>
      <w:r w:rsidR="00583760" w:rsidRPr="00E31524">
        <w:rPr>
          <w:rFonts w:asciiTheme="majorBidi" w:eastAsia="Times New Roman" w:hAnsiTheme="majorBidi" w:cstheme="majorBidi"/>
          <w:sz w:val="20"/>
          <w:szCs w:val="20"/>
          <w:lang w:val="en-US"/>
        </w:rPr>
        <w:t xml:space="preserve"> is avoidable</w:t>
      </w:r>
      <w:r w:rsidRPr="00E31524">
        <w:rPr>
          <w:rFonts w:asciiTheme="majorBidi" w:eastAsia="Times New Roman" w:hAnsiTheme="majorBidi" w:cstheme="majorBidi"/>
          <w:sz w:val="20"/>
          <w:szCs w:val="20"/>
          <w:lang w:val="en-US"/>
        </w:rPr>
        <w:t>. To date, most research on healthcare safety has focused on the safety of healthcare services in hospitals, with little attention paid to the primary healthcare setting, which represents the main means of achieving sustainable universal health coverage [5, 6, 7].</w:t>
      </w:r>
    </w:p>
    <w:p w14:paraId="72896D0D" w14:textId="5077FA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Morocco, there is a lack of knowledge and information to understand the problem and its contributing factors at the Primary Health Care Facilities (PHCFs) level. The subject of patient and health service safety in the context of primary healthcare has not been explored to the same extent as in the hospital setting, and is </w:t>
      </w:r>
      <w:r w:rsidR="00245AD7" w:rsidRPr="00E31524">
        <w:rPr>
          <w:rFonts w:asciiTheme="majorBidi" w:eastAsia="Times New Roman" w:hAnsiTheme="majorBidi" w:cstheme="majorBidi"/>
          <w:sz w:val="20"/>
          <w:szCs w:val="20"/>
          <w:lang w:val="en-US"/>
        </w:rPr>
        <w:t xml:space="preserve">still rare in the literature. </w:t>
      </w:r>
      <w:r w:rsidRPr="00E31524">
        <w:rPr>
          <w:rFonts w:asciiTheme="majorBidi" w:eastAsia="Times New Roman" w:hAnsiTheme="majorBidi" w:cstheme="majorBidi"/>
          <w:sz w:val="20"/>
          <w:szCs w:val="20"/>
          <w:lang w:val="en-US"/>
        </w:rPr>
        <w:t>There is also a lack of strategies and policies for patient safety in primary care. It is in this perspective that this article is written, as it is essential to ensure safety in the context of primary healthcare, which is the population's first point of contact with the healthcare system, in order to gain the trust of patients and contribute to achieving the goals of sustainable development and universal health coverage. The importance of developing studies related to this field is also emphasized, in order to help reduce existing knowledge gaps and raise awareness among healthcare professionals of the challenges of health service and patient safety in the</w:t>
      </w:r>
      <w:r w:rsidR="00E31524">
        <w:rPr>
          <w:rFonts w:asciiTheme="majorBidi" w:eastAsia="Times New Roman" w:hAnsiTheme="majorBidi" w:cstheme="majorBidi"/>
          <w:sz w:val="20"/>
          <w:szCs w:val="20"/>
          <w:lang w:val="en-US"/>
        </w:rPr>
        <w:t xml:space="preserve"> context of primary healthcare.</w:t>
      </w:r>
    </w:p>
    <w:p w14:paraId="1D2978BF" w14:textId="77777777" w:rsidR="002E08BD" w:rsidRPr="00E31524" w:rsidRDefault="002E08BD" w:rsidP="00BB169F">
      <w:pPr>
        <w:widowControl w:val="0"/>
        <w:tabs>
          <w:tab w:val="left" w:pos="1260"/>
        </w:tabs>
        <w:spacing w:after="0" w:line="276" w:lineRule="auto"/>
        <w:jc w:val="both"/>
        <w:rPr>
          <w:rFonts w:asciiTheme="majorBidi" w:eastAsia="Times New Roman" w:hAnsiTheme="majorBidi" w:cstheme="majorBidi"/>
          <w:sz w:val="20"/>
          <w:szCs w:val="20"/>
          <w:lang w:val="en-US"/>
        </w:rPr>
      </w:pPr>
    </w:p>
    <w:p w14:paraId="282D5ED2" w14:textId="4F6140B6" w:rsidR="002E08BD" w:rsidRPr="00E31524" w:rsidRDefault="00395548"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Methods</w:t>
      </w:r>
    </w:p>
    <w:p w14:paraId="6F9B5535" w14:textId="379B64B6"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This descriptive-analytical exploratory study took place in Morocco. It aimed to describe the current organization of primary health care and its organizational and process shortcomings. In its content, it revealed the problem of patient and health</w:t>
      </w:r>
      <w:r w:rsidR="00395548">
        <w:rPr>
          <w:rFonts w:asciiTheme="majorBidi" w:eastAsia="Times New Roman" w:hAnsiTheme="majorBidi" w:cstheme="majorBidi"/>
          <w:sz w:val="20"/>
          <w:szCs w:val="20"/>
          <w:lang w:val="en-US"/>
        </w:rPr>
        <w:t xml:space="preserve"> service safety and its causes.</w:t>
      </w:r>
    </w:p>
    <w:p w14:paraId="3520D7ED" w14:textId="6EBF7D3C"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first stage of the survey was carried out by means of a questionnaire sent out to primary health care providers (PHCPs) under the authority of the Ministry of Health and Social Protection. This stage involved data collection from </w:t>
      </w:r>
      <w:r w:rsidR="003E3A06">
        <w:rPr>
          <w:rFonts w:asciiTheme="majorBidi" w:eastAsia="Times New Roman" w:hAnsiTheme="majorBidi" w:cstheme="majorBidi"/>
          <w:sz w:val="20"/>
          <w:szCs w:val="20"/>
          <w:lang w:val="en-US"/>
        </w:rPr>
        <w:t>300</w:t>
      </w:r>
      <w:r w:rsidRPr="00E31524">
        <w:rPr>
          <w:rFonts w:asciiTheme="majorBidi" w:eastAsia="Times New Roman" w:hAnsiTheme="majorBidi" w:cstheme="majorBidi"/>
          <w:sz w:val="20"/>
          <w:szCs w:val="20"/>
          <w:lang w:val="en-US"/>
        </w:rPr>
        <w:t xml:space="preserve"> primary healthcare professionals, identified through proportional stratified sampling. Documentary analysis, questionnaires with professionals and interviews with Ministry of Health and Social Protection officials at provincial, regional and central levels enabled us to describe the current state of affairs with regard to service safety in PHC services, and to highlight the most appropriate recommendations to be implemented to offer safe,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health services. Questionnaire items covered health service organization, organizational resources, health service delivery, management and governance, coordination and collaboration, and constraints at the PHC level. Questionnaire data were entered and processed using CS Pro®7.1 software.</w:t>
      </w:r>
    </w:p>
    <w:p w14:paraId="08595DC2" w14:textId="5A94CA89" w:rsidR="000B6CF3"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addition, 18 people were interviewed, including </w:t>
      </w:r>
      <w:r w:rsidR="00055E96" w:rsidRPr="00E31524">
        <w:rPr>
          <w:rFonts w:asciiTheme="majorBidi" w:eastAsia="Times New Roman" w:hAnsiTheme="majorBidi" w:cstheme="majorBidi"/>
          <w:sz w:val="20"/>
          <w:szCs w:val="20"/>
          <w:lang w:val="en-US"/>
        </w:rPr>
        <w:t>2</w:t>
      </w:r>
      <w:r w:rsidRPr="00E31524">
        <w:rPr>
          <w:rFonts w:asciiTheme="majorBidi" w:eastAsia="Times New Roman" w:hAnsiTheme="majorBidi" w:cstheme="majorBidi"/>
          <w:sz w:val="20"/>
          <w:szCs w:val="20"/>
          <w:lang w:val="en-US"/>
        </w:rPr>
        <w:t xml:space="preserve"> managers at central level, 15 managers at decentralized level and an expert in public health and health organization management at an international organization in Rabat.</w:t>
      </w:r>
      <w:r w:rsidR="000B6CF3" w:rsidRPr="00E31524">
        <w:rPr>
          <w:rFonts w:asciiTheme="majorBidi" w:hAnsiTheme="majorBidi" w:cstheme="majorBidi"/>
          <w:sz w:val="20"/>
          <w:szCs w:val="20"/>
          <w:lang w:val="en-US"/>
        </w:rPr>
        <w:t xml:space="preserve"> </w:t>
      </w:r>
      <w:r w:rsidR="000B6CF3" w:rsidRPr="00E31524">
        <w:rPr>
          <w:rFonts w:asciiTheme="majorBidi" w:eastAsia="Times New Roman" w:hAnsiTheme="majorBidi" w:cstheme="majorBidi"/>
          <w:sz w:val="20"/>
          <w:szCs w:val="20"/>
          <w:lang w:val="en-US"/>
        </w:rPr>
        <w:t xml:space="preserve">A Qualitative analysis was </w:t>
      </w:r>
      <w:r w:rsidR="00F15515" w:rsidRPr="00E31524">
        <w:rPr>
          <w:rFonts w:asciiTheme="majorBidi" w:eastAsia="Times New Roman" w:hAnsiTheme="majorBidi" w:cstheme="majorBidi"/>
          <w:sz w:val="20"/>
          <w:szCs w:val="20"/>
          <w:lang w:val="en-US"/>
        </w:rPr>
        <w:t>carried out on the data gathered from these individual interviews</w:t>
      </w:r>
      <w:r w:rsidR="000B6CF3" w:rsidRPr="00E31524">
        <w:rPr>
          <w:rFonts w:asciiTheme="majorBidi" w:eastAsia="Times New Roman" w:hAnsiTheme="majorBidi" w:cstheme="majorBidi"/>
          <w:sz w:val="20"/>
          <w:szCs w:val="20"/>
          <w:lang w:val="en-US"/>
        </w:rPr>
        <w:t>, which were transcribed in their entirety. It was initially conducted through vertical analysis, then cross-sectional analysis, followed by coding and thematic categorization.</w:t>
      </w:r>
    </w:p>
    <w:p w14:paraId="676E9EAF"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A summary of the contributions of this study enabled us to outline the current state of primary health care (PHC) safety in Morocco, followed by a discussion of the aggregated quantitative and qualitative results, in the light of the latest international publications and guidelines on health services safety, enabling us to establish the related diagnosis and issue a few recommendations adapted to the national context.</w:t>
      </w:r>
    </w:p>
    <w:p w14:paraId="19CA9D28"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0CFBCB7F" w14:textId="1BDAE41A" w:rsidR="002E08BD" w:rsidRPr="00E31524" w:rsidRDefault="00E31524"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Results</w:t>
      </w:r>
    </w:p>
    <w:p w14:paraId="358BDB64" w14:textId="7C43280A"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main results showed that the culture of safety in primary care is generally poorly developed, if not absent. Focusing on the level of safety perceived by healthcare professionals, over 53% of respondents considered the level of safety to be low, compared with 38% who considered it to be acceptable, and only 9% of participants who considered it </w:t>
      </w:r>
      <w:r w:rsidR="00055E96" w:rsidRPr="00E31524">
        <w:rPr>
          <w:rFonts w:asciiTheme="majorBidi" w:eastAsia="Times New Roman" w:hAnsiTheme="majorBidi" w:cstheme="majorBidi"/>
          <w:sz w:val="20"/>
          <w:szCs w:val="20"/>
          <w:lang w:val="en-US"/>
        </w:rPr>
        <w:t>good</w:t>
      </w:r>
      <w:r w:rsidRPr="00E31524">
        <w:rPr>
          <w:rFonts w:asciiTheme="majorBidi" w:eastAsia="Times New Roman" w:hAnsiTheme="majorBidi" w:cstheme="majorBidi"/>
          <w:sz w:val="20"/>
          <w:szCs w:val="20"/>
          <w:lang w:val="en-US"/>
        </w:rPr>
        <w:t xml:space="preserve">. </w:t>
      </w:r>
    </w:p>
    <w:p w14:paraId="516C5F3F" w14:textId="77777777" w:rsidR="002E08BD" w:rsidRPr="00E31524" w:rsidRDefault="003A049D" w:rsidP="00BB169F">
      <w:pPr>
        <w:widowControl w:val="0"/>
        <w:spacing w:after="12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Furthermore, and focusing on patient safety as an important dimension in the quality of person-centered healthcare services, the study showed that there is no process for collecting and reporting medical errors or adverse events related to care at the PHCT level. This finding was confirmed by 40% of respondents, as shown in the figure below. Over 65% are not informed about errors that occur in their PHC.</w:t>
      </w:r>
    </w:p>
    <w:p w14:paraId="14FB0D47"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rPr>
        <w:lastRenderedPageBreak/>
        <w:drawing>
          <wp:inline distT="0" distB="0" distL="0" distR="0" wp14:anchorId="74173620" wp14:editId="44451FF5">
            <wp:extent cx="4930000" cy="2235200"/>
            <wp:effectExtent l="0" t="0" r="4445" b="12700"/>
            <wp:docPr id="1" name="rectole000000000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390D6B" w14:textId="77777777" w:rsidR="002E08BD" w:rsidRPr="00E31524" w:rsidRDefault="003A049D" w:rsidP="004A6AC2">
      <w:pPr>
        <w:widowControl w:val="0"/>
        <w:spacing w:before="120" w:after="120" w:line="276" w:lineRule="auto"/>
        <w:ind w:left="708" w:firstLine="708"/>
        <w:jc w:val="both"/>
        <w:rPr>
          <w:rFonts w:asciiTheme="majorBidi" w:eastAsia="Times New Roman" w:hAnsiTheme="majorBidi" w:cstheme="majorBidi"/>
          <w:sz w:val="18"/>
          <w:szCs w:val="18"/>
          <w:lang w:val="en-US"/>
        </w:rPr>
      </w:pPr>
      <w:r w:rsidRPr="00E31524">
        <w:rPr>
          <w:rFonts w:asciiTheme="majorBidi" w:eastAsia="Times New Roman" w:hAnsiTheme="majorBidi" w:cstheme="majorBidi"/>
          <w:b/>
          <w:bCs/>
          <w:sz w:val="18"/>
          <w:szCs w:val="18"/>
          <w:lang w:val="en-US"/>
        </w:rPr>
        <w:t>Figure 1:</w:t>
      </w:r>
      <w:r w:rsidRPr="00E31524">
        <w:rPr>
          <w:rFonts w:asciiTheme="majorBidi" w:eastAsia="Times New Roman" w:hAnsiTheme="majorBidi" w:cstheme="majorBidi"/>
          <w:sz w:val="18"/>
          <w:szCs w:val="18"/>
          <w:lang w:val="en-US"/>
        </w:rPr>
        <w:t xml:space="preserve"> Availability of a process for reporting errors and adverse reactions.</w:t>
      </w:r>
    </w:p>
    <w:p w14:paraId="6DC4BDA6"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As for the quality of health services offered, the study revealed that 50% of respondents said that there was no one in charge of improving the quality of services at their PHC.</w:t>
      </w:r>
    </w:p>
    <w:p w14:paraId="2FAC8C35"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sz w:val="20"/>
          <w:szCs w:val="20"/>
          <w:lang w:val="en-US"/>
        </w:rPr>
        <w:t>On the other hand, 41% of respondents stated that a rational and secure system for managing healthcare waste, in line with Ministry of Health and Social Protection procedures, is rarely set up and functional at the PHCFs level, if at all.</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On the other hand, with regard to the reporting of adverse events, 83% of participants stated that they had not reported any events in the last 12 months.</w:t>
      </w:r>
    </w:p>
    <w:p w14:paraId="098B8D52"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rPr>
        <w:drawing>
          <wp:inline distT="0" distB="0" distL="0" distR="0" wp14:anchorId="275E4174" wp14:editId="2AC79F63">
            <wp:extent cx="4433343" cy="1941830"/>
            <wp:effectExtent l="0" t="0" r="5715" b="1270"/>
            <wp:docPr id="2" name="rectole000000000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212C54" w14:textId="77777777" w:rsidR="002E08BD" w:rsidRPr="0027241F" w:rsidRDefault="003A049D" w:rsidP="004A6AC2">
      <w:pPr>
        <w:widowControl w:val="0"/>
        <w:spacing w:before="120" w:after="0" w:line="276" w:lineRule="auto"/>
        <w:jc w:val="center"/>
        <w:rPr>
          <w:rFonts w:asciiTheme="majorBidi" w:eastAsia="Times New Roman" w:hAnsiTheme="majorBidi" w:cstheme="majorBidi"/>
          <w:sz w:val="18"/>
          <w:szCs w:val="18"/>
          <w:lang w:val="en-US"/>
        </w:rPr>
      </w:pPr>
      <w:r w:rsidRPr="0027241F">
        <w:rPr>
          <w:rFonts w:asciiTheme="majorBidi" w:eastAsia="Times New Roman" w:hAnsiTheme="majorBidi" w:cstheme="majorBidi"/>
          <w:b/>
          <w:bCs/>
          <w:sz w:val="18"/>
          <w:szCs w:val="18"/>
          <w:lang w:val="en-US"/>
        </w:rPr>
        <w:t xml:space="preserve">Figure 2: </w:t>
      </w:r>
      <w:r w:rsidRPr="0027241F">
        <w:rPr>
          <w:rFonts w:asciiTheme="majorBidi" w:eastAsia="Times New Roman" w:hAnsiTheme="majorBidi" w:cstheme="majorBidi"/>
          <w:sz w:val="18"/>
          <w:szCs w:val="18"/>
          <w:lang w:val="en-US"/>
        </w:rPr>
        <w:t>Adverse event reporting in the last 12 months</w:t>
      </w:r>
    </w:p>
    <w:p w14:paraId="6270FA5B" w14:textId="16779079" w:rsidR="002E08BD" w:rsidRPr="00E31524" w:rsidRDefault="003A049D" w:rsidP="00BB169F">
      <w:pPr>
        <w:widowControl w:val="0"/>
        <w:spacing w:before="120" w:after="12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In this respect, over 60% of respondents consider that factors related to working conditions, daily tasks and organizational factors have a strong influence on</w:t>
      </w:r>
      <w:r w:rsidR="003575DA">
        <w:rPr>
          <w:rFonts w:asciiTheme="majorBidi" w:eastAsia="Times New Roman" w:hAnsiTheme="majorBidi" w:cstheme="majorBidi"/>
          <w:sz w:val="20"/>
          <w:szCs w:val="20"/>
          <w:lang w:val="en-US"/>
        </w:rPr>
        <w:t xml:space="preserve"> the safety of health services.</w:t>
      </w:r>
    </w:p>
    <w:p w14:paraId="1DCFA475"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rPr>
        <w:drawing>
          <wp:inline distT="0" distB="0" distL="0" distR="0" wp14:anchorId="6F558DB5" wp14:editId="336ADCEC">
            <wp:extent cx="4638040" cy="2428613"/>
            <wp:effectExtent l="0" t="0" r="10160" b="10160"/>
            <wp:docPr id="3" name="rectole00000000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E4ECD4" w14:textId="7A5C7B0E" w:rsidR="002E08BD" w:rsidRPr="003D22DE" w:rsidRDefault="003A049D" w:rsidP="004A6AC2">
      <w:pPr>
        <w:widowControl w:val="0"/>
        <w:spacing w:before="120" w:after="0" w:line="276" w:lineRule="auto"/>
        <w:jc w:val="center"/>
        <w:rPr>
          <w:rFonts w:asciiTheme="majorBidi" w:eastAsia="Times New Roman" w:hAnsiTheme="majorBidi" w:cstheme="majorBidi"/>
          <w:b/>
          <w:bCs/>
          <w:sz w:val="18"/>
          <w:szCs w:val="18"/>
          <w:lang w:val="en-US"/>
        </w:rPr>
      </w:pPr>
      <w:r w:rsidRPr="003D22DE">
        <w:rPr>
          <w:rFonts w:asciiTheme="majorBidi" w:eastAsia="Times New Roman" w:hAnsiTheme="majorBidi" w:cstheme="majorBidi"/>
          <w:b/>
          <w:bCs/>
          <w:sz w:val="18"/>
          <w:szCs w:val="18"/>
          <w:lang w:val="en-US"/>
        </w:rPr>
        <w:t xml:space="preserve">Figure 3: </w:t>
      </w:r>
      <w:r w:rsidRPr="003D22DE">
        <w:rPr>
          <w:rFonts w:asciiTheme="majorBidi" w:eastAsia="Times New Roman" w:hAnsiTheme="majorBidi" w:cstheme="majorBidi"/>
          <w:sz w:val="18"/>
          <w:szCs w:val="18"/>
          <w:lang w:val="en-US"/>
        </w:rPr>
        <w:t>Degree of influence of factors on health service safety at PH</w:t>
      </w:r>
      <w:r w:rsidR="003D22DE">
        <w:rPr>
          <w:rFonts w:asciiTheme="majorBidi" w:eastAsia="Times New Roman" w:hAnsiTheme="majorBidi" w:cstheme="majorBidi"/>
          <w:sz w:val="18"/>
          <w:szCs w:val="18"/>
          <w:lang w:val="en-US"/>
        </w:rPr>
        <w:t>CFs</w:t>
      </w:r>
      <w:r w:rsidRPr="003D22DE">
        <w:rPr>
          <w:rFonts w:asciiTheme="majorBidi" w:eastAsia="Times New Roman" w:hAnsiTheme="majorBidi" w:cstheme="majorBidi"/>
          <w:sz w:val="18"/>
          <w:szCs w:val="18"/>
          <w:lang w:val="en-US"/>
        </w:rPr>
        <w:t xml:space="preserve"> level</w:t>
      </w:r>
    </w:p>
    <w:p w14:paraId="065E5012"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6B3267DA" w14:textId="49EF6510" w:rsidR="002E08BD" w:rsidRPr="00E31524" w:rsidRDefault="003D22DE"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Discussion</w:t>
      </w:r>
    </w:p>
    <w:p w14:paraId="7893FCC0"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Concerns about the safety of patients and healthcare services are present in healthcare systems around the world. According to the WHO, there are few studies related to the safety of healthcare services in the context of primary care. There is a misperception that people using primary care are less exposed to unsafe practices. To this end, the debate surrounding the safety of healthcare and healthcare services has evolved in recent years, and has taken its place in scientific research [1]. This is justified by the fact that every stage in the care process may involve an inherent risk. The nature and extent of risks vary according to the context in which healthcare services are delivered and available, the infrastructure and resources within the healthcare facility, and from one facility to another. The challenge for all healthcare systems and facilities providing healthcare services is to maintain an optimal level of quality in order to prevent avoidable harm [1].</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In this respect, the main findings of our study show that the safety culture in primary care is generally underdeveloped, if not absent, in PHC. Over 65% of participants stated that they were not informed of errors occurring in their PHC, and 40% reported that there was no process for reporting medical errors or adverse events in their PHC. In addition, 67% of the professionals questioned stated that they do not discuss the means to be put in place to ensure that errors do not recur. In this sense, several authors assert that establishing a safety culture is an important element in improving people's care and safety. This requires a strong commitment at all levels of the healthcare system, </w:t>
      </w:r>
      <w:r w:rsidR="004A533E" w:rsidRPr="00E31524">
        <w:rPr>
          <w:rFonts w:asciiTheme="majorBidi" w:eastAsia="Times New Roman" w:hAnsiTheme="majorBidi" w:cstheme="majorBidi"/>
          <w:sz w:val="20"/>
          <w:szCs w:val="20"/>
          <w:lang w:val="en-US"/>
        </w:rPr>
        <w:t>and involves political commitment, advocacy, awareness raising, and adaptation to the local context</w:t>
      </w:r>
      <w:r w:rsidRPr="00E31524">
        <w:rPr>
          <w:rFonts w:asciiTheme="majorBidi" w:eastAsia="Times New Roman" w:hAnsiTheme="majorBidi" w:cstheme="majorBidi"/>
          <w:sz w:val="20"/>
          <w:szCs w:val="20"/>
          <w:lang w:val="en-US"/>
        </w:rPr>
        <w:t xml:space="preserve"> [1, 5, </w:t>
      </w:r>
      <w:r w:rsidR="00E61C0B" w:rsidRPr="00E31524">
        <w:rPr>
          <w:rFonts w:asciiTheme="majorBidi" w:eastAsia="Times New Roman" w:hAnsiTheme="majorBidi" w:cstheme="majorBidi"/>
          <w:sz w:val="20"/>
          <w:szCs w:val="20"/>
          <w:lang w:val="en-US"/>
        </w:rPr>
        <w:t>and 8</w:t>
      </w:r>
      <w:r w:rsidRPr="00E31524">
        <w:rPr>
          <w:rFonts w:asciiTheme="majorBidi" w:eastAsia="Times New Roman" w:hAnsiTheme="majorBidi" w:cstheme="majorBidi"/>
          <w:sz w:val="20"/>
          <w:szCs w:val="20"/>
          <w:lang w:val="en-US"/>
        </w:rPr>
        <w:t>].</w:t>
      </w:r>
    </w:p>
    <w:p w14:paraId="1E09AD1E" w14:textId="6397740D"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Furthermore, 50% of respondents claimed that there was no one in charge of improving the quality of health care and services. On the other hand, 48% stated that they participate, but irregularly, in quality improvement initiatives at their health facilities. Conversely, 33% do not participate in quality improvement initiatives at the level of their healthcare facilities. These findings have already been observed in other international studies on the safety of healthcare services. These studies have asserted that quality primary healthcare services must be produced by sufficient system inputs that interact with the individual through a variety of well-organized quality care processes leading to satisfactory healt</w:t>
      </w:r>
      <w:r w:rsidR="003575DA">
        <w:rPr>
          <w:rFonts w:asciiTheme="majorBidi" w:eastAsia="Times New Roman" w:hAnsiTheme="majorBidi" w:cstheme="majorBidi"/>
          <w:sz w:val="20"/>
          <w:szCs w:val="20"/>
          <w:lang w:val="en-US"/>
        </w:rPr>
        <w:t>h outcomes [9, 10].</w:t>
      </w:r>
    </w:p>
    <w:p w14:paraId="4C06C8D0"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It also follows from our study that the major challenge for PHC is the limitation of human </w:t>
      </w:r>
      <w:r w:rsidR="00593A48" w:rsidRPr="00E31524">
        <w:rPr>
          <w:rFonts w:asciiTheme="majorBidi" w:eastAsia="Times New Roman" w:hAnsiTheme="majorBidi" w:cstheme="majorBidi"/>
          <w:sz w:val="20"/>
          <w:szCs w:val="20"/>
          <w:lang w:val="en-US"/>
        </w:rPr>
        <w:t>and</w:t>
      </w:r>
      <w:r w:rsidRPr="00E31524">
        <w:rPr>
          <w:rFonts w:asciiTheme="majorBidi" w:eastAsia="Times New Roman" w:hAnsiTheme="majorBidi" w:cstheme="majorBidi"/>
          <w:sz w:val="20"/>
          <w:szCs w:val="20"/>
          <w:lang w:val="en-US"/>
        </w:rPr>
        <w:t xml:space="preserve"> financial resources, which has a direct impact on the quality of the services offered. Analysis of the information obtained from questionnaires and interviews showed that the resources of primary health care facilities are limited. Thus, the results of this study revealed that the main difficulties encountered stem from the modest means available to PHCFs to ensure proper care for people, in terms of both material and human resources. In this respect, 71% of respondents said that the human resources available to their </w:t>
      </w:r>
      <w:r w:rsidR="007B4B92" w:rsidRPr="00E31524">
        <w:rPr>
          <w:rFonts w:asciiTheme="majorBidi" w:eastAsia="Times New Roman" w:hAnsiTheme="majorBidi" w:cstheme="majorBidi"/>
          <w:sz w:val="20"/>
          <w:szCs w:val="20"/>
          <w:lang w:val="en-US"/>
        </w:rPr>
        <w:t>PHCF</w:t>
      </w:r>
      <w:r w:rsidRPr="00E31524">
        <w:rPr>
          <w:rFonts w:asciiTheme="majorBidi" w:eastAsia="Times New Roman" w:hAnsiTheme="majorBidi" w:cstheme="majorBidi"/>
          <w:sz w:val="20"/>
          <w:szCs w:val="20"/>
          <w:lang w:val="en-US"/>
        </w:rPr>
        <w:t>s were inadequate. Several authors state that workload, staff shortages and lack of motivation are the main obstacles to quality,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health services. </w:t>
      </w:r>
      <w:r w:rsidR="00593A48" w:rsidRPr="00E31524">
        <w:rPr>
          <w:rFonts w:asciiTheme="majorBidi" w:eastAsia="Times New Roman" w:hAnsiTheme="majorBidi" w:cstheme="majorBidi"/>
          <w:sz w:val="20"/>
          <w:szCs w:val="20"/>
          <w:lang w:val="en-US"/>
        </w:rPr>
        <w:t>In addition</w:t>
      </w:r>
      <w:r w:rsidRPr="00E31524">
        <w:rPr>
          <w:rFonts w:asciiTheme="majorBidi" w:eastAsia="Times New Roman" w:hAnsiTheme="majorBidi" w:cstheme="majorBidi"/>
          <w:sz w:val="20"/>
          <w:szCs w:val="20"/>
          <w:lang w:val="en-US"/>
        </w:rPr>
        <w:t>, other studies point out that insufficient resources often lead healthcare professionals to compromise the quality of healthcare services. The results of our interviews and questionnaires are in line with other studies carried out internationally, which have demonstrated a positive association between the adequacy of resources, which are strongly linked and mutually influence each other, and the quality of primary healthcare services offered [11]. In this sense, other authors insist on the need for sufficient equipment, supplies, medicines and material resources to produce safe, quality healthcare services.</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These authors affirmed the proven links between better health outcomes and well-organized,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quality primary healthcare. With this in mind, they emphasized the need for primary healthcare services to be delivered by well-trained, competent, motivated and committed healthcare professionals, and the obligation to ensure stimulating, health-promoting work environments in which healthcare professionals are provided with the resources they need to do their jobs [12, 13, </w:t>
      </w:r>
      <w:r w:rsidR="00593A48" w:rsidRPr="00E31524">
        <w:rPr>
          <w:rFonts w:asciiTheme="majorBidi" w:eastAsia="Times New Roman" w:hAnsiTheme="majorBidi" w:cstheme="majorBidi"/>
          <w:sz w:val="20"/>
          <w:szCs w:val="20"/>
          <w:lang w:val="en-US"/>
        </w:rPr>
        <w:t>and 14</w:t>
      </w:r>
      <w:r w:rsidRPr="00E31524">
        <w:rPr>
          <w:rFonts w:asciiTheme="majorBidi" w:eastAsia="Times New Roman" w:hAnsiTheme="majorBidi" w:cstheme="majorBidi"/>
          <w:sz w:val="20"/>
          <w:szCs w:val="20"/>
          <w:lang w:val="en-US"/>
        </w:rPr>
        <w:t>].</w:t>
      </w:r>
    </w:p>
    <w:p w14:paraId="6E40552C"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With this in mind, the majority of respondents insisted on the implementation of a clear, operational strategy to improve service quality and reduce the occurrence of adverse events and errors. Our findings are supported by several writings and studies that have highlighted the influence of human resources, administrative processes, teamwork, communication related to patient information management, provider-patient communication and communication within the primary care system and with other stakeholders on the quality of care provided to individuals [9, 10, 11 and 12]. In addition, these studies have emphasized the importance of collective efforts by multiple stakeholders, from decision-makers to healthcare professionals, to develop and implement strategies for improving patient safety and healthcare services. These strategies need to be deployed across the continuum of care, aiming to build the capacity of primary care facilities and promote patient safety research in different working environments, particularly in the context of primary care [15, 16, </w:t>
      </w:r>
      <w:r w:rsidR="00593A48" w:rsidRPr="00E31524">
        <w:rPr>
          <w:rFonts w:asciiTheme="majorBidi" w:eastAsia="Times New Roman" w:hAnsiTheme="majorBidi" w:cstheme="majorBidi"/>
          <w:sz w:val="20"/>
          <w:szCs w:val="20"/>
          <w:lang w:val="en-US"/>
        </w:rPr>
        <w:t>and 17</w:t>
      </w:r>
      <w:r w:rsidRPr="00E31524">
        <w:rPr>
          <w:rFonts w:asciiTheme="majorBidi" w:eastAsia="Times New Roman" w:hAnsiTheme="majorBidi" w:cstheme="majorBidi"/>
          <w:sz w:val="20"/>
          <w:szCs w:val="20"/>
          <w:lang w:val="en-US"/>
        </w:rPr>
        <w:t>].</w:t>
      </w:r>
    </w:p>
    <w:p w14:paraId="35107597" w14:textId="77777777" w:rsidR="002E08BD" w:rsidRPr="00E31524" w:rsidRDefault="002E08BD" w:rsidP="00BB169F">
      <w:pPr>
        <w:widowControl w:val="0"/>
        <w:spacing w:after="0" w:line="276" w:lineRule="auto"/>
        <w:jc w:val="both"/>
        <w:rPr>
          <w:rFonts w:asciiTheme="majorBidi" w:eastAsia="Times New Roman" w:hAnsiTheme="majorBidi" w:cstheme="majorBidi"/>
          <w:sz w:val="20"/>
          <w:szCs w:val="20"/>
          <w:lang w:val="en-US"/>
        </w:rPr>
      </w:pPr>
    </w:p>
    <w:p w14:paraId="537BFE64"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Conclusion</w:t>
      </w:r>
    </w:p>
    <w:p w14:paraId="30B479B2" w14:textId="77777777" w:rsidR="00D30AFA" w:rsidRPr="00E31524" w:rsidRDefault="00D30AFA"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safety of health services and patients is a key factor in achieving the goals of sustainable </w:t>
      </w:r>
      <w:r w:rsidR="00593A48" w:rsidRPr="00E31524">
        <w:rPr>
          <w:rFonts w:asciiTheme="majorBidi" w:eastAsia="Times New Roman" w:hAnsiTheme="majorBidi" w:cstheme="majorBidi"/>
          <w:sz w:val="20"/>
          <w:szCs w:val="20"/>
          <w:lang w:val="en-US"/>
        </w:rPr>
        <w:t>development and</w:t>
      </w:r>
      <w:r w:rsidRPr="00E31524">
        <w:rPr>
          <w:rFonts w:asciiTheme="majorBidi" w:eastAsia="Times New Roman" w:hAnsiTheme="majorBidi" w:cstheme="majorBidi"/>
          <w:sz w:val="20"/>
          <w:szCs w:val="20"/>
          <w:lang w:val="en-US"/>
        </w:rPr>
        <w:t xml:space="preserve"> general health. To this end, it is essential to improve the safety and quality of health care and to act on multiple factors to </w:t>
      </w:r>
      <w:r w:rsidR="00593A48" w:rsidRPr="00E31524">
        <w:rPr>
          <w:rFonts w:asciiTheme="majorBidi" w:eastAsia="Times New Roman" w:hAnsiTheme="majorBidi" w:cstheme="majorBidi"/>
          <w:sz w:val="20"/>
          <w:szCs w:val="20"/>
          <w:lang w:val="en-US"/>
        </w:rPr>
        <w:t xml:space="preserve">reduce </w:t>
      </w:r>
      <w:r w:rsidR="00593A48" w:rsidRPr="00E31524">
        <w:rPr>
          <w:rFonts w:asciiTheme="majorBidi" w:eastAsia="Times New Roman" w:hAnsiTheme="majorBidi" w:cstheme="majorBidi"/>
          <w:sz w:val="20"/>
          <w:szCs w:val="20"/>
          <w:lang w:val="en-US"/>
        </w:rPr>
        <w:lastRenderedPageBreak/>
        <w:t>adverse</w:t>
      </w:r>
      <w:r w:rsidRPr="00E31524">
        <w:rPr>
          <w:rFonts w:asciiTheme="majorBidi" w:eastAsia="Times New Roman" w:hAnsiTheme="majorBidi" w:cstheme="majorBidi"/>
          <w:sz w:val="20"/>
          <w:szCs w:val="20"/>
          <w:lang w:val="en-US"/>
        </w:rPr>
        <w:t xml:space="preserve"> health outcomes. Given this, a systematic approach that addresses the most common causes of harm and approaches to prevent it is essential for the development and implementation of coordinated strategies and plans for patient safety in primary care.</w:t>
      </w:r>
    </w:p>
    <w:p w14:paraId="18AFB24E" w14:textId="77777777" w:rsidR="00D30AFA"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safety of healthcare services and patients </w:t>
      </w:r>
      <w:r w:rsidR="00D30AFA" w:rsidRPr="00E31524">
        <w:rPr>
          <w:rFonts w:asciiTheme="majorBidi" w:eastAsia="Times New Roman" w:hAnsiTheme="majorBidi" w:cstheme="majorBidi"/>
          <w:sz w:val="20"/>
          <w:szCs w:val="20"/>
          <w:lang w:val="en-US"/>
        </w:rPr>
        <w:t xml:space="preserve">is a key factor </w:t>
      </w:r>
      <w:r w:rsidRPr="00E31524">
        <w:rPr>
          <w:rFonts w:asciiTheme="majorBidi" w:eastAsia="Times New Roman" w:hAnsiTheme="majorBidi" w:cstheme="majorBidi"/>
          <w:sz w:val="20"/>
          <w:szCs w:val="20"/>
          <w:lang w:val="en-US"/>
        </w:rPr>
        <w:t>in achieving sustainable development goals and universal health coverage.</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To this end, it is vital to </w:t>
      </w:r>
      <w:r w:rsidR="00391532" w:rsidRPr="00E31524">
        <w:rPr>
          <w:rFonts w:asciiTheme="majorBidi" w:eastAsia="Times New Roman" w:hAnsiTheme="majorBidi" w:cstheme="majorBidi"/>
          <w:sz w:val="20"/>
          <w:szCs w:val="20"/>
          <w:lang w:val="en-US"/>
        </w:rPr>
        <w:t xml:space="preserve">improve the safety </w:t>
      </w:r>
      <w:r w:rsidRPr="00E31524">
        <w:rPr>
          <w:rFonts w:asciiTheme="majorBidi" w:eastAsia="Times New Roman" w:hAnsiTheme="majorBidi" w:cstheme="majorBidi"/>
          <w:sz w:val="20"/>
          <w:szCs w:val="20"/>
          <w:lang w:val="en-US"/>
        </w:rPr>
        <w:t xml:space="preserve">and quality of healthcare services, </w:t>
      </w:r>
      <w:r w:rsidR="00391532" w:rsidRPr="00E31524">
        <w:rPr>
          <w:rFonts w:asciiTheme="majorBidi" w:eastAsia="Times New Roman" w:hAnsiTheme="majorBidi" w:cstheme="majorBidi"/>
          <w:sz w:val="20"/>
          <w:szCs w:val="20"/>
          <w:lang w:val="en-US"/>
        </w:rPr>
        <w:t xml:space="preserve">and to act </w:t>
      </w:r>
      <w:r w:rsidR="00D30AFA" w:rsidRPr="00E31524">
        <w:rPr>
          <w:rFonts w:asciiTheme="majorBidi" w:eastAsia="Times New Roman" w:hAnsiTheme="majorBidi" w:cstheme="majorBidi"/>
          <w:sz w:val="20"/>
          <w:szCs w:val="20"/>
          <w:lang w:val="en-US"/>
        </w:rPr>
        <w:t xml:space="preserve">on multiple factors </w:t>
      </w:r>
      <w:r w:rsidR="00391532" w:rsidRPr="00E31524">
        <w:rPr>
          <w:rFonts w:asciiTheme="majorBidi" w:eastAsia="Times New Roman" w:hAnsiTheme="majorBidi" w:cstheme="majorBidi"/>
          <w:sz w:val="20"/>
          <w:szCs w:val="20"/>
          <w:lang w:val="en-US"/>
        </w:rPr>
        <w:t xml:space="preserve">to reduce </w:t>
      </w:r>
      <w:r w:rsidRPr="00E31524">
        <w:rPr>
          <w:rFonts w:asciiTheme="majorBidi" w:eastAsia="Times New Roman" w:hAnsiTheme="majorBidi" w:cstheme="majorBidi"/>
          <w:sz w:val="20"/>
          <w:szCs w:val="20"/>
          <w:lang w:val="en-US"/>
        </w:rPr>
        <w:t xml:space="preserve">the incidence of adverse health outcomes. </w:t>
      </w:r>
      <w:r w:rsidR="00D30AFA" w:rsidRPr="00E31524">
        <w:rPr>
          <w:rFonts w:asciiTheme="majorBidi" w:eastAsia="Times New Roman" w:hAnsiTheme="majorBidi" w:cstheme="majorBidi"/>
          <w:sz w:val="20"/>
          <w:szCs w:val="20"/>
          <w:lang w:val="en-US"/>
        </w:rPr>
        <w:t>Given this, a systematic approach that addresses the most common causes of harm and approaches to prevent it is essential for the development and implementation of coordinated strategies and plans for patient safety in primary care.</w:t>
      </w:r>
    </w:p>
    <w:p w14:paraId="2758196D"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79D44230"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Acknowledgements</w:t>
      </w:r>
    </w:p>
    <w:p w14:paraId="07549018" w14:textId="77777777" w:rsidR="002E08BD" w:rsidRPr="00E31524" w:rsidRDefault="00385CBB"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authors would like to thank the officials of the Ministry of Health and Social Protection at the various levels. </w:t>
      </w:r>
      <w:r w:rsidR="003A049D" w:rsidRPr="00E31524">
        <w:rPr>
          <w:rFonts w:asciiTheme="majorBidi" w:eastAsia="Times New Roman" w:hAnsiTheme="majorBidi" w:cstheme="majorBidi"/>
          <w:sz w:val="20"/>
          <w:szCs w:val="20"/>
          <w:lang w:val="en-US"/>
        </w:rPr>
        <w:t>They also thank health professionals and providers at the level of primary healthcare facilities. They finally thank the Office of the World Health Organization in Rabat, and all those who,</w:t>
      </w:r>
      <w:r w:rsidR="00657FF2" w:rsidRPr="00E31524">
        <w:rPr>
          <w:rFonts w:asciiTheme="majorBidi" w:eastAsia="Times New Roman" w:hAnsiTheme="majorBidi" w:cstheme="majorBidi"/>
          <w:sz w:val="20"/>
          <w:szCs w:val="20"/>
          <w:lang w:val="en-US"/>
        </w:rPr>
        <w:t xml:space="preserve"> through their commitment, contributed to carrying out this study. </w:t>
      </w:r>
      <w:r w:rsidR="003A049D" w:rsidRPr="00E31524">
        <w:rPr>
          <w:rFonts w:asciiTheme="majorBidi" w:eastAsia="Times New Roman" w:hAnsiTheme="majorBidi" w:cstheme="majorBidi"/>
          <w:sz w:val="20"/>
          <w:szCs w:val="20"/>
          <w:lang w:val="en-US"/>
        </w:rPr>
        <w:t xml:space="preserve"> </w:t>
      </w:r>
    </w:p>
    <w:p w14:paraId="5228ABB4" w14:textId="77777777" w:rsidR="002E08BD" w:rsidRPr="00E31524" w:rsidRDefault="002E08BD" w:rsidP="00BB169F">
      <w:pPr>
        <w:widowControl w:val="0"/>
        <w:spacing w:after="0" w:line="276" w:lineRule="auto"/>
        <w:jc w:val="both"/>
        <w:rPr>
          <w:rFonts w:asciiTheme="majorBidi" w:eastAsia="Times New Roman" w:hAnsiTheme="majorBidi" w:cstheme="majorBidi"/>
          <w:sz w:val="20"/>
          <w:szCs w:val="20"/>
          <w:lang w:val="en-US"/>
        </w:rPr>
      </w:pPr>
    </w:p>
    <w:p w14:paraId="7D500110"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 xml:space="preserve">Statement of absence of conflict of interest </w:t>
      </w:r>
    </w:p>
    <w:p w14:paraId="6AEA328C" w14:textId="77777777" w:rsidR="00B0229D" w:rsidRPr="00E31524" w:rsidRDefault="00B022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authors declare that there are no known conflicts of interest associated with this publication. </w:t>
      </w:r>
    </w:p>
    <w:p w14:paraId="35A216E7"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26556C78"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References</w:t>
      </w:r>
    </w:p>
    <w:p w14:paraId="362EF53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1 ]</w:t>
      </w:r>
      <w:proofErr w:type="gramEnd"/>
      <w:r w:rsidRPr="00E31524">
        <w:rPr>
          <w:rFonts w:asciiTheme="majorBidi" w:eastAsia="Times New Roman" w:hAnsiTheme="majorBidi" w:cstheme="majorBidi"/>
          <w:sz w:val="20"/>
          <w:szCs w:val="20"/>
          <w:lang w:val="en-US"/>
        </w:rPr>
        <w:tab/>
        <w:t xml:space="preserve">World Health Organization. </w:t>
      </w:r>
      <w:r w:rsidRPr="002A7987">
        <w:rPr>
          <w:rFonts w:asciiTheme="majorBidi" w:eastAsia="Times New Roman" w:hAnsiTheme="majorBidi" w:cstheme="majorBidi"/>
          <w:i/>
          <w:iCs/>
          <w:sz w:val="20"/>
          <w:szCs w:val="20"/>
          <w:lang w:val="en-US"/>
        </w:rPr>
        <w:t xml:space="preserve">Towards eliminating </w:t>
      </w:r>
      <w:r w:rsidR="002837FF" w:rsidRPr="002A7987">
        <w:rPr>
          <w:rFonts w:asciiTheme="majorBidi" w:eastAsia="Times New Roman" w:hAnsiTheme="majorBidi" w:cstheme="majorBidi"/>
          <w:i/>
          <w:iCs/>
          <w:sz w:val="20"/>
          <w:szCs w:val="20"/>
          <w:lang w:val="en-US"/>
        </w:rPr>
        <w:t>avoidable,</w:t>
      </w:r>
      <w:r w:rsidRPr="002A7987">
        <w:rPr>
          <w:rFonts w:asciiTheme="majorBidi" w:eastAsia="Times New Roman" w:hAnsiTheme="majorBidi" w:cstheme="majorBidi"/>
          <w:i/>
          <w:iCs/>
          <w:sz w:val="20"/>
          <w:szCs w:val="20"/>
          <w:lang w:val="en-US"/>
        </w:rPr>
        <w:t xml:space="preserve"> harm in healthcare. World action plan for patient safety 2021-2030</w:t>
      </w:r>
      <w:r w:rsidRPr="00E31524">
        <w:rPr>
          <w:rFonts w:asciiTheme="majorBidi" w:eastAsia="Times New Roman" w:hAnsiTheme="majorBidi" w:cstheme="majorBidi"/>
          <w:sz w:val="20"/>
          <w:szCs w:val="20"/>
          <w:lang w:val="en-US"/>
        </w:rPr>
        <w:t>. (2022).</w:t>
      </w:r>
    </w:p>
    <w:p w14:paraId="4280F1C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2 ]</w:t>
      </w:r>
      <w:proofErr w:type="gramEnd"/>
      <w:r w:rsidRPr="00E31524">
        <w:rPr>
          <w:rFonts w:asciiTheme="majorBidi" w:eastAsia="Times New Roman" w:hAnsiTheme="majorBidi" w:cstheme="majorBidi"/>
          <w:sz w:val="20"/>
          <w:szCs w:val="20"/>
          <w:lang w:val="en-US"/>
        </w:rPr>
        <w:tab/>
        <w:t xml:space="preserve">Aitken M., </w:t>
      </w:r>
      <w:proofErr w:type="spellStart"/>
      <w:r w:rsidRPr="00E31524">
        <w:rPr>
          <w:rFonts w:asciiTheme="majorBidi" w:eastAsia="Times New Roman" w:hAnsiTheme="majorBidi" w:cstheme="majorBidi"/>
          <w:sz w:val="20"/>
          <w:szCs w:val="20"/>
          <w:lang w:val="en-US"/>
        </w:rPr>
        <w:t>Gorokhovich</w:t>
      </w:r>
      <w:proofErr w:type="spellEnd"/>
      <w:r w:rsidRPr="00E31524">
        <w:rPr>
          <w:rFonts w:asciiTheme="majorBidi" w:eastAsia="Times New Roman" w:hAnsiTheme="majorBidi" w:cstheme="majorBidi"/>
          <w:sz w:val="20"/>
          <w:szCs w:val="20"/>
          <w:lang w:val="en-US"/>
        </w:rPr>
        <w:t xml:space="preserve"> L. </w:t>
      </w:r>
      <w:r w:rsidRPr="002A7987">
        <w:rPr>
          <w:rFonts w:asciiTheme="majorBidi" w:eastAsia="Times New Roman" w:hAnsiTheme="majorBidi" w:cstheme="majorBidi"/>
          <w:i/>
          <w:iCs/>
          <w:sz w:val="20"/>
          <w:szCs w:val="20"/>
          <w:lang w:val="en-US"/>
        </w:rPr>
        <w:t>Advancing the Responsible Use of Medicines: Applying Levers for Change</w:t>
      </w:r>
      <w:r w:rsidRPr="00E31524">
        <w:rPr>
          <w:rFonts w:asciiTheme="majorBidi" w:eastAsia="Times New Roman" w:hAnsiTheme="majorBidi" w:cstheme="majorBidi"/>
          <w:sz w:val="20"/>
          <w:szCs w:val="20"/>
          <w:lang w:val="en-US"/>
        </w:rPr>
        <w:t xml:space="preserve">. Parsippany (NJ): IMS Institute for Healthcare Informatics (2012). </w:t>
      </w:r>
    </w:p>
    <w:p w14:paraId="67C73F3E" w14:textId="08DE77BC"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3 ]</w:t>
      </w:r>
      <w:proofErr w:type="gramEnd"/>
      <w:r w:rsidRPr="00E31524">
        <w:rPr>
          <w:rFonts w:asciiTheme="majorBidi" w:eastAsia="Times New Roman" w:hAnsiTheme="majorBidi" w:cstheme="majorBidi"/>
          <w:sz w:val="20"/>
          <w:szCs w:val="20"/>
          <w:lang w:val="en-US"/>
        </w:rPr>
        <w:tab/>
        <w:t xml:space="preserve">Kruk ME, Gage AD, Joseph NT, </w:t>
      </w:r>
      <w:proofErr w:type="spellStart"/>
      <w:r w:rsidRPr="00E31524">
        <w:rPr>
          <w:rFonts w:asciiTheme="majorBidi" w:eastAsia="Times New Roman" w:hAnsiTheme="majorBidi" w:cstheme="majorBidi"/>
          <w:sz w:val="20"/>
          <w:szCs w:val="20"/>
          <w:lang w:val="en-US"/>
        </w:rPr>
        <w:t>Danaei</w:t>
      </w:r>
      <w:proofErr w:type="spellEnd"/>
      <w:r w:rsidRPr="00E31524">
        <w:rPr>
          <w:rFonts w:asciiTheme="majorBidi" w:eastAsia="Times New Roman" w:hAnsiTheme="majorBidi" w:cstheme="majorBidi"/>
          <w:sz w:val="20"/>
          <w:szCs w:val="20"/>
          <w:lang w:val="en-US"/>
        </w:rPr>
        <w:t xml:space="preserve"> G, García-</w:t>
      </w:r>
      <w:proofErr w:type="spellStart"/>
      <w:r w:rsidRPr="00E31524">
        <w:rPr>
          <w:rFonts w:asciiTheme="majorBidi" w:eastAsia="Times New Roman" w:hAnsiTheme="majorBidi" w:cstheme="majorBidi"/>
          <w:sz w:val="20"/>
          <w:szCs w:val="20"/>
          <w:lang w:val="en-US"/>
        </w:rPr>
        <w:t>Saisó</w:t>
      </w:r>
      <w:proofErr w:type="spellEnd"/>
      <w:r w:rsidRPr="00E31524">
        <w:rPr>
          <w:rFonts w:asciiTheme="majorBidi" w:eastAsia="Times New Roman" w:hAnsiTheme="majorBidi" w:cstheme="majorBidi"/>
          <w:sz w:val="20"/>
          <w:szCs w:val="20"/>
          <w:lang w:val="en-US"/>
        </w:rPr>
        <w:t xml:space="preserve"> S, Salomon JA. </w:t>
      </w:r>
      <w:r w:rsidRPr="002A7987">
        <w:rPr>
          <w:rFonts w:asciiTheme="majorBidi" w:eastAsia="Times New Roman" w:hAnsiTheme="majorBidi" w:cstheme="majorBidi"/>
          <w:i/>
          <w:iCs/>
          <w:sz w:val="20"/>
          <w:szCs w:val="20"/>
          <w:lang w:val="en-US"/>
        </w:rPr>
        <w:t>Mortality due to low-quality health systems in the universal health coverage era: a systematic analysis of amenable deaths in 137 countries</w:t>
      </w:r>
      <w:r w:rsidRPr="00E31524">
        <w:rPr>
          <w:rFonts w:asciiTheme="majorBidi" w:eastAsia="Times New Roman" w:hAnsiTheme="majorBidi" w:cstheme="majorBidi"/>
          <w:sz w:val="20"/>
          <w:szCs w:val="20"/>
          <w:lang w:val="en-US"/>
        </w:rPr>
        <w:t xml:space="preserve">. 392(10160):22032212. </w:t>
      </w:r>
      <w:hyperlink r:id="rId10">
        <w:r w:rsidRPr="00E31524">
          <w:rPr>
            <w:rFonts w:asciiTheme="majorBidi" w:eastAsia="Times New Roman" w:hAnsiTheme="majorBidi" w:cstheme="majorBidi"/>
            <w:sz w:val="20"/>
            <w:szCs w:val="20"/>
            <w:lang w:val="en-US"/>
          </w:rPr>
          <w:t>https://doi.org/10.1016/s0140-6736</w:t>
        </w:r>
      </w:hyperlink>
      <w:r w:rsidRPr="00E31524">
        <w:rPr>
          <w:rFonts w:asciiTheme="majorBidi" w:eastAsia="Times New Roman" w:hAnsiTheme="majorBidi" w:cstheme="majorBidi"/>
          <w:sz w:val="20"/>
          <w:szCs w:val="20"/>
          <w:lang w:val="en-US"/>
        </w:rPr>
        <w:t xml:space="preserve"> </w:t>
      </w:r>
      <w:r w:rsidR="002A7987">
        <w:rPr>
          <w:rFonts w:asciiTheme="majorBidi" w:eastAsia="Times New Roman" w:hAnsiTheme="majorBidi" w:cstheme="majorBidi"/>
          <w:sz w:val="20"/>
          <w:szCs w:val="20"/>
          <w:lang w:val="en-US"/>
        </w:rPr>
        <w:t>(</w:t>
      </w:r>
      <w:r w:rsidR="002A7987" w:rsidRPr="002A7987">
        <w:rPr>
          <w:rFonts w:asciiTheme="majorBidi" w:eastAsia="Times New Roman" w:hAnsiTheme="majorBidi" w:cstheme="majorBidi"/>
          <w:b/>
          <w:bCs/>
          <w:sz w:val="20"/>
          <w:szCs w:val="20"/>
          <w:lang w:val="en-US"/>
        </w:rPr>
        <w:t>18</w:t>
      </w:r>
      <w:r w:rsidR="002A7987">
        <w:rPr>
          <w:rFonts w:asciiTheme="majorBidi" w:eastAsia="Times New Roman" w:hAnsiTheme="majorBidi" w:cstheme="majorBidi"/>
          <w:sz w:val="20"/>
          <w:szCs w:val="20"/>
          <w:lang w:val="en-US"/>
        </w:rPr>
        <w:t xml:space="preserve">)31668-4. </w:t>
      </w:r>
      <w:r w:rsidRPr="00E31524">
        <w:rPr>
          <w:rFonts w:asciiTheme="majorBidi" w:eastAsia="Times New Roman" w:hAnsiTheme="majorBidi" w:cstheme="majorBidi"/>
          <w:sz w:val="20"/>
          <w:szCs w:val="20"/>
          <w:lang w:val="en-US"/>
        </w:rPr>
        <w:t>Lancet (2018).</w:t>
      </w:r>
    </w:p>
    <w:p w14:paraId="61D22E53"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4 ]</w:t>
      </w:r>
      <w:proofErr w:type="gramEnd"/>
      <w:r w:rsidRPr="00E31524">
        <w:rPr>
          <w:rFonts w:asciiTheme="majorBidi" w:eastAsia="Times New Roman" w:hAnsiTheme="majorBidi" w:cstheme="majorBidi"/>
          <w:sz w:val="20"/>
          <w:szCs w:val="20"/>
          <w:lang w:val="en-US"/>
        </w:rPr>
        <w:tab/>
        <w:t xml:space="preserve">Charter. </w:t>
      </w:r>
      <w:r w:rsidRPr="002A7987">
        <w:rPr>
          <w:rFonts w:asciiTheme="majorBidi" w:eastAsia="Times New Roman" w:hAnsiTheme="majorBidi" w:cstheme="majorBidi"/>
          <w:i/>
          <w:iCs/>
          <w:sz w:val="20"/>
          <w:szCs w:val="20"/>
          <w:lang w:val="en-US"/>
        </w:rPr>
        <w:t>Health worker safety: a priority for patient safety</w:t>
      </w:r>
      <w:r w:rsidRPr="00E31524">
        <w:rPr>
          <w:rFonts w:asciiTheme="majorBidi" w:eastAsia="Times New Roman" w:hAnsiTheme="majorBidi" w:cstheme="majorBidi"/>
          <w:sz w:val="20"/>
          <w:szCs w:val="20"/>
          <w:lang w:val="en-US"/>
        </w:rPr>
        <w:t>. Geneva, World Health Organization (2020).</w:t>
      </w:r>
    </w:p>
    <w:p w14:paraId="57480935" w14:textId="4B1F3E66"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5 ]</w:t>
      </w:r>
      <w:proofErr w:type="gramEnd"/>
      <w:r w:rsidRPr="00E31524">
        <w:rPr>
          <w:rFonts w:asciiTheme="majorBidi" w:eastAsia="Times New Roman" w:hAnsiTheme="majorBidi" w:cstheme="majorBidi"/>
          <w:sz w:val="20"/>
          <w:szCs w:val="20"/>
          <w:lang w:val="en-US"/>
        </w:rPr>
        <w:tab/>
      </w:r>
      <w:r w:rsidR="002A7987">
        <w:rPr>
          <w:rFonts w:asciiTheme="majorBidi" w:eastAsia="Times New Roman" w:hAnsiTheme="majorBidi" w:cstheme="majorBidi"/>
          <w:sz w:val="20"/>
          <w:szCs w:val="20"/>
          <w:lang w:val="en-US"/>
        </w:rPr>
        <w:t xml:space="preserve">WHO. </w:t>
      </w:r>
      <w:r w:rsidRPr="002A7987">
        <w:rPr>
          <w:rFonts w:asciiTheme="majorBidi" w:eastAsia="Times New Roman" w:hAnsiTheme="majorBidi" w:cstheme="majorBidi"/>
          <w:i/>
          <w:iCs/>
          <w:sz w:val="20"/>
          <w:szCs w:val="20"/>
          <w:lang w:val="en-US"/>
        </w:rPr>
        <w:t>Guide to developing a national quality policy and strategy: a practical approach to formulating a policy and strategy for improving the quality of care</w:t>
      </w:r>
      <w:r w:rsidRPr="00E31524">
        <w:rPr>
          <w:rFonts w:asciiTheme="majorBidi" w:eastAsia="Times New Roman" w:hAnsiTheme="majorBidi" w:cstheme="majorBidi"/>
          <w:sz w:val="20"/>
          <w:szCs w:val="20"/>
          <w:lang w:val="en-US"/>
        </w:rPr>
        <w:t>. Geneva, W</w:t>
      </w:r>
      <w:r w:rsidR="002A7987">
        <w:rPr>
          <w:rFonts w:asciiTheme="majorBidi" w:eastAsia="Times New Roman" w:hAnsiTheme="majorBidi" w:cstheme="majorBidi"/>
          <w:sz w:val="20"/>
          <w:szCs w:val="20"/>
          <w:lang w:val="en-US"/>
        </w:rPr>
        <w:t>HO</w:t>
      </w:r>
      <w:r w:rsidRPr="00E31524">
        <w:rPr>
          <w:rFonts w:asciiTheme="majorBidi" w:eastAsia="Times New Roman" w:hAnsiTheme="majorBidi" w:cstheme="majorBidi"/>
          <w:sz w:val="20"/>
          <w:szCs w:val="20"/>
          <w:lang w:val="en-US"/>
        </w:rPr>
        <w:t xml:space="preserve"> (2018).</w:t>
      </w:r>
    </w:p>
    <w:p w14:paraId="0196150B"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6 ]</w:t>
      </w:r>
      <w:proofErr w:type="gramEnd"/>
      <w:r w:rsidRPr="00E31524">
        <w:rPr>
          <w:rFonts w:asciiTheme="majorBidi" w:eastAsia="Times New Roman" w:hAnsiTheme="majorBidi" w:cstheme="majorBidi"/>
          <w:sz w:val="20"/>
          <w:szCs w:val="20"/>
          <w:lang w:val="en-US"/>
        </w:rPr>
        <w:tab/>
      </w:r>
      <w:proofErr w:type="spellStart"/>
      <w:r w:rsidRPr="00E31524">
        <w:rPr>
          <w:rFonts w:asciiTheme="majorBidi" w:eastAsia="Times New Roman" w:hAnsiTheme="majorBidi" w:cstheme="majorBidi"/>
          <w:sz w:val="20"/>
          <w:szCs w:val="20"/>
          <w:lang w:val="en-US"/>
        </w:rPr>
        <w:t>Slawomirski</w:t>
      </w:r>
      <w:proofErr w:type="spellEnd"/>
      <w:r w:rsidRPr="00E31524">
        <w:rPr>
          <w:rFonts w:asciiTheme="majorBidi" w:eastAsia="Times New Roman" w:hAnsiTheme="majorBidi" w:cstheme="majorBidi"/>
          <w:sz w:val="20"/>
          <w:szCs w:val="20"/>
          <w:lang w:val="en-US"/>
        </w:rPr>
        <w:t xml:space="preserve"> L, </w:t>
      </w:r>
      <w:proofErr w:type="spellStart"/>
      <w:r w:rsidRPr="00E31524">
        <w:rPr>
          <w:rFonts w:asciiTheme="majorBidi" w:eastAsia="Times New Roman" w:hAnsiTheme="majorBidi" w:cstheme="majorBidi"/>
          <w:sz w:val="20"/>
          <w:szCs w:val="20"/>
          <w:lang w:val="en-US"/>
        </w:rPr>
        <w:t>Auraaen</w:t>
      </w:r>
      <w:proofErr w:type="spellEnd"/>
      <w:r w:rsidRPr="00E31524">
        <w:rPr>
          <w:rFonts w:asciiTheme="majorBidi" w:eastAsia="Times New Roman" w:hAnsiTheme="majorBidi" w:cstheme="majorBidi"/>
          <w:sz w:val="20"/>
          <w:szCs w:val="20"/>
          <w:lang w:val="en-US"/>
        </w:rPr>
        <w:t xml:space="preserve"> A, </w:t>
      </w:r>
      <w:proofErr w:type="spellStart"/>
      <w:r w:rsidRPr="00E31524">
        <w:rPr>
          <w:rFonts w:asciiTheme="majorBidi" w:eastAsia="Times New Roman" w:hAnsiTheme="majorBidi" w:cstheme="majorBidi"/>
          <w:sz w:val="20"/>
          <w:szCs w:val="20"/>
          <w:lang w:val="en-US"/>
        </w:rPr>
        <w:t>Klazinga</w:t>
      </w:r>
      <w:proofErr w:type="spellEnd"/>
      <w:r w:rsidRPr="00E31524">
        <w:rPr>
          <w:rFonts w:asciiTheme="majorBidi" w:eastAsia="Times New Roman" w:hAnsiTheme="majorBidi" w:cstheme="majorBidi"/>
          <w:sz w:val="20"/>
          <w:szCs w:val="20"/>
          <w:lang w:val="en-US"/>
        </w:rPr>
        <w:t xml:space="preserve"> N. </w:t>
      </w:r>
      <w:r w:rsidRPr="002A7987">
        <w:rPr>
          <w:rFonts w:asciiTheme="majorBidi" w:eastAsia="Times New Roman" w:hAnsiTheme="majorBidi" w:cstheme="majorBidi"/>
          <w:i/>
          <w:iCs/>
          <w:sz w:val="20"/>
          <w:szCs w:val="20"/>
          <w:lang w:val="en-US"/>
        </w:rPr>
        <w:t>The economics of patient safety in primary and ambulatory care: flying blind</w:t>
      </w:r>
      <w:r w:rsidRPr="00E31524">
        <w:rPr>
          <w:rFonts w:asciiTheme="majorBidi" w:eastAsia="Times New Roman" w:hAnsiTheme="majorBidi" w:cstheme="majorBidi"/>
          <w:sz w:val="20"/>
          <w:szCs w:val="20"/>
          <w:lang w:val="en-US"/>
        </w:rPr>
        <w:t xml:space="preserve">. OECD health working paper no. </w:t>
      </w:r>
      <w:r w:rsidRPr="002A7987">
        <w:rPr>
          <w:rFonts w:asciiTheme="majorBidi" w:eastAsia="Times New Roman" w:hAnsiTheme="majorBidi" w:cstheme="majorBidi"/>
          <w:b/>
          <w:bCs/>
          <w:sz w:val="20"/>
          <w:szCs w:val="20"/>
          <w:lang w:val="en-US"/>
        </w:rPr>
        <w:t>106</w:t>
      </w:r>
      <w:r w:rsidRPr="00E31524">
        <w:rPr>
          <w:rFonts w:asciiTheme="majorBidi" w:eastAsia="Times New Roman" w:hAnsiTheme="majorBidi" w:cstheme="majorBidi"/>
          <w:sz w:val="20"/>
          <w:szCs w:val="20"/>
          <w:lang w:val="en-US"/>
        </w:rPr>
        <w:t xml:space="preserve">. Paris: </w:t>
      </w:r>
      <w:proofErr w:type="spellStart"/>
      <w:r w:rsidRPr="00E31524">
        <w:rPr>
          <w:rFonts w:asciiTheme="majorBidi" w:eastAsia="Times New Roman" w:hAnsiTheme="majorBidi" w:cstheme="majorBidi"/>
          <w:sz w:val="20"/>
          <w:szCs w:val="20"/>
          <w:lang w:val="en-US"/>
        </w:rPr>
        <w:t>Organisation</w:t>
      </w:r>
      <w:proofErr w:type="spellEnd"/>
      <w:r w:rsidRPr="00E31524">
        <w:rPr>
          <w:rFonts w:asciiTheme="majorBidi" w:eastAsia="Times New Roman" w:hAnsiTheme="majorBidi" w:cstheme="majorBidi"/>
          <w:sz w:val="20"/>
          <w:szCs w:val="20"/>
          <w:lang w:val="en-US"/>
        </w:rPr>
        <w:t xml:space="preserve"> for Economic Co-operation and Development (2018).</w:t>
      </w:r>
    </w:p>
    <w:p w14:paraId="75B1F1DA"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7 ]</w:t>
      </w:r>
      <w:proofErr w:type="gramEnd"/>
      <w:r w:rsidRPr="00E31524">
        <w:rPr>
          <w:rFonts w:asciiTheme="majorBidi" w:eastAsia="Times New Roman" w:hAnsiTheme="majorBidi" w:cstheme="majorBidi"/>
          <w:sz w:val="20"/>
          <w:szCs w:val="20"/>
          <w:lang w:val="en-US"/>
        </w:rPr>
        <w:tab/>
      </w:r>
      <w:proofErr w:type="spellStart"/>
      <w:r w:rsidRPr="00E31524">
        <w:rPr>
          <w:rFonts w:asciiTheme="majorBidi" w:eastAsia="Times New Roman" w:hAnsiTheme="majorBidi" w:cstheme="majorBidi"/>
          <w:sz w:val="20"/>
          <w:szCs w:val="20"/>
          <w:lang w:val="en-US"/>
        </w:rPr>
        <w:t>Slawomirski</w:t>
      </w:r>
      <w:proofErr w:type="spellEnd"/>
      <w:r w:rsidRPr="00E31524">
        <w:rPr>
          <w:rFonts w:asciiTheme="majorBidi" w:eastAsia="Times New Roman" w:hAnsiTheme="majorBidi" w:cstheme="majorBidi"/>
          <w:sz w:val="20"/>
          <w:szCs w:val="20"/>
          <w:lang w:val="en-US"/>
        </w:rPr>
        <w:t xml:space="preserve"> L, </w:t>
      </w:r>
      <w:proofErr w:type="spellStart"/>
      <w:r w:rsidRPr="00E31524">
        <w:rPr>
          <w:rFonts w:asciiTheme="majorBidi" w:eastAsia="Times New Roman" w:hAnsiTheme="majorBidi" w:cstheme="majorBidi"/>
          <w:sz w:val="20"/>
          <w:szCs w:val="20"/>
          <w:lang w:val="en-US"/>
        </w:rPr>
        <w:t>Klazinga</w:t>
      </w:r>
      <w:proofErr w:type="spellEnd"/>
      <w:r w:rsidRPr="00E31524">
        <w:rPr>
          <w:rFonts w:asciiTheme="majorBidi" w:eastAsia="Times New Roman" w:hAnsiTheme="majorBidi" w:cstheme="majorBidi"/>
          <w:sz w:val="20"/>
          <w:szCs w:val="20"/>
          <w:lang w:val="en-US"/>
        </w:rPr>
        <w:t xml:space="preserve"> N. </w:t>
      </w:r>
      <w:r w:rsidRPr="002A7987">
        <w:rPr>
          <w:rFonts w:asciiTheme="majorBidi" w:eastAsia="Times New Roman" w:hAnsiTheme="majorBidi" w:cstheme="majorBidi"/>
          <w:i/>
          <w:iCs/>
          <w:sz w:val="20"/>
          <w:szCs w:val="20"/>
          <w:lang w:val="en-US"/>
        </w:rPr>
        <w:t>Economics of patient safety: from analysis to action</w:t>
      </w:r>
      <w:r w:rsidRPr="00E31524">
        <w:rPr>
          <w:rFonts w:asciiTheme="majorBidi" w:eastAsia="Times New Roman" w:hAnsiTheme="majorBidi" w:cstheme="majorBidi"/>
          <w:sz w:val="20"/>
          <w:szCs w:val="20"/>
          <w:lang w:val="en-US"/>
        </w:rPr>
        <w:t xml:space="preserve">. Paris: </w:t>
      </w:r>
      <w:proofErr w:type="spellStart"/>
      <w:r w:rsidRPr="00E31524">
        <w:rPr>
          <w:rFonts w:asciiTheme="majorBidi" w:eastAsia="Times New Roman" w:hAnsiTheme="majorBidi" w:cstheme="majorBidi"/>
          <w:sz w:val="20"/>
          <w:szCs w:val="20"/>
          <w:lang w:val="en-US"/>
        </w:rPr>
        <w:t>Organisation</w:t>
      </w:r>
      <w:proofErr w:type="spellEnd"/>
      <w:r w:rsidRPr="00E31524">
        <w:rPr>
          <w:rFonts w:asciiTheme="majorBidi" w:eastAsia="Times New Roman" w:hAnsiTheme="majorBidi" w:cstheme="majorBidi"/>
          <w:sz w:val="20"/>
          <w:szCs w:val="20"/>
          <w:lang w:val="en-US"/>
        </w:rPr>
        <w:t xml:space="preserve"> for Economic Cooperation and Development (2020).</w:t>
      </w:r>
    </w:p>
    <w:p w14:paraId="4698348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566339">
        <w:rPr>
          <w:rFonts w:asciiTheme="majorBidi" w:eastAsia="Times New Roman" w:hAnsiTheme="majorBidi" w:cstheme="majorBidi"/>
          <w:sz w:val="20"/>
          <w:szCs w:val="20"/>
        </w:rPr>
        <w:t>[</w:t>
      </w:r>
      <w:proofErr w:type="gramStart"/>
      <w:r w:rsidRPr="00566339">
        <w:rPr>
          <w:rFonts w:asciiTheme="majorBidi" w:eastAsia="Times New Roman" w:hAnsiTheme="majorBidi" w:cstheme="majorBidi"/>
          <w:sz w:val="20"/>
          <w:szCs w:val="20"/>
        </w:rPr>
        <w:t>8 ]</w:t>
      </w:r>
      <w:proofErr w:type="gramEnd"/>
      <w:r w:rsidRPr="00566339">
        <w:rPr>
          <w:rFonts w:asciiTheme="majorBidi" w:eastAsia="Times New Roman" w:hAnsiTheme="majorBidi" w:cstheme="majorBidi"/>
          <w:sz w:val="20"/>
          <w:szCs w:val="20"/>
        </w:rPr>
        <w:tab/>
      </w:r>
      <w:proofErr w:type="spellStart"/>
      <w:r w:rsidRPr="00566339">
        <w:rPr>
          <w:rFonts w:asciiTheme="majorBidi" w:eastAsia="Times New Roman" w:hAnsiTheme="majorBidi" w:cstheme="majorBidi"/>
          <w:sz w:val="20"/>
          <w:szCs w:val="20"/>
        </w:rPr>
        <w:t>Galhardi</w:t>
      </w:r>
      <w:proofErr w:type="spellEnd"/>
      <w:r w:rsidRPr="00566339">
        <w:rPr>
          <w:rFonts w:asciiTheme="majorBidi" w:eastAsia="Times New Roman" w:hAnsiTheme="majorBidi" w:cstheme="majorBidi"/>
          <w:sz w:val="20"/>
          <w:szCs w:val="20"/>
        </w:rPr>
        <w:t xml:space="preserve"> NM, </w:t>
      </w:r>
      <w:proofErr w:type="spellStart"/>
      <w:r w:rsidRPr="00566339">
        <w:rPr>
          <w:rFonts w:asciiTheme="majorBidi" w:eastAsia="Times New Roman" w:hAnsiTheme="majorBidi" w:cstheme="majorBidi"/>
          <w:sz w:val="20"/>
          <w:szCs w:val="20"/>
        </w:rPr>
        <w:t>Roseira</w:t>
      </w:r>
      <w:proofErr w:type="spellEnd"/>
      <w:r w:rsidRPr="00566339">
        <w:rPr>
          <w:rFonts w:asciiTheme="majorBidi" w:eastAsia="Times New Roman" w:hAnsiTheme="majorBidi" w:cstheme="majorBidi"/>
          <w:sz w:val="20"/>
          <w:szCs w:val="20"/>
        </w:rPr>
        <w:t xml:space="preserve"> CE, Orlandi F de S, Figueiredo RM de.</w:t>
      </w:r>
      <w:r w:rsidR="007B4B92" w:rsidRPr="00566339">
        <w:rPr>
          <w:rFonts w:asciiTheme="majorBidi" w:eastAsia="Times New Roman" w:hAnsiTheme="majorBidi" w:cstheme="majorBidi"/>
          <w:sz w:val="20"/>
          <w:szCs w:val="20"/>
        </w:rPr>
        <w:t xml:space="preserve"> </w:t>
      </w:r>
      <w:r w:rsidRPr="002A7987">
        <w:rPr>
          <w:rFonts w:asciiTheme="majorBidi" w:eastAsia="Times New Roman" w:hAnsiTheme="majorBidi" w:cstheme="majorBidi"/>
          <w:i/>
          <w:iCs/>
          <w:sz w:val="20"/>
          <w:szCs w:val="20"/>
          <w:lang w:val="en-US"/>
        </w:rPr>
        <w:t>Evaluation of patient safety culture in primary care</w:t>
      </w:r>
      <w:r w:rsidRPr="00E31524">
        <w:rPr>
          <w:rFonts w:asciiTheme="majorBidi" w:eastAsia="Times New Roman" w:hAnsiTheme="majorBidi" w:cstheme="majorBidi"/>
          <w:sz w:val="20"/>
          <w:szCs w:val="20"/>
          <w:lang w:val="en-US"/>
        </w:rPr>
        <w:t xml:space="preserve">. </w:t>
      </w:r>
      <w:r w:rsidRPr="002A7987">
        <w:rPr>
          <w:rFonts w:asciiTheme="majorBidi" w:eastAsia="Times New Roman" w:hAnsiTheme="majorBidi" w:cstheme="majorBidi"/>
          <w:b/>
          <w:bCs/>
          <w:sz w:val="20"/>
          <w:szCs w:val="20"/>
          <w:lang w:val="en-US"/>
        </w:rPr>
        <w:t>31</w:t>
      </w:r>
      <w:r w:rsidRPr="00E31524">
        <w:rPr>
          <w:rFonts w:asciiTheme="majorBidi" w:eastAsia="Times New Roman" w:hAnsiTheme="majorBidi" w:cstheme="majorBidi"/>
          <w:sz w:val="20"/>
          <w:szCs w:val="20"/>
          <w:lang w:val="en-US"/>
        </w:rPr>
        <w:t xml:space="preserve">(4):409-16. </w:t>
      </w:r>
      <w:proofErr w:type="spellStart"/>
      <w:r w:rsidRPr="00E31524">
        <w:rPr>
          <w:rFonts w:asciiTheme="majorBidi" w:eastAsia="Times New Roman" w:hAnsiTheme="majorBidi" w:cstheme="majorBidi"/>
          <w:sz w:val="20"/>
          <w:szCs w:val="20"/>
          <w:lang w:val="en-US"/>
        </w:rPr>
        <w:t>doi</w:t>
      </w:r>
      <w:proofErr w:type="spellEnd"/>
      <w:r w:rsidRPr="00E31524">
        <w:rPr>
          <w:rFonts w:asciiTheme="majorBidi" w:eastAsia="Times New Roman" w:hAnsiTheme="majorBidi" w:cstheme="majorBidi"/>
          <w:sz w:val="20"/>
          <w:szCs w:val="20"/>
          <w:lang w:val="en-US"/>
        </w:rPr>
        <w:t>: 10.1590/1982-0194201800057 (2018).</w:t>
      </w:r>
    </w:p>
    <w:p w14:paraId="5823051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9 ]</w:t>
      </w:r>
      <w:proofErr w:type="gramEnd"/>
      <w:r w:rsidRPr="00E31524">
        <w:rPr>
          <w:rFonts w:asciiTheme="majorBidi" w:eastAsia="Times New Roman" w:hAnsiTheme="majorBidi" w:cstheme="majorBidi"/>
          <w:sz w:val="20"/>
          <w:szCs w:val="20"/>
          <w:lang w:val="en-US"/>
        </w:rPr>
        <w:tab/>
        <w:t xml:space="preserve">World Health Organization. </w:t>
      </w:r>
      <w:r w:rsidRPr="002A7987">
        <w:rPr>
          <w:rFonts w:asciiTheme="majorBidi" w:eastAsia="Times New Roman" w:hAnsiTheme="majorBidi" w:cstheme="majorBidi"/>
          <w:i/>
          <w:iCs/>
          <w:sz w:val="20"/>
          <w:szCs w:val="20"/>
          <w:lang w:val="en-US"/>
        </w:rPr>
        <w:t>Operational framework for primary health care. From ambition to action</w:t>
      </w:r>
      <w:r w:rsidRPr="00E31524">
        <w:rPr>
          <w:rFonts w:asciiTheme="majorBidi" w:eastAsia="Times New Roman" w:hAnsiTheme="majorBidi" w:cstheme="majorBidi"/>
          <w:sz w:val="20"/>
          <w:szCs w:val="20"/>
          <w:lang w:val="en-US"/>
        </w:rPr>
        <w:t xml:space="preserve"> (2020).</w:t>
      </w:r>
    </w:p>
    <w:p w14:paraId="24917B90" w14:textId="4450E5D4" w:rsidR="00F07E7F" w:rsidRPr="005A5465" w:rsidRDefault="003A049D" w:rsidP="00F07E7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F07E7F">
        <w:rPr>
          <w:rFonts w:asciiTheme="majorBidi" w:eastAsia="Times New Roman" w:hAnsiTheme="majorBidi" w:cstheme="majorBidi"/>
          <w:sz w:val="20"/>
          <w:szCs w:val="20"/>
          <w:lang w:val="en-US"/>
        </w:rPr>
        <w:t>[</w:t>
      </w:r>
      <w:proofErr w:type="gramStart"/>
      <w:r w:rsidRPr="005A5465">
        <w:rPr>
          <w:rFonts w:asciiTheme="majorBidi" w:eastAsia="Times New Roman" w:hAnsiTheme="majorBidi" w:cstheme="majorBidi"/>
          <w:sz w:val="20"/>
          <w:szCs w:val="20"/>
          <w:lang w:val="en-US"/>
        </w:rPr>
        <w:t>10 ]</w:t>
      </w:r>
      <w:proofErr w:type="gramEnd"/>
      <w:r w:rsidRPr="005A5465">
        <w:rPr>
          <w:rFonts w:asciiTheme="majorBidi" w:eastAsia="Times New Roman" w:hAnsiTheme="majorBidi" w:cstheme="majorBidi"/>
          <w:sz w:val="20"/>
          <w:szCs w:val="20"/>
          <w:lang w:val="en-US"/>
        </w:rPr>
        <w:tab/>
      </w:r>
      <w:r w:rsidR="00F07E7F" w:rsidRPr="005A5465">
        <w:rPr>
          <w:rFonts w:asciiTheme="majorBidi" w:eastAsia="Times New Roman" w:hAnsiTheme="majorBidi" w:cstheme="majorBidi"/>
          <w:sz w:val="20"/>
          <w:szCs w:val="20"/>
          <w:lang w:val="en-US"/>
        </w:rPr>
        <w:t>Kingston-Riechers, J., Ospina, M., Jonsson, E., Childs, P., &amp; McLeod, L. Patient safety in primary care. Edmonton, Alberta: Canadian Patient Safety Institute and British Columbia Patient Safety and Quality Council (2010).</w:t>
      </w:r>
    </w:p>
    <w:p w14:paraId="258D61BE" w14:textId="4077CBCB" w:rsidR="001C5A3F" w:rsidRPr="006F0B13" w:rsidRDefault="003A049D" w:rsidP="001C5A3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5A5465">
        <w:rPr>
          <w:rFonts w:asciiTheme="majorBidi" w:eastAsia="Times New Roman" w:hAnsiTheme="majorBidi" w:cstheme="majorBidi"/>
          <w:sz w:val="20"/>
          <w:szCs w:val="20"/>
          <w:lang w:val="en-US"/>
        </w:rPr>
        <w:t>[</w:t>
      </w:r>
      <w:proofErr w:type="gramStart"/>
      <w:r w:rsidRPr="005A5465">
        <w:rPr>
          <w:rFonts w:asciiTheme="majorBidi" w:eastAsia="Times New Roman" w:hAnsiTheme="majorBidi" w:cstheme="majorBidi"/>
          <w:sz w:val="20"/>
          <w:szCs w:val="20"/>
          <w:lang w:val="en-US"/>
        </w:rPr>
        <w:t>11 ]</w:t>
      </w:r>
      <w:proofErr w:type="gramEnd"/>
      <w:r w:rsidRPr="005A5465">
        <w:rPr>
          <w:rFonts w:asciiTheme="majorBidi" w:eastAsia="Times New Roman" w:hAnsiTheme="majorBidi" w:cstheme="majorBidi"/>
          <w:sz w:val="20"/>
          <w:szCs w:val="20"/>
          <w:lang w:val="en-US"/>
        </w:rPr>
        <w:tab/>
      </w:r>
      <w:r w:rsidR="001C5A3F" w:rsidRPr="005A5465">
        <w:rPr>
          <w:rFonts w:asciiTheme="majorBidi" w:eastAsia="Times New Roman" w:hAnsiTheme="majorBidi" w:cstheme="majorBidi"/>
          <w:sz w:val="20"/>
          <w:szCs w:val="20"/>
          <w:lang w:val="en-US"/>
        </w:rPr>
        <w:t xml:space="preserve">Gage, A. D., Leslie, H. H., Bitton, A., Jerome, J. G., Joseph, J. P., Thermidor, R., Kruk, M. E. Assessing the quality </w:t>
      </w:r>
      <w:r w:rsidR="001C5A3F" w:rsidRPr="006F0B13">
        <w:rPr>
          <w:rFonts w:asciiTheme="majorBidi" w:eastAsia="Times New Roman" w:hAnsiTheme="majorBidi" w:cstheme="majorBidi"/>
          <w:sz w:val="20"/>
          <w:szCs w:val="20"/>
          <w:lang w:val="en-US"/>
        </w:rPr>
        <w:t xml:space="preserve">of primary care in Haiti. Bulletin of the World Health Organization, 95(3), 182–190. </w:t>
      </w:r>
      <w:hyperlink r:id="rId11" w:history="1">
        <w:r w:rsidR="001C5A3F" w:rsidRPr="006F0B13">
          <w:rPr>
            <w:rStyle w:val="Lienhypertexte"/>
            <w:rFonts w:asciiTheme="majorBidi" w:eastAsia="Times New Roman" w:hAnsiTheme="majorBidi" w:cstheme="majorBidi"/>
            <w:color w:val="auto"/>
            <w:sz w:val="20"/>
            <w:szCs w:val="20"/>
            <w:u w:val="none"/>
            <w:lang w:val="en-US"/>
          </w:rPr>
          <w:t>https://doi.org/10.2471/BLT.16.179846</w:t>
        </w:r>
      </w:hyperlink>
      <w:r w:rsidR="001C5A3F" w:rsidRPr="006F0B13">
        <w:rPr>
          <w:rFonts w:asciiTheme="majorBidi" w:eastAsia="Times New Roman" w:hAnsiTheme="majorBidi" w:cstheme="majorBidi"/>
          <w:sz w:val="20"/>
          <w:szCs w:val="20"/>
          <w:lang w:val="en-US"/>
        </w:rPr>
        <w:t xml:space="preserve"> (2017).</w:t>
      </w:r>
    </w:p>
    <w:p w14:paraId="0E648105" w14:textId="3C601FDD" w:rsidR="005871FF" w:rsidRPr="006F0B13" w:rsidRDefault="003A049D" w:rsidP="005871F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6F0B13">
        <w:rPr>
          <w:rFonts w:asciiTheme="majorBidi" w:eastAsia="Times New Roman" w:hAnsiTheme="majorBidi" w:cstheme="majorBidi"/>
          <w:sz w:val="20"/>
          <w:szCs w:val="20"/>
          <w:lang w:val="en-US"/>
        </w:rPr>
        <w:t>[</w:t>
      </w:r>
      <w:proofErr w:type="gramStart"/>
      <w:r w:rsidRPr="006F0B13">
        <w:rPr>
          <w:rFonts w:asciiTheme="majorBidi" w:eastAsia="Times New Roman" w:hAnsiTheme="majorBidi" w:cstheme="majorBidi"/>
          <w:sz w:val="20"/>
          <w:szCs w:val="20"/>
          <w:lang w:val="en-US"/>
        </w:rPr>
        <w:t>12 ]</w:t>
      </w:r>
      <w:proofErr w:type="gramEnd"/>
      <w:r w:rsidRPr="006F0B13">
        <w:rPr>
          <w:rFonts w:asciiTheme="majorBidi" w:eastAsia="Times New Roman" w:hAnsiTheme="majorBidi" w:cstheme="majorBidi"/>
          <w:sz w:val="20"/>
          <w:szCs w:val="20"/>
          <w:lang w:val="en-US"/>
        </w:rPr>
        <w:tab/>
      </w:r>
      <w:r w:rsidR="005871FF" w:rsidRPr="006F0B13">
        <w:rPr>
          <w:rFonts w:asciiTheme="majorBidi" w:eastAsia="Times New Roman" w:hAnsiTheme="majorBidi" w:cstheme="majorBidi"/>
          <w:sz w:val="20"/>
          <w:szCs w:val="20"/>
          <w:lang w:val="en-US"/>
        </w:rPr>
        <w:t>Santana, M. J., Manalili, K., Jolley, R. J., Zelinsky, S., Quan, H., &amp; Lu, M. Measuring patient-</w:t>
      </w:r>
      <w:proofErr w:type="spellStart"/>
      <w:r w:rsidR="005871FF" w:rsidRPr="006F0B13">
        <w:rPr>
          <w:rFonts w:asciiTheme="majorBidi" w:eastAsia="Times New Roman" w:hAnsiTheme="majorBidi" w:cstheme="majorBidi"/>
          <w:sz w:val="20"/>
          <w:szCs w:val="20"/>
          <w:lang w:val="en-US"/>
        </w:rPr>
        <w:t>centred</w:t>
      </w:r>
      <w:proofErr w:type="spellEnd"/>
      <w:r w:rsidR="005871FF" w:rsidRPr="006F0B13">
        <w:rPr>
          <w:rFonts w:asciiTheme="majorBidi" w:eastAsia="Times New Roman" w:hAnsiTheme="majorBidi" w:cstheme="majorBidi"/>
          <w:sz w:val="20"/>
          <w:szCs w:val="20"/>
          <w:lang w:val="en-US"/>
        </w:rPr>
        <w:t xml:space="preserve"> system performance: A scoping review of patient-</w:t>
      </w:r>
      <w:proofErr w:type="spellStart"/>
      <w:r w:rsidR="005871FF" w:rsidRPr="006F0B13">
        <w:rPr>
          <w:rFonts w:asciiTheme="majorBidi" w:eastAsia="Times New Roman" w:hAnsiTheme="majorBidi" w:cstheme="majorBidi"/>
          <w:sz w:val="20"/>
          <w:szCs w:val="20"/>
          <w:lang w:val="en-US"/>
        </w:rPr>
        <w:t>centred</w:t>
      </w:r>
      <w:proofErr w:type="spellEnd"/>
      <w:r w:rsidR="005871FF" w:rsidRPr="006F0B13">
        <w:rPr>
          <w:rFonts w:asciiTheme="majorBidi" w:eastAsia="Times New Roman" w:hAnsiTheme="majorBidi" w:cstheme="majorBidi"/>
          <w:sz w:val="20"/>
          <w:szCs w:val="20"/>
          <w:lang w:val="en-US"/>
        </w:rPr>
        <w:t xml:space="preserve"> care quality indicators. BMJ Open, 9(1), e023596. </w:t>
      </w:r>
      <w:hyperlink r:id="rId12" w:history="1">
        <w:r w:rsidR="005871FF" w:rsidRPr="006F0B13">
          <w:rPr>
            <w:rStyle w:val="Lienhypertexte"/>
            <w:rFonts w:asciiTheme="majorBidi" w:eastAsia="Times New Roman" w:hAnsiTheme="majorBidi" w:cstheme="majorBidi"/>
            <w:color w:val="auto"/>
            <w:sz w:val="20"/>
            <w:szCs w:val="20"/>
            <w:u w:val="none"/>
            <w:lang w:val="en-US"/>
          </w:rPr>
          <w:t>https://doi.org/10.1136/bmjopen-2018-023596</w:t>
        </w:r>
      </w:hyperlink>
      <w:r w:rsidR="005871FF" w:rsidRPr="006F0B13">
        <w:rPr>
          <w:rFonts w:asciiTheme="majorBidi" w:eastAsia="Times New Roman" w:hAnsiTheme="majorBidi" w:cstheme="majorBidi"/>
          <w:sz w:val="20"/>
          <w:szCs w:val="20"/>
          <w:lang w:val="en-US"/>
        </w:rPr>
        <w:t>. (2019).</w:t>
      </w:r>
    </w:p>
    <w:p w14:paraId="0BA3E28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13 ]</w:t>
      </w:r>
      <w:proofErr w:type="gramEnd"/>
      <w:r w:rsidRPr="00E31524">
        <w:rPr>
          <w:rFonts w:asciiTheme="majorBidi" w:eastAsia="Times New Roman" w:hAnsiTheme="majorBidi" w:cstheme="majorBidi"/>
          <w:sz w:val="20"/>
          <w:szCs w:val="20"/>
          <w:lang w:val="en-US"/>
        </w:rPr>
        <w:tab/>
        <w:t xml:space="preserve">Levine D., Landon B., Linder J. </w:t>
      </w:r>
      <w:r w:rsidRPr="00A81B8A">
        <w:rPr>
          <w:rFonts w:asciiTheme="majorBidi" w:eastAsia="Times New Roman" w:hAnsiTheme="majorBidi" w:cstheme="majorBidi"/>
          <w:i/>
          <w:iCs/>
          <w:sz w:val="20"/>
          <w:szCs w:val="20"/>
          <w:lang w:val="en-US"/>
        </w:rPr>
        <w:t>Quality and Experience of Outpatient Care in the United States for Adults with and Without Primary Care</w:t>
      </w:r>
      <w:r w:rsidRPr="00E31524">
        <w:rPr>
          <w:rFonts w:asciiTheme="majorBidi" w:eastAsia="Times New Roman" w:hAnsiTheme="majorBidi" w:cstheme="majorBidi"/>
          <w:sz w:val="20"/>
          <w:szCs w:val="20"/>
          <w:lang w:val="en-US"/>
        </w:rPr>
        <w:t xml:space="preserve">, JAMA Internal Medicine, Vol. </w:t>
      </w:r>
      <w:r w:rsidRPr="00A81B8A">
        <w:rPr>
          <w:rFonts w:asciiTheme="majorBidi" w:eastAsia="Times New Roman" w:hAnsiTheme="majorBidi" w:cstheme="majorBidi"/>
          <w:b/>
          <w:bCs/>
          <w:sz w:val="20"/>
          <w:szCs w:val="20"/>
          <w:lang w:val="en-US"/>
        </w:rPr>
        <w:t>179</w:t>
      </w:r>
      <w:r w:rsidRPr="00E31524">
        <w:rPr>
          <w:rFonts w:asciiTheme="majorBidi" w:eastAsia="Times New Roman" w:hAnsiTheme="majorBidi" w:cstheme="majorBidi"/>
          <w:sz w:val="20"/>
          <w:szCs w:val="20"/>
          <w:lang w:val="en-US"/>
        </w:rPr>
        <w:t>/3 (2019).</w:t>
      </w:r>
    </w:p>
    <w:p w14:paraId="2934F323" w14:textId="440933E8"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rPr>
        <w:t>[</w:t>
      </w:r>
      <w:proofErr w:type="gramStart"/>
      <w:r w:rsidRPr="00E31524">
        <w:rPr>
          <w:rFonts w:asciiTheme="majorBidi" w:eastAsia="Times New Roman" w:hAnsiTheme="majorBidi" w:cstheme="majorBidi"/>
          <w:sz w:val="20"/>
          <w:szCs w:val="20"/>
        </w:rPr>
        <w:t>14 ]</w:t>
      </w:r>
      <w:proofErr w:type="gramEnd"/>
      <w:r w:rsidRPr="00E31524">
        <w:rPr>
          <w:rFonts w:asciiTheme="majorBidi" w:eastAsia="Times New Roman" w:hAnsiTheme="majorBidi" w:cstheme="majorBidi"/>
          <w:sz w:val="20"/>
          <w:szCs w:val="20"/>
        </w:rPr>
        <w:tab/>
      </w:r>
      <w:proofErr w:type="spellStart"/>
      <w:r w:rsidRPr="00E31524">
        <w:rPr>
          <w:rFonts w:asciiTheme="majorBidi" w:eastAsia="Times New Roman" w:hAnsiTheme="majorBidi" w:cstheme="majorBidi"/>
          <w:sz w:val="20"/>
          <w:szCs w:val="20"/>
        </w:rPr>
        <w:t>Chanelière</w:t>
      </w:r>
      <w:proofErr w:type="spellEnd"/>
      <w:r w:rsidRPr="00E31524">
        <w:rPr>
          <w:rFonts w:asciiTheme="majorBidi" w:eastAsia="Times New Roman" w:hAnsiTheme="majorBidi" w:cstheme="majorBidi"/>
          <w:sz w:val="20"/>
          <w:szCs w:val="20"/>
        </w:rPr>
        <w:t xml:space="preserve"> M, Jacquet F, </w:t>
      </w:r>
      <w:proofErr w:type="spellStart"/>
      <w:r w:rsidRPr="00E31524">
        <w:rPr>
          <w:rFonts w:asciiTheme="majorBidi" w:eastAsia="Times New Roman" w:hAnsiTheme="majorBidi" w:cstheme="majorBidi"/>
          <w:sz w:val="20"/>
          <w:szCs w:val="20"/>
        </w:rPr>
        <w:t>Occelli</w:t>
      </w:r>
      <w:proofErr w:type="spellEnd"/>
      <w:r w:rsidRPr="00E31524">
        <w:rPr>
          <w:rFonts w:asciiTheme="majorBidi" w:eastAsia="Times New Roman" w:hAnsiTheme="majorBidi" w:cstheme="majorBidi"/>
          <w:sz w:val="20"/>
          <w:szCs w:val="20"/>
        </w:rPr>
        <w:t xml:space="preserve"> P, Touzet S, </w:t>
      </w:r>
      <w:proofErr w:type="spellStart"/>
      <w:r w:rsidRPr="00E31524">
        <w:rPr>
          <w:rFonts w:asciiTheme="majorBidi" w:eastAsia="Times New Roman" w:hAnsiTheme="majorBidi" w:cstheme="majorBidi"/>
          <w:sz w:val="20"/>
          <w:szCs w:val="20"/>
        </w:rPr>
        <w:t>Siranyan</w:t>
      </w:r>
      <w:proofErr w:type="spellEnd"/>
      <w:r w:rsidRPr="00E31524">
        <w:rPr>
          <w:rFonts w:asciiTheme="majorBidi" w:eastAsia="Times New Roman" w:hAnsiTheme="majorBidi" w:cstheme="majorBidi"/>
          <w:sz w:val="20"/>
          <w:szCs w:val="20"/>
        </w:rPr>
        <w:t xml:space="preserve"> V, Colin C. (2016). </w:t>
      </w:r>
      <w:r w:rsidRPr="00A81B8A">
        <w:rPr>
          <w:rFonts w:asciiTheme="majorBidi" w:eastAsia="Times New Roman" w:hAnsiTheme="majorBidi" w:cstheme="majorBidi"/>
          <w:i/>
          <w:iCs/>
          <w:sz w:val="20"/>
          <w:szCs w:val="20"/>
          <w:lang w:val="en-US"/>
        </w:rPr>
        <w:t xml:space="preserve">Assessment of patient safety culture: what tools for </w:t>
      </w:r>
      <w:r w:rsidR="00A81B8A" w:rsidRPr="00A81B8A">
        <w:rPr>
          <w:rFonts w:asciiTheme="majorBidi" w:eastAsia="Times New Roman" w:hAnsiTheme="majorBidi" w:cstheme="majorBidi"/>
          <w:i/>
          <w:iCs/>
          <w:sz w:val="20"/>
          <w:szCs w:val="20"/>
          <w:lang w:val="en-US"/>
        </w:rPr>
        <w:t>medical</w:t>
      </w:r>
      <w:r w:rsidRPr="00A81B8A">
        <w:rPr>
          <w:rFonts w:asciiTheme="majorBidi" w:eastAsia="Times New Roman" w:hAnsiTheme="majorBidi" w:cstheme="majorBidi"/>
          <w:i/>
          <w:iCs/>
          <w:sz w:val="20"/>
          <w:szCs w:val="20"/>
          <w:lang w:val="en-US"/>
        </w:rPr>
        <w:t xml:space="preserve"> students?</w:t>
      </w:r>
      <w:r w:rsidRPr="00E31524">
        <w:rPr>
          <w:rFonts w:asciiTheme="majorBidi" w:eastAsia="Times New Roman" w:hAnsiTheme="majorBidi" w:cstheme="majorBidi"/>
          <w:sz w:val="20"/>
          <w:szCs w:val="20"/>
          <w:lang w:val="en-US"/>
        </w:rPr>
        <w:t xml:space="preserve"> BMC </w:t>
      </w:r>
      <w:r w:rsidR="00A81B8A" w:rsidRPr="00E31524">
        <w:rPr>
          <w:rFonts w:asciiTheme="majorBidi" w:eastAsia="Times New Roman" w:hAnsiTheme="majorBidi" w:cstheme="majorBidi"/>
          <w:sz w:val="20"/>
          <w:szCs w:val="20"/>
          <w:lang w:val="en-US"/>
        </w:rPr>
        <w:t>Medical</w:t>
      </w:r>
      <w:r w:rsidRPr="00E31524">
        <w:rPr>
          <w:rFonts w:asciiTheme="majorBidi" w:eastAsia="Times New Roman" w:hAnsiTheme="majorBidi" w:cstheme="majorBidi"/>
          <w:sz w:val="20"/>
          <w:szCs w:val="20"/>
          <w:lang w:val="en-US"/>
        </w:rPr>
        <w:t xml:space="preserve"> Education (2016).</w:t>
      </w:r>
    </w:p>
    <w:p w14:paraId="6F6046C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15 ]</w:t>
      </w:r>
      <w:proofErr w:type="gramEnd"/>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Chanelière</w:t>
      </w:r>
      <w:proofErr w:type="spellEnd"/>
      <w:r w:rsidRPr="00E31524">
        <w:rPr>
          <w:rFonts w:asciiTheme="majorBidi" w:eastAsia="Times New Roman" w:hAnsiTheme="majorBidi" w:cstheme="majorBidi"/>
          <w:sz w:val="20"/>
          <w:szCs w:val="20"/>
          <w:lang w:val="en-US"/>
        </w:rPr>
        <w:t xml:space="preserve"> M, Oriol J.M, Senez B, Keriel-</w:t>
      </w:r>
      <w:proofErr w:type="spellStart"/>
      <w:r w:rsidRPr="00E31524">
        <w:rPr>
          <w:rFonts w:asciiTheme="majorBidi" w:eastAsia="Times New Roman" w:hAnsiTheme="majorBidi" w:cstheme="majorBidi"/>
          <w:sz w:val="20"/>
          <w:szCs w:val="20"/>
          <w:lang w:val="en-US"/>
        </w:rPr>
        <w:t>Gascou</w:t>
      </w:r>
      <w:proofErr w:type="spellEnd"/>
      <w:r w:rsidRPr="00E31524">
        <w:rPr>
          <w:rFonts w:asciiTheme="majorBidi" w:eastAsia="Times New Roman" w:hAnsiTheme="majorBidi" w:cstheme="majorBidi"/>
          <w:sz w:val="20"/>
          <w:szCs w:val="20"/>
          <w:lang w:val="en-US"/>
        </w:rPr>
        <w:t xml:space="preserve"> M, </w:t>
      </w:r>
      <w:proofErr w:type="spellStart"/>
      <w:r w:rsidRPr="00E31524">
        <w:rPr>
          <w:rFonts w:asciiTheme="majorBidi" w:eastAsia="Times New Roman" w:hAnsiTheme="majorBidi" w:cstheme="majorBidi"/>
          <w:sz w:val="20"/>
          <w:szCs w:val="20"/>
          <w:lang w:val="en-US"/>
        </w:rPr>
        <w:t>Fanjat</w:t>
      </w:r>
      <w:proofErr w:type="spellEnd"/>
      <w:r w:rsidRPr="00E31524">
        <w:rPr>
          <w:rFonts w:asciiTheme="majorBidi" w:eastAsia="Times New Roman" w:hAnsiTheme="majorBidi" w:cstheme="majorBidi"/>
          <w:sz w:val="20"/>
          <w:szCs w:val="20"/>
          <w:lang w:val="en-US"/>
        </w:rPr>
        <w:t xml:space="preserve"> H, Blanc M.D, Colin C. </w:t>
      </w:r>
      <w:r w:rsidRPr="00A81B8A">
        <w:rPr>
          <w:rFonts w:asciiTheme="majorBidi" w:eastAsia="Times New Roman" w:hAnsiTheme="majorBidi" w:cstheme="majorBidi"/>
          <w:i/>
          <w:iCs/>
          <w:sz w:val="20"/>
          <w:szCs w:val="20"/>
          <w:lang w:val="en-US"/>
        </w:rPr>
        <w:t>CADYA: a tool for analyzing incidents in Primary Care</w:t>
      </w:r>
      <w:r w:rsidRPr="00E31524">
        <w:rPr>
          <w:rFonts w:asciiTheme="majorBidi" w:eastAsia="Times New Roman" w:hAnsiTheme="majorBidi" w:cstheme="majorBidi"/>
          <w:sz w:val="20"/>
          <w:szCs w:val="20"/>
          <w:lang w:val="en-US"/>
        </w:rPr>
        <w:t xml:space="preserve">. </w:t>
      </w:r>
      <w:proofErr w:type="spellStart"/>
      <w:r w:rsidRPr="00E31524">
        <w:rPr>
          <w:rFonts w:asciiTheme="majorBidi" w:eastAsia="Times New Roman" w:hAnsiTheme="majorBidi" w:cstheme="majorBidi"/>
          <w:sz w:val="20"/>
          <w:szCs w:val="20"/>
          <w:lang w:val="en-US"/>
        </w:rPr>
        <w:t>Risques</w:t>
      </w:r>
      <w:proofErr w:type="spellEnd"/>
      <w:r w:rsidRPr="00E31524">
        <w:rPr>
          <w:rFonts w:asciiTheme="majorBidi" w:eastAsia="Times New Roman" w:hAnsiTheme="majorBidi" w:cstheme="majorBidi"/>
          <w:sz w:val="20"/>
          <w:szCs w:val="20"/>
          <w:lang w:val="en-US"/>
        </w:rPr>
        <w:t xml:space="preserve"> &amp; </w:t>
      </w:r>
      <w:proofErr w:type="spellStart"/>
      <w:r w:rsidRPr="00E31524">
        <w:rPr>
          <w:rFonts w:asciiTheme="majorBidi" w:eastAsia="Times New Roman" w:hAnsiTheme="majorBidi" w:cstheme="majorBidi"/>
          <w:sz w:val="20"/>
          <w:szCs w:val="20"/>
          <w:lang w:val="en-US"/>
        </w:rPr>
        <w:t>qualité</w:t>
      </w:r>
      <w:proofErr w:type="spellEnd"/>
      <w:r w:rsidRPr="00E31524">
        <w:rPr>
          <w:rFonts w:asciiTheme="majorBidi" w:eastAsia="Times New Roman" w:hAnsiTheme="majorBidi" w:cstheme="majorBidi"/>
          <w:sz w:val="20"/>
          <w:szCs w:val="20"/>
          <w:lang w:val="en-US"/>
        </w:rPr>
        <w:t xml:space="preserve"> (2014).</w:t>
      </w:r>
    </w:p>
    <w:p w14:paraId="5B87271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16 ]</w:t>
      </w:r>
      <w:proofErr w:type="gramEnd"/>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Mallouli</w:t>
      </w:r>
      <w:proofErr w:type="spellEnd"/>
      <w:r w:rsidRPr="00E31524">
        <w:rPr>
          <w:rFonts w:asciiTheme="majorBidi" w:eastAsia="Times New Roman" w:hAnsiTheme="majorBidi" w:cstheme="majorBidi"/>
          <w:sz w:val="20"/>
          <w:szCs w:val="20"/>
          <w:lang w:val="en-US"/>
        </w:rPr>
        <w:t xml:space="preserve">, M., </w:t>
      </w:r>
      <w:proofErr w:type="spellStart"/>
      <w:r w:rsidRPr="00E31524">
        <w:rPr>
          <w:rFonts w:asciiTheme="majorBidi" w:eastAsia="Times New Roman" w:hAnsiTheme="majorBidi" w:cstheme="majorBidi"/>
          <w:sz w:val="20"/>
          <w:szCs w:val="20"/>
          <w:lang w:val="en-US"/>
        </w:rPr>
        <w:t>Aouicha</w:t>
      </w:r>
      <w:proofErr w:type="spellEnd"/>
      <w:r w:rsidRPr="00E31524">
        <w:rPr>
          <w:rFonts w:asciiTheme="majorBidi" w:eastAsia="Times New Roman" w:hAnsiTheme="majorBidi" w:cstheme="majorBidi"/>
          <w:sz w:val="20"/>
          <w:szCs w:val="20"/>
          <w:lang w:val="en-US"/>
        </w:rPr>
        <w:t xml:space="preserve">, W., Tlili, M., </w:t>
      </w:r>
      <w:proofErr w:type="spellStart"/>
      <w:r w:rsidRPr="00E31524">
        <w:rPr>
          <w:rFonts w:asciiTheme="majorBidi" w:eastAsia="Times New Roman" w:hAnsiTheme="majorBidi" w:cstheme="majorBidi"/>
          <w:sz w:val="20"/>
          <w:szCs w:val="20"/>
          <w:lang w:val="en-US"/>
        </w:rPr>
        <w:t>Limam</w:t>
      </w:r>
      <w:proofErr w:type="spellEnd"/>
      <w:r w:rsidRPr="00E31524">
        <w:rPr>
          <w:rFonts w:asciiTheme="majorBidi" w:eastAsia="Times New Roman" w:hAnsiTheme="majorBidi" w:cstheme="majorBidi"/>
          <w:sz w:val="20"/>
          <w:szCs w:val="20"/>
          <w:lang w:val="en-US"/>
        </w:rPr>
        <w:t xml:space="preserve">, M., Ajmi, T., </w:t>
      </w:r>
      <w:proofErr w:type="spellStart"/>
      <w:r w:rsidRPr="00E31524">
        <w:rPr>
          <w:rFonts w:asciiTheme="majorBidi" w:eastAsia="Times New Roman" w:hAnsiTheme="majorBidi" w:cstheme="majorBidi"/>
          <w:sz w:val="20"/>
          <w:szCs w:val="20"/>
          <w:lang w:val="en-US"/>
        </w:rPr>
        <w:t>Mtiraoui</w:t>
      </w:r>
      <w:proofErr w:type="spellEnd"/>
      <w:r w:rsidRPr="00E31524">
        <w:rPr>
          <w:rFonts w:asciiTheme="majorBidi" w:eastAsia="Times New Roman" w:hAnsiTheme="majorBidi" w:cstheme="majorBidi"/>
          <w:sz w:val="20"/>
          <w:szCs w:val="20"/>
          <w:lang w:val="en-US"/>
        </w:rPr>
        <w:t xml:space="preserve">, A. &amp; Zedini, C. </w:t>
      </w:r>
      <w:r w:rsidRPr="00A81B8A">
        <w:rPr>
          <w:rFonts w:asciiTheme="majorBidi" w:eastAsia="Times New Roman" w:hAnsiTheme="majorBidi" w:cstheme="majorBidi"/>
          <w:i/>
          <w:iCs/>
          <w:sz w:val="20"/>
          <w:szCs w:val="20"/>
          <w:lang w:val="en-US"/>
        </w:rPr>
        <w:t>Culture of care safety in Tunisian primary care centers: a multicenter study</w:t>
      </w:r>
      <w:r w:rsidRPr="00E31524">
        <w:rPr>
          <w:rFonts w:asciiTheme="majorBidi" w:eastAsia="Times New Roman" w:hAnsiTheme="majorBidi" w:cstheme="majorBidi"/>
          <w:sz w:val="20"/>
          <w:szCs w:val="20"/>
          <w:lang w:val="en-US"/>
        </w:rPr>
        <w:t xml:space="preserve">. Santé </w:t>
      </w:r>
      <w:proofErr w:type="spellStart"/>
      <w:r w:rsidRPr="00E31524">
        <w:rPr>
          <w:rFonts w:asciiTheme="majorBidi" w:eastAsia="Times New Roman" w:hAnsiTheme="majorBidi" w:cstheme="majorBidi"/>
          <w:sz w:val="20"/>
          <w:szCs w:val="20"/>
          <w:lang w:val="en-US"/>
        </w:rPr>
        <w:t>Publique</w:t>
      </w:r>
      <w:proofErr w:type="spellEnd"/>
      <w:r w:rsidRPr="00E31524">
        <w:rPr>
          <w:rFonts w:asciiTheme="majorBidi" w:eastAsia="Times New Roman" w:hAnsiTheme="majorBidi" w:cstheme="majorBidi"/>
          <w:sz w:val="20"/>
          <w:szCs w:val="20"/>
          <w:lang w:val="en-US"/>
        </w:rPr>
        <w:t xml:space="preserve">, </w:t>
      </w:r>
      <w:r w:rsidRPr="00A81B8A">
        <w:rPr>
          <w:rFonts w:asciiTheme="majorBidi" w:eastAsia="Times New Roman" w:hAnsiTheme="majorBidi" w:cstheme="majorBidi"/>
          <w:b/>
          <w:bCs/>
          <w:sz w:val="20"/>
          <w:szCs w:val="20"/>
          <w:lang w:val="en-US"/>
        </w:rPr>
        <w:t>29</w:t>
      </w:r>
      <w:r w:rsidRPr="00E31524">
        <w:rPr>
          <w:rFonts w:asciiTheme="majorBidi" w:eastAsia="Times New Roman" w:hAnsiTheme="majorBidi" w:cstheme="majorBidi"/>
          <w:sz w:val="20"/>
          <w:szCs w:val="20"/>
          <w:lang w:val="en-US"/>
        </w:rPr>
        <w:t xml:space="preserve">, 685-691. </w:t>
      </w:r>
      <w:hyperlink r:id="rId13">
        <w:r w:rsidRPr="00E31524">
          <w:rPr>
            <w:rFonts w:asciiTheme="majorBidi" w:eastAsia="Times New Roman" w:hAnsiTheme="majorBidi" w:cstheme="majorBidi"/>
            <w:sz w:val="20"/>
            <w:szCs w:val="20"/>
            <w:lang w:val="en-US"/>
          </w:rPr>
          <w:t>https://doi.org/10.3917/spub.175.0685</w:t>
        </w:r>
      </w:hyperlink>
      <w:r w:rsidRPr="00E31524">
        <w:rPr>
          <w:rFonts w:asciiTheme="majorBidi" w:eastAsia="Times New Roman" w:hAnsiTheme="majorBidi" w:cstheme="majorBidi"/>
          <w:sz w:val="20"/>
          <w:szCs w:val="20"/>
          <w:lang w:val="en-US"/>
        </w:rPr>
        <w:t xml:space="preserve"> (2017).</w:t>
      </w:r>
    </w:p>
    <w:p w14:paraId="6AF27FA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w:t>
      </w:r>
      <w:proofErr w:type="gramStart"/>
      <w:r w:rsidRPr="00E31524">
        <w:rPr>
          <w:rFonts w:asciiTheme="majorBidi" w:eastAsia="Times New Roman" w:hAnsiTheme="majorBidi" w:cstheme="majorBidi"/>
          <w:sz w:val="20"/>
          <w:szCs w:val="20"/>
          <w:lang w:val="en-US"/>
        </w:rPr>
        <w:t>17 ]</w:t>
      </w:r>
      <w:proofErr w:type="gramEnd"/>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Chaneliere</w:t>
      </w:r>
      <w:proofErr w:type="spellEnd"/>
      <w:r w:rsidRPr="00E31524">
        <w:rPr>
          <w:rFonts w:asciiTheme="majorBidi" w:eastAsia="Times New Roman" w:hAnsiTheme="majorBidi" w:cstheme="majorBidi"/>
          <w:sz w:val="20"/>
          <w:szCs w:val="20"/>
          <w:lang w:val="en-US"/>
        </w:rPr>
        <w:t xml:space="preserve">, M. </w:t>
      </w:r>
      <w:r w:rsidRPr="00A81B8A">
        <w:rPr>
          <w:rFonts w:asciiTheme="majorBidi" w:eastAsia="Times New Roman" w:hAnsiTheme="majorBidi" w:cstheme="majorBidi"/>
          <w:i/>
          <w:iCs/>
          <w:sz w:val="20"/>
          <w:szCs w:val="20"/>
          <w:lang w:val="en-US"/>
        </w:rPr>
        <w:t>Patient safety in primary care: conceptual elements, epidemiology, interventions with healthcare professionals</w:t>
      </w:r>
      <w:r w:rsidRPr="00E31524">
        <w:rPr>
          <w:rFonts w:asciiTheme="majorBidi" w:eastAsia="Times New Roman" w:hAnsiTheme="majorBidi" w:cstheme="majorBidi"/>
          <w:sz w:val="20"/>
          <w:szCs w:val="20"/>
          <w:lang w:val="en-US"/>
        </w:rPr>
        <w:t xml:space="preserve"> (Doctoral dissertation, University of Lyon) (2017).</w:t>
      </w:r>
    </w:p>
    <w:sectPr w:rsidR="002E08BD" w:rsidRPr="00E31524" w:rsidSect="00270C1D">
      <w:type w:val="continuous"/>
      <w:pgSz w:w="11906" w:h="16838" w:code="9"/>
      <w:pgMar w:top="1418"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477C" w14:textId="77777777" w:rsidR="00EB28D2" w:rsidRDefault="00EB28D2" w:rsidP="00144E2F">
      <w:pPr>
        <w:spacing w:after="0" w:line="240" w:lineRule="auto"/>
      </w:pPr>
      <w:r>
        <w:separator/>
      </w:r>
    </w:p>
  </w:endnote>
  <w:endnote w:type="continuationSeparator" w:id="0">
    <w:p w14:paraId="4D0564CD" w14:textId="77777777" w:rsidR="00EB28D2" w:rsidRDefault="00EB28D2" w:rsidP="0014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95374"/>
      <w:docPartObj>
        <w:docPartGallery w:val="Page Numbers (Bottom of Page)"/>
        <w:docPartUnique/>
      </w:docPartObj>
    </w:sdtPr>
    <w:sdtEndPr/>
    <w:sdtContent>
      <w:p w14:paraId="67CB6312" w14:textId="012D3FA4" w:rsidR="00662EC4" w:rsidRDefault="00662EC4">
        <w:pPr>
          <w:pStyle w:val="Pieddepage"/>
          <w:jc w:val="center"/>
        </w:pPr>
        <w:r>
          <w:fldChar w:fldCharType="begin"/>
        </w:r>
        <w:r>
          <w:instrText>PAGE   \* MERGEFORMAT</w:instrText>
        </w:r>
        <w:r>
          <w:fldChar w:fldCharType="separate"/>
        </w:r>
        <w:r w:rsidR="00ED3920">
          <w:rPr>
            <w:noProof/>
          </w:rPr>
          <w:t>6</w:t>
        </w:r>
        <w:r>
          <w:fldChar w:fldCharType="end"/>
        </w:r>
      </w:p>
    </w:sdtContent>
  </w:sdt>
  <w:p w14:paraId="4C633F4D" w14:textId="77777777" w:rsidR="00662EC4" w:rsidRDefault="00662E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BB94" w14:textId="77777777" w:rsidR="00EB28D2" w:rsidRDefault="00EB28D2" w:rsidP="00144E2F">
      <w:pPr>
        <w:spacing w:after="0" w:line="240" w:lineRule="auto"/>
      </w:pPr>
      <w:r>
        <w:separator/>
      </w:r>
    </w:p>
  </w:footnote>
  <w:footnote w:type="continuationSeparator" w:id="0">
    <w:p w14:paraId="1847BDF5" w14:textId="77777777" w:rsidR="00EB28D2" w:rsidRDefault="00EB28D2" w:rsidP="00144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BD"/>
    <w:rsid w:val="00010D05"/>
    <w:rsid w:val="00026DAA"/>
    <w:rsid w:val="000521A0"/>
    <w:rsid w:val="00055E96"/>
    <w:rsid w:val="000930CD"/>
    <w:rsid w:val="00093817"/>
    <w:rsid w:val="000A5350"/>
    <w:rsid w:val="000B6CF3"/>
    <w:rsid w:val="001257B7"/>
    <w:rsid w:val="0013294E"/>
    <w:rsid w:val="00144E2F"/>
    <w:rsid w:val="00157277"/>
    <w:rsid w:val="0017728B"/>
    <w:rsid w:val="001C23CB"/>
    <w:rsid w:val="001C5A3F"/>
    <w:rsid w:val="00222176"/>
    <w:rsid w:val="00245AD7"/>
    <w:rsid w:val="00270C1D"/>
    <w:rsid w:val="0027241F"/>
    <w:rsid w:val="00275C53"/>
    <w:rsid w:val="00283130"/>
    <w:rsid w:val="002837FF"/>
    <w:rsid w:val="002A44FB"/>
    <w:rsid w:val="002A7987"/>
    <w:rsid w:val="002E08BD"/>
    <w:rsid w:val="002E3AE1"/>
    <w:rsid w:val="003575DA"/>
    <w:rsid w:val="003800A8"/>
    <w:rsid w:val="00385CBB"/>
    <w:rsid w:val="00391532"/>
    <w:rsid w:val="00395548"/>
    <w:rsid w:val="003A049D"/>
    <w:rsid w:val="003D22DE"/>
    <w:rsid w:val="003E3A06"/>
    <w:rsid w:val="004A533E"/>
    <w:rsid w:val="004A6AC2"/>
    <w:rsid w:val="004F3726"/>
    <w:rsid w:val="00546298"/>
    <w:rsid w:val="00566339"/>
    <w:rsid w:val="00583760"/>
    <w:rsid w:val="005871FF"/>
    <w:rsid w:val="00593A48"/>
    <w:rsid w:val="005A22EF"/>
    <w:rsid w:val="005A5465"/>
    <w:rsid w:val="005B27B9"/>
    <w:rsid w:val="00642CC9"/>
    <w:rsid w:val="00657FF2"/>
    <w:rsid w:val="00662EC4"/>
    <w:rsid w:val="006E1D6C"/>
    <w:rsid w:val="006F0B13"/>
    <w:rsid w:val="00706A5D"/>
    <w:rsid w:val="00782F25"/>
    <w:rsid w:val="007959D7"/>
    <w:rsid w:val="007A5459"/>
    <w:rsid w:val="007B4B92"/>
    <w:rsid w:val="00800D6A"/>
    <w:rsid w:val="00A31EF0"/>
    <w:rsid w:val="00A356EE"/>
    <w:rsid w:val="00A81B8A"/>
    <w:rsid w:val="00AE71BF"/>
    <w:rsid w:val="00B01855"/>
    <w:rsid w:val="00B0229D"/>
    <w:rsid w:val="00B82ABD"/>
    <w:rsid w:val="00BB169F"/>
    <w:rsid w:val="00BB755F"/>
    <w:rsid w:val="00BF2AAD"/>
    <w:rsid w:val="00C46608"/>
    <w:rsid w:val="00CA0719"/>
    <w:rsid w:val="00CF0128"/>
    <w:rsid w:val="00CF77E7"/>
    <w:rsid w:val="00D30AFA"/>
    <w:rsid w:val="00DC18C9"/>
    <w:rsid w:val="00E139F7"/>
    <w:rsid w:val="00E31524"/>
    <w:rsid w:val="00E61C0B"/>
    <w:rsid w:val="00EB28D2"/>
    <w:rsid w:val="00ED0B8B"/>
    <w:rsid w:val="00ED3920"/>
    <w:rsid w:val="00EE2760"/>
    <w:rsid w:val="00F07E7F"/>
    <w:rsid w:val="00F15515"/>
    <w:rsid w:val="00FC3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A66A"/>
  <w15:docId w15:val="{B8C22FF7-FF07-4A72-BB8A-34E2A77C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4E2F"/>
    <w:pPr>
      <w:tabs>
        <w:tab w:val="center" w:pos="4536"/>
        <w:tab w:val="right" w:pos="9072"/>
      </w:tabs>
      <w:spacing w:after="0" w:line="240" w:lineRule="auto"/>
    </w:pPr>
  </w:style>
  <w:style w:type="character" w:customStyle="1" w:styleId="En-tteCar">
    <w:name w:val="En-tête Car"/>
    <w:basedOn w:val="Policepardfaut"/>
    <w:link w:val="En-tte"/>
    <w:uiPriority w:val="99"/>
    <w:rsid w:val="00144E2F"/>
  </w:style>
  <w:style w:type="paragraph" w:styleId="Pieddepage">
    <w:name w:val="footer"/>
    <w:basedOn w:val="Normal"/>
    <w:link w:val="PieddepageCar"/>
    <w:uiPriority w:val="99"/>
    <w:unhideWhenUsed/>
    <w:rsid w:val="00144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E2F"/>
  </w:style>
  <w:style w:type="character" w:styleId="Lienhypertexte">
    <w:name w:val="Hyperlink"/>
    <w:basedOn w:val="Policepardfaut"/>
    <w:uiPriority w:val="99"/>
    <w:unhideWhenUsed/>
    <w:rsid w:val="00706A5D"/>
    <w:rPr>
      <w:color w:val="0563C1" w:themeColor="hyperlink"/>
      <w:u w:val="single"/>
    </w:rPr>
  </w:style>
  <w:style w:type="character" w:customStyle="1" w:styleId="Mentionnonrsolue1">
    <w:name w:val="Mention non résolue1"/>
    <w:basedOn w:val="Policepardfaut"/>
    <w:uiPriority w:val="99"/>
    <w:semiHidden/>
    <w:unhideWhenUsed/>
    <w:rsid w:val="0012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917/spub.175.0685"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s://doi.org/10.1136/bmjopen-2018-0235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doi.org/10.2471/BLT.16.17984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s0140-6736" TargetMode="Externa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1690717208701269E-2"/>
          <c:y val="6.4765077670487711E-2"/>
          <c:w val="0.90954124488477273"/>
          <c:h val="0.58022668691077295"/>
        </c:manualLayout>
      </c:layout>
      <c:pie3DChart>
        <c:varyColors val="1"/>
        <c:ser>
          <c:idx val="0"/>
          <c:order val="0"/>
          <c:dPt>
            <c:idx val="0"/>
            <c:bubble3D val="0"/>
            <c:spPr>
              <a:solidFill>
                <a:schemeClr val="accent1"/>
              </a:solidFill>
              <a:ln w="16241">
                <a:solidFill>
                  <a:schemeClr val="lt1"/>
                </a:solidFill>
              </a:ln>
              <a:effectLst/>
              <a:sp3d contourW="25400">
                <a:contourClr>
                  <a:schemeClr val="lt1"/>
                </a:contourClr>
              </a:sp3d>
            </c:spPr>
            <c:extLst>
              <c:ext xmlns:c16="http://schemas.microsoft.com/office/drawing/2014/chart" uri="{C3380CC4-5D6E-409C-BE32-E72D297353CC}">
                <c16:uniqueId val="{00000000-52F6-4FCA-AAB3-987AFC309899}"/>
              </c:ext>
            </c:extLst>
          </c:dPt>
          <c:dPt>
            <c:idx val="1"/>
            <c:bubble3D val="0"/>
            <c:spPr>
              <a:solidFill>
                <a:schemeClr val="accent2"/>
              </a:solidFill>
              <a:ln w="16241">
                <a:solidFill>
                  <a:schemeClr val="lt1"/>
                </a:solidFill>
              </a:ln>
              <a:effectLst/>
              <a:sp3d contourW="25400">
                <a:contourClr>
                  <a:schemeClr val="lt1"/>
                </a:contourClr>
              </a:sp3d>
            </c:spPr>
            <c:extLst>
              <c:ext xmlns:c16="http://schemas.microsoft.com/office/drawing/2014/chart" uri="{C3380CC4-5D6E-409C-BE32-E72D297353CC}">
                <c16:uniqueId val="{00000001-52F6-4FCA-AAB3-987AFC309899}"/>
              </c:ext>
            </c:extLst>
          </c:dPt>
          <c:dPt>
            <c:idx val="2"/>
            <c:bubble3D val="0"/>
            <c:spPr>
              <a:solidFill>
                <a:schemeClr val="accent3"/>
              </a:solidFill>
              <a:ln w="16241">
                <a:solidFill>
                  <a:schemeClr val="lt1"/>
                </a:solidFill>
              </a:ln>
              <a:effectLst/>
              <a:sp3d contourW="25400">
                <a:contourClr>
                  <a:schemeClr val="lt1"/>
                </a:contourClr>
              </a:sp3d>
            </c:spPr>
            <c:extLst>
              <c:ext xmlns:c16="http://schemas.microsoft.com/office/drawing/2014/chart" uri="{C3380CC4-5D6E-409C-BE32-E72D297353CC}">
                <c16:uniqueId val="{00000002-52F6-4FCA-AAB3-987AFC309899}"/>
              </c:ext>
            </c:extLst>
          </c:dPt>
          <c:dPt>
            <c:idx val="3"/>
            <c:bubble3D val="0"/>
            <c:spPr>
              <a:solidFill>
                <a:schemeClr val="accent4"/>
              </a:solidFill>
              <a:ln w="16241">
                <a:solidFill>
                  <a:schemeClr val="lt1"/>
                </a:solidFill>
              </a:ln>
              <a:effectLst/>
              <a:sp3d contourW="25400">
                <a:contourClr>
                  <a:schemeClr val="lt1"/>
                </a:contourClr>
              </a:sp3d>
            </c:spPr>
            <c:extLst>
              <c:ext xmlns:c16="http://schemas.microsoft.com/office/drawing/2014/chart" uri="{C3380CC4-5D6E-409C-BE32-E72D297353CC}">
                <c16:uniqueId val="{00000003-52F6-4FCA-AAB3-987AFC309899}"/>
              </c:ext>
            </c:extLst>
          </c:dPt>
          <c:dLbls>
            <c:dLbl>
              <c:idx val="1"/>
              <c:layout>
                <c:manualLayout>
                  <c:x val="0.12061167348696959"/>
                  <c:y val="-0.2175883952855847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F6-4FCA-AAB3-987AFC309899}"/>
                </c:ext>
              </c:extLst>
            </c:dLbl>
            <c:dLbl>
              <c:idx val="3"/>
              <c:layout>
                <c:manualLayout>
                  <c:x val="6.0435132957292435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F6-4FCA-AAB3-987AFC30989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1"/>
            <c:leaderLines>
              <c:spPr>
                <a:ln w="609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'Déclaration des erreurs '!$A$3:$A$6</c:f>
              <c:strCache>
                <c:ptCount val="4"/>
                <c:pt idx="0">
                  <c:v>Yes</c:v>
                </c:pt>
                <c:pt idx="1">
                  <c:v>No</c:v>
                </c:pt>
                <c:pt idx="2">
                  <c:v>don't know</c:v>
                </c:pt>
                <c:pt idx="3">
                  <c:v>There is a process, but don't know how it works.</c:v>
                </c:pt>
              </c:strCache>
            </c:strRef>
          </c:cat>
          <c:val>
            <c:numRef>
              <c:f>'Déclaration des erreurs '!$B$3:$B$6</c:f>
              <c:numCache>
                <c:formatCode>0%</c:formatCode>
                <c:ptCount val="4"/>
                <c:pt idx="0">
                  <c:v>0.37</c:v>
                </c:pt>
                <c:pt idx="1">
                  <c:v>0.4</c:v>
                </c:pt>
                <c:pt idx="2">
                  <c:v>0.13</c:v>
                </c:pt>
                <c:pt idx="3">
                  <c:v>0.1</c:v>
                </c:pt>
              </c:numCache>
            </c:numRef>
          </c:val>
          <c:extLst>
            <c:ext xmlns:c16="http://schemas.microsoft.com/office/drawing/2014/chart" uri="{C3380CC4-5D6E-409C-BE32-E72D297353CC}">
              <c16:uniqueId val="{00000004-52F6-4FCA-AAB3-987AFC309899}"/>
            </c:ext>
          </c:extLst>
        </c:ser>
        <c:dLbls>
          <c:showLegendKey val="0"/>
          <c:showVal val="0"/>
          <c:showCatName val="0"/>
          <c:showSerName val="0"/>
          <c:showPercent val="0"/>
          <c:showBubbleSize val="0"/>
          <c:showLeaderLines val="1"/>
        </c:dLbls>
      </c:pie3DChart>
      <c:spPr>
        <a:noFill/>
        <a:ln w="16241">
          <a:noFill/>
        </a:ln>
      </c:spPr>
    </c:plotArea>
    <c:legend>
      <c:legendPos val="b"/>
      <c:layout>
        <c:manualLayout>
          <c:xMode val="edge"/>
          <c:yMode val="edge"/>
          <c:x val="4.5123599746110167E-2"/>
          <c:y val="0.68022838377430306"/>
          <c:w val="0.91254541711697801"/>
          <c:h val="0.3036643405356320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2030" cap="flat" cmpd="sng" algn="ctr">
      <a:solidFill>
        <a:sysClr val="windowText" lastClr="000000"/>
      </a:solidFill>
      <a:round/>
    </a:ln>
    <a:effectLst/>
  </c:spPr>
  <c:txPr>
    <a:bodyPr/>
    <a:lstStyle/>
    <a:p>
      <a:pPr marL="36000" algn="ctr">
        <a:defRPr sz="639">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6"/>
              </a:solidFill>
              <a:ln w="20242">
                <a:solidFill>
                  <a:schemeClr val="lt1"/>
                </a:solidFill>
              </a:ln>
              <a:effectLst/>
              <a:sp3d contourW="25400">
                <a:contourClr>
                  <a:schemeClr val="lt1"/>
                </a:contourClr>
              </a:sp3d>
            </c:spPr>
            <c:extLst>
              <c:ext xmlns:c16="http://schemas.microsoft.com/office/drawing/2014/chart" uri="{C3380CC4-5D6E-409C-BE32-E72D297353CC}">
                <c16:uniqueId val="{00000000-5575-44D9-B7BB-80F35959339F}"/>
              </c:ext>
            </c:extLst>
          </c:dPt>
          <c:dPt>
            <c:idx val="1"/>
            <c:invertIfNegative val="0"/>
            <c:bubble3D val="0"/>
            <c:spPr>
              <a:solidFill>
                <a:schemeClr val="accent5"/>
              </a:solidFill>
              <a:ln w="20242">
                <a:solidFill>
                  <a:schemeClr val="lt1"/>
                </a:solidFill>
              </a:ln>
              <a:effectLst/>
              <a:sp3d contourW="25400">
                <a:contourClr>
                  <a:schemeClr val="lt1"/>
                </a:contourClr>
              </a:sp3d>
            </c:spPr>
            <c:extLst>
              <c:ext xmlns:c16="http://schemas.microsoft.com/office/drawing/2014/chart" uri="{C3380CC4-5D6E-409C-BE32-E72D297353CC}">
                <c16:uniqueId val="{00000001-5575-44D9-B7BB-80F35959339F}"/>
              </c:ext>
            </c:extLst>
          </c:dPt>
          <c:dPt>
            <c:idx val="2"/>
            <c:invertIfNegative val="0"/>
            <c:bubble3D val="0"/>
            <c:spPr>
              <a:solidFill>
                <a:schemeClr val="accent4"/>
              </a:solidFill>
              <a:ln w="20242">
                <a:solidFill>
                  <a:schemeClr val="lt1"/>
                </a:solidFill>
              </a:ln>
              <a:effectLst/>
              <a:sp3d contourW="25400">
                <a:contourClr>
                  <a:schemeClr val="lt1"/>
                </a:contourClr>
              </a:sp3d>
            </c:spPr>
            <c:extLst>
              <c:ext xmlns:c16="http://schemas.microsoft.com/office/drawing/2014/chart" uri="{C3380CC4-5D6E-409C-BE32-E72D297353CC}">
                <c16:uniqueId val="{00000002-5575-44D9-B7BB-80F35959339F}"/>
              </c:ext>
            </c:extLst>
          </c:dPt>
          <c:dPt>
            <c:idx val="3"/>
            <c:invertIfNegative val="0"/>
            <c:bubble3D val="0"/>
            <c:spPr>
              <a:solidFill>
                <a:schemeClr val="accent6">
                  <a:lumMod val="60000"/>
                </a:schemeClr>
              </a:solidFill>
              <a:ln w="20242">
                <a:solidFill>
                  <a:schemeClr val="lt1"/>
                </a:solidFill>
              </a:ln>
              <a:effectLst/>
              <a:sp3d contourW="25400">
                <a:contourClr>
                  <a:schemeClr val="lt1"/>
                </a:contourClr>
              </a:sp3d>
            </c:spPr>
            <c:extLst>
              <c:ext xmlns:c16="http://schemas.microsoft.com/office/drawing/2014/chart" uri="{C3380CC4-5D6E-409C-BE32-E72D297353CC}">
                <c16:uniqueId val="{00000003-5575-44D9-B7BB-80F35959339F}"/>
              </c:ext>
            </c:extLst>
          </c:dPt>
          <c:dPt>
            <c:idx val="4"/>
            <c:invertIfNegative val="0"/>
            <c:bubble3D val="0"/>
            <c:spPr>
              <a:solidFill>
                <a:schemeClr val="accent5">
                  <a:lumMod val="60000"/>
                </a:schemeClr>
              </a:solidFill>
              <a:ln w="20242">
                <a:solidFill>
                  <a:schemeClr val="lt1"/>
                </a:solidFill>
              </a:ln>
              <a:effectLst/>
              <a:sp3d contourW="25400">
                <a:contourClr>
                  <a:schemeClr val="lt1"/>
                </a:contourClr>
              </a:sp3d>
            </c:spPr>
            <c:extLst>
              <c:ext xmlns:c16="http://schemas.microsoft.com/office/drawing/2014/chart" uri="{C3380CC4-5D6E-409C-BE32-E72D297353CC}">
                <c16:uniqueId val="{00000004-5575-44D9-B7BB-80F35959339F}"/>
              </c:ext>
            </c:extLst>
          </c:dPt>
          <c:dLbls>
            <c:dLbl>
              <c:idx val="0"/>
              <c:layout>
                <c:manualLayout>
                  <c:x val="-9.961004082515029E-4"/>
                  <c:y val="1.5734642064444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5-44D9-B7BB-80F35959339F}"/>
                </c:ext>
              </c:extLst>
            </c:dLbl>
            <c:dLbl>
              <c:idx val="1"/>
              <c:layout>
                <c:manualLayout>
                  <c:x val="-3.8718313722383926E-17"/>
                  <c:y val="3.9241334205362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5-44D9-B7BB-80F35959339F}"/>
                </c:ext>
              </c:extLst>
            </c:dLbl>
            <c:dLbl>
              <c:idx val="2"/>
              <c:layout>
                <c:manualLayout>
                  <c:x val="-3.9288594733471694E-3"/>
                  <c:y val="2.1959182832688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75-44D9-B7BB-80F35959339F}"/>
                </c:ext>
              </c:extLst>
            </c:dLbl>
            <c:dLbl>
              <c:idx val="3"/>
              <c:layout>
                <c:manualLayout>
                  <c:x val="-8.5215641603405695E-3"/>
                  <c:y val="1.1087994314641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5-44D9-B7BB-80F35959339F}"/>
                </c:ext>
              </c:extLst>
            </c:dLbl>
            <c:dLbl>
              <c:idx val="4"/>
              <c:layout>
                <c:manualLayout>
                  <c:x val="2.4993971846442673E-3"/>
                  <c:y val="1.0178542920853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5-44D9-B7BB-80F35959339F}"/>
                </c:ext>
              </c:extLst>
            </c:dLbl>
            <c:numFmt formatCode="General" sourceLinked="0"/>
            <c:spPr>
              <a:noFill/>
              <a:ln>
                <a:noFill/>
              </a:ln>
              <a:effectLst/>
            </c:spPr>
            <c:txPr>
              <a:bodyPr rot="0" vert="horz"/>
              <a:lstStyle/>
              <a:p>
                <a:pPr>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'NOMBRE ENVENEMENTS INDESIRA'!$A$3:$A$7</c:f>
              <c:strCache>
                <c:ptCount val="5"/>
                <c:pt idx="0">
                  <c:v>No events</c:v>
                </c:pt>
                <c:pt idx="1">
                  <c:v>1 à 2</c:v>
                </c:pt>
                <c:pt idx="2">
                  <c:v>3 à 5</c:v>
                </c:pt>
                <c:pt idx="3">
                  <c:v>6 à 10</c:v>
                </c:pt>
                <c:pt idx="4">
                  <c:v>more than 10</c:v>
                </c:pt>
              </c:strCache>
            </c:strRef>
          </c:cat>
          <c:val>
            <c:numRef>
              <c:f>'NOMBRE ENVENEMENTS INDESIRA'!$B$3:$B$7</c:f>
              <c:numCache>
                <c:formatCode>General</c:formatCode>
                <c:ptCount val="5"/>
                <c:pt idx="0">
                  <c:v>83</c:v>
                </c:pt>
                <c:pt idx="1">
                  <c:v>11</c:v>
                </c:pt>
                <c:pt idx="2">
                  <c:v>6</c:v>
                </c:pt>
                <c:pt idx="3">
                  <c:v>0</c:v>
                </c:pt>
                <c:pt idx="4">
                  <c:v>0</c:v>
                </c:pt>
              </c:numCache>
            </c:numRef>
          </c:val>
          <c:extLst>
            <c:ext xmlns:c16="http://schemas.microsoft.com/office/drawing/2014/chart" uri="{C3380CC4-5D6E-409C-BE32-E72D297353CC}">
              <c16:uniqueId val="{00000005-5575-44D9-B7BB-80F35959339F}"/>
            </c:ext>
          </c:extLst>
        </c:ser>
        <c:dLbls>
          <c:showLegendKey val="0"/>
          <c:showVal val="0"/>
          <c:showCatName val="0"/>
          <c:showSerName val="0"/>
          <c:showPercent val="0"/>
          <c:showBubbleSize val="0"/>
        </c:dLbls>
        <c:gapWidth val="100"/>
        <c:axId val="1726153935"/>
        <c:axId val="1726168079"/>
      </c:barChart>
      <c:catAx>
        <c:axId val="1726153935"/>
        <c:scaling>
          <c:orientation val="minMax"/>
        </c:scaling>
        <c:delete val="0"/>
        <c:axPos val="b"/>
        <c:numFmt formatCode="General" sourceLinked="1"/>
        <c:majorTickMark val="out"/>
        <c:minorTickMark val="none"/>
        <c:tickLblPos val="nextTo"/>
        <c:crossAx val="1726168079"/>
        <c:crosses val="autoZero"/>
        <c:auto val="1"/>
        <c:lblAlgn val="ctr"/>
        <c:lblOffset val="100"/>
        <c:noMultiLvlLbl val="0"/>
      </c:catAx>
      <c:valAx>
        <c:axId val="1726168079"/>
        <c:scaling>
          <c:orientation val="minMax"/>
        </c:scaling>
        <c:delete val="0"/>
        <c:axPos val="l"/>
        <c:numFmt formatCode="General" sourceLinked="1"/>
        <c:majorTickMark val="out"/>
        <c:minorTickMark val="none"/>
        <c:tickLblPos val="nextTo"/>
        <c:crossAx val="1726153935"/>
        <c:crosses val="autoZero"/>
        <c:crossBetween val="between"/>
      </c:valAx>
    </c:plotArea>
    <c:legend>
      <c:legendPos val="b"/>
      <c:overlay val="0"/>
      <c:spPr>
        <a:noFill/>
        <a:ln>
          <a:noFill/>
        </a:ln>
        <a:effectLst/>
      </c:spPr>
      <c:txPr>
        <a:bodyPr rot="0" vert="horz"/>
        <a:lstStyle/>
        <a:p>
          <a:pPr>
            <a:defRPr/>
          </a:pPr>
          <a:endParaRPr lang="fr-FR"/>
        </a:p>
      </c:txPr>
    </c:legend>
    <c:plotVisOnly val="1"/>
    <c:dispBlanksAs val="gap"/>
    <c:showDLblsOverMax val="0"/>
  </c:chart>
  <c:spPr>
    <a:solidFill>
      <a:schemeClr val="bg1"/>
    </a:solidFill>
    <a:ln w="7591" cap="flat" cmpd="sng" algn="ctr">
      <a:solidFill>
        <a:schemeClr val="tx1"/>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'Facteurs influençant la sécurit'!$B$2</c:f>
              <c:strCache>
                <c:ptCount val="1"/>
                <c:pt idx="0">
                  <c:v>strong influence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sécurit'!$B$3:$B$9</c:f>
              <c:numCache>
                <c:formatCode>General</c:formatCode>
                <c:ptCount val="7"/>
                <c:pt idx="0">
                  <c:v>13</c:v>
                </c:pt>
                <c:pt idx="1">
                  <c:v>62</c:v>
                </c:pt>
                <c:pt idx="2">
                  <c:v>48</c:v>
                </c:pt>
                <c:pt idx="3">
                  <c:v>42</c:v>
                </c:pt>
                <c:pt idx="4">
                  <c:v>79</c:v>
                </c:pt>
                <c:pt idx="5">
                  <c:v>67</c:v>
                </c:pt>
                <c:pt idx="6">
                  <c:v>37</c:v>
                </c:pt>
              </c:numCache>
            </c:numRef>
          </c:val>
          <c:extLst>
            <c:ext xmlns:c16="http://schemas.microsoft.com/office/drawing/2014/chart" uri="{C3380CC4-5D6E-409C-BE32-E72D297353CC}">
              <c16:uniqueId val="{00000000-BDF7-40F6-90A9-C3A8ECD73F44}"/>
            </c:ext>
          </c:extLst>
        </c:ser>
        <c:ser>
          <c:idx val="1"/>
          <c:order val="1"/>
          <c:tx>
            <c:strRef>
              <c:f>'Facteurs influençant la sécurit'!$C$2</c:f>
              <c:strCache>
                <c:ptCount val="1"/>
                <c:pt idx="0">
                  <c:v>Medium Influence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sécurit'!$C$3:$C$9</c:f>
              <c:numCache>
                <c:formatCode>General</c:formatCode>
                <c:ptCount val="7"/>
                <c:pt idx="0">
                  <c:v>57</c:v>
                </c:pt>
                <c:pt idx="1">
                  <c:v>27</c:v>
                </c:pt>
                <c:pt idx="2">
                  <c:v>37</c:v>
                </c:pt>
                <c:pt idx="3">
                  <c:v>36</c:v>
                </c:pt>
                <c:pt idx="4">
                  <c:v>14</c:v>
                </c:pt>
                <c:pt idx="5">
                  <c:v>21</c:v>
                </c:pt>
                <c:pt idx="6">
                  <c:v>32</c:v>
                </c:pt>
              </c:numCache>
            </c:numRef>
          </c:val>
          <c:extLst>
            <c:ext xmlns:c16="http://schemas.microsoft.com/office/drawing/2014/chart" uri="{C3380CC4-5D6E-409C-BE32-E72D297353CC}">
              <c16:uniqueId val="{00000001-BDF7-40F6-90A9-C3A8ECD73F44}"/>
            </c:ext>
          </c:extLst>
        </c:ser>
        <c:ser>
          <c:idx val="2"/>
          <c:order val="2"/>
          <c:tx>
            <c:strRef>
              <c:f>'Facteurs influençant la sécurit'!$D$2</c:f>
              <c:strCache>
                <c:ptCount val="1"/>
                <c:pt idx="0">
                  <c:v>Low influence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sécurit'!$D$3:$D$9</c:f>
              <c:numCache>
                <c:formatCode>General</c:formatCode>
                <c:ptCount val="7"/>
                <c:pt idx="0">
                  <c:v>19</c:v>
                </c:pt>
                <c:pt idx="1">
                  <c:v>11</c:v>
                </c:pt>
                <c:pt idx="2">
                  <c:v>12</c:v>
                </c:pt>
                <c:pt idx="3">
                  <c:v>20</c:v>
                </c:pt>
                <c:pt idx="4">
                  <c:v>7</c:v>
                </c:pt>
                <c:pt idx="5">
                  <c:v>9</c:v>
                </c:pt>
                <c:pt idx="6">
                  <c:v>20</c:v>
                </c:pt>
              </c:numCache>
            </c:numRef>
          </c:val>
          <c:extLst>
            <c:ext xmlns:c16="http://schemas.microsoft.com/office/drawing/2014/chart" uri="{C3380CC4-5D6E-409C-BE32-E72D297353CC}">
              <c16:uniqueId val="{00000002-BDF7-40F6-90A9-C3A8ECD73F44}"/>
            </c:ext>
          </c:extLst>
        </c:ser>
        <c:ser>
          <c:idx val="3"/>
          <c:order val="3"/>
          <c:tx>
            <c:strRef>
              <c:f>'Facteurs influençant la sécurit'!$E$2</c:f>
              <c:strCache>
                <c:ptCount val="1"/>
                <c:pt idx="0">
                  <c:v>No influence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sécurit'!$E$3:$E$9</c:f>
              <c:numCache>
                <c:formatCode>General</c:formatCode>
                <c:ptCount val="7"/>
                <c:pt idx="0">
                  <c:v>11</c:v>
                </c:pt>
                <c:pt idx="1">
                  <c:v>0</c:v>
                </c:pt>
                <c:pt idx="2">
                  <c:v>3</c:v>
                </c:pt>
                <c:pt idx="3">
                  <c:v>2</c:v>
                </c:pt>
                <c:pt idx="4">
                  <c:v>0</c:v>
                </c:pt>
                <c:pt idx="5">
                  <c:v>3</c:v>
                </c:pt>
                <c:pt idx="6">
                  <c:v>11</c:v>
                </c:pt>
              </c:numCache>
            </c:numRef>
          </c:val>
          <c:extLst>
            <c:ext xmlns:c16="http://schemas.microsoft.com/office/drawing/2014/chart" uri="{C3380CC4-5D6E-409C-BE32-E72D297353CC}">
              <c16:uniqueId val="{00000003-BDF7-40F6-90A9-C3A8ECD73F44}"/>
            </c:ext>
          </c:extLst>
        </c:ser>
        <c:dLbls>
          <c:showLegendKey val="0"/>
          <c:showVal val="0"/>
          <c:showCatName val="0"/>
          <c:showSerName val="0"/>
          <c:showPercent val="0"/>
          <c:showBubbleSize val="0"/>
        </c:dLbls>
        <c:gapWidth val="150"/>
        <c:overlap val="100"/>
        <c:axId val="1810359759"/>
        <c:axId val="1"/>
      </c:barChart>
      <c:catAx>
        <c:axId val="1810359759"/>
        <c:scaling>
          <c:orientation val="minMax"/>
        </c:scaling>
        <c:delete val="0"/>
        <c:axPos val="l"/>
        <c:numFmt formatCode="General" sourceLinked="1"/>
        <c:majorTickMark val="none"/>
        <c:minorTickMark val="none"/>
        <c:tickLblPos val="nextTo"/>
        <c:spPr>
          <a:noFill/>
          <a:ln w="759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
        <c:crossesAt val="0"/>
        <c:auto val="1"/>
        <c:lblAlgn val="ctr"/>
        <c:lblOffset val="100"/>
        <c:noMultiLvlLbl val="0"/>
      </c:catAx>
      <c:valAx>
        <c:axId val="1"/>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810359759"/>
        <c:crosses val="autoZero"/>
        <c:crossBetween val="between"/>
      </c:valAx>
      <c:spPr>
        <a:noFill/>
        <a:ln w="20253">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7595" cap="flat" cmpd="sng" algn="ctr">
      <a:solidFill>
        <a:schemeClr val="tx1"/>
      </a:solidFill>
      <a:round/>
    </a:ln>
    <a:effectLst/>
  </c:spPr>
  <c:txPr>
    <a:bodyPr/>
    <a:lstStyle/>
    <a:p>
      <a:pPr>
        <a:defRPr sz="718">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6</Pages>
  <Words>3274</Words>
  <Characters>18011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HAYATE KOUBRI</dc:creator>
  <cp:lastModifiedBy>H K</cp:lastModifiedBy>
  <cp:revision>42</cp:revision>
  <dcterms:created xsi:type="dcterms:W3CDTF">2023-09-21T11:14:00Z</dcterms:created>
  <dcterms:modified xsi:type="dcterms:W3CDTF">2026-04-01T12:02:00Z</dcterms:modified>
</cp:coreProperties>
</file>