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DF194" w14:textId="77777777" w:rsidR="00A40FB8" w:rsidRPr="00A40FB8" w:rsidRDefault="00A40FB8" w:rsidP="00A40FB8">
      <w:pPr>
        <w:spacing w:before="200" w:after="200" w:line="360" w:lineRule="auto"/>
        <w:jc w:val="center"/>
        <w:rPr>
          <w:rFonts w:ascii="Times New Roman" w:eastAsia="Times New Roman" w:hAnsi="Times New Roman" w:cs="Times New Roman"/>
          <w:b/>
          <w:bCs/>
          <w:sz w:val="28"/>
          <w:szCs w:val="28"/>
          <w:lang w:val="en-US"/>
        </w:rPr>
      </w:pPr>
      <w:r w:rsidRPr="00A40FB8">
        <w:rPr>
          <w:rFonts w:ascii="Times New Roman" w:eastAsia="Times New Roman" w:hAnsi="Times New Roman" w:cs="Times New Roman"/>
          <w:b/>
          <w:bCs/>
          <w:sz w:val="28"/>
          <w:szCs w:val="28"/>
          <w:lang w:val="en-US"/>
        </w:rPr>
        <w:t>The Administrative System of Mewar and Traditional Historical Sources</w:t>
      </w:r>
    </w:p>
    <w:p w14:paraId="2B3995F5" w14:textId="77777777" w:rsidR="00A40FB8" w:rsidRPr="00A40FB8" w:rsidRDefault="00A40FB8" w:rsidP="00A40FB8">
      <w:pPr>
        <w:spacing w:before="200" w:after="200" w:line="360" w:lineRule="auto"/>
        <w:jc w:val="center"/>
        <w:rPr>
          <w:rFonts w:ascii="Times New Roman" w:eastAsia="Times New Roman" w:hAnsi="Times New Roman" w:cs="Times New Roman"/>
          <w:b/>
          <w:bCs/>
          <w:sz w:val="28"/>
          <w:szCs w:val="28"/>
          <w:lang w:val="en-US"/>
        </w:rPr>
      </w:pPr>
      <w:r w:rsidRPr="00A40FB8">
        <w:rPr>
          <w:rFonts w:ascii="Times New Roman" w:eastAsia="Times New Roman" w:hAnsi="Times New Roman" w:cs="Times New Roman"/>
          <w:b/>
          <w:bCs/>
          <w:sz w:val="28"/>
          <w:szCs w:val="28"/>
          <w:lang w:val="en-US"/>
        </w:rPr>
        <w:t/>
      </w:r>
    </w:p>
    <w:p w14:paraId="5B3A991E" w14:textId="77777777" w:rsidR="00A40FB8" w:rsidRPr="00A40FB8" w:rsidRDefault="00A40FB8" w:rsidP="00A40FB8">
      <w:pPr>
        <w:spacing w:before="200" w:after="200" w:line="360" w:lineRule="auto"/>
        <w:jc w:val="center"/>
        <w:rPr>
          <w:rFonts w:ascii="Times New Roman" w:eastAsia="Times New Roman" w:hAnsi="Times New Roman" w:cs="Times New Roman"/>
          <w:b/>
          <w:bCs/>
          <w:sz w:val="28"/>
          <w:szCs w:val="28"/>
          <w:lang w:val="en-US"/>
        </w:rPr>
      </w:pPr>
      <w:r w:rsidRPr="00A40FB8">
        <w:rPr>
          <w:rFonts w:ascii="Times New Roman" w:eastAsia="Times New Roman" w:hAnsi="Times New Roman" w:cs="Times New Roman"/>
          <w:b/>
          <w:bCs/>
          <w:sz w:val="28"/>
          <w:szCs w:val="28"/>
          <w:lang w:val="en-US"/>
        </w:rPr>
        <w:t/>
      </w:r>
    </w:p>
    <w:p w14:paraId="7210E7D1" w14:textId="77777777" w:rsidR="00A40FB8" w:rsidRPr="00A40FB8" w:rsidRDefault="00A40FB8" w:rsidP="00A40FB8">
      <w:pPr>
        <w:spacing w:before="200" w:after="200" w:line="360" w:lineRule="auto"/>
        <w:jc w:val="center"/>
        <w:rPr>
          <w:rFonts w:ascii="Times New Roman" w:eastAsia="Times New Roman" w:hAnsi="Times New Roman" w:cs="Times New Roman"/>
          <w:b/>
          <w:bCs/>
          <w:sz w:val="28"/>
          <w:szCs w:val="28"/>
          <w:lang w:val="en-US"/>
        </w:rPr>
      </w:pPr>
      <w:hyperlink r:id="rId7" w:history="1">
        <w:r w:rsidRPr="00A40FB8">
          <w:rPr>
            <w:rStyle w:val="Hyperlink"/>
            <w:rFonts w:ascii="Times New Roman" w:eastAsia="Times New Roman" w:hAnsi="Times New Roman" w:cs="Times New Roman"/>
            <w:b/>
            <w:bCs/>
            <w:sz w:val="28"/>
            <w:szCs w:val="28"/>
            <w:lang w:val="en-US"/>
          </w:rPr>
          <w:t/>
        </w:r>
      </w:hyperlink>
    </w:p>
    <w:p w14:paraId="5FCCDCEA" w14:textId="77777777" w:rsidR="00510C54" w:rsidRDefault="00510C54">
      <w:pPr>
        <w:spacing w:before="200" w:after="200" w:line="360" w:lineRule="auto"/>
        <w:jc w:val="both"/>
        <w:rPr>
          <w:rFonts w:ascii="Times New Roman" w:eastAsia="Times New Roman" w:hAnsi="Times New Roman" w:cs="Times New Roman"/>
          <w:sz w:val="24"/>
          <w:szCs w:val="24"/>
        </w:rPr>
      </w:pPr>
    </w:p>
    <w:p w14:paraId="5143EE39" w14:textId="77777777" w:rsidR="00510C54" w:rsidRDefault="00433923">
      <w:pPr>
        <w:spacing w:before="200"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3616EC28" w14:textId="77777777" w:rsidR="00510C54" w:rsidRDefault="00433923">
      <w:pPr>
        <w:spacing w:before="200" w:after="20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administrative and political reforms implemented in the princely state of Mewar are highlighted in this conceptual study. Over time, an area shapes itself and adapts to both endogenous and exogenous events. Since ancient times, the Mewar region has experienced the turbulent political history of both India and itself, particularly the sociopolitical events of the Mughal era. The fundamental issue with Mewar's history is its shifting borders or command area under various governmental systems, which entails locating the historic sites that still serve as reminders of the past. The actual documented history of the area begins with the Mughal era in Delhi and the Rana era in Mewar mark the beginning of the region's actual documented history. Throughout the region's history, civil administration has generally been more significant than socioeconomic growth, as this relative </w:t>
      </w:r>
      <w:proofErr w:type="spellStart"/>
      <w:r>
        <w:rPr>
          <w:rFonts w:ascii="Times New Roman" w:eastAsia="Times New Roman" w:hAnsi="Times New Roman" w:cs="Times New Roman"/>
          <w:sz w:val="24"/>
          <w:szCs w:val="24"/>
        </w:rPr>
        <w:t>terraincognita</w:t>
      </w:r>
      <w:proofErr w:type="spellEnd"/>
      <w:r>
        <w:rPr>
          <w:rFonts w:ascii="Times New Roman" w:eastAsia="Times New Roman" w:hAnsi="Times New Roman" w:cs="Times New Roman"/>
          <w:sz w:val="24"/>
          <w:szCs w:val="24"/>
        </w:rPr>
        <w:t xml:space="preserve"> describes. Together, the aforementioned facts have defined Mewar's identity as a region and highlighted the general backwardness of its tradition-bound regional structure. Therefore, the current research paper goes into great detail about several reforms in Mewar.</w:t>
      </w:r>
      <w:r>
        <w:rPr>
          <w:rFonts w:ascii="Times New Roman" w:eastAsia="Times New Roman" w:hAnsi="Times New Roman" w:cs="Times New Roman"/>
          <w:sz w:val="24"/>
          <w:szCs w:val="24"/>
          <w:lang w:val="en-US"/>
        </w:rPr>
        <w:t xml:space="preserve"> </w:t>
      </w:r>
    </w:p>
    <w:p w14:paraId="286E8024" w14:textId="77777777" w:rsidR="00510C54" w:rsidRDefault="00510C54">
      <w:pPr>
        <w:spacing w:before="200" w:after="200" w:line="360" w:lineRule="auto"/>
        <w:jc w:val="both"/>
        <w:rPr>
          <w:rFonts w:ascii="Times New Roman" w:eastAsia="Times New Roman" w:hAnsi="Times New Roman" w:cs="Times New Roman"/>
          <w:sz w:val="24"/>
          <w:szCs w:val="24"/>
          <w:lang w:val="en-US"/>
        </w:rPr>
      </w:pPr>
    </w:p>
    <w:p w14:paraId="3236B51A" w14:textId="77777777" w:rsidR="00510C54" w:rsidRDefault="00433923">
      <w:pPr>
        <w:spacing w:before="200" w:after="20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rPr>
        <w:t xml:space="preserve">Keywords </w:t>
      </w:r>
      <w:proofErr w:type="gramStart"/>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 Administration</w:t>
      </w:r>
      <w:proofErr w:type="gramEnd"/>
      <w:r>
        <w:rPr>
          <w:rFonts w:ascii="Times New Roman" w:eastAsia="Times New Roman" w:hAnsi="Times New Roman" w:cs="Times New Roman"/>
          <w:sz w:val="24"/>
          <w:szCs w:val="24"/>
          <w:lang w:val="en-US"/>
        </w:rPr>
        <w:t xml:space="preserve">, Civil, Judiciary, Princely State, Revenue, Political Alliances, Mewar.  </w:t>
      </w:r>
    </w:p>
    <w:p w14:paraId="77CE7FFB" w14:textId="77777777" w:rsidR="00510C54" w:rsidRDefault="00510C54">
      <w:pPr>
        <w:spacing w:before="200" w:after="200" w:line="360" w:lineRule="auto"/>
        <w:jc w:val="both"/>
        <w:rPr>
          <w:rFonts w:ascii="Times New Roman" w:eastAsia="Times New Roman" w:hAnsi="Times New Roman" w:cs="Times New Roman"/>
          <w:sz w:val="24"/>
          <w:szCs w:val="24"/>
        </w:rPr>
      </w:pPr>
    </w:p>
    <w:p w14:paraId="4810C2B5" w14:textId="77777777" w:rsidR="00510C54" w:rsidRDefault="00433923">
      <w:pPr>
        <w:spacing w:before="200"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INTRODUCTION </w:t>
      </w:r>
    </w:p>
    <w:p w14:paraId="460A83C7"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Mewar was one of the largest princely states of Rajasthan, and one of the largest in the medieval and early modern history of India. Its southern portion of present-day Rajasthan earned its </w:t>
      </w:r>
      <w:r>
        <w:rPr>
          <w:rFonts w:ascii="Times New Roman" w:eastAsia="Times New Roman" w:hAnsi="Times New Roman" w:cs="Times New Roman"/>
          <w:sz w:val="24"/>
          <w:szCs w:val="24"/>
        </w:rPr>
        <w:lastRenderedPageBreak/>
        <w:t xml:space="preserve">reputation for its </w:t>
      </w:r>
      <w:proofErr w:type="spellStart"/>
      <w:r>
        <w:rPr>
          <w:rFonts w:ascii="Times New Roman" w:eastAsia="Times New Roman" w:hAnsi="Times New Roman" w:cs="Times New Roman"/>
          <w:sz w:val="24"/>
          <w:szCs w:val="24"/>
        </w:rPr>
        <w:t>defence</w:t>
      </w:r>
      <w:proofErr w:type="spellEnd"/>
      <w:r>
        <w:rPr>
          <w:rFonts w:ascii="Times New Roman" w:eastAsia="Times New Roman" w:hAnsi="Times New Roman" w:cs="Times New Roman"/>
          <w:sz w:val="24"/>
          <w:szCs w:val="24"/>
        </w:rPr>
        <w:t xml:space="preserve"> against </w:t>
      </w:r>
      <w:proofErr w:type="gramStart"/>
      <w:r>
        <w:rPr>
          <w:rFonts w:ascii="Times New Roman" w:eastAsia="Times New Roman" w:hAnsi="Times New Roman" w:cs="Times New Roman"/>
          <w:sz w:val="24"/>
          <w:szCs w:val="24"/>
        </w:rPr>
        <w:t>Foreign</w:t>
      </w:r>
      <w:proofErr w:type="gramEnd"/>
      <w:r>
        <w:rPr>
          <w:rFonts w:ascii="Times New Roman" w:eastAsia="Times New Roman" w:hAnsi="Times New Roman" w:cs="Times New Roman"/>
          <w:sz w:val="24"/>
          <w:szCs w:val="24"/>
        </w:rPr>
        <w:t xml:space="preserve"> invasions, as well as its Rajput ethics of </w:t>
      </w:r>
      <w:proofErr w:type="spellStart"/>
      <w:r>
        <w:rPr>
          <w:rFonts w:ascii="Times New Roman" w:eastAsia="Times New Roman" w:hAnsi="Times New Roman" w:cs="Times New Roman"/>
          <w:sz w:val="24"/>
          <w:szCs w:val="24"/>
        </w:rPr>
        <w:t>honour</w:t>
      </w:r>
      <w:proofErr w:type="spellEnd"/>
      <w:r>
        <w:rPr>
          <w:rFonts w:ascii="Times New Roman" w:eastAsia="Times New Roman" w:hAnsi="Times New Roman" w:cs="Times New Roman"/>
          <w:sz w:val="24"/>
          <w:szCs w:val="24"/>
        </w:rPr>
        <w:t xml:space="preserve"> and independence. The Sisodia dynasty of Mewar founded a dynasty with the means of a functioning administration and system of survival amidst political and military upheaval, toiling and transformative socioeconomic conditions (Gehlot and Prashar, 2017). </w:t>
      </w:r>
    </w:p>
    <w:p w14:paraId="1C6E43F5"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Mewar’s administrative organization, including the division of civil, criminal, and military power, is a reflection of Rajput social and ethnic rules, values, and processes. Rajput Kings has been recognized as protectors of dharma and their subjects and as having authority over military matters, the possession of power, and the organization of the state. Dharmic and Rajput ritual authority also accords to village community, local chiefs, and feudal aristocrats. Social dharmas of the Rajput are also significant for the administration of the state (Singh, 1985). </w:t>
      </w:r>
    </w:p>
    <w:p w14:paraId="4D31DF9A"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extensive array of historical sources makes possible the systematic outlining of Mewar’s administrative history. Sources of these documents are inscriptions on temples and monuments, manuscripts and other documents preserved in the Royal Archives, the bardic literatures of the Charans and </w:t>
      </w:r>
      <w:proofErr w:type="spellStart"/>
      <w:r>
        <w:rPr>
          <w:rFonts w:ascii="Times New Roman" w:eastAsia="Times New Roman" w:hAnsi="Times New Roman" w:cs="Times New Roman"/>
          <w:sz w:val="24"/>
          <w:szCs w:val="24"/>
        </w:rPr>
        <w:t>Bhats</w:t>
      </w:r>
      <w:proofErr w:type="spellEnd"/>
      <w:r>
        <w:rPr>
          <w:rFonts w:ascii="Times New Roman" w:eastAsia="Times New Roman" w:hAnsi="Times New Roman" w:cs="Times New Roman"/>
          <w:sz w:val="24"/>
          <w:szCs w:val="24"/>
        </w:rPr>
        <w:t xml:space="preserve">, Persian documents of the Mughal era, and the writings of European travelers. These sources serve historical justice to modern conceptualization and are a wealth of information on administrative systems, military organization, and socio-cultural life and relations of the region (Newman, 2022). </w:t>
      </w:r>
    </w:p>
    <w:p w14:paraId="0D5BE95F"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administrative structures, systems, stratifications, and practices of the state of Mewar are the focal points of study for the appraisal of the richness of Rajput historical literature which as a sub-discipline also encompasses its political, military, judicial, and fiscal structures and practices (Fazl, 1907). </w:t>
      </w:r>
    </w:p>
    <w:p w14:paraId="1A148D7F" w14:textId="77777777" w:rsidR="00510C54" w:rsidRDefault="00510C54">
      <w:pPr>
        <w:spacing w:before="200" w:after="200" w:line="360" w:lineRule="auto"/>
        <w:jc w:val="both"/>
        <w:rPr>
          <w:rFonts w:ascii="Times New Roman" w:eastAsia="Times New Roman" w:hAnsi="Times New Roman" w:cs="Times New Roman"/>
          <w:sz w:val="24"/>
          <w:szCs w:val="24"/>
        </w:rPr>
      </w:pPr>
    </w:p>
    <w:p w14:paraId="21850C84" w14:textId="77777777" w:rsidR="00510C54" w:rsidRDefault="00433923">
      <w:pPr>
        <w:spacing w:before="200"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HISTORICAL BACKGROUND OF MEWAR </w:t>
      </w:r>
    </w:p>
    <w:p w14:paraId="083DF375"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Mewar has a rich, widespread documented history extending to ancient India, but the establishment of the temporary ruling dynasty made a more coherent history possible. Originating from the dynasty </w:t>
      </w:r>
      <w:proofErr w:type="spellStart"/>
      <w:r>
        <w:rPr>
          <w:rFonts w:ascii="Times New Roman" w:eastAsia="Times New Roman" w:hAnsi="Times New Roman" w:cs="Times New Roman"/>
          <w:sz w:val="24"/>
          <w:szCs w:val="24"/>
        </w:rPr>
        <w:t>Guhilas</w:t>
      </w:r>
      <w:proofErr w:type="spellEnd"/>
      <w:r>
        <w:rPr>
          <w:rFonts w:ascii="Times New Roman" w:eastAsia="Times New Roman" w:hAnsi="Times New Roman" w:cs="Times New Roman"/>
          <w:sz w:val="24"/>
          <w:szCs w:val="24"/>
        </w:rPr>
        <w:t xml:space="preserve"> governing from the 8th century, the dynasty of </w:t>
      </w:r>
      <w:proofErr w:type="spellStart"/>
      <w:r>
        <w:rPr>
          <w:rFonts w:ascii="Times New Roman" w:eastAsia="Times New Roman" w:hAnsi="Times New Roman" w:cs="Times New Roman"/>
          <w:sz w:val="24"/>
          <w:szCs w:val="24"/>
        </w:rPr>
        <w:t>Sisodias</w:t>
      </w:r>
      <w:proofErr w:type="spellEnd"/>
      <w:r>
        <w:rPr>
          <w:rFonts w:ascii="Times New Roman" w:eastAsia="Times New Roman" w:hAnsi="Times New Roman" w:cs="Times New Roman"/>
          <w:sz w:val="24"/>
          <w:szCs w:val="24"/>
        </w:rPr>
        <w:t xml:space="preserve">, according to legends, is the founder of the Mewar dynasty, who is attributed to the consolidation of power and sovereignty of Mewar, as well as his military </w:t>
      </w:r>
      <w:proofErr w:type="spellStart"/>
      <w:r>
        <w:rPr>
          <w:rFonts w:ascii="Times New Roman" w:eastAsia="Times New Roman" w:hAnsi="Times New Roman" w:cs="Times New Roman"/>
          <w:sz w:val="24"/>
          <w:szCs w:val="24"/>
        </w:rPr>
        <w:t>endeavours</w:t>
      </w:r>
      <w:proofErr w:type="spellEnd"/>
      <w:r>
        <w:rPr>
          <w:rFonts w:ascii="Times New Roman" w:eastAsia="Times New Roman" w:hAnsi="Times New Roman" w:cs="Times New Roman"/>
          <w:sz w:val="24"/>
          <w:szCs w:val="24"/>
        </w:rPr>
        <w:t xml:space="preserve"> in regional history (Tuescher, 2005). </w:t>
      </w:r>
    </w:p>
    <w:p w14:paraId="4BB17844"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Mewar faced several challenges throughout history, including continuous invasion and shifting political dynamics. The Mewar Kingdom rose to defend their sovereignty multiple time against the Delhi Sultanate and the Mughal Empire. Sovereigns such as Rana Kumbha, Rana Sanga, and Maharana Pratap strengthened their defenses to prolong Mewar’s remaining sovereignty.  Rana Kumbha’s military and administrative reforms added to his record of cultural sponsorship. Under his reign, Mewar constructed forts, temples, and buildings to show the wealth and prosperity of Mewar. Rana Sanga continued the legacy of his predecessor and became one of the most formidable Rajput examples of North India (Kumari and Bhat, 2024). </w:t>
      </w:r>
    </w:p>
    <w:p w14:paraId="725F9B59"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Battle of </w:t>
      </w:r>
      <w:proofErr w:type="spellStart"/>
      <w:r>
        <w:rPr>
          <w:rFonts w:ascii="Times New Roman" w:eastAsia="Times New Roman" w:hAnsi="Times New Roman" w:cs="Times New Roman"/>
          <w:sz w:val="24"/>
          <w:szCs w:val="24"/>
        </w:rPr>
        <w:t>Haldighati</w:t>
      </w:r>
      <w:proofErr w:type="spellEnd"/>
      <w:r>
        <w:rPr>
          <w:rFonts w:ascii="Times New Roman" w:eastAsia="Times New Roman" w:hAnsi="Times New Roman" w:cs="Times New Roman"/>
          <w:sz w:val="24"/>
          <w:szCs w:val="24"/>
        </w:rPr>
        <w:t xml:space="preserve">, Maharana Pratap became the figurehead of the continued Mughal resistance. </w:t>
      </w:r>
      <w:proofErr w:type="spellStart"/>
      <w:r>
        <w:rPr>
          <w:rFonts w:ascii="Times New Roman" w:eastAsia="Times New Roman" w:hAnsi="Times New Roman" w:cs="Times New Roman"/>
          <w:sz w:val="24"/>
          <w:szCs w:val="24"/>
        </w:rPr>
        <w:t>Haldighati</w:t>
      </w:r>
      <w:proofErr w:type="spellEnd"/>
      <w:r>
        <w:rPr>
          <w:rFonts w:ascii="Times New Roman" w:eastAsia="Times New Roman" w:hAnsi="Times New Roman" w:cs="Times New Roman"/>
          <w:sz w:val="24"/>
          <w:szCs w:val="24"/>
        </w:rPr>
        <w:t xml:space="preserve"> became the symbol of Mewar’s political perseverance, of which this battle added to the importance of Mewar’s history and the many Indian Wars of resistance. </w:t>
      </w:r>
      <w:proofErr w:type="spellStart"/>
      <w:r>
        <w:rPr>
          <w:rFonts w:ascii="Times New Roman" w:eastAsia="Times New Roman" w:hAnsi="Times New Roman" w:cs="Times New Roman"/>
          <w:sz w:val="24"/>
          <w:szCs w:val="24"/>
        </w:rPr>
        <w:t>Haldighati</w:t>
      </w:r>
      <w:proofErr w:type="spellEnd"/>
      <w:r>
        <w:rPr>
          <w:rFonts w:ascii="Times New Roman" w:eastAsia="Times New Roman" w:hAnsi="Times New Roman" w:cs="Times New Roman"/>
          <w:sz w:val="24"/>
          <w:szCs w:val="24"/>
        </w:rPr>
        <w:t xml:space="preserve"> exemplified the determination to maintain sovereignty. Mewar’s historical accounts of warfare and political strife shaped and influenced the administration system of Mewar to include military policy, decentralized order, and a strong feudality (Raczek et. al., 2015). </w:t>
      </w:r>
    </w:p>
    <w:p w14:paraId="58D78C95"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response to Mewar’s military governance and the declining order across the region now influenced the court and military response to the shifting order of Mewar’s governance. Traditional sources of Mewar add to the insights concerning the shifting conditions across the region. The study of Mewar’s governance system heavily relies on these sources as they lay the foundation to the political, social, and economic order of the kingdom (Sharma, 1970). </w:t>
      </w:r>
    </w:p>
    <w:p w14:paraId="603915A8" w14:textId="77777777" w:rsidR="00510C54" w:rsidRDefault="00510C54">
      <w:pPr>
        <w:spacing w:before="200" w:after="200" w:line="360" w:lineRule="auto"/>
        <w:jc w:val="both"/>
        <w:rPr>
          <w:rFonts w:ascii="Times New Roman" w:eastAsia="Times New Roman" w:hAnsi="Times New Roman" w:cs="Times New Roman"/>
          <w:sz w:val="24"/>
          <w:szCs w:val="24"/>
        </w:rPr>
      </w:pPr>
    </w:p>
    <w:p w14:paraId="0900AC98" w14:textId="77777777" w:rsidR="00510C54" w:rsidRDefault="00433923">
      <w:pPr>
        <w:spacing w:before="200"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Inscriptions</w:t>
      </w:r>
    </w:p>
    <w:p w14:paraId="79E9FF88"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of Mewar requires historians to describe their highest forms of evidence: inscriptions. Temple and fort inscriptions, as well as those on public buildings and walls, help identify grants and taxes, building, and military and administrative activities and orders and laws. The inscriptions of Chittorgarh and Kumbhalgarh provide references to kingly and administrative governance. The Kumbhalgarh inscriptions of Rana Kumbha state the accomplishments of the king and the continuation, or strengthening, of the kingdom. Such inscriptions give evidence to the connection of religious and kingly governance (Tripathi, 2023). </w:t>
      </w:r>
    </w:p>
    <w:p w14:paraId="20FD0D14" w14:textId="77777777" w:rsidR="00510C54" w:rsidRDefault="00510C54">
      <w:pPr>
        <w:spacing w:before="200" w:after="200" w:line="360" w:lineRule="auto"/>
        <w:jc w:val="both"/>
        <w:rPr>
          <w:rFonts w:ascii="Times New Roman" w:eastAsia="Times New Roman" w:hAnsi="Times New Roman" w:cs="Times New Roman"/>
          <w:sz w:val="24"/>
          <w:szCs w:val="24"/>
        </w:rPr>
      </w:pPr>
    </w:p>
    <w:p w14:paraId="26EB77BB"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Bardic Literature </w:t>
      </w:r>
    </w:p>
    <w:p w14:paraId="325D1501"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preservation of Mewar history by the Charans and the </w:t>
      </w:r>
      <w:proofErr w:type="spellStart"/>
      <w:r>
        <w:rPr>
          <w:rFonts w:ascii="Times New Roman" w:eastAsia="Times New Roman" w:hAnsi="Times New Roman" w:cs="Times New Roman"/>
          <w:sz w:val="24"/>
          <w:szCs w:val="24"/>
        </w:rPr>
        <w:t>Bhats</w:t>
      </w:r>
      <w:proofErr w:type="spellEnd"/>
      <w:r>
        <w:rPr>
          <w:rFonts w:ascii="Times New Roman" w:eastAsia="Times New Roman" w:hAnsi="Times New Roman" w:cs="Times New Roman"/>
          <w:sz w:val="24"/>
          <w:szCs w:val="24"/>
        </w:rPr>
        <w:t xml:space="preserve"> of Rajasthan has aptly preserved Mewar's history. Famous for their poems, ballads, and genealogies of Rajput kings, i.e. Vir Vinod, and the numerous regional ballads, help us to appreciate the political ideals and practices of a kingdom. Bardic literature is critical to the analysis of Mewar's history because it documents and records the exaggerations, as well as the political and cultural history of Mewar (Ojha, 1999). </w:t>
      </w:r>
    </w:p>
    <w:p w14:paraId="37FB998F" w14:textId="77777777" w:rsidR="00510C54" w:rsidRDefault="00510C54">
      <w:pPr>
        <w:spacing w:before="200" w:after="200" w:line="360" w:lineRule="auto"/>
        <w:jc w:val="both"/>
        <w:rPr>
          <w:rFonts w:ascii="Times New Roman" w:eastAsia="Times New Roman" w:hAnsi="Times New Roman" w:cs="Times New Roman"/>
          <w:sz w:val="24"/>
          <w:szCs w:val="24"/>
        </w:rPr>
      </w:pPr>
    </w:p>
    <w:p w14:paraId="4A3EE6C1"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Persian Chronicles </w:t>
      </w:r>
    </w:p>
    <w:p w14:paraId="6A2751DA"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formal history of Mewar cannot be qualified without the Persian historians chronicling the Mughals. One of the more prominent chroniclers, Abul Fazl, composing the </w:t>
      </w:r>
      <w:proofErr w:type="spellStart"/>
      <w:r>
        <w:rPr>
          <w:rFonts w:ascii="Times New Roman" w:eastAsia="Times New Roman" w:hAnsi="Times New Roman" w:cs="Times New Roman"/>
          <w:sz w:val="24"/>
          <w:szCs w:val="24"/>
        </w:rPr>
        <w:t>Akbarnama</w:t>
      </w:r>
      <w:proofErr w:type="spellEnd"/>
      <w:r>
        <w:rPr>
          <w:rFonts w:ascii="Times New Roman" w:eastAsia="Times New Roman" w:hAnsi="Times New Roman" w:cs="Times New Roman"/>
          <w:sz w:val="24"/>
          <w:szCs w:val="24"/>
        </w:rPr>
        <w:t xml:space="preserve">, provides us with a description of the Mughals and the Rajput state. The reign of Akbar with respect to Mewar and the reign of Maharana Pratap is well documented in Persian Literature, especially during the Mughal and Mewar. Here we have references to the many advancements undertaken, as well as the military campaigns and diplomatic efforts of the time (Thelen, 2023). </w:t>
      </w:r>
    </w:p>
    <w:p w14:paraId="017C0CF0" w14:textId="77777777" w:rsidR="00510C54" w:rsidRDefault="00510C54">
      <w:pPr>
        <w:spacing w:before="200" w:after="200" w:line="360" w:lineRule="auto"/>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84"/>
        <w:gridCol w:w="2414"/>
        <w:gridCol w:w="2772"/>
        <w:gridCol w:w="2670"/>
      </w:tblGrid>
      <w:tr w:rsidR="00510C54" w14:paraId="349964E7" w14:textId="77777777">
        <w:trPr>
          <w:trHeight w:val="1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90684" w14:textId="77777777" w:rsidR="00510C54" w:rsidRDefault="00433923">
            <w:pPr>
              <w:pStyle w:val="NormalWeb"/>
              <w:spacing w:before="200" w:beforeAutospacing="0" w:after="200" w:afterAutospacing="0" w:line="360" w:lineRule="auto"/>
              <w:jc w:val="both"/>
            </w:pPr>
            <w:r>
              <w:rPr>
                <w:rFonts w:cs="Times New Roman"/>
                <w:b/>
                <w:bCs/>
                <w:color w:val="000000"/>
              </w:rPr>
              <w:t>Historical Source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BB9B0" w14:textId="77777777" w:rsidR="00510C54" w:rsidRDefault="00433923">
            <w:pPr>
              <w:pStyle w:val="NormalWeb"/>
              <w:spacing w:before="200" w:beforeAutospacing="0" w:after="200" w:afterAutospacing="0" w:line="360" w:lineRule="auto"/>
              <w:jc w:val="both"/>
            </w:pPr>
            <w:r>
              <w:rPr>
                <w:rFonts w:cs="Times New Roman"/>
                <w:b/>
                <w:bCs/>
                <w:color w:val="000000"/>
              </w:rPr>
              <w:t>Nature of Source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F8212" w14:textId="77777777" w:rsidR="00510C54" w:rsidRDefault="00433923">
            <w:pPr>
              <w:pStyle w:val="NormalWeb"/>
              <w:spacing w:before="200" w:beforeAutospacing="0" w:after="200" w:afterAutospacing="0" w:line="360" w:lineRule="auto"/>
              <w:jc w:val="both"/>
            </w:pPr>
            <w:r>
              <w:rPr>
                <w:rFonts w:cs="Times New Roman"/>
                <w:b/>
                <w:bCs/>
                <w:color w:val="000000"/>
              </w:rPr>
              <w:t>Information Provided About Mewar Administration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DC8B4" w14:textId="77777777" w:rsidR="00510C54" w:rsidRDefault="00433923">
            <w:pPr>
              <w:pStyle w:val="NormalWeb"/>
              <w:spacing w:before="200" w:beforeAutospacing="0" w:after="200" w:afterAutospacing="0" w:line="360" w:lineRule="auto"/>
              <w:jc w:val="both"/>
            </w:pPr>
            <w:r>
              <w:rPr>
                <w:rFonts w:cs="Times New Roman"/>
                <w:b/>
                <w:bCs/>
                <w:color w:val="000000"/>
              </w:rPr>
              <w:t>Historical Importance</w:t>
            </w:r>
          </w:p>
        </w:tc>
      </w:tr>
      <w:tr w:rsidR="00510C54" w14:paraId="2A48E666" w14:textId="77777777">
        <w:trPr>
          <w:trHeight w:val="1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0BEA4" w14:textId="77777777" w:rsidR="00510C54" w:rsidRDefault="00433923">
            <w:pPr>
              <w:pStyle w:val="NormalWeb"/>
              <w:spacing w:before="200" w:beforeAutospacing="0" w:after="200" w:afterAutospacing="0" w:line="360" w:lineRule="auto"/>
              <w:jc w:val="both"/>
            </w:pPr>
            <w:r>
              <w:rPr>
                <w:rFonts w:cs="Times New Roman"/>
                <w:color w:val="000000"/>
              </w:rPr>
              <w:t>Inscriptions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E99C8" w14:textId="77777777" w:rsidR="00510C54" w:rsidRDefault="00433923">
            <w:pPr>
              <w:pStyle w:val="NormalWeb"/>
              <w:spacing w:before="200" w:beforeAutospacing="0" w:after="200" w:afterAutospacing="0" w:line="360" w:lineRule="auto"/>
              <w:jc w:val="both"/>
            </w:pPr>
            <w:r>
              <w:rPr>
                <w:rFonts w:cs="Times New Roman"/>
                <w:color w:val="000000"/>
              </w:rPr>
              <w:t>Stone and copper plate records issued by rulers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E5F67" w14:textId="77777777" w:rsidR="00510C54" w:rsidRDefault="00433923">
            <w:pPr>
              <w:pStyle w:val="NormalWeb"/>
              <w:spacing w:before="200" w:beforeAutospacing="0" w:after="200" w:afterAutospacing="0" w:line="360" w:lineRule="auto"/>
              <w:jc w:val="both"/>
            </w:pPr>
            <w:r>
              <w:rPr>
                <w:rFonts w:cs="Times New Roman"/>
                <w:color w:val="000000"/>
              </w:rPr>
              <w:t>Details regarding land grants, taxation, military victories, and construction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ED2C7" w14:textId="77777777" w:rsidR="00510C54" w:rsidRDefault="00433923">
            <w:pPr>
              <w:pStyle w:val="NormalWeb"/>
              <w:spacing w:before="200" w:beforeAutospacing="0" w:after="200" w:afterAutospacing="0" w:line="360" w:lineRule="auto"/>
              <w:jc w:val="both"/>
            </w:pPr>
            <w:r>
              <w:rPr>
                <w:rFonts w:cs="Times New Roman"/>
                <w:color w:val="000000"/>
              </w:rPr>
              <w:t>Considered reliable primary evidence for reconstructing political and administrative history</w:t>
            </w:r>
          </w:p>
        </w:tc>
      </w:tr>
      <w:tr w:rsidR="00510C54" w14:paraId="20E1E835" w14:textId="77777777">
        <w:trPr>
          <w:trHeight w:val="1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BA32E" w14:textId="77777777" w:rsidR="00510C54" w:rsidRDefault="00433923">
            <w:pPr>
              <w:pStyle w:val="NormalWeb"/>
              <w:spacing w:before="200" w:beforeAutospacing="0" w:after="200" w:afterAutospacing="0" w:line="360" w:lineRule="auto"/>
              <w:jc w:val="both"/>
            </w:pPr>
            <w:r>
              <w:rPr>
                <w:rFonts w:cs="Times New Roman"/>
                <w:color w:val="000000"/>
              </w:rPr>
              <w:lastRenderedPageBreak/>
              <w:t>Bardic Literature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00A88" w14:textId="77777777" w:rsidR="00510C54" w:rsidRDefault="00433923">
            <w:pPr>
              <w:pStyle w:val="NormalWeb"/>
              <w:spacing w:before="200" w:beforeAutospacing="0" w:after="200" w:afterAutospacing="0" w:line="360" w:lineRule="auto"/>
              <w:jc w:val="both"/>
            </w:pPr>
            <w:r>
              <w:rPr>
                <w:rFonts w:cs="Times New Roman"/>
                <w:color w:val="000000"/>
              </w:rPr>
              <w:t xml:space="preserve">Poems, ballads, and genealogies composed by Charans and </w:t>
            </w:r>
            <w:proofErr w:type="spellStart"/>
            <w:r>
              <w:rPr>
                <w:rFonts w:cs="Times New Roman"/>
                <w:color w:val="000000"/>
              </w:rPr>
              <w:t>Bhats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0CFAE" w14:textId="77777777" w:rsidR="00510C54" w:rsidRDefault="00433923">
            <w:pPr>
              <w:pStyle w:val="NormalWeb"/>
              <w:spacing w:before="200" w:beforeAutospacing="0" w:after="200" w:afterAutospacing="0" w:line="360" w:lineRule="auto"/>
              <w:jc w:val="both"/>
            </w:pPr>
            <w:r>
              <w:rPr>
                <w:rFonts w:cs="Times New Roman"/>
                <w:color w:val="000000"/>
              </w:rPr>
              <w:t>Descriptions of Rajput ideals, heroic rulers, feudal relations, and governance traditions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C42F8" w14:textId="77777777" w:rsidR="00510C54" w:rsidRDefault="00433923">
            <w:pPr>
              <w:pStyle w:val="NormalWeb"/>
              <w:spacing w:before="200" w:beforeAutospacing="0" w:after="200" w:afterAutospacing="0" w:line="360" w:lineRule="auto"/>
              <w:jc w:val="both"/>
            </w:pPr>
            <w:r>
              <w:rPr>
                <w:rFonts w:cs="Times New Roman"/>
                <w:color w:val="000000"/>
              </w:rPr>
              <w:t>Preserved cultural memory and political traditions of Mewar</w:t>
            </w:r>
          </w:p>
        </w:tc>
      </w:tr>
      <w:tr w:rsidR="00510C54" w14:paraId="08A9C467" w14:textId="77777777">
        <w:trPr>
          <w:trHeight w:val="1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5F101" w14:textId="77777777" w:rsidR="00510C54" w:rsidRDefault="00433923">
            <w:pPr>
              <w:pStyle w:val="NormalWeb"/>
              <w:spacing w:before="200" w:beforeAutospacing="0" w:after="200" w:afterAutospacing="0" w:line="360" w:lineRule="auto"/>
              <w:jc w:val="both"/>
            </w:pPr>
            <w:r>
              <w:rPr>
                <w:rFonts w:cs="Times New Roman"/>
                <w:color w:val="000000"/>
              </w:rPr>
              <w:t>Persian Chronicles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B6C3C" w14:textId="77777777" w:rsidR="00510C54" w:rsidRDefault="00433923">
            <w:pPr>
              <w:pStyle w:val="NormalWeb"/>
              <w:spacing w:before="200" w:beforeAutospacing="0" w:after="200" w:afterAutospacing="0" w:line="360" w:lineRule="auto"/>
              <w:jc w:val="both"/>
            </w:pPr>
            <w:r>
              <w:rPr>
                <w:rFonts w:cs="Times New Roman"/>
                <w:color w:val="000000"/>
              </w:rPr>
              <w:t>Court histories written during the Mughal period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40E77" w14:textId="77777777" w:rsidR="00510C54" w:rsidRDefault="00433923">
            <w:pPr>
              <w:pStyle w:val="NormalWeb"/>
              <w:spacing w:before="200" w:beforeAutospacing="0" w:after="200" w:afterAutospacing="0" w:line="360" w:lineRule="auto"/>
              <w:jc w:val="both"/>
            </w:pPr>
            <w:r>
              <w:rPr>
                <w:rFonts w:cs="Times New Roman"/>
                <w:color w:val="000000"/>
              </w:rPr>
              <w:t>Information about diplomatic relations, wars, and administrative practices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BCED0" w14:textId="77777777" w:rsidR="00510C54" w:rsidRDefault="00433923">
            <w:pPr>
              <w:pStyle w:val="NormalWeb"/>
              <w:spacing w:before="200" w:beforeAutospacing="0" w:after="200" w:afterAutospacing="0" w:line="360" w:lineRule="auto"/>
              <w:jc w:val="both"/>
            </w:pPr>
            <w:r>
              <w:rPr>
                <w:rFonts w:cs="Times New Roman"/>
                <w:color w:val="000000"/>
              </w:rPr>
              <w:t>Helped compare Mughal and Rajput systems of governance</w:t>
            </w:r>
          </w:p>
        </w:tc>
      </w:tr>
      <w:tr w:rsidR="00510C54" w14:paraId="0580D2B2" w14:textId="77777777">
        <w:trPr>
          <w:trHeight w:val="1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057CB" w14:textId="77777777" w:rsidR="00510C54" w:rsidRDefault="00433923">
            <w:pPr>
              <w:pStyle w:val="NormalWeb"/>
              <w:spacing w:before="200" w:beforeAutospacing="0" w:after="200" w:afterAutospacing="0" w:line="360" w:lineRule="auto"/>
              <w:jc w:val="both"/>
            </w:pPr>
            <w:r>
              <w:rPr>
                <w:rFonts w:cs="Times New Roman"/>
                <w:color w:val="000000"/>
              </w:rPr>
              <w:t>Temple Records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4EAD1" w14:textId="77777777" w:rsidR="00510C54" w:rsidRDefault="00433923">
            <w:pPr>
              <w:pStyle w:val="NormalWeb"/>
              <w:spacing w:before="200" w:beforeAutospacing="0" w:after="200" w:afterAutospacing="0" w:line="360" w:lineRule="auto"/>
              <w:jc w:val="both"/>
            </w:pPr>
            <w:r>
              <w:rPr>
                <w:rFonts w:cs="Times New Roman"/>
                <w:color w:val="000000"/>
              </w:rPr>
              <w:t>Documents maintained by temples and religious institutions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10A8C" w14:textId="77777777" w:rsidR="00510C54" w:rsidRDefault="00433923">
            <w:pPr>
              <w:pStyle w:val="NormalWeb"/>
              <w:spacing w:before="200" w:beforeAutospacing="0" w:after="200" w:afterAutospacing="0" w:line="360" w:lineRule="auto"/>
              <w:jc w:val="both"/>
            </w:pPr>
            <w:r>
              <w:rPr>
                <w:rFonts w:cs="Times New Roman"/>
                <w:color w:val="000000"/>
              </w:rPr>
              <w:t>Records of donations, revenue assignments, and local administration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E86A8" w14:textId="77777777" w:rsidR="00510C54" w:rsidRDefault="00433923">
            <w:pPr>
              <w:pStyle w:val="NormalWeb"/>
              <w:spacing w:before="200" w:beforeAutospacing="0" w:after="200" w:afterAutospacing="0" w:line="360" w:lineRule="auto"/>
              <w:jc w:val="both"/>
            </w:pPr>
            <w:r>
              <w:rPr>
                <w:rFonts w:cs="Times New Roman"/>
                <w:color w:val="000000"/>
              </w:rPr>
              <w:t>Show the relationship between religion and political authority</w:t>
            </w:r>
          </w:p>
        </w:tc>
      </w:tr>
      <w:tr w:rsidR="00510C54" w14:paraId="1E88E776" w14:textId="77777777">
        <w:trPr>
          <w:trHeight w:val="1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FAD4A" w14:textId="77777777" w:rsidR="00510C54" w:rsidRDefault="00433923">
            <w:pPr>
              <w:pStyle w:val="NormalWeb"/>
              <w:spacing w:before="200" w:beforeAutospacing="0" w:after="200" w:afterAutospacing="0" w:line="360" w:lineRule="auto"/>
              <w:jc w:val="both"/>
            </w:pPr>
            <w:proofErr w:type="spellStart"/>
            <w:r>
              <w:rPr>
                <w:rFonts w:cs="Times New Roman"/>
                <w:color w:val="000000"/>
              </w:rPr>
              <w:t>Traveller</w:t>
            </w:r>
            <w:proofErr w:type="spellEnd"/>
            <w:r>
              <w:rPr>
                <w:rFonts w:cs="Times New Roman"/>
                <w:color w:val="000000"/>
              </w:rPr>
              <w:t xml:space="preserve"> Accounts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7B351" w14:textId="77777777" w:rsidR="00510C54" w:rsidRDefault="00433923">
            <w:pPr>
              <w:pStyle w:val="NormalWeb"/>
              <w:spacing w:before="200" w:beforeAutospacing="0" w:after="200" w:afterAutospacing="0" w:line="360" w:lineRule="auto"/>
              <w:jc w:val="both"/>
            </w:pPr>
            <w:r>
              <w:rPr>
                <w:rFonts w:cs="Times New Roman"/>
                <w:color w:val="000000"/>
              </w:rPr>
              <w:t xml:space="preserve">Observations written by foreign </w:t>
            </w:r>
            <w:proofErr w:type="spellStart"/>
            <w:r>
              <w:rPr>
                <w:rFonts w:cs="Times New Roman"/>
                <w:color w:val="000000"/>
              </w:rPr>
              <w:t>travellers</w:t>
            </w:r>
            <w:proofErr w:type="spellEnd"/>
            <w:r>
              <w:rPr>
                <w:rFonts w:cs="Times New Roman"/>
                <w:color w:val="000000"/>
              </w:rPr>
              <w:t xml:space="preserve"> and colonial writers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7168D" w14:textId="77777777" w:rsidR="00510C54" w:rsidRDefault="00433923">
            <w:pPr>
              <w:pStyle w:val="NormalWeb"/>
              <w:spacing w:before="200" w:beforeAutospacing="0" w:after="200" w:afterAutospacing="0" w:line="360" w:lineRule="auto"/>
              <w:jc w:val="both"/>
            </w:pPr>
            <w:r>
              <w:rPr>
                <w:rFonts w:cs="Times New Roman"/>
                <w:color w:val="000000"/>
              </w:rPr>
              <w:t>Accounts of social life, military organization, trade, and administration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8D6E5" w14:textId="77777777" w:rsidR="00510C54" w:rsidRDefault="00433923">
            <w:pPr>
              <w:pStyle w:val="NormalWeb"/>
              <w:spacing w:before="200" w:beforeAutospacing="0" w:after="200" w:afterAutospacing="0" w:line="360" w:lineRule="auto"/>
              <w:jc w:val="both"/>
            </w:pPr>
            <w:r>
              <w:rPr>
                <w:rFonts w:cs="Times New Roman"/>
                <w:color w:val="000000"/>
              </w:rPr>
              <w:t>Provide external perspectives on the functioning of Mewar</w:t>
            </w:r>
          </w:p>
        </w:tc>
      </w:tr>
      <w:tr w:rsidR="00510C54" w14:paraId="284A1461" w14:textId="77777777">
        <w:trPr>
          <w:trHeight w:val="1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44C4C" w14:textId="77777777" w:rsidR="00510C54" w:rsidRDefault="00433923">
            <w:pPr>
              <w:pStyle w:val="NormalWeb"/>
              <w:spacing w:before="200" w:beforeAutospacing="0" w:after="200" w:afterAutospacing="0" w:line="360" w:lineRule="auto"/>
              <w:jc w:val="both"/>
            </w:pPr>
            <w:r>
              <w:rPr>
                <w:rFonts w:cs="Times New Roman"/>
                <w:color w:val="000000"/>
              </w:rPr>
              <w:t>Royal Manuscripts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FBC73" w14:textId="77777777" w:rsidR="00510C54" w:rsidRDefault="00433923">
            <w:pPr>
              <w:pStyle w:val="NormalWeb"/>
              <w:spacing w:before="200" w:beforeAutospacing="0" w:after="200" w:afterAutospacing="0" w:line="360" w:lineRule="auto"/>
              <w:jc w:val="both"/>
            </w:pPr>
            <w:r>
              <w:rPr>
                <w:rFonts w:cs="Times New Roman"/>
                <w:color w:val="000000"/>
              </w:rPr>
              <w:t>Official records and state correspondence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D7480" w14:textId="77777777" w:rsidR="00510C54" w:rsidRDefault="00433923">
            <w:pPr>
              <w:pStyle w:val="NormalWeb"/>
              <w:spacing w:before="200" w:beforeAutospacing="0" w:after="200" w:afterAutospacing="0" w:line="360" w:lineRule="auto"/>
              <w:jc w:val="both"/>
            </w:pPr>
            <w:r>
              <w:rPr>
                <w:rFonts w:cs="Times New Roman"/>
                <w:color w:val="000000"/>
              </w:rPr>
              <w:t>Administrative orders, succession details, and governance mechanisms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B1B7A" w14:textId="77777777" w:rsidR="00510C54" w:rsidRDefault="00433923">
            <w:pPr>
              <w:pStyle w:val="NormalWeb"/>
              <w:spacing w:before="200" w:beforeAutospacing="0" w:after="200" w:afterAutospacing="0" w:line="360" w:lineRule="auto"/>
              <w:jc w:val="both"/>
            </w:pPr>
            <w:r>
              <w:rPr>
                <w:rFonts w:cs="Times New Roman"/>
                <w:color w:val="000000"/>
              </w:rPr>
              <w:t>Useful for understanding institutional functioning and royal policies</w:t>
            </w:r>
          </w:p>
        </w:tc>
      </w:tr>
    </w:tbl>
    <w:p w14:paraId="3CFC86DC" w14:textId="77777777" w:rsidR="00510C54" w:rsidRDefault="00510C54">
      <w:pPr>
        <w:spacing w:before="200" w:after="200" w:line="360" w:lineRule="auto"/>
        <w:jc w:val="both"/>
        <w:rPr>
          <w:rFonts w:ascii="Times New Roman" w:eastAsia="Times New Roman" w:hAnsi="Times New Roman" w:cs="Times New Roman"/>
          <w:sz w:val="24"/>
          <w:szCs w:val="24"/>
        </w:rPr>
      </w:pPr>
    </w:p>
    <w:p w14:paraId="3ECE738C"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REVENUE ADMINISTRATION </w:t>
      </w:r>
    </w:p>
    <w:p w14:paraId="1133A298"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Revenue administration underpinned the Mewar state. Agriculture was the principal means of livelihood, and land revenue was the principal source of palace revenue. The government collected taxes from the agrarian population based on land’s productivity. Revenue was usually collected as </w:t>
      </w:r>
      <w:r>
        <w:rPr>
          <w:rFonts w:ascii="Times New Roman" w:eastAsia="Times New Roman" w:hAnsi="Times New Roman" w:cs="Times New Roman"/>
          <w:sz w:val="24"/>
          <w:szCs w:val="24"/>
        </w:rPr>
        <w:lastRenderedPageBreak/>
        <w:t>an annual share of the produce. Village-level personnel were paramount in the determination of land and revenue. The Patwari was the master of land and agricultural records, as village headmen commonly assisted revenue collection (</w:t>
      </w:r>
      <w:proofErr w:type="spellStart"/>
      <w:r>
        <w:rPr>
          <w:rFonts w:ascii="Times New Roman" w:eastAsia="Times New Roman" w:hAnsi="Times New Roman" w:cs="Times New Roman"/>
          <w:sz w:val="24"/>
          <w:szCs w:val="24"/>
        </w:rPr>
        <w:t>Shyamaldas</w:t>
      </w:r>
      <w:proofErr w:type="spellEnd"/>
      <w:r>
        <w:rPr>
          <w:rFonts w:ascii="Times New Roman" w:eastAsia="Times New Roman" w:hAnsi="Times New Roman" w:cs="Times New Roman"/>
          <w:sz w:val="24"/>
          <w:szCs w:val="24"/>
        </w:rPr>
        <w:t xml:space="preserve">, 1886). </w:t>
      </w:r>
    </w:p>
    <w:p w14:paraId="04F167CE"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Mewar rulers were considerate of the farmers’ plight in revenue. Tax relief was perhaps granted in times of famine and other kinds of disasters. Under the Jagir system, a sizable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lands was bestowed on the nobles and military officers. Jagirdars were obliged to the state to perform military services. Mewar’s Jagir system was a means of maintaining its military, but it also played a role in the shaping of Mewar’s feudalism.</w:t>
      </w:r>
    </w:p>
    <w:p w14:paraId="3C28015C"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Along with the agrarian wealth, the state levied taxes on commerce, trade, and even means of transportation. Mewar’s position was favorable for trade with the other states of Gujarat, Malwa, and North India. The revenue from commerce was directed to finance the military and other construction works (infrastructure) of the state (Tod, 1920). </w:t>
      </w:r>
    </w:p>
    <w:p w14:paraId="65C8F0C0" w14:textId="77777777" w:rsidR="00510C54" w:rsidRDefault="00510C54">
      <w:pPr>
        <w:spacing w:before="200" w:after="200" w:line="360" w:lineRule="auto"/>
        <w:jc w:val="both"/>
        <w:rPr>
          <w:rFonts w:ascii="Times New Roman" w:eastAsia="Times New Roman" w:hAnsi="Times New Roman" w:cs="Times New Roman"/>
          <w:sz w:val="24"/>
          <w:szCs w:val="24"/>
        </w:rPr>
      </w:pPr>
    </w:p>
    <w:p w14:paraId="68C8D6C8" w14:textId="77777777" w:rsidR="00510C54" w:rsidRDefault="00433923">
      <w:pPr>
        <w:spacing w:before="200"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MEWAR’S ADMINISTRATIVE SYSTEM - AN OVERVIEW </w:t>
      </w:r>
    </w:p>
    <w:p w14:paraId="7BE4991C"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 of Mewar, thanks to its administrative system, achieved both political stability and cultural advancement. Mewar’s kingdom maintained its military and territorial ability due to its decentralized feudal system. This system also empowered community participation in administration by encouraging local governance. Additionally, the separation of religious and political power created a sense of unity (</w:t>
      </w:r>
      <w:proofErr w:type="spellStart"/>
      <w:r>
        <w:rPr>
          <w:rFonts w:ascii="Times New Roman" w:eastAsia="Times New Roman" w:hAnsi="Times New Roman" w:cs="Times New Roman"/>
          <w:sz w:val="24"/>
          <w:szCs w:val="24"/>
        </w:rPr>
        <w:t>Vashishtha</w:t>
      </w:r>
      <w:proofErr w:type="spellEnd"/>
      <w:r>
        <w:rPr>
          <w:rFonts w:ascii="Times New Roman" w:eastAsia="Times New Roman" w:hAnsi="Times New Roman" w:cs="Times New Roman"/>
          <w:sz w:val="24"/>
          <w:szCs w:val="24"/>
        </w:rPr>
        <w:t xml:space="preserve">, 2022). </w:t>
      </w:r>
    </w:p>
    <w:p w14:paraId="0BD2BAF1"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Mewar’s Mewar rulers promoted the art, architecture, and literature of the region. The splendor of the palaces, forts, and temples constructed during this time continue to highlight the rich cultural legacy of Rajasthan. The Rajput states in the surrounding areas of Rajasthan were influenced by Mewar’s administration, and it became a part of the political traditions in the region (Chandra, 2007). </w:t>
      </w:r>
    </w:p>
    <w:p w14:paraId="2E5A5517" w14:textId="77777777" w:rsidR="00510C54" w:rsidRDefault="00510C54">
      <w:pPr>
        <w:spacing w:before="200" w:after="200" w:line="360" w:lineRule="auto"/>
        <w:jc w:val="both"/>
        <w:rPr>
          <w:rFonts w:ascii="Times New Roman" w:eastAsia="Times New Roman" w:hAnsi="Times New Roman" w:cs="Times New Roman"/>
          <w:sz w:val="24"/>
          <w:szCs w:val="24"/>
        </w:rPr>
      </w:pPr>
    </w:p>
    <w:tbl>
      <w:tblPr>
        <w:tblStyle w:val="Style10"/>
        <w:tblW w:w="93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39"/>
        <w:gridCol w:w="4490"/>
        <w:gridCol w:w="2830"/>
      </w:tblGrid>
      <w:tr w:rsidR="00510C54" w14:paraId="117A7DC8" w14:textId="77777777">
        <w:trPr>
          <w:trHeight w:val="77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F2D45" w14:textId="77777777" w:rsidR="00510C54" w:rsidRDefault="00433923">
            <w:pPr>
              <w:spacing w:before="200"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Administrative Aspect</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888B5" w14:textId="77777777" w:rsidR="00510C54" w:rsidRDefault="00433923">
            <w:pPr>
              <w:spacing w:before="200"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Description</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15D05" w14:textId="77777777" w:rsidR="00510C54" w:rsidRDefault="00433923">
            <w:pPr>
              <w:spacing w:before="200"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Important Officials/Institutions</w:t>
            </w:r>
          </w:p>
        </w:tc>
      </w:tr>
      <w:tr w:rsidR="00510C54" w14:paraId="6B60FD6E" w14:textId="77777777">
        <w:trPr>
          <w:trHeight w:val="104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829E4"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 Administration</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BC733"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Maharana acted as the supreme authority responsible for governance, military affairs, and justice.</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5D249"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Maharana</w:t>
            </w:r>
          </w:p>
        </w:tc>
      </w:tr>
      <w:tr w:rsidR="00510C54" w14:paraId="470599F9" w14:textId="77777777">
        <w:trPr>
          <w:trHeight w:val="77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746AC"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Council of Ministers</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EE290"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Assisted the ruler in policy formulation and administration.</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6A35A"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Diwan, Bakshi, Purohit</w:t>
            </w:r>
          </w:p>
        </w:tc>
      </w:tr>
      <w:tr w:rsidR="00510C54" w14:paraId="7506F213" w14:textId="77777777">
        <w:trPr>
          <w:trHeight w:val="77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0BD0C"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Feudal Administration</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5C28"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nobles governed territories and provided military assistance.</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972D4"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Jagirdars, </w:t>
            </w:r>
            <w:proofErr w:type="spellStart"/>
            <w:r>
              <w:rPr>
                <w:rFonts w:ascii="Times New Roman" w:eastAsia="Times New Roman" w:hAnsi="Times New Roman" w:cs="Times New Roman"/>
                <w:sz w:val="24"/>
                <w:szCs w:val="24"/>
              </w:rPr>
              <w:t>Thikanedars</w:t>
            </w:r>
            <w:proofErr w:type="spellEnd"/>
          </w:p>
        </w:tc>
      </w:tr>
      <w:tr w:rsidR="00510C54" w14:paraId="0E0FBA1A" w14:textId="77777777">
        <w:trPr>
          <w:trHeight w:val="77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1B28C"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Revenue Administration</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B7136"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revenue formed the major source of state income (Sarkar, 1960). </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301FA"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Patwari, Village Headman</w:t>
            </w:r>
          </w:p>
        </w:tc>
      </w:tr>
      <w:tr w:rsidR="00510C54" w14:paraId="17EBBBED" w14:textId="77777777">
        <w:trPr>
          <w:trHeight w:val="77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3289A"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Judicial Administration</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9556A"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Justice was administered according to customary and Hindu legal principles.</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EA990"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Panchayats, Maharana</w:t>
            </w:r>
          </w:p>
        </w:tc>
      </w:tr>
      <w:tr w:rsidR="00510C54" w14:paraId="236B964D" w14:textId="77777777">
        <w:trPr>
          <w:trHeight w:val="77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538EE"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Military Organization</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5E763"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 military structure based on Rajput warrior traditions.</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AB481"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Cavalry, Infantry, Fort Commanders</w:t>
            </w:r>
          </w:p>
        </w:tc>
      </w:tr>
      <w:tr w:rsidR="00510C54" w14:paraId="21D8C13C" w14:textId="77777777">
        <w:trPr>
          <w:trHeight w:val="77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1CEDA"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Trade and Commerce</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97AF4"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taxes were imposed on markets and trade routes.</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EC2ED"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Market Officials</w:t>
            </w:r>
          </w:p>
        </w:tc>
      </w:tr>
      <w:tr w:rsidR="00510C54" w14:paraId="1EDF40D5" w14:textId="77777777">
        <w:trPr>
          <w:trHeight w:val="77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9EB0C"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Religious Institutions</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AF371"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Temples functioned as socio-economic and cultural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A05DA"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Priests, Temple Authorities</w:t>
            </w:r>
          </w:p>
        </w:tc>
      </w:tr>
      <w:tr w:rsidR="00510C54" w14:paraId="7A1ED56F" w14:textId="77777777">
        <w:trPr>
          <w:trHeight w:val="770"/>
        </w:trPr>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6ED8A"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 Sources</w:t>
            </w:r>
          </w:p>
        </w:tc>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3AFE1"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regarding administration derived from inscriptions and chronicles (</w:t>
            </w:r>
            <w:proofErr w:type="spellStart"/>
            <w:r>
              <w:rPr>
                <w:rFonts w:ascii="Times New Roman" w:eastAsia="Times New Roman" w:hAnsi="Times New Roman" w:cs="Times New Roman"/>
                <w:sz w:val="24"/>
                <w:szCs w:val="24"/>
              </w:rPr>
              <w:t>Dashora</w:t>
            </w:r>
            <w:proofErr w:type="spellEnd"/>
            <w:r>
              <w:rPr>
                <w:rFonts w:ascii="Times New Roman" w:eastAsia="Times New Roman" w:hAnsi="Times New Roman" w:cs="Times New Roman"/>
                <w:sz w:val="24"/>
                <w:szCs w:val="24"/>
              </w:rPr>
              <w:t xml:space="preserve">, 1987). </w:t>
            </w:r>
          </w:p>
        </w:tc>
        <w:tc>
          <w:tcPr>
            <w:tcW w:w="2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F488C"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Bardic Literature, Persian Chronicles</w:t>
            </w:r>
          </w:p>
        </w:tc>
      </w:tr>
    </w:tbl>
    <w:p w14:paraId="0BEEF478" w14:textId="77777777" w:rsidR="00510C54" w:rsidRDefault="00510C54">
      <w:pPr>
        <w:spacing w:before="200" w:after="200" w:line="360" w:lineRule="auto"/>
        <w:jc w:val="both"/>
        <w:rPr>
          <w:rFonts w:ascii="Times New Roman" w:eastAsia="Times New Roman" w:hAnsi="Times New Roman" w:cs="Times New Roman"/>
          <w:sz w:val="24"/>
          <w:szCs w:val="24"/>
        </w:rPr>
      </w:pPr>
    </w:p>
    <w:p w14:paraId="69255DDB" w14:textId="77777777" w:rsidR="00510C54" w:rsidRDefault="00433923">
      <w:pPr>
        <w:spacing w:before="200"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 </w:t>
      </w:r>
    </w:p>
    <w:p w14:paraId="598E9896"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basis of modern administrative systems in Rajasthan can be traced to the medieval administrative settlements in Mewar. The Sisodia dynasty in Mewar invented a system of governance that deftly balanced military power and feudal organization along with judicial and economic administration. Mewar’s identity and independence were protected despite the challenges of severe military invasions. </w:t>
      </w:r>
    </w:p>
    <w:p w14:paraId="4E80A043"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Mewar’s Inscriptions, bardic literature, Persian chronicles, temple records, and the accounts of foreign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offer the scholars of history and of Mewar’s history a glimpse of the reality of Mewar’s state. The political structures, social organization, and diverse cultural phenomena of the intricate communities within Mewar can be described and analyzed using it.</w:t>
      </w:r>
    </w:p>
    <w:p w14:paraId="37910827" w14:textId="77777777" w:rsidR="00510C54" w:rsidRDefault="00433923">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history of Mewar typifies both the sophistication and adaptation of the governance systems in place across the many regional kingdoms of India. The administration of Mewar occupies a keen and valuable place in the political and cultural narratives of Rajasthan.</w:t>
      </w:r>
    </w:p>
    <w:p w14:paraId="51F28387" w14:textId="77777777" w:rsidR="00510C54" w:rsidRDefault="00510C54">
      <w:pPr>
        <w:spacing w:before="200" w:after="200" w:line="360" w:lineRule="auto"/>
        <w:jc w:val="both"/>
        <w:rPr>
          <w:rFonts w:ascii="Times New Roman" w:eastAsia="Times New Roman" w:hAnsi="Times New Roman" w:cs="Times New Roman"/>
          <w:sz w:val="24"/>
          <w:szCs w:val="24"/>
        </w:rPr>
      </w:pPr>
    </w:p>
    <w:p w14:paraId="5FACB732" w14:textId="77777777" w:rsidR="00510C54" w:rsidRDefault="00510C54">
      <w:pPr>
        <w:spacing w:before="200" w:after="200" w:line="360" w:lineRule="auto"/>
        <w:jc w:val="both"/>
        <w:rPr>
          <w:rFonts w:ascii="Times New Roman" w:eastAsia="Times New Roman" w:hAnsi="Times New Roman" w:cs="Times New Roman"/>
          <w:sz w:val="24"/>
          <w:szCs w:val="24"/>
        </w:rPr>
      </w:pPr>
    </w:p>
    <w:p w14:paraId="7FFCDB3E" w14:textId="77777777" w:rsidR="00510C54" w:rsidRDefault="00510C54">
      <w:pPr>
        <w:spacing w:before="200" w:after="200" w:line="360" w:lineRule="auto"/>
        <w:jc w:val="both"/>
        <w:rPr>
          <w:rFonts w:ascii="Times New Roman" w:eastAsia="Times New Roman" w:hAnsi="Times New Roman" w:cs="Times New Roman"/>
          <w:sz w:val="24"/>
          <w:szCs w:val="24"/>
        </w:rPr>
      </w:pPr>
    </w:p>
    <w:p w14:paraId="2273D0D0" w14:textId="77777777" w:rsidR="00510C54" w:rsidRDefault="00510C54">
      <w:pPr>
        <w:spacing w:before="200" w:after="200" w:line="360" w:lineRule="auto"/>
        <w:jc w:val="both"/>
        <w:rPr>
          <w:rFonts w:ascii="Times New Roman" w:eastAsia="Times New Roman" w:hAnsi="Times New Roman" w:cs="Times New Roman"/>
          <w:sz w:val="24"/>
          <w:szCs w:val="24"/>
        </w:rPr>
      </w:pPr>
    </w:p>
    <w:p w14:paraId="501E75A2" w14:textId="77777777" w:rsidR="00510C54" w:rsidRDefault="00510C54">
      <w:pPr>
        <w:spacing w:before="200" w:after="200" w:line="360" w:lineRule="auto"/>
        <w:jc w:val="both"/>
        <w:rPr>
          <w:rFonts w:ascii="Times New Roman" w:eastAsia="Times New Roman" w:hAnsi="Times New Roman" w:cs="Times New Roman"/>
          <w:sz w:val="24"/>
          <w:szCs w:val="24"/>
        </w:rPr>
      </w:pPr>
    </w:p>
    <w:p w14:paraId="3B9398ED" w14:textId="77777777" w:rsidR="00510C54" w:rsidRDefault="00510C54">
      <w:pPr>
        <w:spacing w:before="200" w:after="200" w:line="360" w:lineRule="auto"/>
        <w:jc w:val="both"/>
        <w:rPr>
          <w:rFonts w:ascii="Times New Roman" w:eastAsia="Times New Roman" w:hAnsi="Times New Roman" w:cs="Times New Roman"/>
          <w:sz w:val="24"/>
          <w:szCs w:val="24"/>
        </w:rPr>
      </w:pPr>
    </w:p>
    <w:p w14:paraId="285E841B" w14:textId="77777777" w:rsidR="00510C54" w:rsidRDefault="00510C54">
      <w:pPr>
        <w:spacing w:before="200" w:after="200" w:line="360" w:lineRule="auto"/>
        <w:jc w:val="both"/>
        <w:rPr>
          <w:rFonts w:ascii="Times New Roman" w:eastAsia="Times New Roman" w:hAnsi="Times New Roman" w:cs="Times New Roman"/>
          <w:sz w:val="24"/>
          <w:szCs w:val="24"/>
        </w:rPr>
      </w:pPr>
    </w:p>
    <w:p w14:paraId="4CFEC8A3" w14:textId="77777777" w:rsidR="00510C54" w:rsidRDefault="00510C54">
      <w:pPr>
        <w:spacing w:before="200" w:after="200" w:line="360" w:lineRule="auto"/>
        <w:jc w:val="both"/>
        <w:rPr>
          <w:rFonts w:ascii="Times New Roman" w:eastAsia="Times New Roman" w:hAnsi="Times New Roman" w:cs="Times New Roman"/>
          <w:sz w:val="24"/>
          <w:szCs w:val="24"/>
        </w:rPr>
      </w:pPr>
    </w:p>
    <w:p w14:paraId="65640455" w14:textId="77777777" w:rsidR="00510C54" w:rsidRDefault="00510C54">
      <w:pPr>
        <w:spacing w:before="200" w:after="200" w:line="360" w:lineRule="auto"/>
        <w:jc w:val="both"/>
        <w:rPr>
          <w:rFonts w:ascii="Times New Roman" w:eastAsia="Times New Roman" w:hAnsi="Times New Roman" w:cs="Times New Roman"/>
          <w:sz w:val="24"/>
          <w:szCs w:val="24"/>
        </w:rPr>
      </w:pPr>
    </w:p>
    <w:p w14:paraId="49071907" w14:textId="77777777" w:rsidR="00510C54" w:rsidRDefault="00510C54">
      <w:pPr>
        <w:spacing w:before="200" w:after="200" w:line="360" w:lineRule="auto"/>
        <w:jc w:val="both"/>
        <w:rPr>
          <w:rFonts w:ascii="Times New Roman" w:eastAsia="Times New Roman" w:hAnsi="Times New Roman" w:cs="Times New Roman"/>
          <w:sz w:val="24"/>
          <w:szCs w:val="24"/>
        </w:rPr>
      </w:pPr>
    </w:p>
    <w:p w14:paraId="30580DD1" w14:textId="77777777" w:rsidR="00510C54" w:rsidRDefault="00510C54">
      <w:pPr>
        <w:spacing w:before="200" w:after="200" w:line="360" w:lineRule="auto"/>
        <w:jc w:val="both"/>
        <w:rPr>
          <w:rFonts w:ascii="Times New Roman" w:eastAsia="Times New Roman" w:hAnsi="Times New Roman" w:cs="Times New Roman"/>
          <w:sz w:val="24"/>
          <w:szCs w:val="24"/>
        </w:rPr>
      </w:pPr>
    </w:p>
    <w:p w14:paraId="3D16D076" w14:textId="77777777" w:rsidR="00510C54" w:rsidRDefault="00510C54">
      <w:pPr>
        <w:spacing w:before="200" w:after="200" w:line="360" w:lineRule="auto"/>
        <w:jc w:val="both"/>
        <w:rPr>
          <w:rFonts w:ascii="Times New Roman" w:eastAsia="Times New Roman" w:hAnsi="Times New Roman" w:cs="Times New Roman"/>
          <w:sz w:val="24"/>
          <w:szCs w:val="24"/>
        </w:rPr>
      </w:pPr>
    </w:p>
    <w:p w14:paraId="2F4807EC" w14:textId="77777777" w:rsidR="00510C54" w:rsidRDefault="00433923">
      <w:pPr>
        <w:spacing w:before="200"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7964C664" w14:textId="77777777" w:rsidR="00510C54" w:rsidRDefault="00433923">
      <w:pPr>
        <w:numPr>
          <w:ilvl w:val="0"/>
          <w:numId w:val="1"/>
        </w:numPr>
        <w:spacing w:before="240"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Gehlot, S., &amp; Parashar, D. (2017). </w:t>
      </w:r>
      <w:r>
        <w:rPr>
          <w:rFonts w:ascii="Times New Roman" w:eastAsia="Times New Roman" w:hAnsi="Times New Roman" w:cs="Times New Roman"/>
          <w:i/>
          <w:iCs/>
          <w:sz w:val="24"/>
          <w:szCs w:val="24"/>
        </w:rPr>
        <w:t>Administrative and political reforms in princely state – Mewar</w:t>
      </w:r>
      <w:r>
        <w:rPr>
          <w:rFonts w:ascii="Times New Roman" w:eastAsia="Times New Roman" w:hAnsi="Times New Roman" w:cs="Times New Roman"/>
          <w:sz w:val="24"/>
          <w:szCs w:val="24"/>
        </w:rPr>
        <w:t xml:space="preserve">. KAAV International Journal of Arts, Humanities &amp; Social Sciences, 4(2), 255–263. </w:t>
      </w:r>
    </w:p>
    <w:p w14:paraId="2A1BEC7B"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Newman, A. (2022). Lineage in its spatial context: Epigraphy, geography, and the formation of political unity in medieval Mewar. </w:t>
      </w:r>
      <w:r>
        <w:rPr>
          <w:rFonts w:ascii="Times New Roman" w:eastAsia="Times New Roman" w:hAnsi="Times New Roman" w:cs="Times New Roman"/>
          <w:i/>
          <w:iCs/>
          <w:sz w:val="24"/>
          <w:szCs w:val="24"/>
        </w:rPr>
        <w:t>Journal of Hindu Studies, 15</w:t>
      </w:r>
      <w:r>
        <w:rPr>
          <w:rFonts w:ascii="Times New Roman" w:eastAsia="Times New Roman" w:hAnsi="Times New Roman" w:cs="Times New Roman"/>
          <w:sz w:val="24"/>
          <w:szCs w:val="24"/>
        </w:rPr>
        <w:t>(2), 148–167. https://doi.org/10.1093/jhs/hiac001</w:t>
      </w:r>
    </w:p>
    <w:p w14:paraId="0C4BF1CB"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Teuscher, U. (2005). Changing </w:t>
      </w:r>
      <w:proofErr w:type="spellStart"/>
      <w:r>
        <w:rPr>
          <w:rFonts w:ascii="Times New Roman" w:eastAsia="Times New Roman" w:hAnsi="Times New Roman" w:cs="Times New Roman"/>
          <w:sz w:val="24"/>
          <w:szCs w:val="24"/>
        </w:rPr>
        <w:t>Eklingji</w:t>
      </w:r>
      <w:proofErr w:type="spellEnd"/>
      <w:r>
        <w:rPr>
          <w:rFonts w:ascii="Times New Roman" w:eastAsia="Times New Roman" w:hAnsi="Times New Roman" w:cs="Times New Roman"/>
          <w:sz w:val="24"/>
          <w:szCs w:val="24"/>
        </w:rPr>
        <w:t xml:space="preserve">: A holy place as a source of royal legitimation. </w:t>
      </w:r>
      <w:r>
        <w:rPr>
          <w:rFonts w:ascii="Times New Roman" w:eastAsia="Times New Roman" w:hAnsi="Times New Roman" w:cs="Times New Roman"/>
          <w:i/>
          <w:iCs/>
          <w:sz w:val="24"/>
          <w:szCs w:val="24"/>
        </w:rPr>
        <w:t>Studies in History, 21</w:t>
      </w:r>
      <w:r>
        <w:rPr>
          <w:rFonts w:ascii="Times New Roman" w:eastAsia="Times New Roman" w:hAnsi="Times New Roman" w:cs="Times New Roman"/>
          <w:sz w:val="24"/>
          <w:szCs w:val="24"/>
        </w:rPr>
        <w:t>(1), 1–25. https://doi.org/10.1177/025764300502100101</w:t>
      </w:r>
    </w:p>
    <w:p w14:paraId="5887BAAF"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Kumari, R., &amp; Bhat, D. N. (2024). Establishment of Mewar by Bappa Rawal: A historical analysis. </w:t>
      </w:r>
      <w:r>
        <w:rPr>
          <w:rFonts w:ascii="Times New Roman" w:eastAsia="Times New Roman" w:hAnsi="Times New Roman" w:cs="Times New Roman"/>
          <w:i/>
          <w:iCs/>
          <w:sz w:val="24"/>
          <w:szCs w:val="24"/>
        </w:rPr>
        <w:t>Educational Administration: Theory and Practice, 30</w:t>
      </w:r>
      <w:r>
        <w:rPr>
          <w:rFonts w:ascii="Times New Roman" w:eastAsia="Times New Roman" w:hAnsi="Times New Roman" w:cs="Times New Roman"/>
          <w:sz w:val="24"/>
          <w:szCs w:val="24"/>
        </w:rPr>
        <w:t>(6), 5342–5347. https://doi.org/10.53555/kuey.v30i6.10703</w:t>
      </w:r>
    </w:p>
    <w:p w14:paraId="6A119F6B"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G. N. (1970). </w:t>
      </w:r>
      <w:r>
        <w:rPr>
          <w:rFonts w:ascii="Times New Roman" w:eastAsia="Times New Roman" w:hAnsi="Times New Roman" w:cs="Times New Roman"/>
          <w:i/>
          <w:iCs/>
          <w:sz w:val="24"/>
          <w:szCs w:val="24"/>
        </w:rPr>
        <w:t>Mewar and the Mughal emperors</w:t>
      </w:r>
      <w:r>
        <w:rPr>
          <w:rFonts w:ascii="Times New Roman" w:eastAsia="Times New Roman" w:hAnsi="Times New Roman" w:cs="Times New Roman"/>
          <w:sz w:val="24"/>
          <w:szCs w:val="24"/>
        </w:rPr>
        <w:t>. Shiva Lal Agarwala &amp; Company.</w:t>
      </w:r>
    </w:p>
    <w:p w14:paraId="411DAF87"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Ojha, G. H. (1999). </w:t>
      </w:r>
      <w:r>
        <w:rPr>
          <w:rFonts w:ascii="Times New Roman" w:eastAsia="Times New Roman" w:hAnsi="Times New Roman" w:cs="Times New Roman"/>
          <w:i/>
          <w:iCs/>
          <w:sz w:val="24"/>
          <w:szCs w:val="24"/>
        </w:rPr>
        <w:t xml:space="preserve">Udaipur </w:t>
      </w:r>
      <w:proofErr w:type="spellStart"/>
      <w:r>
        <w:rPr>
          <w:rFonts w:ascii="Times New Roman" w:eastAsia="Times New Roman" w:hAnsi="Times New Roman" w:cs="Times New Roman"/>
          <w:i/>
          <w:iCs/>
          <w:sz w:val="24"/>
          <w:szCs w:val="24"/>
        </w:rPr>
        <w:t>rajya</w:t>
      </w:r>
      <w:proofErr w:type="spellEnd"/>
      <w:r>
        <w:rPr>
          <w:rFonts w:ascii="Times New Roman" w:eastAsia="Times New Roman" w:hAnsi="Times New Roman" w:cs="Times New Roman"/>
          <w:i/>
          <w:iCs/>
          <w:sz w:val="24"/>
          <w:szCs w:val="24"/>
        </w:rPr>
        <w:t xml:space="preserve"> ka </w:t>
      </w:r>
      <w:proofErr w:type="spellStart"/>
      <w:r>
        <w:rPr>
          <w:rFonts w:ascii="Times New Roman" w:eastAsia="Times New Roman" w:hAnsi="Times New Roman" w:cs="Times New Roman"/>
          <w:i/>
          <w:iCs/>
          <w:sz w:val="24"/>
          <w:szCs w:val="24"/>
        </w:rPr>
        <w:t>itihas</w:t>
      </w:r>
      <w:proofErr w:type="spellEnd"/>
      <w:r>
        <w:rPr>
          <w:rFonts w:ascii="Times New Roman" w:eastAsia="Times New Roman" w:hAnsi="Times New Roman" w:cs="Times New Roman"/>
          <w:sz w:val="24"/>
          <w:szCs w:val="24"/>
        </w:rPr>
        <w:t xml:space="preserve"> [History of the State of Udaipur]. Rajasthan </w:t>
      </w:r>
      <w:proofErr w:type="spellStart"/>
      <w:r>
        <w:rPr>
          <w:rFonts w:ascii="Times New Roman" w:eastAsia="Times New Roman" w:hAnsi="Times New Roman" w:cs="Times New Roman"/>
          <w:sz w:val="24"/>
          <w:szCs w:val="24"/>
        </w:rPr>
        <w:t>Granthagar</w:t>
      </w:r>
      <w:proofErr w:type="spellEnd"/>
      <w:r>
        <w:rPr>
          <w:rFonts w:ascii="Times New Roman" w:eastAsia="Times New Roman" w:hAnsi="Times New Roman" w:cs="Times New Roman"/>
          <w:sz w:val="24"/>
          <w:szCs w:val="24"/>
        </w:rPr>
        <w:t>.</w:t>
      </w:r>
    </w:p>
    <w:p w14:paraId="2AE397D9"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Shyamaldas</w:t>
      </w:r>
      <w:proofErr w:type="spellEnd"/>
      <w:r>
        <w:rPr>
          <w:rFonts w:ascii="Times New Roman" w:eastAsia="Times New Roman" w:hAnsi="Times New Roman" w:cs="Times New Roman"/>
          <w:sz w:val="24"/>
          <w:szCs w:val="24"/>
        </w:rPr>
        <w:t xml:space="preserve">, K. (1886). </w:t>
      </w:r>
      <w:r>
        <w:rPr>
          <w:rFonts w:ascii="Times New Roman" w:eastAsia="Times New Roman" w:hAnsi="Times New Roman" w:cs="Times New Roman"/>
          <w:i/>
          <w:iCs/>
          <w:sz w:val="24"/>
          <w:szCs w:val="24"/>
        </w:rPr>
        <w:t>Vir Vinod</w:t>
      </w:r>
      <w:r>
        <w:rPr>
          <w:rFonts w:ascii="Times New Roman" w:eastAsia="Times New Roman" w:hAnsi="Times New Roman" w:cs="Times New Roman"/>
          <w:sz w:val="24"/>
          <w:szCs w:val="24"/>
        </w:rPr>
        <w:t xml:space="preserve"> (Vols. 1–4). Veer Vinod Prakashan.</w:t>
      </w:r>
    </w:p>
    <w:p w14:paraId="78453672"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Tod, J. (1920). </w:t>
      </w:r>
      <w:r>
        <w:rPr>
          <w:rFonts w:ascii="Times New Roman" w:eastAsia="Times New Roman" w:hAnsi="Times New Roman" w:cs="Times New Roman"/>
          <w:i/>
          <w:iCs/>
          <w:sz w:val="24"/>
          <w:szCs w:val="24"/>
        </w:rPr>
        <w:t>Annals and antiquities of Rajasthan</w:t>
      </w:r>
      <w:r>
        <w:rPr>
          <w:rFonts w:ascii="Times New Roman" w:eastAsia="Times New Roman" w:hAnsi="Times New Roman" w:cs="Times New Roman"/>
          <w:sz w:val="24"/>
          <w:szCs w:val="24"/>
        </w:rPr>
        <w:t xml:space="preserve"> (Vols. 1–2). Oxford University Press.</w:t>
      </w:r>
    </w:p>
    <w:p w14:paraId="1246B2B8"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Chandra, S. (2007). </w:t>
      </w:r>
      <w:r>
        <w:rPr>
          <w:rFonts w:ascii="Times New Roman" w:eastAsia="Times New Roman" w:hAnsi="Times New Roman" w:cs="Times New Roman"/>
          <w:i/>
          <w:iCs/>
          <w:sz w:val="24"/>
          <w:szCs w:val="24"/>
        </w:rPr>
        <w:t xml:space="preserve">Medieval India: From </w:t>
      </w:r>
      <w:proofErr w:type="spellStart"/>
      <w:r>
        <w:rPr>
          <w:rFonts w:ascii="Times New Roman" w:eastAsia="Times New Roman" w:hAnsi="Times New Roman" w:cs="Times New Roman"/>
          <w:i/>
          <w:iCs/>
          <w:sz w:val="24"/>
          <w:szCs w:val="24"/>
        </w:rPr>
        <w:t>Sultanat</w:t>
      </w:r>
      <w:proofErr w:type="spellEnd"/>
      <w:r>
        <w:rPr>
          <w:rFonts w:ascii="Times New Roman" w:eastAsia="Times New Roman" w:hAnsi="Times New Roman" w:cs="Times New Roman"/>
          <w:i/>
          <w:iCs/>
          <w:sz w:val="24"/>
          <w:szCs w:val="24"/>
        </w:rPr>
        <w:t xml:space="preserve"> to the Mughals</w:t>
      </w:r>
      <w:r>
        <w:rPr>
          <w:rFonts w:ascii="Times New Roman" w:eastAsia="Times New Roman" w:hAnsi="Times New Roman" w:cs="Times New Roman"/>
          <w:sz w:val="24"/>
          <w:szCs w:val="24"/>
        </w:rPr>
        <w:t xml:space="preserve"> (Vol. 2). Har-Anand Publications.</w:t>
      </w:r>
    </w:p>
    <w:p w14:paraId="3D4307B3"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Sarkar, J. (1960). </w:t>
      </w:r>
      <w:r>
        <w:rPr>
          <w:rFonts w:ascii="Times New Roman" w:eastAsia="Times New Roman" w:hAnsi="Times New Roman" w:cs="Times New Roman"/>
          <w:i/>
          <w:iCs/>
          <w:sz w:val="24"/>
          <w:szCs w:val="24"/>
        </w:rPr>
        <w:t>Studies in Mughal India</w:t>
      </w:r>
      <w:r>
        <w:rPr>
          <w:rFonts w:ascii="Times New Roman" w:eastAsia="Times New Roman" w:hAnsi="Times New Roman" w:cs="Times New Roman"/>
          <w:sz w:val="24"/>
          <w:szCs w:val="24"/>
        </w:rPr>
        <w:t>. Orient Longman.</w:t>
      </w:r>
    </w:p>
    <w:p w14:paraId="4F8B231C"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Dashora</w:t>
      </w:r>
      <w:proofErr w:type="spellEnd"/>
      <w:r>
        <w:rPr>
          <w:rFonts w:ascii="Times New Roman" w:eastAsia="Times New Roman" w:hAnsi="Times New Roman" w:cs="Times New Roman"/>
          <w:sz w:val="24"/>
          <w:szCs w:val="24"/>
        </w:rPr>
        <w:t xml:space="preserve">, R. P. (1987). </w:t>
      </w:r>
      <w:r>
        <w:rPr>
          <w:rFonts w:ascii="Times New Roman" w:eastAsia="Times New Roman" w:hAnsi="Times New Roman" w:cs="Times New Roman"/>
          <w:i/>
          <w:iCs/>
          <w:sz w:val="24"/>
          <w:szCs w:val="24"/>
        </w:rPr>
        <w:t>History of Mewar</w:t>
      </w:r>
      <w:r>
        <w:rPr>
          <w:rFonts w:ascii="Times New Roman" w:eastAsia="Times New Roman" w:hAnsi="Times New Roman" w:cs="Times New Roman"/>
          <w:sz w:val="24"/>
          <w:szCs w:val="24"/>
        </w:rPr>
        <w:t>. Rajasthan Vidyapeeth.</w:t>
      </w:r>
    </w:p>
    <w:p w14:paraId="27CED525"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Vashishtha, V. K. (2022). The tribals and the national uprising of 1857 in Rajputana states. </w:t>
      </w:r>
      <w:r>
        <w:rPr>
          <w:rFonts w:ascii="Times New Roman" w:eastAsia="Times New Roman" w:hAnsi="Times New Roman" w:cs="Times New Roman"/>
          <w:i/>
          <w:iCs/>
          <w:sz w:val="24"/>
          <w:szCs w:val="24"/>
        </w:rPr>
        <w:t>Indian Historical Review, 49</w:t>
      </w:r>
      <w:r>
        <w:rPr>
          <w:rFonts w:ascii="Times New Roman" w:eastAsia="Times New Roman" w:hAnsi="Times New Roman" w:cs="Times New Roman"/>
          <w:sz w:val="24"/>
          <w:szCs w:val="24"/>
        </w:rPr>
        <w:t>(1_suppl), 115–132. https://doi.org/10.1177/03769836221108347</w:t>
      </w:r>
    </w:p>
    <w:p w14:paraId="44D3BC77"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Thelen, E. M. (2023). A new language of rule: Alwar’s administrative experiment, c. 1838–58. </w:t>
      </w:r>
      <w:r>
        <w:rPr>
          <w:rFonts w:ascii="Times New Roman" w:eastAsia="Times New Roman" w:hAnsi="Times New Roman" w:cs="Times New Roman"/>
          <w:i/>
          <w:iCs/>
          <w:sz w:val="24"/>
          <w:szCs w:val="24"/>
        </w:rPr>
        <w:t>Law and History Review, 41</w:t>
      </w:r>
      <w:r>
        <w:rPr>
          <w:rFonts w:ascii="Times New Roman" w:eastAsia="Times New Roman" w:hAnsi="Times New Roman" w:cs="Times New Roman"/>
          <w:sz w:val="24"/>
          <w:szCs w:val="24"/>
        </w:rPr>
        <w:t>(3), 523–542. https://doi.org/10.1017/S0738248022000657</w:t>
      </w:r>
    </w:p>
    <w:p w14:paraId="09F1FAC6"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Tripathi, H. (2023). Cultural heritage of Mewar: Study of traditions, customs and rituals. </w:t>
      </w:r>
      <w:r>
        <w:rPr>
          <w:rFonts w:ascii="Times New Roman" w:eastAsia="Times New Roman" w:hAnsi="Times New Roman" w:cs="Times New Roman"/>
          <w:i/>
          <w:iCs/>
          <w:sz w:val="24"/>
          <w:szCs w:val="24"/>
        </w:rPr>
        <w:t>Research Review International Journal of Multidisciplinary, 8</w:t>
      </w:r>
      <w:r>
        <w:rPr>
          <w:rFonts w:ascii="Times New Roman" w:eastAsia="Times New Roman" w:hAnsi="Times New Roman" w:cs="Times New Roman"/>
          <w:sz w:val="24"/>
          <w:szCs w:val="24"/>
        </w:rPr>
        <w:t>(3), 201–208. https://doi.org/10.31305/rrijm.2023.v08.n03.035</w:t>
      </w:r>
    </w:p>
    <w:p w14:paraId="232E33BB"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Raczek, T., Sugandhi, N., </w:t>
      </w:r>
      <w:proofErr w:type="spellStart"/>
      <w:r>
        <w:rPr>
          <w:rFonts w:ascii="Times New Roman" w:eastAsia="Times New Roman" w:hAnsi="Times New Roman" w:cs="Times New Roman"/>
          <w:sz w:val="24"/>
          <w:szCs w:val="24"/>
        </w:rPr>
        <w:t>Shirvalkar</w:t>
      </w:r>
      <w:proofErr w:type="spellEnd"/>
      <w:r>
        <w:rPr>
          <w:rFonts w:ascii="Times New Roman" w:eastAsia="Times New Roman" w:hAnsi="Times New Roman" w:cs="Times New Roman"/>
          <w:sz w:val="24"/>
          <w:szCs w:val="24"/>
        </w:rPr>
        <w:t xml:space="preserve">, P., &amp; Pandey, L. (2015). The Mewar plain archaeological assessment. </w:t>
      </w:r>
      <w:proofErr w:type="gramStart"/>
      <w:r>
        <w:rPr>
          <w:rFonts w:ascii="Times New Roman" w:eastAsia="Times New Roman" w:hAnsi="Times New Roman" w:cs="Times New Roman"/>
          <w:i/>
          <w:iCs/>
          <w:sz w:val="24"/>
          <w:szCs w:val="24"/>
        </w:rPr>
        <w:t>Man</w:t>
      </w:r>
      <w:proofErr w:type="gramEnd"/>
      <w:r>
        <w:rPr>
          <w:rFonts w:ascii="Times New Roman" w:eastAsia="Times New Roman" w:hAnsi="Times New Roman" w:cs="Times New Roman"/>
          <w:i/>
          <w:iCs/>
          <w:sz w:val="24"/>
          <w:szCs w:val="24"/>
        </w:rPr>
        <w:t xml:space="preserve"> and Environment, 40</w:t>
      </w:r>
      <w:r>
        <w:rPr>
          <w:rFonts w:ascii="Times New Roman" w:eastAsia="Times New Roman" w:hAnsi="Times New Roman" w:cs="Times New Roman"/>
          <w:sz w:val="24"/>
          <w:szCs w:val="24"/>
        </w:rPr>
        <w:t>(1), 35–49.</w:t>
      </w:r>
    </w:p>
    <w:p w14:paraId="3E835072"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Abul Fazl. (1907). </w:t>
      </w:r>
      <w:proofErr w:type="spellStart"/>
      <w:r>
        <w:rPr>
          <w:rFonts w:ascii="Times New Roman" w:eastAsia="Times New Roman" w:hAnsi="Times New Roman" w:cs="Times New Roman"/>
          <w:i/>
          <w:iCs/>
          <w:sz w:val="24"/>
          <w:szCs w:val="24"/>
        </w:rPr>
        <w:t>Akbarnama</w:t>
      </w:r>
      <w:proofErr w:type="spellEnd"/>
      <w:r>
        <w:rPr>
          <w:rFonts w:ascii="Times New Roman" w:eastAsia="Times New Roman" w:hAnsi="Times New Roman" w:cs="Times New Roman"/>
          <w:sz w:val="24"/>
          <w:szCs w:val="24"/>
        </w:rPr>
        <w:t xml:space="preserve"> (H. Beveridge, Trans.). Asiatic Society. </w:t>
      </w:r>
    </w:p>
    <w:p w14:paraId="4EB1F224" w14:textId="77777777" w:rsidR="00510C54" w:rsidRDefault="00433923">
      <w:pPr>
        <w:numPr>
          <w:ilvl w:val="0"/>
          <w:numId w:val="1"/>
        </w:numPr>
        <w:spacing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R. (1985). </w:t>
      </w:r>
      <w:r>
        <w:rPr>
          <w:rFonts w:ascii="Times New Roman" w:eastAsia="Times New Roman" w:hAnsi="Times New Roman" w:cs="Times New Roman"/>
          <w:i/>
          <w:iCs/>
          <w:sz w:val="24"/>
          <w:szCs w:val="24"/>
        </w:rPr>
        <w:t>History of the administration of Rajput states</w:t>
      </w:r>
      <w:r>
        <w:rPr>
          <w:rFonts w:ascii="Times New Roman" w:eastAsia="Times New Roman" w:hAnsi="Times New Roman" w:cs="Times New Roman"/>
          <w:sz w:val="24"/>
          <w:szCs w:val="24"/>
        </w:rPr>
        <w:t>. Jaipur Historical Research Publications.</w:t>
      </w:r>
    </w:p>
    <w:p w14:paraId="1BA328EB" w14:textId="77777777" w:rsidR="00510C54" w:rsidRDefault="00433923">
      <w:pPr>
        <w:numPr>
          <w:ilvl w:val="0"/>
          <w:numId w:val="1"/>
        </w:numPr>
        <w:spacing w:before="240" w:after="200" w:line="36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R. S. (1965). </w:t>
      </w:r>
      <w:r>
        <w:rPr>
          <w:rFonts w:ascii="Times New Roman" w:eastAsia="Times New Roman" w:hAnsi="Times New Roman" w:cs="Times New Roman"/>
          <w:i/>
          <w:iCs/>
          <w:sz w:val="24"/>
          <w:szCs w:val="24"/>
        </w:rPr>
        <w:t>Indian feudalism</w:t>
      </w:r>
      <w:r>
        <w:rPr>
          <w:rFonts w:ascii="Times New Roman" w:eastAsia="Times New Roman" w:hAnsi="Times New Roman" w:cs="Times New Roman"/>
          <w:sz w:val="24"/>
          <w:szCs w:val="24"/>
        </w:rPr>
        <w:t>. Macmillan India.</w:t>
      </w:r>
    </w:p>
    <w:p w14:paraId="5D65910B" w14:textId="77777777" w:rsidR="00510C54" w:rsidRDefault="00510C54">
      <w:pPr>
        <w:spacing w:before="200" w:after="200" w:line="360" w:lineRule="auto"/>
        <w:jc w:val="both"/>
        <w:rPr>
          <w:rFonts w:ascii="Times New Roman" w:eastAsia="Times New Roman" w:hAnsi="Times New Roman" w:cs="Times New Roman"/>
          <w:sz w:val="24"/>
          <w:szCs w:val="24"/>
        </w:rPr>
      </w:pPr>
    </w:p>
    <w:p w14:paraId="1C7A2C63" w14:textId="77777777" w:rsidR="00510C54" w:rsidRDefault="00510C54">
      <w:pPr>
        <w:spacing w:before="200" w:after="200" w:line="360" w:lineRule="auto"/>
        <w:jc w:val="both"/>
        <w:rPr>
          <w:rFonts w:ascii="Times New Roman" w:eastAsia="Times New Roman" w:hAnsi="Times New Roman" w:cs="Times New Roman"/>
          <w:sz w:val="24"/>
          <w:szCs w:val="24"/>
        </w:rPr>
      </w:pPr>
    </w:p>
    <w:sectPr w:rsidR="00510C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1655D" w14:textId="77777777" w:rsidR="00763DCB" w:rsidRDefault="00763DCB">
      <w:pPr>
        <w:spacing w:line="240" w:lineRule="auto"/>
      </w:pPr>
      <w:r>
        <w:separator/>
      </w:r>
    </w:p>
  </w:endnote>
  <w:endnote w:type="continuationSeparator" w:id="0">
    <w:p w14:paraId="6371E2B6" w14:textId="77777777" w:rsidR="00763DCB" w:rsidRDefault="00763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19523E89-1EF7-4C11-B3BD-292D673451E4}"/>
  </w:font>
  <w:font w:name="Calibri">
    <w:panose1 w:val="020F0502020204030204"/>
    <w:charset w:val="00"/>
    <w:family w:val="swiss"/>
    <w:pitch w:val="variable"/>
    <w:sig w:usb0="E4002EFF" w:usb1="C200247B" w:usb2="00000009" w:usb3="00000000" w:csb0="000001FF" w:csb1="00000000"/>
    <w:embedRegular r:id="rId2" w:fontKey="{2AAD8E43-FEBC-4A60-B441-DB39D9FC3F1C}"/>
  </w:font>
  <w:font w:name="Cambria">
    <w:panose1 w:val="02040503050406030204"/>
    <w:charset w:val="00"/>
    <w:family w:val="roman"/>
    <w:pitch w:val="variable"/>
    <w:sig w:usb0="E00006FF" w:usb1="420024FF" w:usb2="02000000" w:usb3="00000000" w:csb0="0000019F" w:csb1="00000000"/>
    <w:embedRegular r:id="rId3" w:fontKey="{950D5AB3-29AC-476A-86F3-01DB2D58E0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59459" w14:textId="77777777" w:rsidR="00763DCB" w:rsidRDefault="00763DCB">
      <w:r>
        <w:separator/>
      </w:r>
    </w:p>
  </w:footnote>
  <w:footnote w:type="continuationSeparator" w:id="0">
    <w:p w14:paraId="1E77361F" w14:textId="77777777" w:rsidR="00763DCB" w:rsidRDefault="00763D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1142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C54"/>
    <w:rsid w:val="001D49AD"/>
    <w:rsid w:val="00433923"/>
    <w:rsid w:val="00510C54"/>
    <w:rsid w:val="00763DCB"/>
    <w:rsid w:val="008C73CB"/>
    <w:rsid w:val="00A40FB8"/>
    <w:rsid w:val="00B7322A"/>
    <w:rsid w:val="00C66CED"/>
    <w:rsid w:val="34107EE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61DA"/>
  <w15:docId w15:val="{C5E3B982-16A3-48D4-9097-2E86A7F0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rFonts w:ascii="Arial" w:eastAsia="Arial" w:hAnsi="Arial" w:cs="Arial"/>
      <w:sz w:val="22"/>
      <w:szCs w:val="22"/>
      <w:lang w:val="e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Autospacing="1"/>
    </w:pPr>
    <w:rPr>
      <w:rFonts w:cs="Mangal"/>
      <w:sz w:val="24"/>
      <w:szCs w:val="24"/>
      <w:lang w:eastAsia="zh-CN"/>
    </w:rPr>
  </w:style>
  <w:style w:type="paragraph" w:styleId="Subtitle">
    <w:name w:val="Subtitle"/>
    <w:basedOn w:val="Normal"/>
    <w:next w:val="Normal"/>
    <w:qFormat/>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qFormat/>
    <w:tblPr/>
  </w:style>
  <w:style w:type="character" w:styleId="Hyperlink">
    <w:name w:val="Hyperlink"/>
    <w:basedOn w:val="DefaultParagraphFont"/>
    <w:rsid w:val="00A40FB8"/>
    <w:rPr>
      <w:color w:val="0000FF" w:themeColor="hyperlink"/>
      <w:u w:val="single"/>
    </w:rPr>
  </w:style>
  <w:style w:type="character" w:styleId="UnresolvedMention">
    <w:name w:val="Unresolved Mention"/>
    <w:basedOn w:val="DefaultParagraphFont"/>
    <w:uiPriority w:val="99"/>
    <w:semiHidden/>
    <w:unhideWhenUsed/>
    <w:rsid w:val="00A40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hallu.agarwal@sangamuniversity.ac.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2333</Words>
  <Characters>13302</Characters>
  <Application>Microsoft Office Word</Application>
  <DocSecurity>0</DocSecurity>
  <Lines>110</Lines>
  <Paragraphs>31</Paragraphs>
  <ScaleCrop>false</ScaleCrop>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aadri</dc:creator>
  <cp:lastModifiedBy>shallu agarwal</cp:lastModifiedBy>
  <cp:revision>4</cp:revision>
  <dcterms:created xsi:type="dcterms:W3CDTF">2026-06-09T08:07:00Z</dcterms:created>
  <dcterms:modified xsi:type="dcterms:W3CDTF">2026-06-09T08:09:00Z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eyJoZGlkIjoiMDMyZjVjYTljZjAyZTliMDZmOTM1MTMyZjBiMTIzMmYiLCJ1c2VySWQiOiI1Njc1Mzk0NzM1NzMifQ==</vt:lpwstr>
  </property>
  <property fmtid="{D5CDD505-2E9C-101B-9397-08002B2CF9AE}" pid="3" name="KSOProductBuildVer">
    <vt:lpwstr>1033-12.1.0.25242</vt:lpwstr>
  </property>
  <property fmtid="{D5CDD505-2E9C-101B-9397-08002B2CF9AE}" pid="4" name="ICV">
    <vt:lpwstr>E3D754138F8F48CE8EE50F6AE35176F2_12</vt:lpwstr>
  </property>
</Properties>
</file>