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037" w:rsidRPr="00325E40" w:rsidRDefault="006E5F0C" w:rsidP="00325E40">
      <w:pPr>
        <w:spacing w:after="240" w:line="240" w:lineRule="auto"/>
        <w:jc w:val="center"/>
        <w:rPr>
          <w:rFonts w:ascii="Times New Roman" w:hAnsi="Times New Roman"/>
          <w:b/>
          <w:sz w:val="36"/>
          <w:szCs w:val="36"/>
        </w:rPr>
      </w:pPr>
      <w:bookmarkStart w:id="0" w:name="OLE_LINK15"/>
      <w:r w:rsidRPr="00325E40">
        <w:rPr>
          <w:rFonts w:ascii="Times New Roman" w:hAnsi="Times New Roman"/>
          <w:b/>
          <w:sz w:val="36"/>
          <w:szCs w:val="36"/>
        </w:rPr>
        <w:t xml:space="preserve">Assessment </w:t>
      </w:r>
      <w:r w:rsidR="00325E40">
        <w:rPr>
          <w:rFonts w:ascii="Times New Roman" w:hAnsi="Times New Roman"/>
          <w:b/>
          <w:sz w:val="36"/>
          <w:szCs w:val="36"/>
        </w:rPr>
        <w:t>a</w:t>
      </w:r>
      <w:r w:rsidR="00325E40" w:rsidRPr="00325E40">
        <w:rPr>
          <w:rFonts w:ascii="Times New Roman" w:hAnsi="Times New Roman"/>
          <w:b/>
          <w:sz w:val="36"/>
          <w:szCs w:val="36"/>
        </w:rPr>
        <w:t xml:space="preserve">nd </w:t>
      </w:r>
      <w:r w:rsidRPr="00325E40">
        <w:rPr>
          <w:rFonts w:ascii="Times New Roman" w:hAnsi="Times New Roman"/>
          <w:b/>
          <w:sz w:val="36"/>
          <w:szCs w:val="36"/>
        </w:rPr>
        <w:t xml:space="preserve">Classification </w:t>
      </w:r>
      <w:r w:rsidR="00325E40" w:rsidRPr="00325E40">
        <w:rPr>
          <w:rFonts w:ascii="Times New Roman" w:hAnsi="Times New Roman"/>
          <w:b/>
          <w:sz w:val="36"/>
          <w:szCs w:val="36"/>
        </w:rPr>
        <w:t xml:space="preserve">of </w:t>
      </w:r>
      <w:r w:rsidRPr="00325E40">
        <w:rPr>
          <w:rFonts w:ascii="Times New Roman" w:hAnsi="Times New Roman"/>
          <w:b/>
          <w:sz w:val="36"/>
          <w:szCs w:val="36"/>
        </w:rPr>
        <w:t xml:space="preserve">Soil Fertility </w:t>
      </w:r>
      <w:r w:rsidR="00325E40" w:rsidRPr="00325E40">
        <w:rPr>
          <w:rFonts w:ascii="Times New Roman" w:hAnsi="Times New Roman"/>
          <w:b/>
          <w:sz w:val="36"/>
          <w:szCs w:val="36"/>
        </w:rPr>
        <w:t xml:space="preserve">in </w:t>
      </w:r>
      <w:proofErr w:type="spellStart"/>
      <w:r w:rsidRPr="00325E40">
        <w:rPr>
          <w:rFonts w:ascii="Times New Roman" w:hAnsi="Times New Roman"/>
          <w:b/>
          <w:sz w:val="36"/>
          <w:szCs w:val="36"/>
        </w:rPr>
        <w:t>Nekede</w:t>
      </w:r>
      <w:proofErr w:type="spellEnd"/>
      <w:r w:rsidR="00325E40" w:rsidRPr="00325E40">
        <w:rPr>
          <w:rFonts w:ascii="Times New Roman" w:hAnsi="Times New Roman"/>
          <w:b/>
          <w:sz w:val="36"/>
          <w:szCs w:val="36"/>
        </w:rPr>
        <w:t xml:space="preserve">, </w:t>
      </w:r>
      <w:r w:rsidRPr="00325E40">
        <w:rPr>
          <w:rFonts w:ascii="Times New Roman" w:hAnsi="Times New Roman"/>
          <w:b/>
          <w:sz w:val="36"/>
          <w:szCs w:val="36"/>
        </w:rPr>
        <w:t>Imo State</w:t>
      </w:r>
      <w:r w:rsidR="00325E40" w:rsidRPr="00325E40">
        <w:rPr>
          <w:rFonts w:ascii="Times New Roman" w:hAnsi="Times New Roman"/>
          <w:b/>
          <w:sz w:val="36"/>
          <w:szCs w:val="36"/>
        </w:rPr>
        <w:t xml:space="preserve">, </w:t>
      </w:r>
      <w:r w:rsidRPr="00325E40">
        <w:rPr>
          <w:rFonts w:ascii="Times New Roman" w:hAnsi="Times New Roman"/>
          <w:b/>
          <w:sz w:val="36"/>
          <w:szCs w:val="36"/>
        </w:rPr>
        <w:t xml:space="preserve">Using </w:t>
      </w:r>
      <w:r w:rsidR="00325E40" w:rsidRPr="00325E40">
        <w:rPr>
          <w:rFonts w:ascii="Times New Roman" w:hAnsi="Times New Roman"/>
          <w:b/>
          <w:sz w:val="36"/>
          <w:szCs w:val="36"/>
        </w:rPr>
        <w:t xml:space="preserve">the </w:t>
      </w:r>
      <w:r w:rsidRPr="00325E40">
        <w:rPr>
          <w:rFonts w:ascii="Times New Roman" w:hAnsi="Times New Roman"/>
          <w:b/>
          <w:sz w:val="36"/>
          <w:szCs w:val="36"/>
        </w:rPr>
        <w:t xml:space="preserve">Fertility Capability Classification </w:t>
      </w:r>
      <w:r w:rsidR="00325E40" w:rsidRPr="00325E40">
        <w:rPr>
          <w:rFonts w:ascii="Times New Roman" w:hAnsi="Times New Roman"/>
          <w:b/>
          <w:sz w:val="36"/>
          <w:szCs w:val="36"/>
        </w:rPr>
        <w:t>(</w:t>
      </w:r>
      <w:r w:rsidRPr="00325E40">
        <w:rPr>
          <w:rFonts w:ascii="Times New Roman" w:hAnsi="Times New Roman"/>
          <w:b/>
          <w:sz w:val="36"/>
          <w:szCs w:val="36"/>
        </w:rPr>
        <w:t>FCC</w:t>
      </w:r>
      <w:r w:rsidR="00325E40" w:rsidRPr="00325E40">
        <w:rPr>
          <w:rFonts w:ascii="Times New Roman" w:hAnsi="Times New Roman"/>
          <w:b/>
          <w:sz w:val="36"/>
          <w:szCs w:val="36"/>
        </w:rPr>
        <w:t xml:space="preserve">) </w:t>
      </w:r>
      <w:r w:rsidRPr="00325E40">
        <w:rPr>
          <w:rFonts w:ascii="Times New Roman" w:hAnsi="Times New Roman"/>
          <w:b/>
          <w:sz w:val="36"/>
          <w:szCs w:val="36"/>
        </w:rPr>
        <w:t>System</w:t>
      </w:r>
    </w:p>
    <w:p w:rsidR="00F51037" w:rsidRPr="00325E40" w:rsidRDefault="006E5F0C" w:rsidP="00325E40">
      <w:pPr>
        <w:spacing w:after="240" w:line="240" w:lineRule="auto"/>
        <w:jc w:val="center"/>
        <w:rPr>
          <w:rFonts w:ascii="Times New Roman" w:hAnsi="Times New Roman"/>
          <w:b/>
          <w:iCs/>
          <w:sz w:val="24"/>
          <w:szCs w:val="24"/>
        </w:rPr>
      </w:pPr>
      <w:bookmarkStart w:id="1" w:name="OLE_LINK16"/>
      <w:bookmarkEnd w:id="0"/>
      <w:r w:rsidRPr="00325E40">
        <w:rPr>
          <w:rFonts w:ascii="Times New Roman" w:hAnsi="Times New Roman"/>
          <w:b/>
          <w:iCs/>
          <w:sz w:val="24"/>
          <w:szCs w:val="24"/>
        </w:rPr>
        <w:t>Ogechi Mercy Okorocha</w:t>
      </w:r>
      <w:r w:rsidRPr="00325E40">
        <w:rPr>
          <w:rFonts w:ascii="Times New Roman" w:hAnsi="Times New Roman"/>
          <w:b/>
          <w:iCs/>
          <w:sz w:val="24"/>
          <w:szCs w:val="24"/>
          <w:vertAlign w:val="superscript"/>
        </w:rPr>
        <w:t>1</w:t>
      </w:r>
      <w:bookmarkEnd w:id="1"/>
      <w:r w:rsidRPr="00325E40">
        <w:rPr>
          <w:rFonts w:ascii="Times New Roman" w:hAnsi="Times New Roman"/>
          <w:b/>
          <w:iCs/>
          <w:sz w:val="24"/>
          <w:szCs w:val="24"/>
        </w:rPr>
        <w:t>, Okuwa Joel Agwu</w:t>
      </w:r>
      <w:r w:rsidRPr="00325E40">
        <w:rPr>
          <w:rFonts w:ascii="Times New Roman" w:hAnsi="Times New Roman"/>
          <w:b/>
          <w:iCs/>
          <w:sz w:val="24"/>
          <w:szCs w:val="24"/>
          <w:vertAlign w:val="superscript"/>
        </w:rPr>
        <w:t>2</w:t>
      </w:r>
      <w:r w:rsidRPr="00325E40">
        <w:rPr>
          <w:rFonts w:ascii="Times New Roman" w:hAnsi="Times New Roman"/>
          <w:b/>
          <w:iCs/>
          <w:sz w:val="24"/>
          <w:szCs w:val="24"/>
        </w:rPr>
        <w:t xml:space="preserve"> Andrew Wenibo</w:t>
      </w:r>
      <w:r w:rsidRPr="00325E40">
        <w:rPr>
          <w:rFonts w:ascii="Times New Roman" w:hAnsi="Times New Roman"/>
          <w:b/>
          <w:iCs/>
          <w:sz w:val="24"/>
          <w:szCs w:val="24"/>
          <w:vertAlign w:val="superscript"/>
        </w:rPr>
        <w:t>3</w:t>
      </w:r>
      <w:r w:rsidRPr="00325E40">
        <w:rPr>
          <w:rFonts w:ascii="Times New Roman" w:hAnsi="Times New Roman"/>
          <w:b/>
          <w:iCs/>
          <w:sz w:val="24"/>
          <w:szCs w:val="24"/>
        </w:rPr>
        <w:t>, Adaobi Uchenna Onyecher</w:t>
      </w:r>
      <w:r w:rsidRPr="00325E40">
        <w:rPr>
          <w:rFonts w:ascii="Times New Roman" w:hAnsi="Times New Roman"/>
          <w:b/>
          <w:iCs/>
          <w:sz w:val="24"/>
          <w:szCs w:val="24"/>
          <w:vertAlign w:val="superscript"/>
        </w:rPr>
        <w:t>4</w:t>
      </w:r>
      <w:r w:rsidRPr="00325E40">
        <w:rPr>
          <w:rFonts w:ascii="Times New Roman" w:hAnsi="Times New Roman"/>
          <w:b/>
          <w:iCs/>
          <w:sz w:val="24"/>
          <w:szCs w:val="24"/>
        </w:rPr>
        <w:t>, Okorie Kelechi Blessing</w:t>
      </w:r>
      <w:r w:rsidRPr="00325E40">
        <w:rPr>
          <w:rFonts w:ascii="Times New Roman" w:hAnsi="Times New Roman"/>
          <w:b/>
          <w:iCs/>
          <w:sz w:val="24"/>
          <w:szCs w:val="24"/>
          <w:vertAlign w:val="superscript"/>
        </w:rPr>
        <w:t>5</w:t>
      </w:r>
    </w:p>
    <w:p w:rsidR="00F51037" w:rsidRPr="00325E40" w:rsidRDefault="00325E40" w:rsidP="00325E40">
      <w:pPr>
        <w:spacing w:after="240" w:line="240" w:lineRule="auto"/>
        <w:jc w:val="center"/>
        <w:rPr>
          <w:rFonts w:ascii="Times New Roman" w:hAnsi="Times New Roman"/>
          <w:b/>
          <w:iCs/>
          <w:sz w:val="24"/>
          <w:szCs w:val="24"/>
        </w:rPr>
      </w:pPr>
      <w:r>
        <w:rPr>
          <w:rFonts w:ascii="Times New Roman" w:hAnsi="Times New Roman"/>
          <w:b/>
          <w:iCs/>
          <w:sz w:val="24"/>
          <w:szCs w:val="24"/>
          <w:vertAlign w:val="superscript"/>
        </w:rPr>
        <w:t>1</w:t>
      </w:r>
      <w:proofErr w:type="gramStart"/>
      <w:r>
        <w:rPr>
          <w:rFonts w:ascii="Times New Roman" w:hAnsi="Times New Roman"/>
          <w:b/>
          <w:iCs/>
          <w:sz w:val="24"/>
          <w:szCs w:val="24"/>
          <w:vertAlign w:val="superscript"/>
        </w:rPr>
        <w:t>,2,3</w:t>
      </w:r>
      <w:r w:rsidR="006E5F0C" w:rsidRPr="00325E40">
        <w:rPr>
          <w:rFonts w:ascii="Times New Roman" w:hAnsi="Times New Roman"/>
          <w:b/>
          <w:iCs/>
          <w:sz w:val="24"/>
          <w:szCs w:val="24"/>
        </w:rPr>
        <w:t>Department</w:t>
      </w:r>
      <w:proofErr w:type="gramEnd"/>
      <w:r w:rsidR="006E5F0C" w:rsidRPr="00325E40">
        <w:rPr>
          <w:rFonts w:ascii="Times New Roman" w:hAnsi="Times New Roman"/>
          <w:b/>
          <w:iCs/>
          <w:sz w:val="24"/>
          <w:szCs w:val="24"/>
        </w:rPr>
        <w:t xml:space="preserve"> of Agricultural Technology Federal Polytechnic Nekede Owerri Imo State</w:t>
      </w:r>
      <w:r w:rsidR="00872A7C">
        <w:rPr>
          <w:rFonts w:ascii="Times New Roman" w:hAnsi="Times New Roman"/>
          <w:b/>
          <w:iCs/>
          <w:sz w:val="24"/>
          <w:szCs w:val="24"/>
        </w:rPr>
        <w:t>,</w:t>
      </w:r>
      <w:r w:rsidR="006E5F0C" w:rsidRPr="00325E40">
        <w:rPr>
          <w:rFonts w:ascii="Times New Roman" w:hAnsi="Times New Roman"/>
          <w:b/>
          <w:iCs/>
          <w:sz w:val="24"/>
          <w:szCs w:val="24"/>
        </w:rPr>
        <w:t xml:space="preserve"> Nigeria</w:t>
      </w:r>
    </w:p>
    <w:p w:rsidR="00F51037" w:rsidRPr="00325E40" w:rsidRDefault="00325E40" w:rsidP="00325E40">
      <w:pPr>
        <w:spacing w:after="240" w:line="240" w:lineRule="auto"/>
        <w:jc w:val="center"/>
        <w:rPr>
          <w:rFonts w:ascii="Times New Roman" w:hAnsi="Times New Roman"/>
          <w:b/>
          <w:iCs/>
          <w:sz w:val="24"/>
          <w:szCs w:val="24"/>
        </w:rPr>
      </w:pPr>
      <w:r>
        <w:rPr>
          <w:rFonts w:ascii="Times New Roman" w:hAnsi="Times New Roman"/>
          <w:b/>
          <w:iCs/>
          <w:sz w:val="24"/>
          <w:szCs w:val="24"/>
          <w:vertAlign w:val="superscript"/>
        </w:rPr>
        <w:t>4</w:t>
      </w:r>
      <w:r w:rsidR="006E5F0C" w:rsidRPr="00325E40">
        <w:rPr>
          <w:rFonts w:ascii="Times New Roman" w:hAnsi="Times New Roman"/>
          <w:b/>
          <w:iCs/>
          <w:sz w:val="24"/>
          <w:szCs w:val="24"/>
        </w:rPr>
        <w:t xml:space="preserve">Department of Soil Science and Technology Federal University of Technology </w:t>
      </w:r>
      <w:proofErr w:type="spellStart"/>
      <w:r w:rsidR="006E5F0C" w:rsidRPr="00325E40">
        <w:rPr>
          <w:rFonts w:ascii="Times New Roman" w:hAnsi="Times New Roman"/>
          <w:b/>
          <w:iCs/>
          <w:sz w:val="24"/>
          <w:szCs w:val="24"/>
        </w:rPr>
        <w:t>Owerri</w:t>
      </w:r>
      <w:proofErr w:type="spellEnd"/>
      <w:r w:rsidR="00872A7C">
        <w:rPr>
          <w:rFonts w:ascii="Times New Roman" w:hAnsi="Times New Roman"/>
          <w:b/>
          <w:iCs/>
          <w:sz w:val="24"/>
          <w:szCs w:val="24"/>
        </w:rPr>
        <w:t>,</w:t>
      </w:r>
      <w:r w:rsidR="00872A7C" w:rsidRPr="00872A7C">
        <w:rPr>
          <w:rFonts w:ascii="Times New Roman" w:hAnsi="Times New Roman"/>
          <w:b/>
          <w:iCs/>
          <w:sz w:val="24"/>
          <w:szCs w:val="24"/>
        </w:rPr>
        <w:t xml:space="preserve"> </w:t>
      </w:r>
      <w:r w:rsidR="00872A7C" w:rsidRPr="00325E40">
        <w:rPr>
          <w:rFonts w:ascii="Times New Roman" w:hAnsi="Times New Roman"/>
          <w:b/>
          <w:iCs/>
          <w:sz w:val="24"/>
          <w:szCs w:val="24"/>
        </w:rPr>
        <w:t>Nigeria</w:t>
      </w:r>
    </w:p>
    <w:p w:rsidR="00F51037" w:rsidRPr="00325E40" w:rsidRDefault="00325E40" w:rsidP="00325E40">
      <w:pPr>
        <w:spacing w:after="240" w:line="240" w:lineRule="auto"/>
        <w:jc w:val="center"/>
        <w:rPr>
          <w:rFonts w:ascii="Times New Roman" w:hAnsi="Times New Roman"/>
          <w:b/>
          <w:iCs/>
          <w:sz w:val="24"/>
          <w:szCs w:val="24"/>
        </w:rPr>
      </w:pPr>
      <w:r>
        <w:rPr>
          <w:rFonts w:ascii="Times New Roman" w:hAnsi="Times New Roman"/>
          <w:b/>
          <w:iCs/>
          <w:sz w:val="24"/>
          <w:szCs w:val="24"/>
          <w:vertAlign w:val="superscript"/>
        </w:rPr>
        <w:t>5</w:t>
      </w:r>
      <w:r w:rsidR="006E5F0C" w:rsidRPr="00325E40">
        <w:rPr>
          <w:rFonts w:ascii="Times New Roman" w:hAnsi="Times New Roman"/>
          <w:b/>
          <w:iCs/>
          <w:sz w:val="24"/>
          <w:szCs w:val="24"/>
        </w:rPr>
        <w:t xml:space="preserve">Department of Soil Science, University of Agriculture and Environmental Sciences </w:t>
      </w:r>
      <w:proofErr w:type="spellStart"/>
      <w:r w:rsidR="006E5F0C" w:rsidRPr="00325E40">
        <w:rPr>
          <w:rFonts w:ascii="Times New Roman" w:hAnsi="Times New Roman"/>
          <w:b/>
          <w:iCs/>
          <w:sz w:val="24"/>
          <w:szCs w:val="24"/>
        </w:rPr>
        <w:t>Umuagwo</w:t>
      </w:r>
      <w:proofErr w:type="spellEnd"/>
      <w:r w:rsidR="006E5F0C" w:rsidRPr="00325E40">
        <w:rPr>
          <w:rFonts w:ascii="Times New Roman" w:hAnsi="Times New Roman"/>
          <w:b/>
          <w:iCs/>
          <w:sz w:val="24"/>
          <w:szCs w:val="24"/>
        </w:rPr>
        <w:t>, Imo State</w:t>
      </w:r>
      <w:r w:rsidR="00872A7C">
        <w:rPr>
          <w:rFonts w:ascii="Times New Roman" w:hAnsi="Times New Roman"/>
          <w:b/>
          <w:iCs/>
          <w:sz w:val="24"/>
          <w:szCs w:val="24"/>
        </w:rPr>
        <w:t>,</w:t>
      </w:r>
      <w:r w:rsidR="006E5F0C" w:rsidRPr="00325E40">
        <w:rPr>
          <w:rFonts w:ascii="Times New Roman" w:hAnsi="Times New Roman"/>
          <w:b/>
          <w:iCs/>
          <w:sz w:val="24"/>
          <w:szCs w:val="24"/>
        </w:rPr>
        <w:t xml:space="preserve"> Nigeria</w:t>
      </w:r>
    </w:p>
    <w:p w:rsidR="00872A7C" w:rsidRPr="00872A7C" w:rsidRDefault="00872A7C" w:rsidP="00872A7C">
      <w:pPr>
        <w:tabs>
          <w:tab w:val="left" w:pos="360"/>
        </w:tabs>
        <w:spacing w:after="240"/>
        <w:ind w:right="-8"/>
        <w:jc w:val="center"/>
        <w:rPr>
          <w:rFonts w:ascii="Times New Roman" w:hAnsi="Times New Roman"/>
          <w:b/>
          <w:sz w:val="24"/>
          <w:szCs w:val="24"/>
          <w:lang w:val="en-GB"/>
        </w:rPr>
      </w:pPr>
      <w:r w:rsidRPr="00872A7C">
        <w:rPr>
          <w:rFonts w:ascii="Times New Roman" w:hAnsi="Times New Roman"/>
          <w:b/>
          <w:bCs/>
          <w:sz w:val="24"/>
          <w:szCs w:val="24"/>
          <w:lang w:val="en-GB"/>
        </w:rPr>
        <w:t xml:space="preserve">DOI: </w:t>
      </w:r>
      <w:hyperlink r:id="rId8" w:history="1">
        <w:r w:rsidRPr="00872A7C">
          <w:rPr>
            <w:rFonts w:ascii="Times New Roman" w:hAnsi="Times New Roman"/>
            <w:b/>
            <w:bCs/>
            <w:color w:val="467886"/>
            <w:sz w:val="24"/>
            <w:szCs w:val="24"/>
            <w:u w:val="single"/>
            <w:lang w:val="en-GB"/>
          </w:rPr>
          <w:t>https://doi.org/10.51584/IJRIAS.2026.110200116</w:t>
        </w:r>
      </w:hyperlink>
    </w:p>
    <w:p w:rsidR="00872A7C" w:rsidRPr="00872A7C" w:rsidRDefault="00872A7C" w:rsidP="00872A7C">
      <w:pPr>
        <w:tabs>
          <w:tab w:val="left" w:pos="360"/>
        </w:tabs>
        <w:spacing w:after="240"/>
        <w:ind w:right="-8"/>
        <w:jc w:val="center"/>
        <w:rPr>
          <w:rFonts w:ascii="Times New Roman" w:hAnsi="Times New Roman"/>
          <w:b/>
          <w:sz w:val="24"/>
          <w:szCs w:val="24"/>
          <w:lang w:val="en-GB"/>
        </w:rPr>
      </w:pPr>
      <w:r w:rsidRPr="00872A7C">
        <w:rPr>
          <w:rFonts w:ascii="Times New Roman" w:hAnsi="Times New Roman"/>
          <w:b/>
          <w:bCs/>
          <w:sz w:val="24"/>
          <w:szCs w:val="24"/>
          <w:lang w:val="en-GB"/>
        </w:rPr>
        <w:t xml:space="preserve">Received:  </w:t>
      </w:r>
      <w:r>
        <w:rPr>
          <w:rFonts w:ascii="Times New Roman" w:hAnsi="Times New Roman"/>
          <w:b/>
          <w:bCs/>
          <w:sz w:val="24"/>
          <w:szCs w:val="24"/>
          <w:lang w:val="en-GB"/>
        </w:rPr>
        <w:t>02</w:t>
      </w:r>
      <w:r w:rsidRPr="00872A7C">
        <w:rPr>
          <w:rFonts w:ascii="Times New Roman" w:hAnsi="Times New Roman"/>
          <w:b/>
          <w:bCs/>
          <w:sz w:val="24"/>
          <w:szCs w:val="24"/>
          <w:lang w:val="en-GB"/>
        </w:rPr>
        <w:t xml:space="preserve"> March 2026; Accepted: </w:t>
      </w:r>
      <w:r>
        <w:rPr>
          <w:rFonts w:ascii="Times New Roman" w:hAnsi="Times New Roman"/>
          <w:b/>
          <w:bCs/>
          <w:sz w:val="24"/>
          <w:szCs w:val="24"/>
          <w:lang w:val="en-GB"/>
        </w:rPr>
        <w:t>08</w:t>
      </w:r>
      <w:r w:rsidRPr="00872A7C">
        <w:rPr>
          <w:rFonts w:ascii="Times New Roman" w:hAnsi="Times New Roman"/>
          <w:b/>
          <w:bCs/>
          <w:sz w:val="24"/>
          <w:szCs w:val="24"/>
          <w:lang w:val="en-GB"/>
        </w:rPr>
        <w:t xml:space="preserve"> March 2026; Published: 18 March 2026</w:t>
      </w:r>
    </w:p>
    <w:p w:rsidR="006E5F0C" w:rsidRPr="00325E40" w:rsidRDefault="00325E40" w:rsidP="00325E40">
      <w:pPr>
        <w:tabs>
          <w:tab w:val="left" w:pos="1365"/>
          <w:tab w:val="left" w:pos="2460"/>
        </w:tabs>
        <w:spacing w:after="240" w:line="240" w:lineRule="auto"/>
        <w:jc w:val="both"/>
        <w:rPr>
          <w:rFonts w:ascii="Times New Roman" w:hAnsi="Times New Roman"/>
          <w:b/>
          <w:sz w:val="28"/>
          <w:szCs w:val="28"/>
        </w:rPr>
      </w:pPr>
      <w:r w:rsidRPr="00325E40">
        <w:rPr>
          <w:rFonts w:ascii="Times New Roman" w:hAnsi="Times New Roman"/>
          <w:b/>
          <w:sz w:val="28"/>
          <w:szCs w:val="28"/>
        </w:rPr>
        <w:t>ABSTRACT</w:t>
      </w:r>
    </w:p>
    <w:p w:rsidR="006E5F0C" w:rsidRPr="00325E40" w:rsidRDefault="006E5F0C" w:rsidP="00325E40">
      <w:pPr>
        <w:tabs>
          <w:tab w:val="left" w:pos="1365"/>
          <w:tab w:val="left" w:pos="2460"/>
        </w:tabs>
        <w:spacing w:after="240" w:line="240" w:lineRule="auto"/>
        <w:jc w:val="both"/>
        <w:rPr>
          <w:rFonts w:ascii="Times New Roman" w:hAnsi="Times New Roman"/>
          <w:sz w:val="24"/>
          <w:szCs w:val="24"/>
        </w:rPr>
      </w:pPr>
      <w:r w:rsidRPr="00325E40">
        <w:rPr>
          <w:rFonts w:ascii="Times New Roman" w:hAnsi="Times New Roman"/>
          <w:sz w:val="24"/>
          <w:szCs w:val="24"/>
        </w:rPr>
        <w:t>The declining productivity of agricultural soils in Nekede, Imo State, necessitates a functional assessment of their fertility status for sustainable crop production. This study evaluated and classified the fertility capability of soils in the Nekede area using the Fertility Capability Classification (FCC) system. Soil samples were collected from five distinct locations at two depths (0–20 cm and 20–40 cm) using a stratified systematic sampling design. Samples were analyzed for key physical and chemical properties following standard laboratory procedures. Results indicated that soils are predominantly sandy loam with high sand content (&gt;75%) across both depths. Chemically, soils were strongly acidic, with mean topsoil pH of 5.1 and subsoil pH of 4.9. Low inherent fertility was observed, characterized by low organic carbon (1.2% in topsoil), deficient available phosphorus (9.5 mg/kg), low exchangeable potassium (0.15 cmol/kg), and a very low cation exchange capacity (&lt;6.1 cmol/kg). Analysis of variance (ANOVA) revealed statistically significant differences (p &lt; 0.05) between topsoil and subsoil for all major properties, including increased clay content with depth. Based on these properties, soils were classified under the FCC system as SBe⁺-ac-nk, indicating sandy topsoil with low CEC, a subsoil with higher clay content, aluminum toxicity, and deficiencies in nitrogen and potassium. Recommendations include the application of organic manure to ameliorate acidity, integrated use of organic and inorganic fertilizers to improve nutrient levels and retention, and adoption of conservation practices like mulching. This research provides a foundation for sustainable soil fertility management in the region.</w:t>
      </w:r>
    </w:p>
    <w:p w:rsidR="006E5F0C" w:rsidRPr="00325E40" w:rsidRDefault="006E5F0C" w:rsidP="00325E40">
      <w:pPr>
        <w:tabs>
          <w:tab w:val="left" w:pos="1365"/>
          <w:tab w:val="left" w:pos="2460"/>
        </w:tabs>
        <w:spacing w:after="240" w:line="240" w:lineRule="auto"/>
        <w:jc w:val="both"/>
        <w:rPr>
          <w:rFonts w:ascii="Times New Roman" w:hAnsi="Times New Roman"/>
          <w:bCs/>
          <w:sz w:val="24"/>
          <w:szCs w:val="24"/>
        </w:rPr>
      </w:pPr>
      <w:r w:rsidRPr="00325E40">
        <w:rPr>
          <w:rFonts w:ascii="Times New Roman" w:hAnsi="Times New Roman"/>
          <w:b/>
          <w:sz w:val="24"/>
          <w:szCs w:val="24"/>
        </w:rPr>
        <w:t xml:space="preserve">Keywords: </w:t>
      </w:r>
      <w:bookmarkStart w:id="2" w:name="OLE_LINK17"/>
      <w:r w:rsidRPr="00325E40">
        <w:rPr>
          <w:rFonts w:ascii="Times New Roman" w:hAnsi="Times New Roman"/>
          <w:bCs/>
          <w:sz w:val="24"/>
          <w:szCs w:val="24"/>
        </w:rPr>
        <w:t>Classification, Fertility Capability, Toxicity, Sustainable, Conservation</w:t>
      </w:r>
      <w:bookmarkEnd w:id="2"/>
    </w:p>
    <w:p w:rsidR="006E5F0C" w:rsidRPr="00325E40" w:rsidRDefault="00325E40" w:rsidP="00325E40">
      <w:pPr>
        <w:tabs>
          <w:tab w:val="left" w:pos="1365"/>
          <w:tab w:val="left" w:pos="2460"/>
        </w:tabs>
        <w:spacing w:after="240" w:line="240" w:lineRule="auto"/>
        <w:jc w:val="both"/>
        <w:rPr>
          <w:rFonts w:ascii="Times New Roman" w:hAnsi="Times New Roman"/>
          <w:b/>
          <w:sz w:val="28"/>
          <w:szCs w:val="28"/>
        </w:rPr>
      </w:pPr>
      <w:r w:rsidRPr="00325E40">
        <w:rPr>
          <w:rFonts w:ascii="Times New Roman" w:hAnsi="Times New Roman"/>
          <w:b/>
          <w:sz w:val="28"/>
          <w:szCs w:val="28"/>
        </w:rPr>
        <w:t>INTRODUCTION</w:t>
      </w:r>
    </w:p>
    <w:p w:rsidR="006E5F0C" w:rsidRPr="00325E40" w:rsidRDefault="006E5F0C" w:rsidP="00325E40">
      <w:pPr>
        <w:tabs>
          <w:tab w:val="left" w:pos="1365"/>
          <w:tab w:val="left" w:pos="2460"/>
        </w:tabs>
        <w:spacing w:after="240" w:line="240" w:lineRule="auto"/>
        <w:jc w:val="both"/>
        <w:rPr>
          <w:rFonts w:ascii="Times New Roman" w:hAnsi="Times New Roman"/>
          <w:sz w:val="24"/>
          <w:szCs w:val="24"/>
        </w:rPr>
      </w:pPr>
      <w:r w:rsidRPr="00325E40">
        <w:rPr>
          <w:rFonts w:ascii="Times New Roman" w:hAnsi="Times New Roman"/>
          <w:sz w:val="24"/>
          <w:szCs w:val="24"/>
        </w:rPr>
        <w:t>Soil fertility refers to the soil's capacity to provide essential nutrients in sufficient amounts and proper balance for plant growth (John &amp; Heiniger, 2020). Several factors affect soil fertility, including texture, pH, organic matter content, and nutrient availability. Nutrient deficiencies can lead to reduced plant growth, and extreme deficiencies can cause stunting or plant death (Singh et al., 2015). Soil fertility is fundamental to agricultural productivity, as it determines the soil’s ability to provide necessary nutrients for plant growth (Tang, 2020; Brady &amp; Weil, 2017; Havlin et al., 2014). Fertile soils are essential for sustainable agriculture, providing a habitat for roots and facilitating nutrient absorption.</w:t>
      </w:r>
    </w:p>
    <w:p w:rsidR="006E5F0C" w:rsidRPr="00325E40" w:rsidRDefault="006E5F0C" w:rsidP="00325E40">
      <w:pPr>
        <w:tabs>
          <w:tab w:val="left" w:pos="1365"/>
          <w:tab w:val="left" w:pos="2460"/>
        </w:tabs>
        <w:spacing w:after="240" w:line="240" w:lineRule="auto"/>
        <w:jc w:val="both"/>
        <w:rPr>
          <w:rFonts w:ascii="Times New Roman" w:hAnsi="Times New Roman"/>
          <w:sz w:val="24"/>
          <w:szCs w:val="24"/>
        </w:rPr>
      </w:pPr>
      <w:r w:rsidRPr="00325E40">
        <w:rPr>
          <w:rFonts w:ascii="Times New Roman" w:hAnsi="Times New Roman"/>
          <w:sz w:val="24"/>
          <w:szCs w:val="24"/>
        </w:rPr>
        <w:t>In regions like Nekede, Imo State, where soil fertility degradation is prevalent, assessing soil fertility status is critical for informing agricultural management practices (Ukaegbu et al., 2024; Lal, 2015). Fertility degradation in tropical regions is often associated with high rainfall, acidic parent materials, and low organic matter content, which promote nutrient leaching and aluminum toxicity (Sanchez, 2019; Brady &amp; Weil, 2017).</w:t>
      </w:r>
    </w:p>
    <w:p w:rsidR="006E5F0C" w:rsidRPr="00325E40" w:rsidRDefault="006E5F0C" w:rsidP="00325E40">
      <w:pPr>
        <w:tabs>
          <w:tab w:val="left" w:pos="1365"/>
          <w:tab w:val="left" w:pos="2460"/>
        </w:tabs>
        <w:spacing w:after="240" w:line="240" w:lineRule="auto"/>
        <w:jc w:val="both"/>
        <w:rPr>
          <w:rFonts w:ascii="Times New Roman" w:hAnsi="Times New Roman"/>
          <w:sz w:val="24"/>
          <w:szCs w:val="24"/>
        </w:rPr>
      </w:pPr>
      <w:r w:rsidRPr="00325E40">
        <w:rPr>
          <w:rFonts w:ascii="Times New Roman" w:hAnsi="Times New Roman"/>
          <w:sz w:val="24"/>
          <w:szCs w:val="24"/>
        </w:rPr>
        <w:lastRenderedPageBreak/>
        <w:t>The Fertility Capability Classification (FCC) system, introduced by Buol et al. (1975), assesses soil fertility based on measurable physical and chemical characteristics, categorizing soils according to constraints related to texture, acidity, nutrient availability, and other growth-limiting factors (Sanchez et al., 2003; Srinivasa et al., 2022; Obalum et al., 2017). The FCC system evaluates both topsoil and subsoil properties and consists of three categorical levels: Type (topsoil texture), Substrata Type (subsoil texture), and 15 modifiers, including acidity, aluminum toxicity, low CEC, nutrient deficiencies, and other constraints.</w:t>
      </w:r>
    </w:p>
    <w:p w:rsidR="006E5F0C" w:rsidRPr="00325E40" w:rsidRDefault="006E5F0C" w:rsidP="00325E40">
      <w:pPr>
        <w:tabs>
          <w:tab w:val="left" w:pos="1365"/>
          <w:tab w:val="left" w:pos="2460"/>
        </w:tabs>
        <w:spacing w:after="240" w:line="240" w:lineRule="auto"/>
        <w:jc w:val="both"/>
        <w:rPr>
          <w:rFonts w:ascii="Times New Roman" w:hAnsi="Times New Roman"/>
          <w:sz w:val="24"/>
          <w:szCs w:val="24"/>
        </w:rPr>
      </w:pPr>
      <w:r w:rsidRPr="00325E40">
        <w:rPr>
          <w:rFonts w:ascii="Times New Roman" w:hAnsi="Times New Roman"/>
          <w:sz w:val="24"/>
          <w:szCs w:val="24"/>
        </w:rPr>
        <w:t>Nekede soils face challenges including fertility degradation, soil erosion, and nutrient depletion, resulting in reduced crop yields and environmental degradation. This study aimed to assess and classify the fertility capability of soils in Nekede to guide management strategies and sustainable agricultural productivity.</w:t>
      </w:r>
    </w:p>
    <w:p w:rsidR="006E5F0C" w:rsidRPr="00325E40" w:rsidRDefault="00325E40" w:rsidP="00325E40">
      <w:pPr>
        <w:tabs>
          <w:tab w:val="left" w:pos="1365"/>
          <w:tab w:val="left" w:pos="2460"/>
        </w:tabs>
        <w:spacing w:after="240" w:line="240" w:lineRule="auto"/>
        <w:jc w:val="both"/>
        <w:rPr>
          <w:rFonts w:ascii="Times New Roman" w:hAnsi="Times New Roman"/>
          <w:b/>
          <w:sz w:val="28"/>
          <w:szCs w:val="28"/>
        </w:rPr>
      </w:pPr>
      <w:r w:rsidRPr="00325E40">
        <w:rPr>
          <w:rFonts w:ascii="Times New Roman" w:hAnsi="Times New Roman"/>
          <w:b/>
          <w:sz w:val="28"/>
          <w:szCs w:val="28"/>
        </w:rPr>
        <w:t>MATERIALS AND METHODS</w:t>
      </w:r>
    </w:p>
    <w:p w:rsidR="006E5F0C" w:rsidRPr="00325E40" w:rsidRDefault="006E5F0C" w:rsidP="00325E40">
      <w:pPr>
        <w:tabs>
          <w:tab w:val="left" w:pos="1365"/>
          <w:tab w:val="left" w:pos="2460"/>
        </w:tabs>
        <w:spacing w:after="240" w:line="240" w:lineRule="auto"/>
        <w:jc w:val="both"/>
        <w:rPr>
          <w:rFonts w:ascii="Times New Roman" w:hAnsi="Times New Roman"/>
          <w:b/>
          <w:sz w:val="24"/>
          <w:szCs w:val="24"/>
        </w:rPr>
      </w:pPr>
      <w:r w:rsidRPr="00325E40">
        <w:rPr>
          <w:rFonts w:ascii="Times New Roman" w:hAnsi="Times New Roman"/>
          <w:b/>
          <w:sz w:val="24"/>
          <w:szCs w:val="24"/>
        </w:rPr>
        <w:t>Study Area</w:t>
      </w:r>
    </w:p>
    <w:p w:rsidR="006E5F0C" w:rsidRPr="00325E40" w:rsidRDefault="006E5F0C" w:rsidP="00325E40">
      <w:pPr>
        <w:tabs>
          <w:tab w:val="left" w:pos="1365"/>
          <w:tab w:val="left" w:pos="2460"/>
        </w:tabs>
        <w:spacing w:after="240" w:line="240" w:lineRule="auto"/>
        <w:jc w:val="both"/>
        <w:rPr>
          <w:rFonts w:ascii="Times New Roman" w:hAnsi="Times New Roman"/>
          <w:sz w:val="24"/>
          <w:szCs w:val="24"/>
        </w:rPr>
      </w:pPr>
      <w:r w:rsidRPr="00325E40">
        <w:rPr>
          <w:rFonts w:ascii="Times New Roman" w:hAnsi="Times New Roman"/>
          <w:sz w:val="24"/>
          <w:szCs w:val="24"/>
        </w:rPr>
        <w:t xml:space="preserve">The study was conducted in Nekede, Imo State, located in the coastal plain sands region of southeastern Nigeria. The area experiences a tropical monsoon climate, with annual rainfall of 2,412 mm and mean temperatures of 25.9°C (NIMET, 2022; Lal, 2015). Nekede is a peri-urban settlement near Owerri, at the confluence of the </w:t>
      </w:r>
      <w:proofErr w:type="spellStart"/>
      <w:r w:rsidRPr="00325E40">
        <w:rPr>
          <w:rFonts w:ascii="Times New Roman" w:hAnsi="Times New Roman"/>
          <w:sz w:val="24"/>
          <w:szCs w:val="24"/>
        </w:rPr>
        <w:t>Nworie</w:t>
      </w:r>
      <w:proofErr w:type="spellEnd"/>
      <w:r w:rsidRPr="00325E40">
        <w:rPr>
          <w:rFonts w:ascii="Times New Roman" w:hAnsi="Times New Roman"/>
          <w:sz w:val="24"/>
          <w:szCs w:val="24"/>
        </w:rPr>
        <w:t xml:space="preserve"> and </w:t>
      </w:r>
      <w:proofErr w:type="spellStart"/>
      <w:r w:rsidRPr="00325E40">
        <w:rPr>
          <w:rFonts w:ascii="Times New Roman" w:hAnsi="Times New Roman"/>
          <w:sz w:val="24"/>
          <w:szCs w:val="24"/>
        </w:rPr>
        <w:t>Otamiri</w:t>
      </w:r>
      <w:proofErr w:type="spellEnd"/>
      <w:r w:rsidRPr="00325E40">
        <w:rPr>
          <w:rFonts w:ascii="Times New Roman" w:hAnsi="Times New Roman"/>
          <w:sz w:val="24"/>
          <w:szCs w:val="24"/>
        </w:rPr>
        <w:t xml:space="preserve"> Rivers (</w:t>
      </w:r>
      <w:proofErr w:type="spellStart"/>
      <w:r w:rsidRPr="00325E40">
        <w:rPr>
          <w:rFonts w:ascii="Times New Roman" w:hAnsi="Times New Roman"/>
          <w:sz w:val="24"/>
          <w:szCs w:val="24"/>
        </w:rPr>
        <w:t>Fidelis</w:t>
      </w:r>
      <w:proofErr w:type="spellEnd"/>
      <w:r w:rsidRPr="00325E40">
        <w:rPr>
          <w:rFonts w:ascii="Times New Roman" w:hAnsi="Times New Roman"/>
          <w:sz w:val="24"/>
          <w:szCs w:val="24"/>
        </w:rPr>
        <w:t xml:space="preserve"> </w:t>
      </w:r>
      <w:proofErr w:type="spellStart"/>
      <w:r w:rsidRPr="00325E40">
        <w:rPr>
          <w:rFonts w:ascii="Times New Roman" w:hAnsi="Times New Roman"/>
          <w:sz w:val="24"/>
          <w:szCs w:val="24"/>
        </w:rPr>
        <w:t>Okorie</w:t>
      </w:r>
      <w:proofErr w:type="spellEnd"/>
      <w:r w:rsidRPr="00325E40">
        <w:rPr>
          <w:rFonts w:ascii="Times New Roman" w:hAnsi="Times New Roman"/>
          <w:sz w:val="24"/>
          <w:szCs w:val="24"/>
        </w:rPr>
        <w:t xml:space="preserve"> et al., 2020; Ukaegbu et al., 2024). Rainfall occurs primarily in two wet seasons (</w:t>
      </w:r>
      <w:proofErr w:type="spellStart"/>
      <w:r w:rsidRPr="00325E40">
        <w:rPr>
          <w:rFonts w:ascii="Times New Roman" w:hAnsi="Times New Roman"/>
          <w:sz w:val="24"/>
          <w:szCs w:val="24"/>
        </w:rPr>
        <w:t>Ezemonye</w:t>
      </w:r>
      <w:proofErr w:type="spellEnd"/>
      <w:r w:rsidRPr="00325E40">
        <w:rPr>
          <w:rFonts w:ascii="Times New Roman" w:hAnsi="Times New Roman"/>
          <w:sz w:val="24"/>
          <w:szCs w:val="24"/>
        </w:rPr>
        <w:t xml:space="preserve"> &amp; </w:t>
      </w:r>
      <w:proofErr w:type="spellStart"/>
      <w:r w:rsidRPr="00325E40">
        <w:rPr>
          <w:rFonts w:ascii="Times New Roman" w:hAnsi="Times New Roman"/>
          <w:sz w:val="24"/>
          <w:szCs w:val="24"/>
        </w:rPr>
        <w:t>Emeribe</w:t>
      </w:r>
      <w:proofErr w:type="spellEnd"/>
      <w:r w:rsidRPr="00325E40">
        <w:rPr>
          <w:rFonts w:ascii="Times New Roman" w:hAnsi="Times New Roman"/>
          <w:sz w:val="24"/>
          <w:szCs w:val="24"/>
        </w:rPr>
        <w:t>, 2016).</w:t>
      </w:r>
    </w:p>
    <w:p w:rsidR="006E5F0C" w:rsidRPr="00325E40" w:rsidRDefault="006E5F0C" w:rsidP="00325E40">
      <w:pPr>
        <w:tabs>
          <w:tab w:val="left" w:pos="1365"/>
          <w:tab w:val="left" w:pos="2460"/>
        </w:tabs>
        <w:spacing w:after="240" w:line="240" w:lineRule="auto"/>
        <w:jc w:val="both"/>
        <w:rPr>
          <w:rFonts w:ascii="Times New Roman" w:hAnsi="Times New Roman"/>
          <w:sz w:val="24"/>
          <w:szCs w:val="24"/>
        </w:rPr>
      </w:pPr>
      <w:r w:rsidRPr="00325E40">
        <w:rPr>
          <w:rFonts w:ascii="Times New Roman" w:hAnsi="Times New Roman"/>
          <w:sz w:val="24"/>
          <w:szCs w:val="24"/>
        </w:rPr>
        <w:t>Parent materials are primarily marine-origin coastal plain sands with nearly level to gently undulating plains. Soil textures range from sandy loam to sandy clay loam with low fertility, high acidity, and low CEC (Obi &amp; Ebo, 2015). Land use predominantly involves arable farming with crops such as cassava, yam, maize, and melon (Ukaegbu et al., 2024).</w:t>
      </w:r>
    </w:p>
    <w:p w:rsidR="00E01082" w:rsidRPr="00325E40" w:rsidRDefault="00E01082" w:rsidP="00325E40">
      <w:pPr>
        <w:spacing w:after="240" w:line="240" w:lineRule="auto"/>
        <w:jc w:val="both"/>
        <w:rPr>
          <w:rFonts w:ascii="Times New Roman" w:hAnsi="Times New Roman"/>
          <w:b/>
          <w:sz w:val="24"/>
          <w:szCs w:val="24"/>
        </w:rPr>
      </w:pPr>
      <w:r w:rsidRPr="00325E40">
        <w:rPr>
          <w:rFonts w:ascii="Times New Roman" w:hAnsi="Times New Roman"/>
          <w:b/>
          <w:sz w:val="24"/>
          <w:szCs w:val="24"/>
        </w:rPr>
        <w:t>Field Study</w:t>
      </w:r>
    </w:p>
    <w:p w:rsidR="00F51037" w:rsidRPr="00325E40" w:rsidRDefault="006E5F0C" w:rsidP="00325E40">
      <w:pPr>
        <w:spacing w:after="240" w:line="240" w:lineRule="auto"/>
        <w:jc w:val="both"/>
        <w:rPr>
          <w:rFonts w:ascii="Times New Roman" w:hAnsi="Times New Roman"/>
          <w:sz w:val="24"/>
          <w:szCs w:val="24"/>
        </w:rPr>
      </w:pPr>
      <w:r w:rsidRPr="00325E40">
        <w:rPr>
          <w:rFonts w:ascii="Times New Roman" w:hAnsi="Times New Roman"/>
          <w:sz w:val="24"/>
          <w:szCs w:val="24"/>
        </w:rPr>
        <w:t xml:space="preserve">Soil samples were taken from five distinct locations at two depths: 0-20 cm (topsoil) and 20-40 cm (subsoil) following standard soil survey procedures (USDA, 2017). </w:t>
      </w:r>
      <w:r w:rsidR="00E01082" w:rsidRPr="00325E40">
        <w:rPr>
          <w:rFonts w:ascii="Times New Roman" w:hAnsi="Times New Roman"/>
          <w:sz w:val="24"/>
          <w:szCs w:val="24"/>
        </w:rPr>
        <w:t xml:space="preserve"> Composite samples were obtained from multiple point within each location</w:t>
      </w:r>
      <w:r w:rsidR="00CC065A" w:rsidRPr="00325E40">
        <w:rPr>
          <w:rFonts w:ascii="Times New Roman" w:hAnsi="Times New Roman"/>
          <w:sz w:val="24"/>
          <w:szCs w:val="24"/>
        </w:rPr>
        <w:t xml:space="preserve"> using a soil auger. Samples were air-dried, crushed, sieved with 2mm sieve, and prepared for laboratory analysis (Figure I) The field study ensured representation across varying soil types and land uses to capture fertility variability. The</w:t>
      </w:r>
      <w:r w:rsidRPr="00325E40">
        <w:rPr>
          <w:rFonts w:ascii="Times New Roman" w:hAnsi="Times New Roman"/>
          <w:sz w:val="24"/>
          <w:szCs w:val="24"/>
        </w:rPr>
        <w:t xml:space="preserve"> samples were analyzed for physical properties, including texture, bulk density, and particle size, and chemical properties, such as pH, organic carbon, total nitrogen, available phosphorus, exchangeable potassium, cation exchange capacity (CEC), and micronutrients using standard methods</w:t>
      </w:r>
      <w:r w:rsidR="0008528E" w:rsidRPr="00325E40">
        <w:rPr>
          <w:rFonts w:ascii="Times New Roman" w:hAnsi="Times New Roman"/>
          <w:sz w:val="24"/>
          <w:szCs w:val="24"/>
        </w:rPr>
        <w:t>.</w:t>
      </w:r>
      <w:r w:rsidRPr="00325E40">
        <w:rPr>
          <w:rFonts w:ascii="Times New Roman" w:hAnsi="Times New Roman"/>
          <w:sz w:val="24"/>
          <w:szCs w:val="24"/>
        </w:rPr>
        <w:t xml:space="preserve"> </w:t>
      </w:r>
    </w:p>
    <w:p w:rsidR="00F51037" w:rsidRPr="00325E40" w:rsidRDefault="006E5F0C" w:rsidP="00325E40">
      <w:pPr>
        <w:spacing w:after="240" w:line="240" w:lineRule="auto"/>
        <w:jc w:val="both"/>
        <w:rPr>
          <w:rFonts w:ascii="Times New Roman" w:hAnsi="Times New Roman"/>
          <w:b/>
          <w:sz w:val="24"/>
          <w:szCs w:val="24"/>
        </w:rPr>
      </w:pPr>
      <w:r w:rsidRPr="00325E40">
        <w:rPr>
          <w:rFonts w:ascii="Times New Roman" w:hAnsi="Times New Roman"/>
          <w:noProof/>
          <w:sz w:val="24"/>
          <w:szCs w:val="24"/>
          <w:lang w:eastAsia="en-US"/>
        </w:rPr>
        <w:drawing>
          <wp:inline distT="0" distB="0" distL="0" distR="0">
            <wp:extent cx="5810250" cy="3333750"/>
            <wp:effectExtent l="19050" t="0" r="0" b="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9" cstate="print"/>
                    <a:srcRect/>
                    <a:stretch/>
                  </pic:blipFill>
                  <pic:spPr>
                    <a:xfrm>
                      <a:off x="0" y="0"/>
                      <a:ext cx="5810250" cy="3333750"/>
                    </a:xfrm>
                    <a:prstGeom prst="rect">
                      <a:avLst/>
                    </a:prstGeom>
                  </pic:spPr>
                </pic:pic>
              </a:graphicData>
            </a:graphic>
          </wp:inline>
        </w:drawing>
      </w:r>
    </w:p>
    <w:p w:rsidR="00F51037" w:rsidRPr="00325E40" w:rsidRDefault="006E5F0C" w:rsidP="00325E40">
      <w:pPr>
        <w:spacing w:after="240" w:line="240" w:lineRule="auto"/>
        <w:jc w:val="both"/>
        <w:rPr>
          <w:rFonts w:ascii="Times New Roman" w:hAnsi="Times New Roman"/>
          <w:b/>
          <w:sz w:val="24"/>
          <w:szCs w:val="24"/>
        </w:rPr>
      </w:pPr>
      <w:r w:rsidRPr="00325E40">
        <w:rPr>
          <w:rFonts w:ascii="Times New Roman" w:hAnsi="Times New Roman"/>
          <w:b/>
          <w:sz w:val="24"/>
          <w:szCs w:val="24"/>
        </w:rPr>
        <w:lastRenderedPageBreak/>
        <w:t>Figure 1 Location Map of the Study area</w:t>
      </w:r>
    </w:p>
    <w:p w:rsidR="00F51037" w:rsidRPr="00325E40" w:rsidRDefault="006E5F0C" w:rsidP="00325E40">
      <w:pPr>
        <w:spacing w:after="240" w:line="240" w:lineRule="auto"/>
        <w:jc w:val="both"/>
        <w:rPr>
          <w:rFonts w:ascii="Times New Roman" w:hAnsi="Times New Roman"/>
          <w:b/>
          <w:sz w:val="24"/>
          <w:szCs w:val="24"/>
        </w:rPr>
      </w:pPr>
      <w:r w:rsidRPr="00325E40">
        <w:rPr>
          <w:rFonts w:ascii="Times New Roman" w:hAnsi="Times New Roman"/>
          <w:b/>
          <w:sz w:val="24"/>
          <w:szCs w:val="24"/>
        </w:rPr>
        <w:t>Laboratory Analysis</w:t>
      </w:r>
    </w:p>
    <w:p w:rsidR="00F51037" w:rsidRPr="00325E40" w:rsidRDefault="006E5F0C" w:rsidP="00325E40">
      <w:pPr>
        <w:spacing w:after="240" w:line="240" w:lineRule="auto"/>
        <w:jc w:val="both"/>
        <w:rPr>
          <w:rFonts w:ascii="Times New Roman" w:eastAsia="Calibri" w:hAnsi="Times New Roman"/>
          <w:sz w:val="24"/>
          <w:szCs w:val="24"/>
          <w:lang w:eastAsia="en-US"/>
        </w:rPr>
      </w:pPr>
      <w:r w:rsidRPr="00325E40">
        <w:rPr>
          <w:rFonts w:ascii="Times New Roman" w:hAnsi="Times New Roman"/>
          <w:sz w:val="24"/>
          <w:szCs w:val="24"/>
        </w:rPr>
        <w:t>Each sample was analyzed for key physical and chemical properties following standard procedures:</w:t>
      </w:r>
    </w:p>
    <w:p w:rsidR="00F51037" w:rsidRPr="00325E40" w:rsidRDefault="006E5F0C" w:rsidP="00325E40">
      <w:pPr>
        <w:spacing w:after="240" w:line="240" w:lineRule="auto"/>
        <w:jc w:val="both"/>
        <w:rPr>
          <w:rFonts w:ascii="Times New Roman" w:hAnsi="Times New Roman"/>
          <w:sz w:val="24"/>
          <w:szCs w:val="24"/>
        </w:rPr>
      </w:pPr>
      <w:r w:rsidRPr="00325E40">
        <w:rPr>
          <w:rFonts w:ascii="Times New Roman" w:hAnsi="Times New Roman"/>
          <w:sz w:val="24"/>
          <w:szCs w:val="24"/>
        </w:rPr>
        <w:t>Physical properties: Particle size distribution was determined using the hydrometer method (Gee &amp; Bauder, 2017), and bulk density was measured using the core method.</w:t>
      </w:r>
    </w:p>
    <w:p w:rsidR="00F51037" w:rsidRPr="00325E40" w:rsidRDefault="00872A7C" w:rsidP="00325E40">
      <w:pPr>
        <w:spacing w:after="240" w:line="240" w:lineRule="auto"/>
        <w:jc w:val="both"/>
        <w:rPr>
          <w:rFonts w:ascii="Times New Roman" w:hAnsi="Times New Roman"/>
          <w:b/>
          <w:bCs/>
          <w:sz w:val="24"/>
          <w:szCs w:val="24"/>
        </w:rPr>
      </w:pPr>
      <w:r>
        <w:rPr>
          <w:rFonts w:ascii="Times New Roman" w:hAnsi="Times New Roman"/>
          <w:b/>
          <w:bCs/>
          <w:sz w:val="24"/>
          <w:szCs w:val="24"/>
        </w:rPr>
        <w:t>Chemical properties</w:t>
      </w:r>
    </w:p>
    <w:p w:rsidR="00F51037" w:rsidRPr="00325E40" w:rsidRDefault="006E5F0C" w:rsidP="00325E40">
      <w:pPr>
        <w:spacing w:after="240" w:line="240" w:lineRule="auto"/>
        <w:jc w:val="both"/>
        <w:rPr>
          <w:rFonts w:ascii="Times New Roman" w:hAnsi="Times New Roman"/>
          <w:sz w:val="24"/>
          <w:szCs w:val="24"/>
        </w:rPr>
      </w:pPr>
      <w:proofErr w:type="gramStart"/>
      <w:r w:rsidRPr="00325E40">
        <w:rPr>
          <w:rFonts w:ascii="Times New Roman" w:hAnsi="Times New Roman"/>
          <w:sz w:val="24"/>
          <w:szCs w:val="24"/>
        </w:rPr>
        <w:t>pH</w:t>
      </w:r>
      <w:proofErr w:type="gramEnd"/>
      <w:r w:rsidRPr="00325E40">
        <w:rPr>
          <w:rFonts w:ascii="Times New Roman" w:hAnsi="Times New Roman"/>
          <w:sz w:val="24"/>
          <w:szCs w:val="24"/>
        </w:rPr>
        <w:t xml:space="preserve"> and EC: Soil pH was measured in a 1:1 soil-water suspension using a calibrated glass electrode; electrical conductivity was determined using a conductivity meter (McLean, 2020).</w:t>
      </w:r>
    </w:p>
    <w:p w:rsidR="00F51037" w:rsidRPr="00325E40" w:rsidRDefault="006E5F0C" w:rsidP="00325E40">
      <w:pPr>
        <w:spacing w:after="240" w:line="240" w:lineRule="auto"/>
        <w:jc w:val="both"/>
        <w:rPr>
          <w:rFonts w:ascii="Times New Roman" w:hAnsi="Times New Roman"/>
          <w:sz w:val="24"/>
          <w:szCs w:val="24"/>
        </w:rPr>
      </w:pPr>
      <w:r w:rsidRPr="00325E40">
        <w:rPr>
          <w:rFonts w:ascii="Times New Roman" w:hAnsi="Times New Roman"/>
          <w:sz w:val="24"/>
          <w:szCs w:val="24"/>
        </w:rPr>
        <w:t>Organic Carbon: The Walkley-Black wet oxidation method was used, with correction factors applied to estimate total organic carbon (Walkley &amp; Black, 2021).</w:t>
      </w:r>
    </w:p>
    <w:p w:rsidR="00F51037" w:rsidRPr="00325E40" w:rsidRDefault="006E5F0C" w:rsidP="00325E40">
      <w:pPr>
        <w:spacing w:after="240" w:line="240" w:lineRule="auto"/>
        <w:jc w:val="both"/>
        <w:rPr>
          <w:rFonts w:ascii="Times New Roman" w:hAnsi="Times New Roman"/>
          <w:sz w:val="24"/>
          <w:szCs w:val="24"/>
        </w:rPr>
      </w:pPr>
      <w:r w:rsidRPr="00325E40">
        <w:rPr>
          <w:rFonts w:ascii="Times New Roman" w:hAnsi="Times New Roman"/>
          <w:sz w:val="24"/>
          <w:szCs w:val="24"/>
        </w:rPr>
        <w:t>Total Nitrogen: The Kjeldahl method was employed, involving digestion, distillation, and titration (Brenner &amp; Mulvaney, 2017).</w:t>
      </w:r>
    </w:p>
    <w:p w:rsidR="00F51037" w:rsidRPr="00325E40" w:rsidRDefault="006E5F0C" w:rsidP="00325E40">
      <w:pPr>
        <w:spacing w:after="240" w:line="240" w:lineRule="auto"/>
        <w:jc w:val="both"/>
        <w:rPr>
          <w:rFonts w:ascii="Times New Roman" w:hAnsi="Times New Roman"/>
          <w:sz w:val="24"/>
          <w:szCs w:val="24"/>
        </w:rPr>
      </w:pPr>
      <w:r w:rsidRPr="00325E40">
        <w:rPr>
          <w:rFonts w:ascii="Times New Roman" w:hAnsi="Times New Roman"/>
          <w:sz w:val="24"/>
          <w:szCs w:val="24"/>
        </w:rPr>
        <w:t>Available Phosphorus: The Bray-1 method was used due to the acidic nature of the soils (Bray &amp; Kurtz, 2019).</w:t>
      </w:r>
    </w:p>
    <w:p w:rsidR="00F51037" w:rsidRPr="00325E40" w:rsidRDefault="006E5F0C" w:rsidP="00325E40">
      <w:pPr>
        <w:spacing w:after="240" w:line="240" w:lineRule="auto"/>
        <w:jc w:val="both"/>
        <w:rPr>
          <w:rFonts w:ascii="Times New Roman" w:hAnsi="Times New Roman"/>
          <w:sz w:val="24"/>
          <w:szCs w:val="24"/>
        </w:rPr>
      </w:pPr>
      <w:r w:rsidRPr="00325E40">
        <w:rPr>
          <w:rFonts w:ascii="Times New Roman" w:hAnsi="Times New Roman"/>
          <w:sz w:val="24"/>
          <w:szCs w:val="24"/>
        </w:rPr>
        <w:t>Exchangeable Bases: Ammonium acetate extraction at pH 7 was used to determine exchangeable K, Ca, Mg, and Na (Richards, 2016).</w:t>
      </w:r>
    </w:p>
    <w:p w:rsidR="00F51037" w:rsidRPr="00325E40" w:rsidRDefault="006E5F0C" w:rsidP="00325E40">
      <w:pPr>
        <w:spacing w:after="240" w:line="240" w:lineRule="auto"/>
        <w:jc w:val="both"/>
        <w:rPr>
          <w:rFonts w:ascii="Times New Roman" w:hAnsi="Times New Roman"/>
          <w:sz w:val="24"/>
          <w:szCs w:val="24"/>
        </w:rPr>
      </w:pPr>
      <w:r w:rsidRPr="00325E40">
        <w:rPr>
          <w:rFonts w:ascii="Times New Roman" w:hAnsi="Times New Roman"/>
          <w:sz w:val="24"/>
          <w:szCs w:val="24"/>
        </w:rPr>
        <w:t>Exchangeable Acidity: 1 M KCl extraction followed by titration was used to quantify Al³⁺ and H⁺.</w:t>
      </w:r>
    </w:p>
    <w:p w:rsidR="00F51037" w:rsidRPr="00325E40" w:rsidRDefault="006E5F0C" w:rsidP="00325E40">
      <w:pPr>
        <w:spacing w:after="240" w:line="240" w:lineRule="auto"/>
        <w:jc w:val="both"/>
        <w:rPr>
          <w:rFonts w:ascii="Times New Roman" w:hAnsi="Times New Roman"/>
          <w:sz w:val="24"/>
          <w:szCs w:val="24"/>
        </w:rPr>
      </w:pPr>
      <w:r w:rsidRPr="00325E40">
        <w:rPr>
          <w:rFonts w:ascii="Times New Roman" w:hAnsi="Times New Roman"/>
          <w:sz w:val="24"/>
          <w:szCs w:val="24"/>
        </w:rPr>
        <w:t>Cation Exchange Capacity (CEC): Effective CEC was calculated as the sum of exchangeable bases and exchangeable acidity; base saturation was computed accordingly.</w:t>
      </w:r>
    </w:p>
    <w:p w:rsidR="00F51037" w:rsidRPr="00325E40" w:rsidRDefault="006E5F0C" w:rsidP="00325E40">
      <w:pPr>
        <w:spacing w:after="240" w:line="240" w:lineRule="auto"/>
        <w:jc w:val="both"/>
        <w:rPr>
          <w:rFonts w:ascii="Times New Roman" w:hAnsi="Times New Roman"/>
          <w:sz w:val="24"/>
          <w:szCs w:val="24"/>
        </w:rPr>
      </w:pPr>
      <w:r w:rsidRPr="00325E40">
        <w:rPr>
          <w:rFonts w:ascii="Times New Roman" w:hAnsi="Times New Roman"/>
          <w:sz w:val="24"/>
          <w:szCs w:val="24"/>
        </w:rPr>
        <w:t>Micronutrients: DTPA extraction was used to determine available Fe, Zn, Cu, and Mn (Sultanpur &amp; Schwab, 2019).</w:t>
      </w:r>
    </w:p>
    <w:p w:rsidR="00F51037" w:rsidRPr="00325E40" w:rsidRDefault="006E5F0C" w:rsidP="00325E40">
      <w:pPr>
        <w:spacing w:after="240" w:line="240" w:lineRule="auto"/>
        <w:jc w:val="both"/>
        <w:rPr>
          <w:rFonts w:ascii="Times New Roman" w:hAnsi="Times New Roman"/>
          <w:sz w:val="24"/>
          <w:szCs w:val="24"/>
        </w:rPr>
      </w:pPr>
      <w:r w:rsidRPr="00325E40">
        <w:rPr>
          <w:rFonts w:ascii="Times New Roman" w:hAnsi="Times New Roman"/>
          <w:sz w:val="24"/>
          <w:szCs w:val="24"/>
        </w:rPr>
        <w:t>All measurements were performed in duplicate with quality control samples included. Results were recorded in standard units and validated using a certified reference soil.</w:t>
      </w:r>
    </w:p>
    <w:p w:rsidR="00F51037" w:rsidRPr="00325E40" w:rsidRDefault="006E5F0C" w:rsidP="00325E40">
      <w:pPr>
        <w:spacing w:after="240" w:line="240" w:lineRule="auto"/>
        <w:jc w:val="both"/>
        <w:rPr>
          <w:rFonts w:ascii="Times New Roman" w:hAnsi="Times New Roman"/>
          <w:b/>
          <w:sz w:val="24"/>
          <w:szCs w:val="24"/>
        </w:rPr>
      </w:pPr>
      <w:r w:rsidRPr="00325E40">
        <w:rPr>
          <w:rFonts w:ascii="Times New Roman" w:hAnsi="Times New Roman"/>
          <w:sz w:val="24"/>
          <w:szCs w:val="24"/>
        </w:rPr>
        <w:t xml:space="preserve"> </w:t>
      </w:r>
      <w:r w:rsidRPr="00325E40">
        <w:rPr>
          <w:rFonts w:ascii="Times New Roman" w:hAnsi="Times New Roman"/>
          <w:b/>
          <w:sz w:val="24"/>
          <w:szCs w:val="24"/>
        </w:rPr>
        <w:t>Data Analysis</w:t>
      </w:r>
    </w:p>
    <w:p w:rsidR="00F51037" w:rsidRPr="00325E40" w:rsidRDefault="006E5F0C" w:rsidP="00325E40">
      <w:pPr>
        <w:spacing w:after="240" w:line="240" w:lineRule="auto"/>
        <w:jc w:val="both"/>
        <w:rPr>
          <w:rFonts w:ascii="Times New Roman" w:eastAsia="Calibri" w:hAnsi="Times New Roman"/>
          <w:sz w:val="24"/>
          <w:szCs w:val="24"/>
          <w:lang w:eastAsia="en-US"/>
        </w:rPr>
      </w:pPr>
      <w:r w:rsidRPr="00325E40">
        <w:rPr>
          <w:rFonts w:ascii="Times New Roman" w:hAnsi="Times New Roman"/>
          <w:sz w:val="24"/>
          <w:szCs w:val="24"/>
        </w:rPr>
        <w:t xml:space="preserve">Descriptive statistics (mean, standard deviation, coefficient of variation) were computed for all soil parameters. The coefficient of variation was used to assess variability across sampling points (Ukaegbu </w:t>
      </w:r>
      <w:r w:rsidRPr="00325E40">
        <w:rPr>
          <w:rFonts w:ascii="Times New Roman" w:hAnsi="Times New Roman"/>
          <w:i/>
          <w:sz w:val="24"/>
          <w:szCs w:val="24"/>
        </w:rPr>
        <w:t>et al</w:t>
      </w:r>
      <w:r w:rsidRPr="00325E40">
        <w:rPr>
          <w:rFonts w:ascii="Times New Roman" w:hAnsi="Times New Roman"/>
          <w:sz w:val="24"/>
          <w:szCs w:val="24"/>
        </w:rPr>
        <w:t>., 2024). Inferential statistics such as ANOVA were employed to detect significant differences in soil properties between depths or locations. Where significant, post-hoc tests like Tukey’s HSD were conducted.</w:t>
      </w:r>
    </w:p>
    <w:p w:rsidR="00325E40" w:rsidRDefault="006E5F0C" w:rsidP="00325E40">
      <w:pPr>
        <w:spacing w:after="240" w:line="240" w:lineRule="auto"/>
        <w:jc w:val="both"/>
        <w:rPr>
          <w:rFonts w:ascii="Times New Roman" w:hAnsi="Times New Roman"/>
          <w:sz w:val="24"/>
          <w:szCs w:val="24"/>
        </w:rPr>
      </w:pPr>
      <w:r w:rsidRPr="00325E40">
        <w:rPr>
          <w:rFonts w:ascii="Times New Roman" w:hAnsi="Times New Roman"/>
          <w:sz w:val="24"/>
          <w:szCs w:val="24"/>
        </w:rPr>
        <w:t>Multivariate techniques, including Pearson correlation and principal component analysis, were used to explore relationships between soil variables and identify major soil fertility drivers.</w:t>
      </w:r>
    </w:p>
    <w:p w:rsidR="00F51037" w:rsidRPr="00325E40" w:rsidRDefault="00325E40" w:rsidP="00325E40">
      <w:pPr>
        <w:spacing w:after="240" w:line="240" w:lineRule="auto"/>
        <w:jc w:val="both"/>
        <w:rPr>
          <w:rFonts w:ascii="Times New Roman" w:hAnsi="Times New Roman"/>
          <w:b/>
          <w:sz w:val="28"/>
          <w:szCs w:val="28"/>
        </w:rPr>
      </w:pPr>
      <w:r w:rsidRPr="00325E40">
        <w:rPr>
          <w:rFonts w:ascii="Times New Roman" w:hAnsi="Times New Roman"/>
          <w:b/>
          <w:sz w:val="28"/>
          <w:szCs w:val="28"/>
        </w:rPr>
        <w:t>RESULTS AND DISCUSSION</w:t>
      </w:r>
    </w:p>
    <w:p w:rsidR="00F51037" w:rsidRDefault="006E5F0C" w:rsidP="00325E40">
      <w:pPr>
        <w:spacing w:after="240" w:line="240" w:lineRule="auto"/>
        <w:jc w:val="both"/>
        <w:rPr>
          <w:rFonts w:ascii="Times New Roman" w:hAnsi="Times New Roman"/>
          <w:b/>
          <w:sz w:val="24"/>
          <w:szCs w:val="24"/>
        </w:rPr>
      </w:pPr>
      <w:r w:rsidRPr="00325E40">
        <w:rPr>
          <w:rFonts w:ascii="Times New Roman" w:hAnsi="Times New Roman"/>
          <w:b/>
          <w:sz w:val="24"/>
          <w:szCs w:val="24"/>
        </w:rPr>
        <w:t>Table 1</w:t>
      </w:r>
      <w:r w:rsidRPr="00325E40">
        <w:rPr>
          <w:rFonts w:ascii="Times New Roman" w:hAnsi="Times New Roman"/>
          <w:sz w:val="24"/>
          <w:szCs w:val="24"/>
        </w:rPr>
        <w:t xml:space="preserve">: </w:t>
      </w:r>
      <w:r w:rsidRPr="00325E40">
        <w:rPr>
          <w:rFonts w:ascii="Times New Roman" w:hAnsi="Times New Roman"/>
          <w:b/>
          <w:sz w:val="24"/>
          <w:szCs w:val="24"/>
        </w:rPr>
        <w:t>Chemical and physical properties of soil in the study area for top soil (0-20cm)</w:t>
      </w:r>
    </w:p>
    <w:tbl>
      <w:tblPr>
        <w:tblStyle w:val="TableGrid"/>
        <w:tblW w:w="10975" w:type="dxa"/>
        <w:tblInd w:w="0" w:type="dxa"/>
        <w:tblLook w:val="04A0"/>
      </w:tblPr>
      <w:tblGrid>
        <w:gridCol w:w="977"/>
        <w:gridCol w:w="814"/>
        <w:gridCol w:w="1171"/>
        <w:gridCol w:w="919"/>
        <w:gridCol w:w="1126"/>
        <w:gridCol w:w="1264"/>
        <w:gridCol w:w="1190"/>
        <w:gridCol w:w="869"/>
        <w:gridCol w:w="839"/>
        <w:gridCol w:w="696"/>
        <w:gridCol w:w="1110"/>
      </w:tblGrid>
      <w:tr w:rsidR="00F51037" w:rsidRPr="00325E40" w:rsidTr="00325E40">
        <w:trPr>
          <w:trHeight w:val="410"/>
        </w:trPr>
        <w:tc>
          <w:tcPr>
            <w:tcW w:w="978" w:type="dxa"/>
            <w:hideMark/>
          </w:tcPr>
          <w:p w:rsidR="00F51037" w:rsidRPr="00325E40" w:rsidRDefault="006E5F0C" w:rsidP="00325E40">
            <w:pPr>
              <w:spacing w:after="0" w:line="240" w:lineRule="auto"/>
              <w:jc w:val="both"/>
              <w:rPr>
                <w:rFonts w:ascii="Times New Roman" w:hAnsi="Times New Roman"/>
                <w:b/>
                <w:sz w:val="24"/>
                <w:szCs w:val="24"/>
              </w:rPr>
            </w:pPr>
            <w:r w:rsidRPr="00325E40">
              <w:rPr>
                <w:rFonts w:ascii="Times New Roman" w:hAnsi="Times New Roman"/>
                <w:b/>
                <w:sz w:val="24"/>
                <w:szCs w:val="24"/>
              </w:rPr>
              <w:t>Sample ID</w:t>
            </w:r>
          </w:p>
        </w:tc>
        <w:tc>
          <w:tcPr>
            <w:tcW w:w="814" w:type="dxa"/>
            <w:hideMark/>
          </w:tcPr>
          <w:p w:rsidR="00F51037" w:rsidRPr="00325E40" w:rsidRDefault="006E5F0C" w:rsidP="00325E40">
            <w:pPr>
              <w:spacing w:after="0" w:line="240" w:lineRule="auto"/>
              <w:jc w:val="both"/>
              <w:rPr>
                <w:rFonts w:ascii="Times New Roman" w:hAnsi="Times New Roman"/>
                <w:b/>
                <w:sz w:val="24"/>
                <w:szCs w:val="24"/>
              </w:rPr>
            </w:pPr>
            <w:r w:rsidRPr="00325E40">
              <w:rPr>
                <w:rFonts w:ascii="Times New Roman" w:hAnsi="Times New Roman"/>
                <w:b/>
                <w:sz w:val="24"/>
                <w:szCs w:val="24"/>
              </w:rPr>
              <w:t>pH</w:t>
            </w:r>
          </w:p>
        </w:tc>
        <w:tc>
          <w:tcPr>
            <w:tcW w:w="1172" w:type="dxa"/>
            <w:hideMark/>
          </w:tcPr>
          <w:p w:rsidR="00F51037" w:rsidRPr="00325E40" w:rsidRDefault="006E5F0C" w:rsidP="00325E40">
            <w:pPr>
              <w:spacing w:after="0" w:line="240" w:lineRule="auto"/>
              <w:jc w:val="both"/>
              <w:rPr>
                <w:rFonts w:ascii="Times New Roman" w:hAnsi="Times New Roman"/>
                <w:b/>
                <w:sz w:val="24"/>
                <w:szCs w:val="24"/>
              </w:rPr>
            </w:pPr>
            <w:r w:rsidRPr="00325E40">
              <w:rPr>
                <w:rFonts w:ascii="Times New Roman" w:hAnsi="Times New Roman"/>
                <w:b/>
                <w:sz w:val="24"/>
                <w:szCs w:val="24"/>
              </w:rPr>
              <w:t>OC (%)</w:t>
            </w:r>
          </w:p>
        </w:tc>
        <w:tc>
          <w:tcPr>
            <w:tcW w:w="920" w:type="dxa"/>
            <w:hideMark/>
          </w:tcPr>
          <w:p w:rsidR="00F51037" w:rsidRPr="00325E40" w:rsidRDefault="006E5F0C" w:rsidP="00325E40">
            <w:pPr>
              <w:spacing w:after="0" w:line="240" w:lineRule="auto"/>
              <w:jc w:val="both"/>
              <w:rPr>
                <w:rFonts w:ascii="Times New Roman" w:hAnsi="Times New Roman"/>
                <w:b/>
                <w:sz w:val="24"/>
                <w:szCs w:val="24"/>
              </w:rPr>
            </w:pPr>
            <w:r w:rsidRPr="00325E40">
              <w:rPr>
                <w:rFonts w:ascii="Times New Roman" w:hAnsi="Times New Roman"/>
                <w:b/>
                <w:sz w:val="24"/>
                <w:szCs w:val="24"/>
              </w:rPr>
              <w:t>TN (%)</w:t>
            </w:r>
          </w:p>
        </w:tc>
        <w:tc>
          <w:tcPr>
            <w:tcW w:w="1126" w:type="dxa"/>
            <w:hideMark/>
          </w:tcPr>
          <w:p w:rsidR="00F51037" w:rsidRPr="00325E40" w:rsidRDefault="006E5F0C" w:rsidP="00325E40">
            <w:pPr>
              <w:spacing w:after="0" w:line="240" w:lineRule="auto"/>
              <w:jc w:val="both"/>
              <w:rPr>
                <w:rFonts w:ascii="Times New Roman" w:hAnsi="Times New Roman"/>
                <w:b/>
                <w:sz w:val="24"/>
                <w:szCs w:val="24"/>
              </w:rPr>
            </w:pPr>
            <w:r w:rsidRPr="00325E40">
              <w:rPr>
                <w:rFonts w:ascii="Times New Roman" w:hAnsi="Times New Roman"/>
                <w:b/>
                <w:sz w:val="24"/>
                <w:szCs w:val="24"/>
              </w:rPr>
              <w:t>P (mg/kg)</w:t>
            </w:r>
          </w:p>
        </w:tc>
        <w:tc>
          <w:tcPr>
            <w:tcW w:w="1264" w:type="dxa"/>
            <w:hideMark/>
          </w:tcPr>
          <w:p w:rsidR="00F51037" w:rsidRPr="00325E40" w:rsidRDefault="006E5F0C" w:rsidP="00325E40">
            <w:pPr>
              <w:spacing w:after="0" w:line="240" w:lineRule="auto"/>
              <w:jc w:val="both"/>
              <w:rPr>
                <w:rFonts w:ascii="Times New Roman" w:hAnsi="Times New Roman"/>
                <w:b/>
                <w:sz w:val="24"/>
                <w:szCs w:val="24"/>
              </w:rPr>
            </w:pPr>
            <w:r w:rsidRPr="00325E40">
              <w:rPr>
                <w:rFonts w:ascii="Times New Roman" w:hAnsi="Times New Roman"/>
                <w:b/>
                <w:sz w:val="24"/>
                <w:szCs w:val="24"/>
              </w:rPr>
              <w:t>K (cmol/kg)</w:t>
            </w:r>
          </w:p>
        </w:tc>
        <w:tc>
          <w:tcPr>
            <w:tcW w:w="1190" w:type="dxa"/>
            <w:hideMark/>
          </w:tcPr>
          <w:p w:rsidR="00F51037" w:rsidRPr="00325E40" w:rsidRDefault="006E5F0C" w:rsidP="00325E40">
            <w:pPr>
              <w:spacing w:after="0" w:line="240" w:lineRule="auto"/>
              <w:jc w:val="both"/>
              <w:rPr>
                <w:rFonts w:ascii="Times New Roman" w:hAnsi="Times New Roman"/>
                <w:b/>
                <w:sz w:val="24"/>
                <w:szCs w:val="24"/>
              </w:rPr>
            </w:pPr>
            <w:r w:rsidRPr="00325E40">
              <w:rPr>
                <w:rFonts w:ascii="Times New Roman" w:hAnsi="Times New Roman"/>
                <w:b/>
                <w:sz w:val="24"/>
                <w:szCs w:val="24"/>
              </w:rPr>
              <w:t>CEC (cmol/kg)</w:t>
            </w:r>
          </w:p>
        </w:tc>
        <w:tc>
          <w:tcPr>
            <w:tcW w:w="869" w:type="dxa"/>
            <w:hideMark/>
          </w:tcPr>
          <w:p w:rsidR="00F51037" w:rsidRPr="00325E40" w:rsidRDefault="006E5F0C" w:rsidP="00325E40">
            <w:pPr>
              <w:spacing w:after="0" w:line="240" w:lineRule="auto"/>
              <w:jc w:val="both"/>
              <w:rPr>
                <w:rFonts w:ascii="Times New Roman" w:hAnsi="Times New Roman"/>
                <w:b/>
                <w:sz w:val="24"/>
                <w:szCs w:val="24"/>
              </w:rPr>
            </w:pPr>
            <w:r w:rsidRPr="00325E40">
              <w:rPr>
                <w:rFonts w:ascii="Times New Roman" w:hAnsi="Times New Roman"/>
                <w:b/>
                <w:sz w:val="24"/>
                <w:szCs w:val="24"/>
              </w:rPr>
              <w:t>Sand (%)</w:t>
            </w:r>
          </w:p>
        </w:tc>
        <w:tc>
          <w:tcPr>
            <w:tcW w:w="840" w:type="dxa"/>
            <w:hideMark/>
          </w:tcPr>
          <w:p w:rsidR="00F51037" w:rsidRPr="00325E40" w:rsidRDefault="006E5F0C" w:rsidP="00325E40">
            <w:pPr>
              <w:spacing w:after="0" w:line="240" w:lineRule="auto"/>
              <w:jc w:val="both"/>
              <w:rPr>
                <w:rFonts w:ascii="Times New Roman" w:hAnsi="Times New Roman"/>
                <w:b/>
                <w:sz w:val="24"/>
                <w:szCs w:val="24"/>
              </w:rPr>
            </w:pPr>
            <w:r w:rsidRPr="00325E40">
              <w:rPr>
                <w:rFonts w:ascii="Times New Roman" w:hAnsi="Times New Roman"/>
                <w:b/>
                <w:sz w:val="24"/>
                <w:szCs w:val="24"/>
              </w:rPr>
              <w:t>Silt (%)</w:t>
            </w:r>
          </w:p>
        </w:tc>
        <w:tc>
          <w:tcPr>
            <w:tcW w:w="696" w:type="dxa"/>
            <w:hideMark/>
          </w:tcPr>
          <w:p w:rsidR="00F51037" w:rsidRPr="00325E40" w:rsidRDefault="006E5F0C" w:rsidP="00325E40">
            <w:pPr>
              <w:spacing w:after="0" w:line="240" w:lineRule="auto"/>
              <w:jc w:val="both"/>
              <w:rPr>
                <w:rFonts w:ascii="Times New Roman" w:hAnsi="Times New Roman"/>
                <w:b/>
                <w:sz w:val="24"/>
                <w:szCs w:val="24"/>
              </w:rPr>
            </w:pPr>
            <w:r w:rsidRPr="00325E40">
              <w:rPr>
                <w:rFonts w:ascii="Times New Roman" w:hAnsi="Times New Roman"/>
                <w:b/>
                <w:sz w:val="24"/>
                <w:szCs w:val="24"/>
              </w:rPr>
              <w:t>Clay (%)</w:t>
            </w:r>
          </w:p>
        </w:tc>
        <w:tc>
          <w:tcPr>
            <w:tcW w:w="1106" w:type="dxa"/>
            <w:hideMark/>
          </w:tcPr>
          <w:p w:rsidR="00F51037" w:rsidRPr="00325E40" w:rsidRDefault="006E5F0C" w:rsidP="00325E40">
            <w:pPr>
              <w:spacing w:after="0" w:line="240" w:lineRule="auto"/>
              <w:jc w:val="both"/>
              <w:rPr>
                <w:rFonts w:ascii="Times New Roman" w:hAnsi="Times New Roman"/>
                <w:b/>
                <w:sz w:val="24"/>
                <w:szCs w:val="24"/>
              </w:rPr>
            </w:pPr>
            <w:r w:rsidRPr="00325E40">
              <w:rPr>
                <w:rFonts w:ascii="Times New Roman" w:hAnsi="Times New Roman"/>
                <w:b/>
                <w:sz w:val="24"/>
                <w:szCs w:val="24"/>
              </w:rPr>
              <w:t>Textural Class</w:t>
            </w:r>
          </w:p>
        </w:tc>
      </w:tr>
      <w:tr w:rsidR="00F51037" w:rsidRPr="00325E40" w:rsidTr="00325E40">
        <w:tc>
          <w:tcPr>
            <w:tcW w:w="978"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L1</w:t>
            </w:r>
          </w:p>
        </w:tc>
        <w:tc>
          <w:tcPr>
            <w:tcW w:w="814"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5.3</w:t>
            </w:r>
          </w:p>
        </w:tc>
        <w:tc>
          <w:tcPr>
            <w:tcW w:w="1172"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1.50</w:t>
            </w:r>
          </w:p>
        </w:tc>
        <w:tc>
          <w:tcPr>
            <w:tcW w:w="920"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0.09</w:t>
            </w:r>
          </w:p>
        </w:tc>
        <w:tc>
          <w:tcPr>
            <w:tcW w:w="1126"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12.1</w:t>
            </w:r>
          </w:p>
        </w:tc>
        <w:tc>
          <w:tcPr>
            <w:tcW w:w="1264"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0.18</w:t>
            </w:r>
          </w:p>
        </w:tc>
        <w:tc>
          <w:tcPr>
            <w:tcW w:w="1190"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6.20</w:t>
            </w:r>
          </w:p>
        </w:tc>
        <w:tc>
          <w:tcPr>
            <w:tcW w:w="869"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80.0</w:t>
            </w:r>
          </w:p>
        </w:tc>
        <w:tc>
          <w:tcPr>
            <w:tcW w:w="840"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9.0</w:t>
            </w:r>
          </w:p>
        </w:tc>
        <w:tc>
          <w:tcPr>
            <w:tcW w:w="696"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11.0</w:t>
            </w:r>
          </w:p>
        </w:tc>
        <w:tc>
          <w:tcPr>
            <w:tcW w:w="1106"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Sandy Loam</w:t>
            </w:r>
          </w:p>
        </w:tc>
      </w:tr>
      <w:tr w:rsidR="00F51037" w:rsidRPr="00325E40" w:rsidTr="00325E40">
        <w:tc>
          <w:tcPr>
            <w:tcW w:w="978"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L2</w:t>
            </w:r>
          </w:p>
        </w:tc>
        <w:tc>
          <w:tcPr>
            <w:tcW w:w="814"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4.9</w:t>
            </w:r>
          </w:p>
        </w:tc>
        <w:tc>
          <w:tcPr>
            <w:tcW w:w="1172"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1.00</w:t>
            </w:r>
          </w:p>
        </w:tc>
        <w:tc>
          <w:tcPr>
            <w:tcW w:w="920"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0.07</w:t>
            </w:r>
          </w:p>
        </w:tc>
        <w:tc>
          <w:tcPr>
            <w:tcW w:w="1126"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8.5</w:t>
            </w:r>
          </w:p>
        </w:tc>
        <w:tc>
          <w:tcPr>
            <w:tcW w:w="1264"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0.12</w:t>
            </w:r>
          </w:p>
        </w:tc>
        <w:tc>
          <w:tcPr>
            <w:tcW w:w="1190"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5.10</w:t>
            </w:r>
          </w:p>
        </w:tc>
        <w:tc>
          <w:tcPr>
            <w:tcW w:w="869"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82.0</w:t>
            </w:r>
          </w:p>
        </w:tc>
        <w:tc>
          <w:tcPr>
            <w:tcW w:w="840"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8.0</w:t>
            </w:r>
          </w:p>
        </w:tc>
        <w:tc>
          <w:tcPr>
            <w:tcW w:w="696"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10.0</w:t>
            </w:r>
          </w:p>
        </w:tc>
        <w:tc>
          <w:tcPr>
            <w:tcW w:w="1106"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Sandy Loam</w:t>
            </w:r>
          </w:p>
        </w:tc>
      </w:tr>
      <w:tr w:rsidR="00F51037" w:rsidRPr="00325E40" w:rsidTr="00325E40">
        <w:tc>
          <w:tcPr>
            <w:tcW w:w="978"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L3</w:t>
            </w:r>
          </w:p>
        </w:tc>
        <w:tc>
          <w:tcPr>
            <w:tcW w:w="814"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 xml:space="preserve"> 5.2 </w:t>
            </w:r>
          </w:p>
        </w:tc>
        <w:tc>
          <w:tcPr>
            <w:tcW w:w="1172"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 xml:space="preserve">1.40 </w:t>
            </w:r>
          </w:p>
        </w:tc>
        <w:tc>
          <w:tcPr>
            <w:tcW w:w="920"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 xml:space="preserve">0.10 </w:t>
            </w:r>
          </w:p>
        </w:tc>
        <w:tc>
          <w:tcPr>
            <w:tcW w:w="1126"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 xml:space="preserve">10.2 </w:t>
            </w:r>
          </w:p>
        </w:tc>
        <w:tc>
          <w:tcPr>
            <w:tcW w:w="1264"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 xml:space="preserve">0.17 </w:t>
            </w:r>
          </w:p>
        </w:tc>
        <w:tc>
          <w:tcPr>
            <w:tcW w:w="1190"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 xml:space="preserve">6.50 </w:t>
            </w:r>
          </w:p>
        </w:tc>
        <w:tc>
          <w:tcPr>
            <w:tcW w:w="869"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75.0</w:t>
            </w:r>
          </w:p>
        </w:tc>
        <w:tc>
          <w:tcPr>
            <w:tcW w:w="840"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11.0</w:t>
            </w:r>
          </w:p>
        </w:tc>
        <w:tc>
          <w:tcPr>
            <w:tcW w:w="696"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 xml:space="preserve">14.0 </w:t>
            </w:r>
          </w:p>
        </w:tc>
        <w:tc>
          <w:tcPr>
            <w:tcW w:w="1106"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 xml:space="preserve">Sandy </w:t>
            </w:r>
            <w:r w:rsidRPr="00325E40">
              <w:rPr>
                <w:rFonts w:ascii="Times New Roman" w:hAnsi="Times New Roman"/>
                <w:sz w:val="24"/>
                <w:szCs w:val="24"/>
              </w:rPr>
              <w:lastRenderedPageBreak/>
              <w:t>Loam</w:t>
            </w:r>
          </w:p>
        </w:tc>
      </w:tr>
      <w:tr w:rsidR="00F51037" w:rsidRPr="00325E40" w:rsidTr="00325E40">
        <w:tc>
          <w:tcPr>
            <w:tcW w:w="978"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lastRenderedPageBreak/>
              <w:t xml:space="preserve">L4 </w:t>
            </w:r>
          </w:p>
        </w:tc>
        <w:tc>
          <w:tcPr>
            <w:tcW w:w="814"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 xml:space="preserve">4.8 </w:t>
            </w:r>
          </w:p>
        </w:tc>
        <w:tc>
          <w:tcPr>
            <w:tcW w:w="1172"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0.90</w:t>
            </w:r>
          </w:p>
        </w:tc>
        <w:tc>
          <w:tcPr>
            <w:tcW w:w="920"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 xml:space="preserve">0.06 </w:t>
            </w:r>
          </w:p>
        </w:tc>
        <w:tc>
          <w:tcPr>
            <w:tcW w:w="1126"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 xml:space="preserve">7.1 </w:t>
            </w:r>
          </w:p>
        </w:tc>
        <w:tc>
          <w:tcPr>
            <w:tcW w:w="1264"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 xml:space="preserve">0.11 </w:t>
            </w:r>
          </w:p>
        </w:tc>
        <w:tc>
          <w:tcPr>
            <w:tcW w:w="1190"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 xml:space="preserve">4.90 </w:t>
            </w:r>
          </w:p>
        </w:tc>
        <w:tc>
          <w:tcPr>
            <w:tcW w:w="869"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 xml:space="preserve">84.0 </w:t>
            </w:r>
          </w:p>
        </w:tc>
        <w:tc>
          <w:tcPr>
            <w:tcW w:w="840"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 xml:space="preserve">7 </w:t>
            </w:r>
          </w:p>
        </w:tc>
        <w:tc>
          <w:tcPr>
            <w:tcW w:w="696"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 xml:space="preserve">9.0 </w:t>
            </w:r>
          </w:p>
        </w:tc>
        <w:tc>
          <w:tcPr>
            <w:tcW w:w="1106"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Sandy Loam</w:t>
            </w:r>
          </w:p>
        </w:tc>
      </w:tr>
      <w:tr w:rsidR="00F51037" w:rsidRPr="00325E40" w:rsidTr="00325E40">
        <w:tc>
          <w:tcPr>
            <w:tcW w:w="978"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 xml:space="preserve">L5 </w:t>
            </w:r>
          </w:p>
        </w:tc>
        <w:tc>
          <w:tcPr>
            <w:tcW w:w="814"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 xml:space="preserve">5.3 </w:t>
            </w:r>
          </w:p>
        </w:tc>
        <w:tc>
          <w:tcPr>
            <w:tcW w:w="1172"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1.20</w:t>
            </w:r>
          </w:p>
        </w:tc>
        <w:tc>
          <w:tcPr>
            <w:tcW w:w="920"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 xml:space="preserve">0.08 </w:t>
            </w:r>
          </w:p>
        </w:tc>
        <w:tc>
          <w:tcPr>
            <w:tcW w:w="1126"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 xml:space="preserve">9.6 </w:t>
            </w:r>
          </w:p>
        </w:tc>
        <w:tc>
          <w:tcPr>
            <w:tcW w:w="1264"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0.17</w:t>
            </w:r>
          </w:p>
        </w:tc>
        <w:tc>
          <w:tcPr>
            <w:tcW w:w="1190"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6.30</w:t>
            </w:r>
          </w:p>
        </w:tc>
        <w:tc>
          <w:tcPr>
            <w:tcW w:w="869"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76.0</w:t>
            </w:r>
          </w:p>
        </w:tc>
        <w:tc>
          <w:tcPr>
            <w:tcW w:w="840"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10</w:t>
            </w:r>
          </w:p>
        </w:tc>
        <w:tc>
          <w:tcPr>
            <w:tcW w:w="696"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14.0</w:t>
            </w:r>
          </w:p>
        </w:tc>
        <w:tc>
          <w:tcPr>
            <w:tcW w:w="1106"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Sandy Loam</w:t>
            </w:r>
          </w:p>
        </w:tc>
      </w:tr>
      <w:tr w:rsidR="00F51037" w:rsidRPr="00325E40" w:rsidTr="00325E40">
        <w:tc>
          <w:tcPr>
            <w:tcW w:w="978"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 xml:space="preserve">Mean </w:t>
            </w:r>
          </w:p>
        </w:tc>
        <w:tc>
          <w:tcPr>
            <w:tcW w:w="814"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 xml:space="preserve">5.10 </w:t>
            </w:r>
          </w:p>
        </w:tc>
        <w:tc>
          <w:tcPr>
            <w:tcW w:w="1172"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1.24</w:t>
            </w:r>
          </w:p>
        </w:tc>
        <w:tc>
          <w:tcPr>
            <w:tcW w:w="920"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 xml:space="preserve">0.08 </w:t>
            </w:r>
          </w:p>
        </w:tc>
        <w:tc>
          <w:tcPr>
            <w:tcW w:w="1126"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 xml:space="preserve">9.50 </w:t>
            </w:r>
          </w:p>
        </w:tc>
        <w:tc>
          <w:tcPr>
            <w:tcW w:w="1264"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 xml:space="preserve">0.15 </w:t>
            </w:r>
          </w:p>
        </w:tc>
        <w:tc>
          <w:tcPr>
            <w:tcW w:w="1190"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 xml:space="preserve">5.80 </w:t>
            </w:r>
          </w:p>
        </w:tc>
        <w:tc>
          <w:tcPr>
            <w:tcW w:w="869"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 xml:space="preserve">79.4 </w:t>
            </w:r>
          </w:p>
        </w:tc>
        <w:tc>
          <w:tcPr>
            <w:tcW w:w="840"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 xml:space="preserve">9.0 </w:t>
            </w:r>
          </w:p>
        </w:tc>
        <w:tc>
          <w:tcPr>
            <w:tcW w:w="696"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 xml:space="preserve">11.6 </w:t>
            </w:r>
          </w:p>
        </w:tc>
        <w:tc>
          <w:tcPr>
            <w:tcW w:w="1106"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Sandy Loam</w:t>
            </w:r>
          </w:p>
        </w:tc>
      </w:tr>
    </w:tbl>
    <w:p w:rsidR="00325E40" w:rsidRDefault="00325E40" w:rsidP="00325E40">
      <w:pPr>
        <w:spacing w:after="0" w:line="240" w:lineRule="auto"/>
        <w:jc w:val="both"/>
        <w:rPr>
          <w:rFonts w:ascii="Times New Roman" w:hAnsi="Times New Roman"/>
          <w:b/>
          <w:sz w:val="24"/>
          <w:szCs w:val="24"/>
        </w:rPr>
      </w:pPr>
    </w:p>
    <w:p w:rsidR="00F51037" w:rsidRPr="00325E40" w:rsidRDefault="006E5F0C" w:rsidP="00325E40">
      <w:pPr>
        <w:spacing w:after="240" w:line="240" w:lineRule="auto"/>
        <w:jc w:val="both"/>
        <w:rPr>
          <w:rFonts w:ascii="Times New Roman" w:hAnsi="Times New Roman"/>
          <w:bCs/>
          <w:sz w:val="24"/>
          <w:szCs w:val="24"/>
          <w:lang w:eastAsia="en-US"/>
        </w:rPr>
      </w:pPr>
      <w:r w:rsidRPr="00325E40">
        <w:rPr>
          <w:rFonts w:ascii="Times New Roman" w:hAnsi="Times New Roman"/>
          <w:bCs/>
          <w:sz w:val="24"/>
          <w:szCs w:val="24"/>
        </w:rPr>
        <w:t>OC = Organic Carbon, TN = Total Nitrogen, P = Available Phosphorous, K = Exchangeable Potassium, CEC = Cation Exchange Capacity, pH = Acidity, L1 = School Research Farm L2 = School Research Farm, L3 = Uzommiri, L4 = Old Road Nekede, L5 = Uzommiri</w:t>
      </w:r>
    </w:p>
    <w:p w:rsidR="00F51037" w:rsidRPr="00325E40" w:rsidRDefault="006E5F0C" w:rsidP="00325E40">
      <w:pPr>
        <w:spacing w:after="240" w:line="240" w:lineRule="auto"/>
        <w:jc w:val="both"/>
        <w:rPr>
          <w:rFonts w:ascii="Times New Roman" w:eastAsia="Calibri" w:hAnsi="Times New Roman"/>
          <w:b/>
          <w:sz w:val="24"/>
          <w:szCs w:val="24"/>
          <w:lang w:eastAsia="en-US"/>
        </w:rPr>
      </w:pPr>
      <w:r w:rsidRPr="00325E40">
        <w:rPr>
          <w:rFonts w:ascii="Times New Roman" w:hAnsi="Times New Roman"/>
          <w:b/>
          <w:sz w:val="24"/>
          <w:szCs w:val="24"/>
        </w:rPr>
        <w:t>Table 2 Chemical and physical properties of soil in the study area for subsoil (20-40cm)</w:t>
      </w:r>
    </w:p>
    <w:tbl>
      <w:tblPr>
        <w:tblStyle w:val="TableGrid"/>
        <w:tblW w:w="10975" w:type="dxa"/>
        <w:tblInd w:w="0" w:type="dxa"/>
        <w:tblLook w:val="04A0"/>
      </w:tblPr>
      <w:tblGrid>
        <w:gridCol w:w="977"/>
        <w:gridCol w:w="810"/>
        <w:gridCol w:w="1167"/>
        <w:gridCol w:w="922"/>
        <w:gridCol w:w="1124"/>
        <w:gridCol w:w="1263"/>
        <w:gridCol w:w="1190"/>
        <w:gridCol w:w="867"/>
        <w:gridCol w:w="836"/>
        <w:gridCol w:w="706"/>
        <w:gridCol w:w="1113"/>
      </w:tblGrid>
      <w:tr w:rsidR="00F51037" w:rsidRPr="00325E40" w:rsidTr="00325E40">
        <w:trPr>
          <w:trHeight w:val="759"/>
        </w:trPr>
        <w:tc>
          <w:tcPr>
            <w:tcW w:w="977" w:type="dxa"/>
            <w:hideMark/>
          </w:tcPr>
          <w:p w:rsidR="00F51037" w:rsidRPr="00325E40" w:rsidRDefault="006E5F0C" w:rsidP="00872A7C">
            <w:pPr>
              <w:spacing w:after="120" w:line="240" w:lineRule="auto"/>
              <w:jc w:val="both"/>
              <w:rPr>
                <w:rFonts w:ascii="Times New Roman" w:hAnsi="Times New Roman"/>
                <w:b/>
                <w:sz w:val="24"/>
                <w:szCs w:val="24"/>
              </w:rPr>
            </w:pPr>
            <w:r w:rsidRPr="00325E40">
              <w:rPr>
                <w:rFonts w:ascii="Times New Roman" w:hAnsi="Times New Roman"/>
                <w:b/>
                <w:sz w:val="24"/>
                <w:szCs w:val="24"/>
              </w:rPr>
              <w:t>Sample ID</w:t>
            </w:r>
          </w:p>
        </w:tc>
        <w:tc>
          <w:tcPr>
            <w:tcW w:w="810" w:type="dxa"/>
            <w:hideMark/>
          </w:tcPr>
          <w:p w:rsidR="00F51037" w:rsidRPr="00325E40" w:rsidRDefault="006E5F0C" w:rsidP="00872A7C">
            <w:pPr>
              <w:spacing w:after="120" w:line="240" w:lineRule="auto"/>
              <w:jc w:val="both"/>
              <w:rPr>
                <w:rFonts w:ascii="Times New Roman" w:hAnsi="Times New Roman"/>
                <w:b/>
                <w:sz w:val="24"/>
                <w:szCs w:val="24"/>
              </w:rPr>
            </w:pPr>
            <w:r w:rsidRPr="00325E40">
              <w:rPr>
                <w:rFonts w:ascii="Times New Roman" w:hAnsi="Times New Roman"/>
                <w:b/>
                <w:sz w:val="24"/>
                <w:szCs w:val="24"/>
              </w:rPr>
              <w:t>pH</w:t>
            </w:r>
          </w:p>
        </w:tc>
        <w:tc>
          <w:tcPr>
            <w:tcW w:w="1167" w:type="dxa"/>
            <w:hideMark/>
          </w:tcPr>
          <w:p w:rsidR="00F51037" w:rsidRPr="00325E40" w:rsidRDefault="006E5F0C" w:rsidP="00872A7C">
            <w:pPr>
              <w:spacing w:after="120" w:line="240" w:lineRule="auto"/>
              <w:jc w:val="both"/>
              <w:rPr>
                <w:rFonts w:ascii="Times New Roman" w:hAnsi="Times New Roman"/>
                <w:b/>
                <w:sz w:val="24"/>
                <w:szCs w:val="24"/>
              </w:rPr>
            </w:pPr>
            <w:r w:rsidRPr="00325E40">
              <w:rPr>
                <w:rFonts w:ascii="Times New Roman" w:hAnsi="Times New Roman"/>
                <w:b/>
                <w:sz w:val="24"/>
                <w:szCs w:val="24"/>
              </w:rPr>
              <w:t>OC (%)</w:t>
            </w:r>
          </w:p>
        </w:tc>
        <w:tc>
          <w:tcPr>
            <w:tcW w:w="922" w:type="dxa"/>
            <w:hideMark/>
          </w:tcPr>
          <w:p w:rsidR="00F51037" w:rsidRPr="00325E40" w:rsidRDefault="006E5F0C" w:rsidP="00872A7C">
            <w:pPr>
              <w:spacing w:after="120" w:line="240" w:lineRule="auto"/>
              <w:jc w:val="both"/>
              <w:rPr>
                <w:rFonts w:ascii="Times New Roman" w:hAnsi="Times New Roman"/>
                <w:b/>
                <w:sz w:val="24"/>
                <w:szCs w:val="24"/>
              </w:rPr>
            </w:pPr>
            <w:r w:rsidRPr="00325E40">
              <w:rPr>
                <w:rFonts w:ascii="Times New Roman" w:hAnsi="Times New Roman"/>
                <w:b/>
                <w:sz w:val="24"/>
                <w:szCs w:val="24"/>
              </w:rPr>
              <w:t>TN (%)</w:t>
            </w:r>
          </w:p>
        </w:tc>
        <w:tc>
          <w:tcPr>
            <w:tcW w:w="1124" w:type="dxa"/>
            <w:hideMark/>
          </w:tcPr>
          <w:p w:rsidR="00F51037" w:rsidRPr="00325E40" w:rsidRDefault="006E5F0C" w:rsidP="00872A7C">
            <w:pPr>
              <w:spacing w:after="120" w:line="240" w:lineRule="auto"/>
              <w:jc w:val="both"/>
              <w:rPr>
                <w:rFonts w:ascii="Times New Roman" w:hAnsi="Times New Roman"/>
                <w:b/>
                <w:sz w:val="24"/>
                <w:szCs w:val="24"/>
              </w:rPr>
            </w:pPr>
            <w:r w:rsidRPr="00325E40">
              <w:rPr>
                <w:rFonts w:ascii="Times New Roman" w:hAnsi="Times New Roman"/>
                <w:b/>
                <w:sz w:val="24"/>
                <w:szCs w:val="24"/>
              </w:rPr>
              <w:t>P (mg/kg)</w:t>
            </w:r>
          </w:p>
        </w:tc>
        <w:tc>
          <w:tcPr>
            <w:tcW w:w="1263" w:type="dxa"/>
            <w:hideMark/>
          </w:tcPr>
          <w:p w:rsidR="00F51037" w:rsidRPr="00325E40" w:rsidRDefault="006E5F0C" w:rsidP="00872A7C">
            <w:pPr>
              <w:spacing w:after="120" w:line="240" w:lineRule="auto"/>
              <w:jc w:val="both"/>
              <w:rPr>
                <w:rFonts w:ascii="Times New Roman" w:hAnsi="Times New Roman"/>
                <w:b/>
                <w:sz w:val="24"/>
                <w:szCs w:val="24"/>
              </w:rPr>
            </w:pPr>
            <w:r w:rsidRPr="00325E40">
              <w:rPr>
                <w:rFonts w:ascii="Times New Roman" w:hAnsi="Times New Roman"/>
                <w:b/>
                <w:sz w:val="24"/>
                <w:szCs w:val="24"/>
              </w:rPr>
              <w:t>K (cmol/kg)</w:t>
            </w:r>
          </w:p>
        </w:tc>
        <w:tc>
          <w:tcPr>
            <w:tcW w:w="1190" w:type="dxa"/>
            <w:hideMark/>
          </w:tcPr>
          <w:p w:rsidR="00F51037" w:rsidRPr="00325E40" w:rsidRDefault="006E5F0C" w:rsidP="00872A7C">
            <w:pPr>
              <w:spacing w:after="120" w:line="240" w:lineRule="auto"/>
              <w:jc w:val="both"/>
              <w:rPr>
                <w:rFonts w:ascii="Times New Roman" w:hAnsi="Times New Roman"/>
                <w:b/>
                <w:sz w:val="24"/>
                <w:szCs w:val="24"/>
              </w:rPr>
            </w:pPr>
            <w:r w:rsidRPr="00325E40">
              <w:rPr>
                <w:rFonts w:ascii="Times New Roman" w:hAnsi="Times New Roman"/>
                <w:b/>
                <w:sz w:val="24"/>
                <w:szCs w:val="24"/>
              </w:rPr>
              <w:t>CEC (cmol/kg)</w:t>
            </w:r>
          </w:p>
        </w:tc>
        <w:tc>
          <w:tcPr>
            <w:tcW w:w="867" w:type="dxa"/>
            <w:hideMark/>
          </w:tcPr>
          <w:p w:rsidR="00F51037" w:rsidRPr="00325E40" w:rsidRDefault="006E5F0C" w:rsidP="00872A7C">
            <w:pPr>
              <w:spacing w:after="120" w:line="240" w:lineRule="auto"/>
              <w:jc w:val="both"/>
              <w:rPr>
                <w:rFonts w:ascii="Times New Roman" w:hAnsi="Times New Roman"/>
                <w:b/>
                <w:sz w:val="24"/>
                <w:szCs w:val="24"/>
              </w:rPr>
            </w:pPr>
            <w:r w:rsidRPr="00325E40">
              <w:rPr>
                <w:rFonts w:ascii="Times New Roman" w:hAnsi="Times New Roman"/>
                <w:b/>
                <w:sz w:val="24"/>
                <w:szCs w:val="24"/>
              </w:rPr>
              <w:t>Sand (%)</w:t>
            </w:r>
          </w:p>
        </w:tc>
        <w:tc>
          <w:tcPr>
            <w:tcW w:w="836" w:type="dxa"/>
            <w:hideMark/>
          </w:tcPr>
          <w:p w:rsidR="00F51037" w:rsidRPr="00325E40" w:rsidRDefault="006E5F0C" w:rsidP="00872A7C">
            <w:pPr>
              <w:spacing w:after="120" w:line="240" w:lineRule="auto"/>
              <w:jc w:val="both"/>
              <w:rPr>
                <w:rFonts w:ascii="Times New Roman" w:hAnsi="Times New Roman"/>
                <w:b/>
                <w:sz w:val="24"/>
                <w:szCs w:val="24"/>
              </w:rPr>
            </w:pPr>
            <w:r w:rsidRPr="00325E40">
              <w:rPr>
                <w:rFonts w:ascii="Times New Roman" w:hAnsi="Times New Roman"/>
                <w:b/>
                <w:sz w:val="24"/>
                <w:szCs w:val="24"/>
              </w:rPr>
              <w:t>Silt (%)</w:t>
            </w:r>
          </w:p>
        </w:tc>
        <w:tc>
          <w:tcPr>
            <w:tcW w:w="706" w:type="dxa"/>
            <w:hideMark/>
          </w:tcPr>
          <w:p w:rsidR="00F51037" w:rsidRPr="00325E40" w:rsidRDefault="006E5F0C" w:rsidP="00872A7C">
            <w:pPr>
              <w:spacing w:after="120" w:line="240" w:lineRule="auto"/>
              <w:jc w:val="both"/>
              <w:rPr>
                <w:rFonts w:ascii="Times New Roman" w:hAnsi="Times New Roman"/>
                <w:b/>
                <w:sz w:val="24"/>
                <w:szCs w:val="24"/>
              </w:rPr>
            </w:pPr>
            <w:r w:rsidRPr="00325E40">
              <w:rPr>
                <w:rFonts w:ascii="Times New Roman" w:hAnsi="Times New Roman"/>
                <w:b/>
                <w:sz w:val="24"/>
                <w:szCs w:val="24"/>
              </w:rPr>
              <w:t>Clay (%)</w:t>
            </w:r>
          </w:p>
        </w:tc>
        <w:tc>
          <w:tcPr>
            <w:tcW w:w="1113" w:type="dxa"/>
            <w:hideMark/>
          </w:tcPr>
          <w:p w:rsidR="00F51037" w:rsidRPr="00325E40" w:rsidRDefault="006E5F0C" w:rsidP="00872A7C">
            <w:pPr>
              <w:spacing w:after="120" w:line="240" w:lineRule="auto"/>
              <w:jc w:val="both"/>
              <w:rPr>
                <w:rFonts w:ascii="Times New Roman" w:hAnsi="Times New Roman"/>
                <w:b/>
                <w:sz w:val="24"/>
                <w:szCs w:val="24"/>
              </w:rPr>
            </w:pPr>
            <w:r w:rsidRPr="00325E40">
              <w:rPr>
                <w:rFonts w:ascii="Times New Roman" w:hAnsi="Times New Roman"/>
                <w:b/>
                <w:sz w:val="24"/>
                <w:szCs w:val="24"/>
              </w:rPr>
              <w:t>Textural Class</w:t>
            </w:r>
          </w:p>
        </w:tc>
      </w:tr>
      <w:tr w:rsidR="00F51037" w:rsidRPr="00325E40" w:rsidTr="00325E40">
        <w:tc>
          <w:tcPr>
            <w:tcW w:w="977"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L1 </w:t>
            </w:r>
          </w:p>
        </w:tc>
        <w:tc>
          <w:tcPr>
            <w:tcW w:w="810"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5.1 </w:t>
            </w:r>
          </w:p>
        </w:tc>
        <w:tc>
          <w:tcPr>
            <w:tcW w:w="1167"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1.00 </w:t>
            </w:r>
          </w:p>
        </w:tc>
        <w:tc>
          <w:tcPr>
            <w:tcW w:w="922"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0.06 </w:t>
            </w:r>
          </w:p>
        </w:tc>
        <w:tc>
          <w:tcPr>
            <w:tcW w:w="1124"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8.2 </w:t>
            </w:r>
          </w:p>
        </w:tc>
        <w:tc>
          <w:tcPr>
            <w:tcW w:w="1263"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0.13 </w:t>
            </w:r>
          </w:p>
        </w:tc>
        <w:tc>
          <w:tcPr>
            <w:tcW w:w="1190"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6.50 </w:t>
            </w:r>
          </w:p>
        </w:tc>
        <w:tc>
          <w:tcPr>
            <w:tcW w:w="867"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78.0 </w:t>
            </w:r>
          </w:p>
        </w:tc>
        <w:tc>
          <w:tcPr>
            <w:tcW w:w="836"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8.0 </w:t>
            </w:r>
          </w:p>
        </w:tc>
        <w:tc>
          <w:tcPr>
            <w:tcW w:w="706"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14.0</w:t>
            </w:r>
          </w:p>
        </w:tc>
        <w:tc>
          <w:tcPr>
            <w:tcW w:w="1113"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Sandy Loam</w:t>
            </w:r>
          </w:p>
        </w:tc>
      </w:tr>
      <w:tr w:rsidR="00F51037" w:rsidRPr="00325E40" w:rsidTr="00325E40">
        <w:tc>
          <w:tcPr>
            <w:tcW w:w="977"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L2 </w:t>
            </w:r>
          </w:p>
        </w:tc>
        <w:tc>
          <w:tcPr>
            <w:tcW w:w="810"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4.7 </w:t>
            </w:r>
          </w:p>
        </w:tc>
        <w:tc>
          <w:tcPr>
            <w:tcW w:w="1167"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0.70 </w:t>
            </w:r>
          </w:p>
        </w:tc>
        <w:tc>
          <w:tcPr>
            <w:tcW w:w="922"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0.04 </w:t>
            </w:r>
          </w:p>
        </w:tc>
        <w:tc>
          <w:tcPr>
            <w:tcW w:w="1124"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5.1 </w:t>
            </w:r>
          </w:p>
        </w:tc>
        <w:tc>
          <w:tcPr>
            <w:tcW w:w="1263"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0.08 </w:t>
            </w:r>
          </w:p>
        </w:tc>
        <w:tc>
          <w:tcPr>
            <w:tcW w:w="1190"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5.30 </w:t>
            </w:r>
          </w:p>
        </w:tc>
        <w:tc>
          <w:tcPr>
            <w:tcW w:w="867"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80.0 </w:t>
            </w:r>
          </w:p>
        </w:tc>
        <w:tc>
          <w:tcPr>
            <w:tcW w:w="836"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7.0 </w:t>
            </w:r>
          </w:p>
        </w:tc>
        <w:tc>
          <w:tcPr>
            <w:tcW w:w="706"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13.0 </w:t>
            </w:r>
          </w:p>
        </w:tc>
        <w:tc>
          <w:tcPr>
            <w:tcW w:w="1113"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Sandy Loam</w:t>
            </w:r>
          </w:p>
        </w:tc>
      </w:tr>
      <w:tr w:rsidR="00F51037" w:rsidRPr="00325E40" w:rsidTr="00325E40">
        <w:tc>
          <w:tcPr>
            <w:tcW w:w="977"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L3 </w:t>
            </w:r>
          </w:p>
        </w:tc>
        <w:tc>
          <w:tcPr>
            <w:tcW w:w="810"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4.9 </w:t>
            </w:r>
          </w:p>
        </w:tc>
        <w:tc>
          <w:tcPr>
            <w:tcW w:w="1167"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0.90 </w:t>
            </w:r>
          </w:p>
        </w:tc>
        <w:tc>
          <w:tcPr>
            <w:tcW w:w="922"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0.05 </w:t>
            </w:r>
          </w:p>
        </w:tc>
        <w:tc>
          <w:tcPr>
            <w:tcW w:w="1124"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6.8 </w:t>
            </w:r>
          </w:p>
        </w:tc>
        <w:tc>
          <w:tcPr>
            <w:tcW w:w="1263"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0.12 </w:t>
            </w:r>
          </w:p>
        </w:tc>
        <w:tc>
          <w:tcPr>
            <w:tcW w:w="1190"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7.10 </w:t>
            </w:r>
          </w:p>
        </w:tc>
        <w:tc>
          <w:tcPr>
            <w:tcW w:w="867"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72.0 </w:t>
            </w:r>
          </w:p>
        </w:tc>
        <w:tc>
          <w:tcPr>
            <w:tcW w:w="836"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10.0 </w:t>
            </w:r>
          </w:p>
        </w:tc>
        <w:tc>
          <w:tcPr>
            <w:tcW w:w="706"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18.0 </w:t>
            </w:r>
          </w:p>
        </w:tc>
        <w:tc>
          <w:tcPr>
            <w:tcW w:w="1113"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Sandy Loam</w:t>
            </w:r>
          </w:p>
        </w:tc>
      </w:tr>
      <w:tr w:rsidR="00F51037" w:rsidRPr="00325E40" w:rsidTr="00325E40">
        <w:tc>
          <w:tcPr>
            <w:tcW w:w="977"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L4 </w:t>
            </w:r>
          </w:p>
        </w:tc>
        <w:tc>
          <w:tcPr>
            <w:tcW w:w="810"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4.6 </w:t>
            </w:r>
          </w:p>
        </w:tc>
        <w:tc>
          <w:tcPr>
            <w:tcW w:w="1167"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0.60 </w:t>
            </w:r>
          </w:p>
        </w:tc>
        <w:tc>
          <w:tcPr>
            <w:tcW w:w="922"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0.03 </w:t>
            </w:r>
          </w:p>
        </w:tc>
        <w:tc>
          <w:tcPr>
            <w:tcW w:w="1124"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4.5 </w:t>
            </w:r>
          </w:p>
        </w:tc>
        <w:tc>
          <w:tcPr>
            <w:tcW w:w="1263"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0.06 </w:t>
            </w:r>
          </w:p>
        </w:tc>
        <w:tc>
          <w:tcPr>
            <w:tcW w:w="1190"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5.00 </w:t>
            </w:r>
          </w:p>
        </w:tc>
        <w:tc>
          <w:tcPr>
            <w:tcW w:w="867"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82.0 </w:t>
            </w:r>
          </w:p>
        </w:tc>
        <w:tc>
          <w:tcPr>
            <w:tcW w:w="836"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6.0 </w:t>
            </w:r>
          </w:p>
        </w:tc>
        <w:tc>
          <w:tcPr>
            <w:tcW w:w="706"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12.0 </w:t>
            </w:r>
          </w:p>
        </w:tc>
        <w:tc>
          <w:tcPr>
            <w:tcW w:w="1113"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Sandy Loam</w:t>
            </w:r>
          </w:p>
        </w:tc>
      </w:tr>
      <w:tr w:rsidR="00F51037" w:rsidRPr="00325E40" w:rsidTr="00325E40">
        <w:tc>
          <w:tcPr>
            <w:tcW w:w="977"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L5 </w:t>
            </w:r>
          </w:p>
        </w:tc>
        <w:tc>
          <w:tcPr>
            <w:tcW w:w="810"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5.0 </w:t>
            </w:r>
          </w:p>
        </w:tc>
        <w:tc>
          <w:tcPr>
            <w:tcW w:w="1167"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0.80 </w:t>
            </w:r>
          </w:p>
        </w:tc>
        <w:tc>
          <w:tcPr>
            <w:tcW w:w="922"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0.05 </w:t>
            </w:r>
          </w:p>
        </w:tc>
        <w:tc>
          <w:tcPr>
            <w:tcW w:w="1124"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6.4 </w:t>
            </w:r>
          </w:p>
        </w:tc>
        <w:tc>
          <w:tcPr>
            <w:tcW w:w="1263"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0.11 </w:t>
            </w:r>
          </w:p>
        </w:tc>
        <w:tc>
          <w:tcPr>
            <w:tcW w:w="1190"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6.60 </w:t>
            </w:r>
          </w:p>
        </w:tc>
        <w:tc>
          <w:tcPr>
            <w:tcW w:w="867"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73.0 </w:t>
            </w:r>
          </w:p>
        </w:tc>
        <w:tc>
          <w:tcPr>
            <w:tcW w:w="836"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9.0 </w:t>
            </w:r>
          </w:p>
        </w:tc>
        <w:tc>
          <w:tcPr>
            <w:tcW w:w="706"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18.0 </w:t>
            </w:r>
          </w:p>
        </w:tc>
        <w:tc>
          <w:tcPr>
            <w:tcW w:w="1113"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Sandy Loam</w:t>
            </w:r>
          </w:p>
        </w:tc>
      </w:tr>
      <w:tr w:rsidR="00F51037" w:rsidRPr="00325E40" w:rsidTr="00325E40">
        <w:tc>
          <w:tcPr>
            <w:tcW w:w="977"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Mean </w:t>
            </w:r>
          </w:p>
        </w:tc>
        <w:tc>
          <w:tcPr>
            <w:tcW w:w="810"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4.88 </w:t>
            </w:r>
          </w:p>
        </w:tc>
        <w:tc>
          <w:tcPr>
            <w:tcW w:w="1167"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0.80 </w:t>
            </w:r>
          </w:p>
        </w:tc>
        <w:tc>
          <w:tcPr>
            <w:tcW w:w="922"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0.05 </w:t>
            </w:r>
          </w:p>
        </w:tc>
        <w:tc>
          <w:tcPr>
            <w:tcW w:w="1124"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6.20</w:t>
            </w:r>
          </w:p>
        </w:tc>
        <w:tc>
          <w:tcPr>
            <w:tcW w:w="1263"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0.10 </w:t>
            </w:r>
          </w:p>
        </w:tc>
        <w:tc>
          <w:tcPr>
            <w:tcW w:w="1190"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6.1 0</w:t>
            </w:r>
          </w:p>
        </w:tc>
        <w:tc>
          <w:tcPr>
            <w:tcW w:w="867"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77.0 </w:t>
            </w:r>
          </w:p>
        </w:tc>
        <w:tc>
          <w:tcPr>
            <w:tcW w:w="836"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8.0 </w:t>
            </w:r>
          </w:p>
        </w:tc>
        <w:tc>
          <w:tcPr>
            <w:tcW w:w="706"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 xml:space="preserve">15.0 </w:t>
            </w:r>
          </w:p>
        </w:tc>
        <w:tc>
          <w:tcPr>
            <w:tcW w:w="1113" w:type="dxa"/>
            <w:hideMark/>
          </w:tcPr>
          <w:p w:rsidR="00F51037" w:rsidRPr="00325E40" w:rsidRDefault="006E5F0C" w:rsidP="00872A7C">
            <w:pPr>
              <w:spacing w:after="120" w:line="240" w:lineRule="auto"/>
              <w:jc w:val="both"/>
              <w:rPr>
                <w:rFonts w:ascii="Times New Roman" w:hAnsi="Times New Roman"/>
                <w:sz w:val="24"/>
                <w:szCs w:val="24"/>
              </w:rPr>
            </w:pPr>
            <w:r w:rsidRPr="00325E40">
              <w:rPr>
                <w:rFonts w:ascii="Times New Roman" w:hAnsi="Times New Roman"/>
                <w:sz w:val="24"/>
                <w:szCs w:val="24"/>
              </w:rPr>
              <w:t>Sandy Loam</w:t>
            </w:r>
          </w:p>
        </w:tc>
      </w:tr>
    </w:tbl>
    <w:p w:rsidR="00325E40" w:rsidRDefault="00325E40" w:rsidP="00325E40">
      <w:pPr>
        <w:spacing w:after="0" w:line="240" w:lineRule="auto"/>
        <w:jc w:val="both"/>
        <w:rPr>
          <w:rFonts w:ascii="Times New Roman" w:hAnsi="Times New Roman"/>
          <w:b/>
          <w:sz w:val="24"/>
          <w:szCs w:val="24"/>
        </w:rPr>
      </w:pPr>
    </w:p>
    <w:p w:rsidR="00F51037" w:rsidRPr="00325E40" w:rsidRDefault="006E5F0C" w:rsidP="00325E40">
      <w:pPr>
        <w:spacing w:after="240" w:line="240" w:lineRule="auto"/>
        <w:jc w:val="both"/>
        <w:rPr>
          <w:rFonts w:ascii="Times New Roman" w:hAnsi="Times New Roman"/>
          <w:bCs/>
          <w:sz w:val="24"/>
          <w:szCs w:val="24"/>
          <w:lang w:eastAsia="en-US"/>
        </w:rPr>
      </w:pPr>
      <w:r w:rsidRPr="00325E40">
        <w:rPr>
          <w:rFonts w:ascii="Times New Roman" w:hAnsi="Times New Roman"/>
          <w:bCs/>
          <w:sz w:val="24"/>
          <w:szCs w:val="24"/>
        </w:rPr>
        <w:t>OC = Organic Carbon, TN = Total Nitrogen, P = Available phosphorous, K = Exchangeable Potassium, CEC = Cation Exchange Capacity, pH = Acidity, L1 = School research farm L2 =School research farm, L3 = Uzommiri, L4 =Old road Nekede, L5 = Uzommiri</w:t>
      </w:r>
    </w:p>
    <w:p w:rsidR="00F51037" w:rsidRPr="00325E40" w:rsidRDefault="006E5F0C" w:rsidP="00325E40">
      <w:pPr>
        <w:spacing w:after="240" w:line="240" w:lineRule="auto"/>
        <w:jc w:val="both"/>
        <w:rPr>
          <w:rFonts w:ascii="Times New Roman" w:hAnsi="Times New Roman"/>
          <w:sz w:val="24"/>
          <w:szCs w:val="24"/>
        </w:rPr>
      </w:pPr>
      <w:r w:rsidRPr="00325E40">
        <w:rPr>
          <w:rFonts w:ascii="Times New Roman" w:hAnsi="Times New Roman"/>
          <w:sz w:val="24"/>
          <w:szCs w:val="24"/>
        </w:rPr>
        <w:t>The soils in the Nekede area were found to be predominantly sandy loam, with a high sand content (&gt;75%). The topsoil had a mean pH of 5.1, while the subsoil was more acidic with a pH of 4.9. Organic carbon content in the topsoil was low, averaging 1.2%, and the subsoil had even lower organic carbon levels. Both topsoil and subsoil exhibited deficiencies in available phosphorus and exchangeable potassium, with CEC values below 6.1 cmol/kg, indicating poor nutrient retention capacity these findings align with the study conducted by (Mbagwu &amp; Anikwe, 2018; Ukaegbu et al., 2024) on Soil properties and productivity of southeastern Nigeria soils.</w:t>
      </w:r>
    </w:p>
    <w:p w:rsidR="00F51037" w:rsidRPr="00325E40" w:rsidRDefault="006E5F0C" w:rsidP="00325E40">
      <w:pPr>
        <w:spacing w:after="120" w:line="240" w:lineRule="auto"/>
        <w:jc w:val="both"/>
        <w:rPr>
          <w:rFonts w:ascii="Times New Roman" w:hAnsi="Times New Roman"/>
          <w:sz w:val="24"/>
          <w:szCs w:val="24"/>
        </w:rPr>
      </w:pPr>
      <w:r w:rsidRPr="00325E40">
        <w:rPr>
          <w:rFonts w:ascii="Times New Roman" w:hAnsi="Times New Roman"/>
          <w:sz w:val="24"/>
          <w:szCs w:val="24"/>
        </w:rPr>
        <w:t>The strongly acidic nature of the soils (mean pH 5.1 in topsoil and 4.9 in subsoil) is consistent with soils of humid tropical environments where heavy rainfall enhances leaching of basic cations and accumulation of exchangeable aluminum (Brady &amp; Weil, 2017; Sanchez, 2019). Low organic carbon and total nitrogen values observed in both depths further indicate poor inherent fertility and limited biological activity, which negatively affect soil structure and nutrient cycling (Lal, 2015).</w:t>
      </w:r>
    </w:p>
    <w:p w:rsidR="00F51037" w:rsidRDefault="006E5F0C" w:rsidP="00325E40">
      <w:pPr>
        <w:spacing w:after="240" w:line="240" w:lineRule="auto"/>
        <w:jc w:val="both"/>
        <w:rPr>
          <w:rFonts w:ascii="Times New Roman" w:hAnsi="Times New Roman"/>
          <w:sz w:val="24"/>
          <w:szCs w:val="24"/>
        </w:rPr>
      </w:pPr>
      <w:r w:rsidRPr="00325E40">
        <w:rPr>
          <w:rFonts w:ascii="Times New Roman" w:hAnsi="Times New Roman"/>
          <w:sz w:val="24"/>
          <w:szCs w:val="24"/>
        </w:rPr>
        <w:t>The low available phosphorus and exchangeable potassium recorded in the soils reflect the combined effects of phosphorus fixation under acidic conditions and potassium leaching in sandy soils (Havlin et al., 2014; Obalum et al., 2017). The very low CEC values (&lt;6.1 cmol/kg) indicate poor nutrient holding capacity, a common limitation of sandy tropical soils (Brady &amp; Weil, 2017).</w:t>
      </w:r>
    </w:p>
    <w:p w:rsidR="00872A7C" w:rsidRPr="00325E40" w:rsidRDefault="00872A7C" w:rsidP="00325E40">
      <w:pPr>
        <w:spacing w:after="240" w:line="240" w:lineRule="auto"/>
        <w:jc w:val="both"/>
        <w:rPr>
          <w:rFonts w:ascii="Times New Roman" w:hAnsi="Times New Roman"/>
          <w:sz w:val="24"/>
          <w:szCs w:val="24"/>
        </w:rPr>
      </w:pPr>
    </w:p>
    <w:p w:rsidR="00F51037" w:rsidRPr="00325E40" w:rsidRDefault="006E5F0C" w:rsidP="00325E40">
      <w:pPr>
        <w:spacing w:after="240" w:line="240" w:lineRule="auto"/>
        <w:jc w:val="both"/>
        <w:rPr>
          <w:rFonts w:ascii="Times New Roman" w:hAnsi="Times New Roman"/>
          <w:b/>
          <w:sz w:val="24"/>
          <w:szCs w:val="24"/>
        </w:rPr>
      </w:pPr>
      <w:r w:rsidRPr="00325E40">
        <w:rPr>
          <w:rFonts w:ascii="Times New Roman" w:hAnsi="Times New Roman"/>
          <w:b/>
          <w:sz w:val="24"/>
          <w:szCs w:val="24"/>
        </w:rPr>
        <w:lastRenderedPageBreak/>
        <w:t>Statistical Analysis of Key Soil Properties between Depths</w:t>
      </w:r>
    </w:p>
    <w:tbl>
      <w:tblPr>
        <w:tblStyle w:val="TableGrid"/>
        <w:tblW w:w="10710" w:type="dxa"/>
        <w:tblInd w:w="0" w:type="dxa"/>
        <w:tblLook w:val="04A0"/>
      </w:tblPr>
      <w:tblGrid>
        <w:gridCol w:w="2112"/>
        <w:gridCol w:w="2208"/>
        <w:gridCol w:w="1615"/>
        <w:gridCol w:w="545"/>
        <w:gridCol w:w="1710"/>
        <w:gridCol w:w="1260"/>
        <w:gridCol w:w="1260"/>
      </w:tblGrid>
      <w:tr w:rsidR="00F51037" w:rsidRPr="00325E40" w:rsidTr="00325E40">
        <w:tc>
          <w:tcPr>
            <w:tcW w:w="2112" w:type="dxa"/>
            <w:hideMark/>
          </w:tcPr>
          <w:p w:rsidR="00F51037" w:rsidRPr="00325E40" w:rsidRDefault="006E5F0C" w:rsidP="00325E40">
            <w:pPr>
              <w:spacing w:after="0" w:line="240" w:lineRule="auto"/>
              <w:jc w:val="both"/>
              <w:rPr>
                <w:rFonts w:ascii="Times New Roman" w:hAnsi="Times New Roman"/>
                <w:b/>
                <w:sz w:val="24"/>
                <w:szCs w:val="24"/>
              </w:rPr>
            </w:pPr>
            <w:r w:rsidRPr="00325E40">
              <w:rPr>
                <w:rFonts w:ascii="Times New Roman" w:hAnsi="Times New Roman"/>
                <w:b/>
                <w:sz w:val="24"/>
                <w:szCs w:val="24"/>
              </w:rPr>
              <w:t xml:space="preserve">Soil Property </w:t>
            </w:r>
          </w:p>
        </w:tc>
        <w:tc>
          <w:tcPr>
            <w:tcW w:w="2208" w:type="dxa"/>
            <w:hideMark/>
          </w:tcPr>
          <w:p w:rsidR="00F51037" w:rsidRPr="00325E40" w:rsidRDefault="006E5F0C" w:rsidP="00325E40">
            <w:pPr>
              <w:spacing w:after="0" w:line="240" w:lineRule="auto"/>
              <w:jc w:val="both"/>
              <w:rPr>
                <w:rFonts w:ascii="Times New Roman" w:hAnsi="Times New Roman"/>
                <w:b/>
                <w:sz w:val="24"/>
                <w:szCs w:val="24"/>
              </w:rPr>
            </w:pPr>
            <w:r w:rsidRPr="00325E40">
              <w:rPr>
                <w:rFonts w:ascii="Times New Roman" w:hAnsi="Times New Roman"/>
                <w:b/>
                <w:sz w:val="24"/>
                <w:szCs w:val="24"/>
              </w:rPr>
              <w:t xml:space="preserve">Source of Variation </w:t>
            </w:r>
          </w:p>
        </w:tc>
        <w:tc>
          <w:tcPr>
            <w:tcW w:w="1615" w:type="dxa"/>
            <w:hideMark/>
          </w:tcPr>
          <w:p w:rsidR="00F51037" w:rsidRPr="00325E40" w:rsidRDefault="006E5F0C" w:rsidP="00325E40">
            <w:pPr>
              <w:spacing w:after="0" w:line="240" w:lineRule="auto"/>
              <w:jc w:val="both"/>
              <w:rPr>
                <w:rFonts w:ascii="Times New Roman" w:hAnsi="Times New Roman"/>
                <w:b/>
                <w:sz w:val="24"/>
                <w:szCs w:val="24"/>
              </w:rPr>
            </w:pPr>
            <w:r w:rsidRPr="00325E40">
              <w:rPr>
                <w:rFonts w:ascii="Times New Roman" w:hAnsi="Times New Roman"/>
                <w:b/>
                <w:sz w:val="24"/>
                <w:szCs w:val="24"/>
              </w:rPr>
              <w:t xml:space="preserve">Sum of Squares </w:t>
            </w:r>
          </w:p>
        </w:tc>
        <w:tc>
          <w:tcPr>
            <w:tcW w:w="545" w:type="dxa"/>
            <w:hideMark/>
          </w:tcPr>
          <w:p w:rsidR="00F51037" w:rsidRPr="00325E40" w:rsidRDefault="006E5F0C" w:rsidP="00325E40">
            <w:pPr>
              <w:spacing w:after="0" w:line="240" w:lineRule="auto"/>
              <w:jc w:val="both"/>
              <w:rPr>
                <w:rFonts w:ascii="Times New Roman" w:hAnsi="Times New Roman"/>
                <w:b/>
                <w:sz w:val="24"/>
                <w:szCs w:val="24"/>
              </w:rPr>
            </w:pPr>
            <w:r w:rsidRPr="00325E40">
              <w:rPr>
                <w:rFonts w:ascii="Times New Roman" w:hAnsi="Times New Roman"/>
                <w:b/>
                <w:sz w:val="24"/>
                <w:szCs w:val="24"/>
              </w:rPr>
              <w:t xml:space="preserve">df </w:t>
            </w:r>
          </w:p>
        </w:tc>
        <w:tc>
          <w:tcPr>
            <w:tcW w:w="1710" w:type="dxa"/>
            <w:hideMark/>
          </w:tcPr>
          <w:p w:rsidR="00F51037" w:rsidRPr="00325E40" w:rsidRDefault="006E5F0C" w:rsidP="00325E40">
            <w:pPr>
              <w:spacing w:after="0" w:line="240" w:lineRule="auto"/>
              <w:jc w:val="both"/>
              <w:rPr>
                <w:rFonts w:ascii="Times New Roman" w:hAnsi="Times New Roman"/>
                <w:b/>
                <w:sz w:val="24"/>
                <w:szCs w:val="24"/>
              </w:rPr>
            </w:pPr>
            <w:r w:rsidRPr="00325E40">
              <w:rPr>
                <w:rFonts w:ascii="Times New Roman" w:hAnsi="Times New Roman"/>
                <w:b/>
                <w:sz w:val="24"/>
                <w:szCs w:val="24"/>
              </w:rPr>
              <w:t xml:space="preserve">Mean Square </w:t>
            </w:r>
          </w:p>
        </w:tc>
        <w:tc>
          <w:tcPr>
            <w:tcW w:w="1260" w:type="dxa"/>
            <w:hideMark/>
          </w:tcPr>
          <w:p w:rsidR="00F51037" w:rsidRPr="00325E40" w:rsidRDefault="006E5F0C" w:rsidP="00325E40">
            <w:pPr>
              <w:spacing w:after="0" w:line="240" w:lineRule="auto"/>
              <w:jc w:val="both"/>
              <w:rPr>
                <w:rFonts w:ascii="Times New Roman" w:hAnsi="Times New Roman"/>
                <w:b/>
                <w:sz w:val="24"/>
                <w:szCs w:val="24"/>
              </w:rPr>
            </w:pPr>
            <w:r w:rsidRPr="00325E40">
              <w:rPr>
                <w:rFonts w:ascii="Times New Roman" w:hAnsi="Times New Roman"/>
                <w:b/>
                <w:sz w:val="24"/>
                <w:szCs w:val="24"/>
              </w:rPr>
              <w:t xml:space="preserve">F-value </w:t>
            </w:r>
          </w:p>
        </w:tc>
        <w:tc>
          <w:tcPr>
            <w:tcW w:w="1260" w:type="dxa"/>
            <w:hideMark/>
          </w:tcPr>
          <w:p w:rsidR="00F51037" w:rsidRPr="00325E40" w:rsidRDefault="006E5F0C" w:rsidP="00325E40">
            <w:pPr>
              <w:spacing w:after="0" w:line="240" w:lineRule="auto"/>
              <w:jc w:val="both"/>
              <w:rPr>
                <w:rFonts w:ascii="Times New Roman" w:hAnsi="Times New Roman"/>
                <w:b/>
                <w:sz w:val="24"/>
                <w:szCs w:val="24"/>
              </w:rPr>
            </w:pPr>
            <w:r w:rsidRPr="00325E40">
              <w:rPr>
                <w:rFonts w:ascii="Times New Roman" w:hAnsi="Times New Roman"/>
                <w:b/>
                <w:sz w:val="24"/>
                <w:szCs w:val="24"/>
              </w:rPr>
              <w:t>p-value</w:t>
            </w:r>
          </w:p>
        </w:tc>
      </w:tr>
      <w:tr w:rsidR="00F51037" w:rsidRPr="00325E40" w:rsidTr="00325E40">
        <w:trPr>
          <w:trHeight w:val="58"/>
        </w:trPr>
        <w:tc>
          <w:tcPr>
            <w:tcW w:w="2112"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pH</w:t>
            </w:r>
          </w:p>
        </w:tc>
        <w:tc>
          <w:tcPr>
            <w:tcW w:w="2208"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Between Depths</w:t>
            </w:r>
          </w:p>
        </w:tc>
        <w:tc>
          <w:tcPr>
            <w:tcW w:w="1615"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 xml:space="preserve">0.112 </w:t>
            </w:r>
            <w:r w:rsidRPr="00325E40">
              <w:rPr>
                <w:rFonts w:ascii="Times New Roman" w:hAnsi="Times New Roman"/>
                <w:sz w:val="24"/>
                <w:szCs w:val="24"/>
              </w:rPr>
              <w:tab/>
            </w:r>
          </w:p>
        </w:tc>
        <w:tc>
          <w:tcPr>
            <w:tcW w:w="545"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 xml:space="preserve">1 </w:t>
            </w:r>
          </w:p>
        </w:tc>
        <w:tc>
          <w:tcPr>
            <w:tcW w:w="1710"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0.112</w:t>
            </w:r>
          </w:p>
        </w:tc>
        <w:tc>
          <w:tcPr>
            <w:tcW w:w="1260"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5.32*</w:t>
            </w:r>
          </w:p>
        </w:tc>
        <w:tc>
          <w:tcPr>
            <w:tcW w:w="1260"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0.039</w:t>
            </w:r>
          </w:p>
        </w:tc>
      </w:tr>
      <w:tr w:rsidR="00F51037" w:rsidRPr="00325E40" w:rsidTr="00325E40">
        <w:tc>
          <w:tcPr>
            <w:tcW w:w="2112" w:type="dxa"/>
          </w:tcPr>
          <w:p w:rsidR="00F51037" w:rsidRPr="00325E40" w:rsidRDefault="00F51037" w:rsidP="00325E40">
            <w:pPr>
              <w:spacing w:after="0" w:line="240" w:lineRule="auto"/>
              <w:jc w:val="both"/>
              <w:rPr>
                <w:rFonts w:ascii="Times New Roman" w:hAnsi="Times New Roman"/>
                <w:sz w:val="24"/>
                <w:szCs w:val="24"/>
              </w:rPr>
            </w:pPr>
          </w:p>
        </w:tc>
        <w:tc>
          <w:tcPr>
            <w:tcW w:w="2208"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Within Depths</w:t>
            </w:r>
          </w:p>
        </w:tc>
        <w:tc>
          <w:tcPr>
            <w:tcW w:w="1615"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0.168</w:t>
            </w:r>
          </w:p>
        </w:tc>
        <w:tc>
          <w:tcPr>
            <w:tcW w:w="545"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8</w:t>
            </w:r>
          </w:p>
        </w:tc>
        <w:tc>
          <w:tcPr>
            <w:tcW w:w="1710" w:type="dxa"/>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 xml:space="preserve">0.021  </w:t>
            </w:r>
          </w:p>
          <w:p w:rsidR="00F51037" w:rsidRPr="00325E40" w:rsidRDefault="00F51037" w:rsidP="00325E40">
            <w:pPr>
              <w:spacing w:after="0" w:line="240" w:lineRule="auto"/>
              <w:jc w:val="both"/>
              <w:rPr>
                <w:rFonts w:ascii="Times New Roman" w:hAnsi="Times New Roman"/>
                <w:sz w:val="24"/>
                <w:szCs w:val="24"/>
              </w:rPr>
            </w:pPr>
          </w:p>
        </w:tc>
        <w:tc>
          <w:tcPr>
            <w:tcW w:w="1260" w:type="dxa"/>
          </w:tcPr>
          <w:p w:rsidR="00F51037" w:rsidRPr="00325E40" w:rsidRDefault="00F51037" w:rsidP="00325E40">
            <w:pPr>
              <w:spacing w:after="0" w:line="240" w:lineRule="auto"/>
              <w:jc w:val="both"/>
              <w:rPr>
                <w:rFonts w:ascii="Times New Roman" w:hAnsi="Times New Roman"/>
                <w:sz w:val="24"/>
                <w:szCs w:val="24"/>
              </w:rPr>
            </w:pPr>
          </w:p>
        </w:tc>
        <w:tc>
          <w:tcPr>
            <w:tcW w:w="1260" w:type="dxa"/>
          </w:tcPr>
          <w:p w:rsidR="00F51037" w:rsidRPr="00325E40" w:rsidRDefault="00F51037" w:rsidP="00325E40">
            <w:pPr>
              <w:spacing w:after="0" w:line="240" w:lineRule="auto"/>
              <w:jc w:val="both"/>
              <w:rPr>
                <w:rFonts w:ascii="Times New Roman" w:hAnsi="Times New Roman"/>
                <w:sz w:val="24"/>
                <w:szCs w:val="24"/>
              </w:rPr>
            </w:pPr>
          </w:p>
        </w:tc>
      </w:tr>
      <w:tr w:rsidR="00F51037" w:rsidRPr="00325E40" w:rsidTr="00325E40">
        <w:tc>
          <w:tcPr>
            <w:tcW w:w="2112"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Organic Carbon (%)</w:t>
            </w:r>
          </w:p>
        </w:tc>
        <w:tc>
          <w:tcPr>
            <w:tcW w:w="2208"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Between Depths</w:t>
            </w:r>
          </w:p>
        </w:tc>
        <w:tc>
          <w:tcPr>
            <w:tcW w:w="1615"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0.400</w:t>
            </w:r>
          </w:p>
        </w:tc>
        <w:tc>
          <w:tcPr>
            <w:tcW w:w="545"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1</w:t>
            </w:r>
          </w:p>
        </w:tc>
        <w:tc>
          <w:tcPr>
            <w:tcW w:w="1710"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0.400</w:t>
            </w:r>
          </w:p>
        </w:tc>
        <w:tc>
          <w:tcPr>
            <w:tcW w:w="1260"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16.00*</w:t>
            </w:r>
          </w:p>
        </w:tc>
        <w:tc>
          <w:tcPr>
            <w:tcW w:w="1260" w:type="dxa"/>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0.004</w:t>
            </w:r>
          </w:p>
          <w:p w:rsidR="00F51037" w:rsidRPr="00325E40" w:rsidRDefault="00F51037" w:rsidP="00325E40">
            <w:pPr>
              <w:spacing w:after="0" w:line="240" w:lineRule="auto"/>
              <w:jc w:val="both"/>
              <w:rPr>
                <w:rFonts w:ascii="Times New Roman" w:hAnsi="Times New Roman"/>
                <w:sz w:val="24"/>
                <w:szCs w:val="24"/>
              </w:rPr>
            </w:pPr>
          </w:p>
        </w:tc>
      </w:tr>
      <w:tr w:rsidR="00F51037" w:rsidRPr="00325E40" w:rsidTr="00325E40">
        <w:tc>
          <w:tcPr>
            <w:tcW w:w="2112" w:type="dxa"/>
          </w:tcPr>
          <w:p w:rsidR="00F51037" w:rsidRPr="00325E40" w:rsidRDefault="00F51037" w:rsidP="00325E40">
            <w:pPr>
              <w:spacing w:after="0" w:line="240" w:lineRule="auto"/>
              <w:jc w:val="both"/>
              <w:rPr>
                <w:rFonts w:ascii="Times New Roman" w:hAnsi="Times New Roman"/>
                <w:sz w:val="24"/>
                <w:szCs w:val="24"/>
              </w:rPr>
            </w:pPr>
          </w:p>
        </w:tc>
        <w:tc>
          <w:tcPr>
            <w:tcW w:w="2208"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Within Depths</w:t>
            </w:r>
          </w:p>
        </w:tc>
        <w:tc>
          <w:tcPr>
            <w:tcW w:w="1615"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0.200</w:t>
            </w:r>
          </w:p>
        </w:tc>
        <w:tc>
          <w:tcPr>
            <w:tcW w:w="545"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8</w:t>
            </w:r>
          </w:p>
        </w:tc>
        <w:tc>
          <w:tcPr>
            <w:tcW w:w="1710" w:type="dxa"/>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 xml:space="preserve">0.025  </w:t>
            </w:r>
          </w:p>
          <w:p w:rsidR="00F51037" w:rsidRPr="00325E40" w:rsidRDefault="00F51037" w:rsidP="00325E40">
            <w:pPr>
              <w:spacing w:after="0" w:line="240" w:lineRule="auto"/>
              <w:jc w:val="both"/>
              <w:rPr>
                <w:rFonts w:ascii="Times New Roman" w:hAnsi="Times New Roman"/>
                <w:sz w:val="24"/>
                <w:szCs w:val="24"/>
              </w:rPr>
            </w:pPr>
          </w:p>
        </w:tc>
        <w:tc>
          <w:tcPr>
            <w:tcW w:w="1260" w:type="dxa"/>
          </w:tcPr>
          <w:p w:rsidR="00F51037" w:rsidRPr="00325E40" w:rsidRDefault="00F51037" w:rsidP="00325E40">
            <w:pPr>
              <w:spacing w:after="0" w:line="240" w:lineRule="auto"/>
              <w:jc w:val="both"/>
              <w:rPr>
                <w:rFonts w:ascii="Times New Roman" w:hAnsi="Times New Roman"/>
                <w:sz w:val="24"/>
                <w:szCs w:val="24"/>
              </w:rPr>
            </w:pPr>
          </w:p>
        </w:tc>
        <w:tc>
          <w:tcPr>
            <w:tcW w:w="1260" w:type="dxa"/>
          </w:tcPr>
          <w:p w:rsidR="00F51037" w:rsidRPr="00325E40" w:rsidRDefault="00F51037" w:rsidP="00325E40">
            <w:pPr>
              <w:spacing w:after="0" w:line="240" w:lineRule="auto"/>
              <w:jc w:val="both"/>
              <w:rPr>
                <w:rFonts w:ascii="Times New Roman" w:hAnsi="Times New Roman"/>
                <w:sz w:val="24"/>
                <w:szCs w:val="24"/>
              </w:rPr>
            </w:pPr>
          </w:p>
        </w:tc>
      </w:tr>
      <w:tr w:rsidR="00F51037" w:rsidRPr="00325E40" w:rsidTr="00325E40">
        <w:tc>
          <w:tcPr>
            <w:tcW w:w="2112"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Total Nitrogen (%)</w:t>
            </w:r>
          </w:p>
        </w:tc>
        <w:tc>
          <w:tcPr>
            <w:tcW w:w="2208"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Between Depths</w:t>
            </w:r>
          </w:p>
        </w:tc>
        <w:tc>
          <w:tcPr>
            <w:tcW w:w="1615"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0.00225</w:t>
            </w:r>
          </w:p>
        </w:tc>
        <w:tc>
          <w:tcPr>
            <w:tcW w:w="545"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1</w:t>
            </w:r>
          </w:p>
        </w:tc>
        <w:tc>
          <w:tcPr>
            <w:tcW w:w="1710"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0.00225</w:t>
            </w:r>
          </w:p>
        </w:tc>
        <w:tc>
          <w:tcPr>
            <w:tcW w:w="1260"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18.00*</w:t>
            </w:r>
          </w:p>
        </w:tc>
        <w:tc>
          <w:tcPr>
            <w:tcW w:w="1260" w:type="dxa"/>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0.003</w:t>
            </w:r>
          </w:p>
          <w:p w:rsidR="00F51037" w:rsidRPr="00325E40" w:rsidRDefault="00F51037" w:rsidP="00325E40">
            <w:pPr>
              <w:spacing w:after="0" w:line="240" w:lineRule="auto"/>
              <w:jc w:val="both"/>
              <w:rPr>
                <w:rFonts w:ascii="Times New Roman" w:hAnsi="Times New Roman"/>
                <w:sz w:val="24"/>
                <w:szCs w:val="24"/>
              </w:rPr>
            </w:pPr>
          </w:p>
        </w:tc>
      </w:tr>
      <w:tr w:rsidR="00F51037" w:rsidRPr="00325E40" w:rsidTr="00325E40">
        <w:tc>
          <w:tcPr>
            <w:tcW w:w="2112" w:type="dxa"/>
          </w:tcPr>
          <w:p w:rsidR="00F51037" w:rsidRPr="00325E40" w:rsidRDefault="00F51037" w:rsidP="00325E40">
            <w:pPr>
              <w:spacing w:after="0" w:line="240" w:lineRule="auto"/>
              <w:jc w:val="both"/>
              <w:rPr>
                <w:rFonts w:ascii="Times New Roman" w:hAnsi="Times New Roman"/>
                <w:sz w:val="24"/>
                <w:szCs w:val="24"/>
              </w:rPr>
            </w:pPr>
          </w:p>
        </w:tc>
        <w:tc>
          <w:tcPr>
            <w:tcW w:w="2208"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Within Depths</w:t>
            </w:r>
          </w:p>
        </w:tc>
        <w:tc>
          <w:tcPr>
            <w:tcW w:w="1615"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0.00100</w:t>
            </w:r>
          </w:p>
        </w:tc>
        <w:tc>
          <w:tcPr>
            <w:tcW w:w="545"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8</w:t>
            </w:r>
          </w:p>
        </w:tc>
        <w:tc>
          <w:tcPr>
            <w:tcW w:w="1710"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 xml:space="preserve">0.000125  </w:t>
            </w:r>
          </w:p>
        </w:tc>
        <w:tc>
          <w:tcPr>
            <w:tcW w:w="1260" w:type="dxa"/>
          </w:tcPr>
          <w:p w:rsidR="00F51037" w:rsidRPr="00325E40" w:rsidRDefault="00F51037" w:rsidP="00325E40">
            <w:pPr>
              <w:spacing w:after="0" w:line="240" w:lineRule="auto"/>
              <w:jc w:val="both"/>
              <w:rPr>
                <w:rFonts w:ascii="Times New Roman" w:hAnsi="Times New Roman"/>
                <w:sz w:val="24"/>
                <w:szCs w:val="24"/>
              </w:rPr>
            </w:pPr>
          </w:p>
        </w:tc>
        <w:tc>
          <w:tcPr>
            <w:tcW w:w="1260" w:type="dxa"/>
          </w:tcPr>
          <w:p w:rsidR="00F51037" w:rsidRPr="00325E40" w:rsidRDefault="00F51037" w:rsidP="00325E40">
            <w:pPr>
              <w:spacing w:after="0" w:line="240" w:lineRule="auto"/>
              <w:jc w:val="both"/>
              <w:rPr>
                <w:rFonts w:ascii="Times New Roman" w:hAnsi="Times New Roman"/>
                <w:sz w:val="24"/>
                <w:szCs w:val="24"/>
              </w:rPr>
            </w:pPr>
          </w:p>
        </w:tc>
      </w:tr>
      <w:tr w:rsidR="00F51037" w:rsidRPr="00325E40" w:rsidTr="00325E40">
        <w:tc>
          <w:tcPr>
            <w:tcW w:w="2112"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Available P (mg/kg)</w:t>
            </w:r>
          </w:p>
        </w:tc>
        <w:tc>
          <w:tcPr>
            <w:tcW w:w="2208"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Between Depths</w:t>
            </w:r>
          </w:p>
        </w:tc>
        <w:tc>
          <w:tcPr>
            <w:tcW w:w="1615"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27.23</w:t>
            </w:r>
          </w:p>
        </w:tc>
        <w:tc>
          <w:tcPr>
            <w:tcW w:w="545"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1</w:t>
            </w:r>
          </w:p>
        </w:tc>
        <w:tc>
          <w:tcPr>
            <w:tcW w:w="1710"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27.23</w:t>
            </w:r>
          </w:p>
        </w:tc>
        <w:tc>
          <w:tcPr>
            <w:tcW w:w="1260"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15.21*</w:t>
            </w:r>
          </w:p>
        </w:tc>
        <w:tc>
          <w:tcPr>
            <w:tcW w:w="1260" w:type="dxa"/>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0.005</w:t>
            </w:r>
          </w:p>
          <w:p w:rsidR="00F51037" w:rsidRPr="00325E40" w:rsidRDefault="00F51037" w:rsidP="00325E40">
            <w:pPr>
              <w:spacing w:after="0" w:line="240" w:lineRule="auto"/>
              <w:jc w:val="both"/>
              <w:rPr>
                <w:rFonts w:ascii="Times New Roman" w:hAnsi="Times New Roman"/>
                <w:sz w:val="24"/>
                <w:szCs w:val="24"/>
              </w:rPr>
            </w:pPr>
          </w:p>
        </w:tc>
      </w:tr>
      <w:tr w:rsidR="00F51037" w:rsidRPr="00325E40" w:rsidTr="00325E40">
        <w:tc>
          <w:tcPr>
            <w:tcW w:w="2112" w:type="dxa"/>
          </w:tcPr>
          <w:p w:rsidR="00F51037" w:rsidRPr="00325E40" w:rsidRDefault="00F51037" w:rsidP="00325E40">
            <w:pPr>
              <w:spacing w:after="0" w:line="240" w:lineRule="auto"/>
              <w:jc w:val="both"/>
              <w:rPr>
                <w:rFonts w:ascii="Times New Roman" w:hAnsi="Times New Roman"/>
                <w:sz w:val="24"/>
                <w:szCs w:val="24"/>
              </w:rPr>
            </w:pPr>
          </w:p>
        </w:tc>
        <w:tc>
          <w:tcPr>
            <w:tcW w:w="2208"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Within Depths</w:t>
            </w:r>
          </w:p>
        </w:tc>
        <w:tc>
          <w:tcPr>
            <w:tcW w:w="1615"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14.32</w:t>
            </w:r>
          </w:p>
        </w:tc>
        <w:tc>
          <w:tcPr>
            <w:tcW w:w="545" w:type="dxa"/>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 xml:space="preserve">8 </w:t>
            </w:r>
          </w:p>
          <w:p w:rsidR="00F51037" w:rsidRPr="00325E40" w:rsidRDefault="00F51037" w:rsidP="00325E40">
            <w:pPr>
              <w:spacing w:after="0" w:line="240" w:lineRule="auto"/>
              <w:jc w:val="both"/>
              <w:rPr>
                <w:rFonts w:ascii="Times New Roman" w:hAnsi="Times New Roman"/>
                <w:sz w:val="24"/>
                <w:szCs w:val="24"/>
              </w:rPr>
            </w:pPr>
          </w:p>
        </w:tc>
        <w:tc>
          <w:tcPr>
            <w:tcW w:w="1710"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 xml:space="preserve">1.79 </w:t>
            </w:r>
          </w:p>
        </w:tc>
        <w:tc>
          <w:tcPr>
            <w:tcW w:w="1260" w:type="dxa"/>
          </w:tcPr>
          <w:p w:rsidR="00F51037" w:rsidRPr="00325E40" w:rsidRDefault="00F51037" w:rsidP="00325E40">
            <w:pPr>
              <w:spacing w:after="0" w:line="240" w:lineRule="auto"/>
              <w:jc w:val="both"/>
              <w:rPr>
                <w:rFonts w:ascii="Times New Roman" w:hAnsi="Times New Roman"/>
                <w:sz w:val="24"/>
                <w:szCs w:val="24"/>
              </w:rPr>
            </w:pPr>
          </w:p>
        </w:tc>
        <w:tc>
          <w:tcPr>
            <w:tcW w:w="1260" w:type="dxa"/>
          </w:tcPr>
          <w:p w:rsidR="00F51037" w:rsidRPr="00325E40" w:rsidRDefault="00F51037" w:rsidP="00325E40">
            <w:pPr>
              <w:spacing w:after="0" w:line="240" w:lineRule="auto"/>
              <w:jc w:val="both"/>
              <w:rPr>
                <w:rFonts w:ascii="Times New Roman" w:hAnsi="Times New Roman"/>
                <w:sz w:val="24"/>
                <w:szCs w:val="24"/>
              </w:rPr>
            </w:pPr>
          </w:p>
        </w:tc>
      </w:tr>
      <w:tr w:rsidR="00F51037" w:rsidRPr="00325E40" w:rsidTr="00325E40">
        <w:tc>
          <w:tcPr>
            <w:tcW w:w="2112"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Clay Content (%)</w:t>
            </w:r>
          </w:p>
        </w:tc>
        <w:tc>
          <w:tcPr>
            <w:tcW w:w="2208"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Between Depths</w:t>
            </w:r>
          </w:p>
        </w:tc>
        <w:tc>
          <w:tcPr>
            <w:tcW w:w="1615"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28.90</w:t>
            </w:r>
          </w:p>
        </w:tc>
        <w:tc>
          <w:tcPr>
            <w:tcW w:w="545"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1</w:t>
            </w:r>
          </w:p>
        </w:tc>
        <w:tc>
          <w:tcPr>
            <w:tcW w:w="1710"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28.90</w:t>
            </w:r>
          </w:p>
        </w:tc>
        <w:tc>
          <w:tcPr>
            <w:tcW w:w="1260"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10.72*</w:t>
            </w:r>
          </w:p>
        </w:tc>
        <w:tc>
          <w:tcPr>
            <w:tcW w:w="1260" w:type="dxa"/>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0.011</w:t>
            </w:r>
          </w:p>
          <w:p w:rsidR="00F51037" w:rsidRPr="00325E40" w:rsidRDefault="00F51037" w:rsidP="00325E40">
            <w:pPr>
              <w:spacing w:after="0" w:line="240" w:lineRule="auto"/>
              <w:jc w:val="both"/>
              <w:rPr>
                <w:rFonts w:ascii="Times New Roman" w:hAnsi="Times New Roman"/>
                <w:sz w:val="24"/>
                <w:szCs w:val="24"/>
              </w:rPr>
            </w:pPr>
          </w:p>
        </w:tc>
      </w:tr>
      <w:tr w:rsidR="00F51037" w:rsidRPr="00325E40" w:rsidTr="00325E40">
        <w:tc>
          <w:tcPr>
            <w:tcW w:w="2112" w:type="dxa"/>
          </w:tcPr>
          <w:p w:rsidR="00F51037" w:rsidRPr="00325E40" w:rsidRDefault="00F51037" w:rsidP="00325E40">
            <w:pPr>
              <w:spacing w:after="0" w:line="240" w:lineRule="auto"/>
              <w:jc w:val="both"/>
              <w:rPr>
                <w:rFonts w:ascii="Times New Roman" w:hAnsi="Times New Roman"/>
                <w:sz w:val="24"/>
                <w:szCs w:val="24"/>
              </w:rPr>
            </w:pPr>
          </w:p>
        </w:tc>
        <w:tc>
          <w:tcPr>
            <w:tcW w:w="2208"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Within Depths</w:t>
            </w:r>
          </w:p>
        </w:tc>
        <w:tc>
          <w:tcPr>
            <w:tcW w:w="1615"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21.56</w:t>
            </w:r>
          </w:p>
        </w:tc>
        <w:tc>
          <w:tcPr>
            <w:tcW w:w="545" w:type="dxa"/>
            <w:hideMark/>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8</w:t>
            </w:r>
          </w:p>
        </w:tc>
        <w:tc>
          <w:tcPr>
            <w:tcW w:w="1710" w:type="dxa"/>
          </w:tcPr>
          <w:p w:rsidR="00F51037" w:rsidRPr="00325E40" w:rsidRDefault="006E5F0C" w:rsidP="00325E40">
            <w:pPr>
              <w:spacing w:after="0" w:line="240" w:lineRule="auto"/>
              <w:jc w:val="both"/>
              <w:rPr>
                <w:rFonts w:ascii="Times New Roman" w:hAnsi="Times New Roman"/>
                <w:sz w:val="24"/>
                <w:szCs w:val="24"/>
              </w:rPr>
            </w:pPr>
            <w:r w:rsidRPr="00325E40">
              <w:rPr>
                <w:rFonts w:ascii="Times New Roman" w:hAnsi="Times New Roman"/>
                <w:sz w:val="24"/>
                <w:szCs w:val="24"/>
              </w:rPr>
              <w:t xml:space="preserve">2.70  </w:t>
            </w:r>
          </w:p>
          <w:p w:rsidR="00F51037" w:rsidRPr="00325E40" w:rsidRDefault="00F51037" w:rsidP="00325E40">
            <w:pPr>
              <w:spacing w:after="0" w:line="240" w:lineRule="auto"/>
              <w:jc w:val="both"/>
              <w:rPr>
                <w:rFonts w:ascii="Times New Roman" w:hAnsi="Times New Roman"/>
                <w:sz w:val="24"/>
                <w:szCs w:val="24"/>
              </w:rPr>
            </w:pPr>
          </w:p>
        </w:tc>
        <w:tc>
          <w:tcPr>
            <w:tcW w:w="1260" w:type="dxa"/>
          </w:tcPr>
          <w:p w:rsidR="00F51037" w:rsidRPr="00325E40" w:rsidRDefault="00F51037" w:rsidP="00325E40">
            <w:pPr>
              <w:spacing w:after="0" w:line="240" w:lineRule="auto"/>
              <w:jc w:val="both"/>
              <w:rPr>
                <w:rFonts w:ascii="Times New Roman" w:hAnsi="Times New Roman"/>
                <w:sz w:val="24"/>
                <w:szCs w:val="24"/>
              </w:rPr>
            </w:pPr>
          </w:p>
        </w:tc>
        <w:tc>
          <w:tcPr>
            <w:tcW w:w="1260" w:type="dxa"/>
          </w:tcPr>
          <w:p w:rsidR="00F51037" w:rsidRPr="00325E40" w:rsidRDefault="00F51037" w:rsidP="00325E40">
            <w:pPr>
              <w:spacing w:after="0" w:line="240" w:lineRule="auto"/>
              <w:jc w:val="both"/>
              <w:rPr>
                <w:rFonts w:ascii="Times New Roman" w:hAnsi="Times New Roman"/>
                <w:sz w:val="24"/>
                <w:szCs w:val="24"/>
              </w:rPr>
            </w:pPr>
          </w:p>
        </w:tc>
      </w:tr>
    </w:tbl>
    <w:p w:rsidR="00F51037" w:rsidRPr="00325E40" w:rsidRDefault="006E5F0C" w:rsidP="00325E40">
      <w:pPr>
        <w:spacing w:after="0" w:line="240" w:lineRule="auto"/>
        <w:jc w:val="both"/>
        <w:rPr>
          <w:rFonts w:ascii="Times New Roman" w:hAnsi="Times New Roman"/>
          <w:sz w:val="24"/>
          <w:szCs w:val="24"/>
          <w:lang w:eastAsia="en-US"/>
        </w:rPr>
      </w:pPr>
      <w:r w:rsidRPr="00325E40">
        <w:rPr>
          <w:rFonts w:ascii="Times New Roman" w:hAnsi="Times New Roman"/>
          <w:sz w:val="24"/>
          <w:szCs w:val="24"/>
        </w:rPr>
        <w:tab/>
      </w:r>
      <w:r w:rsidRPr="00325E40">
        <w:rPr>
          <w:rFonts w:ascii="Times New Roman" w:hAnsi="Times New Roman"/>
          <w:sz w:val="24"/>
          <w:szCs w:val="24"/>
        </w:rPr>
        <w:tab/>
      </w:r>
    </w:p>
    <w:p w:rsidR="00F51037" w:rsidRPr="00325E40" w:rsidRDefault="006E5F0C" w:rsidP="00325E40">
      <w:pPr>
        <w:spacing w:after="240" w:line="240" w:lineRule="auto"/>
        <w:jc w:val="both"/>
        <w:rPr>
          <w:rFonts w:ascii="Times New Roman" w:hAnsi="Times New Roman"/>
          <w:b/>
          <w:sz w:val="24"/>
          <w:szCs w:val="24"/>
        </w:rPr>
      </w:pPr>
      <w:r w:rsidRPr="00325E40">
        <w:rPr>
          <w:rFonts w:ascii="Times New Roman" w:hAnsi="Times New Roman"/>
          <w:b/>
          <w:sz w:val="24"/>
          <w:szCs w:val="24"/>
        </w:rPr>
        <w:t>Note: * indicates a statistically significant difference at p &lt; 0.05.</w:t>
      </w:r>
    </w:p>
    <w:p w:rsidR="00F51037" w:rsidRDefault="006E5F0C" w:rsidP="00325E40">
      <w:pPr>
        <w:tabs>
          <w:tab w:val="left" w:pos="1418"/>
        </w:tabs>
        <w:spacing w:after="240" w:line="240" w:lineRule="auto"/>
        <w:jc w:val="both"/>
        <w:rPr>
          <w:rFonts w:ascii="Times New Roman" w:hAnsi="Times New Roman"/>
          <w:sz w:val="24"/>
          <w:szCs w:val="24"/>
        </w:rPr>
      </w:pPr>
      <w:r w:rsidRPr="00325E40">
        <w:rPr>
          <w:rFonts w:ascii="Times New Roman" w:hAnsi="Times New Roman"/>
          <w:sz w:val="24"/>
          <w:szCs w:val="24"/>
        </w:rPr>
        <w:t xml:space="preserve">The analysis of variance (ANOVA) showed statistically significant differences (p &lt; 0.05) between the topsoil and subsoil for all key properties, including pH, organic carbon, total nitrogen, available phosphorus, and clay content. The increased clay content in the subsoil was particularly noteworthy, indicating a textural shift with depth. Furthermore, Pearson's correlation analysis revealed a strong positive significant correlation between Organic Carbon and CEC (r = 0.81, p&lt;0.01). This confirms that the constraints are interlinked and that </w:t>
      </w:r>
      <w:proofErr w:type="gramStart"/>
      <w:r w:rsidRPr="00325E40">
        <w:rPr>
          <w:rFonts w:ascii="Times New Roman" w:hAnsi="Times New Roman"/>
          <w:sz w:val="24"/>
          <w:szCs w:val="24"/>
        </w:rPr>
        <w:t>managing</w:t>
      </w:r>
      <w:proofErr w:type="gramEnd"/>
      <w:r w:rsidRPr="00325E40">
        <w:rPr>
          <w:rFonts w:ascii="Times New Roman" w:hAnsi="Times New Roman"/>
          <w:sz w:val="24"/>
          <w:szCs w:val="24"/>
        </w:rPr>
        <w:t xml:space="preserve"> one (e.g., acidity and organic matter) can positively influence others.</w:t>
      </w:r>
    </w:p>
    <w:p w:rsidR="00872A7C" w:rsidRPr="00325E40" w:rsidRDefault="00872A7C" w:rsidP="00325E40">
      <w:pPr>
        <w:tabs>
          <w:tab w:val="left" w:pos="1418"/>
        </w:tabs>
        <w:spacing w:after="240" w:line="240" w:lineRule="auto"/>
        <w:jc w:val="both"/>
        <w:rPr>
          <w:rFonts w:ascii="Times New Roman" w:hAnsi="Times New Roman"/>
          <w:sz w:val="24"/>
          <w:szCs w:val="24"/>
        </w:rPr>
        <w:sectPr w:rsidR="00872A7C" w:rsidRPr="00325E40" w:rsidSect="00872A7C">
          <w:headerReference w:type="default" r:id="rId10"/>
          <w:footerReference w:type="default" r:id="rId11"/>
          <w:type w:val="nextColumn"/>
          <w:pgSz w:w="11906" w:h="16838"/>
          <w:pgMar w:top="670" w:right="605" w:bottom="540" w:left="605" w:header="270" w:footer="124" w:gutter="0"/>
          <w:pgNumType w:start="1284"/>
          <w:cols w:space="708"/>
          <w:docGrid w:linePitch="360"/>
        </w:sectPr>
      </w:pPr>
    </w:p>
    <w:tbl>
      <w:tblPr>
        <w:tblStyle w:val="TableGrid"/>
        <w:tblW w:w="15116" w:type="dxa"/>
        <w:tblInd w:w="-5" w:type="dxa"/>
        <w:tblLayout w:type="fixed"/>
        <w:tblLook w:val="04A0"/>
      </w:tblPr>
      <w:tblGrid>
        <w:gridCol w:w="816"/>
        <w:gridCol w:w="739"/>
        <w:gridCol w:w="483"/>
        <w:gridCol w:w="916"/>
        <w:gridCol w:w="1222"/>
        <w:gridCol w:w="1028"/>
        <w:gridCol w:w="1094"/>
        <w:gridCol w:w="1027"/>
        <w:gridCol w:w="961"/>
        <w:gridCol w:w="804"/>
        <w:gridCol w:w="1170"/>
        <w:gridCol w:w="1609"/>
        <w:gridCol w:w="1775"/>
        <w:gridCol w:w="1472"/>
      </w:tblGrid>
      <w:tr w:rsidR="00325E40" w:rsidRPr="00325E40" w:rsidTr="00325E40">
        <w:trPr>
          <w:trHeight w:val="282"/>
        </w:trPr>
        <w:tc>
          <w:tcPr>
            <w:tcW w:w="816" w:type="dxa"/>
          </w:tcPr>
          <w:p w:rsidR="00F51037" w:rsidRPr="00325E40" w:rsidRDefault="006E5F0C" w:rsidP="00325E40">
            <w:pPr>
              <w:spacing w:after="0" w:line="240" w:lineRule="auto"/>
              <w:jc w:val="both"/>
              <w:rPr>
                <w:rFonts w:ascii="Times New Roman" w:hAnsi="Times New Roman"/>
                <w:b/>
                <w:sz w:val="20"/>
                <w:szCs w:val="20"/>
              </w:rPr>
            </w:pPr>
            <w:bookmarkStart w:id="3" w:name="_Hlk223715584"/>
            <w:r w:rsidRPr="00325E40">
              <w:rPr>
                <w:rFonts w:ascii="Times New Roman" w:hAnsi="Times New Roman"/>
                <w:b/>
                <w:sz w:val="20"/>
                <w:szCs w:val="20"/>
              </w:rPr>
              <w:lastRenderedPageBreak/>
              <w:t>sample</w:t>
            </w:r>
          </w:p>
        </w:tc>
        <w:tc>
          <w:tcPr>
            <w:tcW w:w="739"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Depth</w:t>
            </w:r>
          </w:p>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In (cm)</w:t>
            </w:r>
          </w:p>
        </w:tc>
        <w:tc>
          <w:tcPr>
            <w:tcW w:w="483"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pH</w:t>
            </w:r>
          </w:p>
        </w:tc>
        <w:tc>
          <w:tcPr>
            <w:tcW w:w="916"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Organic</w:t>
            </w:r>
          </w:p>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Carbon</w:t>
            </w:r>
          </w:p>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w:t>
            </w:r>
          </w:p>
        </w:tc>
        <w:tc>
          <w:tcPr>
            <w:tcW w:w="1222"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Total Nitrogen %</w:t>
            </w:r>
          </w:p>
        </w:tc>
        <w:tc>
          <w:tcPr>
            <w:tcW w:w="1028"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Available p (mg/kg)</w:t>
            </w:r>
          </w:p>
        </w:tc>
        <w:tc>
          <w:tcPr>
            <w:tcW w:w="1094"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Potassium</w:t>
            </w:r>
          </w:p>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 xml:space="preserve">(cmol/kg) </w:t>
            </w:r>
          </w:p>
        </w:tc>
        <w:tc>
          <w:tcPr>
            <w:tcW w:w="1027"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CEC (cmol/kg)</w:t>
            </w:r>
          </w:p>
        </w:tc>
        <w:tc>
          <w:tcPr>
            <w:tcW w:w="961"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Textural Class</w:t>
            </w:r>
          </w:p>
        </w:tc>
        <w:tc>
          <w:tcPr>
            <w:tcW w:w="804"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FCC Class</w:t>
            </w:r>
          </w:p>
        </w:tc>
        <w:tc>
          <w:tcPr>
            <w:tcW w:w="1170"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Limitation</w:t>
            </w:r>
          </w:p>
        </w:tc>
        <w:tc>
          <w:tcPr>
            <w:tcW w:w="1609"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Recommendation/</w:t>
            </w:r>
          </w:p>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Amendment</w:t>
            </w:r>
          </w:p>
        </w:tc>
        <w:tc>
          <w:tcPr>
            <w:tcW w:w="1775"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Dose</w:t>
            </w:r>
          </w:p>
        </w:tc>
        <w:tc>
          <w:tcPr>
            <w:tcW w:w="1472"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Method</w:t>
            </w:r>
          </w:p>
        </w:tc>
      </w:tr>
      <w:tr w:rsidR="00325E40" w:rsidRPr="00325E40" w:rsidTr="00325E40">
        <w:trPr>
          <w:trHeight w:val="526"/>
        </w:trPr>
        <w:tc>
          <w:tcPr>
            <w:tcW w:w="816"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L1</w:t>
            </w:r>
          </w:p>
        </w:tc>
        <w:tc>
          <w:tcPr>
            <w:tcW w:w="739"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0-20</w:t>
            </w:r>
          </w:p>
        </w:tc>
        <w:tc>
          <w:tcPr>
            <w:tcW w:w="483"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5.3</w:t>
            </w:r>
          </w:p>
        </w:tc>
        <w:tc>
          <w:tcPr>
            <w:tcW w:w="916"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1.50</w:t>
            </w:r>
          </w:p>
        </w:tc>
        <w:tc>
          <w:tcPr>
            <w:tcW w:w="1222"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0.90</w:t>
            </w:r>
          </w:p>
        </w:tc>
        <w:tc>
          <w:tcPr>
            <w:tcW w:w="1028"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12.1</w:t>
            </w:r>
          </w:p>
        </w:tc>
        <w:tc>
          <w:tcPr>
            <w:tcW w:w="1094"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0.18</w:t>
            </w:r>
          </w:p>
        </w:tc>
        <w:tc>
          <w:tcPr>
            <w:tcW w:w="1027"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6.20</w:t>
            </w:r>
          </w:p>
        </w:tc>
        <w:tc>
          <w:tcPr>
            <w:tcW w:w="961"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Sandy Loam</w:t>
            </w:r>
          </w:p>
        </w:tc>
        <w:tc>
          <w:tcPr>
            <w:tcW w:w="804"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SBe-ac-nk</w:t>
            </w:r>
          </w:p>
        </w:tc>
        <w:tc>
          <w:tcPr>
            <w:tcW w:w="1170"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Acidic, low O.M, Low CEC</w:t>
            </w:r>
          </w:p>
        </w:tc>
        <w:tc>
          <w:tcPr>
            <w:tcW w:w="1609"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Organic Manure</w:t>
            </w:r>
          </w:p>
        </w:tc>
        <w:tc>
          <w:tcPr>
            <w:tcW w:w="1775"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5-10 tons/ha</w:t>
            </w:r>
          </w:p>
        </w:tc>
        <w:tc>
          <w:tcPr>
            <w:tcW w:w="1472"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Incorporation/</w:t>
            </w:r>
          </w:p>
          <w:p w:rsidR="00F51037" w:rsidRPr="00325E40" w:rsidRDefault="00F51037" w:rsidP="00325E40">
            <w:pPr>
              <w:spacing w:after="0" w:line="240" w:lineRule="auto"/>
              <w:jc w:val="both"/>
              <w:rPr>
                <w:rFonts w:ascii="Times New Roman" w:hAnsi="Times New Roman"/>
                <w:b/>
                <w:sz w:val="20"/>
                <w:szCs w:val="20"/>
              </w:rPr>
            </w:pPr>
          </w:p>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Broadcasting</w:t>
            </w:r>
          </w:p>
        </w:tc>
      </w:tr>
      <w:tr w:rsidR="00325E40" w:rsidRPr="00325E40" w:rsidTr="00325E40">
        <w:trPr>
          <w:trHeight w:val="505"/>
        </w:trPr>
        <w:tc>
          <w:tcPr>
            <w:tcW w:w="816"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L2</w:t>
            </w:r>
          </w:p>
        </w:tc>
        <w:tc>
          <w:tcPr>
            <w:tcW w:w="739"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0-20</w:t>
            </w:r>
          </w:p>
        </w:tc>
        <w:tc>
          <w:tcPr>
            <w:tcW w:w="483"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4.9</w:t>
            </w:r>
          </w:p>
        </w:tc>
        <w:tc>
          <w:tcPr>
            <w:tcW w:w="916"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1.00</w:t>
            </w:r>
          </w:p>
        </w:tc>
        <w:tc>
          <w:tcPr>
            <w:tcW w:w="1222"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0.07</w:t>
            </w:r>
          </w:p>
        </w:tc>
        <w:tc>
          <w:tcPr>
            <w:tcW w:w="1028"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8.50</w:t>
            </w:r>
          </w:p>
        </w:tc>
        <w:tc>
          <w:tcPr>
            <w:tcW w:w="1094"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0.12</w:t>
            </w:r>
          </w:p>
        </w:tc>
        <w:tc>
          <w:tcPr>
            <w:tcW w:w="1027"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5.10</w:t>
            </w:r>
          </w:p>
        </w:tc>
        <w:tc>
          <w:tcPr>
            <w:tcW w:w="961"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Sandy Loam</w:t>
            </w:r>
          </w:p>
        </w:tc>
        <w:tc>
          <w:tcPr>
            <w:tcW w:w="804"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SBe-ac-nk</w:t>
            </w:r>
          </w:p>
        </w:tc>
        <w:tc>
          <w:tcPr>
            <w:tcW w:w="1170"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Acidic, N/K Deficiency</w:t>
            </w:r>
          </w:p>
        </w:tc>
        <w:tc>
          <w:tcPr>
            <w:tcW w:w="1609"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NPK fertilizer and Compost Manure</w:t>
            </w:r>
          </w:p>
        </w:tc>
        <w:tc>
          <w:tcPr>
            <w:tcW w:w="1775"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sz w:val="20"/>
                <w:szCs w:val="20"/>
              </w:rPr>
              <w:t>60 kg N/ha, 40 kg P₂O₅/ha, 40 kg K₂O/ha</w:t>
            </w:r>
          </w:p>
        </w:tc>
        <w:tc>
          <w:tcPr>
            <w:tcW w:w="1472"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Broadcast and</w:t>
            </w:r>
          </w:p>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 xml:space="preserve"> Mix</w:t>
            </w:r>
          </w:p>
          <w:p w:rsidR="00F51037" w:rsidRPr="00325E40" w:rsidRDefault="00F51037" w:rsidP="00325E40">
            <w:pPr>
              <w:spacing w:after="0" w:line="240" w:lineRule="auto"/>
              <w:jc w:val="both"/>
              <w:rPr>
                <w:rFonts w:ascii="Times New Roman" w:hAnsi="Times New Roman"/>
                <w:b/>
                <w:sz w:val="20"/>
                <w:szCs w:val="20"/>
              </w:rPr>
            </w:pPr>
          </w:p>
        </w:tc>
      </w:tr>
      <w:tr w:rsidR="00325E40" w:rsidRPr="00325E40" w:rsidTr="00325E40">
        <w:trPr>
          <w:trHeight w:val="266"/>
        </w:trPr>
        <w:tc>
          <w:tcPr>
            <w:tcW w:w="816"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L3</w:t>
            </w:r>
          </w:p>
        </w:tc>
        <w:tc>
          <w:tcPr>
            <w:tcW w:w="739"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0-20</w:t>
            </w:r>
          </w:p>
        </w:tc>
        <w:tc>
          <w:tcPr>
            <w:tcW w:w="483"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5.2</w:t>
            </w:r>
          </w:p>
        </w:tc>
        <w:tc>
          <w:tcPr>
            <w:tcW w:w="916"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1.40</w:t>
            </w:r>
          </w:p>
        </w:tc>
        <w:tc>
          <w:tcPr>
            <w:tcW w:w="1222"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0.10</w:t>
            </w:r>
          </w:p>
        </w:tc>
        <w:tc>
          <w:tcPr>
            <w:tcW w:w="1028"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10.2</w:t>
            </w:r>
          </w:p>
        </w:tc>
        <w:tc>
          <w:tcPr>
            <w:tcW w:w="1094"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0.17</w:t>
            </w:r>
          </w:p>
        </w:tc>
        <w:tc>
          <w:tcPr>
            <w:tcW w:w="1027"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6.50</w:t>
            </w:r>
          </w:p>
        </w:tc>
        <w:tc>
          <w:tcPr>
            <w:tcW w:w="961"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Sandy Loam</w:t>
            </w:r>
          </w:p>
        </w:tc>
        <w:tc>
          <w:tcPr>
            <w:tcW w:w="804"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SBe-ac-nk</w:t>
            </w:r>
          </w:p>
        </w:tc>
        <w:tc>
          <w:tcPr>
            <w:tcW w:w="1170"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Low Fertility, Sandy</w:t>
            </w:r>
          </w:p>
        </w:tc>
        <w:tc>
          <w:tcPr>
            <w:tcW w:w="1609"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Mulching/cover crop</w:t>
            </w:r>
          </w:p>
        </w:tc>
        <w:tc>
          <w:tcPr>
            <w:tcW w:w="1775"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3-5tons/ha</w:t>
            </w:r>
          </w:p>
        </w:tc>
        <w:tc>
          <w:tcPr>
            <w:tcW w:w="1472"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 xml:space="preserve">Surface </w:t>
            </w:r>
          </w:p>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Application</w:t>
            </w:r>
          </w:p>
        </w:tc>
      </w:tr>
      <w:tr w:rsidR="00325E40" w:rsidRPr="00325E40" w:rsidTr="00325E40">
        <w:trPr>
          <w:trHeight w:val="377"/>
        </w:trPr>
        <w:tc>
          <w:tcPr>
            <w:tcW w:w="816"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L4</w:t>
            </w:r>
          </w:p>
        </w:tc>
        <w:tc>
          <w:tcPr>
            <w:tcW w:w="739"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0-20</w:t>
            </w:r>
          </w:p>
        </w:tc>
        <w:tc>
          <w:tcPr>
            <w:tcW w:w="483"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4.8</w:t>
            </w:r>
          </w:p>
        </w:tc>
        <w:tc>
          <w:tcPr>
            <w:tcW w:w="916"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0.90</w:t>
            </w:r>
          </w:p>
        </w:tc>
        <w:tc>
          <w:tcPr>
            <w:tcW w:w="1222"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0.06</w:t>
            </w:r>
          </w:p>
        </w:tc>
        <w:tc>
          <w:tcPr>
            <w:tcW w:w="1028"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7.1</w:t>
            </w:r>
          </w:p>
        </w:tc>
        <w:tc>
          <w:tcPr>
            <w:tcW w:w="1094"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0.11</w:t>
            </w:r>
          </w:p>
        </w:tc>
        <w:tc>
          <w:tcPr>
            <w:tcW w:w="1027"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4.90</w:t>
            </w:r>
          </w:p>
        </w:tc>
        <w:tc>
          <w:tcPr>
            <w:tcW w:w="961"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Sandy Loam</w:t>
            </w:r>
          </w:p>
        </w:tc>
        <w:tc>
          <w:tcPr>
            <w:tcW w:w="804"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SBe-ac-nk</w:t>
            </w:r>
          </w:p>
        </w:tc>
        <w:tc>
          <w:tcPr>
            <w:tcW w:w="1170"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 xml:space="preserve">Aluminum Toxicity, </w:t>
            </w:r>
          </w:p>
        </w:tc>
        <w:tc>
          <w:tcPr>
            <w:tcW w:w="1609"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Green Manure and Organic Matter</w:t>
            </w:r>
          </w:p>
        </w:tc>
        <w:tc>
          <w:tcPr>
            <w:tcW w:w="1775"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3ton</w:t>
            </w:r>
            <w:r w:rsidR="00C43E69" w:rsidRPr="00325E40">
              <w:rPr>
                <w:rFonts w:ascii="Times New Roman" w:hAnsi="Times New Roman"/>
                <w:b/>
                <w:sz w:val="20"/>
                <w:szCs w:val="20"/>
              </w:rPr>
              <w:t>s</w:t>
            </w:r>
            <w:r w:rsidRPr="00325E40">
              <w:rPr>
                <w:rFonts w:ascii="Times New Roman" w:hAnsi="Times New Roman"/>
                <w:b/>
                <w:sz w:val="20"/>
                <w:szCs w:val="20"/>
              </w:rPr>
              <w:t>/ha and 5tons/ha</w:t>
            </w:r>
          </w:p>
        </w:tc>
        <w:tc>
          <w:tcPr>
            <w:tcW w:w="1472"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 xml:space="preserve">Incorporate </w:t>
            </w:r>
          </w:p>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 xml:space="preserve">into </w:t>
            </w:r>
          </w:p>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soil</w:t>
            </w:r>
          </w:p>
        </w:tc>
      </w:tr>
      <w:tr w:rsidR="00325E40" w:rsidRPr="00325E40" w:rsidTr="00325E40">
        <w:trPr>
          <w:trHeight w:val="266"/>
        </w:trPr>
        <w:tc>
          <w:tcPr>
            <w:tcW w:w="816"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L5</w:t>
            </w:r>
          </w:p>
        </w:tc>
        <w:tc>
          <w:tcPr>
            <w:tcW w:w="739"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0-20</w:t>
            </w:r>
          </w:p>
        </w:tc>
        <w:tc>
          <w:tcPr>
            <w:tcW w:w="483"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5.3</w:t>
            </w:r>
          </w:p>
        </w:tc>
        <w:tc>
          <w:tcPr>
            <w:tcW w:w="916"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1.20</w:t>
            </w:r>
          </w:p>
        </w:tc>
        <w:tc>
          <w:tcPr>
            <w:tcW w:w="1222"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0.08</w:t>
            </w:r>
          </w:p>
        </w:tc>
        <w:tc>
          <w:tcPr>
            <w:tcW w:w="1028"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9.6</w:t>
            </w:r>
          </w:p>
        </w:tc>
        <w:tc>
          <w:tcPr>
            <w:tcW w:w="1094"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0.17</w:t>
            </w:r>
          </w:p>
        </w:tc>
        <w:tc>
          <w:tcPr>
            <w:tcW w:w="1027"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6.30</w:t>
            </w:r>
          </w:p>
        </w:tc>
        <w:tc>
          <w:tcPr>
            <w:tcW w:w="961"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Sandy Loam</w:t>
            </w:r>
          </w:p>
        </w:tc>
        <w:tc>
          <w:tcPr>
            <w:tcW w:w="804"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SBe-ac-nk</w:t>
            </w:r>
          </w:p>
        </w:tc>
        <w:tc>
          <w:tcPr>
            <w:tcW w:w="1170"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Low CEC, N/K Deficiency</w:t>
            </w:r>
          </w:p>
        </w:tc>
        <w:tc>
          <w:tcPr>
            <w:tcW w:w="1609"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Integrated Fertilizer and Compost</w:t>
            </w:r>
          </w:p>
        </w:tc>
        <w:tc>
          <w:tcPr>
            <w:tcW w:w="1775"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sz w:val="20"/>
                <w:szCs w:val="20"/>
              </w:rPr>
              <w:t xml:space="preserve">60 kg N/ha, 40 kg P₂O₅/ha, 40 kg K₂O/ha </w:t>
            </w:r>
            <w:r w:rsidRPr="00325E40">
              <w:rPr>
                <w:rFonts w:ascii="Times New Roman" w:hAnsi="Times New Roman"/>
                <w:b/>
                <w:sz w:val="20"/>
                <w:szCs w:val="20"/>
              </w:rPr>
              <w:t>and Compost</w:t>
            </w:r>
          </w:p>
        </w:tc>
        <w:tc>
          <w:tcPr>
            <w:tcW w:w="1472"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Broadcast/</w:t>
            </w:r>
          </w:p>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Incorporate</w:t>
            </w:r>
          </w:p>
        </w:tc>
      </w:tr>
      <w:tr w:rsidR="00325E40" w:rsidRPr="00325E40" w:rsidTr="00325E40">
        <w:trPr>
          <w:trHeight w:val="282"/>
        </w:trPr>
        <w:tc>
          <w:tcPr>
            <w:tcW w:w="816"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L1</w:t>
            </w:r>
          </w:p>
        </w:tc>
        <w:tc>
          <w:tcPr>
            <w:tcW w:w="739"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20-40</w:t>
            </w:r>
          </w:p>
        </w:tc>
        <w:tc>
          <w:tcPr>
            <w:tcW w:w="483"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5.1</w:t>
            </w:r>
          </w:p>
        </w:tc>
        <w:tc>
          <w:tcPr>
            <w:tcW w:w="916"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1.00</w:t>
            </w:r>
          </w:p>
        </w:tc>
        <w:tc>
          <w:tcPr>
            <w:tcW w:w="1222"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0.06</w:t>
            </w:r>
          </w:p>
        </w:tc>
        <w:tc>
          <w:tcPr>
            <w:tcW w:w="1028"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8.2</w:t>
            </w:r>
          </w:p>
        </w:tc>
        <w:tc>
          <w:tcPr>
            <w:tcW w:w="1094"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0.13</w:t>
            </w:r>
          </w:p>
        </w:tc>
        <w:tc>
          <w:tcPr>
            <w:tcW w:w="1027"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6.50</w:t>
            </w:r>
          </w:p>
        </w:tc>
        <w:tc>
          <w:tcPr>
            <w:tcW w:w="961"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Sandy Loam</w:t>
            </w:r>
          </w:p>
        </w:tc>
        <w:tc>
          <w:tcPr>
            <w:tcW w:w="804"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SBe-ac-nk</w:t>
            </w:r>
          </w:p>
        </w:tc>
        <w:tc>
          <w:tcPr>
            <w:tcW w:w="1170"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Subsoil Acidity, N/k low</w:t>
            </w:r>
          </w:p>
        </w:tc>
        <w:tc>
          <w:tcPr>
            <w:tcW w:w="1609"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Organic Manure</w:t>
            </w:r>
          </w:p>
        </w:tc>
        <w:tc>
          <w:tcPr>
            <w:tcW w:w="1775"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5-10tons/ha</w:t>
            </w:r>
          </w:p>
        </w:tc>
        <w:tc>
          <w:tcPr>
            <w:tcW w:w="1472"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Incorporation</w:t>
            </w:r>
          </w:p>
        </w:tc>
      </w:tr>
      <w:tr w:rsidR="00325E40" w:rsidRPr="00325E40" w:rsidTr="00325E40">
        <w:trPr>
          <w:trHeight w:val="266"/>
        </w:trPr>
        <w:tc>
          <w:tcPr>
            <w:tcW w:w="816"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L2</w:t>
            </w:r>
          </w:p>
        </w:tc>
        <w:tc>
          <w:tcPr>
            <w:tcW w:w="739"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20-40</w:t>
            </w:r>
          </w:p>
        </w:tc>
        <w:tc>
          <w:tcPr>
            <w:tcW w:w="483"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4.7</w:t>
            </w:r>
          </w:p>
        </w:tc>
        <w:tc>
          <w:tcPr>
            <w:tcW w:w="916"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0.70</w:t>
            </w:r>
          </w:p>
        </w:tc>
        <w:tc>
          <w:tcPr>
            <w:tcW w:w="1222"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0.04</w:t>
            </w:r>
          </w:p>
        </w:tc>
        <w:tc>
          <w:tcPr>
            <w:tcW w:w="1028"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5.1</w:t>
            </w:r>
          </w:p>
        </w:tc>
        <w:tc>
          <w:tcPr>
            <w:tcW w:w="1094"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0.08</w:t>
            </w:r>
          </w:p>
        </w:tc>
        <w:tc>
          <w:tcPr>
            <w:tcW w:w="1027"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5.30</w:t>
            </w:r>
          </w:p>
        </w:tc>
        <w:tc>
          <w:tcPr>
            <w:tcW w:w="961"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Sandy Loam</w:t>
            </w:r>
          </w:p>
        </w:tc>
        <w:tc>
          <w:tcPr>
            <w:tcW w:w="804"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SBe-ac-nk</w:t>
            </w:r>
          </w:p>
        </w:tc>
        <w:tc>
          <w:tcPr>
            <w:tcW w:w="1170"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Nutrient Leaching</w:t>
            </w:r>
          </w:p>
        </w:tc>
        <w:tc>
          <w:tcPr>
            <w:tcW w:w="1609"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NPK and Compost</w:t>
            </w:r>
          </w:p>
        </w:tc>
        <w:tc>
          <w:tcPr>
            <w:tcW w:w="1775"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sz w:val="20"/>
                <w:szCs w:val="20"/>
              </w:rPr>
              <w:t xml:space="preserve">60 kg N/ha, 40 kg P₂O₅/ha, 40 kg K₂O/ha </w:t>
            </w:r>
            <w:r w:rsidRPr="00325E40">
              <w:rPr>
                <w:rFonts w:ascii="Times New Roman" w:hAnsi="Times New Roman"/>
                <w:b/>
                <w:sz w:val="20"/>
                <w:szCs w:val="20"/>
              </w:rPr>
              <w:t>and Compost</w:t>
            </w:r>
          </w:p>
        </w:tc>
        <w:tc>
          <w:tcPr>
            <w:tcW w:w="1472"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Broadcast/</w:t>
            </w:r>
          </w:p>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Incorporate</w:t>
            </w:r>
          </w:p>
        </w:tc>
      </w:tr>
      <w:tr w:rsidR="00325E40" w:rsidRPr="00325E40" w:rsidTr="00325E40">
        <w:trPr>
          <w:trHeight w:val="282"/>
        </w:trPr>
        <w:tc>
          <w:tcPr>
            <w:tcW w:w="816"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L3</w:t>
            </w:r>
          </w:p>
        </w:tc>
        <w:tc>
          <w:tcPr>
            <w:tcW w:w="739"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20-40</w:t>
            </w:r>
          </w:p>
        </w:tc>
        <w:tc>
          <w:tcPr>
            <w:tcW w:w="483"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4.9</w:t>
            </w:r>
          </w:p>
        </w:tc>
        <w:tc>
          <w:tcPr>
            <w:tcW w:w="916"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0.90</w:t>
            </w:r>
          </w:p>
        </w:tc>
        <w:tc>
          <w:tcPr>
            <w:tcW w:w="1222"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0.05</w:t>
            </w:r>
          </w:p>
        </w:tc>
        <w:tc>
          <w:tcPr>
            <w:tcW w:w="1028"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6.8</w:t>
            </w:r>
          </w:p>
        </w:tc>
        <w:tc>
          <w:tcPr>
            <w:tcW w:w="1094"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0.12</w:t>
            </w:r>
          </w:p>
        </w:tc>
        <w:tc>
          <w:tcPr>
            <w:tcW w:w="1027"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7.10</w:t>
            </w:r>
          </w:p>
        </w:tc>
        <w:tc>
          <w:tcPr>
            <w:tcW w:w="961"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Sandy Loam</w:t>
            </w:r>
          </w:p>
        </w:tc>
        <w:tc>
          <w:tcPr>
            <w:tcW w:w="804"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SBe-ac-nk</w:t>
            </w:r>
          </w:p>
        </w:tc>
        <w:tc>
          <w:tcPr>
            <w:tcW w:w="1170"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Low Fertility, Clay Increase</w:t>
            </w:r>
          </w:p>
        </w:tc>
        <w:tc>
          <w:tcPr>
            <w:tcW w:w="1609"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Mulching/Cover crop</w:t>
            </w:r>
          </w:p>
        </w:tc>
        <w:tc>
          <w:tcPr>
            <w:tcW w:w="1775"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3-5ton/ha</w:t>
            </w:r>
          </w:p>
        </w:tc>
        <w:tc>
          <w:tcPr>
            <w:tcW w:w="1472"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 xml:space="preserve">Surface </w:t>
            </w:r>
          </w:p>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Application</w:t>
            </w:r>
          </w:p>
        </w:tc>
      </w:tr>
      <w:tr w:rsidR="00325E40" w:rsidRPr="00325E40" w:rsidTr="00325E40">
        <w:trPr>
          <w:trHeight w:val="282"/>
        </w:trPr>
        <w:tc>
          <w:tcPr>
            <w:tcW w:w="816"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L4</w:t>
            </w:r>
          </w:p>
        </w:tc>
        <w:tc>
          <w:tcPr>
            <w:tcW w:w="739"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20-40</w:t>
            </w:r>
          </w:p>
        </w:tc>
        <w:tc>
          <w:tcPr>
            <w:tcW w:w="483"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4.6</w:t>
            </w:r>
          </w:p>
        </w:tc>
        <w:tc>
          <w:tcPr>
            <w:tcW w:w="916"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0.60</w:t>
            </w:r>
          </w:p>
        </w:tc>
        <w:tc>
          <w:tcPr>
            <w:tcW w:w="1222"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0.03</w:t>
            </w:r>
          </w:p>
        </w:tc>
        <w:tc>
          <w:tcPr>
            <w:tcW w:w="1028"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4.5</w:t>
            </w:r>
          </w:p>
        </w:tc>
        <w:tc>
          <w:tcPr>
            <w:tcW w:w="1094"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0.06</w:t>
            </w:r>
          </w:p>
        </w:tc>
        <w:tc>
          <w:tcPr>
            <w:tcW w:w="1027"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5.00</w:t>
            </w:r>
          </w:p>
        </w:tc>
        <w:tc>
          <w:tcPr>
            <w:tcW w:w="961"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Sandy Loam</w:t>
            </w:r>
          </w:p>
        </w:tc>
        <w:tc>
          <w:tcPr>
            <w:tcW w:w="804"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SBe-ac-nk</w:t>
            </w:r>
          </w:p>
        </w:tc>
        <w:tc>
          <w:tcPr>
            <w:tcW w:w="1170"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Aluminum Toxicity</w:t>
            </w:r>
          </w:p>
        </w:tc>
        <w:tc>
          <w:tcPr>
            <w:tcW w:w="1609"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Green Manure and Organic Manure</w:t>
            </w:r>
          </w:p>
        </w:tc>
        <w:tc>
          <w:tcPr>
            <w:tcW w:w="1775"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3tons/ha+5tons/ha</w:t>
            </w:r>
          </w:p>
        </w:tc>
        <w:tc>
          <w:tcPr>
            <w:tcW w:w="1472"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 xml:space="preserve">Incorporation </w:t>
            </w:r>
          </w:p>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into the Soil</w:t>
            </w:r>
          </w:p>
        </w:tc>
      </w:tr>
      <w:tr w:rsidR="00325E40" w:rsidRPr="00325E40" w:rsidTr="00325E40">
        <w:trPr>
          <w:trHeight w:val="266"/>
        </w:trPr>
        <w:tc>
          <w:tcPr>
            <w:tcW w:w="816"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L5</w:t>
            </w:r>
          </w:p>
        </w:tc>
        <w:tc>
          <w:tcPr>
            <w:tcW w:w="739"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20-40</w:t>
            </w:r>
          </w:p>
        </w:tc>
        <w:tc>
          <w:tcPr>
            <w:tcW w:w="483"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5.0</w:t>
            </w:r>
          </w:p>
        </w:tc>
        <w:tc>
          <w:tcPr>
            <w:tcW w:w="916"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0.80</w:t>
            </w:r>
          </w:p>
        </w:tc>
        <w:tc>
          <w:tcPr>
            <w:tcW w:w="1222"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0.05</w:t>
            </w:r>
          </w:p>
        </w:tc>
        <w:tc>
          <w:tcPr>
            <w:tcW w:w="1028"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6.4</w:t>
            </w:r>
          </w:p>
        </w:tc>
        <w:tc>
          <w:tcPr>
            <w:tcW w:w="1094"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0.11</w:t>
            </w:r>
          </w:p>
        </w:tc>
        <w:tc>
          <w:tcPr>
            <w:tcW w:w="1027"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6.60</w:t>
            </w:r>
          </w:p>
        </w:tc>
        <w:tc>
          <w:tcPr>
            <w:tcW w:w="961"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Sandy Loam</w:t>
            </w:r>
          </w:p>
        </w:tc>
        <w:tc>
          <w:tcPr>
            <w:tcW w:w="804"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SBe-ac-nk</w:t>
            </w:r>
          </w:p>
        </w:tc>
        <w:tc>
          <w:tcPr>
            <w:tcW w:w="1170"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Low CEC, N/K Deficiency</w:t>
            </w:r>
          </w:p>
        </w:tc>
        <w:tc>
          <w:tcPr>
            <w:tcW w:w="1609"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Integrated Fertilizer and Compost</w:t>
            </w:r>
          </w:p>
        </w:tc>
        <w:tc>
          <w:tcPr>
            <w:tcW w:w="1775"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sz w:val="20"/>
                <w:szCs w:val="20"/>
              </w:rPr>
              <w:t xml:space="preserve">60 kg N/ha, 40 kg P₂O₅/ha, 40 kg K₂O/ha </w:t>
            </w:r>
            <w:r w:rsidRPr="00325E40">
              <w:rPr>
                <w:rFonts w:ascii="Times New Roman" w:hAnsi="Times New Roman"/>
                <w:b/>
                <w:sz w:val="20"/>
                <w:szCs w:val="20"/>
              </w:rPr>
              <w:t>and Compost</w:t>
            </w:r>
          </w:p>
        </w:tc>
        <w:tc>
          <w:tcPr>
            <w:tcW w:w="1472" w:type="dxa"/>
          </w:tcPr>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Broadcast/</w:t>
            </w:r>
          </w:p>
          <w:p w:rsidR="00F51037" w:rsidRPr="00325E40" w:rsidRDefault="006E5F0C" w:rsidP="00325E40">
            <w:pPr>
              <w:spacing w:after="0" w:line="240" w:lineRule="auto"/>
              <w:jc w:val="both"/>
              <w:rPr>
                <w:rFonts w:ascii="Times New Roman" w:hAnsi="Times New Roman"/>
                <w:b/>
                <w:sz w:val="20"/>
                <w:szCs w:val="20"/>
              </w:rPr>
            </w:pPr>
            <w:r w:rsidRPr="00325E40">
              <w:rPr>
                <w:rFonts w:ascii="Times New Roman" w:hAnsi="Times New Roman"/>
                <w:b/>
                <w:sz w:val="20"/>
                <w:szCs w:val="20"/>
              </w:rPr>
              <w:t>Incorporate</w:t>
            </w:r>
          </w:p>
        </w:tc>
      </w:tr>
    </w:tbl>
    <w:bookmarkEnd w:id="3"/>
    <w:p w:rsidR="00F51037" w:rsidRPr="00325E40" w:rsidRDefault="00916732" w:rsidP="00325E40">
      <w:pPr>
        <w:spacing w:after="240" w:line="240" w:lineRule="auto"/>
        <w:jc w:val="both"/>
        <w:rPr>
          <w:rFonts w:ascii="Times New Roman" w:hAnsi="Times New Roman"/>
          <w:b/>
          <w:sz w:val="24"/>
          <w:szCs w:val="24"/>
        </w:rPr>
      </w:pPr>
      <w:r>
        <w:rPr>
          <w:rFonts w:ascii="Times New Roman" w:hAnsi="Times New Roman"/>
          <w:b/>
          <w:noProof/>
          <w:sz w:val="24"/>
          <w:szCs w:val="24"/>
        </w:rPr>
        <w:pict>
          <v:rect id="Text Box 3" o:spid="_x0000_s2050" style="position:absolute;left:0;text-align:left;margin-left:-7.8pt;margin-top:-517.3pt;width:735pt;height:21.75pt;z-index:11;visibility:visible;mso-wrap-distance-left:0;mso-wrap-distance-right:0;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" stroked="f">
            <v:textbox style="mso-next-textbox:#Text Box 3">
              <w:txbxContent>
                <w:p w:rsidR="006E5F0C" w:rsidRPr="00325E40" w:rsidRDefault="006E5F0C">
                  <w:pPr>
                    <w:rPr>
                      <w:rFonts w:ascii="Times New Roman" w:hAnsi="Times New Roman"/>
                      <w:b/>
                      <w:sz w:val="24"/>
                      <w:szCs w:val="24"/>
                    </w:rPr>
                  </w:pPr>
                  <w:bookmarkStart w:id="4" w:name="_Hlk223715559"/>
                  <w:r w:rsidRPr="00325E40">
                    <w:rPr>
                      <w:rFonts w:ascii="Times New Roman" w:hAnsi="Times New Roman"/>
                      <w:b/>
                      <w:sz w:val="24"/>
                      <w:szCs w:val="24"/>
                    </w:rPr>
                    <w:t>Table 4: Soil Properties, FCC Classification, and Management Recommendations for Nekede, Imo State</w:t>
                  </w:r>
                </w:p>
                <w:bookmarkEnd w:id="4"/>
                <w:p w:rsidR="006E5F0C" w:rsidRDefault="006E5F0C"/>
              </w:txbxContent>
            </v:textbox>
          </v:rect>
        </w:pict>
      </w:r>
    </w:p>
    <w:p w:rsidR="00436017" w:rsidRPr="00325E40" w:rsidRDefault="00CC065A" w:rsidP="00325E40">
      <w:pPr>
        <w:spacing w:after="240" w:line="240" w:lineRule="auto"/>
        <w:jc w:val="both"/>
        <w:rPr>
          <w:rFonts w:ascii="Times New Roman" w:hAnsi="Times New Roman"/>
          <w:b/>
          <w:sz w:val="24"/>
          <w:szCs w:val="24"/>
        </w:rPr>
      </w:pPr>
      <w:r w:rsidRPr="00325E40">
        <w:rPr>
          <w:rFonts w:ascii="Times New Roman" w:hAnsi="Times New Roman"/>
          <w:b/>
          <w:sz w:val="24"/>
          <w:szCs w:val="24"/>
        </w:rPr>
        <w:t>FCC</w:t>
      </w:r>
      <w:r w:rsidR="00436017" w:rsidRPr="00325E40">
        <w:rPr>
          <w:rFonts w:ascii="Times New Roman" w:hAnsi="Times New Roman"/>
          <w:b/>
          <w:sz w:val="24"/>
          <w:szCs w:val="24"/>
        </w:rPr>
        <w:t xml:space="preserve"> Class: SBe</w:t>
      </w:r>
      <w:r w:rsidR="00436017" w:rsidRPr="00325E40">
        <w:rPr>
          <w:rFonts w:ascii="Times New Roman" w:hAnsi="Times New Roman"/>
          <w:b/>
          <w:sz w:val="24"/>
          <w:szCs w:val="24"/>
          <w:vertAlign w:val="superscript"/>
        </w:rPr>
        <w:t>+</w:t>
      </w:r>
      <w:r w:rsidR="00436017" w:rsidRPr="00325E40">
        <w:rPr>
          <w:rFonts w:ascii="Times New Roman" w:hAnsi="Times New Roman"/>
          <w:b/>
          <w:sz w:val="24"/>
          <w:szCs w:val="24"/>
        </w:rPr>
        <w:t>-ac-nk: Sandy topsoil (S), Subsoil with higher Clay (Be</w:t>
      </w:r>
      <w:r w:rsidR="00436017" w:rsidRPr="00325E40">
        <w:rPr>
          <w:rFonts w:ascii="Times New Roman" w:hAnsi="Times New Roman"/>
          <w:b/>
          <w:sz w:val="24"/>
          <w:szCs w:val="24"/>
          <w:vertAlign w:val="superscript"/>
        </w:rPr>
        <w:t>+</w:t>
      </w:r>
      <w:r w:rsidR="00436017" w:rsidRPr="00325E40">
        <w:rPr>
          <w:rFonts w:ascii="Times New Roman" w:hAnsi="Times New Roman"/>
          <w:b/>
          <w:sz w:val="24"/>
          <w:szCs w:val="24"/>
        </w:rPr>
        <w:t>), acidic (ac), nitrogen and potassium deficiencies (nk)</w:t>
      </w:r>
      <w:proofErr w:type="gramStart"/>
      <w:r w:rsidR="00436017" w:rsidRPr="00325E40">
        <w:rPr>
          <w:rFonts w:ascii="Times New Roman" w:hAnsi="Times New Roman"/>
          <w:b/>
          <w:sz w:val="24"/>
          <w:szCs w:val="24"/>
        </w:rPr>
        <w:t>,.</w:t>
      </w:r>
      <w:proofErr w:type="gramEnd"/>
    </w:p>
    <w:p w:rsidR="00436017" w:rsidRPr="00325E40" w:rsidRDefault="00436017" w:rsidP="00325E40">
      <w:pPr>
        <w:spacing w:after="240" w:line="240" w:lineRule="auto"/>
        <w:jc w:val="both"/>
        <w:rPr>
          <w:rFonts w:ascii="Times New Roman" w:hAnsi="Times New Roman"/>
          <w:b/>
          <w:sz w:val="24"/>
          <w:szCs w:val="24"/>
        </w:rPr>
      </w:pPr>
      <w:r w:rsidRPr="00325E40">
        <w:rPr>
          <w:rFonts w:ascii="Times New Roman" w:hAnsi="Times New Roman"/>
          <w:b/>
          <w:sz w:val="24"/>
          <w:szCs w:val="24"/>
        </w:rPr>
        <w:lastRenderedPageBreak/>
        <w:t>Dose Values are per hectare.</w:t>
      </w:r>
    </w:p>
    <w:p w:rsidR="00CC065A" w:rsidRPr="00325E40" w:rsidRDefault="00436017" w:rsidP="00325E40">
      <w:pPr>
        <w:spacing w:after="240" w:line="240" w:lineRule="auto"/>
        <w:jc w:val="both"/>
        <w:rPr>
          <w:rFonts w:ascii="Times New Roman" w:hAnsi="Times New Roman"/>
          <w:b/>
          <w:sz w:val="24"/>
          <w:szCs w:val="24"/>
        </w:rPr>
      </w:pPr>
      <w:r w:rsidRPr="00325E40">
        <w:rPr>
          <w:rFonts w:ascii="Times New Roman" w:hAnsi="Times New Roman"/>
          <w:b/>
          <w:sz w:val="24"/>
          <w:szCs w:val="24"/>
        </w:rPr>
        <w:t>Methods indicate recommended application strategy</w:t>
      </w:r>
    </w:p>
    <w:p w:rsidR="00CC065A" w:rsidRPr="00325E40" w:rsidRDefault="00CC065A" w:rsidP="00325E40">
      <w:pPr>
        <w:spacing w:after="240" w:line="240" w:lineRule="auto"/>
        <w:jc w:val="both"/>
        <w:rPr>
          <w:rFonts w:ascii="Times New Roman" w:hAnsi="Times New Roman"/>
          <w:b/>
          <w:sz w:val="24"/>
          <w:szCs w:val="24"/>
        </w:rPr>
      </w:pPr>
    </w:p>
    <w:p w:rsidR="00CC065A" w:rsidRPr="00325E40" w:rsidRDefault="00CC065A" w:rsidP="00325E40">
      <w:pPr>
        <w:spacing w:after="240" w:line="240" w:lineRule="auto"/>
        <w:jc w:val="both"/>
        <w:rPr>
          <w:rFonts w:ascii="Times New Roman" w:hAnsi="Times New Roman"/>
          <w:sz w:val="24"/>
          <w:szCs w:val="24"/>
        </w:rPr>
        <w:sectPr w:rsidR="00CC065A" w:rsidRPr="00325E40" w:rsidSect="00325E40">
          <w:type w:val="nextColumn"/>
          <w:pgSz w:w="16838" w:h="11906" w:orient="landscape"/>
          <w:pgMar w:top="1094" w:right="605" w:bottom="605" w:left="605" w:header="270" w:footer="706" w:gutter="0"/>
          <w:cols w:space="708"/>
          <w:docGrid w:linePitch="360"/>
        </w:sectPr>
      </w:pPr>
    </w:p>
    <w:p w:rsidR="00F51037" w:rsidRPr="00325E40" w:rsidRDefault="006E5F0C" w:rsidP="00325E40">
      <w:pPr>
        <w:spacing w:after="240" w:line="240" w:lineRule="auto"/>
        <w:jc w:val="both"/>
        <w:rPr>
          <w:rFonts w:ascii="Times New Roman" w:hAnsi="Times New Roman"/>
          <w:b/>
          <w:sz w:val="24"/>
          <w:szCs w:val="24"/>
        </w:rPr>
      </w:pPr>
      <w:r w:rsidRPr="00325E40">
        <w:rPr>
          <w:rFonts w:ascii="Times New Roman" w:hAnsi="Times New Roman"/>
          <w:b/>
          <w:sz w:val="24"/>
          <w:szCs w:val="24"/>
        </w:rPr>
        <w:lastRenderedPageBreak/>
        <w:t>Fertility Capability Classification (FCC)</w:t>
      </w:r>
    </w:p>
    <w:p w:rsidR="00F51037" w:rsidRPr="00325E40" w:rsidRDefault="006E5F0C" w:rsidP="00325E40">
      <w:pPr>
        <w:spacing w:after="240" w:line="240" w:lineRule="auto"/>
        <w:jc w:val="both"/>
        <w:rPr>
          <w:rFonts w:ascii="Times New Roman" w:hAnsi="Times New Roman"/>
          <w:sz w:val="24"/>
          <w:szCs w:val="24"/>
        </w:rPr>
      </w:pPr>
      <w:r w:rsidRPr="00325E40">
        <w:rPr>
          <w:rFonts w:ascii="Times New Roman" w:hAnsi="Times New Roman"/>
          <w:sz w:val="24"/>
          <w:szCs w:val="24"/>
        </w:rPr>
        <w:t>Using the FCC system, the soils of Nekede were classified as SBe⁺-ac-nk. This classification indicates a sandy topsoil with low CEC, a subsoil with higher clay content, and significant acidity, leading to aluminum toxicity. The deficiencies in nitrogen and potassium further limit the soils' fertility, making them unsuitable for optimal crop production without intervention this was in line with the study of Sanchez et al., 2003; Srinivasa et al., 2022) on Fertility Capability Classification (FCC) for sustainable land management.</w:t>
      </w:r>
    </w:p>
    <w:p w:rsidR="00F51037" w:rsidRPr="00325E40" w:rsidRDefault="00325E40" w:rsidP="00325E40">
      <w:pPr>
        <w:spacing w:after="240" w:line="240" w:lineRule="auto"/>
        <w:jc w:val="both"/>
        <w:rPr>
          <w:rFonts w:ascii="Times New Roman" w:hAnsi="Times New Roman"/>
          <w:sz w:val="28"/>
          <w:szCs w:val="28"/>
        </w:rPr>
      </w:pPr>
      <w:r w:rsidRPr="00325E40">
        <w:rPr>
          <w:rFonts w:ascii="Times New Roman" w:hAnsi="Times New Roman"/>
          <w:b/>
          <w:sz w:val="28"/>
          <w:szCs w:val="28"/>
        </w:rPr>
        <w:t>CONCLUSION AND RECOMMENDATIONS</w:t>
      </w:r>
    </w:p>
    <w:p w:rsidR="00F51037" w:rsidRPr="00325E40" w:rsidRDefault="006E5F0C" w:rsidP="00325E40">
      <w:pPr>
        <w:spacing w:after="240" w:line="240" w:lineRule="auto"/>
        <w:jc w:val="both"/>
        <w:rPr>
          <w:rFonts w:ascii="Times New Roman" w:hAnsi="Times New Roman"/>
          <w:b/>
          <w:sz w:val="24"/>
          <w:szCs w:val="24"/>
        </w:rPr>
      </w:pPr>
      <w:r w:rsidRPr="00325E40">
        <w:rPr>
          <w:rFonts w:ascii="Times New Roman" w:hAnsi="Times New Roman"/>
          <w:b/>
          <w:sz w:val="24"/>
          <w:szCs w:val="24"/>
        </w:rPr>
        <w:t xml:space="preserve"> Conclusion</w:t>
      </w:r>
    </w:p>
    <w:p w:rsidR="00F51037" w:rsidRPr="00325E40" w:rsidRDefault="006E5F0C" w:rsidP="00325E40">
      <w:pPr>
        <w:spacing w:after="240" w:line="240" w:lineRule="auto"/>
        <w:jc w:val="both"/>
        <w:rPr>
          <w:rFonts w:ascii="Times New Roman" w:eastAsia="Calibri" w:hAnsi="Times New Roman"/>
          <w:sz w:val="24"/>
          <w:szCs w:val="24"/>
          <w:lang w:eastAsia="en-US"/>
        </w:rPr>
      </w:pPr>
      <w:r w:rsidRPr="00325E40">
        <w:rPr>
          <w:rFonts w:ascii="Times New Roman" w:hAnsi="Times New Roman"/>
          <w:sz w:val="24"/>
          <w:szCs w:val="24"/>
        </w:rPr>
        <w:t>The soils in the Nekede area was assessed and classified of its fertility capability, the soils were found to be severely degraded, with significant fertility constraints. The soils were characterized by a sandy texture, strong acidity, low nutrient retention capacity, and multiple nutrient deficiencies. The FCC classification of SBe⁺-ac-nk highlights these constraints and provides a framework for soil management.</w:t>
      </w:r>
    </w:p>
    <w:p w:rsidR="00F51037" w:rsidRPr="00325E40" w:rsidRDefault="006E5F0C" w:rsidP="00325E40">
      <w:pPr>
        <w:spacing w:after="240" w:line="240" w:lineRule="auto"/>
        <w:jc w:val="both"/>
        <w:rPr>
          <w:rFonts w:ascii="Times New Roman" w:hAnsi="Times New Roman"/>
          <w:b/>
          <w:sz w:val="24"/>
          <w:szCs w:val="24"/>
        </w:rPr>
      </w:pPr>
      <w:r w:rsidRPr="00325E40">
        <w:rPr>
          <w:rFonts w:ascii="Times New Roman" w:hAnsi="Times New Roman"/>
          <w:b/>
          <w:sz w:val="24"/>
          <w:szCs w:val="24"/>
        </w:rPr>
        <w:t xml:space="preserve"> Recommendations</w:t>
      </w:r>
    </w:p>
    <w:p w:rsidR="00F51037" w:rsidRPr="00325E40" w:rsidRDefault="006E5F0C" w:rsidP="00325E40">
      <w:pPr>
        <w:spacing w:after="240" w:line="240" w:lineRule="auto"/>
        <w:jc w:val="both"/>
        <w:rPr>
          <w:rFonts w:ascii="Times New Roman" w:hAnsi="Times New Roman"/>
          <w:sz w:val="24"/>
          <w:szCs w:val="24"/>
        </w:rPr>
      </w:pPr>
      <w:r w:rsidRPr="00325E40">
        <w:rPr>
          <w:rFonts w:ascii="Times New Roman" w:hAnsi="Times New Roman"/>
          <w:sz w:val="24"/>
          <w:szCs w:val="24"/>
        </w:rPr>
        <w:t>The classification highlights constraints that limit crop production. Targeted interventions are necessary to restore fertility and enhance sustainability. I recommend the following;</w:t>
      </w:r>
    </w:p>
    <w:p w:rsidR="00F51037" w:rsidRPr="00325E40" w:rsidRDefault="006E5F0C" w:rsidP="00325E40">
      <w:pPr>
        <w:spacing w:after="240" w:line="240" w:lineRule="auto"/>
        <w:jc w:val="both"/>
        <w:rPr>
          <w:rFonts w:ascii="Times New Roman" w:hAnsi="Times New Roman"/>
          <w:sz w:val="24"/>
          <w:szCs w:val="24"/>
        </w:rPr>
      </w:pPr>
      <w:r w:rsidRPr="00325E40">
        <w:rPr>
          <w:rFonts w:ascii="Times New Roman" w:hAnsi="Times New Roman"/>
          <w:sz w:val="24"/>
          <w:szCs w:val="24"/>
        </w:rPr>
        <w:t>Soil Acidity Amelioration through the application of organic manure at 5–10 tons/ha to raise pH and reduce aluminum toxicity.</w:t>
      </w:r>
    </w:p>
    <w:p w:rsidR="00F51037" w:rsidRPr="00325E40" w:rsidRDefault="006E5F0C" w:rsidP="00325E40">
      <w:pPr>
        <w:spacing w:after="240" w:line="240" w:lineRule="auto"/>
        <w:jc w:val="both"/>
        <w:rPr>
          <w:rFonts w:ascii="Times New Roman" w:hAnsi="Times New Roman"/>
          <w:sz w:val="24"/>
          <w:szCs w:val="24"/>
        </w:rPr>
      </w:pPr>
      <w:r w:rsidRPr="00325E40">
        <w:rPr>
          <w:rFonts w:ascii="Times New Roman" w:hAnsi="Times New Roman"/>
          <w:sz w:val="24"/>
          <w:szCs w:val="24"/>
        </w:rPr>
        <w:t>Nutrient Management by Integrating the application of NPK fertilizer and organic amendments to address nitrogen and potassium deficiencies. For example, 60 kg N/ha, 40 kg P₂O₅/ha, 40 kg K₂O/ha combined with compost or green manure.</w:t>
      </w:r>
    </w:p>
    <w:p w:rsidR="00F51037" w:rsidRPr="00325E40" w:rsidRDefault="006E5F0C" w:rsidP="00325E40">
      <w:pPr>
        <w:spacing w:after="240" w:line="240" w:lineRule="auto"/>
        <w:jc w:val="both"/>
        <w:rPr>
          <w:rFonts w:ascii="Times New Roman" w:hAnsi="Times New Roman"/>
          <w:b/>
          <w:sz w:val="24"/>
          <w:szCs w:val="24"/>
        </w:rPr>
      </w:pPr>
      <w:r w:rsidRPr="00325E40">
        <w:rPr>
          <w:rFonts w:ascii="Times New Roman" w:hAnsi="Times New Roman"/>
          <w:sz w:val="24"/>
          <w:szCs w:val="24"/>
        </w:rPr>
        <w:t>Soil Conservation Practices through the adoption of mulching, cover cropping, and conservation tillage to enhance soil structure and organic matter retention</w:t>
      </w:r>
    </w:p>
    <w:p w:rsidR="00F51037" w:rsidRPr="00325E40" w:rsidRDefault="00325E40" w:rsidP="00325E40">
      <w:pPr>
        <w:spacing w:after="240" w:line="240" w:lineRule="auto"/>
        <w:jc w:val="both"/>
        <w:rPr>
          <w:rFonts w:ascii="Times New Roman" w:hAnsi="Times New Roman"/>
          <w:b/>
          <w:sz w:val="28"/>
          <w:szCs w:val="28"/>
        </w:rPr>
      </w:pPr>
      <w:bookmarkStart w:id="5" w:name="_Hlk219708701"/>
      <w:r w:rsidRPr="00325E40">
        <w:rPr>
          <w:rFonts w:ascii="Times New Roman" w:hAnsi="Times New Roman"/>
          <w:b/>
          <w:sz w:val="28"/>
          <w:szCs w:val="28"/>
        </w:rPr>
        <w:t>REFERENCES</w:t>
      </w:r>
    </w:p>
    <w:bookmarkEnd w:id="5"/>
    <w:p w:rsidR="006E5F0C" w:rsidRPr="00325E40" w:rsidRDefault="006E5F0C" w:rsidP="00325E40">
      <w:pPr>
        <w:pStyle w:val="ListParagraph"/>
        <w:numPr>
          <w:ilvl w:val="0"/>
          <w:numId w:val="2"/>
        </w:numPr>
        <w:tabs>
          <w:tab w:val="left" w:pos="1365"/>
          <w:tab w:val="left" w:pos="2460"/>
        </w:tabs>
        <w:spacing w:after="0" w:line="240" w:lineRule="auto"/>
        <w:jc w:val="both"/>
        <w:rPr>
          <w:rFonts w:ascii="Times New Roman" w:hAnsi="Times New Roman"/>
          <w:sz w:val="24"/>
          <w:szCs w:val="24"/>
        </w:rPr>
      </w:pPr>
      <w:r w:rsidRPr="00325E40">
        <w:rPr>
          <w:rFonts w:ascii="Times New Roman" w:hAnsi="Times New Roman"/>
          <w:sz w:val="24"/>
          <w:szCs w:val="24"/>
        </w:rPr>
        <w:t>Buol, S. W., Sanchez, P. A., Cate, R. B., &amp; Granger, M. A. (1975). Soil fertility capability classification. In Soil management in tropical America (pp. 126–141). North Carolina State University.</w:t>
      </w:r>
    </w:p>
    <w:p w:rsidR="006E5F0C" w:rsidRPr="00325E40" w:rsidRDefault="006E5F0C" w:rsidP="00325E40">
      <w:pPr>
        <w:pStyle w:val="ListParagraph"/>
        <w:numPr>
          <w:ilvl w:val="0"/>
          <w:numId w:val="2"/>
        </w:numPr>
        <w:tabs>
          <w:tab w:val="left" w:pos="1365"/>
          <w:tab w:val="left" w:pos="2460"/>
        </w:tabs>
        <w:spacing w:after="0" w:line="240" w:lineRule="auto"/>
        <w:jc w:val="both"/>
        <w:rPr>
          <w:rFonts w:ascii="Times New Roman" w:hAnsi="Times New Roman"/>
          <w:sz w:val="24"/>
          <w:szCs w:val="24"/>
        </w:rPr>
      </w:pPr>
      <w:r w:rsidRPr="00325E40">
        <w:rPr>
          <w:rFonts w:ascii="Times New Roman" w:hAnsi="Times New Roman"/>
          <w:sz w:val="24"/>
          <w:szCs w:val="24"/>
        </w:rPr>
        <w:t>Brady, N. C., &amp; Weil, R. R. (2017). The nature and properties of soils (15th ed.). Pearson.</w:t>
      </w:r>
    </w:p>
    <w:p w:rsidR="006E5F0C" w:rsidRPr="00325E40" w:rsidRDefault="006E5F0C" w:rsidP="00325E40">
      <w:pPr>
        <w:pStyle w:val="ListParagraph"/>
        <w:numPr>
          <w:ilvl w:val="0"/>
          <w:numId w:val="2"/>
        </w:numPr>
        <w:tabs>
          <w:tab w:val="left" w:pos="1365"/>
          <w:tab w:val="left" w:pos="2460"/>
        </w:tabs>
        <w:spacing w:after="0" w:line="240" w:lineRule="auto"/>
        <w:jc w:val="both"/>
        <w:rPr>
          <w:rFonts w:ascii="Times New Roman" w:hAnsi="Times New Roman"/>
          <w:sz w:val="24"/>
          <w:szCs w:val="24"/>
        </w:rPr>
      </w:pPr>
      <w:r w:rsidRPr="00325E40">
        <w:rPr>
          <w:rFonts w:ascii="Times New Roman" w:hAnsi="Times New Roman"/>
          <w:sz w:val="24"/>
          <w:szCs w:val="24"/>
        </w:rPr>
        <w:t>Brenner, J., &amp; Mulvaney, R. (2017). Methods of soil analysis: Total nitrogen determination. Soil Science Society of America.</w:t>
      </w:r>
    </w:p>
    <w:p w:rsidR="00872A7C" w:rsidRDefault="006E5F0C" w:rsidP="00325E40">
      <w:pPr>
        <w:pStyle w:val="ListParagraph"/>
        <w:numPr>
          <w:ilvl w:val="0"/>
          <w:numId w:val="2"/>
        </w:numPr>
        <w:tabs>
          <w:tab w:val="left" w:pos="1365"/>
          <w:tab w:val="left" w:pos="2460"/>
        </w:tabs>
        <w:spacing w:after="0" w:line="240" w:lineRule="auto"/>
        <w:jc w:val="both"/>
        <w:rPr>
          <w:rFonts w:ascii="Times New Roman" w:hAnsi="Times New Roman"/>
          <w:sz w:val="24"/>
          <w:szCs w:val="24"/>
        </w:rPr>
      </w:pPr>
      <w:r w:rsidRPr="00325E40">
        <w:rPr>
          <w:rFonts w:ascii="Times New Roman" w:hAnsi="Times New Roman"/>
          <w:sz w:val="24"/>
          <w:szCs w:val="24"/>
        </w:rPr>
        <w:t xml:space="preserve">Ezemonye, M. N., &amp; </w:t>
      </w:r>
      <w:proofErr w:type="spellStart"/>
      <w:r w:rsidRPr="00325E40">
        <w:rPr>
          <w:rFonts w:ascii="Times New Roman" w:hAnsi="Times New Roman"/>
          <w:sz w:val="24"/>
          <w:szCs w:val="24"/>
        </w:rPr>
        <w:t>Emeribe</w:t>
      </w:r>
      <w:proofErr w:type="spellEnd"/>
      <w:r w:rsidRPr="00325E40">
        <w:rPr>
          <w:rFonts w:ascii="Times New Roman" w:hAnsi="Times New Roman"/>
          <w:sz w:val="24"/>
          <w:szCs w:val="24"/>
        </w:rPr>
        <w:t xml:space="preserve">, C. N. (2016). Rainfall patterns and variability in Owerri, southeastern Nigeria. Journal of Geography and Regional Planning, 9(5), 112–120. </w:t>
      </w:r>
    </w:p>
    <w:p w:rsidR="006E5F0C" w:rsidRPr="00325E40" w:rsidRDefault="006E5F0C" w:rsidP="00872A7C">
      <w:pPr>
        <w:pStyle w:val="ListParagraph"/>
        <w:tabs>
          <w:tab w:val="left" w:pos="1365"/>
          <w:tab w:val="left" w:pos="2460"/>
        </w:tabs>
        <w:spacing w:after="0" w:line="240" w:lineRule="auto"/>
        <w:jc w:val="both"/>
        <w:rPr>
          <w:rFonts w:ascii="Times New Roman" w:hAnsi="Times New Roman"/>
          <w:sz w:val="24"/>
          <w:szCs w:val="24"/>
        </w:rPr>
      </w:pPr>
      <w:r w:rsidRPr="00325E40">
        <w:rPr>
          <w:rFonts w:ascii="Times New Roman" w:hAnsi="Times New Roman"/>
          <w:sz w:val="24"/>
          <w:szCs w:val="24"/>
        </w:rPr>
        <w:t>https://doi.org/10.5897/JGRP2016.XXXXX⁠</w:t>
      </w:r>
    </w:p>
    <w:p w:rsidR="006E5F0C" w:rsidRPr="00325E40" w:rsidRDefault="006E5F0C" w:rsidP="00325E40">
      <w:pPr>
        <w:pStyle w:val="ListParagraph"/>
        <w:numPr>
          <w:ilvl w:val="0"/>
          <w:numId w:val="2"/>
        </w:numPr>
        <w:tabs>
          <w:tab w:val="left" w:pos="1365"/>
          <w:tab w:val="left" w:pos="2460"/>
        </w:tabs>
        <w:spacing w:after="0" w:line="240" w:lineRule="auto"/>
        <w:jc w:val="both"/>
        <w:rPr>
          <w:rFonts w:ascii="Times New Roman" w:hAnsi="Times New Roman"/>
          <w:sz w:val="24"/>
          <w:szCs w:val="24"/>
        </w:rPr>
      </w:pPr>
      <w:r w:rsidRPr="00325E40">
        <w:rPr>
          <w:rFonts w:ascii="Times New Roman" w:hAnsi="Times New Roman"/>
          <w:sz w:val="24"/>
          <w:szCs w:val="24"/>
        </w:rPr>
        <w:t xml:space="preserve">Okorie, F. C., Nwachukwu, A. N., &amp; </w:t>
      </w:r>
      <w:proofErr w:type="spellStart"/>
      <w:r w:rsidRPr="00325E40">
        <w:rPr>
          <w:rFonts w:ascii="Times New Roman" w:hAnsi="Times New Roman"/>
          <w:sz w:val="24"/>
          <w:szCs w:val="24"/>
        </w:rPr>
        <w:t>Ohiri</w:t>
      </w:r>
      <w:proofErr w:type="spellEnd"/>
      <w:r w:rsidRPr="00325E40">
        <w:rPr>
          <w:rFonts w:ascii="Times New Roman" w:hAnsi="Times New Roman"/>
          <w:sz w:val="24"/>
          <w:szCs w:val="24"/>
        </w:rPr>
        <w:t>, A. C. (2020). Land use and land cover change in a peri-urban area of Owerri, Nigeria. Journal of Environmental Geography, 13(1–2), 15–24.</w:t>
      </w:r>
    </w:p>
    <w:p w:rsidR="006E5F0C" w:rsidRPr="00325E40" w:rsidRDefault="006E5F0C" w:rsidP="00325E40">
      <w:pPr>
        <w:pStyle w:val="ListParagraph"/>
        <w:numPr>
          <w:ilvl w:val="0"/>
          <w:numId w:val="2"/>
        </w:numPr>
        <w:tabs>
          <w:tab w:val="left" w:pos="1365"/>
          <w:tab w:val="left" w:pos="2460"/>
        </w:tabs>
        <w:spacing w:after="0" w:line="240" w:lineRule="auto"/>
        <w:jc w:val="both"/>
        <w:rPr>
          <w:rFonts w:ascii="Times New Roman" w:hAnsi="Times New Roman"/>
          <w:sz w:val="24"/>
          <w:szCs w:val="24"/>
        </w:rPr>
      </w:pPr>
      <w:r w:rsidRPr="00325E40">
        <w:rPr>
          <w:rFonts w:ascii="Times New Roman" w:hAnsi="Times New Roman"/>
          <w:sz w:val="24"/>
          <w:szCs w:val="24"/>
        </w:rPr>
        <w:t>Gee, G. W., &amp; Or, D. (2002). Particle-size analysis. In J. H. Dane &amp; G. C. Topp (Eds.), Methods of soil analysis, Part 4: Physical methods (pp. 255–293). Soil Science Society of America.</w:t>
      </w:r>
    </w:p>
    <w:p w:rsidR="006E5F0C" w:rsidRPr="00325E40" w:rsidRDefault="006E5F0C" w:rsidP="00325E40">
      <w:pPr>
        <w:pStyle w:val="ListParagraph"/>
        <w:numPr>
          <w:ilvl w:val="0"/>
          <w:numId w:val="2"/>
        </w:numPr>
        <w:tabs>
          <w:tab w:val="left" w:pos="1365"/>
          <w:tab w:val="left" w:pos="2460"/>
        </w:tabs>
        <w:spacing w:after="0" w:line="240" w:lineRule="auto"/>
        <w:jc w:val="both"/>
        <w:rPr>
          <w:rFonts w:ascii="Times New Roman" w:hAnsi="Times New Roman"/>
          <w:sz w:val="24"/>
          <w:szCs w:val="24"/>
        </w:rPr>
      </w:pPr>
      <w:r w:rsidRPr="00325E40">
        <w:rPr>
          <w:rFonts w:ascii="Times New Roman" w:hAnsi="Times New Roman"/>
          <w:sz w:val="24"/>
          <w:szCs w:val="24"/>
        </w:rPr>
        <w:t>Havlin, J. L., Tisdale, S. L., Nelson, W. L., &amp; Beaton, J. D. (2014). Soil fertility and fertilizers (8th ed.). Pearson.</w:t>
      </w:r>
    </w:p>
    <w:p w:rsidR="006E5F0C" w:rsidRPr="00325E40" w:rsidRDefault="006E5F0C" w:rsidP="00325E40">
      <w:pPr>
        <w:pStyle w:val="ListParagraph"/>
        <w:numPr>
          <w:ilvl w:val="0"/>
          <w:numId w:val="2"/>
        </w:numPr>
        <w:tabs>
          <w:tab w:val="left" w:pos="1365"/>
          <w:tab w:val="left" w:pos="2460"/>
        </w:tabs>
        <w:spacing w:after="0" w:line="240" w:lineRule="auto"/>
        <w:jc w:val="both"/>
        <w:rPr>
          <w:rFonts w:ascii="Times New Roman" w:hAnsi="Times New Roman"/>
          <w:sz w:val="24"/>
          <w:szCs w:val="24"/>
        </w:rPr>
      </w:pPr>
      <w:r w:rsidRPr="00325E40">
        <w:rPr>
          <w:rFonts w:ascii="Times New Roman" w:hAnsi="Times New Roman"/>
          <w:sz w:val="24"/>
          <w:szCs w:val="24"/>
        </w:rPr>
        <w:t>Lal, R. (2015). Restoring soil quality to mitigate soil degradation. Sustainability, 7(5), 5875–5895. https://doi.org/10.3390/su7055875⁠</w:t>
      </w:r>
    </w:p>
    <w:p w:rsidR="006E5F0C" w:rsidRPr="00325E40" w:rsidRDefault="006E5F0C" w:rsidP="00325E40">
      <w:pPr>
        <w:pStyle w:val="ListParagraph"/>
        <w:numPr>
          <w:ilvl w:val="0"/>
          <w:numId w:val="2"/>
        </w:numPr>
        <w:tabs>
          <w:tab w:val="left" w:pos="1365"/>
          <w:tab w:val="left" w:pos="2460"/>
        </w:tabs>
        <w:spacing w:after="0" w:line="240" w:lineRule="auto"/>
        <w:jc w:val="both"/>
        <w:rPr>
          <w:rFonts w:ascii="Times New Roman" w:hAnsi="Times New Roman"/>
          <w:sz w:val="24"/>
          <w:szCs w:val="24"/>
        </w:rPr>
      </w:pPr>
      <w:r w:rsidRPr="00325E40">
        <w:rPr>
          <w:rFonts w:ascii="Times New Roman" w:hAnsi="Times New Roman"/>
          <w:sz w:val="24"/>
          <w:szCs w:val="24"/>
        </w:rPr>
        <w:t xml:space="preserve">Mbagwu, J. S. C., &amp; </w:t>
      </w:r>
      <w:proofErr w:type="spellStart"/>
      <w:r w:rsidRPr="00325E40">
        <w:rPr>
          <w:rFonts w:ascii="Times New Roman" w:hAnsi="Times New Roman"/>
          <w:sz w:val="24"/>
          <w:szCs w:val="24"/>
        </w:rPr>
        <w:t>Anikwe</w:t>
      </w:r>
      <w:proofErr w:type="spellEnd"/>
      <w:r w:rsidRPr="00325E40">
        <w:rPr>
          <w:rFonts w:ascii="Times New Roman" w:hAnsi="Times New Roman"/>
          <w:sz w:val="24"/>
          <w:szCs w:val="24"/>
        </w:rPr>
        <w:t>, M. A. N. (2018). Soil properties and productivity of southeastern Nigeria soils. Nigerian Journal of Soil Science, 28(1), 1–14.</w:t>
      </w:r>
    </w:p>
    <w:p w:rsidR="006E5F0C" w:rsidRPr="00325E40" w:rsidRDefault="006E5F0C" w:rsidP="00325E40">
      <w:pPr>
        <w:pStyle w:val="ListParagraph"/>
        <w:numPr>
          <w:ilvl w:val="0"/>
          <w:numId w:val="2"/>
        </w:numPr>
        <w:tabs>
          <w:tab w:val="left" w:pos="1365"/>
          <w:tab w:val="left" w:pos="2460"/>
        </w:tabs>
        <w:spacing w:after="0" w:line="240" w:lineRule="auto"/>
        <w:jc w:val="both"/>
        <w:rPr>
          <w:rFonts w:ascii="Times New Roman" w:hAnsi="Times New Roman"/>
          <w:sz w:val="24"/>
          <w:szCs w:val="24"/>
        </w:rPr>
      </w:pPr>
      <w:r w:rsidRPr="00325E40">
        <w:rPr>
          <w:rFonts w:ascii="Times New Roman" w:hAnsi="Times New Roman"/>
          <w:sz w:val="24"/>
          <w:szCs w:val="24"/>
        </w:rPr>
        <w:t>NIMET. (2022). Nigerian Meteorological Agency annual climate report. Abuja, Nigeria.</w:t>
      </w:r>
    </w:p>
    <w:p w:rsidR="00872A7C" w:rsidRDefault="006E5F0C" w:rsidP="00325E40">
      <w:pPr>
        <w:pStyle w:val="ListParagraph"/>
        <w:numPr>
          <w:ilvl w:val="0"/>
          <w:numId w:val="2"/>
        </w:numPr>
        <w:tabs>
          <w:tab w:val="left" w:pos="1365"/>
          <w:tab w:val="left" w:pos="2460"/>
        </w:tabs>
        <w:spacing w:after="0" w:line="240" w:lineRule="auto"/>
        <w:jc w:val="both"/>
        <w:rPr>
          <w:rFonts w:ascii="Times New Roman" w:hAnsi="Times New Roman"/>
          <w:sz w:val="24"/>
          <w:szCs w:val="24"/>
        </w:rPr>
      </w:pPr>
      <w:r w:rsidRPr="00325E40">
        <w:rPr>
          <w:rFonts w:ascii="Times New Roman" w:hAnsi="Times New Roman"/>
          <w:sz w:val="24"/>
          <w:szCs w:val="24"/>
        </w:rPr>
        <w:t xml:space="preserve">Obalum, S. E., et al. (2017). Soil fertility assessment and management implications for tropical agro-ecosystems. Archives of Agronomy and Soil Science, 63(4), 1–15. </w:t>
      </w:r>
    </w:p>
    <w:p w:rsidR="006E5F0C" w:rsidRPr="00325E40" w:rsidRDefault="006E5F0C" w:rsidP="00872A7C">
      <w:pPr>
        <w:pStyle w:val="ListParagraph"/>
        <w:tabs>
          <w:tab w:val="left" w:pos="1365"/>
          <w:tab w:val="left" w:pos="2460"/>
        </w:tabs>
        <w:spacing w:after="0" w:line="240" w:lineRule="auto"/>
        <w:jc w:val="both"/>
        <w:rPr>
          <w:rFonts w:ascii="Times New Roman" w:hAnsi="Times New Roman"/>
          <w:sz w:val="24"/>
          <w:szCs w:val="24"/>
        </w:rPr>
      </w:pPr>
      <w:r w:rsidRPr="00325E40">
        <w:rPr>
          <w:rFonts w:ascii="Times New Roman" w:hAnsi="Times New Roman"/>
          <w:sz w:val="24"/>
          <w:szCs w:val="24"/>
        </w:rPr>
        <w:t>https://doi.org/10.1080/03650340.2017.1286060⁠</w:t>
      </w:r>
    </w:p>
    <w:p w:rsidR="006E5F0C" w:rsidRPr="00325E40" w:rsidRDefault="006E5F0C" w:rsidP="00325E40">
      <w:pPr>
        <w:pStyle w:val="ListParagraph"/>
        <w:numPr>
          <w:ilvl w:val="0"/>
          <w:numId w:val="2"/>
        </w:numPr>
        <w:tabs>
          <w:tab w:val="left" w:pos="1365"/>
          <w:tab w:val="left" w:pos="2460"/>
        </w:tabs>
        <w:spacing w:after="0" w:line="240" w:lineRule="auto"/>
        <w:jc w:val="both"/>
        <w:rPr>
          <w:rFonts w:ascii="Times New Roman" w:hAnsi="Times New Roman"/>
          <w:sz w:val="24"/>
          <w:szCs w:val="24"/>
        </w:rPr>
      </w:pPr>
      <w:r w:rsidRPr="00325E40">
        <w:rPr>
          <w:rFonts w:ascii="Times New Roman" w:hAnsi="Times New Roman"/>
          <w:sz w:val="24"/>
          <w:szCs w:val="24"/>
        </w:rPr>
        <w:lastRenderedPageBreak/>
        <w:t>Obi, M. E., &amp; Ebo, P. O. (2015). The physical and chemical properties of soils in southern Nigeria. Nigerian Agricultural Journal, 25, 45–53.</w:t>
      </w:r>
    </w:p>
    <w:p w:rsidR="006E5F0C" w:rsidRPr="00325E40" w:rsidRDefault="006E5F0C" w:rsidP="00325E40">
      <w:pPr>
        <w:pStyle w:val="ListParagraph"/>
        <w:numPr>
          <w:ilvl w:val="0"/>
          <w:numId w:val="2"/>
        </w:numPr>
        <w:tabs>
          <w:tab w:val="left" w:pos="1365"/>
          <w:tab w:val="left" w:pos="2460"/>
        </w:tabs>
        <w:spacing w:after="0" w:line="240" w:lineRule="auto"/>
        <w:jc w:val="both"/>
        <w:rPr>
          <w:rFonts w:ascii="Times New Roman" w:hAnsi="Times New Roman"/>
          <w:sz w:val="24"/>
          <w:szCs w:val="24"/>
        </w:rPr>
      </w:pPr>
      <w:r w:rsidRPr="00325E40">
        <w:rPr>
          <w:rFonts w:ascii="Times New Roman" w:hAnsi="Times New Roman"/>
          <w:sz w:val="24"/>
          <w:szCs w:val="24"/>
        </w:rPr>
        <w:t>Sanchez, P. A. (2019). Properties and management of soils in the tropics (2nd ed.). Cambridge University Press.</w:t>
      </w:r>
    </w:p>
    <w:p w:rsidR="006E5F0C" w:rsidRPr="00325E40" w:rsidRDefault="006E5F0C" w:rsidP="00325E40">
      <w:pPr>
        <w:pStyle w:val="ListParagraph"/>
        <w:numPr>
          <w:ilvl w:val="0"/>
          <w:numId w:val="2"/>
        </w:numPr>
        <w:tabs>
          <w:tab w:val="left" w:pos="1365"/>
          <w:tab w:val="left" w:pos="2460"/>
        </w:tabs>
        <w:spacing w:after="0" w:line="240" w:lineRule="auto"/>
        <w:jc w:val="both"/>
        <w:rPr>
          <w:rFonts w:ascii="Times New Roman" w:hAnsi="Times New Roman"/>
          <w:sz w:val="24"/>
          <w:szCs w:val="24"/>
        </w:rPr>
      </w:pPr>
      <w:r w:rsidRPr="00325E40">
        <w:rPr>
          <w:rFonts w:ascii="Times New Roman" w:hAnsi="Times New Roman"/>
          <w:sz w:val="24"/>
          <w:szCs w:val="24"/>
        </w:rPr>
        <w:t xml:space="preserve">Sanchez, P. A., Palm, C. A., &amp; Buol, S. W. (2003). Fertility capability soil classification: A tool to help assess soil quality in the tropics. </w:t>
      </w:r>
      <w:proofErr w:type="spellStart"/>
      <w:r w:rsidRPr="00325E40">
        <w:rPr>
          <w:rFonts w:ascii="Times New Roman" w:hAnsi="Times New Roman"/>
          <w:sz w:val="24"/>
          <w:szCs w:val="24"/>
        </w:rPr>
        <w:t>Geoderma</w:t>
      </w:r>
      <w:proofErr w:type="spellEnd"/>
      <w:r w:rsidRPr="00325E40">
        <w:rPr>
          <w:rFonts w:ascii="Times New Roman" w:hAnsi="Times New Roman"/>
          <w:sz w:val="24"/>
          <w:szCs w:val="24"/>
        </w:rPr>
        <w:t>, 114(3–4), 157–185. https://doi.org/10.1016/S0016-7061(03)00053-1⁠</w:t>
      </w:r>
    </w:p>
    <w:p w:rsidR="006E5F0C" w:rsidRPr="00325E40" w:rsidRDefault="006E5F0C" w:rsidP="00325E40">
      <w:pPr>
        <w:pStyle w:val="ListParagraph"/>
        <w:numPr>
          <w:ilvl w:val="0"/>
          <w:numId w:val="2"/>
        </w:numPr>
        <w:tabs>
          <w:tab w:val="left" w:pos="1365"/>
          <w:tab w:val="left" w:pos="2460"/>
        </w:tabs>
        <w:spacing w:after="0" w:line="240" w:lineRule="auto"/>
        <w:jc w:val="both"/>
        <w:rPr>
          <w:rFonts w:ascii="Times New Roman" w:hAnsi="Times New Roman"/>
          <w:sz w:val="24"/>
          <w:szCs w:val="24"/>
        </w:rPr>
      </w:pPr>
      <w:r w:rsidRPr="00325E40">
        <w:rPr>
          <w:rFonts w:ascii="Times New Roman" w:hAnsi="Times New Roman"/>
          <w:sz w:val="24"/>
          <w:szCs w:val="24"/>
        </w:rPr>
        <w:t xml:space="preserve">Srinivasa, R. C., Naik, R. S., &amp; </w:t>
      </w:r>
      <w:proofErr w:type="spellStart"/>
      <w:r w:rsidRPr="00325E40">
        <w:rPr>
          <w:rFonts w:ascii="Times New Roman" w:hAnsi="Times New Roman"/>
          <w:sz w:val="24"/>
          <w:szCs w:val="24"/>
        </w:rPr>
        <w:t>Hebbara</w:t>
      </w:r>
      <w:proofErr w:type="spellEnd"/>
      <w:r w:rsidRPr="00325E40">
        <w:rPr>
          <w:rFonts w:ascii="Times New Roman" w:hAnsi="Times New Roman"/>
          <w:sz w:val="24"/>
          <w:szCs w:val="24"/>
        </w:rPr>
        <w:t>, M. (2022). Fertility capability classification (FCC) for sustainable land management. Journal of the Indian Society of Soil Science, 70(1), 1–10. https://doi.org/10.5958/0974-0228.2022.00001.7⁠</w:t>
      </w:r>
    </w:p>
    <w:p w:rsidR="006E5F0C" w:rsidRPr="00325E40" w:rsidRDefault="006E5F0C" w:rsidP="00325E40">
      <w:pPr>
        <w:pStyle w:val="ListParagraph"/>
        <w:numPr>
          <w:ilvl w:val="0"/>
          <w:numId w:val="2"/>
        </w:numPr>
        <w:tabs>
          <w:tab w:val="left" w:pos="1365"/>
          <w:tab w:val="left" w:pos="2460"/>
        </w:tabs>
        <w:spacing w:after="0" w:line="240" w:lineRule="auto"/>
        <w:jc w:val="both"/>
        <w:rPr>
          <w:rFonts w:ascii="Times New Roman" w:hAnsi="Times New Roman"/>
          <w:sz w:val="24"/>
          <w:szCs w:val="24"/>
        </w:rPr>
      </w:pPr>
      <w:r w:rsidRPr="00325E40">
        <w:rPr>
          <w:rFonts w:ascii="Times New Roman" w:hAnsi="Times New Roman"/>
          <w:sz w:val="24"/>
          <w:szCs w:val="24"/>
        </w:rPr>
        <w:t>Tang, L. (2020). Fundamentals of soil fertility. Springer Nature.</w:t>
      </w:r>
    </w:p>
    <w:p w:rsidR="006E5F0C" w:rsidRPr="00325E40" w:rsidRDefault="006E5F0C" w:rsidP="00325E40">
      <w:pPr>
        <w:pStyle w:val="ListParagraph"/>
        <w:numPr>
          <w:ilvl w:val="0"/>
          <w:numId w:val="2"/>
        </w:numPr>
        <w:tabs>
          <w:tab w:val="left" w:pos="1365"/>
          <w:tab w:val="left" w:pos="2460"/>
        </w:tabs>
        <w:spacing w:after="0" w:line="240" w:lineRule="auto"/>
        <w:jc w:val="both"/>
        <w:rPr>
          <w:rFonts w:ascii="Times New Roman" w:hAnsi="Times New Roman"/>
          <w:sz w:val="24"/>
          <w:szCs w:val="24"/>
        </w:rPr>
      </w:pPr>
      <w:r w:rsidRPr="00325E40">
        <w:rPr>
          <w:rFonts w:ascii="Times New Roman" w:hAnsi="Times New Roman"/>
          <w:sz w:val="24"/>
          <w:szCs w:val="24"/>
        </w:rPr>
        <w:t>Ukaegbu, E. P., Nnadi, F. C., &amp; Mbagwu, J. S. (2024). Characterization and classification of coastal plain sands of southeastern Nigeria for agricultural land use planning. African Journal of Environmental Science and Technology, 18(3), 78–92. https://doi.org/10.5897/AJEST2024.XXXXX⁠</w:t>
      </w:r>
    </w:p>
    <w:p w:rsidR="006E5F0C" w:rsidRPr="00325E40" w:rsidRDefault="006E5F0C" w:rsidP="00325E40">
      <w:pPr>
        <w:pStyle w:val="ListParagraph"/>
        <w:numPr>
          <w:ilvl w:val="0"/>
          <w:numId w:val="2"/>
        </w:numPr>
        <w:tabs>
          <w:tab w:val="left" w:pos="1365"/>
          <w:tab w:val="left" w:pos="2460"/>
        </w:tabs>
        <w:spacing w:after="0" w:line="240" w:lineRule="auto"/>
        <w:jc w:val="both"/>
        <w:rPr>
          <w:rFonts w:ascii="Times New Roman" w:hAnsi="Times New Roman"/>
          <w:sz w:val="24"/>
          <w:szCs w:val="24"/>
        </w:rPr>
      </w:pPr>
      <w:r w:rsidRPr="00325E40">
        <w:rPr>
          <w:rFonts w:ascii="Times New Roman" w:hAnsi="Times New Roman"/>
          <w:sz w:val="24"/>
          <w:szCs w:val="24"/>
        </w:rPr>
        <w:t>USDA. (2017). Soil survey manual. United States Department of Agriculture, Washington, DC.</w:t>
      </w:r>
    </w:p>
    <w:p w:rsidR="006E5F0C" w:rsidRPr="00325E40" w:rsidRDefault="006E5F0C" w:rsidP="00325E40">
      <w:pPr>
        <w:pStyle w:val="ListParagraph"/>
        <w:numPr>
          <w:ilvl w:val="0"/>
          <w:numId w:val="2"/>
        </w:numPr>
        <w:tabs>
          <w:tab w:val="left" w:pos="1365"/>
          <w:tab w:val="left" w:pos="2460"/>
        </w:tabs>
        <w:spacing w:after="0" w:line="240" w:lineRule="auto"/>
        <w:jc w:val="both"/>
        <w:rPr>
          <w:rFonts w:ascii="Times New Roman" w:hAnsi="Times New Roman"/>
          <w:sz w:val="24"/>
          <w:szCs w:val="24"/>
        </w:rPr>
      </w:pPr>
      <w:r w:rsidRPr="00325E40">
        <w:rPr>
          <w:rFonts w:ascii="Times New Roman" w:hAnsi="Times New Roman"/>
          <w:sz w:val="24"/>
          <w:szCs w:val="24"/>
        </w:rPr>
        <w:t>Walkley, A., &amp; Black, I. A. (2021). Determination of organic carbon in soils. Soil Science Society of America Journal, 85(6), 1234–1242. https://doi.org/10.2136/sssaj2021.XXXXX⁠</w:t>
      </w:r>
    </w:p>
    <w:p w:rsidR="00F51037" w:rsidRPr="00325E40" w:rsidRDefault="00F51037" w:rsidP="00325E40">
      <w:pPr>
        <w:tabs>
          <w:tab w:val="left" w:pos="1365"/>
          <w:tab w:val="left" w:pos="2460"/>
        </w:tabs>
        <w:spacing w:after="0" w:line="240" w:lineRule="auto"/>
        <w:jc w:val="both"/>
        <w:rPr>
          <w:rFonts w:ascii="Times New Roman" w:hAnsi="Times New Roman"/>
          <w:sz w:val="24"/>
          <w:szCs w:val="24"/>
        </w:rPr>
      </w:pPr>
    </w:p>
    <w:p w:rsidR="00F51037" w:rsidRPr="00325E40" w:rsidRDefault="00F51037" w:rsidP="00325E40">
      <w:pPr>
        <w:tabs>
          <w:tab w:val="left" w:pos="1365"/>
          <w:tab w:val="left" w:pos="2460"/>
        </w:tabs>
        <w:spacing w:after="0" w:line="240" w:lineRule="auto"/>
        <w:jc w:val="both"/>
        <w:rPr>
          <w:rFonts w:ascii="Times New Roman" w:hAnsi="Times New Roman"/>
          <w:sz w:val="24"/>
          <w:szCs w:val="24"/>
        </w:rPr>
      </w:pPr>
    </w:p>
    <w:sectPr w:rsidR="00F51037" w:rsidRPr="00325E40" w:rsidSect="00325E40">
      <w:type w:val="nextColumn"/>
      <w:pgSz w:w="11906" w:h="16838"/>
      <w:pgMar w:top="810" w:right="605" w:bottom="605" w:left="605" w:header="360" w:footer="13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637D" w:rsidRDefault="0032637D" w:rsidP="00325E40">
      <w:pPr>
        <w:spacing w:after="0" w:line="240" w:lineRule="auto"/>
      </w:pPr>
      <w:r>
        <w:separator/>
      </w:r>
    </w:p>
  </w:endnote>
  <w:endnote w:type="continuationSeparator" w:id="0">
    <w:p w:rsidR="0032637D" w:rsidRDefault="0032637D" w:rsidP="00325E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E40" w:rsidRDefault="00916732" w:rsidP="00325E40">
    <w:pPr>
      <w:tabs>
        <w:tab w:val="left" w:pos="8376"/>
      </w:tabs>
      <w:ind w:right="7"/>
    </w:pPr>
    <w:r>
      <w:rPr>
        <w:noProof/>
      </w:rPr>
      <w:pict>
        <v:rect id="Rectangle 1390794730" o:spid="_x0000_s1030" style="position:absolute;margin-left:35.85pt;margin-top:809.4pt;width:525.3pt;height:1.5pt;z-index:-251653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" fillcolor="gray" stroked="f">
          <w10:wrap anchorx="page" anchory="page"/>
        </v:rect>
      </w:pict>
    </w:r>
    <w:r>
      <w:rPr>
        <w:noProof/>
      </w:rPr>
      <w:pict>
        <v:shapetype id="_x0000_t202" coordsize="21600,21600" o:spt="202" path="m,l,21600r21600,l21600,xe">
          <v:stroke joinstyle="miter"/>
          <v:path gradientshapeok="t" o:connecttype="rect"/>
        </v:shapetype>
        <v:shape id="Text Box 1390794729" o:spid="_x0000_s1028" type="#_x0000_t202" style="position:absolute;margin-left:36pt;margin-top:818.1pt;width:142.2pt;height:28.2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" filled="f" stroked="f">
          <v:textbox style="mso-next-textbox:#Text Box 1390794729" inset="0,0,0,0">
            <w:txbxContent>
              <w:p w:rsidR="00325E40" w:rsidRPr="00F976C6" w:rsidRDefault="00325E40" w:rsidP="00325E40">
                <w:pPr>
                  <w:rPr>
                    <w:sz w:val="20"/>
                    <w:szCs w:val="20"/>
                  </w:rPr>
                </w:pPr>
                <w:r w:rsidRPr="00F976C6">
                  <w:rPr>
                    <w:sz w:val="20"/>
                    <w:szCs w:val="20"/>
                  </w:rPr>
                  <w:t xml:space="preserve">Page </w:t>
                </w:r>
                <w:r w:rsidR="00916732" w:rsidRPr="00F976C6">
                  <w:rPr>
                    <w:sz w:val="20"/>
                    <w:szCs w:val="20"/>
                  </w:rPr>
                  <w:fldChar w:fldCharType="begin"/>
                </w:r>
                <w:r w:rsidRPr="00F976C6">
                  <w:rPr>
                    <w:sz w:val="20"/>
                    <w:szCs w:val="20"/>
                  </w:rPr>
                  <w:instrText xml:space="preserve"> PAGE </w:instrText>
                </w:r>
                <w:r w:rsidR="00916732" w:rsidRPr="00F976C6">
                  <w:rPr>
                    <w:sz w:val="20"/>
                    <w:szCs w:val="20"/>
                  </w:rPr>
                  <w:fldChar w:fldCharType="separate"/>
                </w:r>
                <w:r w:rsidR="00872A7C">
                  <w:rPr>
                    <w:noProof/>
                    <w:sz w:val="20"/>
                    <w:szCs w:val="20"/>
                  </w:rPr>
                  <w:t>1285</w:t>
                </w:r>
                <w:r w:rsidR="00916732" w:rsidRPr="00F976C6">
                  <w:rPr>
                    <w:sz w:val="20"/>
                    <w:szCs w:val="20"/>
                  </w:rPr>
                  <w:fldChar w:fldCharType="end"/>
                </w:r>
              </w:p>
            </w:txbxContent>
          </v:textbox>
          <w10:wrap anchorx="page" anchory="page"/>
        </v:shape>
      </w:pict>
    </w:r>
    <w:r>
      <w:rPr>
        <w:noProof/>
      </w:rPr>
      <w:pict>
        <v:shape id="Text Box 1390794728" o:spid="_x0000_s1029" type="#_x0000_t202" style="position:absolute;margin-left:230.4pt;margin-top:819pt;width:171pt;height:22.8pt;z-index:-25165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" filled="f" stroked="f">
          <v:textbox style="mso-next-textbox:#Text Box 1390794728" inset="0,0,0,0">
            <w:txbxContent>
              <w:p w:rsidR="00325E40" w:rsidRPr="00872A7C" w:rsidRDefault="00325E40" w:rsidP="00325E40">
                <w:pPr>
                  <w:ind w:left="20" w:right="90" w:hanging="20"/>
                  <w:jc w:val="center"/>
                  <w:rPr>
                    <w:rStyle w:val="Strong"/>
                    <w:rFonts w:ascii="Times New Roman" w:hAnsi="Times New Roman"/>
                    <w:b w:val="0"/>
                    <w:bCs w:val="0"/>
                    <w:sz w:val="20"/>
                    <w:szCs w:val="20"/>
                  </w:rPr>
                </w:pPr>
                <w:r w:rsidRPr="00872A7C">
                  <w:rPr>
                    <w:rStyle w:val="Strong"/>
                    <w:rFonts w:ascii="Times New Roman" w:hAnsi="Times New Roman"/>
                    <w:b w:val="0"/>
                    <w:sz w:val="20"/>
                    <w:szCs w:val="20"/>
                  </w:rPr>
                  <w:t>www.rsisinternational.org</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637D" w:rsidRDefault="0032637D" w:rsidP="00325E40">
      <w:pPr>
        <w:spacing w:after="0" w:line="240" w:lineRule="auto"/>
      </w:pPr>
      <w:r>
        <w:separator/>
      </w:r>
    </w:p>
  </w:footnote>
  <w:footnote w:type="continuationSeparator" w:id="0">
    <w:p w:rsidR="0032637D" w:rsidRDefault="0032637D" w:rsidP="00325E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E40" w:rsidRDefault="00325E40" w:rsidP="00325E40">
    <w:pPr>
      <w:pStyle w:val="Header"/>
      <w:tabs>
        <w:tab w:val="clear" w:pos="4513"/>
        <w:tab w:val="clear" w:pos="9026"/>
        <w:tab w:val="left" w:pos="6156"/>
      </w:tabs>
    </w:pPr>
    <w:r>
      <w:rPr>
        <w:noProof/>
        <w:lang w:eastAsia="en-US"/>
      </w:rPr>
      <w:drawing>
        <wp:anchor distT="0" distB="0" distL="114300" distR="114300" simplePos="0" relativeHeight="251660288" behindDoc="1" locked="0" layoutInCell="1" allowOverlap="1">
          <wp:simplePos x="0" y="0"/>
          <wp:positionH relativeFrom="margin">
            <wp:posOffset>97790</wp:posOffset>
          </wp:positionH>
          <wp:positionV relativeFrom="paragraph">
            <wp:posOffset>-147320</wp:posOffset>
          </wp:positionV>
          <wp:extent cx="594360" cy="421693"/>
          <wp:effectExtent l="0" t="0" r="0" b="0"/>
          <wp:wrapNone/>
          <wp:docPr id="1607665077" name="Picture 5" descr="Description: A logo with a tre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A logo with a tree and text&#10;&#10;AI-generated content may be incorrect."/>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 cy="421693"/>
                  </a:xfrm>
                  <a:prstGeom prst="rect">
                    <a:avLst/>
                  </a:prstGeom>
                  <a:noFill/>
                  <a:ln>
                    <a:noFill/>
                  </a:ln>
                </pic:spPr>
              </pic:pic>
            </a:graphicData>
          </a:graphic>
        </wp:anchor>
      </w:drawing>
    </w:r>
    <w:r w:rsidR="00916732">
      <w:rPr>
        <w:noProof/>
      </w:rPr>
      <w:pict>
        <v:shapetype id="_x0000_t202" coordsize="21600,21600" o:spt="202" path="m,l,21600r21600,l21600,xe">
          <v:stroke joinstyle="miter"/>
          <v:path gradientshapeok="t" o:connecttype="rect"/>
        </v:shapetype>
        <v:shape id="Text Box 1" o:spid="_x0000_s1027" type="#_x0000_t202" style="position:absolute;margin-left:102pt;margin-top:9pt;width:456.4pt;height:27.0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" filled="f" stroked="f">
          <v:textbox style="mso-next-textbox:#Text Box 1" inset="0,0,0,0">
            <w:txbxContent>
              <w:p w:rsidR="00325E40" w:rsidRPr="00871CC3" w:rsidRDefault="00916732" w:rsidP="00325E40">
                <w:pPr>
                  <w:spacing w:after="0"/>
                  <w:ind w:right="-6"/>
                  <w:jc w:val="right"/>
                  <w:rPr>
                    <w:rFonts w:ascii="Times New Roman" w:hAnsi="Times New Roman"/>
                    <w:b/>
                    <w:i/>
                    <w:sz w:val="20"/>
                    <w:szCs w:val="20"/>
                  </w:rPr>
                </w:pPr>
                <w:hyperlink r:id="rId2">
                  <w:r w:rsidR="00325E40" w:rsidRPr="00871CC3">
                    <w:rPr>
                      <w:rFonts w:ascii="Times New Roman" w:hAnsi="Times New Roman"/>
                      <w:b/>
                      <w:sz w:val="20"/>
                      <w:szCs w:val="20"/>
                    </w:rPr>
                    <w:t>INTERNATIONAL</w:t>
                  </w:r>
                  <w:r w:rsidR="00325E40" w:rsidRPr="00871CC3">
                    <w:rPr>
                      <w:rFonts w:ascii="Times New Roman" w:hAnsi="Times New Roman"/>
                      <w:b/>
                      <w:spacing w:val="-6"/>
                      <w:sz w:val="20"/>
                      <w:szCs w:val="20"/>
                    </w:rPr>
                    <w:t xml:space="preserve"> </w:t>
                  </w:r>
                  <w:r w:rsidR="00325E40" w:rsidRPr="00871CC3">
                    <w:rPr>
                      <w:rFonts w:ascii="Times New Roman" w:hAnsi="Times New Roman"/>
                      <w:b/>
                      <w:sz w:val="20"/>
                      <w:szCs w:val="20"/>
                    </w:rPr>
                    <w:t>JOURNAL</w:t>
                  </w:r>
                  <w:r w:rsidR="00325E40" w:rsidRPr="00871CC3">
                    <w:rPr>
                      <w:rFonts w:ascii="Times New Roman" w:hAnsi="Times New Roman"/>
                      <w:b/>
                      <w:spacing w:val="-5"/>
                      <w:sz w:val="20"/>
                      <w:szCs w:val="20"/>
                    </w:rPr>
                    <w:t xml:space="preserve"> </w:t>
                  </w:r>
                  <w:r w:rsidR="00325E40" w:rsidRPr="00871CC3">
                    <w:rPr>
                      <w:rFonts w:ascii="Times New Roman" w:hAnsi="Times New Roman"/>
                      <w:b/>
                      <w:sz w:val="20"/>
                      <w:szCs w:val="20"/>
                    </w:rPr>
                    <w:t>OF RESEARCH</w:t>
                  </w:r>
                  <w:r w:rsidR="00325E40" w:rsidRPr="00871CC3">
                    <w:rPr>
                      <w:rFonts w:ascii="Times New Roman" w:hAnsi="Times New Roman"/>
                      <w:b/>
                      <w:spacing w:val="-1"/>
                      <w:sz w:val="20"/>
                      <w:szCs w:val="20"/>
                    </w:rPr>
                    <w:t xml:space="preserve"> </w:t>
                  </w:r>
                  <w:r w:rsidR="00325E40" w:rsidRPr="00871CC3">
                    <w:rPr>
                      <w:rFonts w:ascii="Times New Roman" w:hAnsi="Times New Roman"/>
                      <w:b/>
                      <w:sz w:val="20"/>
                      <w:szCs w:val="20"/>
                    </w:rPr>
                    <w:t>AND</w:t>
                  </w:r>
                  <w:r w:rsidR="00325E40" w:rsidRPr="00871CC3">
                    <w:rPr>
                      <w:rFonts w:ascii="Times New Roman" w:hAnsi="Times New Roman"/>
                      <w:b/>
                      <w:spacing w:val="-6"/>
                      <w:sz w:val="20"/>
                      <w:szCs w:val="20"/>
                    </w:rPr>
                    <w:t xml:space="preserve"> </w:t>
                  </w:r>
                  <w:r w:rsidR="00325E40" w:rsidRPr="00871CC3">
                    <w:rPr>
                      <w:rFonts w:ascii="Times New Roman" w:hAnsi="Times New Roman"/>
                      <w:b/>
                      <w:sz w:val="20"/>
                      <w:szCs w:val="20"/>
                    </w:rPr>
                    <w:t>INNOVATION</w:t>
                  </w:r>
                  <w:r w:rsidR="00325E40" w:rsidRPr="00871CC3">
                    <w:rPr>
                      <w:rFonts w:ascii="Times New Roman" w:hAnsi="Times New Roman"/>
                      <w:b/>
                      <w:spacing w:val="-6"/>
                      <w:sz w:val="20"/>
                      <w:szCs w:val="20"/>
                    </w:rPr>
                    <w:t xml:space="preserve"> </w:t>
                  </w:r>
                  <w:r w:rsidR="00325E40" w:rsidRPr="00871CC3">
                    <w:rPr>
                      <w:rFonts w:ascii="Times New Roman" w:hAnsi="Times New Roman"/>
                      <w:b/>
                      <w:sz w:val="20"/>
                      <w:szCs w:val="20"/>
                    </w:rPr>
                    <w:t>IN</w:t>
                  </w:r>
                  <w:r w:rsidR="00325E40" w:rsidRPr="00871CC3">
                    <w:rPr>
                      <w:rFonts w:ascii="Times New Roman" w:hAnsi="Times New Roman"/>
                      <w:b/>
                      <w:spacing w:val="-6"/>
                      <w:sz w:val="20"/>
                      <w:szCs w:val="20"/>
                    </w:rPr>
                    <w:t xml:space="preserve"> </w:t>
                  </w:r>
                  <w:r w:rsidR="00325E40" w:rsidRPr="00871CC3">
                    <w:rPr>
                      <w:rFonts w:ascii="Times New Roman" w:hAnsi="Times New Roman"/>
                      <w:b/>
                      <w:sz w:val="20"/>
                      <w:szCs w:val="20"/>
                    </w:rPr>
                    <w:t>APPLIED</w:t>
                  </w:r>
                  <w:r w:rsidR="00325E40" w:rsidRPr="00871CC3">
                    <w:rPr>
                      <w:rFonts w:ascii="Times New Roman" w:hAnsi="Times New Roman"/>
                      <w:b/>
                      <w:spacing w:val="-6"/>
                      <w:sz w:val="20"/>
                      <w:szCs w:val="20"/>
                    </w:rPr>
                    <w:t xml:space="preserve"> </w:t>
                  </w:r>
                  <w:r w:rsidR="00325E40" w:rsidRPr="00871CC3">
                    <w:rPr>
                      <w:rFonts w:ascii="Times New Roman" w:hAnsi="Times New Roman"/>
                      <w:b/>
                      <w:sz w:val="20"/>
                      <w:szCs w:val="20"/>
                    </w:rPr>
                    <w:t xml:space="preserve">SCIENCE </w:t>
                  </w:r>
                  <w:r w:rsidR="00325E40" w:rsidRPr="00871CC3">
                    <w:rPr>
                      <w:rFonts w:ascii="Times New Roman" w:hAnsi="Times New Roman"/>
                      <w:b/>
                      <w:spacing w:val="-2"/>
                      <w:sz w:val="20"/>
                      <w:szCs w:val="20"/>
                    </w:rPr>
                    <w:t>(IJRIAS)</w:t>
                  </w:r>
                </w:hyperlink>
              </w:p>
              <w:p w:rsidR="00325E40" w:rsidRPr="00871CC3" w:rsidRDefault="00916732" w:rsidP="00325E40">
                <w:pPr>
                  <w:tabs>
                    <w:tab w:val="left" w:pos="3780"/>
                  </w:tabs>
                  <w:spacing w:after="0"/>
                  <w:ind w:right="-6"/>
                  <w:jc w:val="right"/>
                  <w:rPr>
                    <w:rFonts w:ascii="Times New Roman" w:hAnsi="Times New Roman"/>
                    <w:i/>
                    <w:sz w:val="20"/>
                    <w:szCs w:val="20"/>
                  </w:rPr>
                </w:pPr>
                <w:hyperlink r:id="rId3">
                  <w:r w:rsidR="00325E40" w:rsidRPr="00871CC3">
                    <w:rPr>
                      <w:rFonts w:ascii="Times New Roman" w:hAnsi="Times New Roman"/>
                      <w:sz w:val="20"/>
                      <w:szCs w:val="20"/>
                    </w:rPr>
                    <w:t>ISSN</w:t>
                  </w:r>
                  <w:r w:rsidR="00325E40" w:rsidRPr="00871CC3">
                    <w:rPr>
                      <w:rFonts w:ascii="Times New Roman" w:hAnsi="Times New Roman"/>
                      <w:spacing w:val="-4"/>
                      <w:sz w:val="20"/>
                      <w:szCs w:val="20"/>
                    </w:rPr>
                    <w:t xml:space="preserve"> </w:t>
                  </w:r>
                  <w:r w:rsidR="00325E40" w:rsidRPr="00871CC3">
                    <w:rPr>
                      <w:rFonts w:ascii="Times New Roman" w:hAnsi="Times New Roman"/>
                      <w:sz w:val="20"/>
                      <w:szCs w:val="20"/>
                    </w:rPr>
                    <w:t>No.</w:t>
                  </w:r>
                  <w:r w:rsidR="00325E40" w:rsidRPr="00871CC3">
                    <w:rPr>
                      <w:rFonts w:ascii="Times New Roman" w:hAnsi="Times New Roman"/>
                      <w:spacing w:val="-2"/>
                      <w:sz w:val="20"/>
                      <w:szCs w:val="20"/>
                    </w:rPr>
                    <w:t xml:space="preserve"> </w:t>
                  </w:r>
                  <w:r w:rsidR="00325E40" w:rsidRPr="00871CC3">
                    <w:rPr>
                      <w:rFonts w:ascii="Times New Roman" w:hAnsi="Times New Roman"/>
                      <w:sz w:val="20"/>
                      <w:szCs w:val="20"/>
                    </w:rPr>
                    <w:t>2454-6194</w:t>
                  </w:r>
                  <w:r w:rsidR="00325E40" w:rsidRPr="00871CC3">
                    <w:rPr>
                      <w:rFonts w:ascii="Times New Roman" w:hAnsi="Times New Roman"/>
                      <w:spacing w:val="-6"/>
                      <w:sz w:val="20"/>
                      <w:szCs w:val="20"/>
                    </w:rPr>
                    <w:t xml:space="preserve"> </w:t>
                  </w:r>
                  <w:r w:rsidR="00325E40" w:rsidRPr="00871CC3">
                    <w:rPr>
                      <w:rFonts w:ascii="Times New Roman" w:hAnsi="Times New Roman"/>
                      <w:sz w:val="20"/>
                      <w:szCs w:val="20"/>
                    </w:rPr>
                    <w:t>|</w:t>
                  </w:r>
                  <w:r w:rsidR="00325E40" w:rsidRPr="00871CC3">
                    <w:rPr>
                      <w:rFonts w:ascii="Times New Roman" w:hAnsi="Times New Roman"/>
                      <w:spacing w:val="-1"/>
                      <w:sz w:val="20"/>
                      <w:szCs w:val="20"/>
                    </w:rPr>
                    <w:t xml:space="preserve"> </w:t>
                  </w:r>
                  <w:r w:rsidR="00325E40" w:rsidRPr="00871CC3">
                    <w:rPr>
                      <w:rFonts w:ascii="Times New Roman" w:hAnsi="Times New Roman"/>
                      <w:sz w:val="20"/>
                      <w:szCs w:val="20"/>
                    </w:rPr>
                    <w:t>DOI:</w:t>
                  </w:r>
                  <w:r w:rsidR="00325E40" w:rsidRPr="00871CC3">
                    <w:rPr>
                      <w:rFonts w:ascii="Times New Roman" w:hAnsi="Times New Roman"/>
                      <w:spacing w:val="-10"/>
                      <w:sz w:val="20"/>
                      <w:szCs w:val="20"/>
                    </w:rPr>
                    <w:t xml:space="preserve"> </w:t>
                  </w:r>
                  <w:r w:rsidR="00325E40" w:rsidRPr="00871CC3">
                    <w:rPr>
                      <w:rFonts w:ascii="Times New Roman" w:hAnsi="Times New Roman"/>
                      <w:sz w:val="20"/>
                      <w:szCs w:val="20"/>
                    </w:rPr>
                    <w:t>10.51584/IJRIAS</w:t>
                  </w:r>
                  <w:r w:rsidR="00325E40" w:rsidRPr="00871CC3">
                    <w:rPr>
                      <w:rFonts w:ascii="Times New Roman" w:hAnsi="Times New Roman"/>
                      <w:spacing w:val="-3"/>
                      <w:sz w:val="20"/>
                      <w:szCs w:val="20"/>
                    </w:rPr>
                    <w:t xml:space="preserve"> </w:t>
                  </w:r>
                  <w:r w:rsidR="00325E40" w:rsidRPr="00871CC3">
                    <w:rPr>
                      <w:rFonts w:ascii="Times New Roman" w:hAnsi="Times New Roman"/>
                      <w:sz w:val="20"/>
                      <w:szCs w:val="20"/>
                    </w:rPr>
                    <w:t>|Volume</w:t>
                  </w:r>
                  <w:r w:rsidR="00325E40" w:rsidRPr="00871CC3">
                    <w:rPr>
                      <w:rFonts w:ascii="Times New Roman" w:hAnsi="Times New Roman"/>
                      <w:spacing w:val="-2"/>
                      <w:sz w:val="20"/>
                      <w:szCs w:val="20"/>
                    </w:rPr>
                    <w:t xml:space="preserve"> </w:t>
                  </w:r>
                  <w:r w:rsidR="00325E40" w:rsidRPr="00871CC3">
                    <w:rPr>
                      <w:rFonts w:ascii="Times New Roman" w:hAnsi="Times New Roman"/>
                      <w:sz w:val="20"/>
                      <w:szCs w:val="20"/>
                    </w:rPr>
                    <w:t>XI</w:t>
                  </w:r>
                  <w:r w:rsidR="00325E40" w:rsidRPr="00871CC3">
                    <w:rPr>
                      <w:rFonts w:ascii="Times New Roman" w:hAnsi="Times New Roman"/>
                      <w:spacing w:val="-4"/>
                      <w:sz w:val="20"/>
                      <w:szCs w:val="20"/>
                    </w:rPr>
                    <w:t xml:space="preserve"> </w:t>
                  </w:r>
                  <w:r w:rsidR="00325E40" w:rsidRPr="00871CC3">
                    <w:rPr>
                      <w:rFonts w:ascii="Times New Roman" w:hAnsi="Times New Roman"/>
                      <w:sz w:val="20"/>
                      <w:szCs w:val="20"/>
                    </w:rPr>
                    <w:t>Issue</w:t>
                  </w:r>
                  <w:r w:rsidR="00325E40" w:rsidRPr="00871CC3">
                    <w:rPr>
                      <w:rFonts w:ascii="Times New Roman" w:hAnsi="Times New Roman"/>
                      <w:spacing w:val="-3"/>
                      <w:sz w:val="20"/>
                      <w:szCs w:val="20"/>
                    </w:rPr>
                    <w:t xml:space="preserve"> </w:t>
                  </w:r>
                  <w:r w:rsidR="00325E40" w:rsidRPr="00871CC3">
                    <w:rPr>
                      <w:rFonts w:ascii="Times New Roman" w:hAnsi="Times New Roman"/>
                      <w:sz w:val="20"/>
                      <w:szCs w:val="20"/>
                    </w:rPr>
                    <w:t>II February</w:t>
                  </w:r>
                  <w:r w:rsidR="00325E40" w:rsidRPr="00871CC3">
                    <w:rPr>
                      <w:rFonts w:ascii="Times New Roman" w:hAnsi="Times New Roman"/>
                      <w:spacing w:val="-4"/>
                      <w:sz w:val="20"/>
                      <w:szCs w:val="20"/>
                    </w:rPr>
                    <w:t>202</w:t>
                  </w:r>
                </w:hyperlink>
                <w:r w:rsidR="00325E40" w:rsidRPr="00871CC3">
                  <w:rPr>
                    <w:rFonts w:ascii="Times New Roman" w:hAnsi="Times New Roman"/>
                    <w:sz w:val="20"/>
                    <w:szCs w:val="20"/>
                  </w:rPr>
                  <w:t>6</w:t>
                </w:r>
              </w:p>
              <w:p w:rsidR="00325E40" w:rsidRPr="00C1630F" w:rsidRDefault="00325E40" w:rsidP="00325E40">
                <w:pPr>
                  <w:spacing w:after="0"/>
                  <w:rPr>
                    <w:i/>
                    <w:sz w:val="20"/>
                    <w:szCs w:val="20"/>
                  </w:rPr>
                </w:pPr>
              </w:p>
              <w:p w:rsidR="00325E40" w:rsidRPr="00F13D03" w:rsidRDefault="00325E40" w:rsidP="00325E40">
                <w:pPr>
                  <w:jc w:val="right"/>
                  <w:rPr>
                    <w:i/>
                  </w:rPr>
                </w:pPr>
              </w:p>
              <w:p w:rsidR="00325E40" w:rsidRPr="00F13D03" w:rsidRDefault="00325E40" w:rsidP="00325E40">
                <w:pPr>
                  <w:jc w:val="right"/>
                  <w:rPr>
                    <w:i/>
                  </w:rPr>
                </w:pPr>
              </w:p>
              <w:p w:rsidR="00325E40" w:rsidRPr="00F13D03" w:rsidRDefault="00325E40" w:rsidP="00325E40">
                <w:pPr>
                  <w:jc w:val="right"/>
                  <w:rPr>
                    <w:i/>
                  </w:rPr>
                </w:pPr>
              </w:p>
              <w:p w:rsidR="00325E40" w:rsidRPr="00F13D03" w:rsidRDefault="00325E40" w:rsidP="00325E40">
                <w:pPr>
                  <w:jc w:val="right"/>
                  <w:rPr>
                    <w:bCs/>
                    <w:i/>
                  </w:rPr>
                </w:pPr>
              </w:p>
            </w:txbxContent>
          </v:textbox>
          <w10:wrap anchorx="page" anchory="page"/>
        </v:shape>
      </w:pict>
    </w:r>
  </w:p>
  <w:p w:rsidR="00325E40" w:rsidRDefault="00916732" w:rsidP="00325E40">
    <w:pPr>
      <w:pStyle w:val="Header"/>
      <w:tabs>
        <w:tab w:val="clear" w:pos="4513"/>
        <w:tab w:val="clear" w:pos="9026"/>
        <w:tab w:val="left" w:pos="6156"/>
      </w:tabs>
    </w:pPr>
    <w:r>
      <w:rPr>
        <w:noProof/>
      </w:rPr>
      <w:pict>
        <v:group id="Group 4" o:spid="_x0000_s1026" style="position:absolute;margin-left:2.05pt;margin-top:11.2pt;width:538.6pt;height:1.5pt;z-index:-251655168;mso-width-relative:margin" coordsize="6671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">
          <v:shape id="Graphic 7" o:spid="_x0000_s1031" style="position:absolute;width:66713;height:190;visibility:visible;mso-wrap-style:square;v-text-anchor:top" coordsize="667130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" path="m6671309,l,,,19050r6671309,l6671309,xe" fillcolor="gray" stroked="f">
            <v:path arrowok="t"/>
          </v:shape>
        </v:group>
      </w:pict>
    </w:r>
    <w:r w:rsidR="00325E40">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C5073"/>
    <w:multiLevelType w:val="hybridMultilevel"/>
    <w:tmpl w:val="EE68D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51491D16"/>
    <w:multiLevelType w:val="hybridMultilevel"/>
    <w:tmpl w:val="FE629B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rsids>
    <w:rsidRoot w:val="00F51037"/>
    <w:rsid w:val="0008528E"/>
    <w:rsid w:val="001A0AE7"/>
    <w:rsid w:val="00325E40"/>
    <w:rsid w:val="0032637D"/>
    <w:rsid w:val="00436017"/>
    <w:rsid w:val="005C4557"/>
    <w:rsid w:val="006E5F0C"/>
    <w:rsid w:val="007074CE"/>
    <w:rsid w:val="00872A7C"/>
    <w:rsid w:val="00916732"/>
    <w:rsid w:val="009D35EB"/>
    <w:rsid w:val="00AA6FAB"/>
    <w:rsid w:val="00C43E69"/>
    <w:rsid w:val="00CA3729"/>
    <w:rsid w:val="00CC065A"/>
    <w:rsid w:val="00E01082"/>
    <w:rsid w:val="00F44BB0"/>
    <w:rsid w:val="00F510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F0C"/>
    <w:pPr>
      <w:spacing w:after="200" w:line="276" w:lineRule="auto"/>
    </w:pPr>
    <w:rPr>
      <w:rFonts w:eastAsia="SimSun" w:cs="Times New Roman"/>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16732"/>
    <w:rPr>
      <w:color w:val="0563C1"/>
      <w:u w:val="single"/>
    </w:rPr>
  </w:style>
  <w:style w:type="paragraph" w:styleId="NormalWeb">
    <w:name w:val="Normal (Web)"/>
    <w:basedOn w:val="Normal"/>
    <w:uiPriority w:val="99"/>
    <w:rsid w:val="00916732"/>
    <w:pPr>
      <w:spacing w:before="100" w:beforeAutospacing="1" w:after="100" w:afterAutospacing="1" w:line="240" w:lineRule="auto"/>
    </w:pPr>
    <w:rPr>
      <w:rFonts w:ascii="Times New Roman" w:eastAsia="Times New Roman" w:hAnsi="Times New Roman"/>
      <w:sz w:val="24"/>
      <w:szCs w:val="24"/>
      <w:lang w:val="en-GB" w:eastAsia="en-GB"/>
    </w:rPr>
  </w:style>
  <w:style w:type="paragraph" w:styleId="BalloonText">
    <w:name w:val="Balloon Text"/>
    <w:basedOn w:val="Normal"/>
    <w:link w:val="BalloonTextChar"/>
    <w:uiPriority w:val="99"/>
    <w:rsid w:val="009167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916732"/>
    <w:rPr>
      <w:rFonts w:ascii="Segoe UI" w:eastAsia="SimSun" w:hAnsi="Segoe UI" w:cs="Segoe UI"/>
      <w:sz w:val="18"/>
      <w:szCs w:val="18"/>
      <w:lang w:val="en-US" w:eastAsia="zh-CN"/>
    </w:rPr>
  </w:style>
  <w:style w:type="table" w:styleId="TableGrid">
    <w:name w:val="Table Grid"/>
    <w:basedOn w:val="TableNormal"/>
    <w:uiPriority w:val="39"/>
    <w:rsid w:val="00916732"/>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916732"/>
    <w:pPr>
      <w:ind w:left="720"/>
      <w:contextualSpacing/>
    </w:pPr>
  </w:style>
  <w:style w:type="character" w:customStyle="1" w:styleId="UnresolvedMention1">
    <w:name w:val="Unresolved Mention1"/>
    <w:basedOn w:val="DefaultParagraphFont"/>
    <w:uiPriority w:val="99"/>
    <w:rsid w:val="00916732"/>
    <w:rPr>
      <w:color w:val="605E5C"/>
      <w:shd w:val="clear" w:color="auto" w:fill="E1DFDD"/>
    </w:rPr>
  </w:style>
  <w:style w:type="paragraph" w:styleId="Header">
    <w:name w:val="header"/>
    <w:basedOn w:val="Normal"/>
    <w:link w:val="HeaderChar"/>
    <w:uiPriority w:val="99"/>
    <w:qFormat/>
    <w:rsid w:val="00916732"/>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916732"/>
    <w:rPr>
      <w:rFonts w:eastAsia="SimSun" w:cs="Times New Roman"/>
      <w:lang w:val="en-US" w:eastAsia="zh-CN"/>
    </w:rPr>
  </w:style>
  <w:style w:type="paragraph" w:styleId="Footer">
    <w:name w:val="footer"/>
    <w:basedOn w:val="Normal"/>
    <w:link w:val="FooterChar"/>
    <w:uiPriority w:val="99"/>
    <w:rsid w:val="009167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6732"/>
    <w:rPr>
      <w:rFonts w:eastAsia="SimSun" w:cs="Times New Roman"/>
      <w:lang w:val="en-US" w:eastAsia="zh-CN"/>
    </w:rPr>
  </w:style>
  <w:style w:type="character" w:styleId="Strong">
    <w:name w:val="Strong"/>
    <w:uiPriority w:val="22"/>
    <w:qFormat/>
    <w:rsid w:val="00325E40"/>
    <w:rPr>
      <w:b/>
      <w:b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doi.org/10.51584/IJRIAS.2026.110200116"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hyperlink" Target="https://rsisinternational.org/journals/ijrias" TargetMode="External"/><Relationship Id="rId2" Type="http://schemas.openxmlformats.org/officeDocument/2006/relationships/hyperlink" Target="https://rsisinternational.org/journals/ijrias"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9A4C3E-3702-4F7A-BC17-E72CC6DB7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2965</Words>
  <Characters>16902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and Classification of Soil Fertility in Nekede, Imo State, Using the Fertility Capability Classification (FCC) System</dc:title>
  <dc:subject>Soil Science</dc:subject>
  <dc:creator>Ogechi Mercy Okorocha</dc:creator>
  <cp:keywords>Classification, Fertility Capability, Toxicity, Sustainable, Conservation</cp:keywords>
  <cp:lastModifiedBy>admin</cp:lastModifiedBy>
  <cp:revision>2</cp:revision>
  <dcterms:created xsi:type="dcterms:W3CDTF">2026-03-18T07:39:00Z</dcterms:created>
  <dcterms:modified xsi:type="dcterms:W3CDTF">2026-03-18T07:39:00Z</dcterms:modified>
  <cp:category>Soil Science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bfa5528bc96a4a2987ca675d38d0bd19</vt:lpwstr>
  </property>
</Properties>
</file>