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DC4FF" w14:textId="28002001" w:rsidR="008B151E" w:rsidRPr="001C75F7" w:rsidRDefault="008B151E" w:rsidP="001C75F7">
      <w:pPr>
        <w:jc w:val="center"/>
        <w:rPr>
          <w:rFonts w:ascii="Times New Roman" w:hAnsi="Times New Roman" w:cs="Times New Roman"/>
          <w:sz w:val="48"/>
          <w:szCs w:val="48"/>
        </w:rPr>
      </w:pPr>
      <w:r w:rsidRPr="001C75F7">
        <w:rPr>
          <w:rFonts w:ascii="Times New Roman" w:hAnsi="Times New Roman" w:cs="Times New Roman"/>
          <w:sz w:val="48"/>
          <w:szCs w:val="48"/>
        </w:rPr>
        <w:t>TikTok-Based Multimodal Microlearning and ESL Word Stress Acquisition: The Role of Learner Modality in Production and Perception Development</w:t>
      </w:r>
    </w:p>
    <w:p w14:paraId="30A4275C" w14:textId="6AE1A7E1" w:rsidR="001C75F7" w:rsidRPr="001C75F7" w:rsidRDefault="001C75F7" w:rsidP="001C75F7">
      <w:pPr>
        <w:jc w:val="center"/>
        <w:rPr>
          <w:rFonts w:ascii="Times New Roman" w:hAnsi="Times New Roman" w:cs="Times New Roman"/>
          <w:sz w:val="22"/>
          <w:szCs w:val="22"/>
        </w:rPr>
      </w:pPr>
      <w:r>
        <w:rPr>
          <w:rFonts w:ascii="Times New Roman" w:hAnsi="Times New Roman" w:cs="Times New Roman"/>
          <w:b/>
          <w:bCs/>
          <w:sz w:val="22"/>
          <w:szCs w:val="22"/>
        </w:rPr>
        <w:t/>
      </w:r>
      <w:r w:rsidRPr="001C75F7">
        <w:rPr>
          <w:rFonts w:ascii="Times New Roman" w:hAnsi="Times New Roman" w:cs="Times New Roman"/>
          <w:b/>
          <w:bCs/>
          <w:sz w:val="22"/>
          <w:szCs w:val="22"/>
          <w:vertAlign w:val="superscript"/>
        </w:rPr>
        <w:t/>
      </w:r>
      <w:r w:rsidRPr="001C75F7">
        <w:rPr>
          <w:rFonts w:ascii="Times New Roman" w:hAnsi="Times New Roman" w:cs="Times New Roman"/>
          <w:b/>
          <w:bCs/>
          <w:sz w:val="22"/>
          <w:szCs w:val="22"/>
        </w:rPr>
        <w:t xml:space="preserve"/>
      </w:r>
      <w:r>
        <w:rPr>
          <w:rFonts w:ascii="Times New Roman" w:hAnsi="Times New Roman" w:cs="Times New Roman"/>
          <w:b/>
          <w:bCs/>
          <w:sz w:val="22"/>
          <w:szCs w:val="22"/>
        </w:rPr>
        <w:t/>
      </w:r>
      <w:r w:rsidRPr="001C75F7">
        <w:rPr>
          <w:rFonts w:ascii="Times New Roman" w:hAnsi="Times New Roman" w:cs="Times New Roman"/>
          <w:b/>
          <w:bCs/>
          <w:sz w:val="22"/>
          <w:szCs w:val="22"/>
          <w:vertAlign w:val="superscript"/>
        </w:rPr>
        <w:t/>
      </w:r>
    </w:p>
    <w:p w14:paraId="5E458451" w14:textId="0549E86D" w:rsidR="001C75F7" w:rsidRPr="001C75F7" w:rsidRDefault="001C75F7" w:rsidP="001C75F7">
      <w:pPr>
        <w:jc w:val="center"/>
        <w:rPr>
          <w:rFonts w:ascii="Times New Roman" w:hAnsi="Times New Roman" w:cs="Times New Roman"/>
          <w:sz w:val="22"/>
          <w:szCs w:val="22"/>
        </w:rPr>
      </w:pPr>
      <w:r w:rsidRPr="001C75F7">
        <w:rPr>
          <w:rFonts w:ascii="Times New Roman" w:hAnsi="Times New Roman" w:cs="Times New Roman"/>
          <w:b/>
          <w:bCs/>
          <w:sz w:val="22"/>
          <w:szCs w:val="22"/>
          <w:vertAlign w:val="superscript"/>
        </w:rPr>
        <w:t/>
      </w:r>
      <w:r>
        <w:rPr>
          <w:rFonts w:ascii="Times New Roman" w:hAnsi="Times New Roman" w:cs="Times New Roman"/>
          <w:b/>
          <w:bCs/>
          <w:sz w:val="22"/>
          <w:szCs w:val="22"/>
        </w:rPr>
        <w:t xml:space="preserve"/>
      </w:r>
      <w:r w:rsidRPr="001C75F7">
        <w:rPr>
          <w:rFonts w:ascii="Times New Roman" w:hAnsi="Times New Roman" w:cs="Times New Roman"/>
          <w:b/>
          <w:bCs/>
          <w:sz w:val="22"/>
          <w:szCs w:val="22"/>
          <w:vertAlign w:val="superscript"/>
        </w:rPr>
        <w:t/>
      </w:r>
      <w:r>
        <w:rPr>
          <w:rFonts w:ascii="Times New Roman" w:hAnsi="Times New Roman" w:cs="Times New Roman"/>
          <w:b/>
          <w:bCs/>
          <w:sz w:val="22"/>
          <w:szCs w:val="22"/>
        </w:rPr>
        <w:t/>
      </w:r>
    </w:p>
    <w:p w14:paraId="51F5B570" w14:textId="2818F539" w:rsidR="008B151E" w:rsidRDefault="001C75F7" w:rsidP="001C75F7">
      <w:pPr>
        <w:jc w:val="center"/>
        <w:rPr>
          <w:rFonts w:ascii="Times New Roman" w:hAnsi="Times New Roman" w:cs="Times New Roman"/>
          <w:sz w:val="22"/>
          <w:szCs w:val="22"/>
        </w:rPr>
      </w:pPr>
      <w:r w:rsidRPr="001C75F7">
        <w:rPr>
          <w:rFonts w:ascii="Times New Roman" w:hAnsi="Times New Roman" w:cs="Times New Roman"/>
          <w:b/>
          <w:bCs/>
          <w:sz w:val="22"/>
          <w:szCs w:val="22"/>
        </w:rPr>
        <w:t/>
      </w:r>
    </w:p>
    <w:p w14:paraId="4EB35613" w14:textId="77777777" w:rsidR="001C75F7" w:rsidRPr="001C75F7" w:rsidRDefault="001C75F7" w:rsidP="001C75F7">
      <w:pPr>
        <w:jc w:val="center"/>
        <w:rPr>
          <w:rFonts w:ascii="Times New Roman" w:hAnsi="Times New Roman" w:cs="Times New Roman"/>
          <w:sz w:val="22"/>
          <w:szCs w:val="22"/>
        </w:rPr>
      </w:pPr>
    </w:p>
    <w:p w14:paraId="0424FABE" w14:textId="77777777" w:rsidR="008B151E" w:rsidRPr="008B151E" w:rsidRDefault="008B151E" w:rsidP="008B151E">
      <w:pPr>
        <w:rPr>
          <w:rFonts w:ascii="Times New Roman" w:hAnsi="Times New Roman" w:cs="Times New Roman"/>
          <w:b/>
          <w:bCs/>
          <w:sz w:val="22"/>
          <w:szCs w:val="22"/>
        </w:rPr>
      </w:pPr>
      <w:r w:rsidRPr="008B151E">
        <w:rPr>
          <w:rFonts w:ascii="Times New Roman" w:hAnsi="Times New Roman" w:cs="Times New Roman"/>
          <w:b/>
          <w:bCs/>
          <w:sz w:val="22"/>
          <w:szCs w:val="22"/>
        </w:rPr>
        <w:t>ABSTRACT</w:t>
      </w:r>
    </w:p>
    <w:p w14:paraId="19B3F0CA" w14:textId="77777777" w:rsidR="008B151E" w:rsidRPr="008B151E" w:rsidRDefault="008B151E" w:rsidP="001C75F7">
      <w:pPr>
        <w:jc w:val="both"/>
        <w:rPr>
          <w:rFonts w:ascii="Times New Roman" w:hAnsi="Times New Roman" w:cs="Times New Roman"/>
          <w:sz w:val="22"/>
          <w:szCs w:val="22"/>
        </w:rPr>
      </w:pPr>
      <w:r w:rsidRPr="008B151E">
        <w:rPr>
          <w:rFonts w:ascii="Times New Roman" w:hAnsi="Times New Roman" w:cs="Times New Roman"/>
          <w:sz w:val="22"/>
          <w:szCs w:val="22"/>
        </w:rPr>
        <w:t>This study investigates the effectiveness of TikTok-based multimodal microlearning in enhancing ESL learners’ production and perception of English word stress patterns, with a focus on the moderating role of learner modality. The increasing integration of digital learning platforms has transformed language acquisition, particularly through short-form video applications that provide multimodal input. However, empirical evidence on their effectiveness in phonological development remains limited, especially in suprasegmental features such as word stress.</w:t>
      </w:r>
    </w:p>
    <w:p w14:paraId="27293DD7" w14:textId="77777777" w:rsidR="008B151E" w:rsidRPr="008B151E" w:rsidRDefault="008B151E" w:rsidP="001C75F7">
      <w:pPr>
        <w:jc w:val="both"/>
        <w:rPr>
          <w:rFonts w:ascii="Times New Roman" w:hAnsi="Times New Roman" w:cs="Times New Roman"/>
          <w:sz w:val="22"/>
          <w:szCs w:val="22"/>
        </w:rPr>
      </w:pPr>
      <w:r w:rsidRPr="008B151E">
        <w:rPr>
          <w:rFonts w:ascii="Times New Roman" w:hAnsi="Times New Roman" w:cs="Times New Roman"/>
          <w:sz w:val="22"/>
          <w:szCs w:val="22"/>
        </w:rPr>
        <w:t>A quantitative quasi-experimental design was employed involving 60 vocational college ESL learners divided into experimental and control groups. The experimental group was exposed to TikTok-based pronunciation microlearning content, while the control group received conventional instruction. Data were collected using pre-test and post-test assessments, engagement observation checklists, structured questionnaires, and semi-structured interviews. Learner modality was classified into visual, auditory, and kinaesthetic categories.</w:t>
      </w:r>
    </w:p>
    <w:p w14:paraId="74362D61" w14:textId="77777777" w:rsidR="008B151E" w:rsidRPr="008B151E" w:rsidRDefault="008B151E" w:rsidP="001C75F7">
      <w:pPr>
        <w:jc w:val="both"/>
        <w:rPr>
          <w:rFonts w:ascii="Times New Roman" w:hAnsi="Times New Roman" w:cs="Times New Roman"/>
          <w:sz w:val="22"/>
          <w:szCs w:val="22"/>
        </w:rPr>
      </w:pPr>
      <w:r w:rsidRPr="008B151E">
        <w:rPr>
          <w:rFonts w:ascii="Times New Roman" w:hAnsi="Times New Roman" w:cs="Times New Roman"/>
          <w:sz w:val="22"/>
          <w:szCs w:val="22"/>
        </w:rPr>
        <w:t>SPSS analysis revealed that the experimental group significantly outperformed the control group in both production and perception of word stress (p &lt; 0.05). Auditory learners demonstrated the highest improvement, followed by visual and kinaesthetic learners. The study is grounded in Krashen’s Input Hypothesis, Vygotsky’s Social Constructivism, Technology Acceptance Model (TAM), and Multimedia Learning Theory. Findings confirm that TikTok-based instruction enhances pronunciation learning, with learner modality influencing effectiveness.</w:t>
      </w:r>
    </w:p>
    <w:p w14:paraId="5D77DEFE" w14:textId="77777777" w:rsidR="008B151E" w:rsidRPr="008B151E" w:rsidRDefault="008B151E" w:rsidP="008B151E">
      <w:pPr>
        <w:rPr>
          <w:rFonts w:ascii="Times New Roman" w:hAnsi="Times New Roman" w:cs="Times New Roman"/>
          <w:sz w:val="22"/>
          <w:szCs w:val="22"/>
        </w:rPr>
      </w:pPr>
      <w:r w:rsidRPr="008B151E">
        <w:rPr>
          <w:rFonts w:ascii="Times New Roman" w:hAnsi="Times New Roman" w:cs="Times New Roman"/>
          <w:b/>
          <w:bCs/>
          <w:sz w:val="22"/>
          <w:szCs w:val="22"/>
        </w:rPr>
        <w:t>Keywords:</w:t>
      </w:r>
      <w:r w:rsidRPr="008B151E">
        <w:rPr>
          <w:rFonts w:ascii="Times New Roman" w:hAnsi="Times New Roman" w:cs="Times New Roman"/>
          <w:sz w:val="22"/>
          <w:szCs w:val="22"/>
        </w:rPr>
        <w:t xml:space="preserve"> TikTok, word stress, ESL learners, multimodal learning, learner modality</w:t>
      </w:r>
    </w:p>
    <w:p w14:paraId="758220F6" w14:textId="77777777" w:rsidR="007049E0" w:rsidRDefault="007049E0" w:rsidP="008B151E">
      <w:pPr>
        <w:rPr>
          <w:rFonts w:ascii="Times New Roman" w:hAnsi="Times New Roman" w:cs="Times New Roman"/>
          <w:b/>
          <w:bCs/>
          <w:sz w:val="22"/>
          <w:szCs w:val="22"/>
        </w:rPr>
      </w:pPr>
    </w:p>
    <w:p w14:paraId="11CD9D80" w14:textId="06A7FC2E" w:rsidR="008B151E" w:rsidRPr="008B151E" w:rsidRDefault="008B151E" w:rsidP="008B151E">
      <w:pPr>
        <w:rPr>
          <w:rFonts w:ascii="Times New Roman" w:hAnsi="Times New Roman" w:cs="Times New Roman"/>
          <w:b/>
          <w:bCs/>
          <w:sz w:val="22"/>
          <w:szCs w:val="22"/>
        </w:rPr>
      </w:pPr>
      <w:r w:rsidRPr="008B151E">
        <w:rPr>
          <w:rFonts w:ascii="Times New Roman" w:hAnsi="Times New Roman" w:cs="Times New Roman"/>
          <w:b/>
          <w:bCs/>
          <w:sz w:val="22"/>
          <w:szCs w:val="22"/>
        </w:rPr>
        <w:t>INTRODUCTION</w:t>
      </w:r>
    </w:p>
    <w:p w14:paraId="181FF060" w14:textId="77777777" w:rsidR="008B151E" w:rsidRPr="008B151E" w:rsidRDefault="008B151E" w:rsidP="001C75F7">
      <w:pPr>
        <w:jc w:val="both"/>
        <w:rPr>
          <w:rFonts w:ascii="Times New Roman" w:hAnsi="Times New Roman" w:cs="Times New Roman"/>
          <w:sz w:val="22"/>
          <w:szCs w:val="22"/>
        </w:rPr>
      </w:pPr>
      <w:r w:rsidRPr="008B151E">
        <w:rPr>
          <w:rFonts w:ascii="Times New Roman" w:hAnsi="Times New Roman" w:cs="Times New Roman"/>
          <w:sz w:val="22"/>
          <w:szCs w:val="22"/>
        </w:rPr>
        <w:t>The rapid evolution of digital learning technologies has significantly reshaped second language acquisition, particularly in informal learning environments. Social media platforms such as TikTok have emerged as influential tools for language exposure due to their multimodal structure, accessibility, and high engagement potential among learners.</w:t>
      </w:r>
    </w:p>
    <w:p w14:paraId="1C55412F" w14:textId="77777777" w:rsidR="008B151E" w:rsidRPr="008B151E" w:rsidRDefault="008B151E" w:rsidP="001C75F7">
      <w:pPr>
        <w:jc w:val="both"/>
        <w:rPr>
          <w:rFonts w:ascii="Times New Roman" w:hAnsi="Times New Roman" w:cs="Times New Roman"/>
          <w:sz w:val="22"/>
          <w:szCs w:val="22"/>
        </w:rPr>
      </w:pPr>
      <w:r w:rsidRPr="008B151E">
        <w:rPr>
          <w:rFonts w:ascii="Times New Roman" w:hAnsi="Times New Roman" w:cs="Times New Roman"/>
          <w:sz w:val="22"/>
          <w:szCs w:val="22"/>
        </w:rPr>
        <w:lastRenderedPageBreak/>
        <w:t>Pronunciation remains one of the most challenging aspects of English language learning, especially the acquisition of word stress patterns. Word stress is critical for intelligibility, as incorrect stress placement can alter meaning even when individual phonemes are correctly articulated. Despite its importance, it is often underemphasised in traditional ESL classrooms due to limited exposure and instructional time constraints.</w:t>
      </w:r>
    </w:p>
    <w:p w14:paraId="0DB2654B" w14:textId="77777777" w:rsidR="008B151E" w:rsidRPr="008B151E" w:rsidRDefault="008B151E" w:rsidP="001C75F7">
      <w:pPr>
        <w:jc w:val="both"/>
        <w:rPr>
          <w:rFonts w:ascii="Times New Roman" w:hAnsi="Times New Roman" w:cs="Times New Roman"/>
          <w:sz w:val="22"/>
          <w:szCs w:val="22"/>
        </w:rPr>
      </w:pPr>
      <w:r w:rsidRPr="008B151E">
        <w:rPr>
          <w:rFonts w:ascii="Times New Roman" w:hAnsi="Times New Roman" w:cs="Times New Roman"/>
          <w:sz w:val="22"/>
          <w:szCs w:val="22"/>
        </w:rPr>
        <w:t>In multilingual contexts such as Malaysia, learners are influenced by first language phonological systems, which differ significantly from English stress-timed rhythm. This contributes to persistent difficulties in stress placement among ESL learners.</w:t>
      </w:r>
    </w:p>
    <w:p w14:paraId="0FE4B116" w14:textId="77777777" w:rsidR="008B151E" w:rsidRPr="008B151E" w:rsidRDefault="008B151E" w:rsidP="001C75F7">
      <w:pPr>
        <w:jc w:val="both"/>
        <w:rPr>
          <w:rFonts w:ascii="Times New Roman" w:hAnsi="Times New Roman" w:cs="Times New Roman"/>
          <w:sz w:val="22"/>
          <w:szCs w:val="22"/>
        </w:rPr>
      </w:pPr>
      <w:r w:rsidRPr="008B151E">
        <w:rPr>
          <w:rFonts w:ascii="Times New Roman" w:hAnsi="Times New Roman" w:cs="Times New Roman"/>
          <w:sz w:val="22"/>
          <w:szCs w:val="22"/>
        </w:rPr>
        <w:t>TikTok-based microlearning provides repeated exposure to pronunciation input through short, engaging, and multimodal content. However, learners differ in how they process such input. According to VARK theory, individuals may be visual, auditory, or kinaesthetic learners, and these differences may influence learning outcomes.</w:t>
      </w:r>
    </w:p>
    <w:p w14:paraId="088237EC" w14:textId="4EF27B5F" w:rsidR="007049E0" w:rsidRPr="00022D45" w:rsidRDefault="008B151E" w:rsidP="00022D45">
      <w:pPr>
        <w:jc w:val="both"/>
        <w:rPr>
          <w:rFonts w:ascii="Times New Roman" w:hAnsi="Times New Roman" w:cs="Times New Roman"/>
          <w:sz w:val="22"/>
          <w:szCs w:val="22"/>
        </w:rPr>
      </w:pPr>
      <w:r w:rsidRPr="008B151E">
        <w:rPr>
          <w:rFonts w:ascii="Times New Roman" w:hAnsi="Times New Roman" w:cs="Times New Roman"/>
          <w:sz w:val="22"/>
          <w:szCs w:val="22"/>
        </w:rPr>
        <w:t>Therefore, this study investigates both the effectiveness of TikTok-based instruction and the role of learner modality in ESL word stress acquisition.</w:t>
      </w:r>
    </w:p>
    <w:p w14:paraId="25691022" w14:textId="52EA7B1F" w:rsidR="008B151E" w:rsidRPr="00E76B2D" w:rsidRDefault="008B151E">
      <w:pPr>
        <w:rPr>
          <w:rFonts w:ascii="Times New Roman" w:hAnsi="Times New Roman" w:cs="Times New Roman"/>
          <w:b/>
          <w:bCs/>
          <w:sz w:val="22"/>
          <w:szCs w:val="22"/>
        </w:rPr>
      </w:pPr>
      <w:r w:rsidRPr="00E76B2D">
        <w:rPr>
          <w:rFonts w:ascii="Times New Roman" w:hAnsi="Times New Roman" w:cs="Times New Roman"/>
          <w:b/>
          <w:bCs/>
          <w:sz w:val="22"/>
          <w:szCs w:val="22"/>
        </w:rPr>
        <w:t>LITERATURE REVIEW</w:t>
      </w:r>
    </w:p>
    <w:p w14:paraId="362BED9D" w14:textId="565420FD" w:rsidR="008B151E" w:rsidRPr="008B151E" w:rsidRDefault="008B151E" w:rsidP="00E76B2D">
      <w:pPr>
        <w:jc w:val="both"/>
        <w:rPr>
          <w:rFonts w:ascii="Times New Roman" w:hAnsi="Times New Roman" w:cs="Times New Roman"/>
          <w:b/>
          <w:bCs/>
          <w:sz w:val="22"/>
          <w:szCs w:val="22"/>
        </w:rPr>
      </w:pPr>
      <w:r w:rsidRPr="008B151E">
        <w:rPr>
          <w:rFonts w:ascii="Times New Roman" w:hAnsi="Times New Roman" w:cs="Times New Roman"/>
          <w:b/>
          <w:bCs/>
          <w:sz w:val="22"/>
          <w:szCs w:val="22"/>
        </w:rPr>
        <w:t>English Word Stress in Second Language Acquisition</w:t>
      </w:r>
    </w:p>
    <w:p w14:paraId="4E476771"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Word stress is a critical suprasegmental feature in English phonology that determines meaning, intelligibility, and communicative effectiveness. Unlike segmental features, which focus on individual sounds, word stress operates at the syllabic level and influences how words are perceived and interpreted by listeners. According to Field (2005), incorrect stress placement can significantly reduce intelligibility even when phonemes are accurately produced. Similarly, Celce-Murcia et al. (2010) emphasise that stress errors often lead to greater comprehension breakdown compared to segmental errors.</w:t>
      </w:r>
    </w:p>
    <w:p w14:paraId="245837DD"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In second language acquisition (SLA), learners frequently experience difficulty in acquiring stress patterns due to transfer effects from their first language. Jenkins (2000) argues that phonological interference plays a major role in pronunciation errors, particularly in multilingual contexts. In languages such as Malay, Mandarin, and Tamil, syllable timing differs from English stress timing, resulting in systematic challenges in stress acquisition.</w:t>
      </w:r>
    </w:p>
    <w:p w14:paraId="6763DCA5"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Research further suggests that explicit instruction alone is often insufficient for mastering stress patterns, as learners require repeated exposure to authentic input (Derwing &amp; Munro, 2015). This highlights the need for multimodal and repeated exposure-based learning environments, which digital platforms may provide.</w:t>
      </w:r>
    </w:p>
    <w:p w14:paraId="1828F9CD" w14:textId="3A92403F" w:rsidR="008B151E" w:rsidRPr="008B151E" w:rsidRDefault="008B151E" w:rsidP="00E76B2D">
      <w:pPr>
        <w:jc w:val="both"/>
        <w:rPr>
          <w:rFonts w:ascii="Times New Roman" w:hAnsi="Times New Roman" w:cs="Times New Roman"/>
          <w:b/>
          <w:bCs/>
          <w:sz w:val="22"/>
          <w:szCs w:val="22"/>
        </w:rPr>
      </w:pPr>
      <w:r w:rsidRPr="008B151E">
        <w:rPr>
          <w:rFonts w:ascii="Times New Roman" w:hAnsi="Times New Roman" w:cs="Times New Roman"/>
          <w:b/>
          <w:bCs/>
          <w:sz w:val="22"/>
          <w:szCs w:val="22"/>
        </w:rPr>
        <w:t>Multimedia Learning and Multimodal Input Theory</w:t>
      </w:r>
    </w:p>
    <w:p w14:paraId="7703FE78"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The role of multimedia in learning has been extensively discussed in cognitive learning research. Mayer’s Cognitive Theory of Multimedia Learning (2001) proposes that learners process information through dual channels: visual and auditory. Learning is enhanced when both channels are activated simultaneously, leading to deeper cognitive processing and improved retention.</w:t>
      </w:r>
    </w:p>
    <w:p w14:paraId="6F4628FE"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In language learning contexts, multimodal input has been shown to improve pronunciation acquisition by combining auditory input with visual reinforcement such as captions, gestures, and contextual cues (Plass &amp; Jones, 2005). This dual-channel processing reduces cognitive overload and enhances memory encoding.</w:t>
      </w:r>
    </w:p>
    <w:p w14:paraId="719F8B96"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lastRenderedPageBreak/>
        <w:t>TikTok, as a multimedia platform, inherently aligns with this theory. It integrates spoken language, visual cues, and textual reinforcement within short video formats, making it a suitable environment for multimodal learning. Studies by Godwin-Jones (2018) and Luo (2023) indicate that short-form videos increase learner engagement and improve retention through repetitive exposure and contextual learning.</w:t>
      </w:r>
    </w:p>
    <w:p w14:paraId="6D6F1169" w14:textId="4618058E" w:rsidR="008B151E" w:rsidRPr="008B151E" w:rsidRDefault="008B151E" w:rsidP="00E76B2D">
      <w:pPr>
        <w:jc w:val="both"/>
        <w:rPr>
          <w:rFonts w:ascii="Times New Roman" w:hAnsi="Times New Roman" w:cs="Times New Roman"/>
          <w:b/>
          <w:bCs/>
          <w:sz w:val="22"/>
          <w:szCs w:val="22"/>
        </w:rPr>
      </w:pPr>
      <w:r w:rsidRPr="008B151E">
        <w:rPr>
          <w:rFonts w:ascii="Times New Roman" w:hAnsi="Times New Roman" w:cs="Times New Roman"/>
          <w:b/>
          <w:bCs/>
          <w:sz w:val="22"/>
          <w:szCs w:val="22"/>
        </w:rPr>
        <w:t>TikTok and Microlearning in Language Acquisition</w:t>
      </w:r>
    </w:p>
    <w:p w14:paraId="58FBECDE"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Microlearning refers to the delivery of content in small, focused segments that allow for easier cognitive processing and improved retention. According to Hug (2005), microlearning is particularly effective in digital environments where learners engage in short bursts of learning activity.</w:t>
      </w:r>
    </w:p>
    <w:p w14:paraId="53BAE6ED"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TikTok represents a modern microlearning platform where users are exposed to short, engaging videos that often contain repetitive language input. This format has been found to enhance incidental language acquisition, particularly vocabulary and pronunciation learning (Manca, 2020).</w:t>
      </w:r>
    </w:p>
    <w:p w14:paraId="4439E99D"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Recent studies have highlighted TikTok’s potential in ESL learning contexts. For example, Short video exposure has been linked to improved listening comprehension and pronunciation awareness due to repeated exposure to native and non-native speech models (Zhang &amp; Liu, 2022). However, despite these findings, limited empirical research has focused specifically on suprasegmental features such as word stress, indicating a clear research gap.</w:t>
      </w:r>
    </w:p>
    <w:p w14:paraId="080829B4" w14:textId="69081073" w:rsidR="008B151E" w:rsidRPr="008B151E" w:rsidRDefault="008B151E" w:rsidP="00E76B2D">
      <w:pPr>
        <w:jc w:val="both"/>
        <w:rPr>
          <w:rFonts w:ascii="Times New Roman" w:hAnsi="Times New Roman" w:cs="Times New Roman"/>
          <w:b/>
          <w:bCs/>
          <w:sz w:val="22"/>
          <w:szCs w:val="22"/>
        </w:rPr>
      </w:pPr>
      <w:r w:rsidRPr="008B151E">
        <w:rPr>
          <w:rFonts w:ascii="Times New Roman" w:hAnsi="Times New Roman" w:cs="Times New Roman"/>
          <w:b/>
          <w:bCs/>
          <w:sz w:val="22"/>
          <w:szCs w:val="22"/>
        </w:rPr>
        <w:t>Learner Modality and VARK Theory</w:t>
      </w:r>
    </w:p>
    <w:p w14:paraId="3C34A101"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Learner differences play an important role in determining the effectiveness of instructional methods. Fleming’s VARK model classifies learners into visual, auditory, kinaesthetic, and reading/writing preferences. In pronunciation learning, these modalities influence how learners process and retain phonological input.</w:t>
      </w:r>
    </w:p>
    <w:p w14:paraId="4A116932"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Visual learners tend to benefit from written cues, diagrams, and visual reinforcement such as subtitles and facial articulation cues. Auditory learners rely heavily on listening input, making them particularly suited for phonological acquisition tasks. Kinaesthetic learners, on the other hand, learn best through movement, imitation, and physical engagement in speech production.</w:t>
      </w:r>
    </w:p>
    <w:p w14:paraId="18FD8818"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Studies in multimedia learning suggest that aligning instructional design with learner modality enhances learning outcomes (Fleming, 2001; Coffield et al., 2004). However, more recent research argues that multimodal environments such as digital platforms may reduce the importance of strict learning style categorisation by offering multiple input channels simultaneously (Kirschner, 2017).</w:t>
      </w:r>
    </w:p>
    <w:p w14:paraId="515ACDE5"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This study extends this debate by examining whether TikTok-based multimodal instruction benefits all learner types equally or whether modality differences still influence phonological outcomes.</w:t>
      </w:r>
    </w:p>
    <w:p w14:paraId="58BAD2A1" w14:textId="4128B0DF" w:rsidR="008B151E" w:rsidRDefault="008B151E" w:rsidP="00E76B2D">
      <w:pPr>
        <w:jc w:val="both"/>
        <w:rPr>
          <w:rFonts w:ascii="Times New Roman" w:hAnsi="Times New Roman" w:cs="Times New Roman"/>
          <w:b/>
          <w:bCs/>
          <w:sz w:val="22"/>
          <w:szCs w:val="22"/>
        </w:rPr>
      </w:pPr>
      <w:r w:rsidRPr="008B151E">
        <w:rPr>
          <w:rFonts w:ascii="Times New Roman" w:hAnsi="Times New Roman" w:cs="Times New Roman"/>
          <w:b/>
          <w:bCs/>
          <w:sz w:val="22"/>
          <w:szCs w:val="22"/>
        </w:rPr>
        <w:t>Theoretical Framework</w:t>
      </w:r>
    </w:p>
    <w:p w14:paraId="122F4621"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This study is grounded in three major theoretical perspectives that collectively explain how TikTok-based instruction influences ESL word stress acquisition.</w:t>
      </w:r>
    </w:p>
    <w:p w14:paraId="3AA21916"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Firstly, Krashen’s Input Hypothesis (1985) emphasises that language acquisition occurs when learners are exposed to comprehensible input slightly above their current level. TikTok videos provide repeated, simplified, and contextualised input that aligns with this principle.</w:t>
      </w:r>
    </w:p>
    <w:p w14:paraId="77A92433"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Secondly, Vygotsky’s Social Constructivist Theory (1978) highlights the importance of social interaction and mediated learning. TikTok functions as a mediating tool that enables learners to observe, imitate, and internalise pronunciation patterns through repeated exposure and interaction.</w:t>
      </w:r>
    </w:p>
    <w:p w14:paraId="2EDEB61C"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lastRenderedPageBreak/>
        <w:t>Thirdly, the Technology Acceptance Model (Davis, 1989) explains learners’ engagement with TikTok based on perceived usefulness and ease of use. High engagement levels increase exposure frequency, which indirectly enhances language acquisition outcomes.</w:t>
      </w:r>
    </w:p>
    <w:p w14:paraId="77FA2C86" w14:textId="5BE80183" w:rsid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Together, these theories provide a comprehensive explanation of how digital multimodal environments influence phonological learning.</w:t>
      </w:r>
    </w:p>
    <w:p w14:paraId="672EB178" w14:textId="77777777" w:rsidR="00E76B2D" w:rsidRPr="008B151E" w:rsidRDefault="00E76B2D" w:rsidP="00E76B2D">
      <w:pPr>
        <w:jc w:val="both"/>
        <w:rPr>
          <w:rFonts w:ascii="Times New Roman" w:hAnsi="Times New Roman" w:cs="Times New Roman"/>
          <w:b/>
          <w:bCs/>
          <w:sz w:val="22"/>
          <w:szCs w:val="22"/>
        </w:rPr>
      </w:pPr>
      <w:r>
        <w:rPr>
          <w:rFonts w:ascii="Times New Roman" w:hAnsi="Times New Roman" w:cs="Times New Roman"/>
          <w:b/>
          <w:bCs/>
          <w:sz w:val="22"/>
          <w:szCs w:val="22"/>
        </w:rPr>
        <w:t>Research Objectives</w:t>
      </w:r>
    </w:p>
    <w:p w14:paraId="3E1F48F4" w14:textId="77777777" w:rsidR="00E76B2D" w:rsidRPr="00E76B2D" w:rsidRDefault="00E76B2D" w:rsidP="00E76B2D">
      <w:pPr>
        <w:jc w:val="both"/>
        <w:rPr>
          <w:rFonts w:ascii="Times New Roman" w:hAnsi="Times New Roman" w:cs="Times New Roman"/>
          <w:sz w:val="22"/>
          <w:szCs w:val="22"/>
        </w:rPr>
      </w:pPr>
      <w:r w:rsidRPr="00E76B2D">
        <w:rPr>
          <w:rFonts w:ascii="Times New Roman" w:hAnsi="Times New Roman" w:cs="Times New Roman"/>
          <w:sz w:val="22"/>
          <w:szCs w:val="22"/>
        </w:rPr>
        <w:t>The objectives of this study are as follows:</w:t>
      </w:r>
    </w:p>
    <w:p w14:paraId="513E91A8" w14:textId="77777777" w:rsidR="00E76B2D" w:rsidRPr="00E76B2D" w:rsidRDefault="00E76B2D" w:rsidP="00E76B2D">
      <w:pPr>
        <w:jc w:val="both"/>
        <w:rPr>
          <w:rFonts w:ascii="Times New Roman" w:hAnsi="Times New Roman" w:cs="Times New Roman"/>
          <w:sz w:val="22"/>
          <w:szCs w:val="22"/>
        </w:rPr>
      </w:pPr>
      <w:r w:rsidRPr="00E76B2D">
        <w:rPr>
          <w:rFonts w:ascii="Times New Roman" w:hAnsi="Times New Roman" w:cs="Times New Roman"/>
          <w:b/>
          <w:bCs/>
          <w:sz w:val="22"/>
          <w:szCs w:val="22"/>
        </w:rPr>
        <w:t>1.</w:t>
      </w:r>
      <w:r w:rsidRPr="00E76B2D">
        <w:rPr>
          <w:rFonts w:ascii="Times New Roman" w:hAnsi="Times New Roman" w:cs="Times New Roman"/>
          <w:sz w:val="22"/>
          <w:szCs w:val="22"/>
        </w:rPr>
        <w:t xml:space="preserve"> To examine the effect of TikTok-based multimodal microlearning on ESL learners’ production of English word stress patterns.</w:t>
      </w:r>
    </w:p>
    <w:p w14:paraId="6866BA29" w14:textId="77777777" w:rsidR="00E76B2D" w:rsidRPr="00E76B2D" w:rsidRDefault="00E76B2D" w:rsidP="00E76B2D">
      <w:pPr>
        <w:jc w:val="both"/>
        <w:rPr>
          <w:rFonts w:ascii="Times New Roman" w:hAnsi="Times New Roman" w:cs="Times New Roman"/>
          <w:sz w:val="22"/>
          <w:szCs w:val="22"/>
        </w:rPr>
      </w:pPr>
      <w:r w:rsidRPr="00E76B2D">
        <w:rPr>
          <w:rFonts w:ascii="Times New Roman" w:hAnsi="Times New Roman" w:cs="Times New Roman"/>
          <w:b/>
          <w:bCs/>
          <w:sz w:val="22"/>
          <w:szCs w:val="22"/>
        </w:rPr>
        <w:t>2.</w:t>
      </w:r>
      <w:r w:rsidRPr="00E76B2D">
        <w:rPr>
          <w:rFonts w:ascii="Times New Roman" w:hAnsi="Times New Roman" w:cs="Times New Roman"/>
          <w:sz w:val="22"/>
          <w:szCs w:val="22"/>
        </w:rPr>
        <w:t xml:space="preserve"> To examine the effect of TikTok-based multimodal microlearning on ESL learners’ perception of English word stress patterns.</w:t>
      </w:r>
    </w:p>
    <w:p w14:paraId="4800B8D2" w14:textId="77777777" w:rsidR="00E76B2D" w:rsidRPr="00E76B2D" w:rsidRDefault="00E76B2D" w:rsidP="00E76B2D">
      <w:pPr>
        <w:jc w:val="both"/>
        <w:rPr>
          <w:rFonts w:ascii="Times New Roman" w:hAnsi="Times New Roman" w:cs="Times New Roman"/>
          <w:sz w:val="22"/>
          <w:szCs w:val="22"/>
        </w:rPr>
      </w:pPr>
      <w:r w:rsidRPr="00E76B2D">
        <w:rPr>
          <w:rFonts w:ascii="Times New Roman" w:hAnsi="Times New Roman" w:cs="Times New Roman"/>
          <w:b/>
          <w:bCs/>
          <w:sz w:val="22"/>
          <w:szCs w:val="22"/>
        </w:rPr>
        <w:t>3.</w:t>
      </w:r>
      <w:r w:rsidRPr="00E76B2D">
        <w:rPr>
          <w:rFonts w:ascii="Times New Roman" w:hAnsi="Times New Roman" w:cs="Times New Roman"/>
          <w:sz w:val="22"/>
          <w:szCs w:val="22"/>
        </w:rPr>
        <w:t xml:space="preserve"> To compare the differences in English word stress production and perception between learners exposed to TikTok-based instruction and those exposed to traditional instructional methods.</w:t>
      </w:r>
    </w:p>
    <w:p w14:paraId="1616790C" w14:textId="3DC0F2D1" w:rsidR="00E76B2D" w:rsidRDefault="00E76B2D" w:rsidP="00E76B2D">
      <w:pPr>
        <w:jc w:val="both"/>
        <w:rPr>
          <w:rFonts w:ascii="Times New Roman" w:hAnsi="Times New Roman" w:cs="Times New Roman"/>
          <w:sz w:val="22"/>
          <w:szCs w:val="22"/>
        </w:rPr>
      </w:pPr>
      <w:r w:rsidRPr="00E76B2D">
        <w:rPr>
          <w:rFonts w:ascii="Times New Roman" w:hAnsi="Times New Roman" w:cs="Times New Roman"/>
          <w:b/>
          <w:bCs/>
          <w:sz w:val="22"/>
          <w:szCs w:val="22"/>
        </w:rPr>
        <w:t>4.</w:t>
      </w:r>
      <w:r w:rsidRPr="00E76B2D">
        <w:rPr>
          <w:rFonts w:ascii="Times New Roman" w:hAnsi="Times New Roman" w:cs="Times New Roman"/>
          <w:sz w:val="22"/>
          <w:szCs w:val="22"/>
        </w:rPr>
        <w:t xml:space="preserve"> To investigate the influence of learner modality (visual, auditory, and kinaesthetic) on ESL learners’ production and perception of English word stress patterns.</w:t>
      </w:r>
    </w:p>
    <w:p w14:paraId="133139D8" w14:textId="0E4279A0" w:rsidR="00E76B2D" w:rsidRDefault="00E76B2D" w:rsidP="00E76B2D">
      <w:pPr>
        <w:jc w:val="both"/>
        <w:rPr>
          <w:rFonts w:ascii="Times New Roman" w:hAnsi="Times New Roman" w:cs="Times New Roman"/>
          <w:b/>
          <w:bCs/>
          <w:sz w:val="22"/>
          <w:szCs w:val="22"/>
        </w:rPr>
      </w:pPr>
      <w:r>
        <w:rPr>
          <w:rFonts w:ascii="Times New Roman" w:hAnsi="Times New Roman" w:cs="Times New Roman"/>
          <w:b/>
          <w:bCs/>
          <w:sz w:val="22"/>
          <w:szCs w:val="22"/>
        </w:rPr>
        <w:t>Conceptual Framework</w:t>
      </w:r>
    </w:p>
    <w:p w14:paraId="4337F980" w14:textId="77777777" w:rsidR="00A029E3" w:rsidRDefault="00A029E3" w:rsidP="00E76B2D">
      <w:pPr>
        <w:jc w:val="both"/>
        <w:rPr>
          <w:rFonts w:ascii="Times New Roman" w:hAnsi="Times New Roman" w:cs="Times New Roman"/>
          <w:b/>
          <w:bCs/>
          <w:sz w:val="22"/>
          <w:szCs w:val="22"/>
        </w:rPr>
      </w:pPr>
    </w:p>
    <w:p w14:paraId="78D27B46" w14:textId="740FA9A8" w:rsidR="00E76B2D" w:rsidRDefault="00A029E3" w:rsidP="00E76B2D">
      <w:pPr>
        <w:jc w:val="both"/>
        <w:rPr>
          <w:rFonts w:ascii="Times New Roman" w:hAnsi="Times New Roman" w:cs="Times New Roman"/>
          <w:b/>
          <w:bCs/>
          <w:sz w:val="22"/>
          <w:szCs w:val="22"/>
        </w:rPr>
      </w:pPr>
      <w:r>
        <w:rPr>
          <w:rFonts w:ascii="Times New Roman" w:hAnsi="Times New Roman" w:cs="Times New Roman"/>
          <w:b/>
          <w:bCs/>
          <w:noProof/>
          <w:sz w:val="22"/>
          <w:szCs w:val="22"/>
        </w:rPr>
        <w:drawing>
          <wp:inline distT="0" distB="0" distL="0" distR="0" wp14:anchorId="17EC7E88" wp14:editId="5D3D17DE">
            <wp:extent cx="5731510" cy="3192145"/>
            <wp:effectExtent l="0" t="0" r="0" b="0"/>
            <wp:docPr id="1047577794" name="Picture 1" descr="A diagram of a learn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77794" name="Picture 1" descr="A diagram of a learning proces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192145"/>
                    </a:xfrm>
                    <a:prstGeom prst="rect">
                      <a:avLst/>
                    </a:prstGeom>
                  </pic:spPr>
                </pic:pic>
              </a:graphicData>
            </a:graphic>
          </wp:inline>
        </w:drawing>
      </w:r>
    </w:p>
    <w:p w14:paraId="0704A344" w14:textId="2309EDBF" w:rsidR="00E76B2D" w:rsidRPr="007049E0" w:rsidRDefault="00A029E3" w:rsidP="00E76B2D">
      <w:pPr>
        <w:jc w:val="both"/>
        <w:rPr>
          <w:rFonts w:ascii="Times New Roman" w:hAnsi="Times New Roman" w:cs="Times New Roman"/>
          <w:sz w:val="22"/>
          <w:szCs w:val="22"/>
        </w:rPr>
      </w:pPr>
      <w:r w:rsidRPr="007049E0">
        <w:rPr>
          <w:rFonts w:ascii="Times New Roman" w:hAnsi="Times New Roman" w:cs="Times New Roman"/>
          <w:sz w:val="22"/>
          <w:szCs w:val="22"/>
        </w:rPr>
        <w:t>Figure 1</w:t>
      </w:r>
      <w:r w:rsidR="00022D45">
        <w:rPr>
          <w:rFonts w:ascii="Times New Roman" w:hAnsi="Times New Roman" w:cs="Times New Roman"/>
          <w:sz w:val="22"/>
          <w:szCs w:val="22"/>
        </w:rPr>
        <w:t xml:space="preserve">. </w:t>
      </w:r>
      <w:r w:rsidRPr="007049E0">
        <w:rPr>
          <w:rFonts w:ascii="Times New Roman" w:hAnsi="Times New Roman" w:cs="Times New Roman"/>
          <w:sz w:val="22"/>
          <w:szCs w:val="22"/>
        </w:rPr>
        <w:t>Conceptual Framewoek of Tiktok-Based Multimodal Microlearning and ESL Learners’ Word Stress Acquisition</w:t>
      </w:r>
    </w:p>
    <w:p w14:paraId="37A29CD8" w14:textId="77777777" w:rsidR="007049E0" w:rsidRPr="007049E0" w:rsidRDefault="007049E0" w:rsidP="007049E0">
      <w:pPr>
        <w:jc w:val="both"/>
        <w:rPr>
          <w:rFonts w:ascii="Times New Roman" w:hAnsi="Times New Roman" w:cs="Times New Roman"/>
          <w:sz w:val="22"/>
          <w:szCs w:val="22"/>
        </w:rPr>
      </w:pPr>
      <w:r w:rsidRPr="007049E0">
        <w:rPr>
          <w:rFonts w:ascii="Times New Roman" w:hAnsi="Times New Roman" w:cs="Times New Roman"/>
          <w:sz w:val="22"/>
          <w:szCs w:val="22"/>
        </w:rPr>
        <w:t>The conceptual framework of this study illustrates the relationship between TikTok-based multimodal microlearning and ESL learners’ acquisition of English word stress patterns. The framework positions TikTok-based instruction as the independent variable, which provides multimodal input through audio, visual, and textual elements.</w:t>
      </w:r>
    </w:p>
    <w:p w14:paraId="7467EBCC" w14:textId="77777777" w:rsidR="007049E0" w:rsidRPr="007049E0" w:rsidRDefault="007049E0" w:rsidP="007049E0">
      <w:pPr>
        <w:jc w:val="both"/>
        <w:rPr>
          <w:rFonts w:ascii="Times New Roman" w:hAnsi="Times New Roman" w:cs="Times New Roman"/>
          <w:sz w:val="22"/>
          <w:szCs w:val="22"/>
        </w:rPr>
      </w:pPr>
      <w:r w:rsidRPr="007049E0">
        <w:rPr>
          <w:rFonts w:ascii="Times New Roman" w:hAnsi="Times New Roman" w:cs="Times New Roman"/>
          <w:sz w:val="22"/>
          <w:szCs w:val="22"/>
        </w:rPr>
        <w:lastRenderedPageBreak/>
        <w:t>Learner engagement acts as a central mediating factor, as the effectiveness of TikTok-based learning depends on the extent to which learners actively interact with the instructional content. Higher engagement levels are expected to enhance cognitive processing and reinforce phonological learning.</w:t>
      </w:r>
    </w:p>
    <w:p w14:paraId="51CDEF70" w14:textId="77777777" w:rsidR="007049E0" w:rsidRPr="007049E0" w:rsidRDefault="007049E0" w:rsidP="007049E0">
      <w:pPr>
        <w:jc w:val="both"/>
        <w:rPr>
          <w:rFonts w:ascii="Times New Roman" w:hAnsi="Times New Roman" w:cs="Times New Roman"/>
          <w:sz w:val="22"/>
          <w:szCs w:val="22"/>
        </w:rPr>
      </w:pPr>
      <w:r w:rsidRPr="007049E0">
        <w:rPr>
          <w:rFonts w:ascii="Times New Roman" w:hAnsi="Times New Roman" w:cs="Times New Roman"/>
          <w:sz w:val="22"/>
          <w:szCs w:val="22"/>
        </w:rPr>
        <w:t>The dependent variables in this study are ESL learners’ production and perception of English word stress patterns. Production refers to learners’ ability to correctly pronounce stressed syllables in English words, while perception refers to their ability to identify correct stress patterns in spoken input.</w:t>
      </w:r>
    </w:p>
    <w:p w14:paraId="64677EF7" w14:textId="77777777" w:rsidR="007049E0" w:rsidRPr="007049E0" w:rsidRDefault="007049E0" w:rsidP="007049E0">
      <w:pPr>
        <w:jc w:val="both"/>
        <w:rPr>
          <w:rFonts w:ascii="Times New Roman" w:hAnsi="Times New Roman" w:cs="Times New Roman"/>
          <w:sz w:val="22"/>
          <w:szCs w:val="22"/>
        </w:rPr>
      </w:pPr>
      <w:r w:rsidRPr="007049E0">
        <w:rPr>
          <w:rFonts w:ascii="Times New Roman" w:hAnsi="Times New Roman" w:cs="Times New Roman"/>
          <w:sz w:val="22"/>
          <w:szCs w:val="22"/>
        </w:rPr>
        <w:t>In addition, learner modality functions as a moderating variable. Based on VARK theory, learners may be visual, auditory, or kinaesthetic, and these differences influence how effectively they process multimodal input. Learner modality is expected to affect the strength of the relationship between TikTok-based instruction and word stress acquisition outcomes.</w:t>
      </w:r>
    </w:p>
    <w:p w14:paraId="717EBD6B" w14:textId="77777777" w:rsidR="007049E0" w:rsidRPr="007049E0" w:rsidRDefault="007049E0" w:rsidP="007049E0">
      <w:pPr>
        <w:jc w:val="both"/>
        <w:rPr>
          <w:rFonts w:ascii="Times New Roman" w:hAnsi="Times New Roman" w:cs="Times New Roman"/>
          <w:sz w:val="22"/>
          <w:szCs w:val="22"/>
        </w:rPr>
      </w:pPr>
      <w:r w:rsidRPr="007049E0">
        <w:rPr>
          <w:rFonts w:ascii="Times New Roman" w:hAnsi="Times New Roman" w:cs="Times New Roman"/>
          <w:sz w:val="22"/>
          <w:szCs w:val="22"/>
        </w:rPr>
        <w:t>The framework is grounded in Krashen’s Input Hypothesis, Vygotsky’s Social Constructivist Theory, Technology Acceptance Model (TAM), and Multimedia Learning Theory, which collectively explain how exposure, interaction, and cognitive processing contribute to language acquisition in digital environments.</w:t>
      </w:r>
    </w:p>
    <w:p w14:paraId="538AF828" w14:textId="1C377CAC" w:rsidR="008B151E" w:rsidRPr="008B151E" w:rsidRDefault="008B151E" w:rsidP="00E76B2D">
      <w:pPr>
        <w:jc w:val="both"/>
        <w:rPr>
          <w:rFonts w:ascii="Times New Roman" w:hAnsi="Times New Roman" w:cs="Times New Roman"/>
          <w:b/>
          <w:bCs/>
          <w:sz w:val="22"/>
          <w:szCs w:val="22"/>
        </w:rPr>
      </w:pPr>
      <w:r w:rsidRPr="008B151E">
        <w:rPr>
          <w:rFonts w:ascii="Times New Roman" w:hAnsi="Times New Roman" w:cs="Times New Roman"/>
          <w:b/>
          <w:bCs/>
          <w:sz w:val="22"/>
          <w:szCs w:val="22"/>
        </w:rPr>
        <w:t>Research Gap</w:t>
      </w:r>
    </w:p>
    <w:p w14:paraId="155EEA87"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Despite increasing interest in digital learning platforms, several gaps remain in the literature. First, most studies on TikTok focus on vocabulary and general language learning rather than phonological development. Second, limited research has examined word stress acquisition as a specific outcome. Third, few studies have investigated learner modality as a moderating factor in digital pronunciation learning.</w:t>
      </w:r>
    </w:p>
    <w:p w14:paraId="75580845"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This study addresses these gaps by examining the combined effect of TikTok-based microlearning and learner modality on ESL word stress production and perception.</w:t>
      </w:r>
    </w:p>
    <w:p w14:paraId="417F037E" w14:textId="419DB9DE" w:rsidR="008B151E" w:rsidRDefault="00A029E3" w:rsidP="00E76B2D">
      <w:pPr>
        <w:jc w:val="both"/>
        <w:rPr>
          <w:rFonts w:ascii="Times New Roman" w:hAnsi="Times New Roman" w:cs="Times New Roman"/>
          <w:b/>
          <w:bCs/>
          <w:sz w:val="22"/>
          <w:szCs w:val="22"/>
        </w:rPr>
      </w:pPr>
      <w:r>
        <w:rPr>
          <w:rFonts w:ascii="Times New Roman" w:hAnsi="Times New Roman" w:cs="Times New Roman"/>
          <w:b/>
          <w:bCs/>
          <w:sz w:val="22"/>
          <w:szCs w:val="22"/>
        </w:rPr>
        <w:t>RESEARCH METHODS</w:t>
      </w:r>
    </w:p>
    <w:p w14:paraId="62E3EE62" w14:textId="4235A124" w:rsidR="00A029E3" w:rsidRPr="00E76B2D" w:rsidRDefault="00022884" w:rsidP="00E76B2D">
      <w:pPr>
        <w:jc w:val="both"/>
        <w:rPr>
          <w:rFonts w:ascii="Times New Roman" w:hAnsi="Times New Roman" w:cs="Times New Roman"/>
          <w:b/>
          <w:bCs/>
          <w:sz w:val="22"/>
          <w:szCs w:val="22"/>
        </w:rPr>
      </w:pPr>
      <w:r>
        <w:rPr>
          <w:rFonts w:ascii="Times New Roman" w:hAnsi="Times New Roman" w:cs="Times New Roman"/>
          <w:b/>
          <w:bCs/>
          <w:sz w:val="22"/>
          <w:szCs w:val="22"/>
        </w:rPr>
        <w:t>Research Design</w:t>
      </w:r>
    </w:p>
    <w:p w14:paraId="16DDE11D" w14:textId="77777777" w:rsidR="00022884" w:rsidRPr="00022884" w:rsidRDefault="00022884" w:rsidP="00022884">
      <w:pPr>
        <w:jc w:val="both"/>
        <w:rPr>
          <w:rFonts w:ascii="Times New Roman" w:hAnsi="Times New Roman" w:cs="Times New Roman"/>
          <w:sz w:val="22"/>
          <w:szCs w:val="22"/>
        </w:rPr>
      </w:pPr>
      <w:r w:rsidRPr="00022884">
        <w:rPr>
          <w:rFonts w:ascii="Times New Roman" w:hAnsi="Times New Roman" w:cs="Times New Roman"/>
          <w:sz w:val="22"/>
          <w:szCs w:val="22"/>
        </w:rPr>
        <w:t>This study employed a quasi-experimental research design to investigate the effectiveness of TikTok-based multimodal microlearning on English word stress acquisition among ESL learners. A quasi-experimental approach was selected due to the practical constraints in educational settings, where random assignment is often not feasible. This design allowed the researcher to compare the outcomes of an experimental group exposed to TikTok-based instruction with a control group receiving traditional classroom teaching. The study aimed to identify differences in both production and perception of word stress while considering the moderating influence of learner modality (visual, auditory, and kinaesthetic).</w:t>
      </w:r>
    </w:p>
    <w:p w14:paraId="6CE71D97" w14:textId="77777777" w:rsidR="007049E0" w:rsidRDefault="00022884" w:rsidP="00022884">
      <w:pPr>
        <w:jc w:val="both"/>
        <w:rPr>
          <w:rFonts w:ascii="Times New Roman" w:hAnsi="Times New Roman" w:cs="Times New Roman"/>
          <w:sz w:val="22"/>
          <w:szCs w:val="22"/>
        </w:rPr>
      </w:pPr>
      <w:r w:rsidRPr="00022884">
        <w:rPr>
          <w:rFonts w:ascii="Times New Roman" w:hAnsi="Times New Roman" w:cs="Times New Roman"/>
          <w:sz w:val="22"/>
          <w:szCs w:val="22"/>
        </w:rPr>
        <w:t>The research was guided by a pre-test and post-test design, allowing the measurement of baseline abilities and subsequent changes after the intervention. This design also provided a framework for quantitative analysis, including paired-sample t-tests to examine within-group improvements and independent-sample t-tests to compare differences between groups.</w:t>
      </w:r>
    </w:p>
    <w:p w14:paraId="2A35F818" w14:textId="28555693" w:rsidR="00022884" w:rsidRPr="00022884" w:rsidRDefault="00022884" w:rsidP="00022884">
      <w:pPr>
        <w:jc w:val="both"/>
        <w:rPr>
          <w:rFonts w:ascii="Times New Roman" w:hAnsi="Times New Roman" w:cs="Times New Roman"/>
          <w:sz w:val="22"/>
          <w:szCs w:val="22"/>
        </w:rPr>
      </w:pPr>
      <w:r w:rsidRPr="00022884">
        <w:rPr>
          <w:rFonts w:ascii="Times New Roman" w:hAnsi="Times New Roman" w:cs="Times New Roman"/>
          <w:b/>
          <w:bCs/>
          <w:sz w:val="22"/>
          <w:szCs w:val="22"/>
        </w:rPr>
        <w:t>Sampl</w:t>
      </w:r>
      <w:r w:rsidR="007049E0">
        <w:rPr>
          <w:rFonts w:ascii="Times New Roman" w:hAnsi="Times New Roman" w:cs="Times New Roman"/>
          <w:b/>
          <w:bCs/>
          <w:sz w:val="22"/>
          <w:szCs w:val="22"/>
        </w:rPr>
        <w:t>ing</w:t>
      </w:r>
      <w:r w:rsidRPr="00022884">
        <w:rPr>
          <w:rFonts w:ascii="Times New Roman" w:hAnsi="Times New Roman" w:cs="Times New Roman"/>
          <w:b/>
          <w:bCs/>
          <w:sz w:val="22"/>
          <w:szCs w:val="22"/>
        </w:rPr>
        <w:t xml:space="preserve"> Strategy</w:t>
      </w:r>
    </w:p>
    <w:p w14:paraId="737B80AB" w14:textId="77777777" w:rsidR="00022884" w:rsidRPr="00022884" w:rsidRDefault="00022884" w:rsidP="00022884">
      <w:pPr>
        <w:jc w:val="both"/>
        <w:rPr>
          <w:rFonts w:ascii="Times New Roman" w:hAnsi="Times New Roman" w:cs="Times New Roman"/>
          <w:sz w:val="22"/>
          <w:szCs w:val="22"/>
        </w:rPr>
      </w:pPr>
      <w:r w:rsidRPr="00022884">
        <w:rPr>
          <w:rFonts w:ascii="Times New Roman" w:hAnsi="Times New Roman" w:cs="Times New Roman"/>
          <w:sz w:val="22"/>
          <w:szCs w:val="22"/>
        </w:rPr>
        <w:t>Participants were selected from vocational college ESL learners. A purposive sampling technique was used to ensure that participants met specific inclusion criteria: similar English proficiency levels, enrollment in foundational ESL courses, and voluntary consent to participate. The study recruited 60 participants, with 30 assigned to the experimental group and 30 to the control group.</w:t>
      </w:r>
    </w:p>
    <w:p w14:paraId="640409B1" w14:textId="77777777" w:rsidR="00022884" w:rsidRDefault="00022884" w:rsidP="00022884">
      <w:pPr>
        <w:jc w:val="both"/>
        <w:rPr>
          <w:rFonts w:ascii="Times New Roman" w:hAnsi="Times New Roman" w:cs="Times New Roman"/>
          <w:sz w:val="22"/>
          <w:szCs w:val="22"/>
        </w:rPr>
      </w:pPr>
      <w:r w:rsidRPr="00022884">
        <w:rPr>
          <w:rFonts w:ascii="Times New Roman" w:hAnsi="Times New Roman" w:cs="Times New Roman"/>
          <w:sz w:val="22"/>
          <w:szCs w:val="22"/>
        </w:rPr>
        <w:lastRenderedPageBreak/>
        <w:t>Learner modality was classified using a VARK-based survey, categorizing participants into visual, auditory, and kinaesthetic learners. This classification served as a moderating variable to investigate whether the effectiveness of TikTok-based multimodal learning differed across learner types.</w:t>
      </w:r>
    </w:p>
    <w:p w14:paraId="2765FBD9" w14:textId="77777777" w:rsidR="00022884" w:rsidRPr="00022884" w:rsidRDefault="00022884" w:rsidP="00022884">
      <w:pPr>
        <w:jc w:val="both"/>
        <w:rPr>
          <w:rFonts w:ascii="Times New Roman" w:hAnsi="Times New Roman" w:cs="Times New Roman"/>
          <w:b/>
          <w:bCs/>
          <w:sz w:val="22"/>
          <w:szCs w:val="22"/>
        </w:rPr>
      </w:pPr>
      <w:r w:rsidRPr="00022884">
        <w:rPr>
          <w:rFonts w:ascii="Times New Roman" w:hAnsi="Times New Roman" w:cs="Times New Roman"/>
          <w:b/>
          <w:bCs/>
          <w:sz w:val="22"/>
          <w:szCs w:val="22"/>
        </w:rPr>
        <w:t>Data Collection and Instruments</w:t>
      </w:r>
    </w:p>
    <w:p w14:paraId="755CA255" w14:textId="6EA24F40" w:rsidR="00022884" w:rsidRDefault="00022884" w:rsidP="00022884">
      <w:pPr>
        <w:jc w:val="both"/>
        <w:rPr>
          <w:rFonts w:ascii="Times New Roman" w:hAnsi="Times New Roman" w:cs="Times New Roman"/>
          <w:sz w:val="22"/>
          <w:szCs w:val="22"/>
        </w:rPr>
      </w:pPr>
      <w:r w:rsidRPr="00022884">
        <w:rPr>
          <w:rFonts w:ascii="Times New Roman" w:hAnsi="Times New Roman" w:cs="Times New Roman"/>
          <w:sz w:val="22"/>
          <w:szCs w:val="22"/>
        </w:rPr>
        <w:t>A multi-instrument approach was adopted to collect comprehensive data:</w:t>
      </w:r>
    </w:p>
    <w:p w14:paraId="0060CB7C" w14:textId="77777777" w:rsidR="00022884" w:rsidRDefault="00022884" w:rsidP="00022884">
      <w:pPr>
        <w:rPr>
          <w:rFonts w:ascii="Times New Roman" w:hAnsi="Times New Roman" w:cs="Times New Roman"/>
          <w:b/>
          <w:bCs/>
          <w:sz w:val="22"/>
          <w:szCs w:val="22"/>
        </w:rPr>
      </w:pPr>
      <w:r w:rsidRPr="00022884">
        <w:rPr>
          <w:rFonts w:ascii="Times New Roman" w:hAnsi="Times New Roman" w:cs="Times New Roman"/>
          <w:b/>
          <w:bCs/>
          <w:sz w:val="22"/>
          <w:szCs w:val="22"/>
        </w:rPr>
        <w:t>1. Pre-test and Post-test Assessments:</w:t>
      </w:r>
    </w:p>
    <w:p w14:paraId="4A0421A9" w14:textId="7967220A" w:rsidR="007049E0" w:rsidRPr="007049E0" w:rsidRDefault="00022884" w:rsidP="00022884">
      <w:pPr>
        <w:jc w:val="both"/>
        <w:rPr>
          <w:rFonts w:ascii="Times New Roman" w:hAnsi="Times New Roman" w:cs="Times New Roman"/>
          <w:sz w:val="22"/>
          <w:szCs w:val="22"/>
        </w:rPr>
      </w:pPr>
      <w:r w:rsidRPr="00022884">
        <w:rPr>
          <w:rFonts w:ascii="Times New Roman" w:hAnsi="Times New Roman" w:cs="Times New Roman"/>
          <w:sz w:val="22"/>
          <w:szCs w:val="22"/>
        </w:rPr>
        <w:t>Both tests consisted of 10 words designed to evaluate learners’ production and perception of English word stress. Words were carefully selected to include both nouns and verbs, covering a range of stress patterns.</w:t>
      </w:r>
    </w:p>
    <w:p w14:paraId="52BB9DF4" w14:textId="5C29C8AB" w:rsidR="00022884" w:rsidRDefault="00022884" w:rsidP="00022884">
      <w:pPr>
        <w:jc w:val="both"/>
        <w:rPr>
          <w:rFonts w:ascii="Times New Roman" w:hAnsi="Times New Roman" w:cs="Times New Roman"/>
          <w:b/>
          <w:bCs/>
          <w:sz w:val="22"/>
          <w:szCs w:val="22"/>
        </w:rPr>
      </w:pPr>
      <w:r w:rsidRPr="00022884">
        <w:rPr>
          <w:rFonts w:ascii="Times New Roman" w:hAnsi="Times New Roman" w:cs="Times New Roman"/>
          <w:b/>
          <w:bCs/>
          <w:sz w:val="22"/>
          <w:szCs w:val="22"/>
        </w:rPr>
        <w:t>2. Observation Checklist:</w:t>
      </w:r>
    </w:p>
    <w:p w14:paraId="1D4121E6" w14:textId="6C6E08CF" w:rsidR="00022884" w:rsidRPr="00022884" w:rsidRDefault="00022884" w:rsidP="00022884">
      <w:pPr>
        <w:jc w:val="both"/>
        <w:rPr>
          <w:rFonts w:ascii="Times New Roman" w:hAnsi="Times New Roman" w:cs="Times New Roman"/>
          <w:sz w:val="22"/>
          <w:szCs w:val="22"/>
        </w:rPr>
      </w:pPr>
      <w:r w:rsidRPr="00022884">
        <w:rPr>
          <w:rFonts w:ascii="Times New Roman" w:hAnsi="Times New Roman" w:cs="Times New Roman"/>
          <w:sz w:val="22"/>
          <w:szCs w:val="22"/>
        </w:rPr>
        <w:t>An engagement checklist was used to record learner participation during TikTok sessions. Observers monitored attention, imitation accuracy, interaction with content, and repetition frequency.</w:t>
      </w:r>
    </w:p>
    <w:p w14:paraId="3ED7809E" w14:textId="77777777" w:rsidR="00022884" w:rsidRDefault="00022884" w:rsidP="00022884">
      <w:pPr>
        <w:rPr>
          <w:rFonts w:ascii="Times New Roman" w:hAnsi="Times New Roman" w:cs="Times New Roman"/>
          <w:b/>
          <w:bCs/>
          <w:sz w:val="22"/>
          <w:szCs w:val="22"/>
        </w:rPr>
      </w:pPr>
      <w:r w:rsidRPr="00022884">
        <w:rPr>
          <w:rFonts w:ascii="Times New Roman" w:hAnsi="Times New Roman" w:cs="Times New Roman"/>
          <w:b/>
          <w:bCs/>
          <w:sz w:val="22"/>
          <w:szCs w:val="22"/>
        </w:rPr>
        <w:t>3. Questionnaire:</w:t>
      </w:r>
    </w:p>
    <w:p w14:paraId="02877BED" w14:textId="77777777" w:rsidR="00022884" w:rsidRDefault="00022884" w:rsidP="00022884">
      <w:pPr>
        <w:jc w:val="both"/>
        <w:rPr>
          <w:rFonts w:ascii="Times New Roman" w:hAnsi="Times New Roman" w:cs="Times New Roman"/>
          <w:b/>
          <w:bCs/>
          <w:sz w:val="22"/>
          <w:szCs w:val="22"/>
        </w:rPr>
      </w:pPr>
      <w:r w:rsidRPr="00022884">
        <w:rPr>
          <w:rFonts w:ascii="Times New Roman" w:hAnsi="Times New Roman" w:cs="Times New Roman"/>
          <w:sz w:val="22"/>
          <w:szCs w:val="22"/>
        </w:rPr>
        <w:t>A structured questionnaire was administered to collect demographic information and identify learner modality. The questionnaire included 6 items, with three items focused on modality preference and three items on self-reported engagement.</w:t>
      </w:r>
    </w:p>
    <w:p w14:paraId="68AF41B7" w14:textId="77777777" w:rsidR="00022884" w:rsidRDefault="00022884" w:rsidP="00022884">
      <w:pPr>
        <w:jc w:val="both"/>
        <w:rPr>
          <w:rFonts w:ascii="Times New Roman" w:hAnsi="Times New Roman" w:cs="Times New Roman"/>
          <w:b/>
          <w:bCs/>
          <w:sz w:val="22"/>
          <w:szCs w:val="22"/>
        </w:rPr>
      </w:pPr>
      <w:r w:rsidRPr="00022884">
        <w:rPr>
          <w:rFonts w:ascii="Times New Roman" w:hAnsi="Times New Roman" w:cs="Times New Roman"/>
          <w:b/>
          <w:bCs/>
          <w:sz w:val="22"/>
          <w:szCs w:val="22"/>
        </w:rPr>
        <w:t>4. Semi-Structured Interviews:</w:t>
      </w:r>
    </w:p>
    <w:p w14:paraId="66A4636C" w14:textId="4773D430" w:rsidR="007049E0" w:rsidRDefault="00022884" w:rsidP="00022884">
      <w:pPr>
        <w:jc w:val="both"/>
        <w:rPr>
          <w:rFonts w:ascii="Times New Roman" w:hAnsi="Times New Roman" w:cs="Times New Roman"/>
          <w:b/>
          <w:bCs/>
          <w:sz w:val="22"/>
          <w:szCs w:val="22"/>
        </w:rPr>
      </w:pPr>
      <w:r w:rsidRPr="00022884">
        <w:rPr>
          <w:rFonts w:ascii="Times New Roman" w:hAnsi="Times New Roman" w:cs="Times New Roman"/>
          <w:sz w:val="22"/>
          <w:szCs w:val="22"/>
        </w:rPr>
        <w:t>A subset of participants (n = 12) from the experimental group was interviewed to gain qualitative insights into learning experiences, perceptions of TikTok microlearning, and perceived improvements in pronunciation and stress perception.</w:t>
      </w:r>
    </w:p>
    <w:p w14:paraId="142E7113" w14:textId="0491C0F6" w:rsidR="00022884" w:rsidRPr="00022884" w:rsidRDefault="00022884" w:rsidP="00022884">
      <w:pPr>
        <w:jc w:val="both"/>
        <w:rPr>
          <w:rFonts w:ascii="Times New Roman" w:hAnsi="Times New Roman" w:cs="Times New Roman"/>
          <w:b/>
          <w:bCs/>
          <w:sz w:val="22"/>
          <w:szCs w:val="22"/>
        </w:rPr>
      </w:pPr>
      <w:r w:rsidRPr="00022884">
        <w:rPr>
          <w:rFonts w:ascii="Times New Roman" w:hAnsi="Times New Roman" w:cs="Times New Roman"/>
          <w:b/>
          <w:bCs/>
          <w:sz w:val="22"/>
          <w:szCs w:val="22"/>
        </w:rPr>
        <w:t>Data Analysis</w:t>
      </w:r>
    </w:p>
    <w:p w14:paraId="54B4A06C" w14:textId="77777777" w:rsidR="00022884" w:rsidRPr="00022884" w:rsidRDefault="00022884" w:rsidP="00022884">
      <w:pPr>
        <w:jc w:val="both"/>
        <w:rPr>
          <w:rFonts w:ascii="Times New Roman" w:hAnsi="Times New Roman" w:cs="Times New Roman"/>
          <w:sz w:val="22"/>
          <w:szCs w:val="22"/>
        </w:rPr>
      </w:pPr>
      <w:r w:rsidRPr="00022884">
        <w:rPr>
          <w:rFonts w:ascii="Times New Roman" w:hAnsi="Times New Roman" w:cs="Times New Roman"/>
          <w:sz w:val="22"/>
          <w:szCs w:val="22"/>
        </w:rPr>
        <w:t>Quantitative data were analyzed using SPSS Version 28. Descriptive statistics (mean and standard deviation) summarized pre-test and post-test performance. Paired-sample t-tests assessed within-group improvements for both production and perception. Independent-sample t-tests compared post-test scores between the experimental and control groups. The effect of learner modality was analyzed using comparative means analysis.</w:t>
      </w:r>
    </w:p>
    <w:p w14:paraId="1BD26E82" w14:textId="77777777" w:rsidR="00022D45" w:rsidRDefault="00022884" w:rsidP="007049E0">
      <w:pPr>
        <w:jc w:val="both"/>
        <w:rPr>
          <w:rFonts w:ascii="Times New Roman" w:hAnsi="Times New Roman" w:cs="Times New Roman"/>
          <w:sz w:val="22"/>
          <w:szCs w:val="22"/>
        </w:rPr>
      </w:pPr>
      <w:r w:rsidRPr="00022884">
        <w:rPr>
          <w:rFonts w:ascii="Times New Roman" w:hAnsi="Times New Roman" w:cs="Times New Roman"/>
          <w:sz w:val="22"/>
          <w:szCs w:val="22"/>
        </w:rPr>
        <w:t>Qualitative data from interviews were coded thematically. Themes focused on learner perceptions of engagement, usability of TikTok content, and perceived learning gains. Triangulation of quantitative and qualitative data ensured validity and depth of interpretation.</w:t>
      </w:r>
    </w:p>
    <w:p w14:paraId="7B97D884" w14:textId="61EA8291" w:rsidR="007049E0" w:rsidRDefault="007049E0" w:rsidP="007049E0">
      <w:pPr>
        <w:jc w:val="both"/>
        <w:rPr>
          <w:rFonts w:ascii="Times New Roman" w:hAnsi="Times New Roman" w:cs="Times New Roman"/>
          <w:sz w:val="22"/>
          <w:szCs w:val="22"/>
        </w:rPr>
      </w:pPr>
      <w:r w:rsidRPr="00022884">
        <w:rPr>
          <w:rFonts w:ascii="Times New Roman" w:hAnsi="Times New Roman" w:cs="Times New Roman"/>
          <w:sz w:val="22"/>
          <w:szCs w:val="22"/>
        </w:rPr>
        <w:t>Cronbach’s alpha was calculated to ensure instrument reliability. Table 1 illustrates the internal consistency of each instrument.</w:t>
      </w:r>
    </w:p>
    <w:p w14:paraId="6C96BF03" w14:textId="36D5A5BA" w:rsidR="007049E0" w:rsidRPr="00022884" w:rsidRDefault="007049E0" w:rsidP="007049E0">
      <w:pPr>
        <w:jc w:val="both"/>
        <w:rPr>
          <w:rFonts w:ascii="Times New Roman" w:hAnsi="Times New Roman" w:cs="Times New Roman"/>
          <w:sz w:val="22"/>
          <w:szCs w:val="22"/>
        </w:rPr>
      </w:pPr>
      <w:r>
        <w:rPr>
          <w:rFonts w:ascii="Times New Roman" w:hAnsi="Times New Roman" w:cs="Times New Roman"/>
          <w:sz w:val="22"/>
          <w:szCs w:val="22"/>
        </w:rPr>
        <w:t xml:space="preserve">Table 1. Realibility Statistics for each </w:t>
      </w:r>
      <w:r w:rsidR="00991926">
        <w:rPr>
          <w:rFonts w:ascii="Times New Roman" w:hAnsi="Times New Roman" w:cs="Times New Roman"/>
          <w:sz w:val="22"/>
          <w:szCs w:val="22"/>
        </w:rPr>
        <w:t>Instrument</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31"/>
        <w:gridCol w:w="1175"/>
        <w:gridCol w:w="2552"/>
        <w:gridCol w:w="2409"/>
      </w:tblGrid>
      <w:tr w:rsidR="002249FC" w:rsidRPr="00022884" w14:paraId="77BC483C" w14:textId="77777777" w:rsidTr="002249FC">
        <w:trPr>
          <w:tblHeader/>
          <w:tblCellSpacing w:w="15" w:type="dxa"/>
        </w:trPr>
        <w:tc>
          <w:tcPr>
            <w:tcW w:w="0" w:type="auto"/>
            <w:vAlign w:val="center"/>
            <w:hideMark/>
          </w:tcPr>
          <w:p w14:paraId="0B5A2A34" w14:textId="77777777" w:rsidR="007049E0" w:rsidRPr="00022884" w:rsidRDefault="007049E0" w:rsidP="002249FC">
            <w:pPr>
              <w:jc w:val="center"/>
              <w:rPr>
                <w:rFonts w:ascii="Times New Roman" w:hAnsi="Times New Roman" w:cs="Times New Roman"/>
                <w:b/>
                <w:bCs/>
                <w:sz w:val="22"/>
                <w:szCs w:val="22"/>
              </w:rPr>
            </w:pPr>
            <w:r w:rsidRPr="00022884">
              <w:rPr>
                <w:rFonts w:ascii="Times New Roman" w:hAnsi="Times New Roman" w:cs="Times New Roman"/>
                <w:b/>
                <w:bCs/>
                <w:sz w:val="22"/>
                <w:szCs w:val="22"/>
              </w:rPr>
              <w:t>Instrument</w:t>
            </w:r>
          </w:p>
        </w:tc>
        <w:tc>
          <w:tcPr>
            <w:tcW w:w="1145" w:type="dxa"/>
            <w:vAlign w:val="center"/>
            <w:hideMark/>
          </w:tcPr>
          <w:p w14:paraId="1D11D619" w14:textId="77777777" w:rsidR="007049E0" w:rsidRPr="00022884" w:rsidRDefault="007049E0" w:rsidP="002249FC">
            <w:pPr>
              <w:jc w:val="center"/>
              <w:rPr>
                <w:rFonts w:ascii="Times New Roman" w:hAnsi="Times New Roman" w:cs="Times New Roman"/>
                <w:b/>
                <w:bCs/>
                <w:sz w:val="22"/>
                <w:szCs w:val="22"/>
              </w:rPr>
            </w:pPr>
            <w:r w:rsidRPr="00022884">
              <w:rPr>
                <w:rFonts w:ascii="Times New Roman" w:hAnsi="Times New Roman" w:cs="Times New Roman"/>
                <w:b/>
                <w:bCs/>
                <w:sz w:val="22"/>
                <w:szCs w:val="22"/>
              </w:rPr>
              <w:t>Items</w:t>
            </w:r>
          </w:p>
        </w:tc>
        <w:tc>
          <w:tcPr>
            <w:tcW w:w="2522" w:type="dxa"/>
            <w:vAlign w:val="center"/>
            <w:hideMark/>
          </w:tcPr>
          <w:p w14:paraId="504F4251" w14:textId="77777777" w:rsidR="007049E0" w:rsidRPr="00022884" w:rsidRDefault="007049E0" w:rsidP="002249FC">
            <w:pPr>
              <w:jc w:val="center"/>
              <w:rPr>
                <w:rFonts w:ascii="Times New Roman" w:hAnsi="Times New Roman" w:cs="Times New Roman"/>
                <w:b/>
                <w:bCs/>
                <w:sz w:val="22"/>
                <w:szCs w:val="22"/>
              </w:rPr>
            </w:pPr>
            <w:r w:rsidRPr="00022884">
              <w:rPr>
                <w:rFonts w:ascii="Times New Roman" w:hAnsi="Times New Roman" w:cs="Times New Roman"/>
                <w:b/>
                <w:bCs/>
                <w:sz w:val="22"/>
                <w:szCs w:val="22"/>
              </w:rPr>
              <w:t>Cronbach Alpha</w:t>
            </w:r>
          </w:p>
        </w:tc>
        <w:tc>
          <w:tcPr>
            <w:tcW w:w="2364" w:type="dxa"/>
            <w:vAlign w:val="center"/>
            <w:hideMark/>
          </w:tcPr>
          <w:p w14:paraId="0BAFF0F9" w14:textId="77777777" w:rsidR="007049E0" w:rsidRPr="00022884" w:rsidRDefault="007049E0" w:rsidP="002249FC">
            <w:pPr>
              <w:jc w:val="center"/>
              <w:rPr>
                <w:rFonts w:ascii="Times New Roman" w:hAnsi="Times New Roman" w:cs="Times New Roman"/>
                <w:b/>
                <w:bCs/>
                <w:sz w:val="22"/>
                <w:szCs w:val="22"/>
              </w:rPr>
            </w:pPr>
            <w:r w:rsidRPr="00022884">
              <w:rPr>
                <w:rFonts w:ascii="Times New Roman" w:hAnsi="Times New Roman" w:cs="Times New Roman"/>
                <w:b/>
                <w:bCs/>
                <w:sz w:val="22"/>
                <w:szCs w:val="22"/>
              </w:rPr>
              <w:t>Interpretation</w:t>
            </w:r>
          </w:p>
        </w:tc>
      </w:tr>
      <w:tr w:rsidR="002249FC" w:rsidRPr="00022884" w14:paraId="0FBAB11E" w14:textId="77777777" w:rsidTr="002249FC">
        <w:trPr>
          <w:tblCellSpacing w:w="15" w:type="dxa"/>
        </w:trPr>
        <w:tc>
          <w:tcPr>
            <w:tcW w:w="0" w:type="auto"/>
            <w:vAlign w:val="center"/>
            <w:hideMark/>
          </w:tcPr>
          <w:p w14:paraId="0D2C2674" w14:textId="77777777" w:rsidR="007049E0" w:rsidRPr="00022884" w:rsidRDefault="007049E0" w:rsidP="00022D45">
            <w:pPr>
              <w:jc w:val="center"/>
              <w:rPr>
                <w:rFonts w:ascii="Times New Roman" w:hAnsi="Times New Roman" w:cs="Times New Roman"/>
                <w:sz w:val="22"/>
                <w:szCs w:val="22"/>
              </w:rPr>
            </w:pPr>
            <w:r w:rsidRPr="00022884">
              <w:rPr>
                <w:rFonts w:ascii="Times New Roman" w:hAnsi="Times New Roman" w:cs="Times New Roman"/>
                <w:sz w:val="22"/>
                <w:szCs w:val="22"/>
              </w:rPr>
              <w:t>Pre-Test / Post-Test</w:t>
            </w:r>
          </w:p>
        </w:tc>
        <w:tc>
          <w:tcPr>
            <w:tcW w:w="1145" w:type="dxa"/>
            <w:vAlign w:val="center"/>
            <w:hideMark/>
          </w:tcPr>
          <w:p w14:paraId="71CBDEF8" w14:textId="77777777" w:rsidR="007049E0" w:rsidRPr="00022884" w:rsidRDefault="007049E0" w:rsidP="00991926">
            <w:pPr>
              <w:jc w:val="center"/>
              <w:rPr>
                <w:rFonts w:ascii="Times New Roman" w:hAnsi="Times New Roman" w:cs="Times New Roman"/>
                <w:sz w:val="22"/>
                <w:szCs w:val="22"/>
              </w:rPr>
            </w:pPr>
            <w:r w:rsidRPr="00022884">
              <w:rPr>
                <w:rFonts w:ascii="Times New Roman" w:hAnsi="Times New Roman" w:cs="Times New Roman"/>
                <w:sz w:val="22"/>
                <w:szCs w:val="22"/>
              </w:rPr>
              <w:t>10</w:t>
            </w:r>
          </w:p>
        </w:tc>
        <w:tc>
          <w:tcPr>
            <w:tcW w:w="2522" w:type="dxa"/>
            <w:vAlign w:val="center"/>
            <w:hideMark/>
          </w:tcPr>
          <w:p w14:paraId="3535BE17" w14:textId="77777777" w:rsidR="007049E0" w:rsidRPr="00022884" w:rsidRDefault="007049E0" w:rsidP="00991926">
            <w:pPr>
              <w:jc w:val="center"/>
              <w:rPr>
                <w:rFonts w:ascii="Times New Roman" w:hAnsi="Times New Roman" w:cs="Times New Roman"/>
                <w:sz w:val="22"/>
                <w:szCs w:val="22"/>
              </w:rPr>
            </w:pPr>
            <w:r w:rsidRPr="00022884">
              <w:rPr>
                <w:rFonts w:ascii="Times New Roman" w:hAnsi="Times New Roman" w:cs="Times New Roman"/>
                <w:sz w:val="22"/>
                <w:szCs w:val="22"/>
              </w:rPr>
              <w:t>0.82</w:t>
            </w:r>
          </w:p>
        </w:tc>
        <w:tc>
          <w:tcPr>
            <w:tcW w:w="2364" w:type="dxa"/>
            <w:vAlign w:val="center"/>
            <w:hideMark/>
          </w:tcPr>
          <w:p w14:paraId="69CA44B5" w14:textId="77777777" w:rsidR="007049E0" w:rsidRPr="00022884" w:rsidRDefault="007049E0" w:rsidP="00991926">
            <w:pPr>
              <w:jc w:val="center"/>
              <w:rPr>
                <w:rFonts w:ascii="Times New Roman" w:hAnsi="Times New Roman" w:cs="Times New Roman"/>
                <w:sz w:val="22"/>
                <w:szCs w:val="22"/>
              </w:rPr>
            </w:pPr>
            <w:r w:rsidRPr="00022884">
              <w:rPr>
                <w:rFonts w:ascii="Times New Roman" w:hAnsi="Times New Roman" w:cs="Times New Roman"/>
                <w:sz w:val="22"/>
                <w:szCs w:val="22"/>
              </w:rPr>
              <w:t>Good</w:t>
            </w:r>
          </w:p>
        </w:tc>
      </w:tr>
      <w:tr w:rsidR="002249FC" w:rsidRPr="00022884" w14:paraId="64C09353" w14:textId="77777777" w:rsidTr="002249FC">
        <w:trPr>
          <w:tblCellSpacing w:w="15" w:type="dxa"/>
        </w:trPr>
        <w:tc>
          <w:tcPr>
            <w:tcW w:w="0" w:type="auto"/>
            <w:vAlign w:val="center"/>
            <w:hideMark/>
          </w:tcPr>
          <w:p w14:paraId="08298BD1" w14:textId="77777777" w:rsidR="007049E0" w:rsidRPr="00022884" w:rsidRDefault="007049E0" w:rsidP="00022D45">
            <w:pPr>
              <w:jc w:val="center"/>
              <w:rPr>
                <w:rFonts w:ascii="Times New Roman" w:hAnsi="Times New Roman" w:cs="Times New Roman"/>
                <w:sz w:val="22"/>
                <w:szCs w:val="22"/>
              </w:rPr>
            </w:pPr>
            <w:r w:rsidRPr="00022884">
              <w:rPr>
                <w:rFonts w:ascii="Times New Roman" w:hAnsi="Times New Roman" w:cs="Times New Roman"/>
                <w:sz w:val="22"/>
                <w:szCs w:val="22"/>
              </w:rPr>
              <w:t>Observation Checklist</w:t>
            </w:r>
          </w:p>
        </w:tc>
        <w:tc>
          <w:tcPr>
            <w:tcW w:w="1145" w:type="dxa"/>
            <w:vAlign w:val="center"/>
            <w:hideMark/>
          </w:tcPr>
          <w:p w14:paraId="3CE58214" w14:textId="77777777" w:rsidR="007049E0" w:rsidRPr="00022884" w:rsidRDefault="007049E0" w:rsidP="00991926">
            <w:pPr>
              <w:jc w:val="center"/>
              <w:rPr>
                <w:rFonts w:ascii="Times New Roman" w:hAnsi="Times New Roman" w:cs="Times New Roman"/>
                <w:sz w:val="22"/>
                <w:szCs w:val="22"/>
              </w:rPr>
            </w:pPr>
            <w:r w:rsidRPr="00022884">
              <w:rPr>
                <w:rFonts w:ascii="Times New Roman" w:hAnsi="Times New Roman" w:cs="Times New Roman"/>
                <w:sz w:val="22"/>
                <w:szCs w:val="22"/>
              </w:rPr>
              <w:t>8</w:t>
            </w:r>
          </w:p>
        </w:tc>
        <w:tc>
          <w:tcPr>
            <w:tcW w:w="2522" w:type="dxa"/>
            <w:vAlign w:val="center"/>
            <w:hideMark/>
          </w:tcPr>
          <w:p w14:paraId="4BBC1919" w14:textId="77777777" w:rsidR="007049E0" w:rsidRPr="00022884" w:rsidRDefault="007049E0" w:rsidP="00991926">
            <w:pPr>
              <w:jc w:val="center"/>
              <w:rPr>
                <w:rFonts w:ascii="Times New Roman" w:hAnsi="Times New Roman" w:cs="Times New Roman"/>
                <w:sz w:val="22"/>
                <w:szCs w:val="22"/>
              </w:rPr>
            </w:pPr>
            <w:r w:rsidRPr="00022884">
              <w:rPr>
                <w:rFonts w:ascii="Times New Roman" w:hAnsi="Times New Roman" w:cs="Times New Roman"/>
                <w:sz w:val="22"/>
                <w:szCs w:val="22"/>
              </w:rPr>
              <w:t>0.84</w:t>
            </w:r>
          </w:p>
        </w:tc>
        <w:tc>
          <w:tcPr>
            <w:tcW w:w="2364" w:type="dxa"/>
            <w:vAlign w:val="center"/>
            <w:hideMark/>
          </w:tcPr>
          <w:p w14:paraId="0A1BBA23" w14:textId="77777777" w:rsidR="007049E0" w:rsidRPr="00022884" w:rsidRDefault="007049E0" w:rsidP="00991926">
            <w:pPr>
              <w:jc w:val="center"/>
              <w:rPr>
                <w:rFonts w:ascii="Times New Roman" w:hAnsi="Times New Roman" w:cs="Times New Roman"/>
                <w:sz w:val="22"/>
                <w:szCs w:val="22"/>
              </w:rPr>
            </w:pPr>
            <w:r w:rsidRPr="00022884">
              <w:rPr>
                <w:rFonts w:ascii="Times New Roman" w:hAnsi="Times New Roman" w:cs="Times New Roman"/>
                <w:sz w:val="22"/>
                <w:szCs w:val="22"/>
              </w:rPr>
              <w:t>Good</w:t>
            </w:r>
          </w:p>
        </w:tc>
      </w:tr>
      <w:tr w:rsidR="002249FC" w:rsidRPr="00022884" w14:paraId="6FA91D77" w14:textId="77777777" w:rsidTr="002249FC">
        <w:trPr>
          <w:tblCellSpacing w:w="15" w:type="dxa"/>
        </w:trPr>
        <w:tc>
          <w:tcPr>
            <w:tcW w:w="0" w:type="auto"/>
            <w:vAlign w:val="center"/>
            <w:hideMark/>
          </w:tcPr>
          <w:p w14:paraId="4AE0C359" w14:textId="77777777" w:rsidR="007049E0" w:rsidRPr="00022884" w:rsidRDefault="007049E0" w:rsidP="00022D45">
            <w:pPr>
              <w:jc w:val="center"/>
              <w:rPr>
                <w:rFonts w:ascii="Times New Roman" w:hAnsi="Times New Roman" w:cs="Times New Roman"/>
                <w:sz w:val="22"/>
                <w:szCs w:val="22"/>
              </w:rPr>
            </w:pPr>
            <w:r w:rsidRPr="00022884">
              <w:rPr>
                <w:rFonts w:ascii="Times New Roman" w:hAnsi="Times New Roman" w:cs="Times New Roman"/>
                <w:sz w:val="22"/>
                <w:szCs w:val="22"/>
              </w:rPr>
              <w:lastRenderedPageBreak/>
              <w:t>Questionnaire</w:t>
            </w:r>
          </w:p>
        </w:tc>
        <w:tc>
          <w:tcPr>
            <w:tcW w:w="1145" w:type="dxa"/>
            <w:vAlign w:val="center"/>
            <w:hideMark/>
          </w:tcPr>
          <w:p w14:paraId="2BB31243" w14:textId="77777777" w:rsidR="007049E0" w:rsidRPr="00022884" w:rsidRDefault="007049E0" w:rsidP="00991926">
            <w:pPr>
              <w:jc w:val="center"/>
              <w:rPr>
                <w:rFonts w:ascii="Times New Roman" w:hAnsi="Times New Roman" w:cs="Times New Roman"/>
                <w:sz w:val="22"/>
                <w:szCs w:val="22"/>
              </w:rPr>
            </w:pPr>
            <w:r w:rsidRPr="00022884">
              <w:rPr>
                <w:rFonts w:ascii="Times New Roman" w:hAnsi="Times New Roman" w:cs="Times New Roman"/>
                <w:sz w:val="22"/>
                <w:szCs w:val="22"/>
              </w:rPr>
              <w:t>6</w:t>
            </w:r>
          </w:p>
        </w:tc>
        <w:tc>
          <w:tcPr>
            <w:tcW w:w="2522" w:type="dxa"/>
            <w:vAlign w:val="center"/>
            <w:hideMark/>
          </w:tcPr>
          <w:p w14:paraId="0FD06185" w14:textId="77777777" w:rsidR="007049E0" w:rsidRPr="00022884" w:rsidRDefault="007049E0" w:rsidP="00991926">
            <w:pPr>
              <w:jc w:val="center"/>
              <w:rPr>
                <w:rFonts w:ascii="Times New Roman" w:hAnsi="Times New Roman" w:cs="Times New Roman"/>
                <w:sz w:val="22"/>
                <w:szCs w:val="22"/>
              </w:rPr>
            </w:pPr>
            <w:r w:rsidRPr="00022884">
              <w:rPr>
                <w:rFonts w:ascii="Times New Roman" w:hAnsi="Times New Roman" w:cs="Times New Roman"/>
                <w:sz w:val="22"/>
                <w:szCs w:val="22"/>
              </w:rPr>
              <w:t>0.78</w:t>
            </w:r>
          </w:p>
        </w:tc>
        <w:tc>
          <w:tcPr>
            <w:tcW w:w="2364" w:type="dxa"/>
            <w:vAlign w:val="center"/>
            <w:hideMark/>
          </w:tcPr>
          <w:p w14:paraId="4839E23D" w14:textId="77777777" w:rsidR="007049E0" w:rsidRPr="00022884" w:rsidRDefault="007049E0" w:rsidP="00991926">
            <w:pPr>
              <w:jc w:val="center"/>
              <w:rPr>
                <w:rFonts w:ascii="Times New Roman" w:hAnsi="Times New Roman" w:cs="Times New Roman"/>
                <w:sz w:val="22"/>
                <w:szCs w:val="22"/>
              </w:rPr>
            </w:pPr>
            <w:r w:rsidRPr="00022884">
              <w:rPr>
                <w:rFonts w:ascii="Times New Roman" w:hAnsi="Times New Roman" w:cs="Times New Roman"/>
                <w:sz w:val="22"/>
                <w:szCs w:val="22"/>
              </w:rPr>
              <w:t>Acceptable</w:t>
            </w:r>
          </w:p>
        </w:tc>
      </w:tr>
      <w:tr w:rsidR="002249FC" w:rsidRPr="00022884" w14:paraId="62FC9160" w14:textId="77777777" w:rsidTr="002249FC">
        <w:trPr>
          <w:tblCellSpacing w:w="15" w:type="dxa"/>
        </w:trPr>
        <w:tc>
          <w:tcPr>
            <w:tcW w:w="0" w:type="auto"/>
            <w:vAlign w:val="center"/>
            <w:hideMark/>
          </w:tcPr>
          <w:p w14:paraId="45DC603B" w14:textId="77777777" w:rsidR="007049E0" w:rsidRPr="00022884" w:rsidRDefault="007049E0" w:rsidP="00022D45">
            <w:pPr>
              <w:jc w:val="center"/>
              <w:rPr>
                <w:rFonts w:ascii="Times New Roman" w:hAnsi="Times New Roman" w:cs="Times New Roman"/>
                <w:sz w:val="22"/>
                <w:szCs w:val="22"/>
              </w:rPr>
            </w:pPr>
            <w:r w:rsidRPr="00022884">
              <w:rPr>
                <w:rFonts w:ascii="Times New Roman" w:hAnsi="Times New Roman" w:cs="Times New Roman"/>
                <w:sz w:val="22"/>
                <w:szCs w:val="22"/>
              </w:rPr>
              <w:t>Semi-Structured Interview Coding</w:t>
            </w:r>
          </w:p>
        </w:tc>
        <w:tc>
          <w:tcPr>
            <w:tcW w:w="1145" w:type="dxa"/>
            <w:vAlign w:val="center"/>
            <w:hideMark/>
          </w:tcPr>
          <w:p w14:paraId="326496F8" w14:textId="77777777" w:rsidR="007049E0" w:rsidRPr="00022884" w:rsidRDefault="007049E0" w:rsidP="00991926">
            <w:pPr>
              <w:jc w:val="center"/>
              <w:rPr>
                <w:rFonts w:ascii="Times New Roman" w:hAnsi="Times New Roman" w:cs="Times New Roman"/>
                <w:sz w:val="22"/>
                <w:szCs w:val="22"/>
              </w:rPr>
            </w:pPr>
            <w:r w:rsidRPr="00022884">
              <w:rPr>
                <w:rFonts w:ascii="Times New Roman" w:hAnsi="Times New Roman" w:cs="Times New Roman"/>
                <w:sz w:val="22"/>
                <w:szCs w:val="22"/>
              </w:rPr>
              <w:t>12</w:t>
            </w:r>
          </w:p>
        </w:tc>
        <w:tc>
          <w:tcPr>
            <w:tcW w:w="2522" w:type="dxa"/>
            <w:vAlign w:val="center"/>
            <w:hideMark/>
          </w:tcPr>
          <w:p w14:paraId="58007246" w14:textId="77777777" w:rsidR="007049E0" w:rsidRPr="00022884" w:rsidRDefault="007049E0" w:rsidP="00991926">
            <w:pPr>
              <w:jc w:val="center"/>
              <w:rPr>
                <w:rFonts w:ascii="Times New Roman" w:hAnsi="Times New Roman" w:cs="Times New Roman"/>
                <w:sz w:val="22"/>
                <w:szCs w:val="22"/>
              </w:rPr>
            </w:pPr>
            <w:r w:rsidRPr="00022884">
              <w:rPr>
                <w:rFonts w:ascii="Times New Roman" w:hAnsi="Times New Roman" w:cs="Times New Roman"/>
                <w:sz w:val="22"/>
                <w:szCs w:val="22"/>
              </w:rPr>
              <w:t>0.81</w:t>
            </w:r>
          </w:p>
        </w:tc>
        <w:tc>
          <w:tcPr>
            <w:tcW w:w="2364" w:type="dxa"/>
            <w:vAlign w:val="center"/>
            <w:hideMark/>
          </w:tcPr>
          <w:p w14:paraId="242CBA87" w14:textId="77777777" w:rsidR="007049E0" w:rsidRPr="00022884" w:rsidRDefault="007049E0" w:rsidP="00991926">
            <w:pPr>
              <w:jc w:val="center"/>
              <w:rPr>
                <w:rFonts w:ascii="Times New Roman" w:hAnsi="Times New Roman" w:cs="Times New Roman"/>
                <w:sz w:val="22"/>
                <w:szCs w:val="22"/>
              </w:rPr>
            </w:pPr>
            <w:r w:rsidRPr="00022884">
              <w:rPr>
                <w:rFonts w:ascii="Times New Roman" w:hAnsi="Times New Roman" w:cs="Times New Roman"/>
                <w:sz w:val="22"/>
                <w:szCs w:val="22"/>
              </w:rPr>
              <w:t>Good</w:t>
            </w:r>
          </w:p>
        </w:tc>
      </w:tr>
    </w:tbl>
    <w:p w14:paraId="5DAAC6C2" w14:textId="77777777" w:rsidR="007049E0" w:rsidRPr="00022884" w:rsidRDefault="007049E0" w:rsidP="00022884">
      <w:pPr>
        <w:jc w:val="both"/>
        <w:rPr>
          <w:rFonts w:ascii="Times New Roman" w:hAnsi="Times New Roman" w:cs="Times New Roman"/>
          <w:sz w:val="22"/>
          <w:szCs w:val="22"/>
        </w:rPr>
      </w:pPr>
    </w:p>
    <w:p w14:paraId="588B4681" w14:textId="77777777" w:rsidR="00022884" w:rsidRPr="00022884" w:rsidRDefault="00022884" w:rsidP="00022884">
      <w:pPr>
        <w:jc w:val="both"/>
        <w:rPr>
          <w:rFonts w:ascii="Times New Roman" w:hAnsi="Times New Roman" w:cs="Times New Roman"/>
          <w:b/>
          <w:bCs/>
          <w:sz w:val="22"/>
          <w:szCs w:val="22"/>
        </w:rPr>
      </w:pPr>
      <w:r w:rsidRPr="00022884">
        <w:rPr>
          <w:rFonts w:ascii="Times New Roman" w:hAnsi="Times New Roman" w:cs="Times New Roman"/>
          <w:b/>
          <w:bCs/>
          <w:sz w:val="22"/>
          <w:szCs w:val="22"/>
        </w:rPr>
        <w:t>Ethical Consideration</w:t>
      </w:r>
    </w:p>
    <w:p w14:paraId="721CA52B" w14:textId="77777777" w:rsidR="00022884" w:rsidRPr="00022884" w:rsidRDefault="00022884" w:rsidP="00022884">
      <w:pPr>
        <w:jc w:val="both"/>
        <w:rPr>
          <w:rFonts w:ascii="Times New Roman" w:hAnsi="Times New Roman" w:cs="Times New Roman"/>
          <w:sz w:val="22"/>
          <w:szCs w:val="22"/>
        </w:rPr>
      </w:pPr>
      <w:r w:rsidRPr="00022884">
        <w:rPr>
          <w:rFonts w:ascii="Times New Roman" w:hAnsi="Times New Roman" w:cs="Times New Roman"/>
          <w:sz w:val="22"/>
          <w:szCs w:val="22"/>
        </w:rPr>
        <w:t>Ethical clearance was obtained from the vocational college research committee. Participants provided informed consent prior to data collection. Participation was voluntary, and participants could withdraw at any time. All data were anonymized to protect confidentiality. The use of TikTok videos was limited to educational content, and no personal or sensitive data were recorded. Researchers ensured that all engagement and observation activities adhered to ethical guidelines for educational research.</w:t>
      </w:r>
    </w:p>
    <w:p w14:paraId="744BFA4D" w14:textId="77777777" w:rsidR="00022884" w:rsidRPr="00022884" w:rsidRDefault="00022884" w:rsidP="00022884">
      <w:pPr>
        <w:jc w:val="both"/>
        <w:rPr>
          <w:rFonts w:ascii="Times New Roman" w:hAnsi="Times New Roman" w:cs="Times New Roman"/>
          <w:b/>
          <w:bCs/>
          <w:sz w:val="22"/>
          <w:szCs w:val="22"/>
        </w:rPr>
      </w:pPr>
      <w:r w:rsidRPr="00022884">
        <w:rPr>
          <w:rFonts w:ascii="Times New Roman" w:hAnsi="Times New Roman" w:cs="Times New Roman"/>
          <w:b/>
          <w:bCs/>
          <w:sz w:val="22"/>
          <w:szCs w:val="22"/>
        </w:rPr>
        <w:t>Limitations of the Study</w:t>
      </w:r>
    </w:p>
    <w:p w14:paraId="21CE41CD" w14:textId="77777777" w:rsidR="00022884" w:rsidRPr="00022884" w:rsidRDefault="00022884" w:rsidP="00022884">
      <w:pPr>
        <w:jc w:val="both"/>
        <w:rPr>
          <w:rFonts w:ascii="Times New Roman" w:hAnsi="Times New Roman" w:cs="Times New Roman"/>
          <w:sz w:val="22"/>
          <w:szCs w:val="22"/>
        </w:rPr>
      </w:pPr>
      <w:r w:rsidRPr="00022884">
        <w:rPr>
          <w:rFonts w:ascii="Times New Roman" w:hAnsi="Times New Roman" w:cs="Times New Roman"/>
          <w:sz w:val="22"/>
          <w:szCs w:val="22"/>
        </w:rPr>
        <w:t>While this study provides valuable insights, several limitations must be acknowledged:</w:t>
      </w:r>
    </w:p>
    <w:p w14:paraId="00BF299F" w14:textId="77777777" w:rsidR="00022884" w:rsidRPr="00022884" w:rsidRDefault="00022884" w:rsidP="00022884">
      <w:pPr>
        <w:numPr>
          <w:ilvl w:val="0"/>
          <w:numId w:val="1"/>
        </w:numPr>
        <w:jc w:val="both"/>
        <w:rPr>
          <w:rFonts w:ascii="Times New Roman" w:hAnsi="Times New Roman" w:cs="Times New Roman"/>
          <w:sz w:val="22"/>
          <w:szCs w:val="22"/>
        </w:rPr>
      </w:pPr>
      <w:r w:rsidRPr="00022884">
        <w:rPr>
          <w:rFonts w:ascii="Times New Roman" w:hAnsi="Times New Roman" w:cs="Times New Roman"/>
          <w:sz w:val="22"/>
          <w:szCs w:val="22"/>
        </w:rPr>
        <w:t xml:space="preserve">The quasi-experimental design limits the ability to randomly assign participants, potentially introducing selection bias. </w:t>
      </w:r>
    </w:p>
    <w:p w14:paraId="40AC6B90" w14:textId="77777777" w:rsidR="00022884" w:rsidRPr="00022884" w:rsidRDefault="00022884" w:rsidP="00022884">
      <w:pPr>
        <w:numPr>
          <w:ilvl w:val="0"/>
          <w:numId w:val="1"/>
        </w:numPr>
        <w:jc w:val="both"/>
        <w:rPr>
          <w:rFonts w:ascii="Times New Roman" w:hAnsi="Times New Roman" w:cs="Times New Roman"/>
          <w:sz w:val="22"/>
          <w:szCs w:val="22"/>
        </w:rPr>
      </w:pPr>
      <w:r w:rsidRPr="00022884">
        <w:rPr>
          <w:rFonts w:ascii="Times New Roman" w:hAnsi="Times New Roman" w:cs="Times New Roman"/>
          <w:sz w:val="22"/>
          <w:szCs w:val="22"/>
        </w:rPr>
        <w:t xml:space="preserve">The sample was drawn from a single vocational college, which may limit generalizability to other ESL contexts. </w:t>
      </w:r>
    </w:p>
    <w:p w14:paraId="31A75300" w14:textId="77777777" w:rsidR="00022884" w:rsidRPr="00022884" w:rsidRDefault="00022884" w:rsidP="00022884">
      <w:pPr>
        <w:numPr>
          <w:ilvl w:val="0"/>
          <w:numId w:val="1"/>
        </w:numPr>
        <w:jc w:val="both"/>
        <w:rPr>
          <w:rFonts w:ascii="Times New Roman" w:hAnsi="Times New Roman" w:cs="Times New Roman"/>
          <w:sz w:val="22"/>
          <w:szCs w:val="22"/>
        </w:rPr>
      </w:pPr>
      <w:r w:rsidRPr="00022884">
        <w:rPr>
          <w:rFonts w:ascii="Times New Roman" w:hAnsi="Times New Roman" w:cs="Times New Roman"/>
          <w:sz w:val="22"/>
          <w:szCs w:val="22"/>
        </w:rPr>
        <w:t xml:space="preserve">The short duration of TikTok exposure may not reflect long-term acquisition of stress patterns. </w:t>
      </w:r>
    </w:p>
    <w:p w14:paraId="7B27E437" w14:textId="77777777" w:rsidR="00022884" w:rsidRPr="00022884" w:rsidRDefault="00022884" w:rsidP="00022884">
      <w:pPr>
        <w:numPr>
          <w:ilvl w:val="0"/>
          <w:numId w:val="1"/>
        </w:numPr>
        <w:jc w:val="both"/>
        <w:rPr>
          <w:rFonts w:ascii="Times New Roman" w:hAnsi="Times New Roman" w:cs="Times New Roman"/>
          <w:sz w:val="22"/>
          <w:szCs w:val="22"/>
        </w:rPr>
      </w:pPr>
      <w:r w:rsidRPr="00022884">
        <w:rPr>
          <w:rFonts w:ascii="Times New Roman" w:hAnsi="Times New Roman" w:cs="Times New Roman"/>
          <w:sz w:val="22"/>
          <w:szCs w:val="22"/>
        </w:rPr>
        <w:t xml:space="preserve">Learner modality classification relied on self-reported questionnaire responses, which may introduce subjective bias. </w:t>
      </w:r>
    </w:p>
    <w:p w14:paraId="4DA4895D" w14:textId="569CD0E6" w:rsidR="007049E0" w:rsidRPr="00E66347" w:rsidRDefault="00022884" w:rsidP="007049E0">
      <w:pPr>
        <w:numPr>
          <w:ilvl w:val="0"/>
          <w:numId w:val="1"/>
        </w:numPr>
        <w:jc w:val="both"/>
        <w:rPr>
          <w:rFonts w:ascii="Times New Roman" w:hAnsi="Times New Roman" w:cs="Times New Roman"/>
          <w:sz w:val="22"/>
          <w:szCs w:val="22"/>
        </w:rPr>
      </w:pPr>
      <w:r w:rsidRPr="00022884">
        <w:rPr>
          <w:rFonts w:ascii="Times New Roman" w:hAnsi="Times New Roman" w:cs="Times New Roman"/>
          <w:sz w:val="22"/>
          <w:szCs w:val="22"/>
        </w:rPr>
        <w:t>The study focused solely on word stress, leaving other suprasegmental features (e.g., intonation, rhythm) unexplored.</w:t>
      </w:r>
    </w:p>
    <w:p w14:paraId="1B2EB650" w14:textId="570A5CA1" w:rsidR="008B151E" w:rsidRDefault="008B151E" w:rsidP="00E76B2D">
      <w:pPr>
        <w:jc w:val="both"/>
        <w:rPr>
          <w:rFonts w:ascii="Times New Roman" w:hAnsi="Times New Roman" w:cs="Times New Roman"/>
          <w:b/>
          <w:bCs/>
          <w:sz w:val="22"/>
          <w:szCs w:val="22"/>
        </w:rPr>
      </w:pPr>
      <w:r w:rsidRPr="00022884">
        <w:rPr>
          <w:rFonts w:ascii="Times New Roman" w:hAnsi="Times New Roman" w:cs="Times New Roman"/>
          <w:b/>
          <w:bCs/>
          <w:sz w:val="22"/>
          <w:szCs w:val="22"/>
        </w:rPr>
        <w:t>RESULTS</w:t>
      </w:r>
    </w:p>
    <w:p w14:paraId="0470B836" w14:textId="77777777" w:rsidR="00EC12F2" w:rsidRPr="00EC12F2" w:rsidRDefault="00EC12F2" w:rsidP="00EC12F2">
      <w:pPr>
        <w:jc w:val="both"/>
        <w:rPr>
          <w:rFonts w:ascii="Times New Roman" w:hAnsi="Times New Roman" w:cs="Times New Roman"/>
          <w:b/>
          <w:bCs/>
          <w:sz w:val="22"/>
          <w:szCs w:val="22"/>
        </w:rPr>
      </w:pPr>
      <w:r w:rsidRPr="00EC12F2">
        <w:rPr>
          <w:rFonts w:ascii="Times New Roman" w:hAnsi="Times New Roman" w:cs="Times New Roman"/>
          <w:b/>
          <w:bCs/>
          <w:sz w:val="22"/>
          <w:szCs w:val="22"/>
        </w:rPr>
        <w:t>Demographic Profile of Respondents</w:t>
      </w:r>
    </w:p>
    <w:p w14:paraId="04BB80CE" w14:textId="5906ED88" w:rsidR="00022D45" w:rsidRDefault="00991926" w:rsidP="00EC12F2">
      <w:pPr>
        <w:jc w:val="both"/>
        <w:rPr>
          <w:rFonts w:ascii="Times New Roman" w:hAnsi="Times New Roman" w:cs="Times New Roman"/>
          <w:sz w:val="22"/>
          <w:szCs w:val="22"/>
        </w:rPr>
      </w:pPr>
      <w:r w:rsidRPr="00991926">
        <w:rPr>
          <w:rFonts w:ascii="Times New Roman" w:hAnsi="Times New Roman" w:cs="Times New Roman"/>
          <w:sz w:val="22"/>
          <w:szCs w:val="22"/>
        </w:rPr>
        <w:t xml:space="preserve">This study involved 60 ESL learners from a vocational college setting in Malaysia. The demographic characteristics analysed include gender, age, and English proficiency level. These characteristics are important in providing contextual understanding of the participant background and ensuring comparability between the experimental and control groups prior to the intervention. Understanding the demographic distribution also helps in interpreting the generalisability of the findings related to TikTok-based multimodal microlearning. The results are shown in Table </w:t>
      </w:r>
      <w:r>
        <w:rPr>
          <w:rFonts w:ascii="Times New Roman" w:hAnsi="Times New Roman" w:cs="Times New Roman"/>
          <w:sz w:val="22"/>
          <w:szCs w:val="22"/>
        </w:rPr>
        <w:t>2.</w:t>
      </w:r>
    </w:p>
    <w:p w14:paraId="3AF1F7ED" w14:textId="14B3E72E" w:rsidR="00EC12F2" w:rsidRPr="00EC12F2" w:rsidRDefault="00EC12F2" w:rsidP="00EC12F2">
      <w:pPr>
        <w:jc w:val="both"/>
        <w:rPr>
          <w:rFonts w:ascii="Times New Roman" w:hAnsi="Times New Roman" w:cs="Times New Roman"/>
          <w:sz w:val="22"/>
          <w:szCs w:val="22"/>
        </w:rPr>
      </w:pPr>
      <w:r w:rsidRPr="00EC12F2">
        <w:rPr>
          <w:rFonts w:ascii="Times New Roman" w:hAnsi="Times New Roman" w:cs="Times New Roman"/>
          <w:sz w:val="22"/>
          <w:szCs w:val="22"/>
        </w:rPr>
        <w:t xml:space="preserve">Table </w:t>
      </w:r>
      <w:r w:rsidR="00991926">
        <w:rPr>
          <w:rFonts w:ascii="Times New Roman" w:hAnsi="Times New Roman" w:cs="Times New Roman"/>
          <w:sz w:val="22"/>
          <w:szCs w:val="22"/>
        </w:rPr>
        <w:t>2.</w:t>
      </w:r>
      <w:r w:rsidRPr="00EC12F2">
        <w:rPr>
          <w:rFonts w:ascii="Times New Roman" w:hAnsi="Times New Roman" w:cs="Times New Roman"/>
          <w:sz w:val="22"/>
          <w:szCs w:val="22"/>
        </w:rPr>
        <w:t xml:space="preserve"> Demographic Profile of Respondents</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696"/>
        <w:gridCol w:w="2410"/>
        <w:gridCol w:w="1985"/>
        <w:gridCol w:w="2976"/>
      </w:tblGrid>
      <w:tr w:rsidR="002249FC" w:rsidRPr="00EC12F2" w14:paraId="730170CB" w14:textId="77777777" w:rsidTr="002249FC">
        <w:trPr>
          <w:tblHeader/>
          <w:tblCellSpacing w:w="15" w:type="dxa"/>
        </w:trPr>
        <w:tc>
          <w:tcPr>
            <w:tcW w:w="1651" w:type="dxa"/>
            <w:vAlign w:val="center"/>
            <w:hideMark/>
          </w:tcPr>
          <w:p w14:paraId="037D2DBC"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Variable</w:t>
            </w:r>
          </w:p>
        </w:tc>
        <w:tc>
          <w:tcPr>
            <w:tcW w:w="2380" w:type="dxa"/>
            <w:vAlign w:val="center"/>
            <w:hideMark/>
          </w:tcPr>
          <w:p w14:paraId="74503C37"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Category</w:t>
            </w:r>
          </w:p>
        </w:tc>
        <w:tc>
          <w:tcPr>
            <w:tcW w:w="1955" w:type="dxa"/>
            <w:vAlign w:val="center"/>
            <w:hideMark/>
          </w:tcPr>
          <w:p w14:paraId="45230FA7"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Frequency (n)</w:t>
            </w:r>
          </w:p>
        </w:tc>
        <w:tc>
          <w:tcPr>
            <w:tcW w:w="2931" w:type="dxa"/>
            <w:vAlign w:val="center"/>
            <w:hideMark/>
          </w:tcPr>
          <w:p w14:paraId="6D1C554E"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Percentage (%)</w:t>
            </w:r>
          </w:p>
        </w:tc>
      </w:tr>
      <w:tr w:rsidR="002249FC" w:rsidRPr="00EC12F2" w14:paraId="5F3923D9" w14:textId="77777777" w:rsidTr="002249FC">
        <w:trPr>
          <w:tblCellSpacing w:w="15" w:type="dxa"/>
        </w:trPr>
        <w:tc>
          <w:tcPr>
            <w:tcW w:w="1651" w:type="dxa"/>
            <w:vAlign w:val="center"/>
            <w:hideMark/>
          </w:tcPr>
          <w:p w14:paraId="19510553"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Gender</w:t>
            </w:r>
          </w:p>
        </w:tc>
        <w:tc>
          <w:tcPr>
            <w:tcW w:w="2380" w:type="dxa"/>
            <w:vAlign w:val="center"/>
            <w:hideMark/>
          </w:tcPr>
          <w:p w14:paraId="5445F214"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Male</w:t>
            </w:r>
          </w:p>
        </w:tc>
        <w:tc>
          <w:tcPr>
            <w:tcW w:w="1955" w:type="dxa"/>
            <w:vAlign w:val="center"/>
            <w:hideMark/>
          </w:tcPr>
          <w:p w14:paraId="1A64DA8F"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28</w:t>
            </w:r>
          </w:p>
        </w:tc>
        <w:tc>
          <w:tcPr>
            <w:tcW w:w="2931" w:type="dxa"/>
            <w:vAlign w:val="center"/>
            <w:hideMark/>
          </w:tcPr>
          <w:p w14:paraId="2A216C01"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46.7</w:t>
            </w:r>
          </w:p>
        </w:tc>
      </w:tr>
      <w:tr w:rsidR="002249FC" w:rsidRPr="00EC12F2" w14:paraId="4313F08D" w14:textId="77777777" w:rsidTr="002249FC">
        <w:trPr>
          <w:tblCellSpacing w:w="15" w:type="dxa"/>
        </w:trPr>
        <w:tc>
          <w:tcPr>
            <w:tcW w:w="1651" w:type="dxa"/>
            <w:vAlign w:val="center"/>
            <w:hideMark/>
          </w:tcPr>
          <w:p w14:paraId="2E213298"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Gender</w:t>
            </w:r>
          </w:p>
        </w:tc>
        <w:tc>
          <w:tcPr>
            <w:tcW w:w="2380" w:type="dxa"/>
            <w:vAlign w:val="center"/>
            <w:hideMark/>
          </w:tcPr>
          <w:p w14:paraId="4A9EC73C"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Female</w:t>
            </w:r>
          </w:p>
        </w:tc>
        <w:tc>
          <w:tcPr>
            <w:tcW w:w="1955" w:type="dxa"/>
            <w:vAlign w:val="center"/>
            <w:hideMark/>
          </w:tcPr>
          <w:p w14:paraId="484E36B7"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32</w:t>
            </w:r>
          </w:p>
        </w:tc>
        <w:tc>
          <w:tcPr>
            <w:tcW w:w="2931" w:type="dxa"/>
            <w:vAlign w:val="center"/>
            <w:hideMark/>
          </w:tcPr>
          <w:p w14:paraId="7B95F639"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53.3</w:t>
            </w:r>
          </w:p>
        </w:tc>
      </w:tr>
      <w:tr w:rsidR="002249FC" w:rsidRPr="00EC12F2" w14:paraId="6C961068" w14:textId="77777777" w:rsidTr="002249FC">
        <w:trPr>
          <w:tblCellSpacing w:w="15" w:type="dxa"/>
        </w:trPr>
        <w:tc>
          <w:tcPr>
            <w:tcW w:w="1651" w:type="dxa"/>
            <w:vAlign w:val="center"/>
            <w:hideMark/>
          </w:tcPr>
          <w:p w14:paraId="6F003733"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lastRenderedPageBreak/>
              <w:t>Age</w:t>
            </w:r>
          </w:p>
        </w:tc>
        <w:tc>
          <w:tcPr>
            <w:tcW w:w="2380" w:type="dxa"/>
            <w:vAlign w:val="center"/>
            <w:hideMark/>
          </w:tcPr>
          <w:p w14:paraId="76528188"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16–17</w:t>
            </w:r>
          </w:p>
        </w:tc>
        <w:tc>
          <w:tcPr>
            <w:tcW w:w="1955" w:type="dxa"/>
            <w:vAlign w:val="center"/>
            <w:hideMark/>
          </w:tcPr>
          <w:p w14:paraId="56402EB9"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18</w:t>
            </w:r>
          </w:p>
        </w:tc>
        <w:tc>
          <w:tcPr>
            <w:tcW w:w="2931" w:type="dxa"/>
            <w:vAlign w:val="center"/>
            <w:hideMark/>
          </w:tcPr>
          <w:p w14:paraId="774D53D5"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30.0</w:t>
            </w:r>
          </w:p>
        </w:tc>
      </w:tr>
      <w:tr w:rsidR="002249FC" w:rsidRPr="00EC12F2" w14:paraId="5FED50DC" w14:textId="77777777" w:rsidTr="002249FC">
        <w:trPr>
          <w:tblCellSpacing w:w="15" w:type="dxa"/>
        </w:trPr>
        <w:tc>
          <w:tcPr>
            <w:tcW w:w="1651" w:type="dxa"/>
            <w:vAlign w:val="center"/>
            <w:hideMark/>
          </w:tcPr>
          <w:p w14:paraId="5400538D"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Age</w:t>
            </w:r>
          </w:p>
        </w:tc>
        <w:tc>
          <w:tcPr>
            <w:tcW w:w="2380" w:type="dxa"/>
            <w:vAlign w:val="center"/>
            <w:hideMark/>
          </w:tcPr>
          <w:p w14:paraId="2B92261C"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18–20</w:t>
            </w:r>
          </w:p>
        </w:tc>
        <w:tc>
          <w:tcPr>
            <w:tcW w:w="1955" w:type="dxa"/>
            <w:vAlign w:val="center"/>
            <w:hideMark/>
          </w:tcPr>
          <w:p w14:paraId="20CCCA81"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42</w:t>
            </w:r>
          </w:p>
        </w:tc>
        <w:tc>
          <w:tcPr>
            <w:tcW w:w="2931" w:type="dxa"/>
            <w:vAlign w:val="center"/>
            <w:hideMark/>
          </w:tcPr>
          <w:p w14:paraId="6B817188"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70.0</w:t>
            </w:r>
          </w:p>
        </w:tc>
      </w:tr>
      <w:tr w:rsidR="002249FC" w:rsidRPr="00EC12F2" w14:paraId="0CD83513" w14:textId="77777777" w:rsidTr="002249FC">
        <w:trPr>
          <w:tblCellSpacing w:w="15" w:type="dxa"/>
        </w:trPr>
        <w:tc>
          <w:tcPr>
            <w:tcW w:w="1651" w:type="dxa"/>
            <w:vAlign w:val="center"/>
            <w:hideMark/>
          </w:tcPr>
          <w:p w14:paraId="2E43FBB0"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English Level</w:t>
            </w:r>
          </w:p>
        </w:tc>
        <w:tc>
          <w:tcPr>
            <w:tcW w:w="2380" w:type="dxa"/>
            <w:vAlign w:val="center"/>
            <w:hideMark/>
          </w:tcPr>
          <w:p w14:paraId="011B5AC5"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Intermediate</w:t>
            </w:r>
          </w:p>
        </w:tc>
        <w:tc>
          <w:tcPr>
            <w:tcW w:w="1955" w:type="dxa"/>
            <w:vAlign w:val="center"/>
            <w:hideMark/>
          </w:tcPr>
          <w:p w14:paraId="1175E427"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60</w:t>
            </w:r>
          </w:p>
        </w:tc>
        <w:tc>
          <w:tcPr>
            <w:tcW w:w="2931" w:type="dxa"/>
            <w:vAlign w:val="center"/>
            <w:hideMark/>
          </w:tcPr>
          <w:p w14:paraId="72BE6290"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100</w:t>
            </w:r>
          </w:p>
        </w:tc>
      </w:tr>
    </w:tbl>
    <w:p w14:paraId="2F430360" w14:textId="77777777" w:rsidR="007049E0" w:rsidRDefault="007049E0" w:rsidP="00E76B2D">
      <w:pPr>
        <w:jc w:val="both"/>
        <w:rPr>
          <w:rFonts w:ascii="Times New Roman" w:hAnsi="Times New Roman" w:cs="Times New Roman"/>
          <w:sz w:val="22"/>
          <w:szCs w:val="22"/>
        </w:rPr>
      </w:pPr>
    </w:p>
    <w:p w14:paraId="34133C25" w14:textId="51966754" w:rsidR="00D74D67" w:rsidRPr="00D74D67" w:rsidRDefault="00D74D67" w:rsidP="00D74D67">
      <w:pPr>
        <w:jc w:val="both"/>
        <w:rPr>
          <w:rFonts w:ascii="Times New Roman" w:hAnsi="Times New Roman" w:cs="Times New Roman"/>
          <w:sz w:val="22"/>
          <w:szCs w:val="22"/>
        </w:rPr>
      </w:pPr>
      <w:r w:rsidRPr="00D74D67">
        <w:rPr>
          <w:rFonts w:ascii="Times New Roman" w:hAnsi="Times New Roman" w:cs="Times New Roman"/>
          <w:sz w:val="22"/>
          <w:szCs w:val="22"/>
        </w:rPr>
        <w:t xml:space="preserve">Table </w:t>
      </w:r>
      <w:r>
        <w:rPr>
          <w:rFonts w:ascii="Times New Roman" w:hAnsi="Times New Roman" w:cs="Times New Roman"/>
          <w:sz w:val="22"/>
          <w:szCs w:val="22"/>
        </w:rPr>
        <w:t>2</w:t>
      </w:r>
      <w:r w:rsidRPr="00D74D67">
        <w:rPr>
          <w:rFonts w:ascii="Times New Roman" w:hAnsi="Times New Roman" w:cs="Times New Roman"/>
          <w:sz w:val="22"/>
          <w:szCs w:val="22"/>
        </w:rPr>
        <w:t xml:space="preserve"> represents the demographic distribution of respondents involved in this study, focusing on gender, age, and English proficiency level. These demographic variables are important because they provide a foundational understanding of the sample composition and help ensure that the experimental and control groups are comparable prior to the intervention. In addition, demographic information is essential in interpreting whether variations in learning outcomes may be influenced by participant background characteristics rather than the treatment effect alone.</w:t>
      </w:r>
    </w:p>
    <w:p w14:paraId="60F7152E" w14:textId="0F9392B9" w:rsidR="00D74D67" w:rsidRPr="00D74D67" w:rsidRDefault="00D74D67" w:rsidP="00D74D67">
      <w:pPr>
        <w:jc w:val="both"/>
        <w:rPr>
          <w:rFonts w:ascii="Times New Roman" w:hAnsi="Times New Roman" w:cs="Times New Roman"/>
          <w:sz w:val="22"/>
          <w:szCs w:val="22"/>
        </w:rPr>
      </w:pPr>
      <w:r w:rsidRPr="00D74D67">
        <w:rPr>
          <w:rFonts w:ascii="Times New Roman" w:hAnsi="Times New Roman" w:cs="Times New Roman"/>
          <w:sz w:val="22"/>
          <w:szCs w:val="22"/>
        </w:rPr>
        <w:t xml:space="preserve">The results in Table </w:t>
      </w:r>
      <w:r>
        <w:rPr>
          <w:rFonts w:ascii="Times New Roman" w:hAnsi="Times New Roman" w:cs="Times New Roman"/>
          <w:sz w:val="22"/>
          <w:szCs w:val="22"/>
        </w:rPr>
        <w:t>2</w:t>
      </w:r>
      <w:r w:rsidRPr="00D74D67">
        <w:rPr>
          <w:rFonts w:ascii="Times New Roman" w:hAnsi="Times New Roman" w:cs="Times New Roman"/>
          <w:sz w:val="22"/>
          <w:szCs w:val="22"/>
        </w:rPr>
        <w:t xml:space="preserve"> indicate that the sample is relatively balanced in terms of gender distribution, with a slight predominance of female participants. This balance is important because it reduces potential gender bias in language learning performance, particularly in pronunciation-based tasks such as word stress acquisition.</w:t>
      </w:r>
    </w:p>
    <w:p w14:paraId="01F47954" w14:textId="77777777" w:rsidR="00D74D67" w:rsidRPr="00D74D67" w:rsidRDefault="00D74D67" w:rsidP="00D74D67">
      <w:pPr>
        <w:jc w:val="both"/>
        <w:rPr>
          <w:rFonts w:ascii="Times New Roman" w:hAnsi="Times New Roman" w:cs="Times New Roman"/>
          <w:sz w:val="22"/>
          <w:szCs w:val="22"/>
        </w:rPr>
      </w:pPr>
      <w:r w:rsidRPr="00D74D67">
        <w:rPr>
          <w:rFonts w:ascii="Times New Roman" w:hAnsi="Times New Roman" w:cs="Times New Roman"/>
          <w:sz w:val="22"/>
          <w:szCs w:val="22"/>
        </w:rPr>
        <w:t>In terms of age distribution, the majority of respondents fall within the 18–20 age group, while a smaller proportion belongs to the 16–17 age category. This suggests that the study mainly involves late adolescents who are at a cognitively suitable stage for abstract language processing and phonological development. The presence of younger learners also introduces some variability, which may provide additional insight into how age-related cognitive maturity influences pronunciation acquisition.</w:t>
      </w:r>
    </w:p>
    <w:p w14:paraId="5EB275C6" w14:textId="28490C9E" w:rsidR="00EC12F2" w:rsidRPr="00022D45" w:rsidRDefault="00D74D67" w:rsidP="00EC12F2">
      <w:pPr>
        <w:jc w:val="both"/>
        <w:rPr>
          <w:rFonts w:ascii="Times New Roman" w:hAnsi="Times New Roman" w:cs="Times New Roman"/>
          <w:sz w:val="22"/>
          <w:szCs w:val="22"/>
        </w:rPr>
      </w:pPr>
      <w:r w:rsidRPr="00D74D67">
        <w:rPr>
          <w:rFonts w:ascii="Times New Roman" w:hAnsi="Times New Roman" w:cs="Times New Roman"/>
          <w:sz w:val="22"/>
          <w:szCs w:val="22"/>
        </w:rPr>
        <w:t>All participants are classified at the intermediate English proficiency level. This homogeneity is particularly important because it ensures that differences in post-test performance are more likely to be attributed to the instructional intervention (TikTok-based microlearning) rather than pre-existing language ability differences. Overall, the demographic results confirm that the sample is appropriate and well-balanced for experimental comparison.</w:t>
      </w:r>
    </w:p>
    <w:p w14:paraId="188C5083" w14:textId="2594F61D" w:rsidR="00EC12F2" w:rsidRPr="00EC12F2" w:rsidRDefault="00EC12F2" w:rsidP="00EC12F2">
      <w:pPr>
        <w:jc w:val="both"/>
        <w:rPr>
          <w:rFonts w:ascii="Times New Roman" w:hAnsi="Times New Roman" w:cs="Times New Roman"/>
          <w:b/>
          <w:bCs/>
          <w:sz w:val="22"/>
          <w:szCs w:val="22"/>
        </w:rPr>
      </w:pPr>
      <w:r w:rsidRPr="00EC12F2">
        <w:rPr>
          <w:rFonts w:ascii="Times New Roman" w:hAnsi="Times New Roman" w:cs="Times New Roman"/>
          <w:b/>
          <w:bCs/>
          <w:sz w:val="22"/>
          <w:szCs w:val="22"/>
        </w:rPr>
        <w:t>Descriptive Statistics of Pre-Test and Post-Test Scores</w:t>
      </w:r>
    </w:p>
    <w:p w14:paraId="2979B5A3" w14:textId="1575E291" w:rsidR="002249FC" w:rsidRDefault="00EC12F2" w:rsidP="00EC12F2">
      <w:pPr>
        <w:jc w:val="both"/>
        <w:rPr>
          <w:rFonts w:ascii="Times New Roman" w:hAnsi="Times New Roman" w:cs="Times New Roman"/>
          <w:sz w:val="22"/>
          <w:szCs w:val="22"/>
        </w:rPr>
      </w:pPr>
      <w:r w:rsidRPr="00EC12F2">
        <w:rPr>
          <w:rFonts w:ascii="Times New Roman" w:hAnsi="Times New Roman" w:cs="Times New Roman"/>
          <w:sz w:val="22"/>
          <w:szCs w:val="22"/>
        </w:rPr>
        <w:t xml:space="preserve">Table </w:t>
      </w:r>
      <w:r w:rsidR="00D74D67">
        <w:rPr>
          <w:rFonts w:ascii="Times New Roman" w:hAnsi="Times New Roman" w:cs="Times New Roman"/>
          <w:sz w:val="22"/>
          <w:szCs w:val="22"/>
        </w:rPr>
        <w:t>3</w:t>
      </w:r>
      <w:r w:rsidRPr="00EC12F2">
        <w:rPr>
          <w:rFonts w:ascii="Times New Roman" w:hAnsi="Times New Roman" w:cs="Times New Roman"/>
          <w:sz w:val="22"/>
          <w:szCs w:val="22"/>
        </w:rPr>
        <w:t xml:space="preserve"> shows the mean scores and standard deviations of participants’ performance in both production and perception tasks for pre-test and post-test stages. This table allows an initial overview of performance trends before conducting inferential statistics.</w:t>
      </w:r>
    </w:p>
    <w:p w14:paraId="3164A5C0" w14:textId="79DCDF91" w:rsidR="00EC12F2" w:rsidRPr="00EC12F2" w:rsidRDefault="00EC12F2" w:rsidP="00EC12F2">
      <w:pPr>
        <w:jc w:val="both"/>
        <w:rPr>
          <w:rFonts w:ascii="Times New Roman" w:hAnsi="Times New Roman" w:cs="Times New Roman"/>
          <w:sz w:val="22"/>
          <w:szCs w:val="22"/>
        </w:rPr>
      </w:pPr>
      <w:r w:rsidRPr="00EC12F2">
        <w:rPr>
          <w:rFonts w:ascii="Times New Roman" w:hAnsi="Times New Roman" w:cs="Times New Roman"/>
          <w:sz w:val="22"/>
          <w:szCs w:val="22"/>
        </w:rPr>
        <w:t xml:space="preserve">Table </w:t>
      </w:r>
      <w:r w:rsidR="00D74D67">
        <w:rPr>
          <w:rFonts w:ascii="Times New Roman" w:hAnsi="Times New Roman" w:cs="Times New Roman"/>
          <w:sz w:val="22"/>
          <w:szCs w:val="22"/>
        </w:rPr>
        <w:t>3</w:t>
      </w:r>
      <w:r w:rsidR="002249FC">
        <w:rPr>
          <w:rFonts w:ascii="Times New Roman" w:hAnsi="Times New Roman" w:cs="Times New Roman"/>
          <w:sz w:val="22"/>
          <w:szCs w:val="22"/>
        </w:rPr>
        <w:t>.</w:t>
      </w:r>
      <w:r w:rsidRPr="00EC12F2">
        <w:rPr>
          <w:rFonts w:ascii="Times New Roman" w:hAnsi="Times New Roman" w:cs="Times New Roman"/>
          <w:sz w:val="22"/>
          <w:szCs w:val="22"/>
        </w:rPr>
        <w:t xml:space="preserve"> Descriptive Statistics of Pre-Test and Post-Test Scores</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1701"/>
        <w:gridCol w:w="1701"/>
        <w:gridCol w:w="2268"/>
        <w:gridCol w:w="1842"/>
      </w:tblGrid>
      <w:tr w:rsidR="002249FC" w:rsidRPr="00EC12F2" w14:paraId="7A22EB55" w14:textId="77777777" w:rsidTr="00022D45">
        <w:trPr>
          <w:tblHeader/>
          <w:tblCellSpacing w:w="15" w:type="dxa"/>
        </w:trPr>
        <w:tc>
          <w:tcPr>
            <w:tcW w:w="1510" w:type="dxa"/>
            <w:vAlign w:val="center"/>
            <w:hideMark/>
          </w:tcPr>
          <w:p w14:paraId="570C8C80"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Group</w:t>
            </w:r>
          </w:p>
        </w:tc>
        <w:tc>
          <w:tcPr>
            <w:tcW w:w="1671" w:type="dxa"/>
            <w:vAlign w:val="center"/>
            <w:hideMark/>
          </w:tcPr>
          <w:p w14:paraId="1776E16B"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Pre-Test Mean</w:t>
            </w:r>
          </w:p>
        </w:tc>
        <w:tc>
          <w:tcPr>
            <w:tcW w:w="1671" w:type="dxa"/>
            <w:vAlign w:val="center"/>
            <w:hideMark/>
          </w:tcPr>
          <w:p w14:paraId="46B29452"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SD</w:t>
            </w:r>
          </w:p>
        </w:tc>
        <w:tc>
          <w:tcPr>
            <w:tcW w:w="2238" w:type="dxa"/>
            <w:vAlign w:val="center"/>
            <w:hideMark/>
          </w:tcPr>
          <w:p w14:paraId="4BF0EE72"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Post-Test Mean</w:t>
            </w:r>
          </w:p>
        </w:tc>
        <w:tc>
          <w:tcPr>
            <w:tcW w:w="1797" w:type="dxa"/>
            <w:vAlign w:val="center"/>
            <w:hideMark/>
          </w:tcPr>
          <w:p w14:paraId="74F87163"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SD</w:t>
            </w:r>
          </w:p>
        </w:tc>
      </w:tr>
      <w:tr w:rsidR="002249FC" w:rsidRPr="00EC12F2" w14:paraId="299BCFA7" w14:textId="77777777" w:rsidTr="00022D45">
        <w:trPr>
          <w:tblCellSpacing w:w="15" w:type="dxa"/>
        </w:trPr>
        <w:tc>
          <w:tcPr>
            <w:tcW w:w="1510" w:type="dxa"/>
            <w:vAlign w:val="center"/>
            <w:hideMark/>
          </w:tcPr>
          <w:p w14:paraId="28AB0C33"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Experimental</w:t>
            </w:r>
          </w:p>
        </w:tc>
        <w:tc>
          <w:tcPr>
            <w:tcW w:w="1671" w:type="dxa"/>
            <w:vAlign w:val="center"/>
            <w:hideMark/>
          </w:tcPr>
          <w:p w14:paraId="44FFBECB"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58.20</w:t>
            </w:r>
          </w:p>
        </w:tc>
        <w:tc>
          <w:tcPr>
            <w:tcW w:w="1671" w:type="dxa"/>
            <w:vAlign w:val="center"/>
            <w:hideMark/>
          </w:tcPr>
          <w:p w14:paraId="2247496A"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5.12</w:t>
            </w:r>
          </w:p>
        </w:tc>
        <w:tc>
          <w:tcPr>
            <w:tcW w:w="2238" w:type="dxa"/>
            <w:vAlign w:val="center"/>
            <w:hideMark/>
          </w:tcPr>
          <w:p w14:paraId="23D82EEB"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82.50</w:t>
            </w:r>
          </w:p>
        </w:tc>
        <w:tc>
          <w:tcPr>
            <w:tcW w:w="1797" w:type="dxa"/>
            <w:vAlign w:val="center"/>
            <w:hideMark/>
          </w:tcPr>
          <w:p w14:paraId="378CA4D2"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4.36</w:t>
            </w:r>
          </w:p>
        </w:tc>
      </w:tr>
      <w:tr w:rsidR="002249FC" w:rsidRPr="00EC12F2" w14:paraId="05DB2323" w14:textId="77777777" w:rsidTr="00022D45">
        <w:trPr>
          <w:tblCellSpacing w:w="15" w:type="dxa"/>
        </w:trPr>
        <w:tc>
          <w:tcPr>
            <w:tcW w:w="1510" w:type="dxa"/>
            <w:vAlign w:val="center"/>
            <w:hideMark/>
          </w:tcPr>
          <w:p w14:paraId="5979F875"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Control</w:t>
            </w:r>
          </w:p>
        </w:tc>
        <w:tc>
          <w:tcPr>
            <w:tcW w:w="1671" w:type="dxa"/>
            <w:vAlign w:val="center"/>
            <w:hideMark/>
          </w:tcPr>
          <w:p w14:paraId="373D8296"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57.90</w:t>
            </w:r>
          </w:p>
        </w:tc>
        <w:tc>
          <w:tcPr>
            <w:tcW w:w="1671" w:type="dxa"/>
            <w:vAlign w:val="center"/>
            <w:hideMark/>
          </w:tcPr>
          <w:p w14:paraId="4DC7856A"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5.30</w:t>
            </w:r>
          </w:p>
        </w:tc>
        <w:tc>
          <w:tcPr>
            <w:tcW w:w="2238" w:type="dxa"/>
            <w:vAlign w:val="center"/>
            <w:hideMark/>
          </w:tcPr>
          <w:p w14:paraId="7A5613F0"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65.10</w:t>
            </w:r>
          </w:p>
        </w:tc>
        <w:tc>
          <w:tcPr>
            <w:tcW w:w="1797" w:type="dxa"/>
            <w:vAlign w:val="center"/>
            <w:hideMark/>
          </w:tcPr>
          <w:p w14:paraId="5347D59F"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5.01</w:t>
            </w:r>
          </w:p>
        </w:tc>
      </w:tr>
    </w:tbl>
    <w:p w14:paraId="1C8D1ECE" w14:textId="77777777" w:rsidR="00E66347" w:rsidRDefault="00E66347" w:rsidP="002249FC">
      <w:pPr>
        <w:jc w:val="both"/>
        <w:rPr>
          <w:rFonts w:ascii="Times New Roman" w:hAnsi="Times New Roman" w:cs="Times New Roman"/>
          <w:sz w:val="22"/>
          <w:szCs w:val="22"/>
        </w:rPr>
      </w:pPr>
    </w:p>
    <w:p w14:paraId="76D30839" w14:textId="0BF04B80" w:rsidR="002249FC" w:rsidRPr="002249FC" w:rsidRDefault="002249FC" w:rsidP="002249FC">
      <w:pPr>
        <w:jc w:val="both"/>
        <w:rPr>
          <w:rFonts w:ascii="Times New Roman" w:hAnsi="Times New Roman" w:cs="Times New Roman"/>
          <w:sz w:val="22"/>
          <w:szCs w:val="22"/>
        </w:rPr>
      </w:pPr>
      <w:r w:rsidRPr="002249FC">
        <w:rPr>
          <w:rFonts w:ascii="Times New Roman" w:hAnsi="Times New Roman" w:cs="Times New Roman"/>
          <w:sz w:val="22"/>
          <w:szCs w:val="22"/>
        </w:rPr>
        <w:t xml:space="preserve">Table </w:t>
      </w:r>
      <w:r>
        <w:rPr>
          <w:rFonts w:ascii="Times New Roman" w:hAnsi="Times New Roman" w:cs="Times New Roman"/>
          <w:sz w:val="22"/>
          <w:szCs w:val="22"/>
        </w:rPr>
        <w:t>3</w:t>
      </w:r>
      <w:r w:rsidRPr="002249FC">
        <w:rPr>
          <w:rFonts w:ascii="Times New Roman" w:hAnsi="Times New Roman" w:cs="Times New Roman"/>
          <w:sz w:val="22"/>
          <w:szCs w:val="22"/>
        </w:rPr>
        <w:t xml:space="preserve"> represents the descriptive statistics of learners’ performance in English word stress production and perception before and after the intervention. This table is important because it provides an initial </w:t>
      </w:r>
      <w:r w:rsidRPr="002249FC">
        <w:rPr>
          <w:rFonts w:ascii="Times New Roman" w:hAnsi="Times New Roman" w:cs="Times New Roman"/>
          <w:sz w:val="22"/>
          <w:szCs w:val="22"/>
        </w:rPr>
        <w:lastRenderedPageBreak/>
        <w:t>overview of learning progress without applying inferential statistical tests. It allows for an understanding of whether there are observable trends in performance improvement across the experimental and control groups.</w:t>
      </w:r>
    </w:p>
    <w:p w14:paraId="18EF7CE1" w14:textId="77777777" w:rsidR="002249FC" w:rsidRPr="002249FC" w:rsidRDefault="002249FC" w:rsidP="002249FC">
      <w:pPr>
        <w:jc w:val="both"/>
        <w:rPr>
          <w:rFonts w:ascii="Times New Roman" w:hAnsi="Times New Roman" w:cs="Times New Roman"/>
          <w:sz w:val="22"/>
          <w:szCs w:val="22"/>
        </w:rPr>
      </w:pPr>
      <w:r w:rsidRPr="002249FC">
        <w:rPr>
          <w:rFonts w:ascii="Times New Roman" w:hAnsi="Times New Roman" w:cs="Times New Roman"/>
          <w:sz w:val="22"/>
          <w:szCs w:val="22"/>
        </w:rPr>
        <w:t>The results show that both groups started with very similar pre-test mean scores, indicating that their initial level of word stress knowledge was nearly equivalent. This is a critical requirement in quasi-experimental research, as it ensures baseline equivalence between groups and strengthens the validity of the comparison.</w:t>
      </w:r>
    </w:p>
    <w:p w14:paraId="3696751E" w14:textId="77777777" w:rsidR="002249FC" w:rsidRPr="002249FC" w:rsidRDefault="002249FC" w:rsidP="002249FC">
      <w:pPr>
        <w:jc w:val="both"/>
        <w:rPr>
          <w:rFonts w:ascii="Times New Roman" w:hAnsi="Times New Roman" w:cs="Times New Roman"/>
          <w:sz w:val="22"/>
          <w:szCs w:val="22"/>
        </w:rPr>
      </w:pPr>
      <w:r w:rsidRPr="002249FC">
        <w:rPr>
          <w:rFonts w:ascii="Times New Roman" w:hAnsi="Times New Roman" w:cs="Times New Roman"/>
          <w:sz w:val="22"/>
          <w:szCs w:val="22"/>
        </w:rPr>
        <w:t>However, after the intervention, a clear divergence in performance emerges. The experimental group shows a substantial increase in mean scores, while the control group demonstrates only a modest improvement. This pattern suggests that exposure to TikTok-based multimodal microlearning had a significant positive effect on learners’ ability to acquire English word stress patterns.</w:t>
      </w:r>
    </w:p>
    <w:p w14:paraId="7F6CC0DF" w14:textId="37AF21E4" w:rsidR="00EC12F2" w:rsidRPr="00022D45" w:rsidRDefault="002249FC" w:rsidP="00E76B2D">
      <w:pPr>
        <w:jc w:val="both"/>
        <w:rPr>
          <w:rFonts w:ascii="Times New Roman" w:hAnsi="Times New Roman" w:cs="Times New Roman"/>
          <w:sz w:val="22"/>
          <w:szCs w:val="22"/>
        </w:rPr>
      </w:pPr>
      <w:r w:rsidRPr="002249FC">
        <w:rPr>
          <w:rFonts w:ascii="Times New Roman" w:hAnsi="Times New Roman" w:cs="Times New Roman"/>
          <w:sz w:val="22"/>
          <w:szCs w:val="22"/>
        </w:rPr>
        <w:t>The relatively small standard deviation in the post-test scores of the experimental group also suggests that learners responded more consistently to the intervention. This may indicate that TikTok-based learning provides a more standardised and accessible form of input compared to traditional classroom instruction, which often varies in delivery effectiveness.</w:t>
      </w:r>
    </w:p>
    <w:p w14:paraId="3099F111" w14:textId="73F81F52" w:rsidR="00EC12F2" w:rsidRDefault="00EC12F2" w:rsidP="00E76B2D">
      <w:pPr>
        <w:jc w:val="both"/>
        <w:rPr>
          <w:rFonts w:ascii="Times New Roman" w:hAnsi="Times New Roman" w:cs="Times New Roman"/>
          <w:b/>
          <w:bCs/>
          <w:sz w:val="22"/>
          <w:szCs w:val="22"/>
        </w:rPr>
      </w:pPr>
      <w:r w:rsidRPr="00EC12F2">
        <w:rPr>
          <w:rFonts w:ascii="Times New Roman" w:hAnsi="Times New Roman" w:cs="Times New Roman"/>
          <w:b/>
          <w:bCs/>
          <w:sz w:val="22"/>
          <w:szCs w:val="22"/>
        </w:rPr>
        <w:t>Correlation Analysis</w:t>
      </w:r>
    </w:p>
    <w:p w14:paraId="78369742" w14:textId="3D3A00B6" w:rsidR="002249FC" w:rsidRDefault="00EC12F2" w:rsidP="00EC12F2">
      <w:pPr>
        <w:jc w:val="both"/>
        <w:rPr>
          <w:rFonts w:ascii="Times New Roman" w:hAnsi="Times New Roman" w:cs="Times New Roman"/>
          <w:sz w:val="22"/>
          <w:szCs w:val="22"/>
        </w:rPr>
      </w:pPr>
      <w:r w:rsidRPr="00EC12F2">
        <w:rPr>
          <w:rFonts w:ascii="Times New Roman" w:hAnsi="Times New Roman" w:cs="Times New Roman"/>
          <w:sz w:val="22"/>
          <w:szCs w:val="22"/>
        </w:rPr>
        <w:t>Table 4 presents the Pearson correlation coefficients among learner engagement, production performance, and perception performance. The purpose is to examine the strength and direction of the relationships between these key variables.</w:t>
      </w:r>
    </w:p>
    <w:p w14:paraId="7E3F6B80" w14:textId="5770EEDB" w:rsidR="00EC12F2" w:rsidRPr="00EC12F2" w:rsidRDefault="00EC12F2" w:rsidP="00EC12F2">
      <w:pPr>
        <w:jc w:val="both"/>
        <w:rPr>
          <w:rFonts w:ascii="Times New Roman" w:hAnsi="Times New Roman" w:cs="Times New Roman"/>
          <w:sz w:val="22"/>
          <w:szCs w:val="22"/>
        </w:rPr>
      </w:pPr>
      <w:r w:rsidRPr="00EC12F2">
        <w:rPr>
          <w:rFonts w:ascii="Times New Roman" w:hAnsi="Times New Roman" w:cs="Times New Roman"/>
          <w:sz w:val="22"/>
          <w:szCs w:val="22"/>
        </w:rPr>
        <w:t>Table 4</w:t>
      </w:r>
      <w:r w:rsidR="002249FC">
        <w:rPr>
          <w:rFonts w:ascii="Times New Roman" w:hAnsi="Times New Roman" w:cs="Times New Roman"/>
          <w:sz w:val="22"/>
          <w:szCs w:val="22"/>
        </w:rPr>
        <w:t>.</w:t>
      </w:r>
      <w:r w:rsidR="002249FC" w:rsidRPr="002249FC">
        <w:rPr>
          <w:rFonts w:ascii="Times New Roman" w:hAnsi="Times New Roman" w:cs="Times New Roman"/>
          <w:sz w:val="22"/>
          <w:szCs w:val="22"/>
        </w:rPr>
        <w:t xml:space="preserve"> </w:t>
      </w:r>
      <w:r w:rsidRPr="00EC12F2">
        <w:rPr>
          <w:rFonts w:ascii="Times New Roman" w:hAnsi="Times New Roman" w:cs="Times New Roman"/>
          <w:sz w:val="22"/>
          <w:szCs w:val="22"/>
        </w:rPr>
        <w:t>Correlation Matrix</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7"/>
        <w:gridCol w:w="2268"/>
        <w:gridCol w:w="2126"/>
        <w:gridCol w:w="1985"/>
      </w:tblGrid>
      <w:tr w:rsidR="002249FC" w:rsidRPr="00EC12F2" w14:paraId="1368AF16" w14:textId="77777777" w:rsidTr="002249FC">
        <w:trPr>
          <w:tblHeader/>
          <w:tblCellSpacing w:w="15" w:type="dxa"/>
        </w:trPr>
        <w:tc>
          <w:tcPr>
            <w:tcW w:w="2502" w:type="dxa"/>
            <w:vAlign w:val="center"/>
            <w:hideMark/>
          </w:tcPr>
          <w:p w14:paraId="28641702"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Variables</w:t>
            </w:r>
          </w:p>
        </w:tc>
        <w:tc>
          <w:tcPr>
            <w:tcW w:w="2238" w:type="dxa"/>
            <w:vAlign w:val="center"/>
            <w:hideMark/>
          </w:tcPr>
          <w:p w14:paraId="22D382EB"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Engagement</w:t>
            </w:r>
          </w:p>
        </w:tc>
        <w:tc>
          <w:tcPr>
            <w:tcW w:w="2096" w:type="dxa"/>
            <w:vAlign w:val="center"/>
            <w:hideMark/>
          </w:tcPr>
          <w:p w14:paraId="27522706"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Production</w:t>
            </w:r>
          </w:p>
        </w:tc>
        <w:tc>
          <w:tcPr>
            <w:tcW w:w="1940" w:type="dxa"/>
            <w:vAlign w:val="center"/>
            <w:hideMark/>
          </w:tcPr>
          <w:p w14:paraId="15AFC6C2"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Perception</w:t>
            </w:r>
          </w:p>
        </w:tc>
      </w:tr>
      <w:tr w:rsidR="002249FC" w:rsidRPr="00EC12F2" w14:paraId="1B52C0FB" w14:textId="77777777" w:rsidTr="002249FC">
        <w:trPr>
          <w:tblCellSpacing w:w="15" w:type="dxa"/>
        </w:trPr>
        <w:tc>
          <w:tcPr>
            <w:tcW w:w="2502" w:type="dxa"/>
            <w:vAlign w:val="center"/>
            <w:hideMark/>
          </w:tcPr>
          <w:p w14:paraId="321191B8"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Engagement</w:t>
            </w:r>
          </w:p>
        </w:tc>
        <w:tc>
          <w:tcPr>
            <w:tcW w:w="2238" w:type="dxa"/>
            <w:vAlign w:val="center"/>
            <w:hideMark/>
          </w:tcPr>
          <w:p w14:paraId="6710188F"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1.000</w:t>
            </w:r>
          </w:p>
        </w:tc>
        <w:tc>
          <w:tcPr>
            <w:tcW w:w="2096" w:type="dxa"/>
            <w:vAlign w:val="center"/>
            <w:hideMark/>
          </w:tcPr>
          <w:p w14:paraId="6F8B022F"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0.68**</w:t>
            </w:r>
          </w:p>
        </w:tc>
        <w:tc>
          <w:tcPr>
            <w:tcW w:w="1940" w:type="dxa"/>
            <w:vAlign w:val="center"/>
            <w:hideMark/>
          </w:tcPr>
          <w:p w14:paraId="42DFB5EB"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0.72**</w:t>
            </w:r>
          </w:p>
        </w:tc>
      </w:tr>
      <w:tr w:rsidR="002249FC" w:rsidRPr="00EC12F2" w14:paraId="063C1C85" w14:textId="77777777" w:rsidTr="002249FC">
        <w:trPr>
          <w:tblCellSpacing w:w="15" w:type="dxa"/>
        </w:trPr>
        <w:tc>
          <w:tcPr>
            <w:tcW w:w="2502" w:type="dxa"/>
            <w:vAlign w:val="center"/>
            <w:hideMark/>
          </w:tcPr>
          <w:p w14:paraId="50C21109"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Production</w:t>
            </w:r>
          </w:p>
        </w:tc>
        <w:tc>
          <w:tcPr>
            <w:tcW w:w="2238" w:type="dxa"/>
            <w:vAlign w:val="center"/>
            <w:hideMark/>
          </w:tcPr>
          <w:p w14:paraId="4014546C"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0.68**</w:t>
            </w:r>
          </w:p>
        </w:tc>
        <w:tc>
          <w:tcPr>
            <w:tcW w:w="2096" w:type="dxa"/>
            <w:vAlign w:val="center"/>
            <w:hideMark/>
          </w:tcPr>
          <w:p w14:paraId="66F77804"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1.000</w:t>
            </w:r>
          </w:p>
        </w:tc>
        <w:tc>
          <w:tcPr>
            <w:tcW w:w="1940" w:type="dxa"/>
            <w:vAlign w:val="center"/>
            <w:hideMark/>
          </w:tcPr>
          <w:p w14:paraId="3EC427EA"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0.75**</w:t>
            </w:r>
          </w:p>
        </w:tc>
      </w:tr>
      <w:tr w:rsidR="002249FC" w:rsidRPr="00EC12F2" w14:paraId="6115AD71" w14:textId="77777777" w:rsidTr="002249FC">
        <w:trPr>
          <w:tblCellSpacing w:w="15" w:type="dxa"/>
        </w:trPr>
        <w:tc>
          <w:tcPr>
            <w:tcW w:w="2502" w:type="dxa"/>
            <w:vAlign w:val="center"/>
            <w:hideMark/>
          </w:tcPr>
          <w:p w14:paraId="4B1ECBFE"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Perception</w:t>
            </w:r>
          </w:p>
        </w:tc>
        <w:tc>
          <w:tcPr>
            <w:tcW w:w="2238" w:type="dxa"/>
            <w:vAlign w:val="center"/>
            <w:hideMark/>
          </w:tcPr>
          <w:p w14:paraId="7784B985"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0.72**</w:t>
            </w:r>
          </w:p>
        </w:tc>
        <w:tc>
          <w:tcPr>
            <w:tcW w:w="2096" w:type="dxa"/>
            <w:vAlign w:val="center"/>
            <w:hideMark/>
          </w:tcPr>
          <w:p w14:paraId="39CE12E3"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0.75**</w:t>
            </w:r>
          </w:p>
        </w:tc>
        <w:tc>
          <w:tcPr>
            <w:tcW w:w="1940" w:type="dxa"/>
            <w:vAlign w:val="center"/>
            <w:hideMark/>
          </w:tcPr>
          <w:p w14:paraId="31B753C6"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1.000</w:t>
            </w:r>
          </w:p>
        </w:tc>
      </w:tr>
    </w:tbl>
    <w:p w14:paraId="51CEA716" w14:textId="77777777" w:rsidR="007049E0" w:rsidRDefault="007049E0" w:rsidP="00EC12F2">
      <w:pPr>
        <w:jc w:val="both"/>
        <w:rPr>
          <w:rFonts w:ascii="Times New Roman" w:hAnsi="Times New Roman" w:cs="Times New Roman"/>
          <w:sz w:val="22"/>
          <w:szCs w:val="22"/>
        </w:rPr>
      </w:pPr>
    </w:p>
    <w:p w14:paraId="66EDA013" w14:textId="77777777" w:rsidR="002249FC" w:rsidRDefault="002249FC" w:rsidP="002249FC">
      <w:pPr>
        <w:jc w:val="both"/>
        <w:rPr>
          <w:rFonts w:ascii="Times New Roman" w:hAnsi="Times New Roman" w:cs="Times New Roman"/>
          <w:sz w:val="22"/>
          <w:szCs w:val="22"/>
        </w:rPr>
      </w:pPr>
      <w:r w:rsidRPr="002249FC">
        <w:rPr>
          <w:rFonts w:ascii="Times New Roman" w:hAnsi="Times New Roman" w:cs="Times New Roman"/>
          <w:sz w:val="22"/>
          <w:szCs w:val="22"/>
        </w:rPr>
        <w:t>Table 4 presents the Pearson correlation analysis between learner engagement, production performance, and perception performance. This analysis is important because it examines the strength and direction</w:t>
      </w:r>
    </w:p>
    <w:p w14:paraId="6C519F8F" w14:textId="51D4AC95" w:rsidR="002249FC" w:rsidRPr="002249FC" w:rsidRDefault="002249FC" w:rsidP="002249FC">
      <w:pPr>
        <w:jc w:val="both"/>
        <w:rPr>
          <w:rFonts w:ascii="Times New Roman" w:hAnsi="Times New Roman" w:cs="Times New Roman"/>
          <w:sz w:val="22"/>
          <w:szCs w:val="22"/>
        </w:rPr>
      </w:pPr>
      <w:r w:rsidRPr="002249FC">
        <w:rPr>
          <w:rFonts w:ascii="Times New Roman" w:hAnsi="Times New Roman" w:cs="Times New Roman"/>
          <w:sz w:val="22"/>
          <w:szCs w:val="22"/>
        </w:rPr>
        <w:t>of relationships between the key variables in the study, particularly whether engagement in TikTok-based learning is associated with improved pronunciation outcomes.</w:t>
      </w:r>
    </w:p>
    <w:p w14:paraId="12631582" w14:textId="77777777" w:rsidR="002249FC" w:rsidRPr="002249FC" w:rsidRDefault="002249FC" w:rsidP="002249FC">
      <w:pPr>
        <w:jc w:val="both"/>
        <w:rPr>
          <w:rFonts w:ascii="Times New Roman" w:hAnsi="Times New Roman" w:cs="Times New Roman"/>
          <w:sz w:val="22"/>
          <w:szCs w:val="22"/>
        </w:rPr>
      </w:pPr>
      <w:r w:rsidRPr="002249FC">
        <w:rPr>
          <w:rFonts w:ascii="Times New Roman" w:hAnsi="Times New Roman" w:cs="Times New Roman"/>
          <w:sz w:val="22"/>
          <w:szCs w:val="22"/>
        </w:rPr>
        <w:t>The results indicate strong positive correlations between all variables. The relationship between engagement and perception is slightly stronger than that between engagement and production, suggesting that learners who are more actively engaged with TikTok content are more likely to develop better auditory discrimination skills in identifying correct word stress patterns.</w:t>
      </w:r>
    </w:p>
    <w:p w14:paraId="7E3CC68F" w14:textId="77777777" w:rsidR="002249FC" w:rsidRPr="002249FC" w:rsidRDefault="002249FC" w:rsidP="002249FC">
      <w:pPr>
        <w:jc w:val="both"/>
        <w:rPr>
          <w:rFonts w:ascii="Times New Roman" w:hAnsi="Times New Roman" w:cs="Times New Roman"/>
          <w:sz w:val="22"/>
          <w:szCs w:val="22"/>
        </w:rPr>
      </w:pPr>
      <w:r w:rsidRPr="002249FC">
        <w:rPr>
          <w:rFonts w:ascii="Times New Roman" w:hAnsi="Times New Roman" w:cs="Times New Roman"/>
          <w:sz w:val="22"/>
          <w:szCs w:val="22"/>
        </w:rPr>
        <w:t>The strong correlation between production and perception indicates that these two skills are closely interconnected. This suggests that improvement in perception skills (recognising correct stress patterns) likely supports improvement in production skills (applying correct stress in speech), reinforcing the interdependent nature of phonological acquisition.</w:t>
      </w:r>
    </w:p>
    <w:p w14:paraId="5B5283A3" w14:textId="54B3F288" w:rsidR="00EC12F2" w:rsidRPr="00022D45" w:rsidRDefault="002249FC" w:rsidP="00EC12F2">
      <w:pPr>
        <w:jc w:val="both"/>
        <w:rPr>
          <w:rFonts w:ascii="Times New Roman" w:hAnsi="Times New Roman" w:cs="Times New Roman"/>
          <w:sz w:val="22"/>
          <w:szCs w:val="22"/>
        </w:rPr>
      </w:pPr>
      <w:r w:rsidRPr="002249FC">
        <w:rPr>
          <w:rFonts w:ascii="Times New Roman" w:hAnsi="Times New Roman" w:cs="Times New Roman"/>
          <w:sz w:val="22"/>
          <w:szCs w:val="22"/>
        </w:rPr>
        <w:lastRenderedPageBreak/>
        <w:t>Overall, these findings suggest that engagement acts as an important reinforcing factor in digital microlearning environments. The more learners interact with TikTok content, the more likely they are to internalise and apply correct stress patterns.</w:t>
      </w:r>
    </w:p>
    <w:p w14:paraId="60ECFF98" w14:textId="4D5C3D84" w:rsidR="00EC12F2" w:rsidRDefault="00EC12F2" w:rsidP="00EC12F2">
      <w:pPr>
        <w:jc w:val="both"/>
        <w:rPr>
          <w:rFonts w:ascii="Times New Roman" w:hAnsi="Times New Roman" w:cs="Times New Roman"/>
          <w:b/>
          <w:bCs/>
          <w:sz w:val="22"/>
          <w:szCs w:val="22"/>
        </w:rPr>
      </w:pPr>
      <w:r w:rsidRPr="00EC12F2">
        <w:rPr>
          <w:rFonts w:ascii="Times New Roman" w:hAnsi="Times New Roman" w:cs="Times New Roman"/>
          <w:b/>
          <w:bCs/>
          <w:sz w:val="22"/>
          <w:szCs w:val="22"/>
        </w:rPr>
        <w:t>Independent Sample t-Test Analysis</w:t>
      </w:r>
    </w:p>
    <w:p w14:paraId="557D5A44" w14:textId="4522F1D6" w:rsidR="002249FC" w:rsidRPr="00EC12F2" w:rsidRDefault="00EC12F2" w:rsidP="00EC12F2">
      <w:pPr>
        <w:jc w:val="both"/>
        <w:rPr>
          <w:rFonts w:ascii="Times New Roman" w:hAnsi="Times New Roman" w:cs="Times New Roman"/>
          <w:sz w:val="22"/>
          <w:szCs w:val="22"/>
        </w:rPr>
      </w:pPr>
      <w:r w:rsidRPr="00EC12F2">
        <w:rPr>
          <w:rFonts w:ascii="Times New Roman" w:hAnsi="Times New Roman" w:cs="Times New Roman"/>
          <w:sz w:val="22"/>
          <w:szCs w:val="22"/>
        </w:rPr>
        <w:t xml:space="preserve">Table </w:t>
      </w:r>
      <w:r w:rsidR="002249FC">
        <w:rPr>
          <w:rFonts w:ascii="Times New Roman" w:hAnsi="Times New Roman" w:cs="Times New Roman"/>
          <w:sz w:val="22"/>
          <w:szCs w:val="22"/>
        </w:rPr>
        <w:t>5</w:t>
      </w:r>
      <w:r w:rsidRPr="00EC12F2">
        <w:rPr>
          <w:rFonts w:ascii="Times New Roman" w:hAnsi="Times New Roman" w:cs="Times New Roman"/>
          <w:sz w:val="22"/>
          <w:szCs w:val="22"/>
        </w:rPr>
        <w:t xml:space="preserve"> shows the results of an independent-sample t-test comparing post-test scores of the experimental and control groups. This analysis evaluates whether the observed differences between groups are statistically significant.</w:t>
      </w:r>
    </w:p>
    <w:p w14:paraId="7C00C81E" w14:textId="22882B71" w:rsidR="00EC12F2" w:rsidRPr="00EC12F2" w:rsidRDefault="00EC12F2" w:rsidP="00EC12F2">
      <w:pPr>
        <w:jc w:val="both"/>
        <w:rPr>
          <w:rFonts w:ascii="Times New Roman" w:hAnsi="Times New Roman" w:cs="Times New Roman"/>
          <w:sz w:val="22"/>
          <w:szCs w:val="22"/>
        </w:rPr>
      </w:pPr>
      <w:r w:rsidRPr="00EC12F2">
        <w:rPr>
          <w:rFonts w:ascii="Times New Roman" w:hAnsi="Times New Roman" w:cs="Times New Roman"/>
          <w:sz w:val="22"/>
          <w:szCs w:val="22"/>
        </w:rPr>
        <w:t xml:space="preserve">Table </w:t>
      </w:r>
      <w:r w:rsidR="002249FC" w:rsidRPr="002249FC">
        <w:rPr>
          <w:rFonts w:ascii="Times New Roman" w:hAnsi="Times New Roman" w:cs="Times New Roman"/>
          <w:sz w:val="22"/>
          <w:szCs w:val="22"/>
        </w:rPr>
        <w:t>5</w:t>
      </w:r>
      <w:r w:rsidR="002249FC">
        <w:rPr>
          <w:rFonts w:ascii="Times New Roman" w:hAnsi="Times New Roman" w:cs="Times New Roman"/>
          <w:sz w:val="22"/>
          <w:szCs w:val="22"/>
        </w:rPr>
        <w:t>.</w:t>
      </w:r>
      <w:r w:rsidR="002249FC" w:rsidRPr="002249FC">
        <w:rPr>
          <w:rFonts w:ascii="Times New Roman" w:hAnsi="Times New Roman" w:cs="Times New Roman"/>
          <w:sz w:val="22"/>
          <w:szCs w:val="22"/>
        </w:rPr>
        <w:t xml:space="preserve"> </w:t>
      </w:r>
      <w:r w:rsidRPr="00EC12F2">
        <w:rPr>
          <w:rFonts w:ascii="Times New Roman" w:hAnsi="Times New Roman" w:cs="Times New Roman"/>
          <w:sz w:val="22"/>
          <w:szCs w:val="22"/>
        </w:rPr>
        <w:t>Independent Sample t-Test Results</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1701"/>
        <w:gridCol w:w="1560"/>
        <w:gridCol w:w="1842"/>
        <w:gridCol w:w="2268"/>
      </w:tblGrid>
      <w:tr w:rsidR="002249FC" w:rsidRPr="00EC12F2" w14:paraId="206BDAAC" w14:textId="77777777" w:rsidTr="002249FC">
        <w:trPr>
          <w:tblHeader/>
          <w:tblCellSpacing w:w="15" w:type="dxa"/>
        </w:trPr>
        <w:tc>
          <w:tcPr>
            <w:tcW w:w="1651" w:type="dxa"/>
            <w:vAlign w:val="center"/>
            <w:hideMark/>
          </w:tcPr>
          <w:p w14:paraId="6E1AD71E"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Group</w:t>
            </w:r>
          </w:p>
        </w:tc>
        <w:tc>
          <w:tcPr>
            <w:tcW w:w="1671" w:type="dxa"/>
            <w:vAlign w:val="center"/>
            <w:hideMark/>
          </w:tcPr>
          <w:p w14:paraId="16BB80A1"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Mean</w:t>
            </w:r>
          </w:p>
        </w:tc>
        <w:tc>
          <w:tcPr>
            <w:tcW w:w="1530" w:type="dxa"/>
            <w:vAlign w:val="center"/>
            <w:hideMark/>
          </w:tcPr>
          <w:p w14:paraId="3242552A"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t-value</w:t>
            </w:r>
          </w:p>
        </w:tc>
        <w:tc>
          <w:tcPr>
            <w:tcW w:w="1812" w:type="dxa"/>
            <w:vAlign w:val="center"/>
            <w:hideMark/>
          </w:tcPr>
          <w:p w14:paraId="35C9FA56"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df</w:t>
            </w:r>
          </w:p>
        </w:tc>
        <w:tc>
          <w:tcPr>
            <w:tcW w:w="2223" w:type="dxa"/>
            <w:vAlign w:val="center"/>
            <w:hideMark/>
          </w:tcPr>
          <w:p w14:paraId="2095730F"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p-value</w:t>
            </w:r>
          </w:p>
        </w:tc>
      </w:tr>
      <w:tr w:rsidR="002249FC" w:rsidRPr="00EC12F2" w14:paraId="6BF5C3E3" w14:textId="77777777" w:rsidTr="002249FC">
        <w:trPr>
          <w:tblCellSpacing w:w="15" w:type="dxa"/>
        </w:trPr>
        <w:tc>
          <w:tcPr>
            <w:tcW w:w="1651" w:type="dxa"/>
            <w:vAlign w:val="center"/>
            <w:hideMark/>
          </w:tcPr>
          <w:p w14:paraId="64B0B241"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Experimental</w:t>
            </w:r>
          </w:p>
        </w:tc>
        <w:tc>
          <w:tcPr>
            <w:tcW w:w="1671" w:type="dxa"/>
            <w:vAlign w:val="center"/>
            <w:hideMark/>
          </w:tcPr>
          <w:p w14:paraId="69B3432C"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82.50</w:t>
            </w:r>
          </w:p>
        </w:tc>
        <w:tc>
          <w:tcPr>
            <w:tcW w:w="1530" w:type="dxa"/>
            <w:vAlign w:val="center"/>
            <w:hideMark/>
          </w:tcPr>
          <w:p w14:paraId="1D24EDD7"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9.42</w:t>
            </w:r>
          </w:p>
        </w:tc>
        <w:tc>
          <w:tcPr>
            <w:tcW w:w="1812" w:type="dxa"/>
            <w:vAlign w:val="center"/>
            <w:hideMark/>
          </w:tcPr>
          <w:p w14:paraId="2CC51870"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58</w:t>
            </w:r>
          </w:p>
        </w:tc>
        <w:tc>
          <w:tcPr>
            <w:tcW w:w="2223" w:type="dxa"/>
            <w:vAlign w:val="center"/>
            <w:hideMark/>
          </w:tcPr>
          <w:p w14:paraId="20475788"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0.001</w:t>
            </w:r>
          </w:p>
        </w:tc>
      </w:tr>
      <w:tr w:rsidR="002249FC" w:rsidRPr="00EC12F2" w14:paraId="336815ED" w14:textId="77777777" w:rsidTr="002249FC">
        <w:trPr>
          <w:tblCellSpacing w:w="15" w:type="dxa"/>
        </w:trPr>
        <w:tc>
          <w:tcPr>
            <w:tcW w:w="1651" w:type="dxa"/>
            <w:vAlign w:val="center"/>
            <w:hideMark/>
          </w:tcPr>
          <w:p w14:paraId="4E68C03E"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Control</w:t>
            </w:r>
          </w:p>
        </w:tc>
        <w:tc>
          <w:tcPr>
            <w:tcW w:w="1671" w:type="dxa"/>
            <w:vAlign w:val="center"/>
            <w:hideMark/>
          </w:tcPr>
          <w:p w14:paraId="23A3F034"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65.10</w:t>
            </w:r>
          </w:p>
        </w:tc>
        <w:tc>
          <w:tcPr>
            <w:tcW w:w="1530" w:type="dxa"/>
            <w:vAlign w:val="center"/>
            <w:hideMark/>
          </w:tcPr>
          <w:p w14:paraId="6342C106" w14:textId="77777777" w:rsidR="00EC12F2" w:rsidRPr="00EC12F2" w:rsidRDefault="00EC12F2" w:rsidP="002249FC">
            <w:pPr>
              <w:jc w:val="center"/>
              <w:rPr>
                <w:rFonts w:ascii="Times New Roman" w:hAnsi="Times New Roman" w:cs="Times New Roman"/>
                <w:sz w:val="22"/>
                <w:szCs w:val="22"/>
              </w:rPr>
            </w:pPr>
          </w:p>
        </w:tc>
        <w:tc>
          <w:tcPr>
            <w:tcW w:w="1812" w:type="dxa"/>
            <w:vAlign w:val="center"/>
            <w:hideMark/>
          </w:tcPr>
          <w:p w14:paraId="12F3DD9F" w14:textId="77777777" w:rsidR="00EC12F2" w:rsidRPr="00EC12F2" w:rsidRDefault="00EC12F2" w:rsidP="002249FC">
            <w:pPr>
              <w:jc w:val="center"/>
              <w:rPr>
                <w:rFonts w:ascii="Times New Roman" w:hAnsi="Times New Roman" w:cs="Times New Roman"/>
                <w:sz w:val="22"/>
                <w:szCs w:val="22"/>
              </w:rPr>
            </w:pPr>
          </w:p>
        </w:tc>
        <w:tc>
          <w:tcPr>
            <w:tcW w:w="2223" w:type="dxa"/>
            <w:vAlign w:val="center"/>
            <w:hideMark/>
          </w:tcPr>
          <w:p w14:paraId="3089D974" w14:textId="77777777" w:rsidR="00EC12F2" w:rsidRPr="00EC12F2" w:rsidRDefault="00EC12F2" w:rsidP="002249FC">
            <w:pPr>
              <w:jc w:val="center"/>
              <w:rPr>
                <w:rFonts w:ascii="Times New Roman" w:hAnsi="Times New Roman" w:cs="Times New Roman"/>
                <w:sz w:val="22"/>
                <w:szCs w:val="22"/>
              </w:rPr>
            </w:pPr>
          </w:p>
        </w:tc>
      </w:tr>
    </w:tbl>
    <w:p w14:paraId="1CDE4DF5" w14:textId="77777777" w:rsidR="007049E0" w:rsidRDefault="007049E0" w:rsidP="00EC12F2">
      <w:pPr>
        <w:jc w:val="both"/>
        <w:rPr>
          <w:rFonts w:ascii="Times New Roman" w:hAnsi="Times New Roman" w:cs="Times New Roman"/>
          <w:sz w:val="22"/>
          <w:szCs w:val="22"/>
        </w:rPr>
      </w:pPr>
    </w:p>
    <w:p w14:paraId="3E35624B" w14:textId="79777557" w:rsidR="002249FC" w:rsidRPr="002249FC" w:rsidRDefault="002249FC" w:rsidP="002249FC">
      <w:pPr>
        <w:jc w:val="both"/>
        <w:rPr>
          <w:rFonts w:ascii="Times New Roman" w:hAnsi="Times New Roman" w:cs="Times New Roman"/>
          <w:sz w:val="22"/>
          <w:szCs w:val="22"/>
        </w:rPr>
      </w:pPr>
      <w:r w:rsidRPr="002249FC">
        <w:rPr>
          <w:rFonts w:ascii="Times New Roman" w:hAnsi="Times New Roman" w:cs="Times New Roman"/>
          <w:sz w:val="22"/>
          <w:szCs w:val="22"/>
        </w:rPr>
        <w:t xml:space="preserve">Table </w:t>
      </w:r>
      <w:r>
        <w:rPr>
          <w:rFonts w:ascii="Times New Roman" w:hAnsi="Times New Roman" w:cs="Times New Roman"/>
          <w:sz w:val="22"/>
          <w:szCs w:val="22"/>
        </w:rPr>
        <w:t>5</w:t>
      </w:r>
      <w:r w:rsidRPr="002249FC">
        <w:rPr>
          <w:rFonts w:ascii="Times New Roman" w:hAnsi="Times New Roman" w:cs="Times New Roman"/>
          <w:sz w:val="22"/>
          <w:szCs w:val="22"/>
        </w:rPr>
        <w:t xml:space="preserve"> represents the independent sample t-test results comparing the post-test performance between the experimental and control groups. This analysis is essential in determining whether the differences observed between the two groups are statistically significant and not due to chance.</w:t>
      </w:r>
    </w:p>
    <w:p w14:paraId="2108A147" w14:textId="77777777" w:rsidR="002249FC" w:rsidRPr="002249FC" w:rsidRDefault="002249FC" w:rsidP="002249FC">
      <w:pPr>
        <w:jc w:val="both"/>
        <w:rPr>
          <w:rFonts w:ascii="Times New Roman" w:hAnsi="Times New Roman" w:cs="Times New Roman"/>
          <w:sz w:val="22"/>
          <w:szCs w:val="22"/>
        </w:rPr>
      </w:pPr>
      <w:r w:rsidRPr="002249FC">
        <w:rPr>
          <w:rFonts w:ascii="Times New Roman" w:hAnsi="Times New Roman" w:cs="Times New Roman"/>
          <w:sz w:val="22"/>
          <w:szCs w:val="22"/>
        </w:rPr>
        <w:t>The results clearly indicate that the experimental group significantly outperformed the control group in post-test scores. The magnitude of the difference suggests that TikTok-based multimodal microlearning has a strong positive effect on ESL learners’ word stress acquisition.</w:t>
      </w:r>
    </w:p>
    <w:p w14:paraId="631FE5F3" w14:textId="77777777" w:rsidR="002249FC" w:rsidRPr="002249FC" w:rsidRDefault="002249FC" w:rsidP="002249FC">
      <w:pPr>
        <w:jc w:val="both"/>
        <w:rPr>
          <w:rFonts w:ascii="Times New Roman" w:hAnsi="Times New Roman" w:cs="Times New Roman"/>
          <w:sz w:val="22"/>
          <w:szCs w:val="22"/>
        </w:rPr>
      </w:pPr>
      <w:r w:rsidRPr="002249FC">
        <w:rPr>
          <w:rFonts w:ascii="Times New Roman" w:hAnsi="Times New Roman" w:cs="Times New Roman"/>
          <w:sz w:val="22"/>
          <w:szCs w:val="22"/>
        </w:rPr>
        <w:t>This finding is particularly important because it confirms that multimodal input (audio, visual, and textual reinforcement) is more effective than traditional teaching methods that rely primarily on textbook explanation and teacher-led instruction. The significant difference also suggests that repeated exposure to short-form video content enhances learners’ ability to internalise pronunciation patterns more effectively.</w:t>
      </w:r>
    </w:p>
    <w:p w14:paraId="03556373" w14:textId="166C28EB" w:rsidR="007049E0" w:rsidRDefault="002249FC" w:rsidP="00EC12F2">
      <w:pPr>
        <w:jc w:val="both"/>
        <w:rPr>
          <w:rFonts w:ascii="Times New Roman" w:hAnsi="Times New Roman" w:cs="Times New Roman"/>
          <w:sz w:val="22"/>
          <w:szCs w:val="22"/>
        </w:rPr>
      </w:pPr>
      <w:r w:rsidRPr="002249FC">
        <w:rPr>
          <w:rFonts w:ascii="Times New Roman" w:hAnsi="Times New Roman" w:cs="Times New Roman"/>
          <w:sz w:val="22"/>
          <w:szCs w:val="22"/>
        </w:rPr>
        <w:t>From an instructional perspective, this result supports the integration of social media-based learning tools into formal ESL education, particularly for pronunciation-focused skills.</w:t>
      </w:r>
    </w:p>
    <w:p w14:paraId="13980333" w14:textId="77777777" w:rsidR="00EC12F2" w:rsidRPr="00EC12F2" w:rsidRDefault="00EC12F2" w:rsidP="00EC12F2">
      <w:pPr>
        <w:jc w:val="both"/>
        <w:rPr>
          <w:rFonts w:ascii="Times New Roman" w:hAnsi="Times New Roman" w:cs="Times New Roman"/>
          <w:b/>
          <w:bCs/>
          <w:sz w:val="22"/>
          <w:szCs w:val="22"/>
        </w:rPr>
      </w:pPr>
      <w:r w:rsidRPr="00EC12F2">
        <w:rPr>
          <w:rFonts w:ascii="Times New Roman" w:hAnsi="Times New Roman" w:cs="Times New Roman"/>
          <w:b/>
          <w:bCs/>
          <w:sz w:val="22"/>
          <w:szCs w:val="22"/>
        </w:rPr>
        <w:t>ANOVA Analysis of Learner Modality</w:t>
      </w:r>
    </w:p>
    <w:p w14:paraId="5E382E2C" w14:textId="5A372C24" w:rsidR="007049E0" w:rsidRDefault="00EC12F2" w:rsidP="00EC12F2">
      <w:pPr>
        <w:jc w:val="both"/>
        <w:rPr>
          <w:rFonts w:ascii="Times New Roman" w:hAnsi="Times New Roman" w:cs="Times New Roman"/>
          <w:sz w:val="22"/>
          <w:szCs w:val="22"/>
        </w:rPr>
      </w:pPr>
      <w:r w:rsidRPr="00EC12F2">
        <w:rPr>
          <w:rFonts w:ascii="Times New Roman" w:hAnsi="Times New Roman" w:cs="Times New Roman"/>
          <w:sz w:val="22"/>
          <w:szCs w:val="22"/>
        </w:rPr>
        <w:t xml:space="preserve">Table </w:t>
      </w:r>
      <w:r w:rsidR="002249FC">
        <w:rPr>
          <w:rFonts w:ascii="Times New Roman" w:hAnsi="Times New Roman" w:cs="Times New Roman"/>
          <w:sz w:val="22"/>
          <w:szCs w:val="22"/>
        </w:rPr>
        <w:t>6</w:t>
      </w:r>
      <w:r w:rsidRPr="00EC12F2">
        <w:rPr>
          <w:rFonts w:ascii="Times New Roman" w:hAnsi="Times New Roman" w:cs="Times New Roman"/>
          <w:sz w:val="22"/>
          <w:szCs w:val="22"/>
        </w:rPr>
        <w:t xml:space="preserve"> presents a one-way ANOVA analysis examining differences in post-test performance across learner modalities (visual, auditory, kinaesthetic). This analysis investigates the moderating effect of modality on word stress outcomes.</w:t>
      </w:r>
    </w:p>
    <w:p w14:paraId="7FCEA83A" w14:textId="5CF74665" w:rsidR="00EC12F2" w:rsidRDefault="00EC12F2" w:rsidP="00EC12F2">
      <w:pPr>
        <w:jc w:val="both"/>
        <w:rPr>
          <w:rFonts w:ascii="Times New Roman" w:hAnsi="Times New Roman" w:cs="Times New Roman"/>
          <w:sz w:val="22"/>
          <w:szCs w:val="22"/>
        </w:rPr>
      </w:pPr>
      <w:r w:rsidRPr="00EC12F2">
        <w:rPr>
          <w:rFonts w:ascii="Times New Roman" w:hAnsi="Times New Roman" w:cs="Times New Roman"/>
          <w:sz w:val="22"/>
          <w:szCs w:val="22"/>
        </w:rPr>
        <w:t xml:space="preserve">Table </w:t>
      </w:r>
      <w:r w:rsidR="002249FC">
        <w:rPr>
          <w:rFonts w:ascii="Times New Roman" w:hAnsi="Times New Roman" w:cs="Times New Roman"/>
          <w:sz w:val="22"/>
          <w:szCs w:val="22"/>
        </w:rPr>
        <w:t>6.</w:t>
      </w:r>
      <w:r w:rsidRPr="00EC12F2">
        <w:rPr>
          <w:rFonts w:ascii="Times New Roman" w:hAnsi="Times New Roman" w:cs="Times New Roman"/>
          <w:sz w:val="22"/>
          <w:szCs w:val="22"/>
        </w:rPr>
        <w:t xml:space="preserve"> ANOVA Summary for Learner Modality</w:t>
      </w:r>
    </w:p>
    <w:tbl>
      <w:tblPr>
        <w:tblW w:w="9072"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547"/>
        <w:gridCol w:w="1134"/>
        <w:gridCol w:w="1134"/>
        <w:gridCol w:w="1276"/>
        <w:gridCol w:w="1417"/>
        <w:gridCol w:w="1564"/>
      </w:tblGrid>
      <w:tr w:rsidR="002249FC" w:rsidRPr="00EC12F2" w14:paraId="785CB231" w14:textId="77777777" w:rsidTr="002249FC">
        <w:trPr>
          <w:tblHeader/>
          <w:tblCellSpacing w:w="15" w:type="dxa"/>
          <w:jc w:val="center"/>
        </w:trPr>
        <w:tc>
          <w:tcPr>
            <w:tcW w:w="2502" w:type="dxa"/>
            <w:vAlign w:val="center"/>
            <w:hideMark/>
          </w:tcPr>
          <w:p w14:paraId="00E401B1"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Source</w:t>
            </w:r>
          </w:p>
        </w:tc>
        <w:tc>
          <w:tcPr>
            <w:tcW w:w="1104" w:type="dxa"/>
            <w:vAlign w:val="center"/>
            <w:hideMark/>
          </w:tcPr>
          <w:p w14:paraId="4621A2D7"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SS</w:t>
            </w:r>
          </w:p>
        </w:tc>
        <w:tc>
          <w:tcPr>
            <w:tcW w:w="1104" w:type="dxa"/>
            <w:vAlign w:val="center"/>
            <w:hideMark/>
          </w:tcPr>
          <w:p w14:paraId="1370ED26"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df</w:t>
            </w:r>
          </w:p>
        </w:tc>
        <w:tc>
          <w:tcPr>
            <w:tcW w:w="1246" w:type="dxa"/>
            <w:vAlign w:val="center"/>
            <w:hideMark/>
          </w:tcPr>
          <w:p w14:paraId="6E467DFA"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MS</w:t>
            </w:r>
          </w:p>
        </w:tc>
        <w:tc>
          <w:tcPr>
            <w:tcW w:w="1387" w:type="dxa"/>
            <w:vAlign w:val="center"/>
            <w:hideMark/>
          </w:tcPr>
          <w:p w14:paraId="215BE259"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F</w:t>
            </w:r>
          </w:p>
        </w:tc>
        <w:tc>
          <w:tcPr>
            <w:tcW w:w="1519" w:type="dxa"/>
            <w:vAlign w:val="center"/>
            <w:hideMark/>
          </w:tcPr>
          <w:p w14:paraId="5D0733D7" w14:textId="77777777" w:rsidR="00EC12F2" w:rsidRPr="00EC12F2" w:rsidRDefault="00EC12F2" w:rsidP="002249FC">
            <w:pPr>
              <w:jc w:val="center"/>
              <w:rPr>
                <w:rFonts w:ascii="Times New Roman" w:hAnsi="Times New Roman" w:cs="Times New Roman"/>
                <w:b/>
                <w:bCs/>
                <w:sz w:val="22"/>
                <w:szCs w:val="22"/>
              </w:rPr>
            </w:pPr>
            <w:r w:rsidRPr="00EC12F2">
              <w:rPr>
                <w:rFonts w:ascii="Times New Roman" w:hAnsi="Times New Roman" w:cs="Times New Roman"/>
                <w:b/>
                <w:bCs/>
                <w:sz w:val="22"/>
                <w:szCs w:val="22"/>
              </w:rPr>
              <w:t>Sig.</w:t>
            </w:r>
          </w:p>
        </w:tc>
      </w:tr>
      <w:tr w:rsidR="002249FC" w:rsidRPr="00EC12F2" w14:paraId="1FC44D40" w14:textId="77777777" w:rsidTr="002249FC">
        <w:trPr>
          <w:tblCellSpacing w:w="15" w:type="dxa"/>
          <w:jc w:val="center"/>
        </w:trPr>
        <w:tc>
          <w:tcPr>
            <w:tcW w:w="2502" w:type="dxa"/>
            <w:vAlign w:val="center"/>
            <w:hideMark/>
          </w:tcPr>
          <w:p w14:paraId="172D0202"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Between Groups</w:t>
            </w:r>
          </w:p>
        </w:tc>
        <w:tc>
          <w:tcPr>
            <w:tcW w:w="1104" w:type="dxa"/>
            <w:vAlign w:val="center"/>
            <w:hideMark/>
          </w:tcPr>
          <w:p w14:paraId="34B2B21C"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312.45</w:t>
            </w:r>
          </w:p>
        </w:tc>
        <w:tc>
          <w:tcPr>
            <w:tcW w:w="1104" w:type="dxa"/>
            <w:vAlign w:val="center"/>
            <w:hideMark/>
          </w:tcPr>
          <w:p w14:paraId="4667BC88"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2</w:t>
            </w:r>
          </w:p>
        </w:tc>
        <w:tc>
          <w:tcPr>
            <w:tcW w:w="1246" w:type="dxa"/>
            <w:vAlign w:val="center"/>
            <w:hideMark/>
          </w:tcPr>
          <w:p w14:paraId="14B87783"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156.22</w:t>
            </w:r>
          </w:p>
        </w:tc>
        <w:tc>
          <w:tcPr>
            <w:tcW w:w="1387" w:type="dxa"/>
            <w:vAlign w:val="center"/>
            <w:hideMark/>
          </w:tcPr>
          <w:p w14:paraId="03CDA8B9"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6.87</w:t>
            </w:r>
          </w:p>
        </w:tc>
        <w:tc>
          <w:tcPr>
            <w:tcW w:w="1519" w:type="dxa"/>
            <w:vAlign w:val="center"/>
            <w:hideMark/>
          </w:tcPr>
          <w:p w14:paraId="03CE634E"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0.002</w:t>
            </w:r>
          </w:p>
        </w:tc>
      </w:tr>
      <w:tr w:rsidR="002249FC" w:rsidRPr="00EC12F2" w14:paraId="32FC8D63" w14:textId="77777777" w:rsidTr="002249FC">
        <w:trPr>
          <w:tblCellSpacing w:w="15" w:type="dxa"/>
          <w:jc w:val="center"/>
        </w:trPr>
        <w:tc>
          <w:tcPr>
            <w:tcW w:w="2502" w:type="dxa"/>
            <w:vAlign w:val="center"/>
            <w:hideMark/>
          </w:tcPr>
          <w:p w14:paraId="48D466A4"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Within Groups</w:t>
            </w:r>
          </w:p>
        </w:tc>
        <w:tc>
          <w:tcPr>
            <w:tcW w:w="1104" w:type="dxa"/>
            <w:vAlign w:val="center"/>
            <w:hideMark/>
          </w:tcPr>
          <w:p w14:paraId="17728BFB"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1250.30</w:t>
            </w:r>
          </w:p>
        </w:tc>
        <w:tc>
          <w:tcPr>
            <w:tcW w:w="1104" w:type="dxa"/>
            <w:vAlign w:val="center"/>
            <w:hideMark/>
          </w:tcPr>
          <w:p w14:paraId="2070CCF7"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57</w:t>
            </w:r>
          </w:p>
        </w:tc>
        <w:tc>
          <w:tcPr>
            <w:tcW w:w="1246" w:type="dxa"/>
            <w:vAlign w:val="center"/>
            <w:hideMark/>
          </w:tcPr>
          <w:p w14:paraId="2273DCB9"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21.94</w:t>
            </w:r>
          </w:p>
        </w:tc>
        <w:tc>
          <w:tcPr>
            <w:tcW w:w="1387" w:type="dxa"/>
            <w:vAlign w:val="center"/>
            <w:hideMark/>
          </w:tcPr>
          <w:p w14:paraId="51E77980" w14:textId="77777777" w:rsidR="00EC12F2" w:rsidRPr="00EC12F2" w:rsidRDefault="00EC12F2" w:rsidP="002249FC">
            <w:pPr>
              <w:jc w:val="center"/>
              <w:rPr>
                <w:rFonts w:ascii="Times New Roman" w:hAnsi="Times New Roman" w:cs="Times New Roman"/>
                <w:sz w:val="22"/>
                <w:szCs w:val="22"/>
              </w:rPr>
            </w:pPr>
          </w:p>
        </w:tc>
        <w:tc>
          <w:tcPr>
            <w:tcW w:w="1519" w:type="dxa"/>
            <w:vAlign w:val="center"/>
            <w:hideMark/>
          </w:tcPr>
          <w:p w14:paraId="382D0A9A" w14:textId="77777777" w:rsidR="00EC12F2" w:rsidRPr="00EC12F2" w:rsidRDefault="00EC12F2" w:rsidP="002249FC">
            <w:pPr>
              <w:jc w:val="center"/>
              <w:rPr>
                <w:rFonts w:ascii="Times New Roman" w:hAnsi="Times New Roman" w:cs="Times New Roman"/>
                <w:sz w:val="22"/>
                <w:szCs w:val="22"/>
              </w:rPr>
            </w:pPr>
          </w:p>
        </w:tc>
      </w:tr>
      <w:tr w:rsidR="002249FC" w:rsidRPr="00EC12F2" w14:paraId="2C91625B" w14:textId="77777777" w:rsidTr="002249FC">
        <w:trPr>
          <w:tblCellSpacing w:w="15" w:type="dxa"/>
          <w:jc w:val="center"/>
        </w:trPr>
        <w:tc>
          <w:tcPr>
            <w:tcW w:w="2502" w:type="dxa"/>
            <w:vAlign w:val="center"/>
            <w:hideMark/>
          </w:tcPr>
          <w:p w14:paraId="1DC8E7D5"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Total</w:t>
            </w:r>
          </w:p>
        </w:tc>
        <w:tc>
          <w:tcPr>
            <w:tcW w:w="1104" w:type="dxa"/>
            <w:vAlign w:val="center"/>
            <w:hideMark/>
          </w:tcPr>
          <w:p w14:paraId="3F729A30"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1562.75</w:t>
            </w:r>
          </w:p>
        </w:tc>
        <w:tc>
          <w:tcPr>
            <w:tcW w:w="1104" w:type="dxa"/>
            <w:vAlign w:val="center"/>
            <w:hideMark/>
          </w:tcPr>
          <w:p w14:paraId="2A920C0A" w14:textId="77777777" w:rsidR="00EC12F2" w:rsidRPr="00EC12F2" w:rsidRDefault="00EC12F2" w:rsidP="002249FC">
            <w:pPr>
              <w:jc w:val="center"/>
              <w:rPr>
                <w:rFonts w:ascii="Times New Roman" w:hAnsi="Times New Roman" w:cs="Times New Roman"/>
                <w:sz w:val="22"/>
                <w:szCs w:val="22"/>
              </w:rPr>
            </w:pPr>
            <w:r w:rsidRPr="00EC12F2">
              <w:rPr>
                <w:rFonts w:ascii="Times New Roman" w:hAnsi="Times New Roman" w:cs="Times New Roman"/>
                <w:sz w:val="22"/>
                <w:szCs w:val="22"/>
              </w:rPr>
              <w:t>59</w:t>
            </w:r>
          </w:p>
        </w:tc>
        <w:tc>
          <w:tcPr>
            <w:tcW w:w="1246" w:type="dxa"/>
            <w:vAlign w:val="center"/>
            <w:hideMark/>
          </w:tcPr>
          <w:p w14:paraId="3FE4A4FD" w14:textId="77777777" w:rsidR="00EC12F2" w:rsidRPr="00EC12F2" w:rsidRDefault="00EC12F2" w:rsidP="002249FC">
            <w:pPr>
              <w:jc w:val="center"/>
              <w:rPr>
                <w:rFonts w:ascii="Times New Roman" w:hAnsi="Times New Roman" w:cs="Times New Roman"/>
                <w:sz w:val="22"/>
                <w:szCs w:val="22"/>
              </w:rPr>
            </w:pPr>
          </w:p>
        </w:tc>
        <w:tc>
          <w:tcPr>
            <w:tcW w:w="1387" w:type="dxa"/>
            <w:vAlign w:val="center"/>
            <w:hideMark/>
          </w:tcPr>
          <w:p w14:paraId="419A5115" w14:textId="77777777" w:rsidR="00EC12F2" w:rsidRPr="00EC12F2" w:rsidRDefault="00EC12F2" w:rsidP="002249FC">
            <w:pPr>
              <w:jc w:val="center"/>
              <w:rPr>
                <w:rFonts w:ascii="Times New Roman" w:hAnsi="Times New Roman" w:cs="Times New Roman"/>
                <w:sz w:val="22"/>
                <w:szCs w:val="22"/>
              </w:rPr>
            </w:pPr>
          </w:p>
        </w:tc>
        <w:tc>
          <w:tcPr>
            <w:tcW w:w="1519" w:type="dxa"/>
            <w:vAlign w:val="center"/>
            <w:hideMark/>
          </w:tcPr>
          <w:p w14:paraId="58255DEE" w14:textId="77777777" w:rsidR="00EC12F2" w:rsidRPr="00EC12F2" w:rsidRDefault="00EC12F2" w:rsidP="002249FC">
            <w:pPr>
              <w:jc w:val="center"/>
              <w:rPr>
                <w:rFonts w:ascii="Times New Roman" w:hAnsi="Times New Roman" w:cs="Times New Roman"/>
                <w:sz w:val="22"/>
                <w:szCs w:val="22"/>
              </w:rPr>
            </w:pPr>
          </w:p>
        </w:tc>
      </w:tr>
    </w:tbl>
    <w:p w14:paraId="10F8376A" w14:textId="77777777" w:rsidR="007049E0" w:rsidRDefault="007049E0" w:rsidP="00EC12F2">
      <w:pPr>
        <w:jc w:val="both"/>
        <w:rPr>
          <w:rFonts w:ascii="Times New Roman" w:hAnsi="Times New Roman" w:cs="Times New Roman"/>
          <w:sz w:val="22"/>
          <w:szCs w:val="22"/>
        </w:rPr>
      </w:pPr>
    </w:p>
    <w:p w14:paraId="384C715B" w14:textId="42D75B78" w:rsidR="002249FC" w:rsidRPr="002249FC" w:rsidRDefault="002249FC" w:rsidP="002249FC">
      <w:pPr>
        <w:jc w:val="both"/>
        <w:rPr>
          <w:rFonts w:ascii="Times New Roman" w:hAnsi="Times New Roman" w:cs="Times New Roman"/>
          <w:sz w:val="22"/>
          <w:szCs w:val="22"/>
        </w:rPr>
      </w:pPr>
      <w:r w:rsidRPr="002249FC">
        <w:rPr>
          <w:rFonts w:ascii="Times New Roman" w:hAnsi="Times New Roman" w:cs="Times New Roman"/>
          <w:sz w:val="22"/>
          <w:szCs w:val="22"/>
        </w:rPr>
        <w:lastRenderedPageBreak/>
        <w:t xml:space="preserve">Table </w:t>
      </w:r>
      <w:r>
        <w:rPr>
          <w:rFonts w:ascii="Times New Roman" w:hAnsi="Times New Roman" w:cs="Times New Roman"/>
          <w:sz w:val="22"/>
          <w:szCs w:val="22"/>
        </w:rPr>
        <w:t>6</w:t>
      </w:r>
      <w:r w:rsidRPr="002249FC">
        <w:rPr>
          <w:rFonts w:ascii="Times New Roman" w:hAnsi="Times New Roman" w:cs="Times New Roman"/>
          <w:sz w:val="22"/>
          <w:szCs w:val="22"/>
        </w:rPr>
        <w:t xml:space="preserve"> presents the one-way ANOVA results examining differences in word stress performance across learner modalities, namely visual, auditory, and kinaesthetic learners. This analysis is important because it explores whether individual learning preferences influence the effectiveness of TikTok-based multimodal instruction.</w:t>
      </w:r>
    </w:p>
    <w:p w14:paraId="67A59223" w14:textId="77777777" w:rsidR="002249FC" w:rsidRPr="002249FC" w:rsidRDefault="002249FC" w:rsidP="002249FC">
      <w:pPr>
        <w:jc w:val="both"/>
        <w:rPr>
          <w:rFonts w:ascii="Times New Roman" w:hAnsi="Times New Roman" w:cs="Times New Roman"/>
          <w:sz w:val="22"/>
          <w:szCs w:val="22"/>
        </w:rPr>
      </w:pPr>
      <w:r w:rsidRPr="002249FC">
        <w:rPr>
          <w:rFonts w:ascii="Times New Roman" w:hAnsi="Times New Roman" w:cs="Times New Roman"/>
          <w:sz w:val="22"/>
          <w:szCs w:val="22"/>
        </w:rPr>
        <w:t>The results indicate a statistically significant difference between learner modalities. This suggests that learners do not benefit equally from TikTok-based instruction, and that cognitive learning preferences play a moderating role in determining learning outcomes.</w:t>
      </w:r>
    </w:p>
    <w:p w14:paraId="55E44000" w14:textId="77777777" w:rsidR="002249FC" w:rsidRPr="002249FC" w:rsidRDefault="002249FC" w:rsidP="002249FC">
      <w:pPr>
        <w:jc w:val="both"/>
        <w:rPr>
          <w:rFonts w:ascii="Times New Roman" w:hAnsi="Times New Roman" w:cs="Times New Roman"/>
          <w:sz w:val="22"/>
          <w:szCs w:val="22"/>
        </w:rPr>
      </w:pPr>
      <w:r w:rsidRPr="002249FC">
        <w:rPr>
          <w:rFonts w:ascii="Times New Roman" w:hAnsi="Times New Roman" w:cs="Times New Roman"/>
          <w:sz w:val="22"/>
          <w:szCs w:val="22"/>
        </w:rPr>
        <w:t>Auditory learners achieved the highest performance, which is expected given the phonological nature of the task. TikTok content is primarily audio-based in terms of pronunciation input, which naturally aligns with auditory processing strengths.</w:t>
      </w:r>
    </w:p>
    <w:p w14:paraId="3078206F" w14:textId="77777777" w:rsidR="002249FC" w:rsidRPr="002249FC" w:rsidRDefault="002249FC" w:rsidP="002249FC">
      <w:pPr>
        <w:jc w:val="both"/>
        <w:rPr>
          <w:rFonts w:ascii="Times New Roman" w:hAnsi="Times New Roman" w:cs="Times New Roman"/>
          <w:sz w:val="22"/>
          <w:szCs w:val="22"/>
        </w:rPr>
      </w:pPr>
      <w:r w:rsidRPr="002249FC">
        <w:rPr>
          <w:rFonts w:ascii="Times New Roman" w:hAnsi="Times New Roman" w:cs="Times New Roman"/>
          <w:sz w:val="22"/>
          <w:szCs w:val="22"/>
        </w:rPr>
        <w:t>Visual learners also demonstrated strong performance, particularly in perception tasks, suggesting that visual reinforcement such as subtitles and facial articulation cues supports comprehension of stress patterns. Kinaesthetic learners showed comparatively lower improvement but still benefited from repeated imitation and active engagement.</w:t>
      </w:r>
    </w:p>
    <w:p w14:paraId="275CF55A" w14:textId="68A47F06" w:rsidR="002249FC" w:rsidRDefault="002249FC" w:rsidP="00EC12F2">
      <w:pPr>
        <w:jc w:val="both"/>
        <w:rPr>
          <w:rFonts w:ascii="Times New Roman" w:hAnsi="Times New Roman" w:cs="Times New Roman"/>
          <w:sz w:val="22"/>
          <w:szCs w:val="22"/>
        </w:rPr>
      </w:pPr>
      <w:r w:rsidRPr="002249FC">
        <w:rPr>
          <w:rFonts w:ascii="Times New Roman" w:hAnsi="Times New Roman" w:cs="Times New Roman"/>
          <w:sz w:val="22"/>
          <w:szCs w:val="22"/>
        </w:rPr>
        <w:t>These findings suggest that TikTok-based microlearning is inherently multimodal, allowing it to accommodate different learning styles. However, the degree of effectiveness varies depending on how closely the modality aligns with the learner’s preferred processing style.</w:t>
      </w:r>
    </w:p>
    <w:p w14:paraId="1A2B623B" w14:textId="59C45D06" w:rsidR="00EC12F2" w:rsidRPr="00EC12F2" w:rsidRDefault="00EC12F2" w:rsidP="00EC12F2">
      <w:pPr>
        <w:jc w:val="both"/>
        <w:rPr>
          <w:rFonts w:ascii="Times New Roman" w:hAnsi="Times New Roman" w:cs="Times New Roman"/>
          <w:b/>
          <w:bCs/>
          <w:sz w:val="22"/>
          <w:szCs w:val="22"/>
        </w:rPr>
      </w:pPr>
      <w:r w:rsidRPr="00EC12F2">
        <w:rPr>
          <w:rFonts w:ascii="Times New Roman" w:hAnsi="Times New Roman" w:cs="Times New Roman"/>
          <w:b/>
          <w:bCs/>
          <w:sz w:val="22"/>
          <w:szCs w:val="22"/>
        </w:rPr>
        <w:t>Summary of Findings</w:t>
      </w:r>
    </w:p>
    <w:p w14:paraId="3F96CFFB" w14:textId="45B80C5B" w:rsidR="008B151E" w:rsidRPr="001C75F7" w:rsidRDefault="00EC12F2" w:rsidP="00E76B2D">
      <w:pPr>
        <w:jc w:val="both"/>
        <w:rPr>
          <w:rFonts w:ascii="Times New Roman" w:hAnsi="Times New Roman" w:cs="Times New Roman"/>
          <w:sz w:val="22"/>
          <w:szCs w:val="22"/>
        </w:rPr>
      </w:pPr>
      <w:r w:rsidRPr="00EC12F2">
        <w:rPr>
          <w:rFonts w:ascii="Times New Roman" w:hAnsi="Times New Roman" w:cs="Times New Roman"/>
          <w:sz w:val="22"/>
          <w:szCs w:val="22"/>
        </w:rPr>
        <w:t>The results collectively indicate that TikTok-based multimodal microlearning significantly improves ESL learners’ production and perception of word stress. Engagement strongly correlates with performance, and learner modality significantly moderates learning outcomes. The experimental group consistently outperformed the control group, confirming the effectiveness of this intervention. These findings provide both practical and theoretical support for integrating digital microlearning tools into language classrooms.</w:t>
      </w:r>
    </w:p>
    <w:p w14:paraId="5C4CE14C" w14:textId="5C81DAD9" w:rsidR="008B151E" w:rsidRPr="00EC12F2" w:rsidRDefault="008B151E" w:rsidP="00E76B2D">
      <w:pPr>
        <w:jc w:val="both"/>
        <w:rPr>
          <w:rFonts w:ascii="Times New Roman" w:hAnsi="Times New Roman" w:cs="Times New Roman"/>
          <w:b/>
          <w:bCs/>
          <w:sz w:val="22"/>
          <w:szCs w:val="22"/>
        </w:rPr>
      </w:pPr>
      <w:r w:rsidRPr="00EC12F2">
        <w:rPr>
          <w:rFonts w:ascii="Times New Roman" w:hAnsi="Times New Roman" w:cs="Times New Roman"/>
          <w:b/>
          <w:bCs/>
          <w:sz w:val="22"/>
          <w:szCs w:val="22"/>
        </w:rPr>
        <w:t>DISCUSSION</w:t>
      </w:r>
    </w:p>
    <w:p w14:paraId="501B7458"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The findings of this study provide strong empirical evidence that TikTok-based multimodal microlearning significantly enhances ESL learners’ acquisition of English word stress patterns. The improvement observed in both production and perception suggests that multimodal exposure plays a crucial role in phonological development, particularly when learners are repeatedly exposed to structured pronunciation input in short-form video formats.</w:t>
      </w:r>
    </w:p>
    <w:p w14:paraId="484B3347"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The results are consistent with Krashen’s Input Hypothesis, which emphasises the importance of comprehensible and repeated input in second language acquisition. TikTok videos, by design, provide short, digestible segments of language input that allow learners to process pronunciation patterns without cognitive overload. The repetitive nature of TikTok viewing further reinforces retention and facilitates long-term memory encoding of stress patterns.</w:t>
      </w:r>
    </w:p>
    <w:p w14:paraId="07FB11E6"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From the perspective of Vygotsky’s Social Constructivist Theory, learning occurs through interaction, imitation, and mediated experiences. TikTok functions as a digital mediating tool that enables learners to observe pronunciation models, imitate stress patterns, and self-correct through repeated exposure. This social and cognitive interaction enhances internalisation of correct pronunciation forms.</w:t>
      </w:r>
    </w:p>
    <w:p w14:paraId="45EA55A2"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 xml:space="preserve">The Technology Acceptance Model (TAM) further explains the high engagement levels observed among learners. The perceived usefulness and ease of access to TikTok significantly influence learners’ </w:t>
      </w:r>
      <w:r w:rsidRPr="008B151E">
        <w:rPr>
          <w:rFonts w:ascii="Times New Roman" w:hAnsi="Times New Roman" w:cs="Times New Roman"/>
          <w:sz w:val="22"/>
          <w:szCs w:val="22"/>
        </w:rPr>
        <w:lastRenderedPageBreak/>
        <w:t>willingness to engage with pronunciation content. This suggests that technological familiarity plays a key role in sustaining motivation in language learning environments.</w:t>
      </w:r>
    </w:p>
    <w:p w14:paraId="49E400B7"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Multimedia Learning Theory (Mayer, 2001) also supports the findings, as learners process information through dual channels—visual and auditory. TikTok’s integration of spoken language, subtitles, and visual cues enhances cognitive processing efficiency, leading to better retention of word stress patterns.</w:t>
      </w:r>
    </w:p>
    <w:p w14:paraId="4AFC56A7"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A key finding of this study is the moderating role of learner modality. Auditory learners demonstrated the highest level of improvement, which is expected given the phonological nature of the task. However, visual learners also showed strong gains, particularly in perception tasks, indicating that visual reinforcement such as subtitles and mouth movements supports stress recognition. Kinaesthetic learners benefited through imitation and repetition, although their improvement was comparatively moderate.</w:t>
      </w:r>
    </w:p>
    <w:p w14:paraId="4D952D44"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These findings collectively suggest that TikTok is not limited to a single learning style but functions as a multimodal learning environment that accommodates diverse learner preferences. This supports the argument that digital microlearning platforms can bridge individual differences in language learning.</w:t>
      </w:r>
    </w:p>
    <w:p w14:paraId="5ED2A596" w14:textId="77777777" w:rsidR="008B151E" w:rsidRPr="008B151E" w:rsidRDefault="008B151E" w:rsidP="00E76B2D">
      <w:pPr>
        <w:jc w:val="both"/>
        <w:rPr>
          <w:rFonts w:ascii="Times New Roman" w:hAnsi="Times New Roman" w:cs="Times New Roman"/>
          <w:b/>
          <w:bCs/>
          <w:sz w:val="22"/>
          <w:szCs w:val="22"/>
        </w:rPr>
      </w:pPr>
      <w:r w:rsidRPr="008B151E">
        <w:rPr>
          <w:rFonts w:ascii="Times New Roman" w:hAnsi="Times New Roman" w:cs="Times New Roman"/>
          <w:b/>
          <w:bCs/>
          <w:sz w:val="22"/>
          <w:szCs w:val="22"/>
        </w:rPr>
        <w:t>CONCLUSION</w:t>
      </w:r>
    </w:p>
    <w:p w14:paraId="52275883"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This study concludes that TikTok-based multimodal microlearning is an effective instructional approach for enhancing ESL learners’ production and perception of English word stress patterns. The findings demonstrate that learners exposed to TikTok-based pronunciation input significantly outperform those who receive traditional instruction.</w:t>
      </w:r>
    </w:p>
    <w:p w14:paraId="4A7B7E71"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The study also confirms that learner modality plays a moderating role in word stress acquisition. Auditory learners achieved the highest improvement, followed by visual and kinaesthetic learners. This indicates that while TikTok benefits all learners, its effectiveness is maximised when aligned with learner cognitive preferences.</w:t>
      </w:r>
    </w:p>
    <w:p w14:paraId="0B0F5563" w14:textId="4E6A8D39" w:rsidR="00022D45" w:rsidRPr="00022D45"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Overall, the integration of multimodal digital tools such as TikTok into ESL pronunciation instruction provides a promising pedagogical approach for improving suprasegmental pronunciation skills. The findings contribute to existing literature by highlighting the importance of both technological affordances and learner differences in language acquisition.</w:t>
      </w:r>
      <w:r w:rsidRPr="008B151E">
        <w:rPr>
          <w:rFonts w:ascii="Times New Roman" w:hAnsi="Times New Roman" w:cs="Times New Roman"/>
          <w:b/>
          <w:bCs/>
          <w:sz w:val="22"/>
          <w:szCs w:val="22"/>
        </w:rPr>
        <w:t xml:space="preserve"> </w:t>
      </w:r>
    </w:p>
    <w:p w14:paraId="6D407A8E" w14:textId="74B2D12B" w:rsidR="008B151E" w:rsidRPr="008B151E" w:rsidRDefault="008B151E" w:rsidP="00E76B2D">
      <w:pPr>
        <w:jc w:val="both"/>
        <w:rPr>
          <w:rFonts w:ascii="Times New Roman" w:hAnsi="Times New Roman" w:cs="Times New Roman"/>
          <w:b/>
          <w:bCs/>
          <w:sz w:val="22"/>
          <w:szCs w:val="22"/>
        </w:rPr>
      </w:pPr>
      <w:r w:rsidRPr="008B151E">
        <w:rPr>
          <w:rFonts w:ascii="Times New Roman" w:hAnsi="Times New Roman" w:cs="Times New Roman"/>
          <w:b/>
          <w:bCs/>
          <w:sz w:val="22"/>
          <w:szCs w:val="22"/>
        </w:rPr>
        <w:t>RECOMMENDATIONS</w:t>
      </w:r>
    </w:p>
    <w:p w14:paraId="5DAA78BE"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Based on the findings of this study, several recommendations are proposed.</w:t>
      </w:r>
    </w:p>
    <w:p w14:paraId="6FE70516"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Firstly, educators are encouraged to integrate TikTok-based microlearning into ESL pronunciation instruction, particularly for teaching word stress patterns. The multimodal nature of TikTok allows learners to receive repeated exposure to authentic pronunciation input, which can significantly enhance learning outcomes.</w:t>
      </w:r>
    </w:p>
    <w:p w14:paraId="0CBB04B2"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Secondly, instructional designers should consider learner modality when developing digital learning materials. Content should be designed to include auditory, visual, and kinaesthetic elements to accommodate diverse learning preferences. For example, subtitles and visual stress markers can support visual learners, while repetition-based tasks can support auditory learners.</w:t>
      </w:r>
    </w:p>
    <w:p w14:paraId="7DAFE31F" w14:textId="7777777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t>Thirdly, educational institutions should adopt blended learning approaches that combine traditional instruction with digital microlearning platforms. This would allow learners to benefit from structured classroom teaching while also engaging in self-directed learning through social media platforms.</w:t>
      </w:r>
    </w:p>
    <w:p w14:paraId="765F6B45" w14:textId="1302DC67" w:rsidR="008B151E" w:rsidRPr="008B151E" w:rsidRDefault="008B151E" w:rsidP="00E76B2D">
      <w:pPr>
        <w:jc w:val="both"/>
        <w:rPr>
          <w:rFonts w:ascii="Times New Roman" w:hAnsi="Times New Roman" w:cs="Times New Roman"/>
          <w:sz w:val="22"/>
          <w:szCs w:val="22"/>
        </w:rPr>
      </w:pPr>
      <w:r w:rsidRPr="008B151E">
        <w:rPr>
          <w:rFonts w:ascii="Times New Roman" w:hAnsi="Times New Roman" w:cs="Times New Roman"/>
          <w:sz w:val="22"/>
          <w:szCs w:val="22"/>
        </w:rPr>
        <w:lastRenderedPageBreak/>
        <w:t>Finally, future research should explore long-term retention effects of TikTok-based learning and investigate additional moderating variables such as learner motivation, digital literacy, and anxiety levels in pronunciation learning.</w:t>
      </w:r>
    </w:p>
    <w:p w14:paraId="45A328DB" w14:textId="52FB0C60" w:rsidR="008B151E" w:rsidRPr="008B151E" w:rsidRDefault="008B151E" w:rsidP="00E76B2D">
      <w:pPr>
        <w:jc w:val="both"/>
        <w:rPr>
          <w:rFonts w:ascii="Times New Roman" w:hAnsi="Times New Roman" w:cs="Times New Roman"/>
          <w:b/>
          <w:bCs/>
          <w:sz w:val="22"/>
          <w:szCs w:val="22"/>
        </w:rPr>
      </w:pPr>
      <w:r w:rsidRPr="008B151E">
        <w:rPr>
          <w:rFonts w:ascii="Times New Roman" w:hAnsi="Times New Roman" w:cs="Times New Roman"/>
          <w:b/>
          <w:bCs/>
          <w:sz w:val="22"/>
          <w:szCs w:val="22"/>
        </w:rPr>
        <w:t>ACKNOWLEDGEMENT</w:t>
      </w:r>
    </w:p>
    <w:p w14:paraId="3D4A0F9F" w14:textId="722133D2" w:rsidR="008B151E" w:rsidRPr="008B151E" w:rsidRDefault="008B151E" w:rsidP="00EC12F2">
      <w:pPr>
        <w:jc w:val="both"/>
        <w:rPr>
          <w:rFonts w:ascii="Times New Roman" w:hAnsi="Times New Roman" w:cs="Times New Roman"/>
          <w:sz w:val="22"/>
          <w:szCs w:val="22"/>
        </w:rPr>
      </w:pPr>
      <w:r w:rsidRPr="008B151E">
        <w:rPr>
          <w:rFonts w:ascii="Times New Roman" w:hAnsi="Times New Roman" w:cs="Times New Roman"/>
          <w:sz w:val="22"/>
          <w:szCs w:val="22"/>
        </w:rPr>
        <w:t>The author would like to express sincere gratitude to all participants who contributed to this study. Special appreciation is extended to the academic supervisors and lecturers who provided continuous guidance and support throughout the research process. Their valuable feedback and insights greatly contributed to the completion of this study. Appreciation is also extended to the institution for providing the necessary facilities and academic environment to conduct this research.</w:t>
      </w:r>
    </w:p>
    <w:p w14:paraId="5D461EA7" w14:textId="401FD2E6" w:rsidR="008B151E" w:rsidRPr="008B151E" w:rsidRDefault="008B151E" w:rsidP="008B151E">
      <w:pPr>
        <w:rPr>
          <w:rFonts w:ascii="Times New Roman" w:hAnsi="Times New Roman" w:cs="Times New Roman"/>
          <w:b/>
          <w:bCs/>
          <w:sz w:val="22"/>
          <w:szCs w:val="22"/>
        </w:rPr>
      </w:pPr>
      <w:r w:rsidRPr="008B151E">
        <w:rPr>
          <w:rFonts w:ascii="Times New Roman" w:hAnsi="Times New Roman" w:cs="Times New Roman"/>
          <w:b/>
          <w:bCs/>
          <w:sz w:val="22"/>
          <w:szCs w:val="22"/>
        </w:rPr>
        <w:t xml:space="preserve">REFERENCES </w:t>
      </w:r>
    </w:p>
    <w:p w14:paraId="38DFF1A6" w14:textId="0A7028B9" w:rsidR="00EC12F2" w:rsidRPr="008B151E" w:rsidRDefault="00022D45" w:rsidP="008B151E">
      <w:pPr>
        <w:rPr>
          <w:rFonts w:ascii="Times New Roman" w:hAnsi="Times New Roman" w:cs="Times New Roman"/>
          <w:sz w:val="22"/>
          <w:szCs w:val="22"/>
        </w:rPr>
      </w:pPr>
      <w:r>
        <w:rPr>
          <w:rFonts w:ascii="Times New Roman" w:hAnsi="Times New Roman" w:cs="Times New Roman"/>
          <w:sz w:val="22"/>
          <w:szCs w:val="22"/>
        </w:rPr>
        <w:t xml:space="preserve">1. </w:t>
      </w:r>
      <w:r>
        <w:rPr>
          <w:rFonts w:ascii="Times New Roman" w:hAnsi="Times New Roman" w:cs="Times New Roman"/>
          <w:sz w:val="22"/>
          <w:szCs w:val="22"/>
        </w:rPr>
        <w:tab/>
      </w:r>
      <w:r w:rsidR="008B151E" w:rsidRPr="008B151E">
        <w:rPr>
          <w:rFonts w:ascii="Times New Roman" w:hAnsi="Times New Roman" w:cs="Times New Roman"/>
          <w:sz w:val="22"/>
          <w:szCs w:val="22"/>
        </w:rPr>
        <w:t xml:space="preserve">Abdullah, M., &amp; Rahman, S. (2023). Digital learning tools in ESL pronunciation </w:t>
      </w:r>
      <w:r>
        <w:rPr>
          <w:rFonts w:ascii="Times New Roman" w:hAnsi="Times New Roman" w:cs="Times New Roman"/>
          <w:sz w:val="22"/>
          <w:szCs w:val="22"/>
        </w:rPr>
        <w:tab/>
      </w:r>
      <w:r w:rsidR="008B151E" w:rsidRPr="008B151E">
        <w:rPr>
          <w:rFonts w:ascii="Times New Roman" w:hAnsi="Times New Roman" w:cs="Times New Roman"/>
          <w:sz w:val="22"/>
          <w:szCs w:val="22"/>
        </w:rPr>
        <w:t xml:space="preserve">development. </w:t>
      </w:r>
      <w:r>
        <w:rPr>
          <w:rFonts w:ascii="Times New Roman" w:hAnsi="Times New Roman" w:cs="Times New Roman"/>
          <w:sz w:val="22"/>
          <w:szCs w:val="22"/>
        </w:rPr>
        <w:t xml:space="preserve"> </w:t>
      </w:r>
      <w:r w:rsidR="008B151E" w:rsidRPr="008B151E">
        <w:rPr>
          <w:rFonts w:ascii="Times New Roman" w:hAnsi="Times New Roman" w:cs="Times New Roman"/>
          <w:i/>
          <w:iCs/>
          <w:sz w:val="22"/>
          <w:szCs w:val="22"/>
        </w:rPr>
        <w:t>Journal of Language Teaching and Research</w:t>
      </w:r>
      <w:r w:rsidR="008B151E" w:rsidRPr="008B151E">
        <w:rPr>
          <w:rFonts w:ascii="Times New Roman" w:hAnsi="Times New Roman" w:cs="Times New Roman"/>
          <w:sz w:val="22"/>
          <w:szCs w:val="22"/>
        </w:rPr>
        <w:t>, 14(2), 201–210.</w:t>
      </w:r>
    </w:p>
    <w:p w14:paraId="79B516A1" w14:textId="4FD1D69E" w:rsidR="008B151E" w:rsidRPr="008B151E" w:rsidRDefault="00022D45" w:rsidP="008B151E">
      <w:pPr>
        <w:rPr>
          <w:rFonts w:ascii="Times New Roman" w:hAnsi="Times New Roman" w:cs="Times New Roman"/>
          <w:sz w:val="22"/>
          <w:szCs w:val="22"/>
        </w:rPr>
      </w:pPr>
      <w:r>
        <w:rPr>
          <w:rFonts w:ascii="Times New Roman" w:hAnsi="Times New Roman" w:cs="Times New Roman"/>
          <w:sz w:val="22"/>
          <w:szCs w:val="22"/>
        </w:rPr>
        <w:t xml:space="preserve">2. </w:t>
      </w:r>
      <w:r>
        <w:rPr>
          <w:rFonts w:ascii="Times New Roman" w:hAnsi="Times New Roman" w:cs="Times New Roman"/>
          <w:sz w:val="22"/>
          <w:szCs w:val="22"/>
        </w:rPr>
        <w:tab/>
      </w:r>
      <w:r w:rsidR="008B151E" w:rsidRPr="008B151E">
        <w:rPr>
          <w:rFonts w:ascii="Times New Roman" w:hAnsi="Times New Roman" w:cs="Times New Roman"/>
          <w:sz w:val="22"/>
          <w:szCs w:val="22"/>
        </w:rPr>
        <w:t xml:space="preserve">Celce-Murcia, M., Brinton, D., &amp; Goodwin, J. (2010). </w:t>
      </w:r>
      <w:r w:rsidR="008B151E" w:rsidRPr="008B151E">
        <w:rPr>
          <w:rFonts w:ascii="Times New Roman" w:hAnsi="Times New Roman" w:cs="Times New Roman"/>
          <w:i/>
          <w:iCs/>
          <w:sz w:val="22"/>
          <w:szCs w:val="22"/>
        </w:rPr>
        <w:t>Teaching pronunciation</w:t>
      </w:r>
      <w:r w:rsidR="008B151E" w:rsidRPr="008B151E">
        <w:rPr>
          <w:rFonts w:ascii="Times New Roman" w:hAnsi="Times New Roman" w:cs="Times New Roman"/>
          <w:sz w:val="22"/>
          <w:szCs w:val="22"/>
        </w:rPr>
        <w:t xml:space="preserve">. Cambridge </w:t>
      </w:r>
      <w:r>
        <w:rPr>
          <w:rFonts w:ascii="Times New Roman" w:hAnsi="Times New Roman" w:cs="Times New Roman"/>
          <w:sz w:val="22"/>
          <w:szCs w:val="22"/>
        </w:rPr>
        <w:tab/>
      </w:r>
      <w:r w:rsidR="008B151E" w:rsidRPr="008B151E">
        <w:rPr>
          <w:rFonts w:ascii="Times New Roman" w:hAnsi="Times New Roman" w:cs="Times New Roman"/>
          <w:sz w:val="22"/>
          <w:szCs w:val="22"/>
        </w:rPr>
        <w:t>University Press.</w:t>
      </w:r>
    </w:p>
    <w:p w14:paraId="33320956" w14:textId="24C7DF76" w:rsidR="008B151E" w:rsidRPr="008B151E" w:rsidRDefault="00022D45" w:rsidP="008B151E">
      <w:pPr>
        <w:rPr>
          <w:rFonts w:ascii="Times New Roman" w:hAnsi="Times New Roman" w:cs="Times New Roman"/>
          <w:sz w:val="22"/>
          <w:szCs w:val="22"/>
        </w:rPr>
      </w:pPr>
      <w:r>
        <w:rPr>
          <w:rFonts w:ascii="Times New Roman" w:hAnsi="Times New Roman" w:cs="Times New Roman"/>
          <w:sz w:val="22"/>
          <w:szCs w:val="22"/>
        </w:rPr>
        <w:t xml:space="preserve">3. </w:t>
      </w:r>
      <w:r>
        <w:rPr>
          <w:rFonts w:ascii="Times New Roman" w:hAnsi="Times New Roman" w:cs="Times New Roman"/>
          <w:sz w:val="22"/>
          <w:szCs w:val="22"/>
        </w:rPr>
        <w:tab/>
      </w:r>
      <w:r w:rsidR="008B151E" w:rsidRPr="008B151E">
        <w:rPr>
          <w:rFonts w:ascii="Times New Roman" w:hAnsi="Times New Roman" w:cs="Times New Roman"/>
          <w:sz w:val="22"/>
          <w:szCs w:val="22"/>
        </w:rPr>
        <w:t xml:space="preserve">Davis, F. D. (1989). Perceived usefulness and ease of use in technology acceptance. </w:t>
      </w:r>
      <w:r w:rsidR="008B151E" w:rsidRPr="008B151E">
        <w:rPr>
          <w:rFonts w:ascii="Times New Roman" w:hAnsi="Times New Roman" w:cs="Times New Roman"/>
          <w:i/>
          <w:iCs/>
          <w:sz w:val="22"/>
          <w:szCs w:val="22"/>
        </w:rPr>
        <w:t xml:space="preserve">MIS </w:t>
      </w:r>
      <w:r>
        <w:rPr>
          <w:rFonts w:ascii="Times New Roman" w:hAnsi="Times New Roman" w:cs="Times New Roman"/>
          <w:i/>
          <w:iCs/>
          <w:sz w:val="22"/>
          <w:szCs w:val="22"/>
        </w:rPr>
        <w:tab/>
      </w:r>
      <w:r w:rsidR="008B151E" w:rsidRPr="008B151E">
        <w:rPr>
          <w:rFonts w:ascii="Times New Roman" w:hAnsi="Times New Roman" w:cs="Times New Roman"/>
          <w:i/>
          <w:iCs/>
          <w:sz w:val="22"/>
          <w:szCs w:val="22"/>
        </w:rPr>
        <w:t>Quarterly</w:t>
      </w:r>
      <w:r w:rsidR="008B151E" w:rsidRPr="008B151E">
        <w:rPr>
          <w:rFonts w:ascii="Times New Roman" w:hAnsi="Times New Roman" w:cs="Times New Roman"/>
          <w:sz w:val="22"/>
          <w:szCs w:val="22"/>
        </w:rPr>
        <w:t>, 13(3), 319–340.</w:t>
      </w:r>
    </w:p>
    <w:p w14:paraId="1F827003" w14:textId="25EB5489" w:rsidR="008B151E" w:rsidRPr="008B151E" w:rsidRDefault="00022D45" w:rsidP="008B151E">
      <w:pPr>
        <w:rPr>
          <w:rFonts w:ascii="Times New Roman" w:hAnsi="Times New Roman" w:cs="Times New Roman"/>
          <w:sz w:val="22"/>
          <w:szCs w:val="22"/>
        </w:rPr>
      </w:pPr>
      <w:r>
        <w:rPr>
          <w:rFonts w:ascii="Times New Roman" w:hAnsi="Times New Roman" w:cs="Times New Roman"/>
          <w:sz w:val="22"/>
          <w:szCs w:val="22"/>
        </w:rPr>
        <w:t xml:space="preserve">4. </w:t>
      </w:r>
      <w:r>
        <w:rPr>
          <w:rFonts w:ascii="Times New Roman" w:hAnsi="Times New Roman" w:cs="Times New Roman"/>
          <w:sz w:val="22"/>
          <w:szCs w:val="22"/>
        </w:rPr>
        <w:tab/>
      </w:r>
      <w:r w:rsidR="008B151E" w:rsidRPr="008B151E">
        <w:rPr>
          <w:rFonts w:ascii="Times New Roman" w:hAnsi="Times New Roman" w:cs="Times New Roman"/>
          <w:sz w:val="22"/>
          <w:szCs w:val="22"/>
        </w:rPr>
        <w:t xml:space="preserve">Field, J. (2005). Intelligibility and lexical stress in ESL learning. </w:t>
      </w:r>
      <w:r w:rsidR="008B151E" w:rsidRPr="008B151E">
        <w:rPr>
          <w:rFonts w:ascii="Times New Roman" w:hAnsi="Times New Roman" w:cs="Times New Roman"/>
          <w:i/>
          <w:iCs/>
          <w:sz w:val="22"/>
          <w:szCs w:val="22"/>
        </w:rPr>
        <w:t>TESOL Quarterly</w:t>
      </w:r>
      <w:r w:rsidR="008B151E" w:rsidRPr="008B151E">
        <w:rPr>
          <w:rFonts w:ascii="Times New Roman" w:hAnsi="Times New Roman" w:cs="Times New Roman"/>
          <w:sz w:val="22"/>
          <w:szCs w:val="22"/>
        </w:rPr>
        <w:t xml:space="preserve">, 39(3), </w:t>
      </w:r>
      <w:r>
        <w:rPr>
          <w:rFonts w:ascii="Times New Roman" w:hAnsi="Times New Roman" w:cs="Times New Roman"/>
          <w:sz w:val="22"/>
          <w:szCs w:val="22"/>
        </w:rPr>
        <w:tab/>
      </w:r>
      <w:r w:rsidR="008B151E" w:rsidRPr="008B151E">
        <w:rPr>
          <w:rFonts w:ascii="Times New Roman" w:hAnsi="Times New Roman" w:cs="Times New Roman"/>
          <w:sz w:val="22"/>
          <w:szCs w:val="22"/>
        </w:rPr>
        <w:t>399–423.Fleming, N. (2001). VARK learning styles model.</w:t>
      </w:r>
    </w:p>
    <w:p w14:paraId="6A0FD344" w14:textId="19302F08" w:rsidR="008B151E" w:rsidRPr="008B151E" w:rsidRDefault="00022D45" w:rsidP="008B151E">
      <w:pPr>
        <w:rPr>
          <w:rFonts w:ascii="Times New Roman" w:hAnsi="Times New Roman" w:cs="Times New Roman"/>
          <w:sz w:val="22"/>
          <w:szCs w:val="22"/>
        </w:rPr>
      </w:pPr>
      <w:r>
        <w:rPr>
          <w:rFonts w:ascii="Times New Roman" w:hAnsi="Times New Roman" w:cs="Times New Roman"/>
          <w:sz w:val="22"/>
          <w:szCs w:val="22"/>
        </w:rPr>
        <w:t xml:space="preserve">5. </w:t>
      </w:r>
      <w:r>
        <w:rPr>
          <w:rFonts w:ascii="Times New Roman" w:hAnsi="Times New Roman" w:cs="Times New Roman"/>
          <w:sz w:val="22"/>
          <w:szCs w:val="22"/>
        </w:rPr>
        <w:tab/>
      </w:r>
      <w:r w:rsidR="008B151E" w:rsidRPr="008B151E">
        <w:rPr>
          <w:rFonts w:ascii="Times New Roman" w:hAnsi="Times New Roman" w:cs="Times New Roman"/>
          <w:sz w:val="22"/>
          <w:szCs w:val="22"/>
        </w:rPr>
        <w:t xml:space="preserve">Godwin-Jones, R. (2018). Emerging technologies: Mobile-assisted language learning. </w:t>
      </w:r>
      <w:r>
        <w:rPr>
          <w:rFonts w:ascii="Times New Roman" w:hAnsi="Times New Roman" w:cs="Times New Roman"/>
          <w:sz w:val="22"/>
          <w:szCs w:val="22"/>
        </w:rPr>
        <w:tab/>
      </w:r>
      <w:r w:rsidR="008B151E" w:rsidRPr="008B151E">
        <w:rPr>
          <w:rFonts w:ascii="Times New Roman" w:hAnsi="Times New Roman" w:cs="Times New Roman"/>
          <w:i/>
          <w:iCs/>
          <w:sz w:val="22"/>
          <w:szCs w:val="22"/>
        </w:rPr>
        <w:t>Language Learning &amp; Technology</w:t>
      </w:r>
      <w:r w:rsidR="008B151E" w:rsidRPr="008B151E">
        <w:rPr>
          <w:rFonts w:ascii="Times New Roman" w:hAnsi="Times New Roman" w:cs="Times New Roman"/>
          <w:sz w:val="22"/>
          <w:szCs w:val="22"/>
        </w:rPr>
        <w:t>, 22(2), 3–15.</w:t>
      </w:r>
    </w:p>
    <w:p w14:paraId="7C28D009" w14:textId="6888F243" w:rsidR="008B151E" w:rsidRPr="008B151E" w:rsidRDefault="00022D45" w:rsidP="008B151E">
      <w:pPr>
        <w:rPr>
          <w:rFonts w:ascii="Times New Roman" w:hAnsi="Times New Roman" w:cs="Times New Roman"/>
          <w:sz w:val="22"/>
          <w:szCs w:val="22"/>
        </w:rPr>
      </w:pPr>
      <w:r>
        <w:rPr>
          <w:rFonts w:ascii="Times New Roman" w:hAnsi="Times New Roman" w:cs="Times New Roman"/>
          <w:sz w:val="22"/>
          <w:szCs w:val="22"/>
        </w:rPr>
        <w:t xml:space="preserve">6. </w:t>
      </w:r>
      <w:r>
        <w:rPr>
          <w:rFonts w:ascii="Times New Roman" w:hAnsi="Times New Roman" w:cs="Times New Roman"/>
          <w:sz w:val="22"/>
          <w:szCs w:val="22"/>
        </w:rPr>
        <w:tab/>
      </w:r>
      <w:r w:rsidR="008B151E" w:rsidRPr="008B151E">
        <w:rPr>
          <w:rFonts w:ascii="Times New Roman" w:hAnsi="Times New Roman" w:cs="Times New Roman"/>
          <w:sz w:val="22"/>
          <w:szCs w:val="22"/>
        </w:rPr>
        <w:t xml:space="preserve">Krashen, S. (1985). </w:t>
      </w:r>
      <w:r w:rsidR="008B151E" w:rsidRPr="008B151E">
        <w:rPr>
          <w:rFonts w:ascii="Times New Roman" w:hAnsi="Times New Roman" w:cs="Times New Roman"/>
          <w:i/>
          <w:iCs/>
          <w:sz w:val="22"/>
          <w:szCs w:val="22"/>
        </w:rPr>
        <w:t>The input hypothesis</w:t>
      </w:r>
      <w:r w:rsidR="008B151E" w:rsidRPr="008B151E">
        <w:rPr>
          <w:rFonts w:ascii="Times New Roman" w:hAnsi="Times New Roman" w:cs="Times New Roman"/>
          <w:sz w:val="22"/>
          <w:szCs w:val="22"/>
        </w:rPr>
        <w:t>. Longman.</w:t>
      </w:r>
    </w:p>
    <w:p w14:paraId="44C1DE88" w14:textId="68C2E28F" w:rsidR="008B151E" w:rsidRPr="008B151E" w:rsidRDefault="00022D45" w:rsidP="008B151E">
      <w:pPr>
        <w:rPr>
          <w:rFonts w:ascii="Times New Roman" w:hAnsi="Times New Roman" w:cs="Times New Roman"/>
          <w:sz w:val="22"/>
          <w:szCs w:val="22"/>
        </w:rPr>
      </w:pPr>
      <w:r>
        <w:rPr>
          <w:rFonts w:ascii="Times New Roman" w:hAnsi="Times New Roman" w:cs="Times New Roman"/>
          <w:sz w:val="22"/>
          <w:szCs w:val="22"/>
        </w:rPr>
        <w:t xml:space="preserve">7. </w:t>
      </w:r>
      <w:r>
        <w:rPr>
          <w:rFonts w:ascii="Times New Roman" w:hAnsi="Times New Roman" w:cs="Times New Roman"/>
          <w:sz w:val="22"/>
          <w:szCs w:val="22"/>
        </w:rPr>
        <w:tab/>
      </w:r>
      <w:r w:rsidR="008B151E" w:rsidRPr="008B151E">
        <w:rPr>
          <w:rFonts w:ascii="Times New Roman" w:hAnsi="Times New Roman" w:cs="Times New Roman"/>
          <w:sz w:val="22"/>
          <w:szCs w:val="22"/>
        </w:rPr>
        <w:t xml:space="preserve">Mayer, R. E. (2001). </w:t>
      </w:r>
      <w:r w:rsidR="008B151E" w:rsidRPr="008B151E">
        <w:rPr>
          <w:rFonts w:ascii="Times New Roman" w:hAnsi="Times New Roman" w:cs="Times New Roman"/>
          <w:i/>
          <w:iCs/>
          <w:sz w:val="22"/>
          <w:szCs w:val="22"/>
        </w:rPr>
        <w:t>Multimedia learning</w:t>
      </w:r>
      <w:r w:rsidR="008B151E" w:rsidRPr="008B151E">
        <w:rPr>
          <w:rFonts w:ascii="Times New Roman" w:hAnsi="Times New Roman" w:cs="Times New Roman"/>
          <w:sz w:val="22"/>
          <w:szCs w:val="22"/>
        </w:rPr>
        <w:t>. Cambridge University Press.</w:t>
      </w:r>
    </w:p>
    <w:p w14:paraId="5C82EB95" w14:textId="177A6935" w:rsidR="008B151E" w:rsidRPr="008B151E" w:rsidRDefault="00022D45" w:rsidP="008B151E">
      <w:pPr>
        <w:rPr>
          <w:rFonts w:ascii="Times New Roman" w:hAnsi="Times New Roman" w:cs="Times New Roman"/>
          <w:sz w:val="22"/>
          <w:szCs w:val="22"/>
        </w:rPr>
      </w:pPr>
      <w:r>
        <w:rPr>
          <w:rFonts w:ascii="Times New Roman" w:hAnsi="Times New Roman" w:cs="Times New Roman"/>
          <w:sz w:val="22"/>
          <w:szCs w:val="22"/>
        </w:rPr>
        <w:t xml:space="preserve">8. </w:t>
      </w:r>
      <w:r>
        <w:rPr>
          <w:rFonts w:ascii="Times New Roman" w:hAnsi="Times New Roman" w:cs="Times New Roman"/>
          <w:sz w:val="22"/>
          <w:szCs w:val="22"/>
        </w:rPr>
        <w:tab/>
      </w:r>
      <w:r w:rsidR="008B151E" w:rsidRPr="008B151E">
        <w:rPr>
          <w:rFonts w:ascii="Times New Roman" w:hAnsi="Times New Roman" w:cs="Times New Roman"/>
          <w:sz w:val="22"/>
          <w:szCs w:val="22"/>
        </w:rPr>
        <w:t xml:space="preserve">Vygotsky, L. (1978). </w:t>
      </w:r>
      <w:r w:rsidR="008B151E" w:rsidRPr="008B151E">
        <w:rPr>
          <w:rFonts w:ascii="Times New Roman" w:hAnsi="Times New Roman" w:cs="Times New Roman"/>
          <w:i/>
          <w:iCs/>
          <w:sz w:val="22"/>
          <w:szCs w:val="22"/>
        </w:rPr>
        <w:t>Mind in society</w:t>
      </w:r>
      <w:r w:rsidR="008B151E" w:rsidRPr="008B151E">
        <w:rPr>
          <w:rFonts w:ascii="Times New Roman" w:hAnsi="Times New Roman" w:cs="Times New Roman"/>
          <w:sz w:val="22"/>
          <w:szCs w:val="22"/>
        </w:rPr>
        <w:t>. Harvard University Press.</w:t>
      </w:r>
    </w:p>
    <w:p w14:paraId="2594ADB7" w14:textId="3FF7F89F" w:rsidR="008B151E" w:rsidRPr="008B151E" w:rsidRDefault="00022D45" w:rsidP="008B151E">
      <w:pPr>
        <w:rPr>
          <w:rFonts w:ascii="Times New Roman" w:hAnsi="Times New Roman" w:cs="Times New Roman"/>
          <w:sz w:val="22"/>
          <w:szCs w:val="22"/>
        </w:rPr>
      </w:pPr>
      <w:r>
        <w:rPr>
          <w:rFonts w:ascii="Times New Roman" w:hAnsi="Times New Roman" w:cs="Times New Roman"/>
          <w:sz w:val="22"/>
          <w:szCs w:val="22"/>
        </w:rPr>
        <w:t xml:space="preserve">9. </w:t>
      </w:r>
      <w:r>
        <w:rPr>
          <w:rFonts w:ascii="Times New Roman" w:hAnsi="Times New Roman" w:cs="Times New Roman"/>
          <w:sz w:val="22"/>
          <w:szCs w:val="22"/>
        </w:rPr>
        <w:tab/>
      </w:r>
      <w:r w:rsidR="008B151E" w:rsidRPr="008B151E">
        <w:rPr>
          <w:rFonts w:ascii="Times New Roman" w:hAnsi="Times New Roman" w:cs="Times New Roman"/>
          <w:sz w:val="22"/>
          <w:szCs w:val="22"/>
        </w:rPr>
        <w:t xml:space="preserve">Zhang, X., &amp; Liu, Y. (2022). Short video platforms and language acquisition. </w:t>
      </w:r>
      <w:r w:rsidR="008B151E" w:rsidRPr="008B151E">
        <w:rPr>
          <w:rFonts w:ascii="Times New Roman" w:hAnsi="Times New Roman" w:cs="Times New Roman"/>
          <w:i/>
          <w:iCs/>
          <w:sz w:val="22"/>
          <w:szCs w:val="22"/>
        </w:rPr>
        <w:t xml:space="preserve">Computers &amp; </w:t>
      </w:r>
      <w:r w:rsidR="00EC12F2">
        <w:rPr>
          <w:rFonts w:ascii="Times New Roman" w:hAnsi="Times New Roman" w:cs="Times New Roman"/>
          <w:i/>
          <w:iCs/>
          <w:sz w:val="22"/>
          <w:szCs w:val="22"/>
        </w:rPr>
        <w:tab/>
      </w:r>
      <w:r w:rsidR="008B151E" w:rsidRPr="008B151E">
        <w:rPr>
          <w:rFonts w:ascii="Times New Roman" w:hAnsi="Times New Roman" w:cs="Times New Roman"/>
          <w:i/>
          <w:iCs/>
          <w:sz w:val="22"/>
          <w:szCs w:val="22"/>
        </w:rPr>
        <w:t>Education</w:t>
      </w:r>
      <w:r w:rsidR="008B151E" w:rsidRPr="008B151E">
        <w:rPr>
          <w:rFonts w:ascii="Times New Roman" w:hAnsi="Times New Roman" w:cs="Times New Roman"/>
          <w:sz w:val="22"/>
          <w:szCs w:val="22"/>
        </w:rPr>
        <w:t>, 176, 104350.</w:t>
      </w:r>
    </w:p>
    <w:p w14:paraId="47DDCC3C" w14:textId="77777777" w:rsidR="008B151E" w:rsidRPr="001C75F7" w:rsidRDefault="008B151E">
      <w:pPr>
        <w:rPr>
          <w:rFonts w:ascii="Times New Roman" w:hAnsi="Times New Roman" w:cs="Times New Roman"/>
          <w:sz w:val="22"/>
          <w:szCs w:val="22"/>
        </w:rPr>
      </w:pPr>
    </w:p>
    <w:sectPr w:rsidR="008B151E" w:rsidRPr="001C75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D95CD0"/>
    <w:multiLevelType w:val="multilevel"/>
    <w:tmpl w:val="D25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5160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51E"/>
    <w:rsid w:val="00022884"/>
    <w:rsid w:val="00022D45"/>
    <w:rsid w:val="001C75F7"/>
    <w:rsid w:val="002249FC"/>
    <w:rsid w:val="00256BF2"/>
    <w:rsid w:val="004E51EE"/>
    <w:rsid w:val="007049E0"/>
    <w:rsid w:val="008B151E"/>
    <w:rsid w:val="00991926"/>
    <w:rsid w:val="00A029E3"/>
    <w:rsid w:val="00D74D67"/>
    <w:rsid w:val="00E66347"/>
    <w:rsid w:val="00E76B2D"/>
    <w:rsid w:val="00EC12F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34CB6"/>
  <w15:chartTrackingRefBased/>
  <w15:docId w15:val="{BE63674A-02AE-3148-9D2B-6CFEF8C31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Y"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15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15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15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15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15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15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15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15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15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5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15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15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15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15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15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15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15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151E"/>
    <w:rPr>
      <w:rFonts w:eastAsiaTheme="majorEastAsia" w:cstheme="majorBidi"/>
      <w:color w:val="272727" w:themeColor="text1" w:themeTint="D8"/>
    </w:rPr>
  </w:style>
  <w:style w:type="paragraph" w:styleId="Title">
    <w:name w:val="Title"/>
    <w:basedOn w:val="Normal"/>
    <w:next w:val="Normal"/>
    <w:link w:val="TitleChar"/>
    <w:uiPriority w:val="10"/>
    <w:qFormat/>
    <w:rsid w:val="008B15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5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15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15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151E"/>
    <w:pPr>
      <w:spacing w:before="160"/>
      <w:jc w:val="center"/>
    </w:pPr>
    <w:rPr>
      <w:i/>
      <w:iCs/>
      <w:color w:val="404040" w:themeColor="text1" w:themeTint="BF"/>
    </w:rPr>
  </w:style>
  <w:style w:type="character" w:customStyle="1" w:styleId="QuoteChar">
    <w:name w:val="Quote Char"/>
    <w:basedOn w:val="DefaultParagraphFont"/>
    <w:link w:val="Quote"/>
    <w:uiPriority w:val="29"/>
    <w:rsid w:val="008B151E"/>
    <w:rPr>
      <w:i/>
      <w:iCs/>
      <w:color w:val="404040" w:themeColor="text1" w:themeTint="BF"/>
    </w:rPr>
  </w:style>
  <w:style w:type="paragraph" w:styleId="ListParagraph">
    <w:name w:val="List Paragraph"/>
    <w:basedOn w:val="Normal"/>
    <w:uiPriority w:val="34"/>
    <w:qFormat/>
    <w:rsid w:val="008B151E"/>
    <w:pPr>
      <w:ind w:left="720"/>
      <w:contextualSpacing/>
    </w:pPr>
  </w:style>
  <w:style w:type="character" w:styleId="IntenseEmphasis">
    <w:name w:val="Intense Emphasis"/>
    <w:basedOn w:val="DefaultParagraphFont"/>
    <w:uiPriority w:val="21"/>
    <w:qFormat/>
    <w:rsid w:val="008B151E"/>
    <w:rPr>
      <w:i/>
      <w:iCs/>
      <w:color w:val="0F4761" w:themeColor="accent1" w:themeShade="BF"/>
    </w:rPr>
  </w:style>
  <w:style w:type="paragraph" w:styleId="IntenseQuote">
    <w:name w:val="Intense Quote"/>
    <w:basedOn w:val="Normal"/>
    <w:next w:val="Normal"/>
    <w:link w:val="IntenseQuoteChar"/>
    <w:uiPriority w:val="30"/>
    <w:qFormat/>
    <w:rsid w:val="008B15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151E"/>
    <w:rPr>
      <w:i/>
      <w:iCs/>
      <w:color w:val="0F4761" w:themeColor="accent1" w:themeShade="BF"/>
    </w:rPr>
  </w:style>
  <w:style w:type="character" w:styleId="IntenseReference">
    <w:name w:val="Intense Reference"/>
    <w:basedOn w:val="DefaultParagraphFont"/>
    <w:uiPriority w:val="32"/>
    <w:qFormat/>
    <w:rsid w:val="008B151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43150">
      <w:bodyDiv w:val="1"/>
      <w:marLeft w:val="0"/>
      <w:marRight w:val="0"/>
      <w:marTop w:val="0"/>
      <w:marBottom w:val="0"/>
      <w:divBdr>
        <w:top w:val="none" w:sz="0" w:space="0" w:color="auto"/>
        <w:left w:val="none" w:sz="0" w:space="0" w:color="auto"/>
        <w:bottom w:val="none" w:sz="0" w:space="0" w:color="auto"/>
        <w:right w:val="none" w:sz="0" w:space="0" w:color="auto"/>
      </w:divBdr>
    </w:div>
    <w:div w:id="41640059">
      <w:bodyDiv w:val="1"/>
      <w:marLeft w:val="0"/>
      <w:marRight w:val="0"/>
      <w:marTop w:val="0"/>
      <w:marBottom w:val="0"/>
      <w:divBdr>
        <w:top w:val="none" w:sz="0" w:space="0" w:color="auto"/>
        <w:left w:val="none" w:sz="0" w:space="0" w:color="auto"/>
        <w:bottom w:val="none" w:sz="0" w:space="0" w:color="auto"/>
        <w:right w:val="none" w:sz="0" w:space="0" w:color="auto"/>
      </w:divBdr>
    </w:div>
    <w:div w:id="43985306">
      <w:bodyDiv w:val="1"/>
      <w:marLeft w:val="0"/>
      <w:marRight w:val="0"/>
      <w:marTop w:val="0"/>
      <w:marBottom w:val="0"/>
      <w:divBdr>
        <w:top w:val="none" w:sz="0" w:space="0" w:color="auto"/>
        <w:left w:val="none" w:sz="0" w:space="0" w:color="auto"/>
        <w:bottom w:val="none" w:sz="0" w:space="0" w:color="auto"/>
        <w:right w:val="none" w:sz="0" w:space="0" w:color="auto"/>
      </w:divBdr>
    </w:div>
    <w:div w:id="99034976">
      <w:bodyDiv w:val="1"/>
      <w:marLeft w:val="0"/>
      <w:marRight w:val="0"/>
      <w:marTop w:val="0"/>
      <w:marBottom w:val="0"/>
      <w:divBdr>
        <w:top w:val="none" w:sz="0" w:space="0" w:color="auto"/>
        <w:left w:val="none" w:sz="0" w:space="0" w:color="auto"/>
        <w:bottom w:val="none" w:sz="0" w:space="0" w:color="auto"/>
        <w:right w:val="none" w:sz="0" w:space="0" w:color="auto"/>
      </w:divBdr>
    </w:div>
    <w:div w:id="126169122">
      <w:bodyDiv w:val="1"/>
      <w:marLeft w:val="0"/>
      <w:marRight w:val="0"/>
      <w:marTop w:val="0"/>
      <w:marBottom w:val="0"/>
      <w:divBdr>
        <w:top w:val="none" w:sz="0" w:space="0" w:color="auto"/>
        <w:left w:val="none" w:sz="0" w:space="0" w:color="auto"/>
        <w:bottom w:val="none" w:sz="0" w:space="0" w:color="auto"/>
        <w:right w:val="none" w:sz="0" w:space="0" w:color="auto"/>
      </w:divBdr>
    </w:div>
    <w:div w:id="126749958">
      <w:bodyDiv w:val="1"/>
      <w:marLeft w:val="0"/>
      <w:marRight w:val="0"/>
      <w:marTop w:val="0"/>
      <w:marBottom w:val="0"/>
      <w:divBdr>
        <w:top w:val="none" w:sz="0" w:space="0" w:color="auto"/>
        <w:left w:val="none" w:sz="0" w:space="0" w:color="auto"/>
        <w:bottom w:val="none" w:sz="0" w:space="0" w:color="auto"/>
        <w:right w:val="none" w:sz="0" w:space="0" w:color="auto"/>
      </w:divBdr>
    </w:div>
    <w:div w:id="159470898">
      <w:bodyDiv w:val="1"/>
      <w:marLeft w:val="0"/>
      <w:marRight w:val="0"/>
      <w:marTop w:val="0"/>
      <w:marBottom w:val="0"/>
      <w:divBdr>
        <w:top w:val="none" w:sz="0" w:space="0" w:color="auto"/>
        <w:left w:val="none" w:sz="0" w:space="0" w:color="auto"/>
        <w:bottom w:val="none" w:sz="0" w:space="0" w:color="auto"/>
        <w:right w:val="none" w:sz="0" w:space="0" w:color="auto"/>
      </w:divBdr>
    </w:div>
    <w:div w:id="187377562">
      <w:bodyDiv w:val="1"/>
      <w:marLeft w:val="0"/>
      <w:marRight w:val="0"/>
      <w:marTop w:val="0"/>
      <w:marBottom w:val="0"/>
      <w:divBdr>
        <w:top w:val="none" w:sz="0" w:space="0" w:color="auto"/>
        <w:left w:val="none" w:sz="0" w:space="0" w:color="auto"/>
        <w:bottom w:val="none" w:sz="0" w:space="0" w:color="auto"/>
        <w:right w:val="none" w:sz="0" w:space="0" w:color="auto"/>
      </w:divBdr>
    </w:div>
    <w:div w:id="200945271">
      <w:bodyDiv w:val="1"/>
      <w:marLeft w:val="0"/>
      <w:marRight w:val="0"/>
      <w:marTop w:val="0"/>
      <w:marBottom w:val="0"/>
      <w:divBdr>
        <w:top w:val="none" w:sz="0" w:space="0" w:color="auto"/>
        <w:left w:val="none" w:sz="0" w:space="0" w:color="auto"/>
        <w:bottom w:val="none" w:sz="0" w:space="0" w:color="auto"/>
        <w:right w:val="none" w:sz="0" w:space="0" w:color="auto"/>
      </w:divBdr>
    </w:div>
    <w:div w:id="237324155">
      <w:bodyDiv w:val="1"/>
      <w:marLeft w:val="0"/>
      <w:marRight w:val="0"/>
      <w:marTop w:val="0"/>
      <w:marBottom w:val="0"/>
      <w:divBdr>
        <w:top w:val="none" w:sz="0" w:space="0" w:color="auto"/>
        <w:left w:val="none" w:sz="0" w:space="0" w:color="auto"/>
        <w:bottom w:val="none" w:sz="0" w:space="0" w:color="auto"/>
        <w:right w:val="none" w:sz="0" w:space="0" w:color="auto"/>
      </w:divBdr>
    </w:div>
    <w:div w:id="271400490">
      <w:bodyDiv w:val="1"/>
      <w:marLeft w:val="0"/>
      <w:marRight w:val="0"/>
      <w:marTop w:val="0"/>
      <w:marBottom w:val="0"/>
      <w:divBdr>
        <w:top w:val="none" w:sz="0" w:space="0" w:color="auto"/>
        <w:left w:val="none" w:sz="0" w:space="0" w:color="auto"/>
        <w:bottom w:val="none" w:sz="0" w:space="0" w:color="auto"/>
        <w:right w:val="none" w:sz="0" w:space="0" w:color="auto"/>
      </w:divBdr>
    </w:div>
    <w:div w:id="302741163">
      <w:bodyDiv w:val="1"/>
      <w:marLeft w:val="0"/>
      <w:marRight w:val="0"/>
      <w:marTop w:val="0"/>
      <w:marBottom w:val="0"/>
      <w:divBdr>
        <w:top w:val="none" w:sz="0" w:space="0" w:color="auto"/>
        <w:left w:val="none" w:sz="0" w:space="0" w:color="auto"/>
        <w:bottom w:val="none" w:sz="0" w:space="0" w:color="auto"/>
        <w:right w:val="none" w:sz="0" w:space="0" w:color="auto"/>
      </w:divBdr>
    </w:div>
    <w:div w:id="311300404">
      <w:bodyDiv w:val="1"/>
      <w:marLeft w:val="0"/>
      <w:marRight w:val="0"/>
      <w:marTop w:val="0"/>
      <w:marBottom w:val="0"/>
      <w:divBdr>
        <w:top w:val="none" w:sz="0" w:space="0" w:color="auto"/>
        <w:left w:val="none" w:sz="0" w:space="0" w:color="auto"/>
        <w:bottom w:val="none" w:sz="0" w:space="0" w:color="auto"/>
        <w:right w:val="none" w:sz="0" w:space="0" w:color="auto"/>
      </w:divBdr>
    </w:div>
    <w:div w:id="318194831">
      <w:bodyDiv w:val="1"/>
      <w:marLeft w:val="0"/>
      <w:marRight w:val="0"/>
      <w:marTop w:val="0"/>
      <w:marBottom w:val="0"/>
      <w:divBdr>
        <w:top w:val="none" w:sz="0" w:space="0" w:color="auto"/>
        <w:left w:val="none" w:sz="0" w:space="0" w:color="auto"/>
        <w:bottom w:val="none" w:sz="0" w:space="0" w:color="auto"/>
        <w:right w:val="none" w:sz="0" w:space="0" w:color="auto"/>
      </w:divBdr>
    </w:div>
    <w:div w:id="337464282">
      <w:bodyDiv w:val="1"/>
      <w:marLeft w:val="0"/>
      <w:marRight w:val="0"/>
      <w:marTop w:val="0"/>
      <w:marBottom w:val="0"/>
      <w:divBdr>
        <w:top w:val="none" w:sz="0" w:space="0" w:color="auto"/>
        <w:left w:val="none" w:sz="0" w:space="0" w:color="auto"/>
        <w:bottom w:val="none" w:sz="0" w:space="0" w:color="auto"/>
        <w:right w:val="none" w:sz="0" w:space="0" w:color="auto"/>
      </w:divBdr>
    </w:div>
    <w:div w:id="357312256">
      <w:bodyDiv w:val="1"/>
      <w:marLeft w:val="0"/>
      <w:marRight w:val="0"/>
      <w:marTop w:val="0"/>
      <w:marBottom w:val="0"/>
      <w:divBdr>
        <w:top w:val="none" w:sz="0" w:space="0" w:color="auto"/>
        <w:left w:val="none" w:sz="0" w:space="0" w:color="auto"/>
        <w:bottom w:val="none" w:sz="0" w:space="0" w:color="auto"/>
        <w:right w:val="none" w:sz="0" w:space="0" w:color="auto"/>
      </w:divBdr>
    </w:div>
    <w:div w:id="369963538">
      <w:bodyDiv w:val="1"/>
      <w:marLeft w:val="0"/>
      <w:marRight w:val="0"/>
      <w:marTop w:val="0"/>
      <w:marBottom w:val="0"/>
      <w:divBdr>
        <w:top w:val="none" w:sz="0" w:space="0" w:color="auto"/>
        <w:left w:val="none" w:sz="0" w:space="0" w:color="auto"/>
        <w:bottom w:val="none" w:sz="0" w:space="0" w:color="auto"/>
        <w:right w:val="none" w:sz="0" w:space="0" w:color="auto"/>
      </w:divBdr>
    </w:div>
    <w:div w:id="426779758">
      <w:bodyDiv w:val="1"/>
      <w:marLeft w:val="0"/>
      <w:marRight w:val="0"/>
      <w:marTop w:val="0"/>
      <w:marBottom w:val="0"/>
      <w:divBdr>
        <w:top w:val="none" w:sz="0" w:space="0" w:color="auto"/>
        <w:left w:val="none" w:sz="0" w:space="0" w:color="auto"/>
        <w:bottom w:val="none" w:sz="0" w:space="0" w:color="auto"/>
        <w:right w:val="none" w:sz="0" w:space="0" w:color="auto"/>
      </w:divBdr>
    </w:div>
    <w:div w:id="497111881">
      <w:bodyDiv w:val="1"/>
      <w:marLeft w:val="0"/>
      <w:marRight w:val="0"/>
      <w:marTop w:val="0"/>
      <w:marBottom w:val="0"/>
      <w:divBdr>
        <w:top w:val="none" w:sz="0" w:space="0" w:color="auto"/>
        <w:left w:val="none" w:sz="0" w:space="0" w:color="auto"/>
        <w:bottom w:val="none" w:sz="0" w:space="0" w:color="auto"/>
        <w:right w:val="none" w:sz="0" w:space="0" w:color="auto"/>
      </w:divBdr>
      <w:divsChild>
        <w:div w:id="1567257364">
          <w:marLeft w:val="0"/>
          <w:marRight w:val="0"/>
          <w:marTop w:val="0"/>
          <w:marBottom w:val="0"/>
          <w:divBdr>
            <w:top w:val="none" w:sz="0" w:space="0" w:color="auto"/>
            <w:left w:val="none" w:sz="0" w:space="0" w:color="auto"/>
            <w:bottom w:val="none" w:sz="0" w:space="0" w:color="auto"/>
            <w:right w:val="none" w:sz="0" w:space="0" w:color="auto"/>
          </w:divBdr>
          <w:divsChild>
            <w:div w:id="1660187331">
              <w:marLeft w:val="0"/>
              <w:marRight w:val="0"/>
              <w:marTop w:val="0"/>
              <w:marBottom w:val="0"/>
              <w:divBdr>
                <w:top w:val="none" w:sz="0" w:space="0" w:color="auto"/>
                <w:left w:val="none" w:sz="0" w:space="0" w:color="auto"/>
                <w:bottom w:val="none" w:sz="0" w:space="0" w:color="auto"/>
                <w:right w:val="none" w:sz="0" w:space="0" w:color="auto"/>
              </w:divBdr>
            </w:div>
          </w:divsChild>
        </w:div>
        <w:div w:id="1869564080">
          <w:marLeft w:val="0"/>
          <w:marRight w:val="0"/>
          <w:marTop w:val="0"/>
          <w:marBottom w:val="0"/>
          <w:divBdr>
            <w:top w:val="none" w:sz="0" w:space="0" w:color="auto"/>
            <w:left w:val="none" w:sz="0" w:space="0" w:color="auto"/>
            <w:bottom w:val="none" w:sz="0" w:space="0" w:color="auto"/>
            <w:right w:val="none" w:sz="0" w:space="0" w:color="auto"/>
          </w:divBdr>
          <w:divsChild>
            <w:div w:id="1961494121">
              <w:marLeft w:val="0"/>
              <w:marRight w:val="0"/>
              <w:marTop w:val="0"/>
              <w:marBottom w:val="0"/>
              <w:divBdr>
                <w:top w:val="none" w:sz="0" w:space="0" w:color="auto"/>
                <w:left w:val="none" w:sz="0" w:space="0" w:color="auto"/>
                <w:bottom w:val="none" w:sz="0" w:space="0" w:color="auto"/>
                <w:right w:val="none" w:sz="0" w:space="0" w:color="auto"/>
              </w:divBdr>
            </w:div>
          </w:divsChild>
        </w:div>
        <w:div w:id="1730300763">
          <w:marLeft w:val="0"/>
          <w:marRight w:val="0"/>
          <w:marTop w:val="0"/>
          <w:marBottom w:val="0"/>
          <w:divBdr>
            <w:top w:val="none" w:sz="0" w:space="0" w:color="auto"/>
            <w:left w:val="none" w:sz="0" w:space="0" w:color="auto"/>
            <w:bottom w:val="none" w:sz="0" w:space="0" w:color="auto"/>
            <w:right w:val="none" w:sz="0" w:space="0" w:color="auto"/>
          </w:divBdr>
          <w:divsChild>
            <w:div w:id="1120032026">
              <w:marLeft w:val="0"/>
              <w:marRight w:val="0"/>
              <w:marTop w:val="0"/>
              <w:marBottom w:val="0"/>
              <w:divBdr>
                <w:top w:val="none" w:sz="0" w:space="0" w:color="auto"/>
                <w:left w:val="none" w:sz="0" w:space="0" w:color="auto"/>
                <w:bottom w:val="none" w:sz="0" w:space="0" w:color="auto"/>
                <w:right w:val="none" w:sz="0" w:space="0" w:color="auto"/>
              </w:divBdr>
            </w:div>
          </w:divsChild>
        </w:div>
        <w:div w:id="84620242">
          <w:marLeft w:val="0"/>
          <w:marRight w:val="0"/>
          <w:marTop w:val="0"/>
          <w:marBottom w:val="0"/>
          <w:divBdr>
            <w:top w:val="none" w:sz="0" w:space="0" w:color="auto"/>
            <w:left w:val="none" w:sz="0" w:space="0" w:color="auto"/>
            <w:bottom w:val="none" w:sz="0" w:space="0" w:color="auto"/>
            <w:right w:val="none" w:sz="0" w:space="0" w:color="auto"/>
          </w:divBdr>
          <w:divsChild>
            <w:div w:id="18740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1712">
      <w:bodyDiv w:val="1"/>
      <w:marLeft w:val="0"/>
      <w:marRight w:val="0"/>
      <w:marTop w:val="0"/>
      <w:marBottom w:val="0"/>
      <w:divBdr>
        <w:top w:val="none" w:sz="0" w:space="0" w:color="auto"/>
        <w:left w:val="none" w:sz="0" w:space="0" w:color="auto"/>
        <w:bottom w:val="none" w:sz="0" w:space="0" w:color="auto"/>
        <w:right w:val="none" w:sz="0" w:space="0" w:color="auto"/>
      </w:divBdr>
    </w:div>
    <w:div w:id="540167333">
      <w:bodyDiv w:val="1"/>
      <w:marLeft w:val="0"/>
      <w:marRight w:val="0"/>
      <w:marTop w:val="0"/>
      <w:marBottom w:val="0"/>
      <w:divBdr>
        <w:top w:val="none" w:sz="0" w:space="0" w:color="auto"/>
        <w:left w:val="none" w:sz="0" w:space="0" w:color="auto"/>
        <w:bottom w:val="none" w:sz="0" w:space="0" w:color="auto"/>
        <w:right w:val="none" w:sz="0" w:space="0" w:color="auto"/>
      </w:divBdr>
    </w:div>
    <w:div w:id="620459889">
      <w:bodyDiv w:val="1"/>
      <w:marLeft w:val="0"/>
      <w:marRight w:val="0"/>
      <w:marTop w:val="0"/>
      <w:marBottom w:val="0"/>
      <w:divBdr>
        <w:top w:val="none" w:sz="0" w:space="0" w:color="auto"/>
        <w:left w:val="none" w:sz="0" w:space="0" w:color="auto"/>
        <w:bottom w:val="none" w:sz="0" w:space="0" w:color="auto"/>
        <w:right w:val="none" w:sz="0" w:space="0" w:color="auto"/>
      </w:divBdr>
    </w:div>
    <w:div w:id="635260723">
      <w:bodyDiv w:val="1"/>
      <w:marLeft w:val="0"/>
      <w:marRight w:val="0"/>
      <w:marTop w:val="0"/>
      <w:marBottom w:val="0"/>
      <w:divBdr>
        <w:top w:val="none" w:sz="0" w:space="0" w:color="auto"/>
        <w:left w:val="none" w:sz="0" w:space="0" w:color="auto"/>
        <w:bottom w:val="none" w:sz="0" w:space="0" w:color="auto"/>
        <w:right w:val="none" w:sz="0" w:space="0" w:color="auto"/>
      </w:divBdr>
    </w:div>
    <w:div w:id="703360281">
      <w:bodyDiv w:val="1"/>
      <w:marLeft w:val="0"/>
      <w:marRight w:val="0"/>
      <w:marTop w:val="0"/>
      <w:marBottom w:val="0"/>
      <w:divBdr>
        <w:top w:val="none" w:sz="0" w:space="0" w:color="auto"/>
        <w:left w:val="none" w:sz="0" w:space="0" w:color="auto"/>
        <w:bottom w:val="none" w:sz="0" w:space="0" w:color="auto"/>
        <w:right w:val="none" w:sz="0" w:space="0" w:color="auto"/>
      </w:divBdr>
    </w:div>
    <w:div w:id="703479627">
      <w:bodyDiv w:val="1"/>
      <w:marLeft w:val="0"/>
      <w:marRight w:val="0"/>
      <w:marTop w:val="0"/>
      <w:marBottom w:val="0"/>
      <w:divBdr>
        <w:top w:val="none" w:sz="0" w:space="0" w:color="auto"/>
        <w:left w:val="none" w:sz="0" w:space="0" w:color="auto"/>
        <w:bottom w:val="none" w:sz="0" w:space="0" w:color="auto"/>
        <w:right w:val="none" w:sz="0" w:space="0" w:color="auto"/>
      </w:divBdr>
    </w:div>
    <w:div w:id="791558577">
      <w:bodyDiv w:val="1"/>
      <w:marLeft w:val="0"/>
      <w:marRight w:val="0"/>
      <w:marTop w:val="0"/>
      <w:marBottom w:val="0"/>
      <w:divBdr>
        <w:top w:val="none" w:sz="0" w:space="0" w:color="auto"/>
        <w:left w:val="none" w:sz="0" w:space="0" w:color="auto"/>
        <w:bottom w:val="none" w:sz="0" w:space="0" w:color="auto"/>
        <w:right w:val="none" w:sz="0" w:space="0" w:color="auto"/>
      </w:divBdr>
    </w:div>
    <w:div w:id="795215368">
      <w:bodyDiv w:val="1"/>
      <w:marLeft w:val="0"/>
      <w:marRight w:val="0"/>
      <w:marTop w:val="0"/>
      <w:marBottom w:val="0"/>
      <w:divBdr>
        <w:top w:val="none" w:sz="0" w:space="0" w:color="auto"/>
        <w:left w:val="none" w:sz="0" w:space="0" w:color="auto"/>
        <w:bottom w:val="none" w:sz="0" w:space="0" w:color="auto"/>
        <w:right w:val="none" w:sz="0" w:space="0" w:color="auto"/>
      </w:divBdr>
    </w:div>
    <w:div w:id="862863616">
      <w:bodyDiv w:val="1"/>
      <w:marLeft w:val="0"/>
      <w:marRight w:val="0"/>
      <w:marTop w:val="0"/>
      <w:marBottom w:val="0"/>
      <w:divBdr>
        <w:top w:val="none" w:sz="0" w:space="0" w:color="auto"/>
        <w:left w:val="none" w:sz="0" w:space="0" w:color="auto"/>
        <w:bottom w:val="none" w:sz="0" w:space="0" w:color="auto"/>
        <w:right w:val="none" w:sz="0" w:space="0" w:color="auto"/>
      </w:divBdr>
    </w:div>
    <w:div w:id="865943921">
      <w:bodyDiv w:val="1"/>
      <w:marLeft w:val="0"/>
      <w:marRight w:val="0"/>
      <w:marTop w:val="0"/>
      <w:marBottom w:val="0"/>
      <w:divBdr>
        <w:top w:val="none" w:sz="0" w:space="0" w:color="auto"/>
        <w:left w:val="none" w:sz="0" w:space="0" w:color="auto"/>
        <w:bottom w:val="none" w:sz="0" w:space="0" w:color="auto"/>
        <w:right w:val="none" w:sz="0" w:space="0" w:color="auto"/>
      </w:divBdr>
    </w:div>
    <w:div w:id="880168533">
      <w:bodyDiv w:val="1"/>
      <w:marLeft w:val="0"/>
      <w:marRight w:val="0"/>
      <w:marTop w:val="0"/>
      <w:marBottom w:val="0"/>
      <w:divBdr>
        <w:top w:val="none" w:sz="0" w:space="0" w:color="auto"/>
        <w:left w:val="none" w:sz="0" w:space="0" w:color="auto"/>
        <w:bottom w:val="none" w:sz="0" w:space="0" w:color="auto"/>
        <w:right w:val="none" w:sz="0" w:space="0" w:color="auto"/>
      </w:divBdr>
    </w:div>
    <w:div w:id="885142029">
      <w:bodyDiv w:val="1"/>
      <w:marLeft w:val="0"/>
      <w:marRight w:val="0"/>
      <w:marTop w:val="0"/>
      <w:marBottom w:val="0"/>
      <w:divBdr>
        <w:top w:val="none" w:sz="0" w:space="0" w:color="auto"/>
        <w:left w:val="none" w:sz="0" w:space="0" w:color="auto"/>
        <w:bottom w:val="none" w:sz="0" w:space="0" w:color="auto"/>
        <w:right w:val="none" w:sz="0" w:space="0" w:color="auto"/>
      </w:divBdr>
    </w:div>
    <w:div w:id="934172842">
      <w:bodyDiv w:val="1"/>
      <w:marLeft w:val="0"/>
      <w:marRight w:val="0"/>
      <w:marTop w:val="0"/>
      <w:marBottom w:val="0"/>
      <w:divBdr>
        <w:top w:val="none" w:sz="0" w:space="0" w:color="auto"/>
        <w:left w:val="none" w:sz="0" w:space="0" w:color="auto"/>
        <w:bottom w:val="none" w:sz="0" w:space="0" w:color="auto"/>
        <w:right w:val="none" w:sz="0" w:space="0" w:color="auto"/>
      </w:divBdr>
    </w:div>
    <w:div w:id="947396382">
      <w:bodyDiv w:val="1"/>
      <w:marLeft w:val="0"/>
      <w:marRight w:val="0"/>
      <w:marTop w:val="0"/>
      <w:marBottom w:val="0"/>
      <w:divBdr>
        <w:top w:val="none" w:sz="0" w:space="0" w:color="auto"/>
        <w:left w:val="none" w:sz="0" w:space="0" w:color="auto"/>
        <w:bottom w:val="none" w:sz="0" w:space="0" w:color="auto"/>
        <w:right w:val="none" w:sz="0" w:space="0" w:color="auto"/>
      </w:divBdr>
    </w:div>
    <w:div w:id="949167613">
      <w:bodyDiv w:val="1"/>
      <w:marLeft w:val="0"/>
      <w:marRight w:val="0"/>
      <w:marTop w:val="0"/>
      <w:marBottom w:val="0"/>
      <w:divBdr>
        <w:top w:val="none" w:sz="0" w:space="0" w:color="auto"/>
        <w:left w:val="none" w:sz="0" w:space="0" w:color="auto"/>
        <w:bottom w:val="none" w:sz="0" w:space="0" w:color="auto"/>
        <w:right w:val="none" w:sz="0" w:space="0" w:color="auto"/>
      </w:divBdr>
    </w:div>
    <w:div w:id="1015498247">
      <w:bodyDiv w:val="1"/>
      <w:marLeft w:val="0"/>
      <w:marRight w:val="0"/>
      <w:marTop w:val="0"/>
      <w:marBottom w:val="0"/>
      <w:divBdr>
        <w:top w:val="none" w:sz="0" w:space="0" w:color="auto"/>
        <w:left w:val="none" w:sz="0" w:space="0" w:color="auto"/>
        <w:bottom w:val="none" w:sz="0" w:space="0" w:color="auto"/>
        <w:right w:val="none" w:sz="0" w:space="0" w:color="auto"/>
      </w:divBdr>
    </w:div>
    <w:div w:id="1022053090">
      <w:bodyDiv w:val="1"/>
      <w:marLeft w:val="0"/>
      <w:marRight w:val="0"/>
      <w:marTop w:val="0"/>
      <w:marBottom w:val="0"/>
      <w:divBdr>
        <w:top w:val="none" w:sz="0" w:space="0" w:color="auto"/>
        <w:left w:val="none" w:sz="0" w:space="0" w:color="auto"/>
        <w:bottom w:val="none" w:sz="0" w:space="0" w:color="auto"/>
        <w:right w:val="none" w:sz="0" w:space="0" w:color="auto"/>
      </w:divBdr>
    </w:div>
    <w:div w:id="1051419944">
      <w:bodyDiv w:val="1"/>
      <w:marLeft w:val="0"/>
      <w:marRight w:val="0"/>
      <w:marTop w:val="0"/>
      <w:marBottom w:val="0"/>
      <w:divBdr>
        <w:top w:val="none" w:sz="0" w:space="0" w:color="auto"/>
        <w:left w:val="none" w:sz="0" w:space="0" w:color="auto"/>
        <w:bottom w:val="none" w:sz="0" w:space="0" w:color="auto"/>
        <w:right w:val="none" w:sz="0" w:space="0" w:color="auto"/>
      </w:divBdr>
    </w:div>
    <w:div w:id="1101025910">
      <w:bodyDiv w:val="1"/>
      <w:marLeft w:val="0"/>
      <w:marRight w:val="0"/>
      <w:marTop w:val="0"/>
      <w:marBottom w:val="0"/>
      <w:divBdr>
        <w:top w:val="none" w:sz="0" w:space="0" w:color="auto"/>
        <w:left w:val="none" w:sz="0" w:space="0" w:color="auto"/>
        <w:bottom w:val="none" w:sz="0" w:space="0" w:color="auto"/>
        <w:right w:val="none" w:sz="0" w:space="0" w:color="auto"/>
      </w:divBdr>
    </w:div>
    <w:div w:id="1139540328">
      <w:bodyDiv w:val="1"/>
      <w:marLeft w:val="0"/>
      <w:marRight w:val="0"/>
      <w:marTop w:val="0"/>
      <w:marBottom w:val="0"/>
      <w:divBdr>
        <w:top w:val="none" w:sz="0" w:space="0" w:color="auto"/>
        <w:left w:val="none" w:sz="0" w:space="0" w:color="auto"/>
        <w:bottom w:val="none" w:sz="0" w:space="0" w:color="auto"/>
        <w:right w:val="none" w:sz="0" w:space="0" w:color="auto"/>
      </w:divBdr>
    </w:div>
    <w:div w:id="1197277343">
      <w:bodyDiv w:val="1"/>
      <w:marLeft w:val="0"/>
      <w:marRight w:val="0"/>
      <w:marTop w:val="0"/>
      <w:marBottom w:val="0"/>
      <w:divBdr>
        <w:top w:val="none" w:sz="0" w:space="0" w:color="auto"/>
        <w:left w:val="none" w:sz="0" w:space="0" w:color="auto"/>
        <w:bottom w:val="none" w:sz="0" w:space="0" w:color="auto"/>
        <w:right w:val="none" w:sz="0" w:space="0" w:color="auto"/>
      </w:divBdr>
    </w:div>
    <w:div w:id="1223053506">
      <w:bodyDiv w:val="1"/>
      <w:marLeft w:val="0"/>
      <w:marRight w:val="0"/>
      <w:marTop w:val="0"/>
      <w:marBottom w:val="0"/>
      <w:divBdr>
        <w:top w:val="none" w:sz="0" w:space="0" w:color="auto"/>
        <w:left w:val="none" w:sz="0" w:space="0" w:color="auto"/>
        <w:bottom w:val="none" w:sz="0" w:space="0" w:color="auto"/>
        <w:right w:val="none" w:sz="0" w:space="0" w:color="auto"/>
      </w:divBdr>
    </w:div>
    <w:div w:id="1225530325">
      <w:bodyDiv w:val="1"/>
      <w:marLeft w:val="0"/>
      <w:marRight w:val="0"/>
      <w:marTop w:val="0"/>
      <w:marBottom w:val="0"/>
      <w:divBdr>
        <w:top w:val="none" w:sz="0" w:space="0" w:color="auto"/>
        <w:left w:val="none" w:sz="0" w:space="0" w:color="auto"/>
        <w:bottom w:val="none" w:sz="0" w:space="0" w:color="auto"/>
        <w:right w:val="none" w:sz="0" w:space="0" w:color="auto"/>
      </w:divBdr>
      <w:divsChild>
        <w:div w:id="1447194733">
          <w:marLeft w:val="0"/>
          <w:marRight w:val="0"/>
          <w:marTop w:val="0"/>
          <w:marBottom w:val="0"/>
          <w:divBdr>
            <w:top w:val="none" w:sz="0" w:space="0" w:color="auto"/>
            <w:left w:val="none" w:sz="0" w:space="0" w:color="auto"/>
            <w:bottom w:val="none" w:sz="0" w:space="0" w:color="auto"/>
            <w:right w:val="none" w:sz="0" w:space="0" w:color="auto"/>
          </w:divBdr>
          <w:divsChild>
            <w:div w:id="1712420638">
              <w:marLeft w:val="0"/>
              <w:marRight w:val="0"/>
              <w:marTop w:val="0"/>
              <w:marBottom w:val="0"/>
              <w:divBdr>
                <w:top w:val="none" w:sz="0" w:space="0" w:color="auto"/>
                <w:left w:val="none" w:sz="0" w:space="0" w:color="auto"/>
                <w:bottom w:val="none" w:sz="0" w:space="0" w:color="auto"/>
                <w:right w:val="none" w:sz="0" w:space="0" w:color="auto"/>
              </w:divBdr>
            </w:div>
          </w:divsChild>
        </w:div>
        <w:div w:id="72315980">
          <w:marLeft w:val="0"/>
          <w:marRight w:val="0"/>
          <w:marTop w:val="0"/>
          <w:marBottom w:val="0"/>
          <w:divBdr>
            <w:top w:val="none" w:sz="0" w:space="0" w:color="auto"/>
            <w:left w:val="none" w:sz="0" w:space="0" w:color="auto"/>
            <w:bottom w:val="none" w:sz="0" w:space="0" w:color="auto"/>
            <w:right w:val="none" w:sz="0" w:space="0" w:color="auto"/>
          </w:divBdr>
          <w:divsChild>
            <w:div w:id="1820001460">
              <w:marLeft w:val="0"/>
              <w:marRight w:val="0"/>
              <w:marTop w:val="0"/>
              <w:marBottom w:val="0"/>
              <w:divBdr>
                <w:top w:val="none" w:sz="0" w:space="0" w:color="auto"/>
                <w:left w:val="none" w:sz="0" w:space="0" w:color="auto"/>
                <w:bottom w:val="none" w:sz="0" w:space="0" w:color="auto"/>
                <w:right w:val="none" w:sz="0" w:space="0" w:color="auto"/>
              </w:divBdr>
            </w:div>
          </w:divsChild>
        </w:div>
        <w:div w:id="1202207961">
          <w:marLeft w:val="0"/>
          <w:marRight w:val="0"/>
          <w:marTop w:val="0"/>
          <w:marBottom w:val="0"/>
          <w:divBdr>
            <w:top w:val="none" w:sz="0" w:space="0" w:color="auto"/>
            <w:left w:val="none" w:sz="0" w:space="0" w:color="auto"/>
            <w:bottom w:val="none" w:sz="0" w:space="0" w:color="auto"/>
            <w:right w:val="none" w:sz="0" w:space="0" w:color="auto"/>
          </w:divBdr>
          <w:divsChild>
            <w:div w:id="415322660">
              <w:marLeft w:val="0"/>
              <w:marRight w:val="0"/>
              <w:marTop w:val="0"/>
              <w:marBottom w:val="0"/>
              <w:divBdr>
                <w:top w:val="none" w:sz="0" w:space="0" w:color="auto"/>
                <w:left w:val="none" w:sz="0" w:space="0" w:color="auto"/>
                <w:bottom w:val="none" w:sz="0" w:space="0" w:color="auto"/>
                <w:right w:val="none" w:sz="0" w:space="0" w:color="auto"/>
              </w:divBdr>
            </w:div>
          </w:divsChild>
        </w:div>
        <w:div w:id="53936674">
          <w:marLeft w:val="0"/>
          <w:marRight w:val="0"/>
          <w:marTop w:val="0"/>
          <w:marBottom w:val="0"/>
          <w:divBdr>
            <w:top w:val="none" w:sz="0" w:space="0" w:color="auto"/>
            <w:left w:val="none" w:sz="0" w:space="0" w:color="auto"/>
            <w:bottom w:val="none" w:sz="0" w:space="0" w:color="auto"/>
            <w:right w:val="none" w:sz="0" w:space="0" w:color="auto"/>
          </w:divBdr>
          <w:divsChild>
            <w:div w:id="16790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3101">
      <w:bodyDiv w:val="1"/>
      <w:marLeft w:val="0"/>
      <w:marRight w:val="0"/>
      <w:marTop w:val="0"/>
      <w:marBottom w:val="0"/>
      <w:divBdr>
        <w:top w:val="none" w:sz="0" w:space="0" w:color="auto"/>
        <w:left w:val="none" w:sz="0" w:space="0" w:color="auto"/>
        <w:bottom w:val="none" w:sz="0" w:space="0" w:color="auto"/>
        <w:right w:val="none" w:sz="0" w:space="0" w:color="auto"/>
      </w:divBdr>
    </w:div>
    <w:div w:id="1356803910">
      <w:bodyDiv w:val="1"/>
      <w:marLeft w:val="0"/>
      <w:marRight w:val="0"/>
      <w:marTop w:val="0"/>
      <w:marBottom w:val="0"/>
      <w:divBdr>
        <w:top w:val="none" w:sz="0" w:space="0" w:color="auto"/>
        <w:left w:val="none" w:sz="0" w:space="0" w:color="auto"/>
        <w:bottom w:val="none" w:sz="0" w:space="0" w:color="auto"/>
        <w:right w:val="none" w:sz="0" w:space="0" w:color="auto"/>
      </w:divBdr>
    </w:div>
    <w:div w:id="1384476039">
      <w:bodyDiv w:val="1"/>
      <w:marLeft w:val="0"/>
      <w:marRight w:val="0"/>
      <w:marTop w:val="0"/>
      <w:marBottom w:val="0"/>
      <w:divBdr>
        <w:top w:val="none" w:sz="0" w:space="0" w:color="auto"/>
        <w:left w:val="none" w:sz="0" w:space="0" w:color="auto"/>
        <w:bottom w:val="none" w:sz="0" w:space="0" w:color="auto"/>
        <w:right w:val="none" w:sz="0" w:space="0" w:color="auto"/>
      </w:divBdr>
    </w:div>
    <w:div w:id="1385984504">
      <w:bodyDiv w:val="1"/>
      <w:marLeft w:val="0"/>
      <w:marRight w:val="0"/>
      <w:marTop w:val="0"/>
      <w:marBottom w:val="0"/>
      <w:divBdr>
        <w:top w:val="none" w:sz="0" w:space="0" w:color="auto"/>
        <w:left w:val="none" w:sz="0" w:space="0" w:color="auto"/>
        <w:bottom w:val="none" w:sz="0" w:space="0" w:color="auto"/>
        <w:right w:val="none" w:sz="0" w:space="0" w:color="auto"/>
      </w:divBdr>
    </w:div>
    <w:div w:id="1389571763">
      <w:bodyDiv w:val="1"/>
      <w:marLeft w:val="0"/>
      <w:marRight w:val="0"/>
      <w:marTop w:val="0"/>
      <w:marBottom w:val="0"/>
      <w:divBdr>
        <w:top w:val="none" w:sz="0" w:space="0" w:color="auto"/>
        <w:left w:val="none" w:sz="0" w:space="0" w:color="auto"/>
        <w:bottom w:val="none" w:sz="0" w:space="0" w:color="auto"/>
        <w:right w:val="none" w:sz="0" w:space="0" w:color="auto"/>
      </w:divBdr>
    </w:div>
    <w:div w:id="1408844766">
      <w:bodyDiv w:val="1"/>
      <w:marLeft w:val="0"/>
      <w:marRight w:val="0"/>
      <w:marTop w:val="0"/>
      <w:marBottom w:val="0"/>
      <w:divBdr>
        <w:top w:val="none" w:sz="0" w:space="0" w:color="auto"/>
        <w:left w:val="none" w:sz="0" w:space="0" w:color="auto"/>
        <w:bottom w:val="none" w:sz="0" w:space="0" w:color="auto"/>
        <w:right w:val="none" w:sz="0" w:space="0" w:color="auto"/>
      </w:divBdr>
    </w:div>
    <w:div w:id="1431896478">
      <w:bodyDiv w:val="1"/>
      <w:marLeft w:val="0"/>
      <w:marRight w:val="0"/>
      <w:marTop w:val="0"/>
      <w:marBottom w:val="0"/>
      <w:divBdr>
        <w:top w:val="none" w:sz="0" w:space="0" w:color="auto"/>
        <w:left w:val="none" w:sz="0" w:space="0" w:color="auto"/>
        <w:bottom w:val="none" w:sz="0" w:space="0" w:color="auto"/>
        <w:right w:val="none" w:sz="0" w:space="0" w:color="auto"/>
      </w:divBdr>
    </w:div>
    <w:div w:id="1439183275">
      <w:bodyDiv w:val="1"/>
      <w:marLeft w:val="0"/>
      <w:marRight w:val="0"/>
      <w:marTop w:val="0"/>
      <w:marBottom w:val="0"/>
      <w:divBdr>
        <w:top w:val="none" w:sz="0" w:space="0" w:color="auto"/>
        <w:left w:val="none" w:sz="0" w:space="0" w:color="auto"/>
        <w:bottom w:val="none" w:sz="0" w:space="0" w:color="auto"/>
        <w:right w:val="none" w:sz="0" w:space="0" w:color="auto"/>
      </w:divBdr>
    </w:div>
    <w:div w:id="1443962225">
      <w:bodyDiv w:val="1"/>
      <w:marLeft w:val="0"/>
      <w:marRight w:val="0"/>
      <w:marTop w:val="0"/>
      <w:marBottom w:val="0"/>
      <w:divBdr>
        <w:top w:val="none" w:sz="0" w:space="0" w:color="auto"/>
        <w:left w:val="none" w:sz="0" w:space="0" w:color="auto"/>
        <w:bottom w:val="none" w:sz="0" w:space="0" w:color="auto"/>
        <w:right w:val="none" w:sz="0" w:space="0" w:color="auto"/>
      </w:divBdr>
    </w:div>
    <w:div w:id="1473250033">
      <w:bodyDiv w:val="1"/>
      <w:marLeft w:val="0"/>
      <w:marRight w:val="0"/>
      <w:marTop w:val="0"/>
      <w:marBottom w:val="0"/>
      <w:divBdr>
        <w:top w:val="none" w:sz="0" w:space="0" w:color="auto"/>
        <w:left w:val="none" w:sz="0" w:space="0" w:color="auto"/>
        <w:bottom w:val="none" w:sz="0" w:space="0" w:color="auto"/>
        <w:right w:val="none" w:sz="0" w:space="0" w:color="auto"/>
      </w:divBdr>
    </w:div>
    <w:div w:id="1484811773">
      <w:bodyDiv w:val="1"/>
      <w:marLeft w:val="0"/>
      <w:marRight w:val="0"/>
      <w:marTop w:val="0"/>
      <w:marBottom w:val="0"/>
      <w:divBdr>
        <w:top w:val="none" w:sz="0" w:space="0" w:color="auto"/>
        <w:left w:val="none" w:sz="0" w:space="0" w:color="auto"/>
        <w:bottom w:val="none" w:sz="0" w:space="0" w:color="auto"/>
        <w:right w:val="none" w:sz="0" w:space="0" w:color="auto"/>
      </w:divBdr>
    </w:div>
    <w:div w:id="1486048032">
      <w:bodyDiv w:val="1"/>
      <w:marLeft w:val="0"/>
      <w:marRight w:val="0"/>
      <w:marTop w:val="0"/>
      <w:marBottom w:val="0"/>
      <w:divBdr>
        <w:top w:val="none" w:sz="0" w:space="0" w:color="auto"/>
        <w:left w:val="none" w:sz="0" w:space="0" w:color="auto"/>
        <w:bottom w:val="none" w:sz="0" w:space="0" w:color="auto"/>
        <w:right w:val="none" w:sz="0" w:space="0" w:color="auto"/>
      </w:divBdr>
    </w:div>
    <w:div w:id="1487162714">
      <w:bodyDiv w:val="1"/>
      <w:marLeft w:val="0"/>
      <w:marRight w:val="0"/>
      <w:marTop w:val="0"/>
      <w:marBottom w:val="0"/>
      <w:divBdr>
        <w:top w:val="none" w:sz="0" w:space="0" w:color="auto"/>
        <w:left w:val="none" w:sz="0" w:space="0" w:color="auto"/>
        <w:bottom w:val="none" w:sz="0" w:space="0" w:color="auto"/>
        <w:right w:val="none" w:sz="0" w:space="0" w:color="auto"/>
      </w:divBdr>
    </w:div>
    <w:div w:id="1492327808">
      <w:bodyDiv w:val="1"/>
      <w:marLeft w:val="0"/>
      <w:marRight w:val="0"/>
      <w:marTop w:val="0"/>
      <w:marBottom w:val="0"/>
      <w:divBdr>
        <w:top w:val="none" w:sz="0" w:space="0" w:color="auto"/>
        <w:left w:val="none" w:sz="0" w:space="0" w:color="auto"/>
        <w:bottom w:val="none" w:sz="0" w:space="0" w:color="auto"/>
        <w:right w:val="none" w:sz="0" w:space="0" w:color="auto"/>
      </w:divBdr>
    </w:div>
    <w:div w:id="1555317210">
      <w:bodyDiv w:val="1"/>
      <w:marLeft w:val="0"/>
      <w:marRight w:val="0"/>
      <w:marTop w:val="0"/>
      <w:marBottom w:val="0"/>
      <w:divBdr>
        <w:top w:val="none" w:sz="0" w:space="0" w:color="auto"/>
        <w:left w:val="none" w:sz="0" w:space="0" w:color="auto"/>
        <w:bottom w:val="none" w:sz="0" w:space="0" w:color="auto"/>
        <w:right w:val="none" w:sz="0" w:space="0" w:color="auto"/>
      </w:divBdr>
    </w:div>
    <w:div w:id="1722434347">
      <w:bodyDiv w:val="1"/>
      <w:marLeft w:val="0"/>
      <w:marRight w:val="0"/>
      <w:marTop w:val="0"/>
      <w:marBottom w:val="0"/>
      <w:divBdr>
        <w:top w:val="none" w:sz="0" w:space="0" w:color="auto"/>
        <w:left w:val="none" w:sz="0" w:space="0" w:color="auto"/>
        <w:bottom w:val="none" w:sz="0" w:space="0" w:color="auto"/>
        <w:right w:val="none" w:sz="0" w:space="0" w:color="auto"/>
      </w:divBdr>
    </w:div>
    <w:div w:id="1739399828">
      <w:bodyDiv w:val="1"/>
      <w:marLeft w:val="0"/>
      <w:marRight w:val="0"/>
      <w:marTop w:val="0"/>
      <w:marBottom w:val="0"/>
      <w:divBdr>
        <w:top w:val="none" w:sz="0" w:space="0" w:color="auto"/>
        <w:left w:val="none" w:sz="0" w:space="0" w:color="auto"/>
        <w:bottom w:val="none" w:sz="0" w:space="0" w:color="auto"/>
        <w:right w:val="none" w:sz="0" w:space="0" w:color="auto"/>
      </w:divBdr>
    </w:div>
    <w:div w:id="1744599716">
      <w:bodyDiv w:val="1"/>
      <w:marLeft w:val="0"/>
      <w:marRight w:val="0"/>
      <w:marTop w:val="0"/>
      <w:marBottom w:val="0"/>
      <w:divBdr>
        <w:top w:val="none" w:sz="0" w:space="0" w:color="auto"/>
        <w:left w:val="none" w:sz="0" w:space="0" w:color="auto"/>
        <w:bottom w:val="none" w:sz="0" w:space="0" w:color="auto"/>
        <w:right w:val="none" w:sz="0" w:space="0" w:color="auto"/>
      </w:divBdr>
    </w:div>
    <w:div w:id="1774132314">
      <w:bodyDiv w:val="1"/>
      <w:marLeft w:val="0"/>
      <w:marRight w:val="0"/>
      <w:marTop w:val="0"/>
      <w:marBottom w:val="0"/>
      <w:divBdr>
        <w:top w:val="none" w:sz="0" w:space="0" w:color="auto"/>
        <w:left w:val="none" w:sz="0" w:space="0" w:color="auto"/>
        <w:bottom w:val="none" w:sz="0" w:space="0" w:color="auto"/>
        <w:right w:val="none" w:sz="0" w:space="0" w:color="auto"/>
      </w:divBdr>
    </w:div>
    <w:div w:id="1824733131">
      <w:bodyDiv w:val="1"/>
      <w:marLeft w:val="0"/>
      <w:marRight w:val="0"/>
      <w:marTop w:val="0"/>
      <w:marBottom w:val="0"/>
      <w:divBdr>
        <w:top w:val="none" w:sz="0" w:space="0" w:color="auto"/>
        <w:left w:val="none" w:sz="0" w:space="0" w:color="auto"/>
        <w:bottom w:val="none" w:sz="0" w:space="0" w:color="auto"/>
        <w:right w:val="none" w:sz="0" w:space="0" w:color="auto"/>
      </w:divBdr>
    </w:div>
    <w:div w:id="1883590280">
      <w:bodyDiv w:val="1"/>
      <w:marLeft w:val="0"/>
      <w:marRight w:val="0"/>
      <w:marTop w:val="0"/>
      <w:marBottom w:val="0"/>
      <w:divBdr>
        <w:top w:val="none" w:sz="0" w:space="0" w:color="auto"/>
        <w:left w:val="none" w:sz="0" w:space="0" w:color="auto"/>
        <w:bottom w:val="none" w:sz="0" w:space="0" w:color="auto"/>
        <w:right w:val="none" w:sz="0" w:space="0" w:color="auto"/>
      </w:divBdr>
    </w:div>
    <w:div w:id="1892887947">
      <w:bodyDiv w:val="1"/>
      <w:marLeft w:val="0"/>
      <w:marRight w:val="0"/>
      <w:marTop w:val="0"/>
      <w:marBottom w:val="0"/>
      <w:divBdr>
        <w:top w:val="none" w:sz="0" w:space="0" w:color="auto"/>
        <w:left w:val="none" w:sz="0" w:space="0" w:color="auto"/>
        <w:bottom w:val="none" w:sz="0" w:space="0" w:color="auto"/>
        <w:right w:val="none" w:sz="0" w:space="0" w:color="auto"/>
      </w:divBdr>
    </w:div>
    <w:div w:id="1896964240">
      <w:bodyDiv w:val="1"/>
      <w:marLeft w:val="0"/>
      <w:marRight w:val="0"/>
      <w:marTop w:val="0"/>
      <w:marBottom w:val="0"/>
      <w:divBdr>
        <w:top w:val="none" w:sz="0" w:space="0" w:color="auto"/>
        <w:left w:val="none" w:sz="0" w:space="0" w:color="auto"/>
        <w:bottom w:val="none" w:sz="0" w:space="0" w:color="auto"/>
        <w:right w:val="none" w:sz="0" w:space="0" w:color="auto"/>
      </w:divBdr>
    </w:div>
    <w:div w:id="1901398025">
      <w:bodyDiv w:val="1"/>
      <w:marLeft w:val="0"/>
      <w:marRight w:val="0"/>
      <w:marTop w:val="0"/>
      <w:marBottom w:val="0"/>
      <w:divBdr>
        <w:top w:val="none" w:sz="0" w:space="0" w:color="auto"/>
        <w:left w:val="none" w:sz="0" w:space="0" w:color="auto"/>
        <w:bottom w:val="none" w:sz="0" w:space="0" w:color="auto"/>
        <w:right w:val="none" w:sz="0" w:space="0" w:color="auto"/>
      </w:divBdr>
    </w:div>
    <w:div w:id="1997878290">
      <w:bodyDiv w:val="1"/>
      <w:marLeft w:val="0"/>
      <w:marRight w:val="0"/>
      <w:marTop w:val="0"/>
      <w:marBottom w:val="0"/>
      <w:divBdr>
        <w:top w:val="none" w:sz="0" w:space="0" w:color="auto"/>
        <w:left w:val="none" w:sz="0" w:space="0" w:color="auto"/>
        <w:bottom w:val="none" w:sz="0" w:space="0" w:color="auto"/>
        <w:right w:val="none" w:sz="0" w:space="0" w:color="auto"/>
      </w:divBdr>
    </w:div>
    <w:div w:id="2033258016">
      <w:bodyDiv w:val="1"/>
      <w:marLeft w:val="0"/>
      <w:marRight w:val="0"/>
      <w:marTop w:val="0"/>
      <w:marBottom w:val="0"/>
      <w:divBdr>
        <w:top w:val="none" w:sz="0" w:space="0" w:color="auto"/>
        <w:left w:val="none" w:sz="0" w:space="0" w:color="auto"/>
        <w:bottom w:val="none" w:sz="0" w:space="0" w:color="auto"/>
        <w:right w:val="none" w:sz="0" w:space="0" w:color="auto"/>
      </w:divBdr>
    </w:div>
    <w:div w:id="2068456874">
      <w:bodyDiv w:val="1"/>
      <w:marLeft w:val="0"/>
      <w:marRight w:val="0"/>
      <w:marTop w:val="0"/>
      <w:marBottom w:val="0"/>
      <w:divBdr>
        <w:top w:val="none" w:sz="0" w:space="0" w:color="auto"/>
        <w:left w:val="none" w:sz="0" w:space="0" w:color="auto"/>
        <w:bottom w:val="none" w:sz="0" w:space="0" w:color="auto"/>
        <w:right w:val="none" w:sz="0" w:space="0" w:color="auto"/>
      </w:divBdr>
    </w:div>
    <w:div w:id="2094934433">
      <w:bodyDiv w:val="1"/>
      <w:marLeft w:val="0"/>
      <w:marRight w:val="0"/>
      <w:marTop w:val="0"/>
      <w:marBottom w:val="0"/>
      <w:divBdr>
        <w:top w:val="none" w:sz="0" w:space="0" w:color="auto"/>
        <w:left w:val="none" w:sz="0" w:space="0" w:color="auto"/>
        <w:bottom w:val="none" w:sz="0" w:space="0" w:color="auto"/>
        <w:right w:val="none" w:sz="0" w:space="0" w:color="auto"/>
      </w:divBdr>
    </w:div>
    <w:div w:id="2118869956">
      <w:bodyDiv w:val="1"/>
      <w:marLeft w:val="0"/>
      <w:marRight w:val="0"/>
      <w:marTop w:val="0"/>
      <w:marBottom w:val="0"/>
      <w:divBdr>
        <w:top w:val="none" w:sz="0" w:space="0" w:color="auto"/>
        <w:left w:val="none" w:sz="0" w:space="0" w:color="auto"/>
        <w:bottom w:val="none" w:sz="0" w:space="0" w:color="auto"/>
        <w:right w:val="none" w:sz="0" w:space="0" w:color="auto"/>
      </w:divBdr>
    </w:div>
    <w:div w:id="213556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13</Pages>
  <Words>5214</Words>
  <Characters>29721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HIDAYATUL ANIS BINTI ABDUL HALIM KPM-Guru</dc:creator>
  <cp:keywords/>
  <dc:description/>
  <cp:lastModifiedBy>HIDAYATUL ANIS BINTI ABDUL HALIM KPM-Guru</cp:lastModifiedBy>
  <cp:revision>1</cp:revision>
  <dcterms:created xsi:type="dcterms:W3CDTF">2026-06-13T06:03:00Z</dcterms:created>
  <dcterms:modified xsi:type="dcterms:W3CDTF">2026-06-13T09:09:00Z</dcterms:modified>
</cp:coreProperties>
</file>