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ACA6" w14:textId="77777777" w:rsidR="00C502D5" w:rsidRDefault="00C502D5" w:rsidP="007C5383">
      <w:pPr>
        <w:spacing w:line="240" w:lineRule="auto"/>
        <w:ind w:right="-90"/>
        <w:jc w:val="center"/>
        <w:rPr>
          <w:rFonts w:ascii="Times New Roman" w:hAnsi="Times New Roman" w:cs="Times New Roman"/>
          <w:b/>
          <w:bCs/>
          <w:sz w:val="32"/>
          <w:szCs w:val="32"/>
        </w:rPr>
      </w:pPr>
      <w:bookmarkStart w:id="0" w:name="_Hlk205646262"/>
      <w:bookmarkEnd w:id="0"/>
    </w:p>
    <w:p w14:paraId="525AC964" w14:textId="12671B72" w:rsidR="004B7EC1" w:rsidRPr="00E91552" w:rsidRDefault="007C5383" w:rsidP="00E91552">
      <w:pPr>
        <w:spacing w:line="240" w:lineRule="auto"/>
        <w:ind w:right="-90"/>
        <w:jc w:val="center"/>
        <w:rPr>
          <w:rFonts w:ascii="Times New Roman" w:hAnsi="Times New Roman" w:cs="Times New Roman"/>
          <w:b/>
          <w:bCs/>
          <w:sz w:val="36"/>
          <w:szCs w:val="36"/>
        </w:rPr>
      </w:pPr>
      <w:r w:rsidRPr="00E91552">
        <w:rPr>
          <w:rFonts w:ascii="Times New Roman" w:hAnsi="Times New Roman" w:cs="Times New Roman"/>
          <w:b/>
          <w:bCs/>
          <w:sz w:val="36"/>
          <w:szCs w:val="36"/>
        </w:rPr>
        <w:t>The mediating role of environmental attitude on organic preferences due to environmental ethics and awareness: A Study in Sikkim</w:t>
      </w:r>
    </w:p>
    <w:p w14:paraId="0A3490AA" w14:textId="45333A98" w:rsidR="00642ECC" w:rsidRDefault="00642ECC" w:rsidP="001353FB">
      <w:pPr>
        <w:spacing w:line="240" w:lineRule="auto"/>
        <w:ind w:right="-90"/>
        <w:jc w:val="both"/>
        <w:rPr>
          <w:rFonts w:ascii="Times New Roman" w:hAnsi="Times New Roman" w:cs="Times New Roman"/>
          <w:sz w:val="24"/>
          <w:szCs w:val="24"/>
          <w:lang w:val="en-US"/>
        </w:rPr>
      </w:pPr>
    </w:p>
    <w:p w14:paraId="67814D61" w14:textId="77777777" w:rsidR="008E7C82" w:rsidRPr="008E7C82" w:rsidRDefault="008E7C82" w:rsidP="001353FB">
      <w:pPr>
        <w:spacing w:line="240" w:lineRule="auto"/>
        <w:ind w:right="-90"/>
        <w:jc w:val="both"/>
        <w:rPr>
          <w:rFonts w:ascii="Times New Roman" w:hAnsi="Times New Roman" w:cs="Times New Roman"/>
          <w:sz w:val="24"/>
          <w:szCs w:val="24"/>
          <w:lang w:val="en-US"/>
        </w:rPr>
      </w:pPr>
    </w:p>
    <w:p w14:paraId="74214B1E" w14:textId="77777777" w:rsidR="009247BF" w:rsidRPr="00EA58C6" w:rsidRDefault="009247BF" w:rsidP="001353FB">
      <w:pPr>
        <w:spacing w:line="240" w:lineRule="auto"/>
        <w:rPr>
          <w:rFonts w:ascii="Times New Roman" w:hAnsi="Times New Roman" w:cs="Times New Roman"/>
          <w:b/>
          <w:bCs/>
          <w:sz w:val="28"/>
          <w:szCs w:val="28"/>
          <w:lang w:val="en-US"/>
        </w:rPr>
      </w:pPr>
      <w:r w:rsidRPr="00EA58C6">
        <w:rPr>
          <w:rFonts w:ascii="Times New Roman" w:hAnsi="Times New Roman" w:cs="Times New Roman"/>
          <w:b/>
          <w:bCs/>
          <w:sz w:val="28"/>
          <w:szCs w:val="28"/>
          <w:lang w:val="en-US"/>
        </w:rPr>
        <w:t>Abstract</w:t>
      </w:r>
    </w:p>
    <w:p w14:paraId="1376EC1C" w14:textId="4112479B" w:rsidR="005157BE" w:rsidRDefault="009247BF" w:rsidP="00EA58C6">
      <w:pPr>
        <w:spacing w:line="240" w:lineRule="auto"/>
        <w:jc w:val="both"/>
        <w:rPr>
          <w:rFonts w:ascii="Times New Roman" w:hAnsi="Times New Roman" w:cs="Times New Roman"/>
          <w:sz w:val="24"/>
          <w:szCs w:val="24"/>
          <w:lang w:val="en-US"/>
        </w:rPr>
      </w:pPr>
      <w:r w:rsidRPr="00622B1E">
        <w:rPr>
          <w:rFonts w:ascii="Times New Roman" w:hAnsi="Times New Roman" w:cs="Times New Roman"/>
          <w:sz w:val="24"/>
          <w:szCs w:val="24"/>
          <w:lang w:val="en-US"/>
        </w:rPr>
        <w:t xml:space="preserve"> </w:t>
      </w:r>
      <w:r w:rsidR="00622B1E" w:rsidRPr="00E43488">
        <w:rPr>
          <w:rFonts w:ascii="Times New Roman" w:hAnsi="Times New Roman" w:cs="Times New Roman"/>
          <w:sz w:val="24"/>
          <w:szCs w:val="24"/>
          <w:lang w:val="en-US"/>
        </w:rPr>
        <w:t xml:space="preserve">With the current condition of the increasing environmental </w:t>
      </w:r>
      <w:r w:rsidR="005157BE" w:rsidRPr="00E43488">
        <w:rPr>
          <w:rFonts w:ascii="Times New Roman" w:hAnsi="Times New Roman" w:cs="Times New Roman"/>
          <w:sz w:val="24"/>
          <w:szCs w:val="24"/>
          <w:lang w:val="en-US"/>
        </w:rPr>
        <w:t>crisis,</w:t>
      </w:r>
      <w:r w:rsidR="00622B1E" w:rsidRPr="00E43488">
        <w:rPr>
          <w:rFonts w:ascii="Times New Roman" w:hAnsi="Times New Roman" w:cs="Times New Roman"/>
          <w:sz w:val="24"/>
          <w:szCs w:val="24"/>
          <w:lang w:val="en-US"/>
        </w:rPr>
        <w:t xml:space="preserve"> it</w:t>
      </w:r>
      <w:r w:rsidR="005157BE" w:rsidRPr="00E43488">
        <w:rPr>
          <w:rFonts w:ascii="Times New Roman" w:hAnsi="Times New Roman" w:cs="Times New Roman"/>
          <w:sz w:val="24"/>
          <w:szCs w:val="24"/>
          <w:lang w:val="en-US"/>
        </w:rPr>
        <w:t xml:space="preserve"> has</w:t>
      </w:r>
      <w:r w:rsidR="00622B1E" w:rsidRPr="00E43488">
        <w:rPr>
          <w:rFonts w:ascii="Times New Roman" w:hAnsi="Times New Roman" w:cs="Times New Roman"/>
          <w:sz w:val="24"/>
          <w:szCs w:val="24"/>
          <w:lang w:val="en-US"/>
        </w:rPr>
        <w:t xml:space="preserve"> become crucial to change ways as a society and an individual on how we approach our environment specifically through our conscious consumption patterns.</w:t>
      </w:r>
      <w:r w:rsidR="00E43488">
        <w:rPr>
          <w:rFonts w:ascii="Times New Roman" w:hAnsi="Times New Roman" w:cs="Times New Roman"/>
          <w:sz w:val="24"/>
          <w:szCs w:val="24"/>
          <w:lang w:val="en-US"/>
        </w:rPr>
        <w:t xml:space="preserve"> </w:t>
      </w:r>
      <w:r w:rsidR="005157BE">
        <w:rPr>
          <w:rFonts w:ascii="Times New Roman" w:hAnsi="Times New Roman" w:cs="Times New Roman"/>
          <w:sz w:val="24"/>
          <w:szCs w:val="24"/>
          <w:lang w:val="en-US"/>
        </w:rPr>
        <w:t xml:space="preserve">This study is a quantitative study which </w:t>
      </w:r>
      <w:r w:rsidR="00A7655E">
        <w:rPr>
          <w:rFonts w:ascii="Times New Roman" w:hAnsi="Times New Roman" w:cs="Times New Roman"/>
          <w:sz w:val="24"/>
          <w:szCs w:val="24"/>
          <w:lang w:val="en-US"/>
        </w:rPr>
        <w:t xml:space="preserve">is </w:t>
      </w:r>
      <w:r w:rsidR="005157BE">
        <w:rPr>
          <w:rFonts w:ascii="Times New Roman" w:hAnsi="Times New Roman" w:cs="Times New Roman"/>
          <w:sz w:val="24"/>
          <w:szCs w:val="24"/>
          <w:lang w:val="en-US"/>
        </w:rPr>
        <w:t>conducted in Sikkim which is the nation’s first organic state</w:t>
      </w:r>
      <w:r w:rsidR="00E43488">
        <w:rPr>
          <w:rFonts w:ascii="Times New Roman" w:hAnsi="Times New Roman" w:cs="Times New Roman"/>
          <w:sz w:val="24"/>
          <w:szCs w:val="24"/>
          <w:lang w:val="en-US"/>
        </w:rPr>
        <w:t>.</w:t>
      </w:r>
      <w:r w:rsidR="005157BE">
        <w:rPr>
          <w:rFonts w:ascii="Times New Roman" w:hAnsi="Times New Roman" w:cs="Times New Roman"/>
          <w:sz w:val="24"/>
          <w:szCs w:val="24"/>
          <w:lang w:val="en-US"/>
        </w:rPr>
        <w:t xml:space="preserve"> </w:t>
      </w:r>
      <w:r w:rsidR="00E43488">
        <w:rPr>
          <w:rFonts w:ascii="Times New Roman" w:hAnsi="Times New Roman" w:cs="Times New Roman"/>
          <w:sz w:val="24"/>
          <w:szCs w:val="24"/>
          <w:lang w:val="en-US"/>
        </w:rPr>
        <w:t>T</w:t>
      </w:r>
      <w:r w:rsidR="001A7AA6">
        <w:rPr>
          <w:rFonts w:ascii="Times New Roman" w:hAnsi="Times New Roman" w:cs="Times New Roman"/>
          <w:sz w:val="24"/>
          <w:szCs w:val="24"/>
          <w:lang w:val="en-US"/>
        </w:rPr>
        <w:t xml:space="preserve">his study has considered households from </w:t>
      </w:r>
      <w:r w:rsidR="00E43488">
        <w:rPr>
          <w:rFonts w:ascii="Times New Roman" w:hAnsi="Times New Roman" w:cs="Times New Roman"/>
          <w:sz w:val="24"/>
          <w:szCs w:val="24"/>
          <w:lang w:val="en-US"/>
        </w:rPr>
        <w:t xml:space="preserve">the </w:t>
      </w:r>
      <w:r w:rsidR="001A7AA6">
        <w:rPr>
          <w:rFonts w:ascii="Times New Roman" w:hAnsi="Times New Roman" w:cs="Times New Roman"/>
          <w:sz w:val="24"/>
          <w:szCs w:val="24"/>
          <w:lang w:val="en-US"/>
        </w:rPr>
        <w:t>four districts of Sikkim – East, west, north south</w:t>
      </w:r>
      <w:r w:rsidR="00B60E6A">
        <w:rPr>
          <w:rFonts w:ascii="Times New Roman" w:hAnsi="Times New Roman" w:cs="Times New Roman"/>
          <w:sz w:val="24"/>
          <w:szCs w:val="24"/>
          <w:lang w:val="en-US"/>
        </w:rPr>
        <w:t xml:space="preserve">. </w:t>
      </w:r>
      <w:r w:rsidR="00B60E6A" w:rsidRPr="00E91552">
        <w:rPr>
          <w:rFonts w:ascii="Times New Roman" w:hAnsi="Times New Roman" w:cs="Times New Roman"/>
          <w:sz w:val="24"/>
          <w:szCs w:val="24"/>
          <w:lang w:val="en-US"/>
        </w:rPr>
        <w:t xml:space="preserve">The objective of the study is </w:t>
      </w:r>
      <w:r w:rsidR="005157BE" w:rsidRPr="00E91552">
        <w:rPr>
          <w:rFonts w:ascii="Times New Roman" w:hAnsi="Times New Roman" w:cs="Times New Roman"/>
          <w:sz w:val="24"/>
          <w:szCs w:val="24"/>
          <w:lang w:val="en-US"/>
        </w:rPr>
        <w:t xml:space="preserve">to assess the </w:t>
      </w:r>
      <w:r w:rsidR="005157BE" w:rsidRPr="00E91552">
        <w:rPr>
          <w:rFonts w:ascii="Times New Roman" w:hAnsi="Times New Roman" w:cs="Times New Roman"/>
          <w:i/>
          <w:iCs/>
          <w:sz w:val="24"/>
          <w:szCs w:val="24"/>
          <w:lang w:val="en-US"/>
        </w:rPr>
        <w:t>factors</w:t>
      </w:r>
      <w:r w:rsidR="005157BE" w:rsidRPr="00E91552">
        <w:rPr>
          <w:rFonts w:ascii="Times New Roman" w:hAnsi="Times New Roman" w:cs="Times New Roman"/>
          <w:sz w:val="24"/>
          <w:szCs w:val="24"/>
          <w:lang w:val="en-US"/>
        </w:rPr>
        <w:t xml:space="preserve"> that influence the </w:t>
      </w:r>
      <w:r w:rsidR="005157BE" w:rsidRPr="00E91552">
        <w:rPr>
          <w:rFonts w:ascii="Times New Roman" w:hAnsi="Times New Roman" w:cs="Times New Roman"/>
          <w:i/>
          <w:iCs/>
          <w:sz w:val="24"/>
          <w:szCs w:val="24"/>
          <w:lang w:val="en-US"/>
        </w:rPr>
        <w:t>Environmental Attitude</w:t>
      </w:r>
      <w:r w:rsidR="005157BE" w:rsidRPr="00E91552">
        <w:rPr>
          <w:rFonts w:ascii="Times New Roman" w:hAnsi="Times New Roman" w:cs="Times New Roman"/>
          <w:sz w:val="24"/>
          <w:szCs w:val="24"/>
          <w:lang w:val="en-US"/>
        </w:rPr>
        <w:t xml:space="preserve"> which might eventually influence the organic preference</w:t>
      </w:r>
      <w:r w:rsidR="00A7655E" w:rsidRPr="00E43488">
        <w:rPr>
          <w:rFonts w:ascii="Times New Roman" w:hAnsi="Times New Roman" w:cs="Times New Roman"/>
          <w:sz w:val="24"/>
          <w:szCs w:val="24"/>
          <w:lang w:val="en-US"/>
        </w:rPr>
        <w:t xml:space="preserve"> of the people</w:t>
      </w:r>
      <w:r w:rsidR="001A7AA6" w:rsidRPr="00E43488">
        <w:rPr>
          <w:rFonts w:ascii="Times New Roman" w:hAnsi="Times New Roman" w:cs="Times New Roman"/>
          <w:sz w:val="24"/>
          <w:szCs w:val="24"/>
          <w:lang w:val="en-US"/>
        </w:rPr>
        <w:t xml:space="preserve"> </w:t>
      </w:r>
      <w:r w:rsidR="00E43488">
        <w:rPr>
          <w:rFonts w:ascii="Times New Roman" w:hAnsi="Times New Roman" w:cs="Times New Roman"/>
          <w:sz w:val="24"/>
          <w:szCs w:val="24"/>
          <w:lang w:val="en-US"/>
        </w:rPr>
        <w:t>of</w:t>
      </w:r>
      <w:r w:rsidR="001A7AA6" w:rsidRPr="00E43488">
        <w:rPr>
          <w:rFonts w:ascii="Times New Roman" w:hAnsi="Times New Roman" w:cs="Times New Roman"/>
          <w:sz w:val="24"/>
          <w:szCs w:val="24"/>
          <w:lang w:val="en-US"/>
        </w:rPr>
        <w:t xml:space="preserve"> Sikkim, inclusive of both rural and semi urban population</w:t>
      </w:r>
      <w:r w:rsidR="005157BE" w:rsidRPr="00E43488">
        <w:rPr>
          <w:rFonts w:ascii="Times New Roman" w:hAnsi="Times New Roman" w:cs="Times New Roman"/>
          <w:sz w:val="24"/>
          <w:szCs w:val="24"/>
          <w:lang w:val="en-US"/>
        </w:rPr>
        <w:t>.</w:t>
      </w:r>
      <w:r w:rsidR="005157BE">
        <w:rPr>
          <w:rFonts w:ascii="Times New Roman" w:hAnsi="Times New Roman" w:cs="Times New Roman"/>
          <w:sz w:val="24"/>
          <w:szCs w:val="24"/>
          <w:lang w:val="en-US"/>
        </w:rPr>
        <w:t xml:space="preserve"> This study </w:t>
      </w:r>
      <w:r w:rsidR="00097529">
        <w:rPr>
          <w:rFonts w:ascii="Times New Roman" w:hAnsi="Times New Roman" w:cs="Times New Roman"/>
          <w:sz w:val="24"/>
          <w:szCs w:val="24"/>
          <w:lang w:val="en-US"/>
        </w:rPr>
        <w:t>has utilised</w:t>
      </w:r>
      <w:r w:rsidR="005157BE">
        <w:rPr>
          <w:rFonts w:ascii="Times New Roman" w:hAnsi="Times New Roman" w:cs="Times New Roman"/>
          <w:sz w:val="24"/>
          <w:szCs w:val="24"/>
          <w:lang w:val="en-US"/>
        </w:rPr>
        <w:t xml:space="preserve"> Structural Equation Modelling</w:t>
      </w:r>
      <w:r w:rsidR="00097529">
        <w:rPr>
          <w:rFonts w:ascii="Times New Roman" w:hAnsi="Times New Roman" w:cs="Times New Roman"/>
          <w:sz w:val="24"/>
          <w:szCs w:val="24"/>
          <w:lang w:val="en-US"/>
        </w:rPr>
        <w:t xml:space="preserve"> for the analysis of the data.</w:t>
      </w:r>
      <w:r w:rsidR="005157BE">
        <w:rPr>
          <w:rFonts w:ascii="Times New Roman" w:hAnsi="Times New Roman" w:cs="Times New Roman"/>
          <w:sz w:val="24"/>
          <w:szCs w:val="24"/>
          <w:lang w:val="en-US"/>
        </w:rPr>
        <w:t xml:space="preserve"> </w:t>
      </w:r>
      <w:r w:rsidR="00B60E6A">
        <w:rPr>
          <w:rFonts w:ascii="Times New Roman" w:hAnsi="Times New Roman" w:cs="Times New Roman"/>
          <w:sz w:val="24"/>
          <w:szCs w:val="24"/>
          <w:lang w:val="en-US"/>
        </w:rPr>
        <w:t>The result indicates</w:t>
      </w:r>
      <w:r w:rsidR="005157BE">
        <w:rPr>
          <w:rFonts w:ascii="Times New Roman" w:hAnsi="Times New Roman" w:cs="Times New Roman"/>
          <w:sz w:val="24"/>
          <w:szCs w:val="24"/>
          <w:lang w:val="en-US"/>
        </w:rPr>
        <w:t xml:space="preserve"> a </w:t>
      </w:r>
      <w:r w:rsidR="005157BE" w:rsidRPr="00E43488">
        <w:rPr>
          <w:rFonts w:ascii="Times New Roman" w:hAnsi="Times New Roman" w:cs="Times New Roman"/>
          <w:i/>
          <w:iCs/>
          <w:sz w:val="24"/>
          <w:szCs w:val="24"/>
          <w:lang w:val="en-US"/>
        </w:rPr>
        <w:t>strong significant positive association</w:t>
      </w:r>
      <w:r w:rsidR="005157BE">
        <w:rPr>
          <w:rFonts w:ascii="Times New Roman" w:hAnsi="Times New Roman" w:cs="Times New Roman"/>
          <w:sz w:val="24"/>
          <w:szCs w:val="24"/>
          <w:lang w:val="en-US"/>
        </w:rPr>
        <w:t xml:space="preserve"> between </w:t>
      </w:r>
      <w:r w:rsidR="005157BE" w:rsidRPr="00E43488">
        <w:rPr>
          <w:rFonts w:ascii="Times New Roman" w:hAnsi="Times New Roman" w:cs="Times New Roman"/>
          <w:sz w:val="24"/>
          <w:szCs w:val="24"/>
          <w:lang w:val="en-US"/>
        </w:rPr>
        <w:t>Environmental Attitude</w:t>
      </w:r>
      <w:r w:rsidR="005157BE">
        <w:rPr>
          <w:rFonts w:ascii="Times New Roman" w:hAnsi="Times New Roman" w:cs="Times New Roman"/>
          <w:sz w:val="24"/>
          <w:szCs w:val="24"/>
          <w:lang w:val="en-US"/>
        </w:rPr>
        <w:t xml:space="preserve"> and </w:t>
      </w:r>
      <w:r w:rsidR="005157BE" w:rsidRPr="00E43488">
        <w:rPr>
          <w:rFonts w:ascii="Times New Roman" w:hAnsi="Times New Roman" w:cs="Times New Roman"/>
          <w:sz w:val="24"/>
          <w:szCs w:val="24"/>
          <w:lang w:val="en-US"/>
        </w:rPr>
        <w:t>Organic Preference</w:t>
      </w:r>
      <w:r w:rsidR="001A7AA6">
        <w:rPr>
          <w:rFonts w:ascii="Times New Roman" w:hAnsi="Times New Roman" w:cs="Times New Roman"/>
          <w:b/>
          <w:bCs/>
          <w:sz w:val="24"/>
          <w:szCs w:val="24"/>
          <w:lang w:val="en-US"/>
        </w:rPr>
        <w:t xml:space="preserve">. </w:t>
      </w:r>
      <w:r w:rsidR="001A7AA6" w:rsidRPr="00E91552">
        <w:rPr>
          <w:rFonts w:ascii="Times New Roman" w:hAnsi="Times New Roman" w:cs="Times New Roman"/>
          <w:sz w:val="24"/>
          <w:szCs w:val="24"/>
          <w:lang w:val="en-US"/>
        </w:rPr>
        <w:t>It is also observed that</w:t>
      </w:r>
      <w:r w:rsidR="001A7AA6" w:rsidRPr="00E91552">
        <w:rPr>
          <w:rFonts w:ascii="Times New Roman" w:hAnsi="Times New Roman" w:cs="Times New Roman"/>
          <w:b/>
          <w:bCs/>
          <w:sz w:val="24"/>
          <w:szCs w:val="24"/>
          <w:lang w:val="en-US"/>
        </w:rPr>
        <w:t xml:space="preserve"> </w:t>
      </w:r>
      <w:r w:rsidR="005157BE" w:rsidRPr="00E91552">
        <w:rPr>
          <w:rFonts w:ascii="Times New Roman" w:hAnsi="Times New Roman" w:cs="Times New Roman"/>
          <w:sz w:val="24"/>
          <w:szCs w:val="24"/>
          <w:lang w:val="en-US"/>
        </w:rPr>
        <w:t xml:space="preserve">Environmental Awareness and Environmental Ethics have positive association with </w:t>
      </w:r>
      <w:r w:rsidR="00645F45" w:rsidRPr="00E91552">
        <w:rPr>
          <w:rFonts w:ascii="Times New Roman" w:hAnsi="Times New Roman" w:cs="Times New Roman"/>
          <w:sz w:val="24"/>
          <w:szCs w:val="24"/>
          <w:lang w:val="en-US"/>
        </w:rPr>
        <w:t xml:space="preserve">positive </w:t>
      </w:r>
      <w:r w:rsidR="005157BE" w:rsidRPr="00E91552">
        <w:rPr>
          <w:rFonts w:ascii="Times New Roman" w:hAnsi="Times New Roman" w:cs="Times New Roman"/>
          <w:sz w:val="24"/>
          <w:szCs w:val="24"/>
          <w:lang w:val="en-US"/>
        </w:rPr>
        <w:t>Environmental Attitude</w:t>
      </w:r>
      <w:r w:rsidR="00645F45" w:rsidRPr="00E91552">
        <w:rPr>
          <w:rFonts w:ascii="Times New Roman" w:hAnsi="Times New Roman" w:cs="Times New Roman"/>
          <w:sz w:val="24"/>
          <w:szCs w:val="24"/>
          <w:lang w:val="en-US"/>
        </w:rPr>
        <w:t>.</w:t>
      </w:r>
      <w:r w:rsidR="00645F45">
        <w:rPr>
          <w:rFonts w:ascii="Times New Roman" w:hAnsi="Times New Roman" w:cs="Times New Roman"/>
          <w:sz w:val="24"/>
          <w:szCs w:val="24"/>
          <w:lang w:val="en-US"/>
        </w:rPr>
        <w:t xml:space="preserve"> Hence showing that increased environmental awareness and environmental ethics among the consumers will lead to consumers opting for organic products  </w:t>
      </w:r>
    </w:p>
    <w:p w14:paraId="73796731" w14:textId="69274BA6" w:rsidR="00642ECC" w:rsidRDefault="005157BE" w:rsidP="00EA58C6">
      <w:pPr>
        <w:spacing w:line="240" w:lineRule="auto"/>
        <w:rPr>
          <w:rFonts w:ascii="Times New Roman" w:hAnsi="Times New Roman" w:cs="Times New Roman"/>
          <w:i/>
          <w:iCs/>
          <w:sz w:val="24"/>
          <w:szCs w:val="24"/>
          <w:lang w:val="en-US"/>
        </w:rPr>
      </w:pPr>
      <w:r w:rsidRPr="00097529">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w:t>
      </w:r>
      <w:r w:rsidR="00097529" w:rsidRPr="00B60E6A">
        <w:rPr>
          <w:rFonts w:ascii="Times New Roman" w:hAnsi="Times New Roman" w:cs="Times New Roman"/>
          <w:i/>
          <w:iCs/>
          <w:sz w:val="24"/>
          <w:szCs w:val="24"/>
          <w:lang w:val="en-US"/>
        </w:rPr>
        <w:t>Environmental Attitude; Environmental Awareness; Environmental Ethics; Organic Preference</w:t>
      </w:r>
      <w:r w:rsidR="00642ECC">
        <w:rPr>
          <w:rFonts w:ascii="Times New Roman" w:hAnsi="Times New Roman" w:cs="Times New Roman"/>
          <w:i/>
          <w:iCs/>
          <w:sz w:val="24"/>
          <w:szCs w:val="24"/>
          <w:lang w:val="en-US"/>
        </w:rPr>
        <w:t xml:space="preserve">; Theory of Planned </w:t>
      </w:r>
      <w:r w:rsidR="00E66FDE">
        <w:rPr>
          <w:rFonts w:ascii="Times New Roman" w:hAnsi="Times New Roman" w:cs="Times New Roman"/>
          <w:i/>
          <w:iCs/>
          <w:sz w:val="24"/>
          <w:szCs w:val="24"/>
          <w:lang w:val="en-US"/>
        </w:rPr>
        <w:t>Behaviour</w:t>
      </w:r>
    </w:p>
    <w:p w14:paraId="2A71E65F" w14:textId="77777777" w:rsidR="008E7C82" w:rsidRPr="00BF78D4" w:rsidRDefault="008E7C82" w:rsidP="00A04852">
      <w:pPr>
        <w:spacing w:line="360" w:lineRule="auto"/>
        <w:rPr>
          <w:rFonts w:ascii="Times New Roman" w:hAnsi="Times New Roman" w:cs="Times New Roman"/>
          <w:i/>
          <w:iCs/>
          <w:sz w:val="24"/>
          <w:szCs w:val="24"/>
          <w:lang w:val="en-US"/>
        </w:rPr>
      </w:pPr>
    </w:p>
    <w:p w14:paraId="02369C53" w14:textId="5C2DA3F5" w:rsidR="005B7C75" w:rsidRPr="00EA58C6" w:rsidRDefault="00EA58C6" w:rsidP="00BF78D4">
      <w:pPr>
        <w:pStyle w:val="ListParagraph"/>
        <w:numPr>
          <w:ilvl w:val="0"/>
          <w:numId w:val="3"/>
        </w:numPr>
        <w:spacing w:line="360" w:lineRule="auto"/>
        <w:ind w:right="-90"/>
        <w:jc w:val="both"/>
        <w:rPr>
          <w:rFonts w:ascii="Times New Roman" w:hAnsi="Times New Roman" w:cs="Times New Roman"/>
          <w:b/>
          <w:bCs/>
          <w:sz w:val="28"/>
          <w:szCs w:val="28"/>
          <w:lang w:val="en-US"/>
        </w:rPr>
      </w:pPr>
      <w:r w:rsidRPr="00EA58C6">
        <w:rPr>
          <w:rFonts w:ascii="Times New Roman" w:hAnsi="Times New Roman" w:cs="Times New Roman"/>
          <w:b/>
          <w:bCs/>
          <w:sz w:val="28"/>
          <w:szCs w:val="28"/>
          <w:lang w:val="en-US"/>
        </w:rPr>
        <w:t>INTRODUCTION</w:t>
      </w:r>
    </w:p>
    <w:p w14:paraId="16C579D0" w14:textId="7BAB9348" w:rsidR="00591984" w:rsidRPr="00C45B05" w:rsidRDefault="007145EB" w:rsidP="00EA58C6">
      <w:pPr>
        <w:spacing w:line="240" w:lineRule="auto"/>
        <w:jc w:val="both"/>
        <w:rPr>
          <w:rFonts w:ascii="Times New Roman" w:hAnsi="Times New Roman" w:cs="Times New Roman"/>
          <w:sz w:val="24"/>
          <w:szCs w:val="24"/>
          <w:lang w:val="en-US"/>
        </w:rPr>
      </w:pPr>
      <w:r w:rsidRPr="00C45B05">
        <w:rPr>
          <w:rFonts w:ascii="Times New Roman" w:hAnsi="Times New Roman" w:cs="Times New Roman"/>
          <w:sz w:val="24"/>
          <w:szCs w:val="24"/>
          <w:lang w:val="en-US"/>
        </w:rPr>
        <w:t>One of the most important and vital processes for survival of humanity is food production through farming. It is expected that the world population would reach 9.1 billion people by 2050(United Nations</w:t>
      </w:r>
      <w:r w:rsidR="00087497" w:rsidRPr="00C45B05">
        <w:rPr>
          <w:rFonts w:ascii="Times New Roman" w:hAnsi="Times New Roman" w:cs="Times New Roman"/>
          <w:sz w:val="24"/>
          <w:szCs w:val="24"/>
          <w:lang w:val="en-US"/>
        </w:rPr>
        <w:t xml:space="preserve"> </w:t>
      </w:r>
      <w:r w:rsidR="00F94DE0" w:rsidRPr="00C45B05">
        <w:rPr>
          <w:rFonts w:ascii="Times New Roman" w:hAnsi="Times New Roman" w:cs="Times New Roman"/>
          <w:sz w:val="24"/>
          <w:szCs w:val="24"/>
          <w:lang w:val="en-US"/>
        </w:rPr>
        <w:t>[UN]</w:t>
      </w:r>
      <w:r w:rsidRPr="00C45B05">
        <w:rPr>
          <w:rFonts w:ascii="Times New Roman" w:hAnsi="Times New Roman" w:cs="Times New Roman"/>
          <w:sz w:val="24"/>
          <w:szCs w:val="24"/>
          <w:lang w:val="en-US"/>
        </w:rPr>
        <w:t>,2015). Thus, to feed the growing world's population, the agricultural sector</w:t>
      </w:r>
      <w:r w:rsidR="005B7C75" w:rsidRPr="00C45B05">
        <w:rPr>
          <w:rFonts w:ascii="Times New Roman" w:hAnsi="Times New Roman" w:cs="Times New Roman"/>
          <w:sz w:val="24"/>
          <w:szCs w:val="24"/>
          <w:lang w:val="en-US"/>
        </w:rPr>
        <w:t xml:space="preserve"> was</w:t>
      </w:r>
      <w:r w:rsidR="007A5BA0" w:rsidRPr="00C45B05">
        <w:rPr>
          <w:rFonts w:ascii="Times New Roman" w:hAnsi="Times New Roman" w:cs="Times New Roman"/>
          <w:sz w:val="24"/>
          <w:szCs w:val="24"/>
          <w:lang w:val="en-US"/>
        </w:rPr>
        <w:t xml:space="preserve">  </w:t>
      </w:r>
      <w:r w:rsidRPr="00C45B05">
        <w:rPr>
          <w:rFonts w:ascii="Times New Roman" w:hAnsi="Times New Roman" w:cs="Times New Roman"/>
          <w:sz w:val="24"/>
          <w:szCs w:val="24"/>
          <w:lang w:val="en-US"/>
        </w:rPr>
        <w:t xml:space="preserve"> </w:t>
      </w:r>
      <w:r w:rsidR="00087497" w:rsidRPr="00C45B05">
        <w:rPr>
          <w:rFonts w:ascii="Times New Roman" w:hAnsi="Times New Roman" w:cs="Times New Roman"/>
          <w:sz w:val="24"/>
          <w:szCs w:val="24"/>
          <w:lang w:val="en-US"/>
        </w:rPr>
        <w:t>required</w:t>
      </w:r>
      <w:r w:rsidRPr="00C45B05">
        <w:rPr>
          <w:rFonts w:ascii="Times New Roman" w:hAnsi="Times New Roman" w:cs="Times New Roman"/>
          <w:sz w:val="24"/>
          <w:szCs w:val="24"/>
          <w:lang w:val="en-US"/>
        </w:rPr>
        <w:t xml:space="preserve"> to boost food production by 70%. According to the Food and Agriculture Organization of the United Nations [FAO], 2015, this increase include</w:t>
      </w:r>
      <w:r w:rsidR="00087497" w:rsidRPr="00C45B05">
        <w:rPr>
          <w:rFonts w:ascii="Times New Roman" w:hAnsi="Times New Roman" w:cs="Times New Roman"/>
          <w:sz w:val="24"/>
          <w:szCs w:val="24"/>
          <w:lang w:val="en-US"/>
        </w:rPr>
        <w:t>d</w:t>
      </w:r>
      <w:r w:rsidRPr="00C45B05">
        <w:rPr>
          <w:rFonts w:ascii="Times New Roman" w:hAnsi="Times New Roman" w:cs="Times New Roman"/>
          <w:sz w:val="24"/>
          <w:szCs w:val="24"/>
          <w:lang w:val="en-US"/>
        </w:rPr>
        <w:t xml:space="preserve"> 0.47 billion </w:t>
      </w:r>
      <w:r w:rsidR="00087497" w:rsidRPr="00C45B05">
        <w:rPr>
          <w:rFonts w:ascii="Times New Roman" w:hAnsi="Times New Roman" w:cs="Times New Roman"/>
          <w:sz w:val="24"/>
          <w:szCs w:val="24"/>
          <w:lang w:val="en-US"/>
        </w:rPr>
        <w:t>tons of</w:t>
      </w:r>
      <w:r w:rsidRPr="00C45B05">
        <w:rPr>
          <w:rFonts w:ascii="Times New Roman" w:hAnsi="Times New Roman" w:cs="Times New Roman"/>
          <w:sz w:val="24"/>
          <w:szCs w:val="24"/>
          <w:lang w:val="en-US"/>
        </w:rPr>
        <w:t xml:space="preserve"> beef and 3 billion </w:t>
      </w:r>
      <w:r w:rsidR="00087497" w:rsidRPr="00C45B05">
        <w:rPr>
          <w:rFonts w:ascii="Times New Roman" w:hAnsi="Times New Roman" w:cs="Times New Roman"/>
          <w:sz w:val="24"/>
          <w:szCs w:val="24"/>
          <w:lang w:val="en-US"/>
        </w:rPr>
        <w:t>tons of</w:t>
      </w:r>
      <w:r w:rsidRPr="00C45B05">
        <w:rPr>
          <w:rFonts w:ascii="Times New Roman" w:hAnsi="Times New Roman" w:cs="Times New Roman"/>
          <w:sz w:val="24"/>
          <w:szCs w:val="24"/>
          <w:lang w:val="en-US"/>
        </w:rPr>
        <w:t xml:space="preserve"> grain. Chemical fertilizers </w:t>
      </w:r>
      <w:r w:rsidR="00087497" w:rsidRPr="00C45B05">
        <w:rPr>
          <w:rFonts w:ascii="Times New Roman" w:hAnsi="Times New Roman" w:cs="Times New Roman"/>
          <w:sz w:val="24"/>
          <w:szCs w:val="24"/>
          <w:lang w:val="en-US"/>
        </w:rPr>
        <w:t>were</w:t>
      </w:r>
      <w:r w:rsidRPr="00C45B05">
        <w:rPr>
          <w:rFonts w:ascii="Times New Roman" w:hAnsi="Times New Roman" w:cs="Times New Roman"/>
          <w:sz w:val="24"/>
          <w:szCs w:val="24"/>
          <w:lang w:val="en-US"/>
        </w:rPr>
        <w:t xml:space="preserve"> used as part of the agricultural adjustments to speed up growth</w:t>
      </w:r>
      <w:r w:rsidR="00087497" w:rsidRPr="00C45B05">
        <w:rPr>
          <w:rFonts w:ascii="Times New Roman" w:hAnsi="Times New Roman" w:cs="Times New Roman"/>
          <w:sz w:val="24"/>
          <w:szCs w:val="24"/>
          <w:lang w:val="en-US"/>
        </w:rPr>
        <w:t>/yield of the produce</w:t>
      </w:r>
      <w:r w:rsidRPr="00C45B05">
        <w:rPr>
          <w:rFonts w:ascii="Times New Roman" w:hAnsi="Times New Roman" w:cs="Times New Roman"/>
          <w:sz w:val="24"/>
          <w:szCs w:val="24"/>
          <w:lang w:val="en-US"/>
        </w:rPr>
        <w:t xml:space="preserve"> (Chakrabarty et al., 2014). Because of this, by the year 2000, over 5 million </w:t>
      </w:r>
      <w:r w:rsidR="00087497" w:rsidRPr="00C45B05">
        <w:rPr>
          <w:rFonts w:ascii="Times New Roman" w:hAnsi="Times New Roman" w:cs="Times New Roman"/>
          <w:sz w:val="24"/>
          <w:szCs w:val="24"/>
          <w:lang w:val="en-US"/>
        </w:rPr>
        <w:t>tons</w:t>
      </w:r>
      <w:r w:rsidRPr="00C45B05">
        <w:rPr>
          <w:rFonts w:ascii="Times New Roman" w:hAnsi="Times New Roman" w:cs="Times New Roman"/>
          <w:sz w:val="24"/>
          <w:szCs w:val="24"/>
          <w:lang w:val="en-US"/>
        </w:rPr>
        <w:t xml:space="preserve"> of agricultural chemicals w</w:t>
      </w:r>
      <w:r w:rsidR="00087497" w:rsidRPr="00C45B05">
        <w:rPr>
          <w:rFonts w:ascii="Times New Roman" w:hAnsi="Times New Roman" w:cs="Times New Roman"/>
          <w:sz w:val="24"/>
          <w:szCs w:val="24"/>
          <w:lang w:val="en-US"/>
        </w:rPr>
        <w:t>ere</w:t>
      </w:r>
      <w:r w:rsidRPr="00C45B05">
        <w:rPr>
          <w:rFonts w:ascii="Times New Roman" w:hAnsi="Times New Roman" w:cs="Times New Roman"/>
          <w:sz w:val="24"/>
          <w:szCs w:val="24"/>
          <w:lang w:val="en-US"/>
        </w:rPr>
        <w:t xml:space="preserve"> utilized yearly (Fernando, 2017). Therefore, the massive annual use of pesticides </w:t>
      </w:r>
      <w:r w:rsidR="00087497" w:rsidRPr="00C45B05">
        <w:rPr>
          <w:rFonts w:ascii="Times New Roman" w:hAnsi="Times New Roman" w:cs="Times New Roman"/>
          <w:sz w:val="24"/>
          <w:szCs w:val="24"/>
          <w:lang w:val="en-US"/>
        </w:rPr>
        <w:t>and fertilizers have increasingly accumulated</w:t>
      </w:r>
      <w:r w:rsidRPr="00C45B05">
        <w:rPr>
          <w:rFonts w:ascii="Times New Roman" w:hAnsi="Times New Roman" w:cs="Times New Roman"/>
          <w:sz w:val="24"/>
          <w:szCs w:val="24"/>
          <w:lang w:val="en-US"/>
        </w:rPr>
        <w:t xml:space="preserve"> and contaminate</w:t>
      </w:r>
      <w:r w:rsidR="00087497" w:rsidRPr="00C45B05">
        <w:rPr>
          <w:rFonts w:ascii="Times New Roman" w:hAnsi="Times New Roman" w:cs="Times New Roman"/>
          <w:sz w:val="24"/>
          <w:szCs w:val="24"/>
          <w:lang w:val="en-US"/>
        </w:rPr>
        <w:t>d</w:t>
      </w:r>
      <w:r w:rsidRPr="00C45B05">
        <w:rPr>
          <w:rFonts w:ascii="Times New Roman" w:hAnsi="Times New Roman" w:cs="Times New Roman"/>
          <w:sz w:val="24"/>
          <w:szCs w:val="24"/>
          <w:lang w:val="en-US"/>
        </w:rPr>
        <w:t xml:space="preserve"> the ecology.</w:t>
      </w:r>
      <w:r w:rsidR="007A5BA0" w:rsidRPr="00C45B05">
        <w:rPr>
          <w:rFonts w:ascii="Times New Roman" w:hAnsi="Times New Roman" w:cs="Times New Roman"/>
          <w:sz w:val="24"/>
          <w:szCs w:val="24"/>
          <w:lang w:val="en-US"/>
        </w:rPr>
        <w:t xml:space="preserve"> The prolong </w:t>
      </w:r>
      <w:r w:rsidR="00417978" w:rsidRPr="00C45B05">
        <w:rPr>
          <w:rFonts w:ascii="Times New Roman" w:hAnsi="Times New Roman" w:cs="Times New Roman"/>
          <w:sz w:val="24"/>
          <w:szCs w:val="24"/>
          <w:lang w:val="en-US"/>
        </w:rPr>
        <w:t>exercise</w:t>
      </w:r>
      <w:r w:rsidR="007A5BA0" w:rsidRPr="00C45B05">
        <w:rPr>
          <w:rFonts w:ascii="Times New Roman" w:hAnsi="Times New Roman" w:cs="Times New Roman"/>
          <w:sz w:val="24"/>
          <w:szCs w:val="24"/>
          <w:lang w:val="en-US"/>
        </w:rPr>
        <w:t xml:space="preserve"> of such chemicals does not just impact the human body but also has a high negative impact on the ecosystem</w:t>
      </w:r>
      <w:r w:rsidR="00417978" w:rsidRPr="00C45B05">
        <w:rPr>
          <w:rFonts w:ascii="Times New Roman" w:hAnsi="Times New Roman" w:cs="Times New Roman"/>
          <w:sz w:val="24"/>
          <w:szCs w:val="24"/>
          <w:lang w:val="en-US"/>
        </w:rPr>
        <w:t xml:space="preserve">, with the long tenure the soil </w:t>
      </w:r>
      <w:r w:rsidR="00591984" w:rsidRPr="00C45B05">
        <w:rPr>
          <w:rFonts w:ascii="Times New Roman" w:hAnsi="Times New Roman" w:cs="Times New Roman"/>
          <w:sz w:val="24"/>
          <w:szCs w:val="24"/>
          <w:lang w:val="en-US"/>
        </w:rPr>
        <w:t>loses</w:t>
      </w:r>
      <w:r w:rsidR="00417978" w:rsidRPr="00C45B05">
        <w:rPr>
          <w:rFonts w:ascii="Times New Roman" w:hAnsi="Times New Roman" w:cs="Times New Roman"/>
          <w:sz w:val="24"/>
          <w:szCs w:val="24"/>
          <w:lang w:val="en-US"/>
        </w:rPr>
        <w:t xml:space="preserve"> its natural fertility, water sources </w:t>
      </w:r>
      <w:r w:rsidR="00591984" w:rsidRPr="00C45B05">
        <w:rPr>
          <w:rFonts w:ascii="Times New Roman" w:hAnsi="Times New Roman" w:cs="Times New Roman"/>
          <w:sz w:val="24"/>
          <w:szCs w:val="24"/>
          <w:lang w:val="en-US"/>
        </w:rPr>
        <w:t>get</w:t>
      </w:r>
      <w:r w:rsidR="00417978" w:rsidRPr="00C45B05">
        <w:rPr>
          <w:rFonts w:ascii="Times New Roman" w:hAnsi="Times New Roman" w:cs="Times New Roman"/>
          <w:sz w:val="24"/>
          <w:szCs w:val="24"/>
          <w:lang w:val="en-US"/>
        </w:rPr>
        <w:t xml:space="preserve"> polluted and various other environmental crisis arises too. </w:t>
      </w:r>
      <w:r w:rsidR="00591984" w:rsidRPr="00C45B05">
        <w:rPr>
          <w:rFonts w:ascii="Times New Roman" w:hAnsi="Times New Roman" w:cs="Times New Roman"/>
          <w:sz w:val="24"/>
          <w:szCs w:val="24"/>
          <w:lang w:val="en-US"/>
        </w:rPr>
        <w:t xml:space="preserve">Therefore, a viable answer to these environmental and human issues is to replace </w:t>
      </w:r>
      <w:r w:rsidR="00043485" w:rsidRPr="00C45B05">
        <w:rPr>
          <w:rFonts w:ascii="Times New Roman" w:hAnsi="Times New Roman" w:cs="Times New Roman"/>
          <w:sz w:val="24"/>
          <w:szCs w:val="24"/>
          <w:lang w:val="en-US"/>
        </w:rPr>
        <w:t xml:space="preserve">conventional </w:t>
      </w:r>
      <w:r w:rsidR="00591984" w:rsidRPr="00C45B05">
        <w:rPr>
          <w:rFonts w:ascii="Times New Roman" w:hAnsi="Times New Roman" w:cs="Times New Roman"/>
          <w:sz w:val="24"/>
          <w:szCs w:val="24"/>
          <w:lang w:val="en-US"/>
        </w:rPr>
        <w:t xml:space="preserve">methods with organic farming in order to eliminate the usage of pesticides </w:t>
      </w:r>
      <w:r w:rsidR="00591984" w:rsidRPr="00C45B05">
        <w:rPr>
          <w:rFonts w:ascii="Times New Roman" w:hAnsi="Times New Roman" w:cs="Times New Roman"/>
          <w:sz w:val="24"/>
          <w:szCs w:val="24"/>
        </w:rPr>
        <w:t>(Sharma and Singhvi, 2017)</w:t>
      </w:r>
      <w:r w:rsidR="00591984" w:rsidRPr="00C45B05">
        <w:rPr>
          <w:rFonts w:ascii="Times New Roman" w:hAnsi="Times New Roman" w:cs="Times New Roman"/>
          <w:sz w:val="24"/>
          <w:szCs w:val="24"/>
          <w:lang w:val="en-US"/>
        </w:rPr>
        <w:t xml:space="preserve">. </w:t>
      </w:r>
    </w:p>
    <w:p w14:paraId="54083900" w14:textId="192D27C2" w:rsidR="00642ECC" w:rsidRDefault="000C0DEB" w:rsidP="00EA58C6">
      <w:pPr>
        <w:spacing w:line="240" w:lineRule="auto"/>
        <w:jc w:val="both"/>
        <w:rPr>
          <w:rFonts w:ascii="Times New Roman" w:hAnsi="Times New Roman" w:cs="Times New Roman"/>
          <w:sz w:val="24"/>
          <w:szCs w:val="24"/>
        </w:rPr>
      </w:pPr>
      <w:r w:rsidRPr="00C45B05">
        <w:rPr>
          <w:rFonts w:ascii="Times New Roman" w:hAnsi="Times New Roman" w:cs="Times New Roman"/>
          <w:sz w:val="24"/>
          <w:szCs w:val="24"/>
        </w:rPr>
        <w:lastRenderedPageBreak/>
        <w:t>"Organic farming is a system which avoids or largely excludes the use of synthetic inputs (</w:t>
      </w:r>
      <w:r w:rsidR="002F4EB5" w:rsidRPr="00C45B05">
        <w:rPr>
          <w:rFonts w:ascii="Times New Roman" w:hAnsi="Times New Roman" w:cs="Times New Roman"/>
          <w:sz w:val="24"/>
          <w:szCs w:val="24"/>
        </w:rPr>
        <w:t>such as</w:t>
      </w:r>
      <w:r w:rsidRPr="00C45B05">
        <w:rPr>
          <w:rFonts w:ascii="Times New Roman" w:hAnsi="Times New Roman" w:cs="Times New Roman"/>
          <w:sz w:val="24"/>
          <w:szCs w:val="24"/>
        </w:rPr>
        <w:t> fertilizers, pesticides, hormones, and feed additives) and to the maximum extent rely upon</w:t>
      </w:r>
      <w:r w:rsidR="00DC1E94" w:rsidRPr="00C45B05">
        <w:rPr>
          <w:rFonts w:ascii="Times New Roman" w:hAnsi="Times New Roman" w:cs="Times New Roman"/>
          <w:sz w:val="24"/>
          <w:szCs w:val="24"/>
        </w:rPr>
        <w:t xml:space="preserve"> </w:t>
      </w:r>
      <w:r w:rsidRPr="00C45B05">
        <w:rPr>
          <w:rFonts w:ascii="Times New Roman" w:hAnsi="Times New Roman" w:cs="Times New Roman"/>
          <w:sz w:val="24"/>
          <w:szCs w:val="24"/>
        </w:rPr>
        <w:t>crop rotations, crop residues, animal manures, organic waste, mineral grade rock additives, </w:t>
      </w:r>
      <w:r w:rsidR="00DC1E94" w:rsidRPr="00C45B05">
        <w:rPr>
          <w:rFonts w:ascii="Times New Roman" w:hAnsi="Times New Roman" w:cs="Times New Roman"/>
          <w:sz w:val="24"/>
          <w:szCs w:val="24"/>
        </w:rPr>
        <w:t>and biological</w:t>
      </w:r>
      <w:r w:rsidRPr="00C45B05">
        <w:rPr>
          <w:rFonts w:ascii="Times New Roman" w:hAnsi="Times New Roman" w:cs="Times New Roman"/>
          <w:sz w:val="24"/>
          <w:szCs w:val="24"/>
        </w:rPr>
        <w:t> system of nutrient mobilization and plant protection," </w:t>
      </w:r>
      <w:r w:rsidR="002F4EB5" w:rsidRPr="00C45B05">
        <w:rPr>
          <w:rFonts w:ascii="Times New Roman" w:hAnsi="Times New Roman" w:cs="Times New Roman"/>
          <w:sz w:val="24"/>
          <w:szCs w:val="24"/>
        </w:rPr>
        <w:t>according to the United States Department</w:t>
      </w:r>
      <w:r w:rsidR="00043485" w:rsidRPr="00C45B05">
        <w:rPr>
          <w:rFonts w:ascii="Times New Roman" w:hAnsi="Times New Roman" w:cs="Times New Roman"/>
          <w:sz w:val="24"/>
          <w:szCs w:val="24"/>
        </w:rPr>
        <w:t xml:space="preserve"> of Agriculture</w:t>
      </w:r>
      <w:r w:rsidR="002F4EB5" w:rsidRPr="00C45B05">
        <w:rPr>
          <w:rFonts w:ascii="Times New Roman" w:hAnsi="Times New Roman" w:cs="Times New Roman"/>
          <w:sz w:val="24"/>
          <w:szCs w:val="24"/>
        </w:rPr>
        <w:t xml:space="preserve">. If no legally forbidden compounds have been used in the land where the crops have cultivated, the agricultural product is considered to be organic. It is required that the soil be certified as organic and that no chemical substances have been used for approximately three years prior to harvest. This farming </w:t>
      </w:r>
      <w:r w:rsidR="00F00775" w:rsidRPr="00C45B05">
        <w:rPr>
          <w:rFonts w:ascii="Times New Roman" w:hAnsi="Times New Roman" w:cs="Times New Roman"/>
          <w:sz w:val="24"/>
          <w:szCs w:val="24"/>
        </w:rPr>
        <w:t xml:space="preserve">method </w:t>
      </w:r>
      <w:r w:rsidR="002F4EB5" w:rsidRPr="00C45B05">
        <w:rPr>
          <w:rFonts w:ascii="Times New Roman" w:hAnsi="Times New Roman" w:cs="Times New Roman"/>
          <w:sz w:val="24"/>
          <w:szCs w:val="24"/>
        </w:rPr>
        <w:t xml:space="preserve">aims to minimise soil contamination and water wastage while increasing the soil fertility </w:t>
      </w:r>
      <w:r w:rsidR="00F00775" w:rsidRPr="00C45B05">
        <w:rPr>
          <w:rFonts w:ascii="Times New Roman" w:hAnsi="Times New Roman" w:cs="Times New Roman"/>
          <w:sz w:val="24"/>
          <w:szCs w:val="24"/>
        </w:rPr>
        <w:t xml:space="preserve">by various techniques like seed rotation, green manure, </w:t>
      </w:r>
      <w:r w:rsidR="00EA58C6">
        <w:rPr>
          <w:rFonts w:ascii="Times New Roman" w:hAnsi="Times New Roman" w:cs="Times New Roman"/>
          <w:sz w:val="24"/>
          <w:szCs w:val="24"/>
        </w:rPr>
        <w:t>biological pest control etc. (Pacho, 2020; Singh, 2020).</w:t>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t xml:space="preserve"> </w:t>
      </w:r>
      <w:r w:rsidR="00703DAE" w:rsidRPr="00C45B05">
        <w:rPr>
          <w:rFonts w:ascii="Times New Roman" w:hAnsi="Times New Roman" w:cs="Times New Roman"/>
          <w:sz w:val="24"/>
          <w:szCs w:val="24"/>
        </w:rPr>
        <w:t xml:space="preserve">Focusing on the production processes rather than the final result is one of the primary traits of    organic farming methods (El-Hage Scialabba, 2003; Council of the European Union, 2018). </w:t>
      </w:r>
      <w:r w:rsidR="00CA6246" w:rsidRPr="00C45B05">
        <w:rPr>
          <w:rFonts w:ascii="Times New Roman" w:hAnsi="Times New Roman" w:cs="Times New Roman"/>
          <w:sz w:val="24"/>
          <w:szCs w:val="24"/>
        </w:rPr>
        <w:t>With the growing concern over healthy lifestyle especially around the COVID 19, there has been a significant increase in the consumption pattern of the organic products</w:t>
      </w:r>
      <w:r w:rsidR="007157DC" w:rsidRPr="00C45B05">
        <w:rPr>
          <w:rFonts w:ascii="Times New Roman" w:hAnsi="Times New Roman" w:cs="Times New Roman"/>
          <w:sz w:val="24"/>
          <w:szCs w:val="24"/>
        </w:rPr>
        <w:t>,</w:t>
      </w:r>
      <w:r w:rsidR="00CA6246" w:rsidRPr="00C45B05">
        <w:rPr>
          <w:rFonts w:ascii="Times New Roman" w:hAnsi="Times New Roman" w:cs="Times New Roman"/>
          <w:sz w:val="24"/>
          <w:szCs w:val="24"/>
        </w:rPr>
        <w:t xml:space="preserve"> </w:t>
      </w:r>
      <w:r w:rsidR="007157DC" w:rsidRPr="00C45B05">
        <w:rPr>
          <w:rFonts w:ascii="Times New Roman" w:hAnsi="Times New Roman" w:cs="Times New Roman"/>
          <w:sz w:val="24"/>
          <w:szCs w:val="24"/>
        </w:rPr>
        <w:t>o</w:t>
      </w:r>
      <w:r w:rsidR="00CA6246" w:rsidRPr="00C45B05">
        <w:rPr>
          <w:rFonts w:ascii="Times New Roman" w:hAnsi="Times New Roman" w:cs="Times New Roman"/>
          <w:sz w:val="24"/>
          <w:szCs w:val="24"/>
        </w:rPr>
        <w:t xml:space="preserve">rganic food has gained attention due to its nutritional value, health benefits and environment friendly nature </w:t>
      </w:r>
      <w:r w:rsidR="00300782" w:rsidRPr="00C45B05">
        <w:rPr>
          <w:rFonts w:ascii="Times New Roman" w:hAnsi="Times New Roman" w:cs="Times New Roman"/>
          <w:sz w:val="24"/>
          <w:szCs w:val="24"/>
        </w:rPr>
        <w:fldChar w:fldCharType="begin" w:fldLock="1"/>
      </w:r>
      <w:r w:rsidR="00090682" w:rsidRPr="00C45B05">
        <w:rPr>
          <w:rFonts w:ascii="Times New Roman" w:hAnsi="Times New Roman" w:cs="Times New Roman"/>
          <w:sz w:val="24"/>
          <w:szCs w:val="24"/>
        </w:rPr>
        <w:instrText>ADDIN CSL_CITATION {"citationItems":[{"id":"ITEM-1","itemData":{"DOI":"10.35808/ersj/635","ISSN":"11082976","abstract":"The aim of the research was to identify the factors influencing consumption of organic food. In our research an attempt was made to find a method for identifying organic food and assessing the features ascribed to it by consumers. These features were then analyzed in terms of their technical and market attributes. The paper presents results of research conducted in 2005, 2010 and 2013 on the organic food market with special emphasis placed on pricing, distribution systems and consumers in the north-eastern Poland. Respondents' answers indicate their increasing interest, knowledge and commitment to the environment. They also indicate that the most important technological attribute of organic food is its way of production, which ensures that the food is healthy, contains no chemical additives and has good, natural taste. Market attributes include the food's high nutritious value and naturalness, the producer's logo and price. Consumers buying organic food believe that the production and processing of food does not destroy the natural environment. Emphasizing the health and taste attributes of organic food is not enough, however, and it has to coincide with the consumer's behavior and proenvironmental bias, which become explicit in his choice of food.","author":[{"dropping-particle":"","family":"Grzybowska-Brzezinska","given":"Mariola","non-dropping-particle":"","parse-names":false,"suffix":""},{"dropping-particle":"","family":"Grzywinska-Rapca","given":"Mlgorzata","non-dropping-particle":"","parse-names":false,"suffix":""},{"dropping-particle":"","family":"Zuchowski","given":"Ireneusz","non-dropping-particle":"","parse-names":false,"suffix":""},{"dropping-particle":"","family":"Bórawski","given":"Piotr","non-dropping-particle":"","parse-names":false,"suffix":""}],"container-title":"European Research Studies Journal","id":"ITEM-1","issue":"2","issued":{"date-parts":[["2017"]]},"page":"164-176","title":"Organic food attributes determing consumer choices","type":"article-journal","volume":"20"},"uris":["http://www.mendeley.com/documents/?uuid=a4d40146-b91f-4a8a-93c8-2dd12af35f60"]}],"mendeley":{"formattedCitation":"(Grzybowska-Brzezinska et al., 2017)","plainTextFormattedCitation":"(Grzybowska-Brzezinska et al., 2017)","previouslyFormattedCitation":"(Grzybowska-Brzezinska et al., 2017)"},"properties":{"noteIndex":0},"schema":"https://github.com/citation-style-language/schema/raw/master/csl-citation.json"}</w:instrText>
      </w:r>
      <w:r w:rsidR="00300782" w:rsidRPr="00C45B05">
        <w:rPr>
          <w:rFonts w:ascii="Times New Roman" w:hAnsi="Times New Roman" w:cs="Times New Roman"/>
          <w:sz w:val="24"/>
          <w:szCs w:val="24"/>
        </w:rPr>
        <w:fldChar w:fldCharType="separate"/>
      </w:r>
      <w:r w:rsidR="00300782" w:rsidRPr="00C45B05">
        <w:rPr>
          <w:rFonts w:ascii="Times New Roman" w:hAnsi="Times New Roman" w:cs="Times New Roman"/>
          <w:noProof/>
          <w:sz w:val="24"/>
          <w:szCs w:val="24"/>
        </w:rPr>
        <w:t>(Grzybowska-Brzezinska et al., 2017)</w:t>
      </w:r>
      <w:r w:rsidR="00300782" w:rsidRPr="00C45B05">
        <w:rPr>
          <w:rFonts w:ascii="Times New Roman" w:hAnsi="Times New Roman" w:cs="Times New Roman"/>
          <w:sz w:val="24"/>
          <w:szCs w:val="24"/>
        </w:rPr>
        <w:fldChar w:fldCharType="end"/>
      </w:r>
      <w:r w:rsidR="00CA6246" w:rsidRPr="00C45B05">
        <w:rPr>
          <w:rFonts w:ascii="Times New Roman" w:hAnsi="Times New Roman" w:cs="Times New Roman"/>
          <w:sz w:val="24"/>
          <w:szCs w:val="24"/>
        </w:rPr>
        <w:t xml:space="preserve">. </w:t>
      </w:r>
      <w:r w:rsidR="00BE60DA" w:rsidRPr="00C45B05">
        <w:rPr>
          <w:rFonts w:ascii="Times New Roman" w:hAnsi="Times New Roman" w:cs="Times New Roman"/>
          <w:sz w:val="24"/>
          <w:szCs w:val="24"/>
        </w:rPr>
        <w:t xml:space="preserve"> Furthermore, organic products’ commercial attractiveness is influenced by elements including taste, freshness and sensory appeal</w:t>
      </w:r>
      <w:r w:rsidR="00090682" w:rsidRPr="00C45B05">
        <w:rPr>
          <w:rFonts w:ascii="Times New Roman" w:hAnsi="Times New Roman" w:cs="Times New Roman"/>
          <w:sz w:val="24"/>
          <w:szCs w:val="24"/>
        </w:rPr>
        <w:t xml:space="preserve"> </w:t>
      </w:r>
      <w:r w:rsidR="00090682" w:rsidRPr="00C45B05">
        <w:rPr>
          <w:rFonts w:ascii="Times New Roman" w:hAnsi="Times New Roman" w:cs="Times New Roman"/>
          <w:sz w:val="24"/>
          <w:szCs w:val="24"/>
        </w:rPr>
        <w:fldChar w:fldCharType="begin" w:fldLock="1"/>
      </w:r>
      <w:r w:rsidR="00090682" w:rsidRPr="00C45B05">
        <w:rPr>
          <w:rFonts w:ascii="Times New Roman" w:hAnsi="Times New Roman" w:cs="Times New Roman"/>
          <w:sz w:val="24"/>
          <w:szCs w:val="24"/>
        </w:rPr>
        <w:instrText>ADDIN CSL_CITATION {"citationItems":[{"id":"ITEM-1","itemData":{"DOI":"10.1016/j.ecolecon.2017.05.029","ISSN":"09218009","abstract":"Policy actions in support of organic food chain productions have so far focused on the supply side, whereas poor attention has been paid to the demand side, despite the growing interest in consumers' attitudes toward organic food. With the prospect of a future slowing down of the demand for organic products, specific demand-side policy measures are called for. Building on interdisciplinary research on the determinants of organic food purchases, we argue that cultural capital is a relevant, so far overlooked driver of organic food purchase. We apply a Heckman two-step selection strategy approach to microdata from the latest sample annual survey by the Italian National Institute of Statistics. We find that participation in cultural activities has a positive impact on the inclination to purchase organic products, to an extent that depends on the social orientation of each cultural activity. Some policy implications are derived.","author":[{"dropping-particle":"","family":"Agovino","given":"Massimiliano","non-dropping-particle":"","parse-names":false,"suffix":""},{"dropping-particle":"","family":"Crociata","given":"Alessandro","non-dropping-particle":"","parse-names":false,"suffix":""},{"dropping-particle":"","family":"Quaglione","given":"Davide","non-dropping-particle":"","parse-names":false,"suffix":""},{"dropping-particle":"","family":"Sacco","given":"Pierluigi","non-dropping-particle":"","parse-names":false,"suffix":""},{"dropping-particle":"","family":"Sarra","given":"Alessandro","non-dropping-particle":"","parse-names":false,"suffix":""}],"container-title":"Ecological Economics","id":"ITEM-1","issue":"2017","issued":{"date-parts":[["2017"]]},"page":"66-75","publisher":"Elsevier B.V.","title":"Good Taste Tastes Good. Cultural Capital as a Determinant of Organic Food Purchase by Italian Consumers: Evidence and Policy Implications","type":"article-journal","volume":"141"},"uris":["http://www.mendeley.com/documents/?uuid=3ebed816-c8b0-42ec-9f80-d8a4c3f3e728"]}],"mendeley":{"formattedCitation":"(Agovino et al., 2017)","plainTextFormattedCitation":"(Agovino et al., 2017)","previouslyFormattedCitation":"(Agovino et al., 2017)"},"properties":{"noteIndex":0},"schema":"https://github.com/citation-style-language/schema/raw/master/csl-citation.json"}</w:instrText>
      </w:r>
      <w:r w:rsidR="00090682" w:rsidRPr="00C45B05">
        <w:rPr>
          <w:rFonts w:ascii="Times New Roman" w:hAnsi="Times New Roman" w:cs="Times New Roman"/>
          <w:sz w:val="24"/>
          <w:szCs w:val="24"/>
        </w:rPr>
        <w:fldChar w:fldCharType="separate"/>
      </w:r>
      <w:r w:rsidR="00090682" w:rsidRPr="00C45B05">
        <w:rPr>
          <w:rFonts w:ascii="Times New Roman" w:hAnsi="Times New Roman" w:cs="Times New Roman"/>
          <w:noProof/>
          <w:sz w:val="24"/>
          <w:szCs w:val="24"/>
        </w:rPr>
        <w:t>(Agovino et al., 2017)</w:t>
      </w:r>
      <w:r w:rsidR="00090682" w:rsidRPr="00C45B05">
        <w:rPr>
          <w:rFonts w:ascii="Times New Roman" w:hAnsi="Times New Roman" w:cs="Times New Roman"/>
          <w:sz w:val="24"/>
          <w:szCs w:val="24"/>
        </w:rPr>
        <w:fldChar w:fldCharType="end"/>
      </w:r>
      <w:r w:rsidR="00BE60DA" w:rsidRPr="00C45B05">
        <w:rPr>
          <w:rFonts w:ascii="Times New Roman" w:hAnsi="Times New Roman" w:cs="Times New Roman"/>
          <w:sz w:val="24"/>
          <w:szCs w:val="24"/>
        </w:rPr>
        <w:t>. Consumer perceptions of organic foods are complex and impacted by a number of factors, despite their increasing popularity</w:t>
      </w:r>
      <w:r w:rsidR="00662B74">
        <w:rPr>
          <w:rFonts w:ascii="Times New Roman" w:hAnsi="Times New Roman" w:cs="Times New Roman"/>
          <w:sz w:val="24"/>
          <w:szCs w:val="24"/>
        </w:rPr>
        <w:t xml:space="preserve"> </w:t>
      </w:r>
      <w:r w:rsidR="00090682" w:rsidRPr="00C45B05">
        <w:rPr>
          <w:rFonts w:ascii="Times New Roman" w:hAnsi="Times New Roman" w:cs="Times New Roman"/>
          <w:sz w:val="24"/>
          <w:szCs w:val="24"/>
        </w:rPr>
        <w:fldChar w:fldCharType="begin" w:fldLock="1"/>
      </w:r>
      <w:r w:rsidR="00F13D42" w:rsidRPr="00C45B05">
        <w:rPr>
          <w:rFonts w:ascii="Times New Roman" w:hAnsi="Times New Roman" w:cs="Times New Roman"/>
          <w:sz w:val="24"/>
          <w:szCs w:val="24"/>
        </w:rPr>
        <w:instrText>ADDIN CSL_CITATION {"citationItems":[{"id":"ITEM-1","itemData":{"DOI":"10.1016/j.foodqual.2020.103896","ISSN":"0950-3293","author":[{"dropping-particle":"","family":"Nadricka","given":"Kristina","non-dropping-particle":"","parse-names":false,"suffix":""},{"dropping-particle":"","family":"Millet","given":"Kobe","non-dropping-particle":"","parse-names":false,"suffix":""},{"dropping-particle":"","family":"Verlegh","given":"Peeter W J","non-dropping-particle":"","parse-names":false,"suffix":""}],"container-title":"Food Quality and Preference","id":"ITEM-1","issue":"July 2019","issued":{"date-parts":[["2020"]]},"page":"103896","publisher":"Elsevier","title":"When organic products are tasty : Taste inferences from an Organic = Healthy Association","type":"article-journal","volume":"83"},"uris":["http://www.mendeley.com/documents/?uuid=d4a656a2-ac1d-4309-bed8-3dbea93f71d3"]},{"id":"ITEM-2","itemData":{"DOI":"10.1016/j.afres.2022.100129","ISSN":"2772-5022","author":[{"dropping-particle":"","family":"Malissiova","given":"Eleni","non-dropping-particle":"","parse-names":false,"suffix":""},{"dropping-particle":"","family":"Tsokana","given":"Konstantina","non-dropping-particle":"","parse-names":false,"suffix":""},{"dropping-particle":"","family":"Soultani","given":"Georgia","non-dropping-particle":"","parse-names":false,"suffix":""},{"dropping-particle":"","family":"Alexandraki","given":"Maria","non-dropping-particle":"","parse-names":false,"suffix":""},{"dropping-particle":"","family":"Katsioulis","given":"Antonios","non-dropping-particle":"","parse-names":false,"suffix":""},{"dropping-particle":"","family":"Manouras","given":"Athanasios","non-dropping-particle":"","parse-names":false,"suffix":""}],"container-title":"Applied Food Research","id":"ITEM-2","issue":"1","issued":{"date-parts":[["2022"]]},"page":"100129","publisher":"Elsevier B.V.","title":"Organic food : A Study of consumer perception and preferences in Greece .","type":"article-journal","volume":"2"},"uris":["http://www.mendeley.com/documents/?uuid=0636262c-fd9d-4294-ba51-8c6fdf893763"]}],"mendeley":{"formattedCitation":"(Malissiova et al., 2022; Nadricka et al., 2020)","plainTextFormattedCitation":"(Malissiova et al., 2022; Nadricka et al., 2020)","previouslyFormattedCitation":"(Malissiova et al., 2022; Nadricka et al., 2020)"},"properties":{"noteIndex":0},"schema":"https://github.com/citation-style-language/schema/raw/master/csl-citation.json"}</w:instrText>
      </w:r>
      <w:r w:rsidR="00090682" w:rsidRPr="00C45B05">
        <w:rPr>
          <w:rFonts w:ascii="Times New Roman" w:hAnsi="Times New Roman" w:cs="Times New Roman"/>
          <w:sz w:val="24"/>
          <w:szCs w:val="24"/>
        </w:rPr>
        <w:fldChar w:fldCharType="separate"/>
      </w:r>
      <w:r w:rsidR="00090682" w:rsidRPr="00C45B05">
        <w:rPr>
          <w:rFonts w:ascii="Times New Roman" w:hAnsi="Times New Roman" w:cs="Times New Roman"/>
          <w:noProof/>
          <w:sz w:val="24"/>
          <w:szCs w:val="24"/>
        </w:rPr>
        <w:t>(Malissiova et al., 2022; Nadricka et al., 2020)</w:t>
      </w:r>
      <w:r w:rsidR="00090682" w:rsidRPr="00C45B05">
        <w:rPr>
          <w:rFonts w:ascii="Times New Roman" w:hAnsi="Times New Roman" w:cs="Times New Roman"/>
          <w:sz w:val="24"/>
          <w:szCs w:val="24"/>
        </w:rPr>
        <w:fldChar w:fldCharType="end"/>
      </w:r>
      <w:r w:rsidR="00BE60DA" w:rsidRPr="00C45B05">
        <w:rPr>
          <w:rFonts w:ascii="Times New Roman" w:hAnsi="Times New Roman" w:cs="Times New Roman"/>
          <w:sz w:val="24"/>
          <w:szCs w:val="24"/>
        </w:rPr>
        <w:t>. While some customers put their health and well – being first, others are driven by concerns about environmental sustainability, animal welfare or just a desire for better, healthier food options</w:t>
      </w:r>
      <w:r w:rsidR="00662B74">
        <w:rPr>
          <w:rFonts w:ascii="Times New Roman" w:hAnsi="Times New Roman" w:cs="Times New Roman"/>
          <w:sz w:val="24"/>
          <w:szCs w:val="24"/>
        </w:rPr>
        <w:t xml:space="preserve"> </w:t>
      </w:r>
      <w:r w:rsidR="00F13D42" w:rsidRPr="00C45B05">
        <w:rPr>
          <w:rFonts w:ascii="Times New Roman" w:hAnsi="Times New Roman" w:cs="Times New Roman"/>
          <w:sz w:val="24"/>
          <w:szCs w:val="24"/>
        </w:rPr>
        <w:fldChar w:fldCharType="begin" w:fldLock="1"/>
      </w:r>
      <w:r w:rsidR="00A435EA" w:rsidRPr="00C45B05">
        <w:rPr>
          <w:rFonts w:ascii="Times New Roman" w:hAnsi="Times New Roman" w:cs="Times New Roman"/>
          <w:sz w:val="24"/>
          <w:szCs w:val="24"/>
        </w:rPr>
        <w:instrText>ADDIN CSL_CITATION {"citationItems":[{"id":"ITEM-1","itemData":{"DOI":"10.3390/agriculture11111125","ISSN":"20770472","abstract":"The consumption of organic products has consistently increased over the last decades, covering increasingly diversified consumers, both in the characteristics and the reasons associated with consumption. This heterogeneity evidences the need to examine in depth the reasons for the purchase and consumption of these products. The core aim of this study is related to the motivational drivers of organic consumption. The survey included 250 respondents from Andalusia (Spain) who completed an online questionnaire and personal interviews. A convenience sampling method was applied, and the best-worst scaling method allowed us to analyze ten attributes of organic purchasing behavior. Health benefits and environmental impact are the key attributes explaining the consumption of organic products. To deeply understand organic consumer motivations, we studied the influence of six classification variables over the studied attributes. Applying ordinal regressions, we found that having children under 18 at home and a consumer’s academic level contribute in a relevant way to explain the valorization of the health benefits attribute. Also, the place to purchase organic food and academic level correlates with the valuation of GMOs in food. Andalusia is one of the largest European regions for organic production but with minor relevance in consumption. Nevertheless, despite this apparent paradox, the results of the present study point to a consumer profile very similar to other European countries with consolidated organic consumption.","author":[{"dropping-particle":"","family":"Madureira","given":"Teresa","non-dropping-particle":"","parse-names":false,"suffix":""},{"dropping-particle":"","family":"Nunes","given":"Fernando","non-dropping-particle":"","parse-names":false,"suffix":""},{"dropping-particle":"","family":"Veiga","given":"José","non-dropping-particle":"","parse-names":false,"suffix":""},{"dropping-particle":"","family":"Saralegui-Diez","given":"Pablo","non-dropping-particle":"","parse-names":false,"suffix":""}],"container-title":"Agriculture (Switzerland)","id":"ITEM-1","issue":"11","issued":{"date-parts":[["2021"]]},"page":"1-18","title":"Choices in sustainable food consumption: How spanish low intake organic consumers behave","type":"article-journal","volume":"11"},"uris":["http://www.mendeley.com/documents/?uuid=ab720006-01f1-446e-9c8e-c346d504d9b2"]},{"id":"ITEM-2","itemData":{"DOI":"10.3390/foods10050983","ISSN":"23048158","abstract":"There is no doubt that the search for organic products is already more than a trend; it is an indisputable reality. More and more people are opting for a healthier lifestyle that starts with food, which has awakened a growing interest in understanding the reasons for these purchases. The motivational attributes of consumers’ decisions regarding the consumption of organic products are the main aim of this study. The survey included 250 respondents that filled a questionnaire by email and by personal interviews. We used a non-probabilistic sampling method, namely convenience sampling and the best–worst scaling method to analyze 10 attributes of organic purchasing decisions. Then, we studied the impact of the classification variables age, gender, academic level, place of residence, children under 18 living at home, and place of purchase of organic products on the attributes. Applying a chi-square test, we only obtained statistically significant differences for children under 18 living at home and the certification warranty (p = 0.011). The results show the dominance of credence attributes and egoistic motivations on organic consumption and may indicate a path towards the standardization of the organic consumer profile. This study emphasized that we may be facing a new organic consumer, for whom health-related factors are not just significant but overwhelming as well.","author":[{"dropping-particle":"","family":"Nunes","given":"Fernando","non-dropping-particle":"","parse-names":false,"suffix":""},{"dropping-particle":"","family":"Madureira","given":"Teresa","non-dropping-particle":"","parse-names":false,"suffix":""},{"dropping-particle":"","family":"Veiga","given":"José","non-dropping-particle":"","parse-names":false,"suffix":""}],"container-title":"Foods","id":"ITEM-2","issue":"5","issued":{"date-parts":[["2021"]]},"title":"The organic food choice pattern: Are organic consumers becoming more alike?","type":"article-journal","volume":"10"},"uris":["http://www.mendeley.com/documents/?uuid=b424d517-2ea9-48dc-9d57-dea0d72bdb77"]}],"mendeley":{"formattedCitation":"(Madureira et al., 2021; Nunes et al., 2021)","plainTextFormattedCitation":"(Madureira et al., 2021; Nunes et al., 2021)","previouslyFormattedCitation":"(Madureira et al., 2021; Nunes et al., 2021)"},"properties":{"noteIndex":0},"schema":"https://github.com/citation-style-language/schema/raw/master/csl-citation.json"}</w:instrText>
      </w:r>
      <w:r w:rsidR="00F13D42" w:rsidRPr="00C45B05">
        <w:rPr>
          <w:rFonts w:ascii="Times New Roman" w:hAnsi="Times New Roman" w:cs="Times New Roman"/>
          <w:sz w:val="24"/>
          <w:szCs w:val="24"/>
        </w:rPr>
        <w:fldChar w:fldCharType="separate"/>
      </w:r>
      <w:r w:rsidR="00F13D42" w:rsidRPr="00C45B05">
        <w:rPr>
          <w:rFonts w:ascii="Times New Roman" w:hAnsi="Times New Roman" w:cs="Times New Roman"/>
          <w:noProof/>
          <w:sz w:val="24"/>
          <w:szCs w:val="24"/>
        </w:rPr>
        <w:t>(Madureira et al., 2021; Nunes et al., 2021)</w:t>
      </w:r>
      <w:r w:rsidR="00F13D42" w:rsidRPr="00C45B05">
        <w:rPr>
          <w:rFonts w:ascii="Times New Roman" w:hAnsi="Times New Roman" w:cs="Times New Roman"/>
          <w:sz w:val="24"/>
          <w:szCs w:val="24"/>
        </w:rPr>
        <w:fldChar w:fldCharType="end"/>
      </w:r>
      <w:r w:rsidR="00BE60DA" w:rsidRPr="00C45B05">
        <w:rPr>
          <w:rFonts w:ascii="Times New Roman" w:hAnsi="Times New Roman" w:cs="Times New Roman"/>
          <w:sz w:val="24"/>
          <w:szCs w:val="24"/>
        </w:rPr>
        <w:t>. Recent decades have seen consumers realize that their purchases directly affect the environment</w:t>
      </w:r>
      <w:r w:rsidR="00662B74">
        <w:rPr>
          <w:rFonts w:ascii="Times New Roman" w:hAnsi="Times New Roman" w:cs="Times New Roman"/>
          <w:sz w:val="24"/>
          <w:szCs w:val="24"/>
        </w:rPr>
        <w:t xml:space="preserve"> </w:t>
      </w:r>
      <w:r w:rsidR="00A435EA" w:rsidRPr="00C45B05">
        <w:rPr>
          <w:rFonts w:ascii="Times New Roman" w:hAnsi="Times New Roman" w:cs="Times New Roman"/>
          <w:sz w:val="24"/>
          <w:szCs w:val="24"/>
        </w:rPr>
        <w:fldChar w:fldCharType="begin" w:fldLock="1"/>
      </w:r>
      <w:r w:rsidR="00797E7C" w:rsidRPr="00C45B05">
        <w:rPr>
          <w:rFonts w:ascii="Times New Roman" w:hAnsi="Times New Roman" w:cs="Times New Roman"/>
          <w:sz w:val="24"/>
          <w:szCs w:val="24"/>
        </w:rPr>
        <w:instrText>ADDIN CSL_CITATION {"citationItems":[{"id":"ITEM-1","itemData":{"DOI":"10.1108/BFJ-03-2022-0196","ISSN":"0007070X","abstract":"Purpose: This study explores Greek and Swedish consumers' attitude towards organic food consumption in order to demonstrate possible differences that can be identified based on health and ecological consciousness beliefs rather than demographic factors. The examination of an emerging and a more mature market allow the authors to provide more targeted marketing strategies that possibly increase organic food consumption in both countries. Design/methodology/approach: The authors adopt an econometric approach to the analysis of consumer behavior in relation to organic food consumption in Sweden and Greece. More specifically, the authors examine the motivations and postexperiences of organic food consumers of different socioeconomic profiles in these two countries, one in northern and one in southern Europe. The authors apply an ordered logistic regression analysis model to map out the interaction between consumer attitudes and sociodemographic variables. Findings: The authors results show that consumers in Sweden more frequently purchase organic foods than consumers in Greece. Environmental protection and ethical values increase the odds for Swedish organic food consumers to buy organic food products. Health consciousness and family well-being are perceived as factors that increase the odds for Greek organic food consumers to buy organic foods. Sociodemographic factors do not play a pivotal role for consumer behavior in relation to organic food in both countries. Originality/value: This study distinguishes between organic food consumers in two countries with different levels of organic food production and export activity, size of organic market, national organic labeling system and legal definition and standards of organic food. Within these differences, the organic food industry could align its marketing efforts better rather focus on simplistic demographics. The current view unfolds the fact that there are limited studies comparing two European markets at different stages of development and the factors that influence organic food consumer behavior.","author":[{"dropping-particle":"","family":"Diagourtas","given":"Georgios","non-dropping-particle":"","parse-names":false,"suffix":""},{"dropping-particle":"","family":"Kounetas","given":"Kostas Elias","non-dropping-particle":"","parse-names":false,"suffix":""},{"dropping-particle":"","family":"Simaki","given":"Vasiliki","non-dropping-particle":"","parse-names":false,"suffix":""}],"container-title":"British Food Journal","id":"ITEM-1","issue":"7","issued":{"date-parts":[["2023"]]},"page":"2407-2423","title":"Consumer attitudes and sociodemographic profiles in purchasing organic food products: evidence from a Greek and Swedish survey","type":"article-journal","volume":"125"},"uris":["http://www.mendeley.com/documents/?uuid=d399064f-f242-4e73-86d8-7b2c2d6e187d"]}],"mendeley":{"formattedCitation":"(Diagourtas et al., 2023)","plainTextFormattedCitation":"(Diagourtas et al., 2023)","previouslyFormattedCitation":"(Diagourtas et al., 2023)"},"properties":{"noteIndex":0},"schema":"https://github.com/citation-style-language/schema/raw/master/csl-citation.json"}</w:instrText>
      </w:r>
      <w:r w:rsidR="00A435EA" w:rsidRPr="00C45B05">
        <w:rPr>
          <w:rFonts w:ascii="Times New Roman" w:hAnsi="Times New Roman" w:cs="Times New Roman"/>
          <w:sz w:val="24"/>
          <w:szCs w:val="24"/>
        </w:rPr>
        <w:fldChar w:fldCharType="separate"/>
      </w:r>
      <w:r w:rsidR="00A435EA" w:rsidRPr="00C45B05">
        <w:rPr>
          <w:rFonts w:ascii="Times New Roman" w:hAnsi="Times New Roman" w:cs="Times New Roman"/>
          <w:noProof/>
          <w:sz w:val="24"/>
          <w:szCs w:val="24"/>
        </w:rPr>
        <w:t>(Diagourtas et al., 2023)</w:t>
      </w:r>
      <w:r w:rsidR="00A435EA" w:rsidRPr="00C45B05">
        <w:rPr>
          <w:rFonts w:ascii="Times New Roman" w:hAnsi="Times New Roman" w:cs="Times New Roman"/>
          <w:sz w:val="24"/>
          <w:szCs w:val="24"/>
        </w:rPr>
        <w:fldChar w:fldCharType="end"/>
      </w:r>
      <w:r w:rsidR="00BE60DA" w:rsidRPr="00C45B05">
        <w:rPr>
          <w:rFonts w:ascii="Times New Roman" w:hAnsi="Times New Roman" w:cs="Times New Roman"/>
          <w:sz w:val="24"/>
          <w:szCs w:val="24"/>
        </w:rPr>
        <w:t>.</w:t>
      </w:r>
      <w:r w:rsidR="00A435EA" w:rsidRPr="00C45B05">
        <w:rPr>
          <w:rFonts w:ascii="Times New Roman" w:hAnsi="Times New Roman" w:cs="Times New Roman"/>
          <w:sz w:val="24"/>
          <w:szCs w:val="24"/>
        </w:rPr>
        <w:t xml:space="preserve"> </w:t>
      </w:r>
      <w:r w:rsidR="004D5509" w:rsidRPr="00C45B05">
        <w:rPr>
          <w:rFonts w:ascii="Times New Roman" w:hAnsi="Times New Roman" w:cs="Times New Roman"/>
          <w:sz w:val="24"/>
          <w:szCs w:val="24"/>
        </w:rPr>
        <w:t xml:space="preserve"> </w:t>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t xml:space="preserve"> </w:t>
      </w:r>
      <w:r w:rsidR="004D5509" w:rsidRPr="00C45B05">
        <w:rPr>
          <w:rFonts w:ascii="Times New Roman" w:hAnsi="Times New Roman" w:cs="Times New Roman"/>
          <w:sz w:val="24"/>
          <w:szCs w:val="24"/>
        </w:rPr>
        <w:t xml:space="preserve">India ranks </w:t>
      </w:r>
      <w:r w:rsidR="004636A4" w:rsidRPr="00C45B05">
        <w:rPr>
          <w:rFonts w:ascii="Times New Roman" w:hAnsi="Times New Roman" w:cs="Times New Roman"/>
          <w:sz w:val="24"/>
          <w:szCs w:val="24"/>
        </w:rPr>
        <w:t>4</w:t>
      </w:r>
      <w:r w:rsidR="004636A4" w:rsidRPr="00C45B05">
        <w:rPr>
          <w:rFonts w:ascii="Times New Roman" w:hAnsi="Times New Roman" w:cs="Times New Roman"/>
          <w:sz w:val="24"/>
          <w:szCs w:val="24"/>
          <w:vertAlign w:val="superscript"/>
        </w:rPr>
        <w:t>th</w:t>
      </w:r>
      <w:r w:rsidR="004636A4" w:rsidRPr="00C45B05">
        <w:rPr>
          <w:rFonts w:ascii="Times New Roman" w:hAnsi="Times New Roman" w:cs="Times New Roman"/>
          <w:sz w:val="24"/>
          <w:szCs w:val="24"/>
        </w:rPr>
        <w:t xml:space="preserve"> </w:t>
      </w:r>
      <w:r w:rsidR="004D5509" w:rsidRPr="00C45B05">
        <w:rPr>
          <w:rFonts w:ascii="Times New Roman" w:hAnsi="Times New Roman" w:cs="Times New Roman"/>
          <w:sz w:val="24"/>
          <w:szCs w:val="24"/>
        </w:rPr>
        <w:t xml:space="preserve">globally in terms of agricultural land under organic farming with 5.91 million hectares of land under organic </w:t>
      </w:r>
      <w:r w:rsidR="00DC1E94" w:rsidRPr="00C45B05">
        <w:rPr>
          <w:rFonts w:ascii="Times New Roman" w:hAnsi="Times New Roman" w:cs="Times New Roman"/>
          <w:sz w:val="24"/>
          <w:szCs w:val="24"/>
        </w:rPr>
        <w:t>farming and 4.43 million farmers practicing organic farming</w:t>
      </w:r>
      <w:r w:rsidR="004636A4" w:rsidRPr="00C45B05">
        <w:rPr>
          <w:rFonts w:ascii="Times New Roman" w:hAnsi="Times New Roman" w:cs="Times New Roman"/>
          <w:sz w:val="24"/>
          <w:szCs w:val="24"/>
        </w:rPr>
        <w:t xml:space="preserve"> and is also the largest producer of organic products</w:t>
      </w:r>
      <w:r w:rsidR="00DC1E94" w:rsidRPr="00C45B05">
        <w:rPr>
          <w:rFonts w:ascii="Times New Roman" w:hAnsi="Times New Roman" w:cs="Times New Roman"/>
          <w:sz w:val="24"/>
          <w:szCs w:val="24"/>
        </w:rPr>
        <w:t xml:space="preserve">, according to </w:t>
      </w:r>
      <w:r w:rsidR="004636A4" w:rsidRPr="00C45B05">
        <w:rPr>
          <w:rFonts w:ascii="Times New Roman" w:hAnsi="Times New Roman" w:cs="Times New Roman"/>
          <w:sz w:val="24"/>
          <w:szCs w:val="24"/>
        </w:rPr>
        <w:t xml:space="preserve">IFOAM 2024-25. </w:t>
      </w:r>
      <w:r w:rsidR="00171EDE" w:rsidRPr="00C45B05">
        <w:rPr>
          <w:rFonts w:ascii="Times New Roman" w:hAnsi="Times New Roman" w:cs="Times New Roman"/>
          <w:sz w:val="24"/>
          <w:szCs w:val="24"/>
        </w:rPr>
        <w:t>The Indian organic food market was valued at $820 million in 2022 and is expected to reach $2.6 billion by 2028, growing at a CAGR of 20-25% (IFOAM 2024-25). Indian states like Madhya Pradesh, Gujarat, Karnataka, Rajasthan and Maharashtra are the top ranking in terms of the land under organic farming while Sikkim has been titled the first 100% organic state</w:t>
      </w:r>
      <w:r w:rsidR="00C13CB4" w:rsidRPr="00C45B05">
        <w:rPr>
          <w:rFonts w:ascii="Times New Roman" w:hAnsi="Times New Roman" w:cs="Times New Roman"/>
          <w:sz w:val="24"/>
          <w:szCs w:val="24"/>
        </w:rPr>
        <w:t xml:space="preserve"> of India</w:t>
      </w:r>
      <w:r w:rsidR="00171EDE" w:rsidRPr="00C45B05">
        <w:rPr>
          <w:rFonts w:ascii="Times New Roman" w:hAnsi="Times New Roman" w:cs="Times New Roman"/>
          <w:sz w:val="24"/>
          <w:szCs w:val="24"/>
        </w:rPr>
        <w:t>. On January 19, 2016, Prime Minister Narendra Modi praised the Sikkim government for succes</w:t>
      </w:r>
      <w:r w:rsidR="00A865E7">
        <w:rPr>
          <w:rFonts w:ascii="Times New Roman" w:hAnsi="Times New Roman" w:cs="Times New Roman"/>
          <w:sz w:val="24"/>
          <w:szCs w:val="24"/>
        </w:rPr>
        <w:t>sfully</w:t>
      </w:r>
      <w:r w:rsidR="00171EDE" w:rsidRPr="00C45B05">
        <w:rPr>
          <w:rFonts w:ascii="Times New Roman" w:hAnsi="Times New Roman" w:cs="Times New Roman"/>
          <w:sz w:val="24"/>
          <w:szCs w:val="24"/>
        </w:rPr>
        <w:t> implementing the transition to a fully organic state by announcing that Sikkim was the first state in the nation to practice organic farming.</w:t>
      </w:r>
      <w:r w:rsidR="006C5D23" w:rsidRPr="00C45B05">
        <w:rPr>
          <w:rFonts w:ascii="Times New Roman" w:hAnsi="Times New Roman" w:cs="Times New Roman"/>
          <w:sz w:val="24"/>
          <w:szCs w:val="24"/>
        </w:rPr>
        <w:t xml:space="preserve"> </w:t>
      </w:r>
      <w:r w:rsidR="00C13CB4" w:rsidRPr="00C45B05">
        <w:rPr>
          <w:rFonts w:ascii="Times New Roman" w:hAnsi="Times New Roman" w:cs="Times New Roman"/>
          <w:sz w:val="24"/>
          <w:szCs w:val="24"/>
        </w:rPr>
        <w:t xml:space="preserve">The journey began in 2003 with the State Legislative Assembly passing a resolution to fully adopt organic </w:t>
      </w:r>
      <w:r w:rsidR="00C13CB4" w:rsidRPr="004F58E8">
        <w:rPr>
          <w:rFonts w:ascii="Times New Roman" w:hAnsi="Times New Roman" w:cs="Times New Roman"/>
          <w:sz w:val="24"/>
          <w:szCs w:val="24"/>
        </w:rPr>
        <w:t>farming</w:t>
      </w:r>
      <w:r w:rsidR="006C5D23" w:rsidRPr="004F58E8">
        <w:rPr>
          <w:rFonts w:ascii="Times New Roman" w:hAnsi="Times New Roman" w:cs="Times New Roman"/>
          <w:sz w:val="24"/>
          <w:szCs w:val="24"/>
        </w:rPr>
        <w:t xml:space="preserve"> (Hand Book on Agriculture,2019-2020, p.12).</w:t>
      </w:r>
      <w:r w:rsidR="006C5D23" w:rsidRPr="00C45B05">
        <w:rPr>
          <w:rFonts w:ascii="Times New Roman" w:hAnsi="Times New Roman" w:cs="Times New Roman"/>
          <w:sz w:val="24"/>
          <w:szCs w:val="24"/>
        </w:rPr>
        <w:t xml:space="preserve">  </w:t>
      </w:r>
      <w:r w:rsidR="00703917" w:rsidRPr="00C45B05">
        <w:rPr>
          <w:rFonts w:ascii="Times New Roman" w:hAnsi="Times New Roman" w:cs="Times New Roman"/>
          <w:sz w:val="24"/>
          <w:szCs w:val="24"/>
        </w:rPr>
        <w:t>It took 12yrs, for Sikkim to fully convert to organic state which was done in a stage wise phase. Initially various subsidies</w:t>
      </w:r>
      <w:r w:rsidR="006C5D23" w:rsidRPr="00C45B05">
        <w:rPr>
          <w:rFonts w:ascii="Times New Roman" w:hAnsi="Times New Roman" w:cs="Times New Roman"/>
          <w:sz w:val="24"/>
          <w:szCs w:val="24"/>
        </w:rPr>
        <w:t xml:space="preserve"> </w:t>
      </w:r>
      <w:r w:rsidR="00703917" w:rsidRPr="00C45B05">
        <w:rPr>
          <w:rFonts w:ascii="Times New Roman" w:hAnsi="Times New Roman" w:cs="Times New Roman"/>
          <w:sz w:val="24"/>
          <w:szCs w:val="24"/>
        </w:rPr>
        <w:t>were provided by the government to the farmers to reduce the usage of fertilisers and afterwards a permanent ban was installed on the movement and sales of the chemical fertilisers and pesticides in the state (Raut et al., 2018</w:t>
      </w:r>
      <w:r w:rsidR="006C5D23" w:rsidRPr="00C45B05">
        <w:rPr>
          <w:rFonts w:ascii="Times New Roman" w:hAnsi="Times New Roman" w:cs="Times New Roman"/>
          <w:sz w:val="24"/>
          <w:szCs w:val="24"/>
        </w:rPr>
        <w:t xml:space="preserve">). This left the farmers with little option but to switch to organic farming, the States’s traditional farming style until artificial fertilizers were introduced with the green revolution. In addition to restricting the use of chemical fertilizers, the state government of Sikkim designated the agricultural land as having organic certification. </w:t>
      </w:r>
      <w:r w:rsidR="00BC3033" w:rsidRPr="00C45B05">
        <w:rPr>
          <w:rFonts w:ascii="Times New Roman" w:hAnsi="Times New Roman" w:cs="Times New Roman"/>
          <w:sz w:val="24"/>
          <w:szCs w:val="24"/>
        </w:rPr>
        <w:t xml:space="preserve">Currently 80,000 million of the nation’s 1.24 million tons of organic produce come from Sikkim </w:t>
      </w:r>
      <w:r w:rsidR="006C5D23" w:rsidRPr="00C45B05">
        <w:rPr>
          <w:rFonts w:ascii="Times New Roman" w:hAnsi="Times New Roman" w:cs="Times New Roman"/>
          <w:sz w:val="24"/>
          <w:szCs w:val="24"/>
        </w:rPr>
        <w:t>(Das &amp; Bhattacharyya, 2018).</w:t>
      </w:r>
      <w:r w:rsidR="00645F45">
        <w:rPr>
          <w:rFonts w:ascii="Times New Roman" w:hAnsi="Times New Roman" w:cs="Times New Roman"/>
          <w:sz w:val="24"/>
          <w:szCs w:val="24"/>
        </w:rPr>
        <w:t xml:space="preserve"> </w:t>
      </w:r>
    </w:p>
    <w:p w14:paraId="6B0C2954" w14:textId="77777777" w:rsidR="00F71B37" w:rsidRDefault="00F71B37" w:rsidP="00BF78D4">
      <w:pPr>
        <w:spacing w:line="360" w:lineRule="auto"/>
        <w:jc w:val="both"/>
        <w:rPr>
          <w:rFonts w:ascii="Times New Roman" w:hAnsi="Times New Roman" w:cs="Times New Roman"/>
          <w:sz w:val="24"/>
          <w:szCs w:val="24"/>
        </w:rPr>
      </w:pPr>
    </w:p>
    <w:p w14:paraId="5AEE3198" w14:textId="77777777" w:rsidR="00F71B37" w:rsidRPr="00097529" w:rsidRDefault="00F71B37" w:rsidP="00BF78D4">
      <w:pPr>
        <w:spacing w:line="360" w:lineRule="auto"/>
        <w:jc w:val="both"/>
        <w:rPr>
          <w:rFonts w:ascii="Times New Roman" w:hAnsi="Times New Roman" w:cs="Times New Roman"/>
          <w:sz w:val="24"/>
          <w:szCs w:val="24"/>
        </w:rPr>
      </w:pPr>
    </w:p>
    <w:p w14:paraId="27374287" w14:textId="5D7CB148" w:rsidR="00BC3033" w:rsidRPr="00EA58C6" w:rsidRDefault="00EA58C6" w:rsidP="00A04852">
      <w:pPr>
        <w:pStyle w:val="ListParagraph"/>
        <w:numPr>
          <w:ilvl w:val="0"/>
          <w:numId w:val="3"/>
        </w:numPr>
        <w:spacing w:line="360" w:lineRule="auto"/>
        <w:jc w:val="both"/>
        <w:rPr>
          <w:rFonts w:ascii="Times New Roman" w:hAnsi="Times New Roman" w:cs="Times New Roman"/>
          <w:b/>
          <w:bCs/>
          <w:sz w:val="28"/>
          <w:szCs w:val="28"/>
          <w:lang w:val="en-US"/>
        </w:rPr>
      </w:pPr>
      <w:r w:rsidRPr="00EA58C6">
        <w:rPr>
          <w:rFonts w:ascii="Times New Roman" w:hAnsi="Times New Roman" w:cs="Times New Roman"/>
          <w:b/>
          <w:bCs/>
          <w:sz w:val="28"/>
          <w:szCs w:val="28"/>
          <w:lang w:val="en-US"/>
        </w:rPr>
        <w:lastRenderedPageBreak/>
        <w:t>THEORETICAL FRAMEWORK &amp; LITERATURE REVIEW</w:t>
      </w:r>
    </w:p>
    <w:p w14:paraId="15119CA7" w14:textId="2C77A10C" w:rsidR="00A174D2" w:rsidRDefault="00EC77C6" w:rsidP="00EA58C6">
      <w:pPr>
        <w:spacing w:line="240" w:lineRule="auto"/>
        <w:jc w:val="both"/>
        <w:rPr>
          <w:rFonts w:ascii="Times New Roman" w:hAnsi="Times New Roman" w:cs="Times New Roman"/>
          <w:sz w:val="24"/>
          <w:szCs w:val="24"/>
          <w:lang w:val="en-US"/>
        </w:rPr>
      </w:pPr>
      <w:r w:rsidRPr="00C45B05">
        <w:rPr>
          <w:rFonts w:ascii="Times New Roman" w:hAnsi="Times New Roman" w:cs="Times New Roman"/>
          <w:sz w:val="24"/>
          <w:szCs w:val="24"/>
          <w:lang w:val="en-US"/>
        </w:rPr>
        <w:t>The OECD</w:t>
      </w:r>
      <w:r w:rsidR="00411E7D">
        <w:rPr>
          <w:rFonts w:ascii="Times New Roman" w:hAnsi="Times New Roman" w:cs="Times New Roman"/>
          <w:sz w:val="24"/>
          <w:szCs w:val="24"/>
          <w:lang w:val="en-US"/>
        </w:rPr>
        <w:t xml:space="preserve"> (Organisation for Economic Co-operation and Development)</w:t>
      </w:r>
      <w:r w:rsidRPr="00C45B05">
        <w:rPr>
          <w:rFonts w:ascii="Times New Roman" w:hAnsi="Times New Roman" w:cs="Times New Roman"/>
          <w:sz w:val="24"/>
          <w:szCs w:val="24"/>
          <w:lang w:val="en-US"/>
        </w:rPr>
        <w:t xml:space="preserve"> has established the standard definition of sustainable consumption, which has been adopted in international policy arenas as a way to align economic development with environmental policy in recent yea</w:t>
      </w:r>
      <w:r w:rsidR="007C289D" w:rsidRPr="00C45B05">
        <w:rPr>
          <w:rFonts w:ascii="Times New Roman" w:hAnsi="Times New Roman" w:cs="Times New Roman"/>
          <w:sz w:val="24"/>
          <w:szCs w:val="24"/>
          <w:lang w:val="en-US"/>
        </w:rPr>
        <w:t>rs (Seyfang,</w:t>
      </w:r>
      <w:r w:rsidR="00662B74">
        <w:rPr>
          <w:rFonts w:ascii="Times New Roman" w:hAnsi="Times New Roman" w:cs="Times New Roman"/>
          <w:sz w:val="24"/>
          <w:szCs w:val="24"/>
          <w:lang w:val="en-US"/>
        </w:rPr>
        <w:t xml:space="preserve"> </w:t>
      </w:r>
      <w:r w:rsidR="007C289D" w:rsidRPr="00C45B05">
        <w:rPr>
          <w:rFonts w:ascii="Times New Roman" w:hAnsi="Times New Roman" w:cs="Times New Roman"/>
          <w:sz w:val="24"/>
          <w:szCs w:val="24"/>
          <w:lang w:val="en-US"/>
        </w:rPr>
        <w:t>2006)</w:t>
      </w:r>
      <w:r w:rsidRPr="00C45B05">
        <w:rPr>
          <w:rFonts w:ascii="Times New Roman" w:hAnsi="Times New Roman" w:cs="Times New Roman"/>
          <w:sz w:val="24"/>
          <w:szCs w:val="24"/>
          <w:lang w:val="en-US"/>
        </w:rPr>
        <w:t>. According to OECD</w:t>
      </w:r>
      <w:r w:rsidR="00F451DE" w:rsidRPr="00C45B05">
        <w:rPr>
          <w:rFonts w:ascii="Times New Roman" w:hAnsi="Times New Roman" w:cs="Times New Roman"/>
          <w:sz w:val="24"/>
          <w:szCs w:val="24"/>
          <w:lang w:val="en-US"/>
        </w:rPr>
        <w:t xml:space="preserve"> </w:t>
      </w:r>
      <w:r w:rsidRPr="00C45B05">
        <w:rPr>
          <w:rFonts w:ascii="Times New Roman" w:hAnsi="Times New Roman" w:cs="Times New Roman"/>
          <w:sz w:val="24"/>
          <w:szCs w:val="24"/>
          <w:lang w:val="en-US"/>
        </w:rPr>
        <w:t>(</w:t>
      </w:r>
      <w:r w:rsidR="00874CE8" w:rsidRPr="00C45B05">
        <w:rPr>
          <w:rFonts w:ascii="Times New Roman" w:hAnsi="Times New Roman" w:cs="Times New Roman"/>
          <w:sz w:val="24"/>
          <w:szCs w:val="24"/>
          <w:lang w:val="en-US"/>
        </w:rPr>
        <w:t>2002, p.9</w:t>
      </w:r>
      <w:r w:rsidRPr="00C45B05">
        <w:rPr>
          <w:rFonts w:ascii="Times New Roman" w:hAnsi="Times New Roman" w:cs="Times New Roman"/>
          <w:sz w:val="24"/>
          <w:szCs w:val="24"/>
          <w:lang w:val="en-US"/>
        </w:rPr>
        <w:t>), sustainable consumption is the use of goods and related products that address basic needs and improve quality of life while minimizing the use of natural resources and toxic materials as well as the emissions of waste and pollutants over the life cycle, so as not to jeopardize the needs of future generations</w:t>
      </w:r>
      <w:r w:rsidR="00874CE8" w:rsidRPr="00C45B05">
        <w:rPr>
          <w:rFonts w:ascii="Times New Roman" w:hAnsi="Times New Roman" w:cs="Times New Roman"/>
          <w:sz w:val="24"/>
          <w:szCs w:val="24"/>
          <w:lang w:val="en-US"/>
        </w:rPr>
        <w:t>.</w:t>
      </w:r>
      <w:r w:rsidR="007C289D" w:rsidRPr="00C45B05">
        <w:rPr>
          <w:rFonts w:ascii="Times New Roman" w:hAnsi="Times New Roman" w:cs="Times New Roman"/>
          <w:sz w:val="24"/>
          <w:szCs w:val="24"/>
          <w:lang w:val="en-US"/>
        </w:rPr>
        <w:t xml:space="preserve"> </w:t>
      </w:r>
      <w:r w:rsidR="00EA58C6">
        <w:rPr>
          <w:rFonts w:ascii="Times New Roman" w:hAnsi="Times New Roman" w:cs="Times New Roman"/>
          <w:sz w:val="24"/>
          <w:szCs w:val="24"/>
          <w:lang w:val="en-US"/>
        </w:rPr>
        <w:tab/>
      </w:r>
      <w:r w:rsidR="00EA58C6">
        <w:rPr>
          <w:rFonts w:ascii="Times New Roman" w:hAnsi="Times New Roman" w:cs="Times New Roman"/>
          <w:sz w:val="24"/>
          <w:szCs w:val="24"/>
          <w:lang w:val="en-US"/>
        </w:rPr>
        <w:tab/>
      </w:r>
      <w:r w:rsidR="00EA58C6">
        <w:rPr>
          <w:rFonts w:ascii="Times New Roman" w:hAnsi="Times New Roman" w:cs="Times New Roman"/>
          <w:sz w:val="24"/>
          <w:szCs w:val="24"/>
          <w:lang w:val="en-US"/>
        </w:rPr>
        <w:tab/>
      </w:r>
      <w:r w:rsidR="00EA58C6">
        <w:rPr>
          <w:rFonts w:ascii="Times New Roman" w:hAnsi="Times New Roman" w:cs="Times New Roman"/>
          <w:sz w:val="24"/>
          <w:szCs w:val="24"/>
          <w:lang w:val="en-US"/>
        </w:rPr>
        <w:tab/>
      </w:r>
      <w:r w:rsidR="00EA58C6">
        <w:rPr>
          <w:rFonts w:ascii="Times New Roman" w:hAnsi="Times New Roman" w:cs="Times New Roman"/>
          <w:sz w:val="24"/>
          <w:szCs w:val="24"/>
          <w:lang w:val="en-US"/>
        </w:rPr>
        <w:tab/>
        <w:t xml:space="preserve"> </w:t>
      </w:r>
      <w:r w:rsidR="00FF303A" w:rsidRPr="00C45B05">
        <w:rPr>
          <w:rFonts w:ascii="Times New Roman" w:hAnsi="Times New Roman" w:cs="Times New Roman"/>
          <w:sz w:val="24"/>
          <w:szCs w:val="24"/>
          <w:lang w:val="en-US"/>
        </w:rPr>
        <w:t>The theoretical framework for this study is based on the Theory of Planned Behaviour</w:t>
      </w:r>
      <w:r w:rsidR="006A1E23" w:rsidRPr="00C45B05">
        <w:rPr>
          <w:rFonts w:ascii="Times New Roman" w:hAnsi="Times New Roman" w:cs="Times New Roman"/>
          <w:sz w:val="24"/>
          <w:szCs w:val="24"/>
          <w:lang w:val="en-US"/>
        </w:rPr>
        <w:t xml:space="preserve"> </w:t>
      </w:r>
      <w:r w:rsidR="00FF303A" w:rsidRPr="00C45B05">
        <w:rPr>
          <w:rFonts w:ascii="Times New Roman" w:hAnsi="Times New Roman" w:cs="Times New Roman"/>
          <w:sz w:val="24"/>
          <w:szCs w:val="24"/>
          <w:lang w:val="en-US"/>
        </w:rPr>
        <w:t>(TPB)</w:t>
      </w:r>
      <w:r w:rsidR="00B34ACE" w:rsidRPr="00C45B05">
        <w:rPr>
          <w:rFonts w:ascii="Times New Roman" w:hAnsi="Times New Roman" w:cs="Times New Roman"/>
          <w:sz w:val="24"/>
          <w:szCs w:val="24"/>
          <w:lang w:val="en-US"/>
        </w:rPr>
        <w:t>.</w:t>
      </w:r>
      <w:r w:rsidR="00FF303A" w:rsidRPr="00C45B05">
        <w:rPr>
          <w:rFonts w:ascii="Times New Roman" w:hAnsi="Times New Roman" w:cs="Times New Roman"/>
          <w:sz w:val="24"/>
          <w:szCs w:val="24"/>
          <w:lang w:val="en-US"/>
        </w:rPr>
        <w:t xml:space="preserve"> </w:t>
      </w:r>
      <w:r w:rsidR="00B34ACE" w:rsidRPr="00C45B05">
        <w:rPr>
          <w:rFonts w:ascii="Times New Roman" w:hAnsi="Times New Roman" w:cs="Times New Roman"/>
          <w:sz w:val="24"/>
          <w:szCs w:val="24"/>
          <w:lang w:val="en-US"/>
        </w:rPr>
        <w:t>A</w:t>
      </w:r>
      <w:r w:rsidR="00082C19" w:rsidRPr="00C45B05">
        <w:rPr>
          <w:rFonts w:ascii="Times New Roman" w:hAnsi="Times New Roman" w:cs="Times New Roman"/>
          <w:sz w:val="24"/>
          <w:szCs w:val="24"/>
          <w:lang w:val="en-US"/>
        </w:rPr>
        <w:t>ccording to Ajzen</w:t>
      </w:r>
      <w:r w:rsidR="00255E29" w:rsidRPr="00C45B05">
        <w:rPr>
          <w:rFonts w:ascii="Times New Roman" w:hAnsi="Times New Roman" w:cs="Times New Roman"/>
          <w:sz w:val="24"/>
          <w:szCs w:val="24"/>
          <w:lang w:val="en-US"/>
        </w:rPr>
        <w:t xml:space="preserve"> </w:t>
      </w:r>
      <w:r w:rsidR="00082C19" w:rsidRPr="00C45B05">
        <w:rPr>
          <w:rFonts w:ascii="Times New Roman" w:hAnsi="Times New Roman" w:cs="Times New Roman"/>
          <w:sz w:val="24"/>
          <w:szCs w:val="24"/>
          <w:lang w:val="en-US"/>
        </w:rPr>
        <w:t>(1991), intention is an outcome of atti</w:t>
      </w:r>
      <w:r w:rsidR="006A1E23" w:rsidRPr="00C45B05">
        <w:rPr>
          <w:rFonts w:ascii="Times New Roman" w:hAnsi="Times New Roman" w:cs="Times New Roman"/>
          <w:sz w:val="24"/>
          <w:szCs w:val="24"/>
          <w:lang w:val="en-US"/>
        </w:rPr>
        <w:t>tude, social norms and perceived behavioural control that may ultimately lead to</w:t>
      </w:r>
      <w:r w:rsidR="00797E7C" w:rsidRPr="00C45B05">
        <w:rPr>
          <w:rFonts w:ascii="Times New Roman" w:hAnsi="Times New Roman" w:cs="Times New Roman"/>
          <w:sz w:val="24"/>
          <w:szCs w:val="24"/>
          <w:lang w:val="en-US"/>
        </w:rPr>
        <w:t xml:space="preserve"> human</w:t>
      </w:r>
      <w:r w:rsidR="006A1E23" w:rsidRPr="00C45B05">
        <w:rPr>
          <w:rFonts w:ascii="Times New Roman" w:hAnsi="Times New Roman" w:cs="Times New Roman"/>
          <w:sz w:val="24"/>
          <w:szCs w:val="24"/>
          <w:lang w:val="en-US"/>
        </w:rPr>
        <w:t xml:space="preserve"> behaviour. </w:t>
      </w:r>
      <w:r w:rsidR="00797E7C" w:rsidRPr="00C45B05">
        <w:rPr>
          <w:rFonts w:ascii="Times New Roman" w:hAnsi="Times New Roman" w:cs="Times New Roman"/>
          <w:sz w:val="24"/>
          <w:szCs w:val="24"/>
          <w:lang w:val="en-US"/>
        </w:rPr>
        <w:t>Many studies have utilised the TPB model by combining various other determinants while extending the original TPB model</w:t>
      </w:r>
      <w:r w:rsidR="00797E7C" w:rsidRPr="00C45B05">
        <w:rPr>
          <w:rFonts w:ascii="Times New Roman" w:hAnsi="Times New Roman" w:cs="Times New Roman"/>
          <w:sz w:val="24"/>
          <w:szCs w:val="24"/>
          <w:lang w:val="en-US"/>
        </w:rPr>
        <w:fldChar w:fldCharType="begin" w:fldLock="1"/>
      </w:r>
      <w:r w:rsidR="00A174D2" w:rsidRPr="00C45B05">
        <w:rPr>
          <w:rFonts w:ascii="Times New Roman" w:hAnsi="Times New Roman" w:cs="Times New Roman"/>
          <w:sz w:val="24"/>
          <w:szCs w:val="24"/>
          <w:lang w:val="en-US"/>
        </w:rPr>
        <w:instrText>ADDIN CSL_CITATION {"citationItems":[{"id":"ITEM-1","itemData":{"DOI":"10.1080/09640568.2020.1785404","ISSN":"13600559","abstract":"This study aims to propose an extended model of the theory of planned behavior (TPB) which helps us to investigate young Chinese consumers from college and university, and who are aged 18 to 30 years, on purchase intention for organic food. Using a sample of 515, analyses were done using structural equation modeling. The findings indicated that attitude (A), subjective norms (SNs), and perceived behavioral control (PBC) have positive effects on the purchase intention of young consumers for organic food. Moreover, attitude has a positive effect on environmental concerns (EC). Furthermore, EC has a positive effect on young consumers’ purchase intentions for organic food. Findings indicated that EC positively mediates the association between attitude and young consumers’ purchase intentions for organic food. More importantly, the relationship between all latent variables (A, SNs, PBC) and purchase intention by young consumers is positively moderated by environmental awareness.","author":[{"dropping-particle":"","family":"Ahmed","given":"Naveed","non-dropping-particle":"","parse-names":false,"suffix":""},{"dropping-particle":"","family":"Li","given":"Cai","non-dropping-particle":"","parse-names":false,"suffix":""},{"dropping-particle":"","family":"Khan","given":"Asadullah","non-dropping-particle":"","parse-names":false,"suffix":""},{"dropping-particle":"","family":"Qalati","given":"Sikandar Ali","non-dropping-particle":"","parse-names":false,"suffix":""},{"dropping-particle":"","family":"Naz","given":"Shumaila","non-dropping-particle":"","parse-names":false,"suffix":""},{"dropping-particle":"","family":"Rana","given":"Faisal","non-dropping-particle":"","parse-names":false,"suffix":""}],"container-title":"Journal of Environmental Planning and Management","id":"ITEM-1","issue":"5","issued":{"date-parts":[["2021"]]},"page":"796-822","publisher":"Routledge","title":"Purchase intention toward organic food among young consumers using theory of planned behavior: role of environmental concerns and environmental awareness","type":"article-journal","volume":"64"},"uris":["http://www.mendeley.com/documents/?uuid=a095bbb1-1f5b-4cb7-9981-fec2d7fd4506"]},{"id":"ITEM-2","itemData":{"DOI":"10.1177/21582440221149727","author":[{"dropping-particle":"","family":"Alam","given":"Mohammad Nurul","non-dropping-particle":"","parse-names":false,"suffix":""},{"dropping-particle":"","family":"Ogiemwonyi","given":"Osarodion","non-dropping-particle":"","parse-names":false,"suffix":""},{"dropping-particle":"","family":"Hago","given":"Ibrahim E","non-dropping-particle":"","parse-names":false,"suffix":""},{"dropping-particle":"","family":"Azizan","given":"Noor Azlinna","non-dropping-particle":"","parse-names":false,"suffix":""},{"dropping-particle":"","family":"Hashim","given":"Fariza","non-dropping-particle":"","parse-names":false,"suffix":""},{"dropping-particle":"","family":"Hossain","given":"Sazzad","non-dropping-particle":"","parse-names":false,"suffix":""}],"id":"ITEM-2","issue":"March","issued":{"date-parts":[["2023"]]},"page":"1-20","title":"Understanding Consumer Environmental Ethics and the Willingness to Use Green Products","type":"article-journal"},"uris":["http://www.mendeley.com/documents/?uuid=5293ab4b-3544-4d83-a424-c353f36c2433"]}],"mendeley":{"formattedCitation":"(Ahmed et al., 2021; Alam et al., 2023)","plainTextFormattedCitation":"(Ahmed et al., 2021; Alam et al., 2023)","previouslyFormattedCitation":"(Ahmed et al., 2021; Alam et al., 2023)"},"properties":{"noteIndex":0},"schema":"https://github.com/citation-style-language/schema/raw/master/csl-citation.json"}</w:instrText>
      </w:r>
      <w:r w:rsidR="00797E7C" w:rsidRPr="00C45B05">
        <w:rPr>
          <w:rFonts w:ascii="Times New Roman" w:hAnsi="Times New Roman" w:cs="Times New Roman"/>
          <w:sz w:val="24"/>
          <w:szCs w:val="24"/>
          <w:lang w:val="en-US"/>
        </w:rPr>
        <w:fldChar w:fldCharType="separate"/>
      </w:r>
      <w:r w:rsidR="00797E7C" w:rsidRPr="00C45B05">
        <w:rPr>
          <w:rFonts w:ascii="Times New Roman" w:hAnsi="Times New Roman" w:cs="Times New Roman"/>
          <w:noProof/>
          <w:sz w:val="24"/>
          <w:szCs w:val="24"/>
          <w:lang w:val="en-US"/>
        </w:rPr>
        <w:t>(Ahmed et al., 2021; Alam et al., 2023)</w:t>
      </w:r>
      <w:r w:rsidR="00797E7C" w:rsidRPr="00C45B05">
        <w:rPr>
          <w:rFonts w:ascii="Times New Roman" w:hAnsi="Times New Roman" w:cs="Times New Roman"/>
          <w:sz w:val="24"/>
          <w:szCs w:val="24"/>
          <w:lang w:val="en-US"/>
        </w:rPr>
        <w:fldChar w:fldCharType="end"/>
      </w:r>
      <w:r w:rsidR="00797E7C" w:rsidRPr="00C45B05">
        <w:rPr>
          <w:rFonts w:ascii="Times New Roman" w:hAnsi="Times New Roman" w:cs="Times New Roman"/>
          <w:sz w:val="24"/>
          <w:szCs w:val="24"/>
          <w:lang w:val="en-US"/>
        </w:rPr>
        <w:t xml:space="preserve"> specifically to understand whether consumers intention leads to </w:t>
      </w:r>
      <w:r w:rsidR="0090541C" w:rsidRPr="00C45B05">
        <w:rPr>
          <w:rFonts w:ascii="Times New Roman" w:hAnsi="Times New Roman" w:cs="Times New Roman"/>
          <w:sz w:val="24"/>
          <w:szCs w:val="24"/>
          <w:lang w:val="en-US"/>
        </w:rPr>
        <w:t>pro environmental consumer behaviour.  The TPB model has also been extensively used to explain consumers decision making process in relation to organic products/organic</w:t>
      </w:r>
      <w:r w:rsidR="009675DD" w:rsidRPr="00C45B05">
        <w:rPr>
          <w:rFonts w:ascii="Times New Roman" w:hAnsi="Times New Roman" w:cs="Times New Roman"/>
          <w:sz w:val="24"/>
          <w:szCs w:val="24"/>
          <w:lang w:val="en-US"/>
        </w:rPr>
        <w:t xml:space="preserve"> </w:t>
      </w:r>
      <w:r w:rsidR="0090541C" w:rsidRPr="00C45B05">
        <w:rPr>
          <w:rFonts w:ascii="Times New Roman" w:hAnsi="Times New Roman" w:cs="Times New Roman"/>
          <w:sz w:val="24"/>
          <w:szCs w:val="24"/>
          <w:lang w:val="en-US"/>
        </w:rPr>
        <w:t>preferences</w:t>
      </w:r>
      <w:r w:rsidR="008E7C82">
        <w:rPr>
          <w:rFonts w:ascii="Times New Roman" w:hAnsi="Times New Roman" w:cs="Times New Roman"/>
          <w:sz w:val="24"/>
          <w:szCs w:val="24"/>
          <w:lang w:val="en-US"/>
        </w:rPr>
        <w:t xml:space="preserve"> </w:t>
      </w:r>
      <w:r w:rsidR="00411E7D">
        <w:rPr>
          <w:rFonts w:ascii="Times New Roman" w:hAnsi="Times New Roman" w:cs="Times New Roman"/>
          <w:sz w:val="24"/>
          <w:szCs w:val="24"/>
          <w:lang w:val="en-US"/>
        </w:rPr>
        <w:t>(Yadev</w:t>
      </w:r>
      <w:r w:rsidR="008E7C82">
        <w:rPr>
          <w:rFonts w:ascii="Times New Roman" w:hAnsi="Times New Roman" w:cs="Times New Roman"/>
          <w:sz w:val="24"/>
          <w:szCs w:val="24"/>
          <w:lang w:val="en-US"/>
        </w:rPr>
        <w:t>&amp;Pathak,2017; Ahmedet.al.,2021)</w:t>
      </w:r>
      <w:r w:rsidR="00C4563B">
        <w:rPr>
          <w:rFonts w:ascii="Times New Roman" w:hAnsi="Times New Roman" w:cs="Times New Roman"/>
          <w:sz w:val="24"/>
          <w:szCs w:val="24"/>
          <w:lang w:val="en-US"/>
        </w:rPr>
        <w:t>.</w:t>
      </w:r>
      <w:r w:rsidR="00645F45">
        <w:rPr>
          <w:rFonts w:ascii="Times New Roman" w:hAnsi="Times New Roman" w:cs="Times New Roman"/>
          <w:sz w:val="24"/>
          <w:szCs w:val="24"/>
          <w:lang w:val="en-US"/>
        </w:rPr>
        <w:t xml:space="preserve"> </w:t>
      </w:r>
      <w:r w:rsidR="00645F45" w:rsidRPr="00E43488">
        <w:rPr>
          <w:rFonts w:ascii="Times New Roman" w:hAnsi="Times New Roman" w:cs="Times New Roman"/>
          <w:sz w:val="24"/>
          <w:szCs w:val="24"/>
          <w:lang w:val="en-US"/>
        </w:rPr>
        <w:t>Since this study aims to explain consumer decision related to organic products/organic preferences, the researcher felt that using TPB model would do justice to the study</w:t>
      </w:r>
      <w:r w:rsidR="00645F45">
        <w:rPr>
          <w:rFonts w:ascii="Times New Roman" w:hAnsi="Times New Roman" w:cs="Times New Roman"/>
          <w:sz w:val="24"/>
          <w:szCs w:val="24"/>
          <w:lang w:val="en-US"/>
        </w:rPr>
        <w:t>.</w:t>
      </w:r>
      <w:r w:rsidR="00C4563B">
        <w:rPr>
          <w:rFonts w:ascii="Times New Roman" w:hAnsi="Times New Roman" w:cs="Times New Roman"/>
          <w:sz w:val="24"/>
          <w:szCs w:val="24"/>
          <w:lang w:val="en-US"/>
        </w:rPr>
        <w:t xml:space="preserve"> In order to investigate</w:t>
      </w:r>
      <w:r w:rsidR="00D71007">
        <w:rPr>
          <w:rFonts w:ascii="Times New Roman" w:hAnsi="Times New Roman" w:cs="Times New Roman"/>
          <w:sz w:val="24"/>
          <w:szCs w:val="24"/>
          <w:lang w:val="en-US"/>
        </w:rPr>
        <w:t xml:space="preserve"> </w:t>
      </w:r>
      <w:r w:rsidR="00C4563B">
        <w:rPr>
          <w:rFonts w:ascii="Times New Roman" w:hAnsi="Times New Roman" w:cs="Times New Roman"/>
          <w:sz w:val="24"/>
          <w:szCs w:val="24"/>
          <w:lang w:val="en-US"/>
        </w:rPr>
        <w:t>the effects of various environmental constructs like Environmental awareness, Environmental Ethics and Environmental Attitude on consumers’ intention for Organic Preferences, this study has taken these factors into consideration</w:t>
      </w:r>
      <w:r w:rsidR="00C21881">
        <w:rPr>
          <w:rFonts w:ascii="Times New Roman" w:hAnsi="Times New Roman" w:cs="Times New Roman"/>
          <w:sz w:val="24"/>
          <w:szCs w:val="24"/>
          <w:lang w:val="en-US"/>
        </w:rPr>
        <w:t xml:space="preserve"> which is shown in figure 1</w:t>
      </w:r>
      <w:r w:rsidR="00645F45">
        <w:rPr>
          <w:rFonts w:ascii="Times New Roman" w:hAnsi="Times New Roman" w:cs="Times New Roman"/>
          <w:sz w:val="24"/>
          <w:szCs w:val="24"/>
          <w:lang w:val="en-US"/>
        </w:rPr>
        <w:t>.</w:t>
      </w:r>
    </w:p>
    <w:p w14:paraId="54677B1B" w14:textId="6C4F4656" w:rsidR="00851CE0" w:rsidRPr="00851CE0" w:rsidRDefault="00851CE0" w:rsidP="00851CE0">
      <w:r w:rsidRPr="00EA58C6">
        <w:rPr>
          <w:rFonts w:ascii="Times New Roman" w:hAnsi="Times New Roman" w:cs="Times New Roman"/>
          <w:b/>
          <w:bCs/>
        </w:rPr>
        <w:t>Figure_1</w:t>
      </w:r>
      <w:r w:rsidRPr="00EA58C6">
        <w:rPr>
          <w:b/>
          <w:bCs/>
        </w:rPr>
        <w:t>.</w:t>
      </w:r>
      <w:r>
        <w:t xml:space="preserve">  </w:t>
      </w:r>
      <w:r w:rsidRPr="00612DBB">
        <w:rPr>
          <w:rFonts w:ascii="Times New Roman" w:hAnsi="Times New Roman" w:cs="Times New Roman"/>
          <w:b/>
          <w:bCs/>
          <w:sz w:val="24"/>
          <w:szCs w:val="24"/>
        </w:rPr>
        <w:t>Conceptual Model for the stud</w:t>
      </w:r>
      <w:r>
        <w:rPr>
          <w:rFonts w:ascii="Times New Roman" w:hAnsi="Times New Roman" w:cs="Times New Roman"/>
          <w:b/>
          <w:bCs/>
          <w:sz w:val="24"/>
          <w:szCs w:val="24"/>
        </w:rPr>
        <w:t>y</w:t>
      </w:r>
    </w:p>
    <w:p w14:paraId="73402F2B" w14:textId="56B50C72" w:rsidR="00E43488" w:rsidRPr="00E43488" w:rsidRDefault="00851CE0" w:rsidP="008E7C82">
      <w:pPr>
        <w:spacing w:line="360" w:lineRule="auto"/>
        <w:jc w:val="both"/>
        <w:rPr>
          <w:rFonts w:ascii="Times New Roman" w:hAnsi="Times New Roman" w:cs="Times New Roman"/>
          <w:b/>
          <w:bCs/>
          <w:sz w:val="24"/>
          <w:szCs w:val="24"/>
          <w:lang w:val="en-US"/>
        </w:rPr>
      </w:pPr>
      <w:r>
        <w:rPr>
          <w:noProof/>
        </w:rPr>
        <w:drawing>
          <wp:inline distT="0" distB="0" distL="0" distR="0" wp14:anchorId="7AAB5BA9" wp14:editId="1AE851F7">
            <wp:extent cx="5653405" cy="2005263"/>
            <wp:effectExtent l="0" t="0" r="4445" b="0"/>
            <wp:docPr id="1309959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5153" cy="2016524"/>
                    </a:xfrm>
                    <a:prstGeom prst="rect">
                      <a:avLst/>
                    </a:prstGeom>
                    <a:noFill/>
                    <a:ln>
                      <a:noFill/>
                    </a:ln>
                  </pic:spPr>
                </pic:pic>
              </a:graphicData>
            </a:graphic>
          </wp:inline>
        </w:drawing>
      </w:r>
    </w:p>
    <w:p w14:paraId="4A829D03" w14:textId="599A3D94" w:rsidR="00A174D2" w:rsidRPr="00DA6E85" w:rsidRDefault="00DA6E85" w:rsidP="00DA6E85">
      <w:pPr>
        <w:spacing w:line="360" w:lineRule="auto"/>
        <w:jc w:val="both"/>
        <w:rPr>
          <w:rFonts w:ascii="Times New Roman" w:hAnsi="Times New Roman" w:cs="Times New Roman"/>
          <w:sz w:val="16"/>
          <w:szCs w:val="16"/>
        </w:rPr>
      </w:pPr>
      <w:r>
        <w:rPr>
          <w:rFonts w:ascii="Times New Roman" w:hAnsi="Times New Roman" w:cs="Times New Roman"/>
          <w:b/>
          <w:bCs/>
          <w:sz w:val="24"/>
          <w:szCs w:val="24"/>
        </w:rPr>
        <w:t>2.1</w:t>
      </w:r>
      <w:r w:rsidR="00A174D2" w:rsidRPr="00DA6E85">
        <w:rPr>
          <w:rFonts w:ascii="Times New Roman" w:hAnsi="Times New Roman" w:cs="Times New Roman"/>
          <w:b/>
          <w:bCs/>
          <w:sz w:val="24"/>
          <w:szCs w:val="24"/>
        </w:rPr>
        <w:t>Environmental Awareness</w:t>
      </w:r>
      <w:r w:rsidR="00920ED0" w:rsidRPr="00DA6E85">
        <w:rPr>
          <w:rFonts w:ascii="Times New Roman" w:hAnsi="Times New Roman" w:cs="Times New Roman"/>
          <w:b/>
          <w:bCs/>
          <w:sz w:val="24"/>
          <w:szCs w:val="24"/>
        </w:rPr>
        <w:t xml:space="preserve"> (ENVAW)</w:t>
      </w:r>
    </w:p>
    <w:p w14:paraId="7B3B552E" w14:textId="17C4A34E" w:rsidR="00A16B58" w:rsidRPr="00F4439F" w:rsidRDefault="00F4439F" w:rsidP="00EA58C6">
      <w:pPr>
        <w:spacing w:line="240" w:lineRule="auto"/>
        <w:jc w:val="both"/>
        <w:rPr>
          <w:rFonts w:ascii="Times New Roman" w:hAnsi="Times New Roman" w:cs="Times New Roman"/>
          <w:sz w:val="24"/>
          <w:szCs w:val="24"/>
        </w:rPr>
      </w:pPr>
      <w:r w:rsidRPr="00DA6E85">
        <w:rPr>
          <w:rFonts w:ascii="Times New Roman" w:hAnsi="Times New Roman" w:cs="Times New Roman"/>
          <w:sz w:val="24"/>
          <w:szCs w:val="24"/>
        </w:rPr>
        <w:t xml:space="preserve">Environmental Awareness refers to comprehending the impact of human behaviour on the environment, both positively and negatively, and how it might impact and disbalance the natural balance (Zsoka et al.,2013).  It is a degree of understanding and knowledge of the outside world in which individuals live and work, which frequently affect how they grow and act (Handoyo et al., 2021). The goal of Environmental Awareness is to increase the general understanding of the environmental issues and their causes by transforming values, perception and skills necessary to address them. </w:t>
      </w:r>
      <w:r w:rsidR="00DA6E85">
        <w:rPr>
          <w:rFonts w:ascii="Times New Roman" w:hAnsi="Times New Roman" w:cs="Times New Roman"/>
          <w:sz w:val="24"/>
          <w:szCs w:val="24"/>
        </w:rPr>
        <w:tab/>
      </w:r>
      <w:r w:rsidR="00DA6E85">
        <w:rPr>
          <w:rFonts w:ascii="Times New Roman" w:hAnsi="Times New Roman" w:cs="Times New Roman"/>
          <w:sz w:val="24"/>
          <w:szCs w:val="24"/>
        </w:rPr>
        <w:tab/>
      </w:r>
      <w:r w:rsidR="00DA6E85">
        <w:rPr>
          <w:rFonts w:ascii="Times New Roman" w:hAnsi="Times New Roman" w:cs="Times New Roman"/>
          <w:sz w:val="24"/>
          <w:szCs w:val="24"/>
        </w:rPr>
        <w:tab/>
      </w:r>
      <w:r w:rsidR="00DA6E85">
        <w:rPr>
          <w:rFonts w:ascii="Times New Roman" w:hAnsi="Times New Roman" w:cs="Times New Roman"/>
          <w:sz w:val="24"/>
          <w:szCs w:val="24"/>
        </w:rPr>
        <w:tab/>
      </w:r>
      <w:r w:rsidR="00DA6E85">
        <w:rPr>
          <w:rFonts w:ascii="Times New Roman" w:hAnsi="Times New Roman" w:cs="Times New Roman"/>
          <w:sz w:val="24"/>
          <w:szCs w:val="24"/>
        </w:rPr>
        <w:tab/>
      </w:r>
      <w:r w:rsidR="00DA6E85">
        <w:rPr>
          <w:rFonts w:ascii="Times New Roman" w:hAnsi="Times New Roman" w:cs="Times New Roman"/>
          <w:sz w:val="24"/>
          <w:szCs w:val="24"/>
        </w:rPr>
        <w:tab/>
      </w:r>
      <w:r w:rsidR="00DA6E85">
        <w:rPr>
          <w:rFonts w:ascii="Times New Roman" w:hAnsi="Times New Roman" w:cs="Times New Roman"/>
          <w:sz w:val="24"/>
          <w:szCs w:val="24"/>
        </w:rPr>
        <w:tab/>
      </w:r>
      <w:r w:rsidR="00DA6E85">
        <w:rPr>
          <w:rFonts w:ascii="Times New Roman" w:hAnsi="Times New Roman" w:cs="Times New Roman"/>
          <w:sz w:val="24"/>
          <w:szCs w:val="24"/>
        </w:rPr>
        <w:tab/>
      </w:r>
      <w:r w:rsidR="00DA6E85">
        <w:rPr>
          <w:rFonts w:ascii="Times New Roman" w:hAnsi="Times New Roman" w:cs="Times New Roman"/>
          <w:sz w:val="24"/>
          <w:szCs w:val="24"/>
        </w:rPr>
        <w:tab/>
      </w:r>
      <w:r w:rsidR="00DA6E85">
        <w:rPr>
          <w:rFonts w:ascii="Times New Roman" w:hAnsi="Times New Roman" w:cs="Times New Roman"/>
          <w:sz w:val="24"/>
          <w:szCs w:val="24"/>
        </w:rPr>
        <w:tab/>
      </w:r>
      <w:r w:rsidR="00DA6E85">
        <w:rPr>
          <w:rFonts w:ascii="Times New Roman" w:hAnsi="Times New Roman" w:cs="Times New Roman"/>
          <w:sz w:val="24"/>
          <w:szCs w:val="24"/>
        </w:rPr>
        <w:tab/>
      </w:r>
      <w:r w:rsidR="00DA6E85" w:rsidRPr="00DA6E85">
        <w:rPr>
          <w:rFonts w:ascii="Times New Roman" w:hAnsi="Times New Roman" w:cs="Times New Roman"/>
          <w:sz w:val="24"/>
          <w:szCs w:val="24"/>
        </w:rPr>
        <w:t xml:space="preserve">   </w:t>
      </w:r>
      <w:r w:rsidR="00DA6E85" w:rsidRPr="00DA6E85">
        <w:rPr>
          <w:rFonts w:ascii="Times New Roman" w:hAnsi="Times New Roman" w:cs="Times New Roman"/>
          <w:sz w:val="24"/>
          <w:szCs w:val="24"/>
        </w:rPr>
        <w:lastRenderedPageBreak/>
        <w:t>According to Steg and Vlek (2009), fostering a loving sense of community requires Environmental Awareness. It is also widely accepted that Environmental Awareness makes people more likely to act in ways that are Environment benign i.e., when people are conscio</w:t>
      </w:r>
      <w:r w:rsidR="00DA6E85">
        <w:rPr>
          <w:rFonts w:ascii="Times New Roman" w:hAnsi="Times New Roman" w:cs="Times New Roman"/>
          <w:sz w:val="24"/>
          <w:szCs w:val="24"/>
        </w:rPr>
        <w:t>us</w:t>
      </w:r>
      <w:r w:rsidR="00DA6E85" w:rsidRPr="00DA6E85">
        <w:rPr>
          <w:rFonts w:ascii="Times New Roman" w:hAnsi="Times New Roman" w:cs="Times New Roman"/>
          <w:sz w:val="24"/>
          <w:szCs w:val="24"/>
        </w:rPr>
        <w:t xml:space="preserve"> of how their own behaviours or actions affect the environment, they may feel bad about damaging their own surroundings </w:t>
      </w:r>
      <w:r w:rsidR="00DA6E85" w:rsidRPr="00DA6E85">
        <w:rPr>
          <w:rFonts w:ascii="Times New Roman" w:hAnsi="Times New Roman" w:cs="Times New Roman"/>
          <w:sz w:val="24"/>
          <w:szCs w:val="24"/>
        </w:rPr>
        <w:fldChar w:fldCharType="begin" w:fldLock="1"/>
      </w:r>
      <w:r w:rsidR="00DA6E85" w:rsidRPr="00DA6E85">
        <w:rPr>
          <w:rFonts w:ascii="Times New Roman" w:hAnsi="Times New Roman" w:cs="Times New Roman"/>
          <w:sz w:val="24"/>
          <w:szCs w:val="24"/>
        </w:rPr>
        <w:instrText>ADDIN CSL_CITATION {"citationItems":[{"id":"ITEM-1","itemData":{"DOI":"10.1016/j.jclepro.2019.119796","ISSN":"09596526","abstract":"Road freight transportation (RFT) has received significant attention from the government, industry, and academia because of its high energy consumption and carbon emissions. To reduce the negative effects of the accelerating use of RFT, China has recently been committed to promote green RFT. Efforts made in this direction have mainly focused on supply-side policy and technical measures, while neglecting the importance of demand-side psychological and behavioral strategies. Recent research suggests that drivers play a fundamental role in generating environmental impacts during transport. Thus, the success of green RFT should also be based on a thorough understanding of the drivers’ environmental awareness and pro-environmental behavior. In this study, we investigate the current levels of environmental awareness and pro-environmental behavior among China's RFT drivers, and explore the role of environmental awareness as defined by four main components—environmental concern, environmental attitude, environmental knowledge, and behavioral intention—in motivating pro-environmental RFT behavior. We also test the moderating effect of perceived policy effectiveness on the awareness–behavior relationship. Hypotheses are examined using a sample of 243 truck drivers with structural equation modeling and hierarchical regression analysis. The results indicate the existence of an environmental awareness–behavior gap. We determine that the awareness score (3.2) is higher than the behavior score (3.1) because barriers to pro-environmental behavior are stronger than motivators. We also find that environmental concern, attitude, and knowledge indirectly affect pro-environmental behavior via behavioral intention. Moreover, a high level of perceived policy effectiveness facilitates the transformation of awareness into behavior, bridging the awareness–behavior gap. Our study confirms the importance of environmental awareness and effective incentive policies in encouraging pro-environmental RFT behavior. The conclusions will aid researchers’ understanding of drivers’ environmental awareness and pro-environmental behavior in China's RFT, and compel transport policy makers and managers to implement more effective measures that promote environmentally sustainable RFT.","author":[{"dropping-particle":"","family":"Fu","given":"Liping","non-dropping-particle":"","parse-names":false,"suffix":""},{"dropping-particle":"","family":"Sun","given":"Zhaohui","non-dropping-particle":"","parse-names":false,"suffix":""},{"dropping-particle":"","family":"Zha","given":"Lajia","non-dropping-particle":"","parse-names":false,"suffix":""},{"dropping-particle":"","family":"Liu","given":"Feng","non-dropping-particle":"","parse-names":false,"suffix":""},{"dropping-particle":"","family":"He","given":"Lanping","non-dropping-particle":"","parse-names":false,"suffix":""},{"dropping-particle":"","family":"Sun","given":"Xuesong","non-dropping-particle":"","parse-names":false,"suffix":""},{"dropping-particle":"","family":"Jing","given":"Xiaoli","non-dropping-particle":"","parse-names":false,"suffix":""}],"container-title":"Journal of Cleaner Production","id":"ITEM-1","issued":{"date-parts":[["2020"]]},"page":"119796","publisher":"Elsevier Ltd","title":"Environmental awareness and pro-environmental behavior within China's road freight transportation industry: Moderating role of perceived policy effectiveness","type":"article-journal","volume":"252"},"uris":["http://www.mendeley.com/documents/?uuid=cd3381fc-2dde-4760-8a89-4f521f23b186"]}],"mendeley":{"formattedCitation":"(Fu et al., 2020)","plainTextFormattedCitation":"(Fu et al., 2020)","previouslyFormattedCitation":"(Fu et al., 2020)"},"properties":{"noteIndex":0},"schema":"https://github.com/citation-style-language/schema/raw/master/csl-citation.json"}</w:instrText>
      </w:r>
      <w:r w:rsidR="00DA6E85" w:rsidRPr="00DA6E85">
        <w:rPr>
          <w:rFonts w:ascii="Times New Roman" w:hAnsi="Times New Roman" w:cs="Times New Roman"/>
          <w:sz w:val="24"/>
          <w:szCs w:val="24"/>
        </w:rPr>
        <w:fldChar w:fldCharType="separate"/>
      </w:r>
      <w:r w:rsidR="00DA6E85" w:rsidRPr="00DA6E85">
        <w:rPr>
          <w:rFonts w:ascii="Times New Roman" w:hAnsi="Times New Roman" w:cs="Times New Roman"/>
          <w:noProof/>
          <w:sz w:val="24"/>
          <w:szCs w:val="24"/>
        </w:rPr>
        <w:t>(Fu et al., 2020)</w:t>
      </w:r>
      <w:r w:rsidR="00DA6E85" w:rsidRPr="00DA6E85">
        <w:rPr>
          <w:rFonts w:ascii="Times New Roman" w:hAnsi="Times New Roman" w:cs="Times New Roman"/>
          <w:sz w:val="24"/>
          <w:szCs w:val="24"/>
        </w:rPr>
        <w:fldChar w:fldCharType="end"/>
      </w:r>
      <w:r w:rsidR="00DA6E85" w:rsidRPr="00DA6E85">
        <w:rPr>
          <w:rFonts w:ascii="Times New Roman" w:hAnsi="Times New Roman" w:cs="Times New Roman"/>
          <w:sz w:val="24"/>
          <w:szCs w:val="24"/>
        </w:rPr>
        <w:t>. Many studies have found that Environmental Awareness was seen to influence the consumption pattern and frequency of organic products, the more knowledgeable the consumer were about the organic products the higher the chances of them being influenced to purchase/consume organic products(Shao,2016;</w:t>
      </w:r>
      <w:r w:rsidR="00DA6E85" w:rsidRPr="00DA6E85">
        <w:rPr>
          <w:rFonts w:ascii="Times New Roman" w:hAnsi="Times New Roman" w:cs="Times New Roman"/>
          <w:sz w:val="24"/>
          <w:szCs w:val="24"/>
        </w:rPr>
        <w:fldChar w:fldCharType="begin" w:fldLock="1"/>
      </w:r>
      <w:r w:rsidR="00DA6E85" w:rsidRPr="00DA6E85">
        <w:rPr>
          <w:rFonts w:ascii="Times New Roman" w:hAnsi="Times New Roman" w:cs="Times New Roman"/>
          <w:sz w:val="24"/>
          <w:szCs w:val="24"/>
        </w:rPr>
        <w:instrText>ADDIN CSL_CITATION {"citationItems":[{"id":"ITEM-1","itemData":{"DOI":"10.1016/j.scitotenv.2019.135275","ISSN":"18791026","PMID":"31796272","abstract":"With the increase of consumer's environmental awareness and health consciousness, great attention has been paid to green furniture. This study attempts to explore consumer's intention to purchase green furniture by applying an extension model of theory of planned behavior (TPB). The original TPB model is extended by adding three factors: health consciousness, environmental awareness and willingness to pay for green furniture premium. We collect 460 usable surveys in China. The empirical findings show that environmental awareness positively affects attitude, subjective norm, perceived behavioral control as well as willingness to pay, and then subjective norm, perceived behavioral control and willingness to pay positively influence consumer's intention to purchase green furniture. Health consciousness also positively affects consumer's attitude and intention to purchase green furniture. However, attitude toward purchasing green furniture is not significantly related to purchase intention, which implies an attitude-behavior gap. Furthermore, perceived behavioral control has the largest influence on consumer's purchasing intention, followed by health consciousness, willingness to pay and subjective norm. Additionally, compared with the original TPB model, the extension model of TPB can improve the explained variance. Based on the empirical analysis, we provide some managerial insights for the promotion of green furniture.","author":[{"dropping-particle":"","family":"Xu","given":"Xiaoping","non-dropping-particle":"","parse-names":false,"suffix":""},{"dropping-particle":"","family":"Wang","given":"Shanyong","non-dropping-particle":"","parse-names":false,"suffix":""},{"dropping-particle":"","family":"Yu","given":"Yugang","non-dropping-particle":"","parse-names":false,"suffix":""}],"container-title":"Science of the Total Environment","id":"ITEM-1","issue":"96","issued":{"date-parts":[["2020"]]},"page":"135275","publisher":"Elsevier B.V.","title":"Consumer's intention to purchase green furniture: Do health consciousness and environmental awareness matter?","type":"article-journal","volume":"704"},"uris":["http://www.mendeley.com/documents/?uuid=312b8252-e0a0-43e6-a6f2-87f241221436"]}],"mendeley":{"formattedCitation":"(Xu et al., 2020)","manualFormatting":"Xu et al., 2020)","plainTextFormattedCitation":"(Xu et al., 2020)","previouslyFormattedCitation":"(Xu et al., 2020)"},"properties":{"noteIndex":0},"schema":"https://github.com/citation-style-language/schema/raw/master/csl-citation.json"}</w:instrText>
      </w:r>
      <w:r w:rsidR="00DA6E85" w:rsidRPr="00DA6E85">
        <w:rPr>
          <w:rFonts w:ascii="Times New Roman" w:hAnsi="Times New Roman" w:cs="Times New Roman"/>
          <w:sz w:val="24"/>
          <w:szCs w:val="24"/>
        </w:rPr>
        <w:fldChar w:fldCharType="separate"/>
      </w:r>
      <w:r w:rsidR="00DA6E85" w:rsidRPr="00DA6E85">
        <w:rPr>
          <w:rFonts w:ascii="Times New Roman" w:hAnsi="Times New Roman" w:cs="Times New Roman"/>
          <w:noProof/>
          <w:sz w:val="24"/>
          <w:szCs w:val="24"/>
        </w:rPr>
        <w:t>Xu et al., 2020)</w:t>
      </w:r>
      <w:r w:rsidR="00DA6E85" w:rsidRPr="00DA6E85">
        <w:rPr>
          <w:rFonts w:ascii="Times New Roman" w:hAnsi="Times New Roman" w:cs="Times New Roman"/>
          <w:sz w:val="24"/>
          <w:szCs w:val="24"/>
        </w:rPr>
        <w:fldChar w:fldCharType="end"/>
      </w:r>
      <w:r w:rsidR="00DA6E85" w:rsidRPr="00DA6E85">
        <w:rPr>
          <w:rFonts w:ascii="Times New Roman" w:hAnsi="Times New Roman" w:cs="Times New Roman"/>
          <w:sz w:val="24"/>
          <w:szCs w:val="24"/>
        </w:rPr>
        <w:t xml:space="preserve">.  </w:t>
      </w:r>
      <w:r w:rsidR="006B3336">
        <w:rPr>
          <w:rFonts w:ascii="Times New Roman" w:hAnsi="Times New Roman" w:cs="Times New Roman"/>
          <w:sz w:val="24"/>
          <w:szCs w:val="24"/>
        </w:rPr>
        <w:t xml:space="preserve">It has been observed that a favourable Environmental Attitude was cultivated with higher Environmental Awareness/ knowledge </w:t>
      </w:r>
      <w:r w:rsidR="008B3350">
        <w:rPr>
          <w:rFonts w:ascii="Times New Roman" w:hAnsi="Times New Roman" w:cs="Times New Roman"/>
          <w:sz w:val="24"/>
          <w:szCs w:val="24"/>
        </w:rPr>
        <w:t xml:space="preserve">among pupils in Libyan Secondary Schools by, </w:t>
      </w:r>
      <w:r w:rsidR="008B3350" w:rsidRPr="008B3350">
        <w:rPr>
          <w:rFonts w:ascii="Times New Roman" w:hAnsi="Times New Roman" w:cs="Times New Roman"/>
          <w:sz w:val="24"/>
          <w:szCs w:val="24"/>
        </w:rPr>
        <w:t>Azam &amp; Dbab, (2021)</w:t>
      </w:r>
      <w:r w:rsidR="008B3350">
        <w:rPr>
          <w:rFonts w:ascii="Times New Roman" w:hAnsi="Times New Roman" w:cs="Times New Roman"/>
          <w:sz w:val="24"/>
          <w:szCs w:val="24"/>
        </w:rPr>
        <w:t>, similarly sensitivity towards various environmental issues was linked to positive attitude towards eco</w:t>
      </w:r>
      <w:r w:rsidR="00275D96">
        <w:rPr>
          <w:rFonts w:ascii="Times New Roman" w:hAnsi="Times New Roman" w:cs="Times New Roman"/>
          <w:sz w:val="24"/>
          <w:szCs w:val="24"/>
        </w:rPr>
        <w:t>-</w:t>
      </w:r>
      <w:r w:rsidR="008B3350">
        <w:rPr>
          <w:rFonts w:ascii="Times New Roman" w:hAnsi="Times New Roman" w:cs="Times New Roman"/>
          <w:sz w:val="24"/>
          <w:szCs w:val="24"/>
        </w:rPr>
        <w:t>friendly behaviours and intentions among the nursing students by Evcimen et.al., 2025. Thus,</w:t>
      </w:r>
      <w:r w:rsidR="008B3350" w:rsidRPr="008B3350">
        <w:rPr>
          <w:rFonts w:ascii="Times New Roman" w:hAnsi="Times New Roman" w:cs="Times New Roman"/>
          <w:sz w:val="24"/>
          <w:szCs w:val="24"/>
        </w:rPr>
        <w:t xml:space="preserve"> fostering Environmental Awareness among the population plays a critical role in enhancing Environmental Attitude towards environment friendly practices and encourages opting for more environment friendly behaviour. Based on the literature the following hypothesis was formulated</w:t>
      </w:r>
    </w:p>
    <w:p w14:paraId="6ECDEC32" w14:textId="67580A68" w:rsidR="00920ED0" w:rsidRPr="00920ED0" w:rsidRDefault="00920ED0" w:rsidP="00EA58C6">
      <w:pPr>
        <w:spacing w:line="240" w:lineRule="auto"/>
        <w:jc w:val="both"/>
        <w:rPr>
          <w:rFonts w:ascii="Times New Roman" w:hAnsi="Times New Roman" w:cs="Times New Roman"/>
          <w:sz w:val="24"/>
          <w:szCs w:val="24"/>
        </w:rPr>
      </w:pPr>
      <w:r w:rsidRPr="00213A13">
        <w:rPr>
          <w:rFonts w:ascii="Times New Roman" w:hAnsi="Times New Roman" w:cs="Times New Roman"/>
          <w:b/>
          <w:bCs/>
          <w:sz w:val="24"/>
          <w:szCs w:val="24"/>
        </w:rPr>
        <w:t>H</w:t>
      </w:r>
      <w:r w:rsidRPr="00213A13">
        <w:rPr>
          <w:rFonts w:ascii="Times New Roman" w:hAnsi="Times New Roman" w:cs="Times New Roman"/>
          <w:b/>
          <w:bCs/>
          <w:sz w:val="24"/>
          <w:szCs w:val="24"/>
          <w:vertAlign w:val="subscript"/>
        </w:rPr>
        <w:t>1</w:t>
      </w:r>
      <w:r w:rsidRPr="00213A13">
        <w:rPr>
          <w:rFonts w:ascii="Times New Roman" w:hAnsi="Times New Roman" w:cs="Times New Roman"/>
          <w:b/>
          <w:bCs/>
          <w:sz w:val="24"/>
          <w:szCs w:val="24"/>
        </w:rPr>
        <w:t>:</w:t>
      </w:r>
      <w:r>
        <w:rPr>
          <w:rFonts w:ascii="Times New Roman" w:hAnsi="Times New Roman" w:cs="Times New Roman"/>
          <w:sz w:val="24"/>
          <w:szCs w:val="24"/>
        </w:rPr>
        <w:t xml:space="preserve"> </w:t>
      </w:r>
      <w:r w:rsidR="00D75A65">
        <w:rPr>
          <w:rFonts w:ascii="Times New Roman" w:hAnsi="Times New Roman" w:cs="Times New Roman"/>
          <w:sz w:val="24"/>
          <w:szCs w:val="24"/>
        </w:rPr>
        <w:t>T</w:t>
      </w:r>
      <w:r>
        <w:rPr>
          <w:rFonts w:ascii="Times New Roman" w:hAnsi="Times New Roman" w:cs="Times New Roman"/>
          <w:sz w:val="24"/>
          <w:szCs w:val="24"/>
        </w:rPr>
        <w:t xml:space="preserve">here is significant association between ENVAW and ENVATT </w:t>
      </w:r>
    </w:p>
    <w:p w14:paraId="324296C3" w14:textId="7483B697" w:rsidR="009675DD" w:rsidRPr="00EA58C6" w:rsidRDefault="00EA58C6" w:rsidP="00EA58C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2.2 </w:t>
      </w:r>
      <w:r w:rsidR="00A174D2" w:rsidRPr="00EA58C6">
        <w:rPr>
          <w:rFonts w:ascii="Times New Roman" w:hAnsi="Times New Roman" w:cs="Times New Roman"/>
          <w:b/>
          <w:bCs/>
          <w:sz w:val="24"/>
          <w:szCs w:val="24"/>
          <w:lang w:val="en-US"/>
        </w:rPr>
        <w:t>Environmental Ethics</w:t>
      </w:r>
      <w:r w:rsidR="00920ED0" w:rsidRPr="00EA58C6">
        <w:rPr>
          <w:rFonts w:ascii="Times New Roman" w:hAnsi="Times New Roman" w:cs="Times New Roman"/>
          <w:b/>
          <w:bCs/>
          <w:sz w:val="24"/>
          <w:szCs w:val="24"/>
          <w:lang w:val="en-US"/>
        </w:rPr>
        <w:t xml:space="preserve"> (ENVETH)</w:t>
      </w:r>
    </w:p>
    <w:p w14:paraId="5C961306" w14:textId="26FA758A" w:rsidR="00C42108" w:rsidRDefault="00A80FE1" w:rsidP="00EA58C6">
      <w:pPr>
        <w:spacing w:line="240" w:lineRule="auto"/>
        <w:jc w:val="both"/>
        <w:rPr>
          <w:rFonts w:ascii="Times New Roman" w:hAnsi="Times New Roman" w:cs="Times New Roman"/>
          <w:sz w:val="24"/>
          <w:szCs w:val="24"/>
        </w:rPr>
      </w:pPr>
      <w:r w:rsidRPr="00C45B05">
        <w:rPr>
          <w:rFonts w:ascii="Times New Roman" w:hAnsi="Times New Roman" w:cs="Times New Roman"/>
          <w:sz w:val="24"/>
          <w:szCs w:val="24"/>
        </w:rPr>
        <w:t>The field of environmental ethics studies the moral dilemmas raised by human interactions with their surroundings, asking what we should do</w:t>
      </w:r>
      <w:r w:rsidR="00575306">
        <w:rPr>
          <w:rFonts w:ascii="Times New Roman" w:hAnsi="Times New Roman" w:cs="Times New Roman"/>
          <w:sz w:val="24"/>
          <w:szCs w:val="24"/>
        </w:rPr>
        <w:t>, is</w:t>
      </w:r>
      <w:r w:rsidRPr="00C45B05">
        <w:rPr>
          <w:rFonts w:ascii="Times New Roman" w:hAnsi="Times New Roman" w:cs="Times New Roman"/>
          <w:sz w:val="24"/>
          <w:szCs w:val="24"/>
        </w:rPr>
        <w:t xml:space="preserve"> the focus of ethical inquiries, and ethical statements are prescriptive rather than descriptive or predictive</w:t>
      </w:r>
      <w:r w:rsidR="00384790" w:rsidRPr="00C45B05">
        <w:rPr>
          <w:rFonts w:ascii="Times New Roman" w:hAnsi="Times New Roman" w:cs="Times New Roman"/>
          <w:sz w:val="24"/>
          <w:szCs w:val="24"/>
        </w:rPr>
        <w:t xml:space="preserve"> (Tsai&amp;Tsai;2008)</w:t>
      </w:r>
      <w:r w:rsidRPr="00C45B05">
        <w:rPr>
          <w:rFonts w:ascii="Times New Roman" w:hAnsi="Times New Roman" w:cs="Times New Roman"/>
          <w:sz w:val="24"/>
          <w:szCs w:val="24"/>
        </w:rPr>
        <w:t>. Environmental ethics as a modern field emerged in the 1970s. In 1971, the first academic conference on environmental ethics was held at the University of Georgia, and in 1978, the first journal on the subject was founded. The 1980s saw a sharp rise in environmental ethics research, publications, and education (Palmer et al., 2014).</w:t>
      </w:r>
      <w:r w:rsidR="00384790" w:rsidRPr="00C45B05">
        <w:rPr>
          <w:rFonts w:ascii="Times New Roman" w:hAnsi="Times New Roman" w:cs="Times New Roman"/>
          <w:sz w:val="24"/>
          <w:szCs w:val="24"/>
        </w:rPr>
        <w:t xml:space="preserve">  </w:t>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r>
      <w:r w:rsidR="00EA58C6">
        <w:rPr>
          <w:rFonts w:ascii="Times New Roman" w:hAnsi="Times New Roman" w:cs="Times New Roman"/>
          <w:sz w:val="24"/>
          <w:szCs w:val="24"/>
        </w:rPr>
        <w:tab/>
        <w:t xml:space="preserve"> </w:t>
      </w:r>
      <w:r w:rsidR="00384790" w:rsidRPr="00C45B05">
        <w:rPr>
          <w:rFonts w:ascii="Times New Roman" w:hAnsi="Times New Roman" w:cs="Times New Roman"/>
          <w:sz w:val="24"/>
          <w:szCs w:val="24"/>
        </w:rPr>
        <w:t>In their investigation into the factors influencing pro-environmental behaviour using the theory of planned behaviour (TPB</w:t>
      </w:r>
      <w:r w:rsidR="00384790" w:rsidRPr="004A1D15">
        <w:rPr>
          <w:rFonts w:ascii="Times New Roman" w:hAnsi="Times New Roman" w:cs="Times New Roman"/>
          <w:sz w:val="24"/>
          <w:szCs w:val="24"/>
        </w:rPr>
        <w:t>), Aziz et al. (2021)</w:t>
      </w:r>
      <w:r w:rsidR="00384790" w:rsidRPr="00C45B05">
        <w:rPr>
          <w:rFonts w:ascii="Times New Roman" w:hAnsi="Times New Roman" w:cs="Times New Roman"/>
          <w:sz w:val="24"/>
          <w:szCs w:val="24"/>
        </w:rPr>
        <w:t xml:space="preserve"> demonstrated that environmental ethics significantly affect attitudes, perceived behavioural control, and subjective norms. They also found that attitudes directly influenced pro-environmental behavioural intentions (PEIs), which was also observed in </w:t>
      </w:r>
      <w:r w:rsidR="00384790" w:rsidRPr="004A1D15">
        <w:rPr>
          <w:rFonts w:ascii="Times New Roman" w:hAnsi="Times New Roman" w:cs="Times New Roman"/>
          <w:i/>
          <w:iCs/>
          <w:sz w:val="24"/>
          <w:szCs w:val="24"/>
        </w:rPr>
        <w:t>Sheng &amp; Chen's (2010)</w:t>
      </w:r>
      <w:r w:rsidR="00384790" w:rsidRPr="00C45B05">
        <w:rPr>
          <w:rFonts w:ascii="Times New Roman" w:hAnsi="Times New Roman" w:cs="Times New Roman"/>
          <w:sz w:val="24"/>
          <w:szCs w:val="24"/>
        </w:rPr>
        <w:t xml:space="preserve"> study, which found that environmental ethics had a greater effect on environmental attitude than moral intensity did on environmental issues.</w:t>
      </w:r>
      <w:r w:rsidR="0027595A" w:rsidRPr="0027595A">
        <w:t xml:space="preserve"> </w:t>
      </w:r>
      <w:r w:rsidR="0027595A" w:rsidRPr="0027595A">
        <w:rPr>
          <w:rFonts w:ascii="Times New Roman" w:hAnsi="Times New Roman" w:cs="Times New Roman"/>
          <w:sz w:val="24"/>
          <w:szCs w:val="24"/>
        </w:rPr>
        <w:t>Through acceptance of Environmental Ethics as an individual, the consumers can lead on to making environment friendly choices in their day-to-day routine which might lead to conserving the resources and reducing the stress on the environment. The following hypothesis is formulated based on the literature</w:t>
      </w:r>
      <w:r w:rsidR="0027595A">
        <w:rPr>
          <w:rFonts w:ascii="Times New Roman" w:hAnsi="Times New Roman" w:cs="Times New Roman"/>
          <w:sz w:val="24"/>
          <w:szCs w:val="24"/>
        </w:rPr>
        <w:t>:</w:t>
      </w:r>
    </w:p>
    <w:p w14:paraId="2E7B0526" w14:textId="4AA22253" w:rsidR="00920ED0" w:rsidRPr="00920ED0" w:rsidRDefault="00920ED0" w:rsidP="00EA58C6">
      <w:pPr>
        <w:spacing w:line="240" w:lineRule="auto"/>
        <w:jc w:val="both"/>
        <w:rPr>
          <w:rFonts w:ascii="Times New Roman" w:hAnsi="Times New Roman" w:cs="Times New Roman"/>
          <w:sz w:val="24"/>
          <w:szCs w:val="24"/>
        </w:rPr>
      </w:pPr>
      <w:r w:rsidRPr="00213A13">
        <w:rPr>
          <w:rFonts w:ascii="Times New Roman" w:hAnsi="Times New Roman" w:cs="Times New Roman"/>
          <w:b/>
          <w:bCs/>
          <w:sz w:val="24"/>
          <w:szCs w:val="24"/>
        </w:rPr>
        <w:t>H</w:t>
      </w:r>
      <w:r w:rsidRPr="00213A13">
        <w:rPr>
          <w:rFonts w:ascii="Times New Roman" w:hAnsi="Times New Roman" w:cs="Times New Roman"/>
          <w:b/>
          <w:bCs/>
          <w:sz w:val="24"/>
          <w:szCs w:val="24"/>
          <w:vertAlign w:val="subscript"/>
        </w:rPr>
        <w:t>2</w:t>
      </w:r>
      <w:r w:rsidRPr="00213A13">
        <w:rPr>
          <w:rFonts w:ascii="Times New Roman" w:hAnsi="Times New Roman" w:cs="Times New Roman"/>
          <w:b/>
          <w:bCs/>
          <w:sz w:val="24"/>
          <w:szCs w:val="24"/>
        </w:rPr>
        <w:t>:</w:t>
      </w:r>
      <w:r>
        <w:rPr>
          <w:rFonts w:ascii="Times New Roman" w:hAnsi="Times New Roman" w:cs="Times New Roman"/>
          <w:sz w:val="24"/>
          <w:szCs w:val="24"/>
        </w:rPr>
        <w:t xml:space="preserve"> </w:t>
      </w:r>
      <w:r w:rsidR="00D75A65">
        <w:rPr>
          <w:rFonts w:ascii="Times New Roman" w:hAnsi="Times New Roman" w:cs="Times New Roman"/>
          <w:sz w:val="24"/>
          <w:szCs w:val="24"/>
        </w:rPr>
        <w:t>T</w:t>
      </w:r>
      <w:r>
        <w:rPr>
          <w:rFonts w:ascii="Times New Roman" w:hAnsi="Times New Roman" w:cs="Times New Roman"/>
          <w:sz w:val="24"/>
          <w:szCs w:val="24"/>
        </w:rPr>
        <w:t xml:space="preserve">here is significant association between ENVETH </w:t>
      </w:r>
      <w:r w:rsidR="00213A13">
        <w:rPr>
          <w:rFonts w:ascii="Times New Roman" w:hAnsi="Times New Roman" w:cs="Times New Roman"/>
          <w:sz w:val="24"/>
          <w:szCs w:val="24"/>
        </w:rPr>
        <w:t>and</w:t>
      </w:r>
      <w:r>
        <w:rPr>
          <w:rFonts w:ascii="Times New Roman" w:hAnsi="Times New Roman" w:cs="Times New Roman"/>
          <w:sz w:val="24"/>
          <w:szCs w:val="24"/>
        </w:rPr>
        <w:t xml:space="preserve"> ENVATT</w:t>
      </w:r>
    </w:p>
    <w:p w14:paraId="1657D809" w14:textId="68A77516" w:rsidR="00A174D2" w:rsidRPr="00EA58C6" w:rsidRDefault="00A174D2" w:rsidP="00EA58C6">
      <w:pPr>
        <w:pStyle w:val="ListParagraph"/>
        <w:numPr>
          <w:ilvl w:val="1"/>
          <w:numId w:val="7"/>
        </w:numPr>
        <w:spacing w:line="360" w:lineRule="auto"/>
        <w:jc w:val="both"/>
        <w:rPr>
          <w:rFonts w:ascii="Times New Roman" w:hAnsi="Times New Roman" w:cs="Times New Roman"/>
          <w:b/>
          <w:bCs/>
          <w:sz w:val="24"/>
          <w:szCs w:val="24"/>
          <w:lang w:val="en-US"/>
        </w:rPr>
      </w:pPr>
      <w:r w:rsidRPr="00EA58C6">
        <w:rPr>
          <w:rFonts w:ascii="Times New Roman" w:hAnsi="Times New Roman" w:cs="Times New Roman"/>
          <w:b/>
          <w:bCs/>
          <w:sz w:val="24"/>
          <w:szCs w:val="24"/>
          <w:lang w:val="en-US"/>
        </w:rPr>
        <w:t>Environmental Attitude</w:t>
      </w:r>
      <w:r w:rsidR="0054296E" w:rsidRPr="00EA58C6">
        <w:rPr>
          <w:rFonts w:ascii="Times New Roman" w:hAnsi="Times New Roman" w:cs="Times New Roman"/>
          <w:b/>
          <w:bCs/>
          <w:sz w:val="24"/>
          <w:szCs w:val="24"/>
          <w:lang w:val="en-US"/>
        </w:rPr>
        <w:t xml:space="preserve"> (ENVATT)</w:t>
      </w:r>
    </w:p>
    <w:p w14:paraId="308525C6" w14:textId="124F3014" w:rsidR="006546AB" w:rsidRDefault="00B334DE" w:rsidP="00EA58C6">
      <w:pPr>
        <w:spacing w:line="240" w:lineRule="auto"/>
        <w:jc w:val="both"/>
        <w:rPr>
          <w:rFonts w:ascii="Times New Roman" w:hAnsi="Times New Roman" w:cs="Times New Roman"/>
          <w:sz w:val="24"/>
          <w:szCs w:val="24"/>
        </w:rPr>
      </w:pPr>
      <w:r w:rsidRPr="00B334DE">
        <w:rPr>
          <w:rFonts w:ascii="Times New Roman" w:hAnsi="Times New Roman" w:cs="Times New Roman"/>
          <w:sz w:val="24"/>
          <w:szCs w:val="24"/>
        </w:rPr>
        <w:t>Ajzen et al. (2021) TPB define an attitude as a psychological consensus based on an evaluation</w:t>
      </w:r>
      <w:r>
        <w:rPr>
          <w:rFonts w:ascii="Times New Roman" w:hAnsi="Times New Roman" w:cs="Times New Roman"/>
          <w:sz w:val="24"/>
          <w:szCs w:val="24"/>
        </w:rPr>
        <w:t xml:space="preserve"> of how individuals respond to support or oppose a course of action.</w:t>
      </w:r>
      <w:r w:rsidR="00DA6E85" w:rsidRPr="00DA6E85">
        <w:t xml:space="preserve"> </w:t>
      </w:r>
      <w:r w:rsidR="00DA6E85" w:rsidRPr="00DA6E85">
        <w:rPr>
          <w:rFonts w:ascii="Times New Roman" w:hAnsi="Times New Roman" w:cs="Times New Roman"/>
          <w:sz w:val="24"/>
          <w:szCs w:val="24"/>
        </w:rPr>
        <w:t>Accessible beliefs regarding behaviour and the consequences of such behaviour are a conjunction of attitude towards behaviour</w:t>
      </w:r>
      <w:r>
        <w:rPr>
          <w:rFonts w:ascii="Times New Roman" w:hAnsi="Times New Roman" w:cs="Times New Roman"/>
          <w:sz w:val="24"/>
          <w:szCs w:val="24"/>
        </w:rPr>
        <w:t>.</w:t>
      </w:r>
      <w:r w:rsidRPr="00B334DE">
        <w:rPr>
          <w:rFonts w:ascii="Times New Roman" w:hAnsi="Times New Roman" w:cs="Times New Roman"/>
          <w:sz w:val="24"/>
          <w:szCs w:val="24"/>
        </w:rPr>
        <w:t> </w:t>
      </w:r>
      <w:r>
        <w:rPr>
          <w:rFonts w:ascii="Times New Roman" w:hAnsi="Times New Roman" w:cs="Times New Roman"/>
          <w:sz w:val="24"/>
          <w:szCs w:val="24"/>
        </w:rPr>
        <w:t xml:space="preserve"> According to Alam et al. (2023), environmental </w:t>
      </w:r>
      <w:r w:rsidR="006546AB">
        <w:rPr>
          <w:rFonts w:ascii="Times New Roman" w:hAnsi="Times New Roman" w:cs="Times New Roman"/>
          <w:sz w:val="24"/>
          <w:szCs w:val="24"/>
        </w:rPr>
        <w:t>attitudes</w:t>
      </w:r>
      <w:r>
        <w:rPr>
          <w:rFonts w:ascii="Times New Roman" w:hAnsi="Times New Roman" w:cs="Times New Roman"/>
          <w:sz w:val="24"/>
          <w:szCs w:val="24"/>
        </w:rPr>
        <w:t xml:space="preserve"> are significant factors in studies of green behaviour and continue to </w:t>
      </w:r>
      <w:r w:rsidR="006546AB">
        <w:rPr>
          <w:rFonts w:ascii="Times New Roman" w:hAnsi="Times New Roman" w:cs="Times New Roman"/>
          <w:sz w:val="24"/>
          <w:szCs w:val="24"/>
        </w:rPr>
        <w:t>play</w:t>
      </w:r>
      <w:r>
        <w:rPr>
          <w:rFonts w:ascii="Times New Roman" w:hAnsi="Times New Roman" w:cs="Times New Roman"/>
          <w:sz w:val="24"/>
          <w:szCs w:val="24"/>
        </w:rPr>
        <w:t xml:space="preserve"> a role in how social psychology, the conative impact, and the belief between stimulus and reaction affect individual behaviour</w:t>
      </w:r>
      <w:r w:rsidR="006546AB">
        <w:rPr>
          <w:rFonts w:ascii="Times New Roman" w:hAnsi="Times New Roman" w:cs="Times New Roman"/>
          <w:sz w:val="24"/>
          <w:szCs w:val="24"/>
        </w:rPr>
        <w:t>.</w:t>
      </w:r>
    </w:p>
    <w:p w14:paraId="40A8C67D" w14:textId="7C65661F" w:rsidR="00C42108" w:rsidRDefault="006546AB" w:rsidP="00EA58C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Many studies in regards to green consumption and green marketing shows that environmental attitude can affect people’s behaviour to a larger extend and even serve as a mediating factor in influencing the consumers intention</w:t>
      </w:r>
      <w:r w:rsidR="006A796B">
        <w:rPr>
          <w:rFonts w:ascii="Times New Roman" w:hAnsi="Times New Roman" w:cs="Times New Roman"/>
          <w:sz w:val="24"/>
          <w:szCs w:val="24"/>
        </w:rPr>
        <w:t xml:space="preserve"> </w:t>
      </w:r>
      <w:r w:rsidR="006A796B" w:rsidRPr="006A796B">
        <w:rPr>
          <w:rFonts w:ascii="Times New Roman" w:hAnsi="Times New Roman" w:cs="Times New Roman"/>
          <w:sz w:val="24"/>
          <w:szCs w:val="24"/>
        </w:rPr>
        <w:t>(Kirmani and Khan, 2018; Tang and Lam, 2017; Varshneya et al., 2017)</w:t>
      </w:r>
      <w:r>
        <w:rPr>
          <w:rFonts w:ascii="Times New Roman" w:hAnsi="Times New Roman" w:cs="Times New Roman"/>
          <w:sz w:val="24"/>
          <w:szCs w:val="24"/>
        </w:rPr>
        <w:t>.</w:t>
      </w:r>
      <w:r w:rsidR="002C2AB1">
        <w:rPr>
          <w:rFonts w:ascii="Times New Roman" w:hAnsi="Times New Roman" w:cs="Times New Roman"/>
          <w:sz w:val="24"/>
          <w:szCs w:val="24"/>
        </w:rPr>
        <w:t xml:space="preserve"> In their investigation into the relationship between Environmental Attitude and Pro-Environmental Consumer Behaviour, </w:t>
      </w:r>
      <w:r w:rsidR="002C2AB1" w:rsidRPr="006546AB">
        <w:rPr>
          <w:rFonts w:ascii="Times New Roman" w:hAnsi="Times New Roman" w:cs="Times New Roman"/>
          <w:sz w:val="24"/>
          <w:szCs w:val="24"/>
        </w:rPr>
        <w:t>Casaló &amp; Escario (2018) </w:t>
      </w:r>
      <w:r w:rsidR="002C2AB1">
        <w:rPr>
          <w:rFonts w:ascii="Times New Roman" w:hAnsi="Times New Roman" w:cs="Times New Roman"/>
          <w:sz w:val="24"/>
          <w:szCs w:val="24"/>
        </w:rPr>
        <w:t>found that although Environmental Attitude and Pro-Environmental Consumer Behaviour are related, this relationship only exists when the attitudes are very strong, which indicates Pro-Environmental Consumer Intention may result in Pro-Environmental Consumer Behaviour.</w:t>
      </w:r>
      <w:r w:rsidR="009607B2">
        <w:rPr>
          <w:rFonts w:ascii="Times New Roman" w:hAnsi="Times New Roman" w:cs="Times New Roman"/>
          <w:sz w:val="24"/>
          <w:szCs w:val="24"/>
        </w:rPr>
        <w:t xml:space="preserve"> </w:t>
      </w:r>
      <w:r w:rsidR="009607B2" w:rsidRPr="009607B2">
        <w:rPr>
          <w:rFonts w:ascii="Times New Roman" w:hAnsi="Times New Roman" w:cs="Times New Roman"/>
          <w:sz w:val="24"/>
          <w:szCs w:val="24"/>
        </w:rPr>
        <w:t>Consumers with enhanced Environmental Attitude can make purchase decisions that might lead to sustainability of resources, like when a consumer who opts for organic products will encourage his friends and family to consume/choose more organic products, this might eventually contribute to the generation of more awareness/acceptance of organic products or environment friendly products. Based on the literature the following hypothesis is formulated</w:t>
      </w:r>
      <w:r w:rsidR="009607B2">
        <w:rPr>
          <w:rFonts w:ascii="Times New Roman" w:hAnsi="Times New Roman" w:cs="Times New Roman"/>
          <w:sz w:val="24"/>
          <w:szCs w:val="24"/>
        </w:rPr>
        <w:t>:</w:t>
      </w:r>
    </w:p>
    <w:p w14:paraId="59C75DD0" w14:textId="384A49BA" w:rsidR="00D67B2B" w:rsidRPr="00920ED0" w:rsidRDefault="00920ED0" w:rsidP="00EA58C6">
      <w:pPr>
        <w:spacing w:line="240" w:lineRule="auto"/>
        <w:jc w:val="both"/>
        <w:rPr>
          <w:rFonts w:ascii="Times New Roman" w:hAnsi="Times New Roman" w:cs="Times New Roman"/>
          <w:sz w:val="24"/>
          <w:szCs w:val="24"/>
        </w:rPr>
      </w:pPr>
      <w:r w:rsidRPr="00213A13">
        <w:rPr>
          <w:rFonts w:ascii="Times New Roman" w:hAnsi="Times New Roman" w:cs="Times New Roman"/>
          <w:b/>
          <w:bCs/>
          <w:sz w:val="24"/>
          <w:szCs w:val="24"/>
        </w:rPr>
        <w:t>H</w:t>
      </w:r>
      <w:r w:rsidRPr="00213A13">
        <w:rPr>
          <w:rFonts w:ascii="Times New Roman" w:hAnsi="Times New Roman" w:cs="Times New Roman"/>
          <w:b/>
          <w:bCs/>
          <w:sz w:val="24"/>
          <w:szCs w:val="24"/>
          <w:vertAlign w:val="subscript"/>
        </w:rPr>
        <w:t>3</w:t>
      </w:r>
      <w:r w:rsidRPr="00213A13">
        <w:rPr>
          <w:rFonts w:ascii="Times New Roman" w:hAnsi="Times New Roman" w:cs="Times New Roman"/>
          <w:b/>
          <w:bCs/>
          <w:sz w:val="24"/>
          <w:szCs w:val="24"/>
        </w:rPr>
        <w:t>:</w:t>
      </w:r>
      <w:r>
        <w:rPr>
          <w:rFonts w:ascii="Times New Roman" w:hAnsi="Times New Roman" w:cs="Times New Roman"/>
          <w:sz w:val="24"/>
          <w:szCs w:val="24"/>
        </w:rPr>
        <w:t xml:space="preserve"> </w:t>
      </w:r>
      <w:r w:rsidR="00D75A65">
        <w:rPr>
          <w:rFonts w:ascii="Times New Roman" w:hAnsi="Times New Roman" w:cs="Times New Roman"/>
          <w:sz w:val="24"/>
          <w:szCs w:val="24"/>
        </w:rPr>
        <w:t>T</w:t>
      </w:r>
      <w:r>
        <w:rPr>
          <w:rFonts w:ascii="Times New Roman" w:hAnsi="Times New Roman" w:cs="Times New Roman"/>
          <w:sz w:val="24"/>
          <w:szCs w:val="24"/>
        </w:rPr>
        <w:t xml:space="preserve">here is significant association between ENVATT and ORGP </w:t>
      </w:r>
    </w:p>
    <w:p w14:paraId="26E1F86A" w14:textId="0947E459" w:rsidR="00A174D2" w:rsidRPr="00EA58C6" w:rsidRDefault="00FC112F" w:rsidP="00EA58C6">
      <w:pPr>
        <w:pStyle w:val="ListParagraph"/>
        <w:numPr>
          <w:ilvl w:val="1"/>
          <w:numId w:val="7"/>
        </w:numPr>
        <w:spacing w:line="360" w:lineRule="auto"/>
        <w:jc w:val="both"/>
        <w:rPr>
          <w:rFonts w:ascii="Times New Roman" w:hAnsi="Times New Roman" w:cs="Times New Roman"/>
          <w:b/>
          <w:bCs/>
          <w:sz w:val="24"/>
          <w:szCs w:val="24"/>
          <w:lang w:val="en-US"/>
        </w:rPr>
      </w:pPr>
      <w:r w:rsidRPr="00EA58C6">
        <w:rPr>
          <w:rFonts w:ascii="Times New Roman" w:hAnsi="Times New Roman" w:cs="Times New Roman"/>
          <w:b/>
          <w:bCs/>
          <w:sz w:val="24"/>
          <w:szCs w:val="24"/>
          <w:lang w:val="en-US"/>
        </w:rPr>
        <w:t xml:space="preserve">Consumer’s intention </w:t>
      </w:r>
      <w:r w:rsidR="000F2AE1" w:rsidRPr="00EA58C6">
        <w:rPr>
          <w:rFonts w:ascii="Times New Roman" w:hAnsi="Times New Roman" w:cs="Times New Roman"/>
          <w:b/>
          <w:bCs/>
          <w:sz w:val="24"/>
          <w:szCs w:val="24"/>
          <w:lang w:val="en-US"/>
        </w:rPr>
        <w:t xml:space="preserve">towards </w:t>
      </w:r>
      <w:r w:rsidRPr="00EA58C6">
        <w:rPr>
          <w:rFonts w:ascii="Times New Roman" w:hAnsi="Times New Roman" w:cs="Times New Roman"/>
          <w:b/>
          <w:bCs/>
          <w:sz w:val="24"/>
          <w:szCs w:val="24"/>
          <w:lang w:val="en-US"/>
        </w:rPr>
        <w:t xml:space="preserve">organic product/organic </w:t>
      </w:r>
      <w:r w:rsidR="005D4DA0" w:rsidRPr="00EA58C6">
        <w:rPr>
          <w:rFonts w:ascii="Times New Roman" w:hAnsi="Times New Roman" w:cs="Times New Roman"/>
          <w:b/>
          <w:bCs/>
          <w:sz w:val="24"/>
          <w:szCs w:val="24"/>
          <w:lang w:val="en-US"/>
        </w:rPr>
        <w:t>preferences</w:t>
      </w:r>
      <w:r w:rsidR="0054296E" w:rsidRPr="00EA58C6">
        <w:rPr>
          <w:rFonts w:ascii="Times New Roman" w:hAnsi="Times New Roman" w:cs="Times New Roman"/>
          <w:b/>
          <w:bCs/>
          <w:sz w:val="24"/>
          <w:szCs w:val="24"/>
          <w:lang w:val="en-US"/>
        </w:rPr>
        <w:t xml:space="preserve"> (ORGP)</w:t>
      </w:r>
    </w:p>
    <w:p w14:paraId="3B7086A9" w14:textId="582A616D" w:rsidR="00FA39F7" w:rsidRPr="00C45B05" w:rsidRDefault="00BC6617" w:rsidP="00EA58C6">
      <w:pPr>
        <w:spacing w:line="240" w:lineRule="auto"/>
        <w:jc w:val="both"/>
        <w:rPr>
          <w:rFonts w:ascii="Times New Roman" w:hAnsi="Times New Roman" w:cs="Times New Roman"/>
          <w:sz w:val="24"/>
          <w:szCs w:val="24"/>
          <w:lang w:val="en-US"/>
        </w:rPr>
      </w:pPr>
      <w:r w:rsidRPr="00BC6617">
        <w:rPr>
          <w:rFonts w:ascii="Times New Roman" w:hAnsi="Times New Roman" w:cs="Times New Roman"/>
          <w:sz w:val="24"/>
          <w:szCs w:val="24"/>
          <w:lang w:val="en-US"/>
        </w:rPr>
        <w:t>Ajzen</w:t>
      </w:r>
      <w:r>
        <w:rPr>
          <w:rFonts w:ascii="Times New Roman" w:hAnsi="Times New Roman" w:cs="Times New Roman"/>
          <w:sz w:val="24"/>
          <w:szCs w:val="24"/>
          <w:lang w:val="en-US"/>
        </w:rPr>
        <w:t xml:space="preserve"> </w:t>
      </w:r>
      <w:r w:rsidRPr="00BC6617">
        <w:rPr>
          <w:rFonts w:ascii="Times New Roman" w:hAnsi="Times New Roman" w:cs="Times New Roman"/>
          <w:sz w:val="24"/>
          <w:szCs w:val="24"/>
          <w:lang w:val="en-US"/>
        </w:rPr>
        <w:t>(2022</w:t>
      </w:r>
      <w:r w:rsidR="006B3160">
        <w:rPr>
          <w:rFonts w:ascii="Times New Roman" w:hAnsi="Times New Roman" w:cs="Times New Roman"/>
          <w:sz w:val="24"/>
          <w:szCs w:val="24"/>
          <w:lang w:val="en-US"/>
        </w:rPr>
        <w:t xml:space="preserve">), </w:t>
      </w:r>
      <w:r w:rsidR="006B3160">
        <w:rPr>
          <w:rFonts w:ascii="Times New Roman" w:hAnsi="Times New Roman" w:cs="Times New Roman"/>
          <w:sz w:val="24"/>
          <w:szCs w:val="24"/>
        </w:rPr>
        <w:t>d</w:t>
      </w:r>
      <w:r w:rsidR="006B3160" w:rsidRPr="00AC5C89">
        <w:rPr>
          <w:rFonts w:ascii="Times New Roman" w:hAnsi="Times New Roman" w:cs="Times New Roman"/>
          <w:sz w:val="24"/>
          <w:szCs w:val="24"/>
        </w:rPr>
        <w:t>efined behavioural intention as an individual’s readiness to engage in a certain behaviour, which is thought to be the direct cause of behaviour. I</w:t>
      </w:r>
      <w:r w:rsidR="006B3160">
        <w:rPr>
          <w:rFonts w:ascii="Times New Roman" w:hAnsi="Times New Roman" w:cs="Times New Roman"/>
          <w:sz w:val="24"/>
          <w:szCs w:val="24"/>
        </w:rPr>
        <w:t xml:space="preserve">t is </w:t>
      </w:r>
      <w:r w:rsidR="006B3160" w:rsidRPr="00AC5C89">
        <w:rPr>
          <w:rFonts w:ascii="Times New Roman" w:hAnsi="Times New Roman" w:cs="Times New Roman"/>
          <w:sz w:val="24"/>
          <w:szCs w:val="24"/>
        </w:rPr>
        <w:t>believed that intentions, which also act as markers of people’s readiness to put in the greatest amount of effort and do their utmost to carry out the behaviour, reflect the motivational factors that drive a behaviour</w:t>
      </w:r>
      <w:r w:rsidR="006B3160" w:rsidRPr="00AC5C89">
        <w:rPr>
          <w:rFonts w:ascii="Times New Roman" w:hAnsi="Times New Roman" w:cs="Times New Roman"/>
          <w:sz w:val="24"/>
          <w:szCs w:val="24"/>
          <w:lang w:val="en-US"/>
        </w:rPr>
        <w:t xml:space="preserve"> (Costa et al., 2021).</w:t>
      </w:r>
      <w:r w:rsidR="006B3160">
        <w:rPr>
          <w:rFonts w:ascii="Times New Roman" w:hAnsi="Times New Roman" w:cs="Times New Roman"/>
          <w:sz w:val="24"/>
          <w:szCs w:val="24"/>
          <w:lang w:val="en-US"/>
        </w:rPr>
        <w:t xml:space="preserve"> The more strongly someone desires to engage in a behaviour, the more often that behaviour would be executed; in other words, the more strongly someone intends to engage in behaviour, the more probable that action will be conducted </w:t>
      </w:r>
      <w:r w:rsidR="006B3160" w:rsidRPr="002C2AB1">
        <w:rPr>
          <w:rFonts w:ascii="Times New Roman" w:hAnsi="Times New Roman" w:cs="Times New Roman"/>
          <w:sz w:val="24"/>
          <w:szCs w:val="24"/>
        </w:rPr>
        <w:t>(Yang et al., 2021).</w:t>
      </w:r>
      <w:r w:rsidR="006B3160">
        <w:rPr>
          <w:rFonts w:ascii="Times New Roman" w:hAnsi="Times New Roman" w:cs="Times New Roman"/>
          <w:sz w:val="24"/>
          <w:szCs w:val="24"/>
        </w:rPr>
        <w:t xml:space="preserve"> Expanding on this notion, several </w:t>
      </w:r>
      <w:r w:rsidR="009607B2">
        <w:rPr>
          <w:rFonts w:ascii="Times New Roman" w:hAnsi="Times New Roman" w:cs="Times New Roman"/>
          <w:sz w:val="24"/>
          <w:szCs w:val="24"/>
        </w:rPr>
        <w:t>theorists</w:t>
      </w:r>
      <w:r w:rsidR="006B3160">
        <w:rPr>
          <w:rFonts w:ascii="Times New Roman" w:hAnsi="Times New Roman" w:cs="Times New Roman"/>
          <w:sz w:val="24"/>
          <w:szCs w:val="24"/>
        </w:rPr>
        <w:t xml:space="preserve"> have suggested that the closest cognitive antecedent of actual behavioural performance is the desire to do a behaviour rather than attitude </w:t>
      </w:r>
      <w:r w:rsidR="006B3160" w:rsidRPr="002C2AB1">
        <w:rPr>
          <w:rFonts w:ascii="Times New Roman" w:hAnsi="Times New Roman" w:cs="Times New Roman"/>
          <w:sz w:val="24"/>
          <w:szCs w:val="24"/>
        </w:rPr>
        <w:t>(e.g., Fishbein &amp; Ajzen, 1975; Fisher &amp; Fisher, 1992; Gollwitzer, 1993).</w:t>
      </w:r>
      <w:r w:rsidR="00C45C2D">
        <w:rPr>
          <w:rFonts w:ascii="Times New Roman" w:hAnsi="Times New Roman" w:cs="Times New Roman"/>
          <w:sz w:val="24"/>
          <w:szCs w:val="24"/>
        </w:rPr>
        <w:t xml:space="preserve"> Zhao et.al., (2025) in their investigation of green consumerism found that green attitude along with perceived behavioural control significantly influenced green consumerism intention which is backed by several other literatures (Xiao et.al., 2023; Guan et.al., 2024). Hence,</w:t>
      </w:r>
      <w:r w:rsidR="00F77605">
        <w:rPr>
          <w:rFonts w:ascii="Times New Roman" w:hAnsi="Times New Roman" w:cs="Times New Roman"/>
          <w:sz w:val="24"/>
          <w:szCs w:val="24"/>
        </w:rPr>
        <w:t xml:space="preserve"> it is crucial to consider consumers intention </w:t>
      </w:r>
      <w:r w:rsidR="000F2AE1">
        <w:rPr>
          <w:rFonts w:ascii="Times New Roman" w:hAnsi="Times New Roman" w:cs="Times New Roman"/>
          <w:sz w:val="24"/>
          <w:szCs w:val="24"/>
        </w:rPr>
        <w:t>towards</w:t>
      </w:r>
      <w:r w:rsidR="00F77605">
        <w:rPr>
          <w:rFonts w:ascii="Times New Roman" w:hAnsi="Times New Roman" w:cs="Times New Roman"/>
          <w:sz w:val="24"/>
          <w:szCs w:val="24"/>
        </w:rPr>
        <w:t xml:space="preserve"> organic preferences to understand the factors that actually leads to consumption of organic products since intention will eventually lead to behaviour as per the TPB.</w:t>
      </w:r>
      <w:r w:rsidR="000F2AE1">
        <w:rPr>
          <w:rFonts w:ascii="Times New Roman" w:hAnsi="Times New Roman" w:cs="Times New Roman"/>
          <w:sz w:val="24"/>
          <w:szCs w:val="24"/>
        </w:rPr>
        <w:t xml:space="preserve"> </w:t>
      </w:r>
    </w:p>
    <w:p w14:paraId="3C3C55B9" w14:textId="47D79AFD" w:rsidR="00A166F9" w:rsidRPr="00EA58C6" w:rsidRDefault="003C3320" w:rsidP="00A04852">
      <w:pPr>
        <w:spacing w:line="360" w:lineRule="auto"/>
        <w:jc w:val="both"/>
        <w:rPr>
          <w:rFonts w:ascii="Times New Roman" w:hAnsi="Times New Roman" w:cs="Times New Roman"/>
          <w:b/>
          <w:bCs/>
          <w:sz w:val="28"/>
          <w:szCs w:val="28"/>
        </w:rPr>
      </w:pPr>
      <w:r w:rsidRPr="00EA58C6">
        <w:rPr>
          <w:rFonts w:ascii="Times New Roman" w:hAnsi="Times New Roman" w:cs="Times New Roman"/>
          <w:b/>
          <w:bCs/>
          <w:sz w:val="28"/>
          <w:szCs w:val="28"/>
        </w:rPr>
        <w:t xml:space="preserve">3. </w:t>
      </w:r>
      <w:r w:rsidR="00255E29" w:rsidRPr="00EA58C6">
        <w:rPr>
          <w:rFonts w:ascii="Times New Roman" w:hAnsi="Times New Roman" w:cs="Times New Roman"/>
          <w:b/>
          <w:bCs/>
          <w:sz w:val="28"/>
          <w:szCs w:val="28"/>
        </w:rPr>
        <w:t xml:space="preserve">Methodology </w:t>
      </w:r>
    </w:p>
    <w:p w14:paraId="44D1E494" w14:textId="77777777" w:rsidR="00F62464" w:rsidRDefault="00BF213A" w:rsidP="00A04852">
      <w:pPr>
        <w:spacing w:line="360" w:lineRule="auto"/>
        <w:jc w:val="both"/>
        <w:rPr>
          <w:rFonts w:ascii="Times New Roman" w:hAnsi="Times New Roman" w:cs="Times New Roman"/>
          <w:b/>
          <w:bCs/>
          <w:sz w:val="24"/>
          <w:szCs w:val="24"/>
        </w:rPr>
      </w:pPr>
      <w:r w:rsidRPr="00C45B05">
        <w:rPr>
          <w:rFonts w:ascii="Times New Roman" w:hAnsi="Times New Roman" w:cs="Times New Roman"/>
          <w:b/>
          <w:bCs/>
          <w:sz w:val="24"/>
          <w:szCs w:val="24"/>
        </w:rPr>
        <w:t>3.1 Study Area</w:t>
      </w:r>
    </w:p>
    <w:p w14:paraId="6CE7433D" w14:textId="6CE88802" w:rsidR="00D67B2B" w:rsidRPr="00A1455C" w:rsidRDefault="00B50E0A" w:rsidP="00EA58C6">
      <w:pPr>
        <w:spacing w:line="240" w:lineRule="auto"/>
        <w:jc w:val="both"/>
        <w:rPr>
          <w:rFonts w:ascii="Times New Roman" w:hAnsi="Times New Roman" w:cs="Times New Roman"/>
          <w:sz w:val="24"/>
          <w:szCs w:val="24"/>
        </w:rPr>
      </w:pPr>
      <w:r w:rsidRPr="00A1455C">
        <w:rPr>
          <w:rFonts w:ascii="Times New Roman" w:hAnsi="Times New Roman" w:cs="Times New Roman"/>
          <w:sz w:val="24"/>
          <w:szCs w:val="24"/>
        </w:rPr>
        <w:t>Unobstructed consumption of the natural resources is the main source of environmental degradation, consumer need to be more aware of their actions and stick to sustainable consumption to retain the balance in the environment. Thus, it is essential to study the impact of Environmental Awareness, Environmental Ethics and Environmental Attitude, which might lead to intentions in consumers to opt for organic products as a sustainable consumption in current environmental crisis. For this study Sikkim was considered as the study area, with the population of 6,10,577 (Census, 2011) out of a total area of 7096 km</w:t>
      </w:r>
      <w:r w:rsidRPr="00A1455C">
        <w:rPr>
          <w:rFonts w:ascii="Times New Roman" w:hAnsi="Times New Roman" w:cs="Times New Roman"/>
          <w:sz w:val="24"/>
          <w:szCs w:val="24"/>
          <w:vertAlign w:val="superscript"/>
        </w:rPr>
        <w:t>2</w:t>
      </w:r>
      <w:r w:rsidRPr="00A1455C">
        <w:rPr>
          <w:rFonts w:ascii="Times New Roman" w:hAnsi="Times New Roman" w:cs="Times New Roman"/>
          <w:sz w:val="24"/>
          <w:szCs w:val="24"/>
        </w:rPr>
        <w:t xml:space="preserve"> (7,09,600 ha), only 10.47% is used for farming, while the rest is uncultivable, cultural waste, permanent pastures, forest and barren land. In North, South and West Sikkim, nearly 85% of the population lives in rural areas, compared to the national average </w:t>
      </w:r>
      <w:r w:rsidRPr="00A1455C">
        <w:rPr>
          <w:rFonts w:ascii="Times New Roman" w:hAnsi="Times New Roman" w:cs="Times New Roman"/>
          <w:sz w:val="24"/>
          <w:szCs w:val="24"/>
        </w:rPr>
        <w:lastRenderedPageBreak/>
        <w:t>of 75%. Over 60% of the state’s population relies on agriculture and related activities for a living (Rao,2017). As the first 100% organic state in India, Sikkim provides important context for the study by focusing on customer’s attitudes to prefer organic products.</w:t>
      </w:r>
    </w:p>
    <w:p w14:paraId="526FF0F2" w14:textId="05119D31" w:rsidR="00BF213A" w:rsidRDefault="00BF213A" w:rsidP="00A04852">
      <w:pPr>
        <w:spacing w:line="360" w:lineRule="auto"/>
        <w:jc w:val="both"/>
        <w:rPr>
          <w:rFonts w:ascii="Times New Roman" w:hAnsi="Times New Roman" w:cs="Times New Roman"/>
          <w:b/>
          <w:bCs/>
          <w:sz w:val="24"/>
          <w:szCs w:val="24"/>
        </w:rPr>
      </w:pPr>
      <w:r w:rsidRPr="00C45B05">
        <w:rPr>
          <w:rFonts w:ascii="Times New Roman" w:hAnsi="Times New Roman" w:cs="Times New Roman"/>
          <w:b/>
          <w:bCs/>
          <w:sz w:val="24"/>
          <w:szCs w:val="24"/>
        </w:rPr>
        <w:t>3.2 Sampling Technique</w:t>
      </w:r>
    </w:p>
    <w:p w14:paraId="36A7D825" w14:textId="04671420" w:rsidR="00C649FF" w:rsidRDefault="00BF213A" w:rsidP="00EA58C6">
      <w:pPr>
        <w:spacing w:line="240" w:lineRule="auto"/>
        <w:jc w:val="both"/>
        <w:rPr>
          <w:rFonts w:ascii="Times New Roman" w:hAnsi="Times New Roman" w:cs="Times New Roman"/>
          <w:sz w:val="24"/>
          <w:szCs w:val="24"/>
        </w:rPr>
      </w:pPr>
      <w:r w:rsidRPr="00C45B05">
        <w:rPr>
          <w:rFonts w:ascii="Times New Roman" w:hAnsi="Times New Roman" w:cs="Times New Roman"/>
          <w:sz w:val="24"/>
          <w:szCs w:val="24"/>
        </w:rPr>
        <w:t xml:space="preserve">The data was collected from the four districts of Sikkim </w:t>
      </w:r>
      <w:r w:rsidR="00745AB3" w:rsidRPr="00C45B05">
        <w:rPr>
          <w:rFonts w:ascii="Times New Roman" w:hAnsi="Times New Roman" w:cs="Times New Roman"/>
          <w:sz w:val="24"/>
          <w:szCs w:val="24"/>
        </w:rPr>
        <w:t xml:space="preserve">– East, West, North and South district </w:t>
      </w:r>
      <w:r w:rsidR="00745AB3" w:rsidRPr="00B50E0A">
        <w:rPr>
          <w:rFonts w:ascii="Times New Roman" w:hAnsi="Times New Roman" w:cs="Times New Roman"/>
          <w:sz w:val="24"/>
          <w:szCs w:val="24"/>
        </w:rPr>
        <w:t>(</w:t>
      </w:r>
      <w:r w:rsidRPr="00B50E0A">
        <w:rPr>
          <w:rFonts w:ascii="Times New Roman" w:hAnsi="Times New Roman" w:cs="Times New Roman"/>
          <w:sz w:val="24"/>
          <w:szCs w:val="24"/>
        </w:rPr>
        <w:t>Census 2011</w:t>
      </w:r>
      <w:r w:rsidR="00745AB3" w:rsidRPr="00B50E0A">
        <w:rPr>
          <w:rFonts w:ascii="Times New Roman" w:hAnsi="Times New Roman" w:cs="Times New Roman"/>
          <w:sz w:val="24"/>
          <w:szCs w:val="24"/>
        </w:rPr>
        <w:t>)</w:t>
      </w:r>
      <w:r w:rsidRPr="00B50E0A">
        <w:rPr>
          <w:rFonts w:ascii="Times New Roman" w:hAnsi="Times New Roman" w:cs="Times New Roman"/>
          <w:sz w:val="24"/>
          <w:szCs w:val="24"/>
        </w:rPr>
        <w:t>,</w:t>
      </w:r>
      <w:r w:rsidRPr="00C45B05">
        <w:rPr>
          <w:rFonts w:ascii="Times New Roman" w:hAnsi="Times New Roman" w:cs="Times New Roman"/>
          <w:sz w:val="24"/>
          <w:szCs w:val="24"/>
        </w:rPr>
        <w:t xml:space="preserve"> </w:t>
      </w:r>
      <w:r w:rsidR="00745AB3" w:rsidRPr="00C45B05">
        <w:rPr>
          <w:rFonts w:ascii="Times New Roman" w:hAnsi="Times New Roman" w:cs="Times New Roman"/>
          <w:sz w:val="24"/>
          <w:szCs w:val="24"/>
        </w:rPr>
        <w:t>using the Stratified Random Sampling technique. From each district two locations were selected randomly – a rural and a semi urban area</w:t>
      </w:r>
      <w:r w:rsidR="00C649FF">
        <w:rPr>
          <w:rFonts w:ascii="Times New Roman" w:hAnsi="Times New Roman" w:cs="Times New Roman"/>
          <w:sz w:val="24"/>
          <w:szCs w:val="24"/>
        </w:rPr>
        <w:t xml:space="preserve"> thus a total of </w:t>
      </w:r>
      <w:r w:rsidR="00FC6714">
        <w:rPr>
          <w:rFonts w:ascii="Times New Roman" w:hAnsi="Times New Roman" w:cs="Times New Roman"/>
          <w:sz w:val="24"/>
          <w:szCs w:val="24"/>
        </w:rPr>
        <w:t>eight</w:t>
      </w:r>
      <w:r w:rsidR="00C649FF">
        <w:rPr>
          <w:rFonts w:ascii="Times New Roman" w:hAnsi="Times New Roman" w:cs="Times New Roman"/>
          <w:sz w:val="24"/>
          <w:szCs w:val="24"/>
        </w:rPr>
        <w:t xml:space="preserve"> locations were randomly selected. </w:t>
      </w:r>
      <w:r w:rsidR="00C80D46">
        <w:rPr>
          <w:rFonts w:ascii="Times New Roman" w:hAnsi="Times New Roman" w:cs="Times New Roman"/>
          <w:sz w:val="24"/>
          <w:szCs w:val="24"/>
        </w:rPr>
        <w:t xml:space="preserve"> A total of 550 sample was taken for the study, as per </w:t>
      </w:r>
      <w:r w:rsidR="00C80D46" w:rsidRPr="00E66FDE">
        <w:rPr>
          <w:rFonts w:ascii="Times New Roman" w:hAnsi="Times New Roman" w:cs="Times New Roman"/>
          <w:sz w:val="24"/>
          <w:szCs w:val="24"/>
        </w:rPr>
        <w:t xml:space="preserve">Cochran </w:t>
      </w:r>
      <w:r w:rsidR="00FC6714" w:rsidRPr="00E66FDE">
        <w:rPr>
          <w:rFonts w:ascii="Times New Roman" w:hAnsi="Times New Roman" w:cs="Times New Roman"/>
          <w:sz w:val="24"/>
          <w:szCs w:val="24"/>
        </w:rPr>
        <w:t>formula (</w:t>
      </w:r>
      <w:r w:rsidR="00C80D46" w:rsidRPr="00E66FDE">
        <w:rPr>
          <w:rFonts w:ascii="Times New Roman" w:hAnsi="Times New Roman" w:cs="Times New Roman"/>
          <w:sz w:val="24"/>
          <w:szCs w:val="24"/>
        </w:rPr>
        <w:t>1977)</w:t>
      </w:r>
      <w:r w:rsidR="00C80D46">
        <w:rPr>
          <w:rFonts w:ascii="Times New Roman" w:hAnsi="Times New Roman" w:cs="Times New Roman"/>
          <w:sz w:val="24"/>
          <w:szCs w:val="24"/>
        </w:rPr>
        <w:t xml:space="preserve"> a sample size of 385 </w:t>
      </w:r>
      <w:r w:rsidR="00FC6714">
        <w:rPr>
          <w:rFonts w:ascii="Times New Roman" w:hAnsi="Times New Roman" w:cs="Times New Roman"/>
          <w:sz w:val="24"/>
          <w:szCs w:val="24"/>
        </w:rPr>
        <w:t xml:space="preserve">would </w:t>
      </w:r>
      <w:r w:rsidR="00C80D46">
        <w:rPr>
          <w:rFonts w:ascii="Times New Roman" w:hAnsi="Times New Roman" w:cs="Times New Roman"/>
          <w:sz w:val="24"/>
          <w:szCs w:val="24"/>
        </w:rPr>
        <w:t xml:space="preserve">suffice. </w:t>
      </w:r>
      <w:r w:rsidR="00C649FF">
        <w:rPr>
          <w:rFonts w:ascii="Times New Roman" w:hAnsi="Times New Roman" w:cs="Times New Roman"/>
          <w:sz w:val="24"/>
          <w:szCs w:val="24"/>
        </w:rPr>
        <w:t xml:space="preserve">The details regarding each location are provided </w:t>
      </w:r>
      <w:r w:rsidR="00C21881">
        <w:rPr>
          <w:rFonts w:ascii="Times New Roman" w:hAnsi="Times New Roman" w:cs="Times New Roman"/>
          <w:sz w:val="24"/>
          <w:szCs w:val="24"/>
        </w:rPr>
        <w:t>in table 1</w:t>
      </w:r>
      <w:r w:rsidR="00C649FF">
        <w:rPr>
          <w:rFonts w:ascii="Times New Roman" w:hAnsi="Times New Roman" w:cs="Times New Roman"/>
          <w:sz w:val="24"/>
          <w:szCs w:val="24"/>
        </w:rPr>
        <w:t>:</w:t>
      </w:r>
    </w:p>
    <w:p w14:paraId="2AED469B" w14:textId="63410113" w:rsidR="00C05A65" w:rsidRPr="00C05A65" w:rsidRDefault="00C05A65" w:rsidP="00A04852">
      <w:pPr>
        <w:spacing w:line="360" w:lineRule="auto"/>
        <w:jc w:val="both"/>
        <w:rPr>
          <w:rFonts w:ascii="Times New Roman" w:hAnsi="Times New Roman" w:cs="Times New Roman"/>
          <w:b/>
          <w:bCs/>
          <w:sz w:val="24"/>
          <w:szCs w:val="24"/>
        </w:rPr>
      </w:pPr>
      <w:r w:rsidRPr="00C05A65">
        <w:rPr>
          <w:rFonts w:ascii="Times New Roman" w:hAnsi="Times New Roman" w:cs="Times New Roman"/>
          <w:b/>
          <w:bCs/>
          <w:sz w:val="24"/>
          <w:szCs w:val="24"/>
        </w:rPr>
        <w:t xml:space="preserve">Table 1. Study area details </w:t>
      </w:r>
    </w:p>
    <w:tbl>
      <w:tblPr>
        <w:tblStyle w:val="PlainTable1"/>
        <w:tblW w:w="0" w:type="auto"/>
        <w:tblLook w:val="04A0" w:firstRow="1" w:lastRow="0" w:firstColumn="1" w:lastColumn="0" w:noHBand="0" w:noVBand="1"/>
      </w:tblPr>
      <w:tblGrid>
        <w:gridCol w:w="861"/>
        <w:gridCol w:w="2979"/>
        <w:gridCol w:w="1931"/>
        <w:gridCol w:w="1878"/>
        <w:gridCol w:w="1701"/>
      </w:tblGrid>
      <w:tr w:rsidR="00FC6714" w14:paraId="5B0E5E2F" w14:textId="450AAA0F" w:rsidTr="00FC67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14:paraId="0854404C" w14:textId="107231FE" w:rsidR="00FC6714" w:rsidRDefault="00FC6714" w:rsidP="00A04852">
            <w:pPr>
              <w:spacing w:line="360" w:lineRule="auto"/>
              <w:jc w:val="center"/>
              <w:rPr>
                <w:rFonts w:ascii="Times New Roman" w:hAnsi="Times New Roman" w:cs="Times New Roman"/>
                <w:sz w:val="24"/>
                <w:szCs w:val="24"/>
              </w:rPr>
            </w:pPr>
            <w:r>
              <w:rPr>
                <w:rFonts w:ascii="Times New Roman" w:hAnsi="Times New Roman" w:cs="Times New Roman"/>
                <w:sz w:val="24"/>
                <w:szCs w:val="24"/>
              </w:rPr>
              <w:t>Sl. No.</w:t>
            </w:r>
          </w:p>
        </w:tc>
        <w:tc>
          <w:tcPr>
            <w:tcW w:w="2979" w:type="dxa"/>
          </w:tcPr>
          <w:p w14:paraId="23334AF3" w14:textId="3A178E02" w:rsidR="00FC6714" w:rsidRDefault="00FC6714" w:rsidP="00A048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Location</w:t>
            </w:r>
          </w:p>
        </w:tc>
        <w:tc>
          <w:tcPr>
            <w:tcW w:w="1931" w:type="dxa"/>
          </w:tcPr>
          <w:p w14:paraId="01CF0D9E" w14:textId="1009F7BE" w:rsidR="00FC6714" w:rsidRDefault="00FC6714" w:rsidP="00A048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District</w:t>
            </w:r>
          </w:p>
        </w:tc>
        <w:tc>
          <w:tcPr>
            <w:tcW w:w="1878" w:type="dxa"/>
          </w:tcPr>
          <w:p w14:paraId="7F4A28DB" w14:textId="42ABFA98" w:rsidR="00FC6714" w:rsidRDefault="00FC6714" w:rsidP="00A048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Area</w:t>
            </w:r>
          </w:p>
        </w:tc>
        <w:tc>
          <w:tcPr>
            <w:tcW w:w="1701" w:type="dxa"/>
          </w:tcPr>
          <w:p w14:paraId="452ADD16" w14:textId="183EB14F" w:rsidR="00FC6714" w:rsidRDefault="00FC6714" w:rsidP="00A0485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Sample size</w:t>
            </w:r>
          </w:p>
        </w:tc>
      </w:tr>
      <w:tr w:rsidR="00FC6714" w14:paraId="622ECBA9" w14:textId="18707474" w:rsidTr="00FC6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14:paraId="51400EF5" w14:textId="05EAA7BD" w:rsidR="00FC6714" w:rsidRDefault="00FC6714" w:rsidP="00A04852">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9" w:type="dxa"/>
          </w:tcPr>
          <w:p w14:paraId="218ABDB3" w14:textId="407FE7C1"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Gangtok</w:t>
            </w:r>
          </w:p>
        </w:tc>
        <w:tc>
          <w:tcPr>
            <w:tcW w:w="1931" w:type="dxa"/>
            <w:vMerge w:val="restart"/>
          </w:tcPr>
          <w:p w14:paraId="629C36B2" w14:textId="53C2614C"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East</w:t>
            </w:r>
          </w:p>
        </w:tc>
        <w:tc>
          <w:tcPr>
            <w:tcW w:w="1878" w:type="dxa"/>
          </w:tcPr>
          <w:p w14:paraId="1DEB2D1F" w14:textId="61F6470D"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Semi Urban</w:t>
            </w:r>
          </w:p>
        </w:tc>
        <w:tc>
          <w:tcPr>
            <w:tcW w:w="1701" w:type="dxa"/>
          </w:tcPr>
          <w:p w14:paraId="2D30495A" w14:textId="77FED64D" w:rsidR="00FC6714" w:rsidRPr="00BA5672" w:rsidRDefault="00D75A65"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130</w:t>
            </w:r>
          </w:p>
        </w:tc>
      </w:tr>
      <w:tr w:rsidR="00FC6714" w14:paraId="32C9BA9B" w14:textId="307AD8EA" w:rsidTr="00FC6714">
        <w:tc>
          <w:tcPr>
            <w:cnfStyle w:val="001000000000" w:firstRow="0" w:lastRow="0" w:firstColumn="1" w:lastColumn="0" w:oddVBand="0" w:evenVBand="0" w:oddHBand="0" w:evenHBand="0" w:firstRowFirstColumn="0" w:firstRowLastColumn="0" w:lastRowFirstColumn="0" w:lastRowLastColumn="0"/>
            <w:tcW w:w="861" w:type="dxa"/>
          </w:tcPr>
          <w:p w14:paraId="38480496" w14:textId="1631C239" w:rsidR="00FC6714" w:rsidRDefault="00FC6714" w:rsidP="00A0485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9" w:type="dxa"/>
          </w:tcPr>
          <w:p w14:paraId="3DE4C170" w14:textId="59F0A6F4"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Naitam Pabyuk</w:t>
            </w:r>
          </w:p>
        </w:tc>
        <w:tc>
          <w:tcPr>
            <w:tcW w:w="1931" w:type="dxa"/>
            <w:vMerge/>
          </w:tcPr>
          <w:p w14:paraId="0BDDC274" w14:textId="77777777"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8" w:type="dxa"/>
          </w:tcPr>
          <w:p w14:paraId="55798AAC" w14:textId="22083952"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Rural</w:t>
            </w:r>
          </w:p>
        </w:tc>
        <w:tc>
          <w:tcPr>
            <w:tcW w:w="1701" w:type="dxa"/>
          </w:tcPr>
          <w:p w14:paraId="73E04CF7" w14:textId="194CEE37" w:rsidR="00FC6714" w:rsidRPr="00BA5672" w:rsidRDefault="00D75A65"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85</w:t>
            </w:r>
          </w:p>
        </w:tc>
      </w:tr>
      <w:tr w:rsidR="00FC6714" w14:paraId="152A0CF2" w14:textId="7EF59643" w:rsidTr="00FC6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14:paraId="0008A926" w14:textId="0DF4BFE7" w:rsidR="00FC6714" w:rsidRDefault="00FC6714" w:rsidP="00A04852">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9" w:type="dxa"/>
          </w:tcPr>
          <w:p w14:paraId="674DCC4D" w14:textId="6FFEDCF8"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Gyalshing</w:t>
            </w:r>
          </w:p>
        </w:tc>
        <w:tc>
          <w:tcPr>
            <w:tcW w:w="1931" w:type="dxa"/>
            <w:vMerge w:val="restart"/>
          </w:tcPr>
          <w:p w14:paraId="2EA39A57" w14:textId="4E74E2C2"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West</w:t>
            </w:r>
          </w:p>
        </w:tc>
        <w:tc>
          <w:tcPr>
            <w:tcW w:w="1878" w:type="dxa"/>
          </w:tcPr>
          <w:p w14:paraId="5564C017" w14:textId="41AC5680"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Semi Urban</w:t>
            </w:r>
          </w:p>
        </w:tc>
        <w:tc>
          <w:tcPr>
            <w:tcW w:w="1701" w:type="dxa"/>
          </w:tcPr>
          <w:p w14:paraId="2E929655" w14:textId="5513EFEC" w:rsidR="00FC6714" w:rsidRDefault="00D75A65"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115</w:t>
            </w:r>
          </w:p>
        </w:tc>
      </w:tr>
      <w:tr w:rsidR="00FC6714" w14:paraId="2638945C" w14:textId="489DF672" w:rsidTr="00FC6714">
        <w:tc>
          <w:tcPr>
            <w:cnfStyle w:val="001000000000" w:firstRow="0" w:lastRow="0" w:firstColumn="1" w:lastColumn="0" w:oddVBand="0" w:evenVBand="0" w:oddHBand="0" w:evenHBand="0" w:firstRowFirstColumn="0" w:firstRowLastColumn="0" w:lastRowFirstColumn="0" w:lastRowLastColumn="0"/>
            <w:tcW w:w="861" w:type="dxa"/>
          </w:tcPr>
          <w:p w14:paraId="093F6A8C" w14:textId="0172C76E" w:rsidR="00FC6714" w:rsidRDefault="00FC6714" w:rsidP="00A0485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9" w:type="dxa"/>
          </w:tcPr>
          <w:p w14:paraId="60E72D09" w14:textId="49DE4B62"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Sreebadam</w:t>
            </w:r>
          </w:p>
        </w:tc>
        <w:tc>
          <w:tcPr>
            <w:tcW w:w="1931" w:type="dxa"/>
            <w:vMerge/>
          </w:tcPr>
          <w:p w14:paraId="1FB7AA9B" w14:textId="77777777"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8" w:type="dxa"/>
          </w:tcPr>
          <w:p w14:paraId="6418CB35" w14:textId="30C3E91A"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Rural</w:t>
            </w:r>
          </w:p>
        </w:tc>
        <w:tc>
          <w:tcPr>
            <w:tcW w:w="1701" w:type="dxa"/>
          </w:tcPr>
          <w:p w14:paraId="6F045CC3" w14:textId="7A20ED1B" w:rsidR="00FC6714" w:rsidRDefault="00D75A65"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r>
      <w:tr w:rsidR="00FC6714" w14:paraId="78273B67" w14:textId="15678D85" w:rsidTr="00FC6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14:paraId="63A05AAC" w14:textId="2B597784" w:rsidR="00FC6714" w:rsidRDefault="00FC6714" w:rsidP="00A04852">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9" w:type="dxa"/>
          </w:tcPr>
          <w:p w14:paraId="19C35CBE" w14:textId="097B159B"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Namchi</w:t>
            </w:r>
          </w:p>
        </w:tc>
        <w:tc>
          <w:tcPr>
            <w:tcW w:w="1931" w:type="dxa"/>
            <w:vMerge w:val="restart"/>
          </w:tcPr>
          <w:p w14:paraId="76C999D8" w14:textId="00DD9BAB"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South</w:t>
            </w:r>
          </w:p>
        </w:tc>
        <w:tc>
          <w:tcPr>
            <w:tcW w:w="1878" w:type="dxa"/>
          </w:tcPr>
          <w:p w14:paraId="2F1FF5D8" w14:textId="0DD82629"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Semi Urban</w:t>
            </w:r>
          </w:p>
        </w:tc>
        <w:tc>
          <w:tcPr>
            <w:tcW w:w="1701" w:type="dxa"/>
          </w:tcPr>
          <w:p w14:paraId="40ACD15A" w14:textId="54433139" w:rsidR="00FC6714" w:rsidRDefault="00D94BE3"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r>
      <w:tr w:rsidR="00FC6714" w14:paraId="5C41B8AB" w14:textId="40E83FB7" w:rsidTr="00FC6714">
        <w:tc>
          <w:tcPr>
            <w:cnfStyle w:val="001000000000" w:firstRow="0" w:lastRow="0" w:firstColumn="1" w:lastColumn="0" w:oddVBand="0" w:evenVBand="0" w:oddHBand="0" w:evenHBand="0" w:firstRowFirstColumn="0" w:firstRowLastColumn="0" w:lastRowFirstColumn="0" w:lastRowLastColumn="0"/>
            <w:tcW w:w="861" w:type="dxa"/>
          </w:tcPr>
          <w:p w14:paraId="141ED9C1" w14:textId="224AD168" w:rsidR="00FC6714" w:rsidRDefault="00FC6714" w:rsidP="00A0485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9" w:type="dxa"/>
          </w:tcPr>
          <w:p w14:paraId="7E9473FC" w14:textId="00AB91D5"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Parbing</w:t>
            </w:r>
          </w:p>
        </w:tc>
        <w:tc>
          <w:tcPr>
            <w:tcW w:w="1931" w:type="dxa"/>
            <w:vMerge/>
          </w:tcPr>
          <w:p w14:paraId="20329790" w14:textId="77777777"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8" w:type="dxa"/>
          </w:tcPr>
          <w:p w14:paraId="4FED4375" w14:textId="775C9416"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Rural</w:t>
            </w:r>
          </w:p>
        </w:tc>
        <w:tc>
          <w:tcPr>
            <w:tcW w:w="1701" w:type="dxa"/>
          </w:tcPr>
          <w:p w14:paraId="28E1170A" w14:textId="7276D07A" w:rsidR="00FC6714" w:rsidRDefault="00D94BE3"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r>
      <w:tr w:rsidR="00FC6714" w14:paraId="508BB12F" w14:textId="5E3DA004" w:rsidTr="00FC67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 w:type="dxa"/>
          </w:tcPr>
          <w:p w14:paraId="605657CE" w14:textId="2B504894" w:rsidR="00FC6714" w:rsidRDefault="00FC6714" w:rsidP="00A04852">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9" w:type="dxa"/>
          </w:tcPr>
          <w:p w14:paraId="6B7351F3" w14:textId="2DF15C08"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Mangan</w:t>
            </w:r>
          </w:p>
        </w:tc>
        <w:tc>
          <w:tcPr>
            <w:tcW w:w="1931" w:type="dxa"/>
            <w:vMerge w:val="restart"/>
          </w:tcPr>
          <w:p w14:paraId="421BC87F" w14:textId="4189850F"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North</w:t>
            </w:r>
          </w:p>
        </w:tc>
        <w:tc>
          <w:tcPr>
            <w:tcW w:w="1878" w:type="dxa"/>
          </w:tcPr>
          <w:p w14:paraId="3EE7754C" w14:textId="532D91E7"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Semi Urban </w:t>
            </w:r>
          </w:p>
        </w:tc>
        <w:tc>
          <w:tcPr>
            <w:tcW w:w="1701" w:type="dxa"/>
          </w:tcPr>
          <w:p w14:paraId="7D309AEE" w14:textId="29898FAF" w:rsidR="00FC6714" w:rsidRDefault="00D94BE3"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r>
      <w:tr w:rsidR="00FC6714" w14:paraId="250D7708" w14:textId="4CB4A8BA" w:rsidTr="00FC6714">
        <w:tc>
          <w:tcPr>
            <w:cnfStyle w:val="001000000000" w:firstRow="0" w:lastRow="0" w:firstColumn="1" w:lastColumn="0" w:oddVBand="0" w:evenVBand="0" w:oddHBand="0" w:evenHBand="0" w:firstRowFirstColumn="0" w:firstRowLastColumn="0" w:lastRowFirstColumn="0" w:lastRowLastColumn="0"/>
            <w:tcW w:w="861" w:type="dxa"/>
          </w:tcPr>
          <w:p w14:paraId="1A194A58" w14:textId="41FD2407" w:rsidR="00FC6714" w:rsidRDefault="00FC6714" w:rsidP="00A0485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9" w:type="dxa"/>
          </w:tcPr>
          <w:p w14:paraId="5745C585" w14:textId="0A5500E4"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Hee Gyathang</w:t>
            </w:r>
          </w:p>
        </w:tc>
        <w:tc>
          <w:tcPr>
            <w:tcW w:w="1931" w:type="dxa"/>
            <w:vMerge/>
          </w:tcPr>
          <w:p w14:paraId="2AB757F5" w14:textId="77777777"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8" w:type="dxa"/>
          </w:tcPr>
          <w:p w14:paraId="56B62745" w14:textId="3857C0CB" w:rsidR="00FC6714" w:rsidRDefault="00FC6714"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Rural</w:t>
            </w:r>
          </w:p>
        </w:tc>
        <w:tc>
          <w:tcPr>
            <w:tcW w:w="1701" w:type="dxa"/>
          </w:tcPr>
          <w:p w14:paraId="49B9C29C" w14:textId="200B7552" w:rsidR="00FC6714" w:rsidRDefault="00D94BE3" w:rsidP="00A0485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r>
      <w:tr w:rsidR="00FC6714" w14:paraId="6D7DE4D2" w14:textId="77777777" w:rsidTr="005B4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9" w:type="dxa"/>
            <w:gridSpan w:val="4"/>
          </w:tcPr>
          <w:p w14:paraId="1B686428" w14:textId="396E199C" w:rsidR="00FC6714" w:rsidRDefault="00FC6714" w:rsidP="00A0485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Total </w:t>
            </w:r>
          </w:p>
        </w:tc>
        <w:tc>
          <w:tcPr>
            <w:tcW w:w="1701" w:type="dxa"/>
          </w:tcPr>
          <w:p w14:paraId="0ED71CF0" w14:textId="164895DA" w:rsidR="00FC6714" w:rsidRDefault="00FC6714" w:rsidP="00A0485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550</w:t>
            </w:r>
          </w:p>
        </w:tc>
      </w:tr>
    </w:tbl>
    <w:p w14:paraId="1E223076" w14:textId="77777777" w:rsidR="00727080" w:rsidRDefault="00727080" w:rsidP="00A04852">
      <w:pPr>
        <w:spacing w:line="360" w:lineRule="auto"/>
        <w:jc w:val="both"/>
        <w:rPr>
          <w:rFonts w:ascii="Times New Roman" w:hAnsi="Times New Roman" w:cs="Times New Roman"/>
          <w:b/>
          <w:bCs/>
          <w:sz w:val="24"/>
          <w:szCs w:val="24"/>
        </w:rPr>
      </w:pPr>
    </w:p>
    <w:p w14:paraId="57D3EA9E" w14:textId="10D6DE7E" w:rsidR="00BC3033" w:rsidRPr="00FC6714" w:rsidRDefault="00C649FF" w:rsidP="00A04852">
      <w:pPr>
        <w:spacing w:line="360" w:lineRule="auto"/>
        <w:jc w:val="both"/>
        <w:rPr>
          <w:rFonts w:ascii="Times New Roman" w:hAnsi="Times New Roman" w:cs="Times New Roman"/>
          <w:b/>
          <w:bCs/>
          <w:sz w:val="24"/>
          <w:szCs w:val="24"/>
        </w:rPr>
      </w:pPr>
      <w:r w:rsidRPr="00FC6714">
        <w:rPr>
          <w:rFonts w:ascii="Times New Roman" w:hAnsi="Times New Roman" w:cs="Times New Roman"/>
          <w:b/>
          <w:bCs/>
          <w:sz w:val="24"/>
          <w:szCs w:val="24"/>
        </w:rPr>
        <w:t>3.3 Measurement tools</w:t>
      </w:r>
    </w:p>
    <w:p w14:paraId="5C693FBD" w14:textId="2FB6A6C5" w:rsidR="00676124" w:rsidRPr="00851CE0" w:rsidRDefault="00C649FF" w:rsidP="007270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has utilised a well-established measuring scale for the three of its constructs which are Environmental Awareness, Environmental Ethics and Environmental Attitude while a scale was developed for the construct Organic </w:t>
      </w:r>
      <w:r w:rsidR="00FC6714">
        <w:rPr>
          <w:rFonts w:ascii="Times New Roman" w:hAnsi="Times New Roman" w:cs="Times New Roman"/>
          <w:sz w:val="24"/>
          <w:szCs w:val="24"/>
        </w:rPr>
        <w:t>P</w:t>
      </w:r>
      <w:r>
        <w:rPr>
          <w:rFonts w:ascii="Times New Roman" w:hAnsi="Times New Roman" w:cs="Times New Roman"/>
          <w:sz w:val="24"/>
          <w:szCs w:val="24"/>
        </w:rPr>
        <w:t xml:space="preserve">references. </w:t>
      </w:r>
      <w:r w:rsidRPr="00C45B05">
        <w:rPr>
          <w:rFonts w:ascii="Times New Roman" w:hAnsi="Times New Roman" w:cs="Times New Roman"/>
          <w:sz w:val="24"/>
          <w:szCs w:val="24"/>
        </w:rPr>
        <w:t xml:space="preserve">Structured questionnaire was distributed to the households </w:t>
      </w:r>
      <w:r w:rsidR="0081226D">
        <w:rPr>
          <w:rFonts w:ascii="Times New Roman" w:hAnsi="Times New Roman" w:cs="Times New Roman"/>
          <w:sz w:val="24"/>
          <w:szCs w:val="24"/>
        </w:rPr>
        <w:t>which</w:t>
      </w:r>
      <w:r w:rsidRPr="00C45B05">
        <w:rPr>
          <w:rFonts w:ascii="Times New Roman" w:hAnsi="Times New Roman" w:cs="Times New Roman"/>
          <w:sz w:val="24"/>
          <w:szCs w:val="24"/>
        </w:rPr>
        <w:t xml:space="preserve"> had at least three house members.</w:t>
      </w:r>
      <w:r>
        <w:rPr>
          <w:rFonts w:ascii="Times New Roman" w:hAnsi="Times New Roman" w:cs="Times New Roman"/>
          <w:sz w:val="24"/>
          <w:szCs w:val="24"/>
        </w:rPr>
        <w:t xml:space="preserve"> </w:t>
      </w:r>
      <w:r w:rsidRPr="00C649FF">
        <w:rPr>
          <w:rFonts w:ascii="Times New Roman" w:hAnsi="Times New Roman" w:cs="Times New Roman"/>
          <w:sz w:val="24"/>
          <w:szCs w:val="24"/>
        </w:rPr>
        <w:t>A close-ended structured questionnaire was employed to generate data</w:t>
      </w:r>
      <w:r w:rsidR="00FC6714">
        <w:rPr>
          <w:rFonts w:ascii="Times New Roman" w:hAnsi="Times New Roman" w:cs="Times New Roman"/>
          <w:sz w:val="24"/>
          <w:szCs w:val="24"/>
        </w:rPr>
        <w:t xml:space="preserve"> with i</w:t>
      </w:r>
      <w:r w:rsidRPr="00C649FF">
        <w:rPr>
          <w:rFonts w:ascii="Times New Roman" w:hAnsi="Times New Roman" w:cs="Times New Roman"/>
          <w:sz w:val="24"/>
          <w:szCs w:val="24"/>
        </w:rPr>
        <w:t>tems</w:t>
      </w:r>
      <w:r w:rsidR="00C21881">
        <w:rPr>
          <w:rFonts w:ascii="Times New Roman" w:hAnsi="Times New Roman" w:cs="Times New Roman"/>
          <w:sz w:val="24"/>
          <w:szCs w:val="24"/>
        </w:rPr>
        <w:t xml:space="preserve"> as shown in table 2,</w:t>
      </w:r>
      <w:r w:rsidRPr="00C649FF">
        <w:rPr>
          <w:rFonts w:ascii="Times New Roman" w:hAnsi="Times New Roman" w:cs="Times New Roman"/>
          <w:sz w:val="24"/>
          <w:szCs w:val="24"/>
        </w:rPr>
        <w:t xml:space="preserve"> </w:t>
      </w:r>
      <w:r w:rsidR="00C21881">
        <w:rPr>
          <w:rFonts w:ascii="Times New Roman" w:hAnsi="Times New Roman" w:cs="Times New Roman"/>
          <w:sz w:val="24"/>
          <w:szCs w:val="24"/>
        </w:rPr>
        <w:t>t</w:t>
      </w:r>
      <w:r w:rsidRPr="00C649FF">
        <w:rPr>
          <w:rFonts w:ascii="Times New Roman" w:hAnsi="Times New Roman" w:cs="Times New Roman"/>
          <w:sz w:val="24"/>
          <w:szCs w:val="24"/>
        </w:rPr>
        <w:t xml:space="preserve">he questionnaire </w:t>
      </w:r>
      <w:r w:rsidR="00C21881">
        <w:rPr>
          <w:rFonts w:ascii="Times New Roman" w:hAnsi="Times New Roman" w:cs="Times New Roman"/>
          <w:sz w:val="24"/>
          <w:szCs w:val="24"/>
        </w:rPr>
        <w:t xml:space="preserve">is </w:t>
      </w:r>
      <w:r w:rsidRPr="00C649FF">
        <w:rPr>
          <w:rFonts w:ascii="Times New Roman" w:hAnsi="Times New Roman" w:cs="Times New Roman"/>
          <w:sz w:val="24"/>
          <w:szCs w:val="24"/>
        </w:rPr>
        <w:t>based on a five-</w:t>
      </w:r>
      <w:r w:rsidRPr="00D94BE3">
        <w:rPr>
          <w:rFonts w:ascii="Times New Roman" w:hAnsi="Times New Roman" w:cs="Times New Roman"/>
          <w:color w:val="000000" w:themeColor="text1"/>
          <w:sz w:val="24"/>
          <w:szCs w:val="24"/>
        </w:rPr>
        <w:t>point Likert scale</w:t>
      </w:r>
      <w:r w:rsidR="00D94BE3">
        <w:rPr>
          <w:rFonts w:ascii="Times New Roman" w:hAnsi="Times New Roman" w:cs="Times New Roman"/>
          <w:color w:val="000000" w:themeColor="text1"/>
          <w:sz w:val="24"/>
          <w:szCs w:val="24"/>
        </w:rPr>
        <w:t xml:space="preserve"> </w:t>
      </w:r>
      <w:r w:rsidR="000F2AE1">
        <w:rPr>
          <w:rFonts w:ascii="Times New Roman" w:hAnsi="Times New Roman" w:cs="Times New Roman"/>
          <w:color w:val="000000" w:themeColor="text1"/>
          <w:sz w:val="24"/>
          <w:szCs w:val="24"/>
        </w:rPr>
        <w:t>(</w:t>
      </w:r>
      <w:r w:rsidR="00D94BE3">
        <w:rPr>
          <w:rFonts w:ascii="Times New Roman" w:hAnsi="Times New Roman" w:cs="Times New Roman"/>
          <w:color w:val="000000" w:themeColor="text1"/>
          <w:sz w:val="24"/>
          <w:szCs w:val="24"/>
        </w:rPr>
        <w:t>1 – strongly disagree</w:t>
      </w:r>
      <w:r w:rsidR="000F2AE1">
        <w:rPr>
          <w:rFonts w:ascii="Times New Roman" w:hAnsi="Times New Roman" w:cs="Times New Roman"/>
          <w:color w:val="000000" w:themeColor="text1"/>
          <w:sz w:val="24"/>
          <w:szCs w:val="24"/>
        </w:rPr>
        <w:t xml:space="preserve"> - </w:t>
      </w:r>
      <w:r w:rsidR="00D94BE3">
        <w:rPr>
          <w:rFonts w:ascii="Times New Roman" w:hAnsi="Times New Roman" w:cs="Times New Roman"/>
          <w:color w:val="000000" w:themeColor="text1"/>
          <w:sz w:val="24"/>
          <w:szCs w:val="24"/>
        </w:rPr>
        <w:t>5 – strongly agree</w:t>
      </w:r>
      <w:r w:rsidR="000F2AE1">
        <w:rPr>
          <w:rFonts w:ascii="Times New Roman" w:hAnsi="Times New Roman" w:cs="Times New Roman"/>
          <w:color w:val="000000" w:themeColor="text1"/>
          <w:sz w:val="24"/>
          <w:szCs w:val="24"/>
        </w:rPr>
        <w:t>)</w:t>
      </w:r>
      <w:r w:rsidRPr="00D94BE3">
        <w:rPr>
          <w:rFonts w:ascii="Times New Roman" w:hAnsi="Times New Roman" w:cs="Times New Roman"/>
          <w:color w:val="000000" w:themeColor="text1"/>
          <w:sz w:val="24"/>
          <w:szCs w:val="24"/>
        </w:rPr>
        <w:t>.</w:t>
      </w:r>
      <w:r w:rsidRPr="00D94BE3">
        <w:rPr>
          <w:rFonts w:ascii="Times New Roman" w:hAnsi="Times New Roman" w:cs="Times New Roman"/>
          <w:sz w:val="24"/>
          <w:szCs w:val="24"/>
        </w:rPr>
        <w:t xml:space="preserve"> </w:t>
      </w:r>
      <w:r w:rsidRPr="00C649FF">
        <w:rPr>
          <w:rFonts w:ascii="Times New Roman" w:hAnsi="Times New Roman" w:cs="Times New Roman"/>
          <w:sz w:val="24"/>
          <w:szCs w:val="24"/>
        </w:rPr>
        <w:t>In order to check for question wording, ease of understanding</w:t>
      </w:r>
      <w:r w:rsidR="00213A13">
        <w:rPr>
          <w:rFonts w:ascii="Times New Roman" w:hAnsi="Times New Roman" w:cs="Times New Roman"/>
          <w:sz w:val="24"/>
          <w:szCs w:val="24"/>
        </w:rPr>
        <w:t>,</w:t>
      </w:r>
      <w:r w:rsidRPr="00C649FF">
        <w:rPr>
          <w:rFonts w:ascii="Times New Roman" w:hAnsi="Times New Roman" w:cs="Times New Roman"/>
          <w:sz w:val="24"/>
          <w:szCs w:val="24"/>
        </w:rPr>
        <w:t xml:space="preserve"> and other inconsistencies</w:t>
      </w:r>
      <w:r w:rsidR="004A0991">
        <w:rPr>
          <w:rFonts w:ascii="Times New Roman" w:hAnsi="Times New Roman" w:cs="Times New Roman"/>
          <w:sz w:val="24"/>
          <w:szCs w:val="24"/>
        </w:rPr>
        <w:t xml:space="preserve"> a pilot study was conducted</w:t>
      </w:r>
      <w:r w:rsidR="0081226D">
        <w:rPr>
          <w:rFonts w:ascii="Times New Roman" w:hAnsi="Times New Roman" w:cs="Times New Roman"/>
          <w:sz w:val="24"/>
          <w:szCs w:val="24"/>
        </w:rPr>
        <w:t xml:space="preserve"> prior to the actual data collection in the month of April – May, 2024. </w:t>
      </w:r>
      <w:r w:rsidR="00CC7021">
        <w:rPr>
          <w:rFonts w:ascii="Times New Roman" w:hAnsi="Times New Roman" w:cs="Times New Roman"/>
          <w:sz w:val="24"/>
          <w:szCs w:val="24"/>
        </w:rPr>
        <w:t>While the final data collection was done from October</w:t>
      </w:r>
      <w:r w:rsidR="00920ED0">
        <w:rPr>
          <w:rFonts w:ascii="Times New Roman" w:hAnsi="Times New Roman" w:cs="Times New Roman"/>
          <w:sz w:val="24"/>
          <w:szCs w:val="24"/>
        </w:rPr>
        <w:t xml:space="preserve"> </w:t>
      </w:r>
      <w:r w:rsidR="00CC7021">
        <w:rPr>
          <w:rFonts w:ascii="Times New Roman" w:hAnsi="Times New Roman" w:cs="Times New Roman"/>
          <w:sz w:val="24"/>
          <w:szCs w:val="24"/>
        </w:rPr>
        <w:t>(2024) – January (2025).</w:t>
      </w:r>
    </w:p>
    <w:p w14:paraId="2B6D84C6" w14:textId="77777777" w:rsidR="00727080" w:rsidRDefault="00727080" w:rsidP="00A04852">
      <w:pPr>
        <w:spacing w:line="360" w:lineRule="auto"/>
        <w:jc w:val="both"/>
        <w:rPr>
          <w:rFonts w:ascii="Times New Roman" w:hAnsi="Times New Roman" w:cs="Times New Roman"/>
          <w:b/>
          <w:bCs/>
          <w:sz w:val="24"/>
          <w:szCs w:val="24"/>
        </w:rPr>
      </w:pPr>
    </w:p>
    <w:p w14:paraId="27DC4F79" w14:textId="2272DBF8" w:rsidR="00CA18F4" w:rsidRDefault="00CA18F4" w:rsidP="00A04852">
      <w:pPr>
        <w:spacing w:line="360" w:lineRule="auto"/>
        <w:jc w:val="both"/>
        <w:rPr>
          <w:rFonts w:ascii="Times New Roman" w:hAnsi="Times New Roman" w:cs="Times New Roman"/>
          <w:sz w:val="24"/>
          <w:szCs w:val="24"/>
        </w:rPr>
      </w:pPr>
      <w:r w:rsidRPr="00CA18F4">
        <w:rPr>
          <w:rFonts w:ascii="Times New Roman" w:hAnsi="Times New Roman" w:cs="Times New Roman"/>
          <w:b/>
          <w:bCs/>
          <w:sz w:val="24"/>
          <w:szCs w:val="24"/>
        </w:rPr>
        <w:lastRenderedPageBreak/>
        <w:t>Table 2.</w:t>
      </w:r>
      <w:r>
        <w:rPr>
          <w:rFonts w:ascii="Times New Roman" w:hAnsi="Times New Roman" w:cs="Times New Roman"/>
          <w:sz w:val="24"/>
          <w:szCs w:val="24"/>
        </w:rPr>
        <w:t xml:space="preserve"> Scales </w:t>
      </w:r>
    </w:p>
    <w:tbl>
      <w:tblPr>
        <w:tblW w:w="8910" w:type="dxa"/>
        <w:tblLook w:val="04A0" w:firstRow="1" w:lastRow="0" w:firstColumn="1" w:lastColumn="0" w:noHBand="0" w:noVBand="1"/>
      </w:tblPr>
      <w:tblGrid>
        <w:gridCol w:w="916"/>
        <w:gridCol w:w="564"/>
        <w:gridCol w:w="1116"/>
        <w:gridCol w:w="6668"/>
      </w:tblGrid>
      <w:tr w:rsidR="00662B74" w:rsidRPr="00662B74" w14:paraId="036E539A" w14:textId="77777777" w:rsidTr="00662B74">
        <w:trPr>
          <w:trHeight w:val="315"/>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325DE7AF" w14:textId="77777777" w:rsidR="00662B74" w:rsidRPr="00662B74" w:rsidRDefault="00662B74" w:rsidP="00662B74">
            <w:pPr>
              <w:spacing w:after="0" w:line="240" w:lineRule="auto"/>
              <w:rPr>
                <w:rFonts w:ascii="Times New Roman" w:eastAsia="Times New Roman" w:hAnsi="Times New Roman" w:cs="Times New Roman"/>
                <w:b/>
                <w:bCs/>
                <w:color w:val="000000"/>
                <w:kern w:val="0"/>
                <w:sz w:val="20"/>
                <w:szCs w:val="20"/>
                <w:lang w:eastAsia="en-GB"/>
                <w14:ligatures w14:val="none"/>
              </w:rPr>
            </w:pPr>
            <w:r w:rsidRPr="00662B74">
              <w:rPr>
                <w:rFonts w:ascii="Times New Roman" w:eastAsia="Times New Roman" w:hAnsi="Times New Roman" w:cs="Times New Roman"/>
                <w:b/>
                <w:bCs/>
                <w:color w:val="000000"/>
                <w:kern w:val="0"/>
                <w:sz w:val="20"/>
                <w:szCs w:val="20"/>
                <w:lang w:eastAsia="en-GB"/>
                <w14:ligatures w14:val="none"/>
              </w:rPr>
              <w:t>Citation</w:t>
            </w:r>
          </w:p>
        </w:tc>
        <w:tc>
          <w:tcPr>
            <w:tcW w:w="1680" w:type="dxa"/>
            <w:gridSpan w:val="2"/>
            <w:tcBorders>
              <w:top w:val="single" w:sz="4" w:space="0" w:color="auto"/>
              <w:left w:val="nil"/>
              <w:bottom w:val="single" w:sz="4" w:space="0" w:color="auto"/>
              <w:right w:val="single" w:sz="4" w:space="0" w:color="auto"/>
            </w:tcBorders>
            <w:noWrap/>
            <w:vAlign w:val="bottom"/>
            <w:hideMark/>
          </w:tcPr>
          <w:p w14:paraId="578DFC04" w14:textId="77777777" w:rsidR="00662B74" w:rsidRPr="00662B74" w:rsidRDefault="00662B74" w:rsidP="00662B74">
            <w:pPr>
              <w:spacing w:after="0" w:line="240" w:lineRule="auto"/>
              <w:jc w:val="center"/>
              <w:rPr>
                <w:rFonts w:ascii="Times New Roman" w:eastAsia="Times New Roman" w:hAnsi="Times New Roman" w:cs="Times New Roman"/>
                <w:b/>
                <w:bCs/>
                <w:color w:val="000000"/>
                <w:kern w:val="0"/>
                <w:sz w:val="20"/>
                <w:szCs w:val="20"/>
                <w:lang w:eastAsia="en-GB"/>
                <w14:ligatures w14:val="none"/>
              </w:rPr>
            </w:pPr>
            <w:r w:rsidRPr="00662B74">
              <w:rPr>
                <w:rFonts w:ascii="Times New Roman" w:eastAsia="Times New Roman" w:hAnsi="Times New Roman" w:cs="Times New Roman"/>
                <w:b/>
                <w:bCs/>
                <w:color w:val="000000"/>
                <w:kern w:val="0"/>
                <w:sz w:val="20"/>
                <w:szCs w:val="20"/>
                <w:lang w:eastAsia="en-GB"/>
                <w14:ligatures w14:val="none"/>
              </w:rPr>
              <w:t>Construct</w:t>
            </w:r>
          </w:p>
        </w:tc>
        <w:tc>
          <w:tcPr>
            <w:tcW w:w="6668" w:type="dxa"/>
            <w:tcBorders>
              <w:top w:val="single" w:sz="4" w:space="0" w:color="auto"/>
              <w:left w:val="nil"/>
              <w:bottom w:val="single" w:sz="4" w:space="0" w:color="auto"/>
              <w:right w:val="single" w:sz="4" w:space="0" w:color="auto"/>
            </w:tcBorders>
            <w:noWrap/>
            <w:vAlign w:val="bottom"/>
            <w:hideMark/>
          </w:tcPr>
          <w:p w14:paraId="7D09FE51" w14:textId="77777777" w:rsidR="00662B74" w:rsidRPr="00662B74" w:rsidRDefault="00662B74" w:rsidP="00662B74">
            <w:pPr>
              <w:spacing w:after="0" w:line="240" w:lineRule="auto"/>
              <w:rPr>
                <w:rFonts w:ascii="Times New Roman" w:eastAsia="Times New Roman" w:hAnsi="Times New Roman" w:cs="Times New Roman"/>
                <w:b/>
                <w:bCs/>
                <w:color w:val="000000"/>
                <w:kern w:val="0"/>
                <w:sz w:val="20"/>
                <w:szCs w:val="20"/>
                <w:lang w:eastAsia="en-GB"/>
                <w14:ligatures w14:val="none"/>
              </w:rPr>
            </w:pPr>
            <w:r w:rsidRPr="00662B74">
              <w:rPr>
                <w:rFonts w:ascii="Times New Roman" w:eastAsia="Times New Roman" w:hAnsi="Times New Roman" w:cs="Times New Roman"/>
                <w:b/>
                <w:bCs/>
                <w:color w:val="000000"/>
                <w:kern w:val="0"/>
                <w:sz w:val="20"/>
                <w:szCs w:val="20"/>
                <w:lang w:eastAsia="en-GB"/>
                <w14:ligatures w14:val="none"/>
              </w:rPr>
              <w:t xml:space="preserve">                                               Items</w:t>
            </w:r>
          </w:p>
        </w:tc>
      </w:tr>
      <w:tr w:rsidR="00662B74" w:rsidRPr="00662B74" w14:paraId="2DC3FBEF" w14:textId="77777777" w:rsidTr="00662B74">
        <w:trPr>
          <w:trHeight w:val="330"/>
        </w:trPr>
        <w:tc>
          <w:tcPr>
            <w:tcW w:w="562" w:type="dxa"/>
            <w:vMerge w:val="restart"/>
            <w:tcBorders>
              <w:top w:val="nil"/>
              <w:left w:val="single" w:sz="4" w:space="0" w:color="auto"/>
              <w:bottom w:val="single" w:sz="4" w:space="0" w:color="auto"/>
              <w:right w:val="single" w:sz="4" w:space="0" w:color="auto"/>
            </w:tcBorders>
            <w:textDirection w:val="btLr"/>
            <w:vAlign w:val="center"/>
            <w:hideMark/>
          </w:tcPr>
          <w:p w14:paraId="3A89FD42" w14:textId="77777777" w:rsidR="00662B74" w:rsidRPr="00662B74" w:rsidRDefault="00662B74" w:rsidP="00662B74">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Yigit &amp; </w:t>
            </w:r>
            <w:r w:rsidRPr="00662B74">
              <w:rPr>
                <w:rFonts w:ascii="Times New Roman" w:eastAsia="Times New Roman" w:hAnsi="Times New Roman" w:cs="Times New Roman"/>
                <w:color w:val="000000"/>
                <w:kern w:val="0"/>
                <w:sz w:val="20"/>
                <w:szCs w:val="20"/>
                <w:lang w:eastAsia="en-GB"/>
                <w14:ligatures w14:val="none"/>
              </w:rPr>
              <w:br/>
              <w:t>Kiyici (2022)</w:t>
            </w:r>
          </w:p>
        </w:tc>
        <w:tc>
          <w:tcPr>
            <w:tcW w:w="564" w:type="dxa"/>
            <w:vMerge w:val="restart"/>
            <w:tcBorders>
              <w:top w:val="nil"/>
              <w:left w:val="single" w:sz="4" w:space="0" w:color="auto"/>
              <w:bottom w:val="single" w:sz="4" w:space="0" w:color="auto"/>
              <w:right w:val="single" w:sz="4" w:space="0" w:color="auto"/>
            </w:tcBorders>
            <w:textDirection w:val="btLr"/>
            <w:vAlign w:val="center"/>
            <w:hideMark/>
          </w:tcPr>
          <w:p w14:paraId="5AC59D4C" w14:textId="77777777" w:rsidR="00662B74" w:rsidRPr="00662B74" w:rsidRDefault="00662B74" w:rsidP="00662B74">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Environmental Awareness</w:t>
            </w:r>
          </w:p>
        </w:tc>
        <w:tc>
          <w:tcPr>
            <w:tcW w:w="1116" w:type="dxa"/>
            <w:tcBorders>
              <w:top w:val="nil"/>
              <w:left w:val="nil"/>
              <w:bottom w:val="single" w:sz="4" w:space="0" w:color="auto"/>
              <w:right w:val="single" w:sz="4" w:space="0" w:color="auto"/>
            </w:tcBorders>
            <w:noWrap/>
            <w:vAlign w:val="bottom"/>
            <w:hideMark/>
          </w:tcPr>
          <w:p w14:paraId="6A306205"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ENVAW1 </w:t>
            </w:r>
          </w:p>
        </w:tc>
        <w:tc>
          <w:tcPr>
            <w:tcW w:w="6668" w:type="dxa"/>
            <w:tcBorders>
              <w:top w:val="nil"/>
              <w:left w:val="nil"/>
              <w:bottom w:val="single" w:sz="4" w:space="0" w:color="auto"/>
              <w:right w:val="single" w:sz="4" w:space="0" w:color="auto"/>
            </w:tcBorders>
            <w:vAlign w:val="center"/>
            <w:hideMark/>
          </w:tcPr>
          <w:p w14:paraId="5D2D4BDB"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I don’t think scientists are exaggerating the phenomenon of global warming.</w:t>
            </w:r>
          </w:p>
        </w:tc>
      </w:tr>
      <w:tr w:rsidR="00662B74" w:rsidRPr="00662B74" w14:paraId="00AC058C"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52A4BE77"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152BAF61"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47F3CF0A"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ENVAW2 </w:t>
            </w:r>
          </w:p>
        </w:tc>
        <w:tc>
          <w:tcPr>
            <w:tcW w:w="6668" w:type="dxa"/>
            <w:tcBorders>
              <w:top w:val="nil"/>
              <w:left w:val="nil"/>
              <w:bottom w:val="single" w:sz="4" w:space="0" w:color="auto"/>
              <w:right w:val="single" w:sz="4" w:space="0" w:color="auto"/>
            </w:tcBorders>
            <w:vAlign w:val="center"/>
            <w:hideMark/>
          </w:tcPr>
          <w:p w14:paraId="6F5A9250"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It is not futile for environmental organizations to carry out activities on waste management for a sustainable environment.</w:t>
            </w:r>
          </w:p>
        </w:tc>
      </w:tr>
      <w:tr w:rsidR="00662B74" w:rsidRPr="00662B74" w14:paraId="6D11E561"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625D7059"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35ABF1C8"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206756BB"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ENVAW3 </w:t>
            </w:r>
          </w:p>
        </w:tc>
        <w:tc>
          <w:tcPr>
            <w:tcW w:w="6668" w:type="dxa"/>
            <w:tcBorders>
              <w:top w:val="nil"/>
              <w:left w:val="nil"/>
              <w:bottom w:val="single" w:sz="4" w:space="0" w:color="auto"/>
              <w:right w:val="single" w:sz="4" w:space="0" w:color="auto"/>
            </w:tcBorders>
            <w:vAlign w:val="center"/>
            <w:hideMark/>
          </w:tcPr>
          <w:p w14:paraId="37770BF1"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The fact that the air temperatures are different from the seasonal norms is a matter to be taken into consideration.</w:t>
            </w:r>
          </w:p>
        </w:tc>
      </w:tr>
      <w:tr w:rsidR="00662B74" w:rsidRPr="00662B74" w14:paraId="34857C06"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6299A95B"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3C02F049"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57C8ED65"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ENVAW4 </w:t>
            </w:r>
          </w:p>
        </w:tc>
        <w:tc>
          <w:tcPr>
            <w:tcW w:w="6668" w:type="dxa"/>
            <w:tcBorders>
              <w:top w:val="nil"/>
              <w:left w:val="nil"/>
              <w:bottom w:val="single" w:sz="4" w:space="0" w:color="auto"/>
              <w:right w:val="single" w:sz="4" w:space="0" w:color="auto"/>
            </w:tcBorders>
            <w:vAlign w:val="center"/>
            <w:hideMark/>
          </w:tcPr>
          <w:p w14:paraId="52482377"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If I had the chance to hunt all individuals of an animal species, I would not.</w:t>
            </w:r>
          </w:p>
        </w:tc>
      </w:tr>
      <w:tr w:rsidR="00662B74" w:rsidRPr="00662B74" w14:paraId="1FA4130A"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7FF3CC51"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46F22CF9"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53B41583"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ENVAW5 </w:t>
            </w:r>
          </w:p>
        </w:tc>
        <w:tc>
          <w:tcPr>
            <w:tcW w:w="6668" w:type="dxa"/>
            <w:tcBorders>
              <w:top w:val="nil"/>
              <w:left w:val="nil"/>
              <w:bottom w:val="single" w:sz="4" w:space="0" w:color="auto"/>
              <w:right w:val="single" w:sz="4" w:space="0" w:color="auto"/>
            </w:tcBorders>
            <w:vAlign w:val="center"/>
            <w:hideMark/>
          </w:tcPr>
          <w:p w14:paraId="3EAA2040"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Empty tin cans can be recycled.</w:t>
            </w:r>
          </w:p>
        </w:tc>
      </w:tr>
      <w:tr w:rsidR="00662B74" w:rsidRPr="00662B74" w14:paraId="6217E0C1"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747B2DA9"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3493B417"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2170AE66"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ENVAW6</w:t>
            </w:r>
          </w:p>
        </w:tc>
        <w:tc>
          <w:tcPr>
            <w:tcW w:w="6668" w:type="dxa"/>
            <w:tcBorders>
              <w:top w:val="nil"/>
              <w:left w:val="nil"/>
              <w:bottom w:val="single" w:sz="4" w:space="0" w:color="auto"/>
              <w:right w:val="single" w:sz="4" w:space="0" w:color="auto"/>
            </w:tcBorders>
            <w:vAlign w:val="center"/>
            <w:hideMark/>
          </w:tcPr>
          <w:p w14:paraId="7ADF42F0"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Sustainable environment is important for non-human creatures.</w:t>
            </w:r>
          </w:p>
        </w:tc>
      </w:tr>
      <w:tr w:rsidR="00662B74" w:rsidRPr="00662B74" w14:paraId="76B99097" w14:textId="77777777" w:rsidTr="00662B74">
        <w:trPr>
          <w:trHeight w:val="300"/>
        </w:trPr>
        <w:tc>
          <w:tcPr>
            <w:tcW w:w="562" w:type="dxa"/>
            <w:vMerge w:val="restart"/>
            <w:tcBorders>
              <w:top w:val="nil"/>
              <w:left w:val="single" w:sz="4" w:space="0" w:color="auto"/>
              <w:bottom w:val="single" w:sz="4" w:space="0" w:color="auto"/>
              <w:right w:val="single" w:sz="4" w:space="0" w:color="auto"/>
            </w:tcBorders>
            <w:textDirection w:val="btLr"/>
            <w:vAlign w:val="center"/>
            <w:hideMark/>
          </w:tcPr>
          <w:p w14:paraId="491637C9" w14:textId="77777777" w:rsidR="00662B74" w:rsidRPr="00662B74" w:rsidRDefault="00662B74" w:rsidP="00662B74">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Samitha et.al., (2021)</w:t>
            </w:r>
          </w:p>
        </w:tc>
        <w:tc>
          <w:tcPr>
            <w:tcW w:w="564" w:type="dxa"/>
            <w:vMerge w:val="restart"/>
            <w:tcBorders>
              <w:top w:val="nil"/>
              <w:left w:val="single" w:sz="4" w:space="0" w:color="auto"/>
              <w:bottom w:val="single" w:sz="4" w:space="0" w:color="auto"/>
              <w:right w:val="single" w:sz="4" w:space="0" w:color="auto"/>
            </w:tcBorders>
            <w:textDirection w:val="btLr"/>
            <w:vAlign w:val="center"/>
            <w:hideMark/>
          </w:tcPr>
          <w:p w14:paraId="7466F488" w14:textId="77777777" w:rsidR="00662B74" w:rsidRPr="00662B74" w:rsidRDefault="00662B74" w:rsidP="00662B74">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Environmental Attitude </w:t>
            </w:r>
          </w:p>
        </w:tc>
        <w:tc>
          <w:tcPr>
            <w:tcW w:w="1116" w:type="dxa"/>
            <w:tcBorders>
              <w:top w:val="nil"/>
              <w:left w:val="nil"/>
              <w:bottom w:val="single" w:sz="4" w:space="0" w:color="auto"/>
              <w:right w:val="single" w:sz="4" w:space="0" w:color="auto"/>
            </w:tcBorders>
            <w:noWrap/>
            <w:vAlign w:val="bottom"/>
            <w:hideMark/>
          </w:tcPr>
          <w:p w14:paraId="2CBFEF6E"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ENVATT1 </w:t>
            </w:r>
          </w:p>
        </w:tc>
        <w:tc>
          <w:tcPr>
            <w:tcW w:w="6668" w:type="dxa"/>
            <w:tcBorders>
              <w:top w:val="nil"/>
              <w:left w:val="nil"/>
              <w:bottom w:val="single" w:sz="4" w:space="0" w:color="auto"/>
              <w:right w:val="single" w:sz="4" w:space="0" w:color="auto"/>
            </w:tcBorders>
            <w:vAlign w:val="center"/>
            <w:hideMark/>
          </w:tcPr>
          <w:p w14:paraId="5A5129B3"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It is our duty to protect the environment for the future generation.</w:t>
            </w:r>
          </w:p>
        </w:tc>
      </w:tr>
      <w:tr w:rsidR="00662B74" w:rsidRPr="00662B74" w14:paraId="45ACE652"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47ECE585"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662DF21C"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0BAE115D"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ENVATT2 </w:t>
            </w:r>
          </w:p>
        </w:tc>
        <w:tc>
          <w:tcPr>
            <w:tcW w:w="6668" w:type="dxa"/>
            <w:tcBorders>
              <w:top w:val="nil"/>
              <w:left w:val="nil"/>
              <w:bottom w:val="single" w:sz="4" w:space="0" w:color="auto"/>
              <w:right w:val="single" w:sz="4" w:space="0" w:color="auto"/>
            </w:tcBorders>
            <w:vAlign w:val="center"/>
            <w:hideMark/>
          </w:tcPr>
          <w:p w14:paraId="2FDCD38F"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Environmental protection must start from every home level.</w:t>
            </w:r>
          </w:p>
        </w:tc>
      </w:tr>
      <w:tr w:rsidR="00662B74" w:rsidRPr="00662B74" w14:paraId="7FF9D595"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150CBBAC"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24886DD5"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20EA4EA3"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ENVATT3 </w:t>
            </w:r>
          </w:p>
        </w:tc>
        <w:tc>
          <w:tcPr>
            <w:tcW w:w="6668" w:type="dxa"/>
            <w:tcBorders>
              <w:top w:val="nil"/>
              <w:left w:val="nil"/>
              <w:bottom w:val="single" w:sz="4" w:space="0" w:color="auto"/>
              <w:right w:val="single" w:sz="4" w:space="0" w:color="auto"/>
            </w:tcBorders>
            <w:vAlign w:val="center"/>
            <w:hideMark/>
          </w:tcPr>
          <w:p w14:paraId="57D776EA"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Environmental education is required to preserve the environment.</w:t>
            </w:r>
          </w:p>
        </w:tc>
      </w:tr>
      <w:tr w:rsidR="00662B74" w:rsidRPr="00662B74" w14:paraId="7780AFFE"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2E83A885"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0BE4C5AB"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627FF24F"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ENVATT4 </w:t>
            </w:r>
          </w:p>
        </w:tc>
        <w:tc>
          <w:tcPr>
            <w:tcW w:w="6668" w:type="dxa"/>
            <w:tcBorders>
              <w:top w:val="nil"/>
              <w:left w:val="nil"/>
              <w:bottom w:val="single" w:sz="4" w:space="0" w:color="auto"/>
              <w:right w:val="single" w:sz="4" w:space="0" w:color="auto"/>
            </w:tcBorders>
            <w:vAlign w:val="center"/>
            <w:hideMark/>
          </w:tcPr>
          <w:p w14:paraId="617F9B96"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Environment conservation is important to ensure the quality of life.</w:t>
            </w:r>
          </w:p>
        </w:tc>
      </w:tr>
      <w:tr w:rsidR="00662B74" w:rsidRPr="00662B74" w14:paraId="5EFFD1E7"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1EEC8FB2"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74517335"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73BDA665"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ENVATT5 </w:t>
            </w:r>
          </w:p>
        </w:tc>
        <w:tc>
          <w:tcPr>
            <w:tcW w:w="6668" w:type="dxa"/>
            <w:tcBorders>
              <w:top w:val="nil"/>
              <w:left w:val="nil"/>
              <w:bottom w:val="single" w:sz="4" w:space="0" w:color="auto"/>
              <w:right w:val="single" w:sz="4" w:space="0" w:color="auto"/>
            </w:tcBorders>
            <w:vAlign w:val="center"/>
            <w:hideMark/>
          </w:tcPr>
          <w:p w14:paraId="4DA5717E"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Practicing eco-friendly activities increases the pride of people.</w:t>
            </w:r>
          </w:p>
        </w:tc>
      </w:tr>
      <w:tr w:rsidR="00662B74" w:rsidRPr="00662B74" w14:paraId="70BA62C0"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172470AC"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6C034395"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5444A7CF"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ENVATT6</w:t>
            </w:r>
          </w:p>
        </w:tc>
        <w:tc>
          <w:tcPr>
            <w:tcW w:w="6668" w:type="dxa"/>
            <w:tcBorders>
              <w:top w:val="nil"/>
              <w:left w:val="nil"/>
              <w:bottom w:val="single" w:sz="4" w:space="0" w:color="auto"/>
              <w:right w:val="single" w:sz="4" w:space="0" w:color="auto"/>
            </w:tcBorders>
            <w:vAlign w:val="center"/>
            <w:hideMark/>
          </w:tcPr>
          <w:p w14:paraId="68E693A0"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Constant damage to the environment causes erratic variations in climatic factors.</w:t>
            </w:r>
          </w:p>
        </w:tc>
      </w:tr>
      <w:tr w:rsidR="00662B74" w:rsidRPr="00662B74" w14:paraId="775D0731" w14:textId="77777777" w:rsidTr="00662B74">
        <w:trPr>
          <w:trHeight w:val="300"/>
        </w:trPr>
        <w:tc>
          <w:tcPr>
            <w:tcW w:w="562" w:type="dxa"/>
            <w:vMerge w:val="restart"/>
            <w:tcBorders>
              <w:top w:val="nil"/>
              <w:left w:val="single" w:sz="4" w:space="0" w:color="auto"/>
              <w:bottom w:val="single" w:sz="4" w:space="0" w:color="auto"/>
              <w:right w:val="single" w:sz="4" w:space="0" w:color="auto"/>
            </w:tcBorders>
            <w:textDirection w:val="btLr"/>
            <w:vAlign w:val="center"/>
            <w:hideMark/>
          </w:tcPr>
          <w:p w14:paraId="396B42BB" w14:textId="77777777" w:rsidR="00662B74" w:rsidRPr="00662B74" w:rsidRDefault="00662B74" w:rsidP="00662B74">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Dunlap et. al., (2000)</w:t>
            </w:r>
          </w:p>
        </w:tc>
        <w:tc>
          <w:tcPr>
            <w:tcW w:w="564" w:type="dxa"/>
            <w:vMerge w:val="restart"/>
            <w:tcBorders>
              <w:top w:val="nil"/>
              <w:left w:val="single" w:sz="4" w:space="0" w:color="auto"/>
              <w:bottom w:val="single" w:sz="4" w:space="0" w:color="auto"/>
              <w:right w:val="single" w:sz="4" w:space="0" w:color="auto"/>
            </w:tcBorders>
            <w:textDirection w:val="btLr"/>
            <w:vAlign w:val="center"/>
            <w:hideMark/>
          </w:tcPr>
          <w:p w14:paraId="62EBD7D3" w14:textId="77777777" w:rsidR="00662B74" w:rsidRPr="00662B74" w:rsidRDefault="00662B74" w:rsidP="00662B74">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Environmental Ethics </w:t>
            </w:r>
          </w:p>
        </w:tc>
        <w:tc>
          <w:tcPr>
            <w:tcW w:w="1116" w:type="dxa"/>
            <w:tcBorders>
              <w:top w:val="nil"/>
              <w:left w:val="nil"/>
              <w:bottom w:val="single" w:sz="4" w:space="0" w:color="auto"/>
              <w:right w:val="single" w:sz="4" w:space="0" w:color="auto"/>
            </w:tcBorders>
            <w:noWrap/>
            <w:vAlign w:val="bottom"/>
            <w:hideMark/>
          </w:tcPr>
          <w:p w14:paraId="0CC395F8"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ENVETH1 </w:t>
            </w:r>
          </w:p>
        </w:tc>
        <w:tc>
          <w:tcPr>
            <w:tcW w:w="6668" w:type="dxa"/>
            <w:tcBorders>
              <w:top w:val="nil"/>
              <w:left w:val="nil"/>
              <w:bottom w:val="single" w:sz="4" w:space="0" w:color="auto"/>
              <w:right w:val="single" w:sz="4" w:space="0" w:color="auto"/>
            </w:tcBorders>
            <w:vAlign w:val="center"/>
            <w:hideMark/>
          </w:tcPr>
          <w:p w14:paraId="465CF62D"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Humans don’t have the right to modify the natural environment to suit their needs.</w:t>
            </w:r>
          </w:p>
        </w:tc>
      </w:tr>
      <w:tr w:rsidR="00662B74" w:rsidRPr="00662B74" w14:paraId="5DD0C368"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46E9E3C1"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15D32DD2"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6191886F"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ENVETH2 </w:t>
            </w:r>
          </w:p>
        </w:tc>
        <w:tc>
          <w:tcPr>
            <w:tcW w:w="6668" w:type="dxa"/>
            <w:tcBorders>
              <w:top w:val="nil"/>
              <w:left w:val="nil"/>
              <w:bottom w:val="single" w:sz="4" w:space="0" w:color="auto"/>
              <w:right w:val="single" w:sz="4" w:space="0" w:color="auto"/>
            </w:tcBorders>
            <w:vAlign w:val="center"/>
            <w:hideMark/>
          </w:tcPr>
          <w:p w14:paraId="272BFE8A"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When humans interfere with nature it often produces disastrous consequences.</w:t>
            </w:r>
          </w:p>
        </w:tc>
      </w:tr>
      <w:tr w:rsidR="00662B74" w:rsidRPr="00662B74" w14:paraId="66DB86A9"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2CE54D5E"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73D5C7CB"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6B5E9CDF"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ENVETH3 </w:t>
            </w:r>
          </w:p>
        </w:tc>
        <w:tc>
          <w:tcPr>
            <w:tcW w:w="6668" w:type="dxa"/>
            <w:tcBorders>
              <w:top w:val="nil"/>
              <w:left w:val="nil"/>
              <w:bottom w:val="single" w:sz="4" w:space="0" w:color="auto"/>
              <w:right w:val="single" w:sz="4" w:space="0" w:color="auto"/>
            </w:tcBorders>
            <w:vAlign w:val="center"/>
            <w:hideMark/>
          </w:tcPr>
          <w:p w14:paraId="27B50708"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Humans are severely abusing the environment.</w:t>
            </w:r>
          </w:p>
        </w:tc>
      </w:tr>
      <w:tr w:rsidR="00662B74" w:rsidRPr="00662B74" w14:paraId="01D61E3D"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0EC9E98C"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731165C4"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7D79FC19"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ENVETH4 </w:t>
            </w:r>
          </w:p>
        </w:tc>
        <w:tc>
          <w:tcPr>
            <w:tcW w:w="6668" w:type="dxa"/>
            <w:tcBorders>
              <w:top w:val="nil"/>
              <w:left w:val="nil"/>
              <w:bottom w:val="single" w:sz="4" w:space="0" w:color="auto"/>
              <w:right w:val="single" w:sz="4" w:space="0" w:color="auto"/>
            </w:tcBorders>
            <w:vAlign w:val="center"/>
            <w:hideMark/>
          </w:tcPr>
          <w:p w14:paraId="4BC93A80"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The earth doesn't have plenty of natural resources even if we just learn how to develop them.</w:t>
            </w:r>
          </w:p>
        </w:tc>
      </w:tr>
      <w:tr w:rsidR="00662B74" w:rsidRPr="00662B74" w14:paraId="3D42CF1E"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0E52C68E"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1897F881"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192518D9"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ENVETH5 </w:t>
            </w:r>
          </w:p>
        </w:tc>
        <w:tc>
          <w:tcPr>
            <w:tcW w:w="6668" w:type="dxa"/>
            <w:tcBorders>
              <w:top w:val="nil"/>
              <w:left w:val="nil"/>
              <w:bottom w:val="single" w:sz="4" w:space="0" w:color="auto"/>
              <w:right w:val="single" w:sz="4" w:space="0" w:color="auto"/>
            </w:tcBorders>
            <w:vAlign w:val="center"/>
            <w:hideMark/>
          </w:tcPr>
          <w:p w14:paraId="3F370836"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Plants and animals have as much right as humans to exist.</w:t>
            </w:r>
          </w:p>
        </w:tc>
      </w:tr>
      <w:tr w:rsidR="00662B74" w:rsidRPr="00662B74" w14:paraId="2757213C"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47108106"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5F3295D3"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32AAA6E8"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ENVETH6</w:t>
            </w:r>
          </w:p>
        </w:tc>
        <w:tc>
          <w:tcPr>
            <w:tcW w:w="6668" w:type="dxa"/>
            <w:tcBorders>
              <w:top w:val="nil"/>
              <w:left w:val="nil"/>
              <w:bottom w:val="single" w:sz="4" w:space="0" w:color="auto"/>
              <w:right w:val="single" w:sz="4" w:space="0" w:color="auto"/>
            </w:tcBorders>
            <w:vAlign w:val="center"/>
            <w:hideMark/>
          </w:tcPr>
          <w:p w14:paraId="57D1D14B"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The balance of nature is not strong enough to cope with the impacts of modern industrial nations.</w:t>
            </w:r>
          </w:p>
        </w:tc>
      </w:tr>
      <w:tr w:rsidR="00662B74" w:rsidRPr="00662B74" w14:paraId="1042A70F" w14:textId="77777777" w:rsidTr="00662B74">
        <w:trPr>
          <w:trHeight w:val="300"/>
        </w:trPr>
        <w:tc>
          <w:tcPr>
            <w:tcW w:w="562" w:type="dxa"/>
            <w:vMerge w:val="restart"/>
            <w:tcBorders>
              <w:top w:val="nil"/>
              <w:left w:val="single" w:sz="4" w:space="0" w:color="auto"/>
              <w:bottom w:val="single" w:sz="4" w:space="0" w:color="auto"/>
              <w:right w:val="single" w:sz="4" w:space="0" w:color="auto"/>
            </w:tcBorders>
            <w:textDirection w:val="btLr"/>
            <w:vAlign w:val="center"/>
            <w:hideMark/>
          </w:tcPr>
          <w:p w14:paraId="54A2BF5B" w14:textId="77777777" w:rsidR="00662B74" w:rsidRPr="00662B74" w:rsidRDefault="00662B74" w:rsidP="00662B74">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Researcher</w:t>
            </w:r>
          </w:p>
        </w:tc>
        <w:tc>
          <w:tcPr>
            <w:tcW w:w="564" w:type="dxa"/>
            <w:vMerge w:val="restart"/>
            <w:tcBorders>
              <w:top w:val="nil"/>
              <w:left w:val="single" w:sz="4" w:space="0" w:color="auto"/>
              <w:bottom w:val="single" w:sz="4" w:space="0" w:color="auto"/>
              <w:right w:val="single" w:sz="4" w:space="0" w:color="auto"/>
            </w:tcBorders>
            <w:textDirection w:val="btLr"/>
            <w:vAlign w:val="center"/>
            <w:hideMark/>
          </w:tcPr>
          <w:p w14:paraId="0293E79F" w14:textId="77777777" w:rsidR="00662B74" w:rsidRPr="00662B74" w:rsidRDefault="00662B74" w:rsidP="00662B74">
            <w:pPr>
              <w:spacing w:after="0" w:line="240" w:lineRule="auto"/>
              <w:jc w:val="center"/>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Organic Preference </w:t>
            </w:r>
          </w:p>
        </w:tc>
        <w:tc>
          <w:tcPr>
            <w:tcW w:w="1116" w:type="dxa"/>
            <w:tcBorders>
              <w:top w:val="nil"/>
              <w:left w:val="nil"/>
              <w:bottom w:val="single" w:sz="4" w:space="0" w:color="auto"/>
              <w:right w:val="single" w:sz="4" w:space="0" w:color="auto"/>
            </w:tcBorders>
            <w:noWrap/>
            <w:vAlign w:val="bottom"/>
            <w:hideMark/>
          </w:tcPr>
          <w:p w14:paraId="7F295EE7"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ORGP1 </w:t>
            </w:r>
          </w:p>
        </w:tc>
        <w:tc>
          <w:tcPr>
            <w:tcW w:w="6668" w:type="dxa"/>
            <w:tcBorders>
              <w:top w:val="nil"/>
              <w:left w:val="nil"/>
              <w:bottom w:val="single" w:sz="4" w:space="0" w:color="auto"/>
              <w:right w:val="single" w:sz="4" w:space="0" w:color="auto"/>
            </w:tcBorders>
            <w:vAlign w:val="center"/>
            <w:hideMark/>
          </w:tcPr>
          <w:p w14:paraId="712AC133"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I procure organic products whenever I can</w:t>
            </w:r>
          </w:p>
        </w:tc>
      </w:tr>
      <w:tr w:rsidR="00662B74" w:rsidRPr="00662B74" w14:paraId="71F46FCD"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680FA2B8"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3AE2567E"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181CFDF6"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ORGP2 </w:t>
            </w:r>
          </w:p>
        </w:tc>
        <w:tc>
          <w:tcPr>
            <w:tcW w:w="6668" w:type="dxa"/>
            <w:tcBorders>
              <w:top w:val="nil"/>
              <w:left w:val="nil"/>
              <w:bottom w:val="single" w:sz="4" w:space="0" w:color="auto"/>
              <w:right w:val="single" w:sz="4" w:space="0" w:color="auto"/>
            </w:tcBorders>
            <w:vAlign w:val="center"/>
            <w:hideMark/>
          </w:tcPr>
          <w:p w14:paraId="2B478635"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I advocate for organic products</w:t>
            </w:r>
          </w:p>
        </w:tc>
      </w:tr>
      <w:tr w:rsidR="00662B74" w:rsidRPr="00662B74" w14:paraId="40FDE83B"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4971EF6D"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32FB0E6D"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64653FAA"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ORGP3 </w:t>
            </w:r>
          </w:p>
        </w:tc>
        <w:tc>
          <w:tcPr>
            <w:tcW w:w="6668" w:type="dxa"/>
            <w:tcBorders>
              <w:top w:val="nil"/>
              <w:left w:val="nil"/>
              <w:bottom w:val="single" w:sz="4" w:space="0" w:color="auto"/>
              <w:right w:val="single" w:sz="4" w:space="0" w:color="auto"/>
            </w:tcBorders>
            <w:vAlign w:val="center"/>
            <w:hideMark/>
          </w:tcPr>
          <w:p w14:paraId="1B485552"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I promote organic products to my friends and relatives</w:t>
            </w:r>
          </w:p>
        </w:tc>
      </w:tr>
      <w:tr w:rsidR="00662B74" w:rsidRPr="00662B74" w14:paraId="6AF56C83"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67C2F72C"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3D9147B9"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09795DE6"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ORGP4 </w:t>
            </w:r>
          </w:p>
        </w:tc>
        <w:tc>
          <w:tcPr>
            <w:tcW w:w="6668" w:type="dxa"/>
            <w:tcBorders>
              <w:top w:val="nil"/>
              <w:left w:val="nil"/>
              <w:bottom w:val="single" w:sz="4" w:space="0" w:color="auto"/>
              <w:right w:val="single" w:sz="4" w:space="0" w:color="auto"/>
            </w:tcBorders>
            <w:vAlign w:val="center"/>
            <w:hideMark/>
          </w:tcPr>
          <w:p w14:paraId="1014044B"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I procure organic products even when prices are higher than non-organic products</w:t>
            </w:r>
          </w:p>
        </w:tc>
      </w:tr>
      <w:tr w:rsidR="00662B74" w:rsidRPr="00662B74" w14:paraId="7763DEF2"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6450D16D"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0B7F3BE9"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2B2A100B"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 xml:space="preserve">ORGP5 </w:t>
            </w:r>
          </w:p>
        </w:tc>
        <w:tc>
          <w:tcPr>
            <w:tcW w:w="6668" w:type="dxa"/>
            <w:tcBorders>
              <w:top w:val="nil"/>
              <w:left w:val="nil"/>
              <w:bottom w:val="single" w:sz="4" w:space="0" w:color="auto"/>
              <w:right w:val="single" w:sz="4" w:space="0" w:color="auto"/>
            </w:tcBorders>
            <w:vAlign w:val="center"/>
            <w:hideMark/>
          </w:tcPr>
          <w:p w14:paraId="07B64AE5"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In last five years my procurement of organic products has increased</w:t>
            </w:r>
          </w:p>
        </w:tc>
      </w:tr>
      <w:tr w:rsidR="00662B74" w:rsidRPr="00662B74" w14:paraId="579F7A27" w14:textId="77777777" w:rsidTr="00662B74">
        <w:trPr>
          <w:trHeight w:val="300"/>
        </w:trPr>
        <w:tc>
          <w:tcPr>
            <w:tcW w:w="562" w:type="dxa"/>
            <w:vMerge/>
            <w:tcBorders>
              <w:top w:val="nil"/>
              <w:left w:val="single" w:sz="4" w:space="0" w:color="auto"/>
              <w:bottom w:val="single" w:sz="4" w:space="0" w:color="auto"/>
              <w:right w:val="single" w:sz="4" w:space="0" w:color="auto"/>
            </w:tcBorders>
            <w:vAlign w:val="center"/>
            <w:hideMark/>
          </w:tcPr>
          <w:p w14:paraId="4D6CED1D"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564" w:type="dxa"/>
            <w:vMerge/>
            <w:tcBorders>
              <w:top w:val="nil"/>
              <w:left w:val="single" w:sz="4" w:space="0" w:color="auto"/>
              <w:bottom w:val="single" w:sz="4" w:space="0" w:color="auto"/>
              <w:right w:val="single" w:sz="4" w:space="0" w:color="auto"/>
            </w:tcBorders>
            <w:vAlign w:val="center"/>
            <w:hideMark/>
          </w:tcPr>
          <w:p w14:paraId="66D14D78"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p>
        </w:tc>
        <w:tc>
          <w:tcPr>
            <w:tcW w:w="1116" w:type="dxa"/>
            <w:tcBorders>
              <w:top w:val="nil"/>
              <w:left w:val="nil"/>
              <w:bottom w:val="single" w:sz="4" w:space="0" w:color="auto"/>
              <w:right w:val="single" w:sz="4" w:space="0" w:color="auto"/>
            </w:tcBorders>
            <w:noWrap/>
            <w:vAlign w:val="bottom"/>
            <w:hideMark/>
          </w:tcPr>
          <w:p w14:paraId="0695EFEE" w14:textId="77777777" w:rsidR="00662B74" w:rsidRPr="00662B74" w:rsidRDefault="00662B74" w:rsidP="00662B74">
            <w:pPr>
              <w:spacing w:after="0" w:line="240" w:lineRule="auto"/>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ORGP6</w:t>
            </w:r>
          </w:p>
        </w:tc>
        <w:tc>
          <w:tcPr>
            <w:tcW w:w="6668" w:type="dxa"/>
            <w:tcBorders>
              <w:top w:val="nil"/>
              <w:left w:val="nil"/>
              <w:bottom w:val="single" w:sz="4" w:space="0" w:color="auto"/>
              <w:right w:val="single" w:sz="4" w:space="0" w:color="auto"/>
            </w:tcBorders>
            <w:vAlign w:val="center"/>
            <w:hideMark/>
          </w:tcPr>
          <w:p w14:paraId="41223030" w14:textId="77777777" w:rsidR="00662B74" w:rsidRPr="00662B74" w:rsidRDefault="00662B74" w:rsidP="00662B74">
            <w:pPr>
              <w:spacing w:after="0" w:line="240" w:lineRule="auto"/>
              <w:jc w:val="both"/>
              <w:rPr>
                <w:rFonts w:ascii="Times New Roman" w:eastAsia="Times New Roman" w:hAnsi="Times New Roman" w:cs="Times New Roman"/>
                <w:color w:val="000000"/>
                <w:kern w:val="0"/>
                <w:sz w:val="20"/>
                <w:szCs w:val="20"/>
                <w:lang w:eastAsia="en-GB"/>
                <w14:ligatures w14:val="none"/>
              </w:rPr>
            </w:pPr>
            <w:r w:rsidRPr="00662B74">
              <w:rPr>
                <w:rFonts w:ascii="Times New Roman" w:eastAsia="Times New Roman" w:hAnsi="Times New Roman" w:cs="Times New Roman"/>
                <w:color w:val="000000"/>
                <w:kern w:val="0"/>
                <w:sz w:val="20"/>
                <w:szCs w:val="20"/>
                <w:lang w:eastAsia="en-GB"/>
                <w14:ligatures w14:val="none"/>
              </w:rPr>
              <w:t>Organic products are good for earth</w:t>
            </w:r>
          </w:p>
        </w:tc>
      </w:tr>
    </w:tbl>
    <w:p w14:paraId="3197C1DF" w14:textId="77777777" w:rsidR="00727080" w:rsidRDefault="00727080" w:rsidP="00A04852">
      <w:pPr>
        <w:spacing w:line="360" w:lineRule="auto"/>
        <w:jc w:val="both"/>
        <w:rPr>
          <w:rFonts w:ascii="Times New Roman" w:hAnsi="Times New Roman" w:cs="Times New Roman"/>
          <w:b/>
          <w:bCs/>
          <w:sz w:val="24"/>
          <w:szCs w:val="24"/>
        </w:rPr>
      </w:pPr>
    </w:p>
    <w:p w14:paraId="3B0896F2" w14:textId="20A9EA8C" w:rsidR="00213A13" w:rsidRPr="00727080" w:rsidRDefault="00213A13" w:rsidP="00A04852">
      <w:pPr>
        <w:spacing w:line="360" w:lineRule="auto"/>
        <w:jc w:val="both"/>
        <w:rPr>
          <w:rFonts w:ascii="Times New Roman" w:hAnsi="Times New Roman" w:cs="Times New Roman"/>
          <w:b/>
          <w:bCs/>
          <w:sz w:val="28"/>
          <w:szCs w:val="28"/>
        </w:rPr>
      </w:pPr>
      <w:r w:rsidRPr="00727080">
        <w:rPr>
          <w:rFonts w:ascii="Times New Roman" w:hAnsi="Times New Roman" w:cs="Times New Roman"/>
          <w:b/>
          <w:bCs/>
          <w:sz w:val="28"/>
          <w:szCs w:val="28"/>
        </w:rPr>
        <w:t>4.Results</w:t>
      </w:r>
    </w:p>
    <w:p w14:paraId="1A181118" w14:textId="49B317D0" w:rsidR="000F2AE1" w:rsidRDefault="00882206" w:rsidP="00727080">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had utilised three pre</w:t>
      </w:r>
      <w:r w:rsidR="00642ECC">
        <w:rPr>
          <w:rFonts w:ascii="Times New Roman" w:hAnsi="Times New Roman" w:cs="Times New Roman"/>
          <w:sz w:val="24"/>
          <w:szCs w:val="24"/>
        </w:rPr>
        <w:t>-</w:t>
      </w:r>
      <w:r>
        <w:rPr>
          <w:rFonts w:ascii="Times New Roman" w:hAnsi="Times New Roman" w:cs="Times New Roman"/>
          <w:sz w:val="24"/>
          <w:szCs w:val="24"/>
        </w:rPr>
        <w:t xml:space="preserve">validated scales and one original scale developed by the </w:t>
      </w:r>
      <w:r w:rsidR="00F71B37">
        <w:rPr>
          <w:rFonts w:ascii="Times New Roman" w:hAnsi="Times New Roman" w:cs="Times New Roman"/>
          <w:sz w:val="24"/>
          <w:szCs w:val="24"/>
        </w:rPr>
        <w:t>researcher thus,</w:t>
      </w:r>
      <w:r w:rsidR="005654CB">
        <w:rPr>
          <w:rFonts w:ascii="Times New Roman" w:hAnsi="Times New Roman" w:cs="Times New Roman"/>
          <w:sz w:val="24"/>
          <w:szCs w:val="24"/>
        </w:rPr>
        <w:t xml:space="preserve"> the analysis has been divided into various sections – EFA, </w:t>
      </w:r>
      <w:r w:rsidR="00275D96">
        <w:rPr>
          <w:rFonts w:ascii="Times New Roman" w:hAnsi="Times New Roman" w:cs="Times New Roman"/>
          <w:sz w:val="24"/>
          <w:szCs w:val="24"/>
        </w:rPr>
        <w:t>CFA,</w:t>
      </w:r>
      <w:r w:rsidR="005654CB">
        <w:rPr>
          <w:rFonts w:ascii="Times New Roman" w:hAnsi="Times New Roman" w:cs="Times New Roman"/>
          <w:sz w:val="24"/>
          <w:szCs w:val="24"/>
        </w:rPr>
        <w:t xml:space="preserve"> SEM</w:t>
      </w:r>
      <w:r w:rsidR="00275D96">
        <w:rPr>
          <w:rFonts w:ascii="Times New Roman" w:hAnsi="Times New Roman" w:cs="Times New Roman"/>
          <w:sz w:val="24"/>
          <w:szCs w:val="24"/>
        </w:rPr>
        <w:t xml:space="preserve"> and mediation analysis</w:t>
      </w:r>
      <w:r w:rsidR="00652332">
        <w:rPr>
          <w:rFonts w:ascii="Times New Roman" w:hAnsi="Times New Roman" w:cs="Times New Roman"/>
          <w:sz w:val="24"/>
          <w:szCs w:val="24"/>
        </w:rPr>
        <w:t xml:space="preserve"> for validity, reliability, model fitness and hypothesis testing</w:t>
      </w:r>
      <w:r w:rsidR="005654CB">
        <w:rPr>
          <w:rFonts w:ascii="Times New Roman" w:hAnsi="Times New Roman" w:cs="Times New Roman"/>
          <w:sz w:val="24"/>
          <w:szCs w:val="24"/>
        </w:rPr>
        <w:t xml:space="preserve">. </w:t>
      </w:r>
    </w:p>
    <w:p w14:paraId="5BC68046" w14:textId="77777777" w:rsidR="00727080" w:rsidRDefault="00727080" w:rsidP="00727080">
      <w:pPr>
        <w:spacing w:line="240" w:lineRule="auto"/>
        <w:jc w:val="both"/>
        <w:rPr>
          <w:rFonts w:ascii="Times New Roman" w:hAnsi="Times New Roman" w:cs="Times New Roman"/>
          <w:sz w:val="24"/>
          <w:szCs w:val="24"/>
        </w:rPr>
      </w:pPr>
    </w:p>
    <w:p w14:paraId="0674311F" w14:textId="77777777" w:rsidR="00727080" w:rsidRDefault="00727080" w:rsidP="00727080">
      <w:pPr>
        <w:spacing w:line="240" w:lineRule="auto"/>
        <w:jc w:val="both"/>
        <w:rPr>
          <w:rFonts w:ascii="Times New Roman" w:hAnsi="Times New Roman" w:cs="Times New Roman"/>
          <w:sz w:val="24"/>
          <w:szCs w:val="24"/>
        </w:rPr>
      </w:pPr>
    </w:p>
    <w:p w14:paraId="692A7525" w14:textId="77777777" w:rsidR="00727080" w:rsidRDefault="00727080" w:rsidP="00727080">
      <w:pPr>
        <w:spacing w:line="240" w:lineRule="auto"/>
        <w:jc w:val="both"/>
        <w:rPr>
          <w:rFonts w:ascii="Times New Roman" w:hAnsi="Times New Roman" w:cs="Times New Roman"/>
          <w:sz w:val="24"/>
          <w:szCs w:val="24"/>
        </w:rPr>
      </w:pPr>
    </w:p>
    <w:p w14:paraId="62F065FE" w14:textId="77777777" w:rsidR="00727080" w:rsidRDefault="00727080" w:rsidP="00727080">
      <w:pPr>
        <w:spacing w:line="240" w:lineRule="auto"/>
        <w:jc w:val="both"/>
        <w:rPr>
          <w:rFonts w:ascii="Times New Roman" w:hAnsi="Times New Roman" w:cs="Times New Roman"/>
          <w:sz w:val="24"/>
          <w:szCs w:val="24"/>
        </w:rPr>
      </w:pPr>
    </w:p>
    <w:p w14:paraId="17A58494" w14:textId="137F6A27" w:rsidR="00CA18F4" w:rsidRDefault="00CA18F4" w:rsidP="00A048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w:t>
      </w:r>
      <w:r w:rsidRPr="00CA18F4">
        <w:rPr>
          <w:rFonts w:ascii="Times New Roman" w:hAnsi="Times New Roman" w:cs="Times New Roman"/>
          <w:sz w:val="24"/>
          <w:szCs w:val="24"/>
        </w:rPr>
        <w:t>Socio-demographic information of the respondents</w:t>
      </w:r>
    </w:p>
    <w:tbl>
      <w:tblPr>
        <w:tblStyle w:val="TableGrid"/>
        <w:tblW w:w="0" w:type="auto"/>
        <w:tblLook w:val="04A0" w:firstRow="1" w:lastRow="0" w:firstColumn="1" w:lastColumn="0" w:noHBand="0" w:noVBand="1"/>
      </w:tblPr>
      <w:tblGrid>
        <w:gridCol w:w="3116"/>
        <w:gridCol w:w="3117"/>
        <w:gridCol w:w="3117"/>
      </w:tblGrid>
      <w:tr w:rsidR="00CF0316" w14:paraId="7C7C2685" w14:textId="77777777" w:rsidTr="00CF0316">
        <w:tc>
          <w:tcPr>
            <w:tcW w:w="3116" w:type="dxa"/>
          </w:tcPr>
          <w:p w14:paraId="4FCCE5E8" w14:textId="593F467E" w:rsidR="00CF0316" w:rsidRPr="00511615" w:rsidRDefault="00CF0316" w:rsidP="00F71B37">
            <w:pPr>
              <w:jc w:val="center"/>
              <w:rPr>
                <w:rFonts w:ascii="Times New Roman" w:hAnsi="Times New Roman" w:cs="Times New Roman"/>
                <w:b/>
                <w:bCs/>
              </w:rPr>
            </w:pPr>
            <w:r w:rsidRPr="00511615">
              <w:rPr>
                <w:rFonts w:ascii="Times New Roman" w:hAnsi="Times New Roman" w:cs="Times New Roman"/>
                <w:b/>
                <w:bCs/>
              </w:rPr>
              <w:t>Variables</w:t>
            </w:r>
          </w:p>
        </w:tc>
        <w:tc>
          <w:tcPr>
            <w:tcW w:w="3117" w:type="dxa"/>
          </w:tcPr>
          <w:p w14:paraId="029CC4A2" w14:textId="2EA6F79B" w:rsidR="00CF0316" w:rsidRPr="00511615" w:rsidRDefault="00CF0316" w:rsidP="00F71B37">
            <w:pPr>
              <w:jc w:val="center"/>
              <w:rPr>
                <w:rFonts w:ascii="Times New Roman" w:hAnsi="Times New Roman" w:cs="Times New Roman"/>
                <w:b/>
                <w:bCs/>
              </w:rPr>
            </w:pPr>
            <w:r w:rsidRPr="00511615">
              <w:rPr>
                <w:rFonts w:ascii="Times New Roman" w:hAnsi="Times New Roman" w:cs="Times New Roman"/>
                <w:b/>
                <w:bCs/>
              </w:rPr>
              <w:t>Frequency</w:t>
            </w:r>
          </w:p>
        </w:tc>
        <w:tc>
          <w:tcPr>
            <w:tcW w:w="3117" w:type="dxa"/>
          </w:tcPr>
          <w:p w14:paraId="53303C0A" w14:textId="588D3DC5" w:rsidR="00CF0316" w:rsidRPr="00511615" w:rsidRDefault="00CF0316" w:rsidP="00F71B37">
            <w:pPr>
              <w:jc w:val="center"/>
              <w:rPr>
                <w:rFonts w:ascii="Times New Roman" w:hAnsi="Times New Roman" w:cs="Times New Roman"/>
                <w:b/>
                <w:bCs/>
              </w:rPr>
            </w:pPr>
            <w:r w:rsidRPr="00511615">
              <w:rPr>
                <w:rFonts w:ascii="Times New Roman" w:hAnsi="Times New Roman" w:cs="Times New Roman"/>
                <w:b/>
                <w:bCs/>
              </w:rPr>
              <w:t>Percentage</w:t>
            </w:r>
            <w:r w:rsidR="00CA18F4" w:rsidRPr="00511615">
              <w:rPr>
                <w:rFonts w:ascii="Times New Roman" w:hAnsi="Times New Roman" w:cs="Times New Roman"/>
                <w:b/>
                <w:bCs/>
              </w:rPr>
              <w:t xml:space="preserve"> </w:t>
            </w:r>
            <w:r w:rsidR="00F03D70" w:rsidRPr="00511615">
              <w:rPr>
                <w:rFonts w:ascii="Times New Roman" w:hAnsi="Times New Roman" w:cs="Times New Roman"/>
                <w:b/>
                <w:bCs/>
              </w:rPr>
              <w:t>(%)</w:t>
            </w:r>
          </w:p>
        </w:tc>
      </w:tr>
      <w:tr w:rsidR="00CF0316" w14:paraId="37F8F4CA" w14:textId="77777777" w:rsidTr="00511615">
        <w:trPr>
          <w:trHeight w:val="1205"/>
        </w:trPr>
        <w:tc>
          <w:tcPr>
            <w:tcW w:w="3116" w:type="dxa"/>
          </w:tcPr>
          <w:p w14:paraId="4775515D" w14:textId="13769187" w:rsidR="00CF0316" w:rsidRPr="00511615" w:rsidRDefault="00CF0316" w:rsidP="00F71B37">
            <w:pPr>
              <w:jc w:val="center"/>
              <w:rPr>
                <w:rFonts w:ascii="Times New Roman" w:hAnsi="Times New Roman" w:cs="Times New Roman"/>
                <w:b/>
                <w:bCs/>
              </w:rPr>
            </w:pPr>
            <w:r w:rsidRPr="00511615">
              <w:rPr>
                <w:rFonts w:ascii="Times New Roman" w:hAnsi="Times New Roman" w:cs="Times New Roman"/>
                <w:b/>
                <w:bCs/>
              </w:rPr>
              <w:t>Age</w:t>
            </w:r>
          </w:p>
          <w:p w14:paraId="5CA0CBAE" w14:textId="6DD3325C" w:rsidR="00CF0316" w:rsidRPr="00511615" w:rsidRDefault="00CF0316" w:rsidP="00F71B37">
            <w:pPr>
              <w:jc w:val="center"/>
              <w:rPr>
                <w:rFonts w:ascii="Times New Roman" w:hAnsi="Times New Roman" w:cs="Times New Roman"/>
                <w:noProof/>
                <w:lang w:val="en-US"/>
              </w:rPr>
            </w:pPr>
            <w:r w:rsidRPr="00511615">
              <w:rPr>
                <w:rFonts w:ascii="Times New Roman" w:hAnsi="Times New Roman" w:cs="Times New Roman"/>
                <w:noProof/>
                <w:lang w:val="en-US"/>
              </w:rPr>
              <w:t>21 to 30 yrs</w:t>
            </w:r>
          </w:p>
          <w:p w14:paraId="7108CEBC" w14:textId="46314CC6" w:rsidR="00CF0316" w:rsidRPr="00511615" w:rsidRDefault="00CF0316" w:rsidP="00F71B37">
            <w:pPr>
              <w:jc w:val="center"/>
              <w:rPr>
                <w:rFonts w:ascii="Times New Roman" w:hAnsi="Times New Roman" w:cs="Times New Roman"/>
                <w:noProof/>
                <w:lang w:val="en-US"/>
              </w:rPr>
            </w:pPr>
            <w:r w:rsidRPr="00511615">
              <w:rPr>
                <w:rFonts w:ascii="Times New Roman" w:hAnsi="Times New Roman" w:cs="Times New Roman"/>
                <w:noProof/>
                <w:lang w:val="en-US"/>
              </w:rPr>
              <w:t>31 to 40 yrs</w:t>
            </w:r>
          </w:p>
          <w:p w14:paraId="47995886" w14:textId="3D4B490B" w:rsidR="00CF0316" w:rsidRPr="00511615" w:rsidRDefault="00CF0316" w:rsidP="00F71B37">
            <w:pPr>
              <w:jc w:val="center"/>
              <w:rPr>
                <w:rFonts w:ascii="Times New Roman" w:hAnsi="Times New Roman" w:cs="Times New Roman"/>
                <w:noProof/>
                <w:lang w:val="en-US"/>
              </w:rPr>
            </w:pPr>
            <w:r w:rsidRPr="00511615">
              <w:rPr>
                <w:rFonts w:ascii="Times New Roman" w:hAnsi="Times New Roman" w:cs="Times New Roman"/>
                <w:noProof/>
                <w:lang w:val="en-US"/>
              </w:rPr>
              <w:t>41 to 50 yrs</w:t>
            </w:r>
          </w:p>
          <w:p w14:paraId="49BE5AAE" w14:textId="33ED1514" w:rsidR="00CF0316" w:rsidRPr="00511615" w:rsidRDefault="00CF0316" w:rsidP="00F71B37">
            <w:pPr>
              <w:jc w:val="center"/>
              <w:rPr>
                <w:rFonts w:ascii="Times New Roman" w:hAnsi="Times New Roman" w:cs="Times New Roman"/>
              </w:rPr>
            </w:pPr>
            <w:r w:rsidRPr="00511615">
              <w:rPr>
                <w:rFonts w:ascii="Times New Roman" w:hAnsi="Times New Roman" w:cs="Times New Roman"/>
                <w:noProof/>
                <w:lang w:val="en-US"/>
              </w:rPr>
              <w:t>above 51 yrs</w:t>
            </w:r>
          </w:p>
          <w:p w14:paraId="41DEB9D2" w14:textId="7C003A7E" w:rsidR="00CF0316" w:rsidRPr="00511615" w:rsidRDefault="00CF0316" w:rsidP="00F71B37">
            <w:pPr>
              <w:jc w:val="center"/>
              <w:rPr>
                <w:rFonts w:ascii="Times New Roman" w:hAnsi="Times New Roman" w:cs="Times New Roman"/>
                <w:b/>
                <w:bCs/>
              </w:rPr>
            </w:pPr>
          </w:p>
        </w:tc>
        <w:tc>
          <w:tcPr>
            <w:tcW w:w="3117" w:type="dxa"/>
          </w:tcPr>
          <w:p w14:paraId="2D9508CB" w14:textId="77777777" w:rsidR="00CF0316" w:rsidRPr="00511615" w:rsidRDefault="00CF0316" w:rsidP="00F71B37">
            <w:pPr>
              <w:jc w:val="center"/>
              <w:rPr>
                <w:rFonts w:ascii="Times New Roman" w:hAnsi="Times New Roman" w:cs="Times New Roman"/>
                <w:b/>
                <w:bCs/>
              </w:rPr>
            </w:pPr>
          </w:p>
          <w:p w14:paraId="1FDA289B" w14:textId="2AE90760" w:rsidR="00CF0316" w:rsidRPr="00511615" w:rsidRDefault="00CF0316" w:rsidP="00F71B37">
            <w:pPr>
              <w:jc w:val="center"/>
              <w:rPr>
                <w:rFonts w:ascii="Times New Roman" w:hAnsi="Times New Roman" w:cs="Times New Roman"/>
              </w:rPr>
            </w:pPr>
            <w:r w:rsidRPr="00511615">
              <w:rPr>
                <w:rFonts w:ascii="Times New Roman" w:hAnsi="Times New Roman" w:cs="Times New Roman"/>
              </w:rPr>
              <w:t>131</w:t>
            </w:r>
          </w:p>
          <w:p w14:paraId="723C12FA" w14:textId="7680EBED" w:rsidR="00CF0316" w:rsidRPr="00511615" w:rsidRDefault="00CF0316" w:rsidP="00F71B37">
            <w:pPr>
              <w:jc w:val="center"/>
              <w:rPr>
                <w:rFonts w:ascii="Times New Roman" w:hAnsi="Times New Roman" w:cs="Times New Roman"/>
              </w:rPr>
            </w:pPr>
            <w:r w:rsidRPr="00511615">
              <w:rPr>
                <w:rFonts w:ascii="Times New Roman" w:hAnsi="Times New Roman" w:cs="Times New Roman"/>
              </w:rPr>
              <w:t>220</w:t>
            </w:r>
          </w:p>
          <w:p w14:paraId="394D7DA8" w14:textId="46EDDD55" w:rsidR="00CF0316" w:rsidRPr="00511615" w:rsidRDefault="00CF0316" w:rsidP="00F71B37">
            <w:pPr>
              <w:jc w:val="center"/>
              <w:rPr>
                <w:rFonts w:ascii="Times New Roman" w:hAnsi="Times New Roman" w:cs="Times New Roman"/>
              </w:rPr>
            </w:pPr>
            <w:r w:rsidRPr="00511615">
              <w:rPr>
                <w:rFonts w:ascii="Times New Roman" w:hAnsi="Times New Roman" w:cs="Times New Roman"/>
              </w:rPr>
              <w:t>143</w:t>
            </w:r>
          </w:p>
          <w:p w14:paraId="6FEB4448" w14:textId="43A52F6A" w:rsidR="00CF0316" w:rsidRPr="00511615" w:rsidRDefault="00CF0316" w:rsidP="00F71B37">
            <w:pPr>
              <w:jc w:val="center"/>
              <w:rPr>
                <w:rFonts w:ascii="Times New Roman" w:hAnsi="Times New Roman" w:cs="Times New Roman"/>
              </w:rPr>
            </w:pPr>
            <w:r w:rsidRPr="00511615">
              <w:rPr>
                <w:rFonts w:ascii="Times New Roman" w:hAnsi="Times New Roman" w:cs="Times New Roman"/>
              </w:rPr>
              <w:t>56</w:t>
            </w:r>
          </w:p>
          <w:p w14:paraId="188B90B9" w14:textId="77777777" w:rsidR="00CF0316" w:rsidRPr="00511615" w:rsidRDefault="00CF0316" w:rsidP="00F71B37">
            <w:pPr>
              <w:jc w:val="center"/>
              <w:rPr>
                <w:rFonts w:ascii="Times New Roman" w:hAnsi="Times New Roman" w:cs="Times New Roman"/>
                <w:b/>
                <w:bCs/>
              </w:rPr>
            </w:pPr>
          </w:p>
        </w:tc>
        <w:tc>
          <w:tcPr>
            <w:tcW w:w="3117" w:type="dxa"/>
          </w:tcPr>
          <w:p w14:paraId="581F8ECA" w14:textId="77777777" w:rsidR="00CF0316" w:rsidRPr="00511615" w:rsidRDefault="00CF0316" w:rsidP="00F71B37">
            <w:pPr>
              <w:jc w:val="center"/>
              <w:rPr>
                <w:rFonts w:ascii="Times New Roman" w:hAnsi="Times New Roman" w:cs="Times New Roman"/>
                <w:b/>
                <w:bCs/>
              </w:rPr>
            </w:pPr>
          </w:p>
          <w:p w14:paraId="44174D79" w14:textId="77777777" w:rsidR="00CF0316" w:rsidRPr="00511615" w:rsidRDefault="00CF0316" w:rsidP="00F71B37">
            <w:pPr>
              <w:jc w:val="center"/>
              <w:rPr>
                <w:rFonts w:ascii="Times New Roman" w:hAnsi="Times New Roman" w:cs="Times New Roman"/>
              </w:rPr>
            </w:pPr>
            <w:r w:rsidRPr="00511615">
              <w:rPr>
                <w:rFonts w:ascii="Times New Roman" w:hAnsi="Times New Roman" w:cs="Times New Roman"/>
              </w:rPr>
              <w:t>23.8</w:t>
            </w:r>
          </w:p>
          <w:p w14:paraId="4B4FDD70" w14:textId="1DD48EBE" w:rsidR="00CF0316" w:rsidRPr="00511615" w:rsidRDefault="00F03D70" w:rsidP="00F71B37">
            <w:pPr>
              <w:jc w:val="center"/>
              <w:rPr>
                <w:rFonts w:ascii="Times New Roman" w:hAnsi="Times New Roman" w:cs="Times New Roman"/>
              </w:rPr>
            </w:pPr>
            <w:r w:rsidRPr="00511615">
              <w:rPr>
                <w:rFonts w:ascii="Times New Roman" w:hAnsi="Times New Roman" w:cs="Times New Roman"/>
              </w:rPr>
              <w:t>40.0</w:t>
            </w:r>
          </w:p>
          <w:p w14:paraId="28ECC873" w14:textId="77777777" w:rsidR="00CF0316" w:rsidRPr="00511615" w:rsidRDefault="00F03D70" w:rsidP="00F71B37">
            <w:pPr>
              <w:jc w:val="center"/>
              <w:rPr>
                <w:rFonts w:ascii="Times New Roman" w:hAnsi="Times New Roman" w:cs="Times New Roman"/>
              </w:rPr>
            </w:pPr>
            <w:r w:rsidRPr="00511615">
              <w:rPr>
                <w:rFonts w:ascii="Times New Roman" w:hAnsi="Times New Roman" w:cs="Times New Roman"/>
              </w:rPr>
              <w:t>26.0</w:t>
            </w:r>
          </w:p>
          <w:p w14:paraId="3D3BBE1B" w14:textId="32D527B5" w:rsidR="00F03D70" w:rsidRPr="00511615" w:rsidRDefault="00F03D70" w:rsidP="00F71B37">
            <w:pPr>
              <w:jc w:val="center"/>
              <w:rPr>
                <w:rFonts w:ascii="Times New Roman" w:hAnsi="Times New Roman" w:cs="Times New Roman"/>
                <w:b/>
                <w:bCs/>
              </w:rPr>
            </w:pPr>
            <w:r w:rsidRPr="00511615">
              <w:rPr>
                <w:rFonts w:ascii="Times New Roman" w:hAnsi="Times New Roman" w:cs="Times New Roman"/>
              </w:rPr>
              <w:t>10.2</w:t>
            </w:r>
          </w:p>
        </w:tc>
      </w:tr>
      <w:tr w:rsidR="00F03D70" w14:paraId="09B1E08B" w14:textId="77777777" w:rsidTr="00511615">
        <w:trPr>
          <w:trHeight w:val="944"/>
        </w:trPr>
        <w:tc>
          <w:tcPr>
            <w:tcW w:w="3116" w:type="dxa"/>
          </w:tcPr>
          <w:p w14:paraId="15DD4FD7" w14:textId="77777777" w:rsidR="00F03D70" w:rsidRPr="00511615" w:rsidRDefault="00F03D70" w:rsidP="00F71B37">
            <w:pPr>
              <w:jc w:val="center"/>
              <w:rPr>
                <w:rFonts w:ascii="Times New Roman" w:hAnsi="Times New Roman" w:cs="Times New Roman"/>
                <w:b/>
                <w:bCs/>
              </w:rPr>
            </w:pPr>
            <w:r w:rsidRPr="00511615">
              <w:rPr>
                <w:rFonts w:ascii="Times New Roman" w:hAnsi="Times New Roman" w:cs="Times New Roman"/>
                <w:b/>
                <w:bCs/>
              </w:rPr>
              <w:t>Gender</w:t>
            </w:r>
          </w:p>
          <w:p w14:paraId="4D08F6D1" w14:textId="77777777" w:rsidR="00F03D70" w:rsidRPr="00511615" w:rsidRDefault="00F03D70" w:rsidP="00F71B37">
            <w:pPr>
              <w:jc w:val="center"/>
              <w:rPr>
                <w:rFonts w:ascii="Times New Roman" w:hAnsi="Times New Roman" w:cs="Times New Roman"/>
              </w:rPr>
            </w:pPr>
            <w:r w:rsidRPr="00511615">
              <w:rPr>
                <w:rFonts w:ascii="Times New Roman" w:hAnsi="Times New Roman" w:cs="Times New Roman"/>
              </w:rPr>
              <w:t>Male</w:t>
            </w:r>
          </w:p>
          <w:p w14:paraId="18C19056" w14:textId="77777777" w:rsidR="00F03D70" w:rsidRPr="00511615" w:rsidRDefault="00F03D70" w:rsidP="00F71B37">
            <w:pPr>
              <w:jc w:val="center"/>
              <w:rPr>
                <w:rFonts w:ascii="Times New Roman" w:hAnsi="Times New Roman" w:cs="Times New Roman"/>
              </w:rPr>
            </w:pPr>
            <w:r w:rsidRPr="00511615">
              <w:rPr>
                <w:rFonts w:ascii="Times New Roman" w:hAnsi="Times New Roman" w:cs="Times New Roman"/>
              </w:rPr>
              <w:t>Female</w:t>
            </w:r>
          </w:p>
          <w:p w14:paraId="3B60E59F" w14:textId="253C78AF" w:rsidR="00F03D70" w:rsidRPr="00511615" w:rsidRDefault="00F03D70" w:rsidP="00F71B37">
            <w:pPr>
              <w:jc w:val="center"/>
              <w:rPr>
                <w:rFonts w:ascii="Times New Roman" w:hAnsi="Times New Roman" w:cs="Times New Roman"/>
                <w:b/>
                <w:bCs/>
              </w:rPr>
            </w:pPr>
            <w:r w:rsidRPr="00511615">
              <w:rPr>
                <w:rFonts w:ascii="Times New Roman" w:hAnsi="Times New Roman" w:cs="Times New Roman"/>
              </w:rPr>
              <w:t>Others</w:t>
            </w:r>
          </w:p>
        </w:tc>
        <w:tc>
          <w:tcPr>
            <w:tcW w:w="3117" w:type="dxa"/>
          </w:tcPr>
          <w:p w14:paraId="2CC2E3BC" w14:textId="77777777" w:rsidR="00F03D70" w:rsidRPr="00511615" w:rsidRDefault="00F03D70" w:rsidP="00F71B37">
            <w:pPr>
              <w:jc w:val="center"/>
              <w:rPr>
                <w:rFonts w:ascii="Times New Roman" w:hAnsi="Times New Roman" w:cs="Times New Roman"/>
              </w:rPr>
            </w:pPr>
          </w:p>
          <w:p w14:paraId="4D1CB1B2" w14:textId="77777777" w:rsidR="00F03D70" w:rsidRPr="00511615" w:rsidRDefault="00F03D70" w:rsidP="00F71B37">
            <w:pPr>
              <w:jc w:val="center"/>
              <w:rPr>
                <w:rFonts w:ascii="Times New Roman" w:hAnsi="Times New Roman" w:cs="Times New Roman"/>
              </w:rPr>
            </w:pPr>
            <w:r w:rsidRPr="00511615">
              <w:rPr>
                <w:rFonts w:ascii="Times New Roman" w:hAnsi="Times New Roman" w:cs="Times New Roman"/>
              </w:rPr>
              <w:t>254</w:t>
            </w:r>
          </w:p>
          <w:p w14:paraId="4CFBEF37" w14:textId="77777777" w:rsidR="00F03D70" w:rsidRPr="00511615" w:rsidRDefault="00F03D70" w:rsidP="00F71B37">
            <w:pPr>
              <w:jc w:val="center"/>
              <w:rPr>
                <w:rFonts w:ascii="Times New Roman" w:hAnsi="Times New Roman" w:cs="Times New Roman"/>
              </w:rPr>
            </w:pPr>
            <w:r w:rsidRPr="00511615">
              <w:rPr>
                <w:rFonts w:ascii="Times New Roman" w:hAnsi="Times New Roman" w:cs="Times New Roman"/>
              </w:rPr>
              <w:t>295</w:t>
            </w:r>
          </w:p>
          <w:p w14:paraId="0F55E233" w14:textId="7814ED4A" w:rsidR="00F03D70" w:rsidRPr="00511615" w:rsidRDefault="00F03D70" w:rsidP="00F71B37">
            <w:pPr>
              <w:jc w:val="center"/>
              <w:rPr>
                <w:rFonts w:ascii="Times New Roman" w:hAnsi="Times New Roman" w:cs="Times New Roman"/>
                <w:b/>
                <w:bCs/>
              </w:rPr>
            </w:pPr>
            <w:r w:rsidRPr="00511615">
              <w:rPr>
                <w:rFonts w:ascii="Times New Roman" w:hAnsi="Times New Roman" w:cs="Times New Roman"/>
              </w:rPr>
              <w:t>1</w:t>
            </w:r>
          </w:p>
        </w:tc>
        <w:tc>
          <w:tcPr>
            <w:tcW w:w="3117" w:type="dxa"/>
          </w:tcPr>
          <w:p w14:paraId="135F9C3A" w14:textId="77777777" w:rsidR="00F03D70" w:rsidRPr="00511615" w:rsidRDefault="00F03D70" w:rsidP="00F71B37">
            <w:pPr>
              <w:jc w:val="center"/>
              <w:rPr>
                <w:rFonts w:ascii="Times New Roman" w:hAnsi="Times New Roman" w:cs="Times New Roman"/>
              </w:rPr>
            </w:pPr>
          </w:p>
          <w:p w14:paraId="28C84FF9" w14:textId="77777777" w:rsidR="00F03D70" w:rsidRPr="00511615" w:rsidRDefault="00F03D70" w:rsidP="00F71B37">
            <w:pPr>
              <w:jc w:val="center"/>
              <w:rPr>
                <w:rFonts w:ascii="Times New Roman" w:hAnsi="Times New Roman" w:cs="Times New Roman"/>
              </w:rPr>
            </w:pPr>
            <w:r w:rsidRPr="00511615">
              <w:rPr>
                <w:rFonts w:ascii="Times New Roman" w:hAnsi="Times New Roman" w:cs="Times New Roman"/>
              </w:rPr>
              <w:t>46.2</w:t>
            </w:r>
          </w:p>
          <w:p w14:paraId="58DE3409" w14:textId="77777777" w:rsidR="00F03D70" w:rsidRPr="00511615" w:rsidRDefault="00F03D70" w:rsidP="00F71B37">
            <w:pPr>
              <w:jc w:val="center"/>
              <w:rPr>
                <w:rFonts w:ascii="Times New Roman" w:hAnsi="Times New Roman" w:cs="Times New Roman"/>
              </w:rPr>
            </w:pPr>
            <w:r w:rsidRPr="00511615">
              <w:rPr>
                <w:rFonts w:ascii="Times New Roman" w:hAnsi="Times New Roman" w:cs="Times New Roman"/>
              </w:rPr>
              <w:t>53.6</w:t>
            </w:r>
          </w:p>
          <w:p w14:paraId="6CD38568" w14:textId="2B1B763B" w:rsidR="00F03D70" w:rsidRPr="00511615" w:rsidRDefault="00F03D70" w:rsidP="00F71B37">
            <w:pPr>
              <w:jc w:val="center"/>
              <w:rPr>
                <w:rFonts w:ascii="Times New Roman" w:hAnsi="Times New Roman" w:cs="Times New Roman"/>
                <w:b/>
                <w:bCs/>
              </w:rPr>
            </w:pPr>
            <w:r w:rsidRPr="00511615">
              <w:rPr>
                <w:rFonts w:ascii="Times New Roman" w:hAnsi="Times New Roman" w:cs="Times New Roman"/>
              </w:rPr>
              <w:t>0.2</w:t>
            </w:r>
          </w:p>
        </w:tc>
      </w:tr>
      <w:tr w:rsidR="00F03D70" w14:paraId="6D01BAD4" w14:textId="77777777" w:rsidTr="005B49C9">
        <w:trPr>
          <w:trHeight w:val="838"/>
        </w:trPr>
        <w:tc>
          <w:tcPr>
            <w:tcW w:w="3116" w:type="dxa"/>
          </w:tcPr>
          <w:p w14:paraId="6F1E2ADA" w14:textId="77777777" w:rsidR="00F03D70" w:rsidRPr="00511615" w:rsidRDefault="00F03D70" w:rsidP="00F71B37">
            <w:pPr>
              <w:jc w:val="center"/>
              <w:rPr>
                <w:rFonts w:ascii="Times New Roman" w:hAnsi="Times New Roman" w:cs="Times New Roman"/>
                <w:b/>
                <w:bCs/>
              </w:rPr>
            </w:pPr>
            <w:r w:rsidRPr="00511615">
              <w:rPr>
                <w:rFonts w:ascii="Times New Roman" w:hAnsi="Times New Roman" w:cs="Times New Roman"/>
                <w:b/>
                <w:bCs/>
              </w:rPr>
              <w:t>Family Dynamics</w:t>
            </w:r>
          </w:p>
          <w:p w14:paraId="7FF4DBF0" w14:textId="61128D62" w:rsidR="00F03D70" w:rsidRPr="00511615" w:rsidRDefault="00F03D70" w:rsidP="00EA58C6">
            <w:pPr>
              <w:pStyle w:val="ListParagraph"/>
              <w:numPr>
                <w:ilvl w:val="0"/>
                <w:numId w:val="7"/>
              </w:numPr>
              <w:jc w:val="center"/>
              <w:rPr>
                <w:rFonts w:ascii="Times New Roman" w:hAnsi="Times New Roman" w:cs="Times New Roman"/>
              </w:rPr>
            </w:pPr>
            <w:r w:rsidRPr="00511615">
              <w:rPr>
                <w:rFonts w:ascii="Times New Roman" w:hAnsi="Times New Roman" w:cs="Times New Roman"/>
              </w:rPr>
              <w:t>to 5 members</w:t>
            </w:r>
          </w:p>
          <w:p w14:paraId="7F09BA23" w14:textId="46A918E3" w:rsidR="00F03D70" w:rsidRPr="00511615" w:rsidRDefault="00F03D70" w:rsidP="00F71B37">
            <w:pPr>
              <w:jc w:val="center"/>
              <w:rPr>
                <w:rFonts w:ascii="Times New Roman" w:hAnsi="Times New Roman" w:cs="Times New Roman"/>
                <w:b/>
                <w:bCs/>
              </w:rPr>
            </w:pPr>
            <w:r w:rsidRPr="00511615">
              <w:rPr>
                <w:rFonts w:ascii="Times New Roman" w:hAnsi="Times New Roman" w:cs="Times New Roman"/>
              </w:rPr>
              <w:t>more than 5 members</w:t>
            </w:r>
          </w:p>
        </w:tc>
        <w:tc>
          <w:tcPr>
            <w:tcW w:w="3117" w:type="dxa"/>
          </w:tcPr>
          <w:p w14:paraId="3E3D0706" w14:textId="77777777" w:rsidR="00F03D70" w:rsidRPr="00511615" w:rsidRDefault="00F03D70" w:rsidP="00F71B37">
            <w:pPr>
              <w:jc w:val="center"/>
              <w:rPr>
                <w:rFonts w:ascii="Times New Roman" w:hAnsi="Times New Roman" w:cs="Times New Roman"/>
                <w:b/>
                <w:bCs/>
              </w:rPr>
            </w:pPr>
          </w:p>
          <w:p w14:paraId="21C8B8EB" w14:textId="77777777" w:rsidR="00F03D70" w:rsidRPr="00511615" w:rsidRDefault="00F03D70" w:rsidP="00F71B37">
            <w:pPr>
              <w:jc w:val="center"/>
              <w:rPr>
                <w:rFonts w:ascii="Times New Roman" w:hAnsi="Times New Roman" w:cs="Times New Roman"/>
              </w:rPr>
            </w:pPr>
            <w:r w:rsidRPr="00511615">
              <w:rPr>
                <w:rFonts w:ascii="Times New Roman" w:hAnsi="Times New Roman" w:cs="Times New Roman"/>
              </w:rPr>
              <w:t>320</w:t>
            </w:r>
          </w:p>
          <w:p w14:paraId="3336C2E8" w14:textId="74551694" w:rsidR="00F03D70" w:rsidRPr="00511615" w:rsidRDefault="00F03D70" w:rsidP="00F71B37">
            <w:pPr>
              <w:jc w:val="center"/>
              <w:rPr>
                <w:rFonts w:ascii="Times New Roman" w:hAnsi="Times New Roman" w:cs="Times New Roman"/>
                <w:b/>
                <w:bCs/>
              </w:rPr>
            </w:pPr>
            <w:r w:rsidRPr="00511615">
              <w:rPr>
                <w:rFonts w:ascii="Times New Roman" w:hAnsi="Times New Roman" w:cs="Times New Roman"/>
              </w:rPr>
              <w:t>230</w:t>
            </w:r>
          </w:p>
        </w:tc>
        <w:tc>
          <w:tcPr>
            <w:tcW w:w="3117" w:type="dxa"/>
          </w:tcPr>
          <w:p w14:paraId="41717DBE" w14:textId="77777777" w:rsidR="00F03D70" w:rsidRPr="00511615" w:rsidRDefault="00F03D70" w:rsidP="00F71B37">
            <w:pPr>
              <w:jc w:val="center"/>
              <w:rPr>
                <w:rFonts w:ascii="Times New Roman" w:hAnsi="Times New Roman" w:cs="Times New Roman"/>
                <w:b/>
                <w:bCs/>
              </w:rPr>
            </w:pPr>
          </w:p>
          <w:p w14:paraId="47130A80" w14:textId="77777777" w:rsidR="00F03D70" w:rsidRPr="00511615" w:rsidRDefault="00F03D70" w:rsidP="00F71B37">
            <w:pPr>
              <w:jc w:val="center"/>
              <w:rPr>
                <w:rFonts w:ascii="Times New Roman" w:hAnsi="Times New Roman" w:cs="Times New Roman"/>
              </w:rPr>
            </w:pPr>
            <w:r w:rsidRPr="00511615">
              <w:rPr>
                <w:rFonts w:ascii="Times New Roman" w:hAnsi="Times New Roman" w:cs="Times New Roman"/>
              </w:rPr>
              <w:t>58.2</w:t>
            </w:r>
          </w:p>
          <w:p w14:paraId="56E0113A" w14:textId="0B99ABBF" w:rsidR="00F03D70" w:rsidRPr="00511615" w:rsidRDefault="00F03D70" w:rsidP="00F71B37">
            <w:pPr>
              <w:jc w:val="center"/>
              <w:rPr>
                <w:rFonts w:ascii="Times New Roman" w:hAnsi="Times New Roman" w:cs="Times New Roman"/>
                <w:b/>
                <w:bCs/>
              </w:rPr>
            </w:pPr>
            <w:r w:rsidRPr="00511615">
              <w:rPr>
                <w:rFonts w:ascii="Times New Roman" w:hAnsi="Times New Roman" w:cs="Times New Roman"/>
              </w:rPr>
              <w:t>41.8</w:t>
            </w:r>
          </w:p>
        </w:tc>
      </w:tr>
      <w:tr w:rsidR="00E60D90" w14:paraId="0FEF0B24" w14:textId="77777777" w:rsidTr="00511615">
        <w:trPr>
          <w:trHeight w:val="1421"/>
        </w:trPr>
        <w:tc>
          <w:tcPr>
            <w:tcW w:w="3116" w:type="dxa"/>
          </w:tcPr>
          <w:p w14:paraId="31147538" w14:textId="77777777" w:rsidR="00E60D90" w:rsidRPr="00511615" w:rsidRDefault="00E60D90" w:rsidP="00F71B37">
            <w:pPr>
              <w:jc w:val="center"/>
              <w:rPr>
                <w:rFonts w:ascii="Times New Roman" w:hAnsi="Times New Roman" w:cs="Times New Roman"/>
                <w:b/>
                <w:bCs/>
              </w:rPr>
            </w:pPr>
            <w:r w:rsidRPr="00511615">
              <w:rPr>
                <w:rFonts w:ascii="Times New Roman" w:hAnsi="Times New Roman" w:cs="Times New Roman"/>
                <w:b/>
                <w:bCs/>
              </w:rPr>
              <w:t>Income Distribution</w:t>
            </w:r>
          </w:p>
          <w:p w14:paraId="346DD959" w14:textId="77777777" w:rsidR="00E60D90" w:rsidRPr="00511615" w:rsidRDefault="00E60D90" w:rsidP="00F71B37">
            <w:pPr>
              <w:jc w:val="center"/>
              <w:rPr>
                <w:rFonts w:ascii="Times New Roman" w:hAnsi="Times New Roman" w:cs="Times New Roman"/>
              </w:rPr>
            </w:pPr>
            <w:r w:rsidRPr="00511615">
              <w:rPr>
                <w:rFonts w:ascii="Times New Roman" w:hAnsi="Times New Roman" w:cs="Times New Roman"/>
                <w:lang w:val="en-US"/>
              </w:rPr>
              <w:t>income below 25,000</w:t>
            </w:r>
          </w:p>
          <w:p w14:paraId="7537F6B5" w14:textId="77777777" w:rsidR="00E60D90" w:rsidRPr="00511615" w:rsidRDefault="00E60D90" w:rsidP="00F71B37">
            <w:pPr>
              <w:jc w:val="center"/>
              <w:rPr>
                <w:rFonts w:ascii="Times New Roman" w:hAnsi="Times New Roman" w:cs="Times New Roman"/>
                <w:lang w:val="en-US"/>
              </w:rPr>
            </w:pPr>
            <w:r w:rsidRPr="00511615">
              <w:rPr>
                <w:rFonts w:ascii="Times New Roman" w:hAnsi="Times New Roman" w:cs="Times New Roman"/>
                <w:lang w:val="en-US"/>
              </w:rPr>
              <w:t>25,001 to 50,000</w:t>
            </w:r>
          </w:p>
          <w:p w14:paraId="7F00739D" w14:textId="77777777" w:rsidR="00E60D90" w:rsidRPr="00511615" w:rsidRDefault="00E60D90" w:rsidP="00F71B37">
            <w:pPr>
              <w:jc w:val="center"/>
              <w:rPr>
                <w:rFonts w:ascii="Times New Roman" w:hAnsi="Times New Roman" w:cs="Times New Roman"/>
                <w:lang w:val="en-US"/>
              </w:rPr>
            </w:pPr>
            <w:r w:rsidRPr="00511615">
              <w:rPr>
                <w:rFonts w:ascii="Times New Roman" w:hAnsi="Times New Roman" w:cs="Times New Roman"/>
                <w:lang w:val="en-US"/>
              </w:rPr>
              <w:t>50,001 to 75,000</w:t>
            </w:r>
          </w:p>
          <w:p w14:paraId="2D873F28" w14:textId="4F604399" w:rsidR="00E60D90" w:rsidRPr="00511615" w:rsidRDefault="00E60D90" w:rsidP="00F71B37">
            <w:pPr>
              <w:jc w:val="center"/>
              <w:rPr>
                <w:rFonts w:ascii="Times New Roman" w:hAnsi="Times New Roman" w:cs="Times New Roman"/>
              </w:rPr>
            </w:pPr>
            <w:r w:rsidRPr="00511615">
              <w:rPr>
                <w:rFonts w:ascii="Times New Roman" w:hAnsi="Times New Roman" w:cs="Times New Roman"/>
                <w:lang w:val="en-US"/>
              </w:rPr>
              <w:t>above 75,000</w:t>
            </w:r>
          </w:p>
        </w:tc>
        <w:tc>
          <w:tcPr>
            <w:tcW w:w="3117" w:type="dxa"/>
          </w:tcPr>
          <w:p w14:paraId="675F2E20" w14:textId="77777777" w:rsidR="00E60D90" w:rsidRPr="00511615" w:rsidRDefault="00E60D90" w:rsidP="00F71B37">
            <w:pPr>
              <w:jc w:val="center"/>
              <w:rPr>
                <w:rFonts w:ascii="Times New Roman" w:hAnsi="Times New Roman" w:cs="Times New Roman"/>
                <w:b/>
                <w:bCs/>
              </w:rPr>
            </w:pPr>
          </w:p>
          <w:p w14:paraId="7559A723" w14:textId="77777777" w:rsidR="00E60D90" w:rsidRPr="00511615" w:rsidRDefault="00E60D90" w:rsidP="00F71B37">
            <w:pPr>
              <w:jc w:val="center"/>
              <w:rPr>
                <w:rFonts w:ascii="Times New Roman" w:hAnsi="Times New Roman" w:cs="Times New Roman"/>
              </w:rPr>
            </w:pPr>
            <w:r w:rsidRPr="00511615">
              <w:rPr>
                <w:rFonts w:ascii="Times New Roman" w:hAnsi="Times New Roman" w:cs="Times New Roman"/>
              </w:rPr>
              <w:t>163</w:t>
            </w:r>
          </w:p>
          <w:p w14:paraId="0B6DE55A" w14:textId="77777777" w:rsidR="00E60D90" w:rsidRPr="00511615" w:rsidRDefault="00E60D90" w:rsidP="00F71B37">
            <w:pPr>
              <w:jc w:val="center"/>
              <w:rPr>
                <w:rFonts w:ascii="Times New Roman" w:hAnsi="Times New Roman" w:cs="Times New Roman"/>
              </w:rPr>
            </w:pPr>
            <w:r w:rsidRPr="00511615">
              <w:rPr>
                <w:rFonts w:ascii="Times New Roman" w:hAnsi="Times New Roman" w:cs="Times New Roman"/>
              </w:rPr>
              <w:t>218</w:t>
            </w:r>
          </w:p>
          <w:p w14:paraId="12045616" w14:textId="77777777" w:rsidR="00E60D90" w:rsidRPr="00511615" w:rsidRDefault="00E60D90" w:rsidP="00F71B37">
            <w:pPr>
              <w:jc w:val="center"/>
              <w:rPr>
                <w:rFonts w:ascii="Times New Roman" w:hAnsi="Times New Roman" w:cs="Times New Roman"/>
              </w:rPr>
            </w:pPr>
            <w:r w:rsidRPr="00511615">
              <w:rPr>
                <w:rFonts w:ascii="Times New Roman" w:hAnsi="Times New Roman" w:cs="Times New Roman"/>
              </w:rPr>
              <w:t>131</w:t>
            </w:r>
          </w:p>
          <w:p w14:paraId="388EBB99" w14:textId="4B6739CC" w:rsidR="00E60D90" w:rsidRPr="00511615" w:rsidRDefault="00E60D90" w:rsidP="00F71B37">
            <w:pPr>
              <w:jc w:val="center"/>
              <w:rPr>
                <w:rFonts w:ascii="Times New Roman" w:hAnsi="Times New Roman" w:cs="Times New Roman"/>
              </w:rPr>
            </w:pPr>
            <w:r w:rsidRPr="00511615">
              <w:rPr>
                <w:rFonts w:ascii="Times New Roman" w:hAnsi="Times New Roman" w:cs="Times New Roman"/>
              </w:rPr>
              <w:t>38</w:t>
            </w:r>
          </w:p>
        </w:tc>
        <w:tc>
          <w:tcPr>
            <w:tcW w:w="3117" w:type="dxa"/>
          </w:tcPr>
          <w:p w14:paraId="7CC12A9A" w14:textId="77777777" w:rsidR="00E60D90" w:rsidRPr="00511615" w:rsidRDefault="00E60D90" w:rsidP="00F71B37">
            <w:pPr>
              <w:jc w:val="center"/>
              <w:rPr>
                <w:rFonts w:ascii="Times New Roman" w:hAnsi="Times New Roman" w:cs="Times New Roman"/>
                <w:b/>
                <w:bCs/>
              </w:rPr>
            </w:pPr>
          </w:p>
          <w:p w14:paraId="53B9073E" w14:textId="77777777" w:rsidR="00E60D90" w:rsidRPr="00511615" w:rsidRDefault="00E60D90" w:rsidP="00F71B37">
            <w:pPr>
              <w:jc w:val="center"/>
              <w:rPr>
                <w:rFonts w:ascii="Times New Roman" w:hAnsi="Times New Roman" w:cs="Times New Roman"/>
              </w:rPr>
            </w:pPr>
            <w:r w:rsidRPr="00511615">
              <w:rPr>
                <w:rFonts w:ascii="Times New Roman" w:hAnsi="Times New Roman" w:cs="Times New Roman"/>
              </w:rPr>
              <w:t>29.6</w:t>
            </w:r>
          </w:p>
          <w:p w14:paraId="7C57AAB7" w14:textId="77777777" w:rsidR="00E60D90" w:rsidRPr="00511615" w:rsidRDefault="00E60D90" w:rsidP="00F71B37">
            <w:pPr>
              <w:jc w:val="center"/>
              <w:rPr>
                <w:rFonts w:ascii="Times New Roman" w:hAnsi="Times New Roman" w:cs="Times New Roman"/>
              </w:rPr>
            </w:pPr>
            <w:r w:rsidRPr="00511615">
              <w:rPr>
                <w:rFonts w:ascii="Times New Roman" w:hAnsi="Times New Roman" w:cs="Times New Roman"/>
              </w:rPr>
              <w:t>39.6</w:t>
            </w:r>
          </w:p>
          <w:p w14:paraId="4A3D1C7A" w14:textId="77777777" w:rsidR="00E60D90" w:rsidRPr="00511615" w:rsidRDefault="00E60D90" w:rsidP="00F71B37">
            <w:pPr>
              <w:jc w:val="center"/>
              <w:rPr>
                <w:rFonts w:ascii="Times New Roman" w:hAnsi="Times New Roman" w:cs="Times New Roman"/>
              </w:rPr>
            </w:pPr>
            <w:r w:rsidRPr="00511615">
              <w:rPr>
                <w:rFonts w:ascii="Times New Roman" w:hAnsi="Times New Roman" w:cs="Times New Roman"/>
              </w:rPr>
              <w:t>23.8</w:t>
            </w:r>
          </w:p>
          <w:p w14:paraId="56BF9CCB" w14:textId="257A40AD" w:rsidR="00E60D90" w:rsidRPr="00511615" w:rsidRDefault="00E60D90" w:rsidP="00F71B37">
            <w:pPr>
              <w:jc w:val="center"/>
              <w:rPr>
                <w:rFonts w:ascii="Times New Roman" w:hAnsi="Times New Roman" w:cs="Times New Roman"/>
              </w:rPr>
            </w:pPr>
            <w:r w:rsidRPr="00511615">
              <w:rPr>
                <w:rFonts w:ascii="Times New Roman" w:hAnsi="Times New Roman" w:cs="Times New Roman"/>
              </w:rPr>
              <w:t>6.9</w:t>
            </w:r>
          </w:p>
        </w:tc>
      </w:tr>
      <w:tr w:rsidR="00CA18F4" w14:paraId="2E060658" w14:textId="77777777" w:rsidTr="005B49C9">
        <w:trPr>
          <w:trHeight w:val="1686"/>
        </w:trPr>
        <w:tc>
          <w:tcPr>
            <w:tcW w:w="3116" w:type="dxa"/>
          </w:tcPr>
          <w:p w14:paraId="2E8372BB" w14:textId="77777777" w:rsidR="00CA18F4" w:rsidRPr="00511615" w:rsidRDefault="00CA18F4" w:rsidP="00F71B37">
            <w:pPr>
              <w:jc w:val="center"/>
              <w:rPr>
                <w:rFonts w:ascii="Times New Roman" w:hAnsi="Times New Roman" w:cs="Times New Roman"/>
                <w:b/>
                <w:bCs/>
              </w:rPr>
            </w:pPr>
            <w:r w:rsidRPr="00511615">
              <w:rPr>
                <w:rFonts w:ascii="Times New Roman" w:hAnsi="Times New Roman" w:cs="Times New Roman"/>
                <w:b/>
                <w:bCs/>
              </w:rPr>
              <w:t>Education Qualification</w:t>
            </w:r>
          </w:p>
          <w:p w14:paraId="146A50F3" w14:textId="77777777" w:rsidR="00CA18F4" w:rsidRPr="00511615" w:rsidRDefault="00CA18F4" w:rsidP="00F71B37">
            <w:pPr>
              <w:jc w:val="center"/>
              <w:rPr>
                <w:rFonts w:ascii="Times New Roman" w:hAnsi="Times New Roman" w:cs="Times New Roman"/>
                <w:lang w:val="en-US"/>
              </w:rPr>
            </w:pPr>
            <w:r w:rsidRPr="00511615">
              <w:rPr>
                <w:rFonts w:ascii="Times New Roman" w:hAnsi="Times New Roman" w:cs="Times New Roman"/>
                <w:lang w:val="en-US"/>
              </w:rPr>
              <w:t>high secondary</w:t>
            </w:r>
          </w:p>
          <w:p w14:paraId="1A3E57F9" w14:textId="77777777" w:rsidR="00CA18F4" w:rsidRPr="00511615" w:rsidRDefault="00CA18F4" w:rsidP="00F71B37">
            <w:pPr>
              <w:jc w:val="center"/>
              <w:rPr>
                <w:rFonts w:ascii="Times New Roman" w:hAnsi="Times New Roman" w:cs="Times New Roman"/>
                <w:lang w:val="en-US"/>
              </w:rPr>
            </w:pPr>
            <w:r w:rsidRPr="00511615">
              <w:rPr>
                <w:rFonts w:ascii="Times New Roman" w:hAnsi="Times New Roman" w:cs="Times New Roman"/>
                <w:lang w:val="en-US"/>
              </w:rPr>
              <w:t>senior secondary</w:t>
            </w:r>
          </w:p>
          <w:p w14:paraId="567890DF" w14:textId="77777777" w:rsidR="00CA18F4" w:rsidRPr="00511615" w:rsidRDefault="00CA18F4" w:rsidP="00F71B37">
            <w:pPr>
              <w:jc w:val="center"/>
              <w:rPr>
                <w:rFonts w:ascii="Times New Roman" w:hAnsi="Times New Roman" w:cs="Times New Roman"/>
                <w:lang w:val="en-US"/>
              </w:rPr>
            </w:pPr>
            <w:r w:rsidRPr="00511615">
              <w:rPr>
                <w:rFonts w:ascii="Times New Roman" w:hAnsi="Times New Roman" w:cs="Times New Roman"/>
                <w:lang w:val="en-US"/>
              </w:rPr>
              <w:t>under graduate</w:t>
            </w:r>
          </w:p>
          <w:p w14:paraId="6448AB7B" w14:textId="77777777" w:rsidR="00CA18F4" w:rsidRPr="00511615" w:rsidRDefault="00CA18F4" w:rsidP="00F71B37">
            <w:pPr>
              <w:jc w:val="center"/>
              <w:rPr>
                <w:rFonts w:ascii="Times New Roman" w:hAnsi="Times New Roman" w:cs="Times New Roman"/>
                <w:lang w:val="en-US"/>
              </w:rPr>
            </w:pPr>
            <w:r w:rsidRPr="00511615">
              <w:rPr>
                <w:rFonts w:ascii="Times New Roman" w:hAnsi="Times New Roman" w:cs="Times New Roman"/>
                <w:lang w:val="en-US"/>
              </w:rPr>
              <w:t>post graduate</w:t>
            </w:r>
          </w:p>
          <w:p w14:paraId="1A89998D" w14:textId="3A4779D1" w:rsidR="00CA18F4" w:rsidRPr="00511615" w:rsidRDefault="00CA18F4" w:rsidP="00F71B37">
            <w:pPr>
              <w:jc w:val="center"/>
              <w:rPr>
                <w:rFonts w:ascii="Times New Roman" w:hAnsi="Times New Roman" w:cs="Times New Roman"/>
              </w:rPr>
            </w:pPr>
            <w:r w:rsidRPr="00511615">
              <w:rPr>
                <w:rFonts w:ascii="Times New Roman" w:hAnsi="Times New Roman" w:cs="Times New Roman"/>
              </w:rPr>
              <w:t>others</w:t>
            </w:r>
          </w:p>
        </w:tc>
        <w:tc>
          <w:tcPr>
            <w:tcW w:w="3117" w:type="dxa"/>
          </w:tcPr>
          <w:p w14:paraId="52563B8D" w14:textId="77777777" w:rsidR="00CA18F4" w:rsidRPr="00511615" w:rsidRDefault="00CA18F4" w:rsidP="00F71B37">
            <w:pPr>
              <w:jc w:val="center"/>
              <w:rPr>
                <w:rFonts w:ascii="Times New Roman" w:hAnsi="Times New Roman" w:cs="Times New Roman"/>
                <w:b/>
                <w:bCs/>
              </w:rPr>
            </w:pPr>
          </w:p>
          <w:p w14:paraId="4514FB55" w14:textId="77777777" w:rsidR="00CA18F4" w:rsidRPr="00511615" w:rsidRDefault="00CA18F4" w:rsidP="00F71B37">
            <w:pPr>
              <w:jc w:val="center"/>
              <w:rPr>
                <w:rFonts w:ascii="Times New Roman" w:hAnsi="Times New Roman" w:cs="Times New Roman"/>
              </w:rPr>
            </w:pPr>
            <w:r w:rsidRPr="00511615">
              <w:rPr>
                <w:rFonts w:ascii="Times New Roman" w:hAnsi="Times New Roman" w:cs="Times New Roman"/>
              </w:rPr>
              <w:t>15</w:t>
            </w:r>
          </w:p>
          <w:p w14:paraId="62EE1F7E" w14:textId="77777777" w:rsidR="00CA18F4" w:rsidRPr="00511615" w:rsidRDefault="00CA18F4" w:rsidP="00F71B37">
            <w:pPr>
              <w:jc w:val="center"/>
              <w:rPr>
                <w:rFonts w:ascii="Times New Roman" w:hAnsi="Times New Roman" w:cs="Times New Roman"/>
              </w:rPr>
            </w:pPr>
            <w:r w:rsidRPr="00511615">
              <w:rPr>
                <w:rFonts w:ascii="Times New Roman" w:hAnsi="Times New Roman" w:cs="Times New Roman"/>
              </w:rPr>
              <w:t>57</w:t>
            </w:r>
          </w:p>
          <w:p w14:paraId="635D617C" w14:textId="77777777" w:rsidR="00CA18F4" w:rsidRPr="00511615" w:rsidRDefault="00CA18F4" w:rsidP="00F71B37">
            <w:pPr>
              <w:jc w:val="center"/>
              <w:rPr>
                <w:rFonts w:ascii="Times New Roman" w:hAnsi="Times New Roman" w:cs="Times New Roman"/>
              </w:rPr>
            </w:pPr>
            <w:r w:rsidRPr="00511615">
              <w:rPr>
                <w:rFonts w:ascii="Times New Roman" w:hAnsi="Times New Roman" w:cs="Times New Roman"/>
              </w:rPr>
              <w:t>183</w:t>
            </w:r>
          </w:p>
          <w:p w14:paraId="23D53E3C" w14:textId="46412BAD" w:rsidR="00CA18F4" w:rsidRPr="00511615" w:rsidRDefault="00CA18F4" w:rsidP="00F71B37">
            <w:pPr>
              <w:jc w:val="center"/>
              <w:rPr>
                <w:rFonts w:ascii="Times New Roman" w:hAnsi="Times New Roman" w:cs="Times New Roman"/>
              </w:rPr>
            </w:pPr>
            <w:r w:rsidRPr="00511615">
              <w:rPr>
                <w:rFonts w:ascii="Times New Roman" w:hAnsi="Times New Roman" w:cs="Times New Roman"/>
              </w:rPr>
              <w:t>214</w:t>
            </w:r>
          </w:p>
          <w:p w14:paraId="2BD46FEB" w14:textId="0265F113" w:rsidR="00CA18F4" w:rsidRPr="00511615" w:rsidRDefault="00CA18F4" w:rsidP="00F71B37">
            <w:pPr>
              <w:jc w:val="center"/>
              <w:rPr>
                <w:rFonts w:ascii="Times New Roman" w:hAnsi="Times New Roman" w:cs="Times New Roman"/>
                <w:b/>
                <w:bCs/>
              </w:rPr>
            </w:pPr>
            <w:r w:rsidRPr="00511615">
              <w:rPr>
                <w:rFonts w:ascii="Times New Roman" w:hAnsi="Times New Roman" w:cs="Times New Roman"/>
              </w:rPr>
              <w:t>81</w:t>
            </w:r>
          </w:p>
        </w:tc>
        <w:tc>
          <w:tcPr>
            <w:tcW w:w="3117" w:type="dxa"/>
          </w:tcPr>
          <w:p w14:paraId="1251BC38" w14:textId="77777777" w:rsidR="00CA18F4" w:rsidRPr="00511615" w:rsidRDefault="00CA18F4" w:rsidP="00F71B37">
            <w:pPr>
              <w:jc w:val="center"/>
              <w:rPr>
                <w:rFonts w:ascii="Times New Roman" w:hAnsi="Times New Roman" w:cs="Times New Roman"/>
              </w:rPr>
            </w:pPr>
          </w:p>
          <w:p w14:paraId="7B0C57D9" w14:textId="77777777" w:rsidR="00CA18F4" w:rsidRPr="00511615" w:rsidRDefault="00CA18F4" w:rsidP="00F71B37">
            <w:pPr>
              <w:jc w:val="center"/>
              <w:rPr>
                <w:rFonts w:ascii="Times New Roman" w:hAnsi="Times New Roman" w:cs="Times New Roman"/>
              </w:rPr>
            </w:pPr>
            <w:r w:rsidRPr="00511615">
              <w:rPr>
                <w:rFonts w:ascii="Times New Roman" w:hAnsi="Times New Roman" w:cs="Times New Roman"/>
              </w:rPr>
              <w:t>2.7</w:t>
            </w:r>
          </w:p>
          <w:p w14:paraId="18693EAF" w14:textId="77777777" w:rsidR="00CA18F4" w:rsidRPr="00511615" w:rsidRDefault="00CA18F4" w:rsidP="00F71B37">
            <w:pPr>
              <w:jc w:val="center"/>
              <w:rPr>
                <w:rFonts w:ascii="Times New Roman" w:hAnsi="Times New Roman" w:cs="Times New Roman"/>
              </w:rPr>
            </w:pPr>
            <w:r w:rsidRPr="00511615">
              <w:rPr>
                <w:rFonts w:ascii="Times New Roman" w:hAnsi="Times New Roman" w:cs="Times New Roman"/>
              </w:rPr>
              <w:t>10.4</w:t>
            </w:r>
          </w:p>
          <w:p w14:paraId="63BD03B4" w14:textId="77777777" w:rsidR="00CA18F4" w:rsidRPr="00511615" w:rsidRDefault="00CA18F4" w:rsidP="00F71B37">
            <w:pPr>
              <w:jc w:val="center"/>
              <w:rPr>
                <w:rFonts w:ascii="Times New Roman" w:hAnsi="Times New Roman" w:cs="Times New Roman"/>
              </w:rPr>
            </w:pPr>
            <w:r w:rsidRPr="00511615">
              <w:rPr>
                <w:rFonts w:ascii="Times New Roman" w:hAnsi="Times New Roman" w:cs="Times New Roman"/>
              </w:rPr>
              <w:t>33.3</w:t>
            </w:r>
          </w:p>
          <w:p w14:paraId="2597677A" w14:textId="77777777" w:rsidR="00CA18F4" w:rsidRPr="00511615" w:rsidRDefault="00CA18F4" w:rsidP="00F71B37">
            <w:pPr>
              <w:jc w:val="center"/>
              <w:rPr>
                <w:rFonts w:ascii="Times New Roman" w:hAnsi="Times New Roman" w:cs="Times New Roman"/>
              </w:rPr>
            </w:pPr>
            <w:r w:rsidRPr="00511615">
              <w:rPr>
                <w:rFonts w:ascii="Times New Roman" w:hAnsi="Times New Roman" w:cs="Times New Roman"/>
              </w:rPr>
              <w:t>38.9</w:t>
            </w:r>
          </w:p>
          <w:p w14:paraId="0FD65EF8" w14:textId="41B2571D" w:rsidR="00CA18F4" w:rsidRPr="00511615" w:rsidRDefault="00CA18F4" w:rsidP="00F71B37">
            <w:pPr>
              <w:jc w:val="center"/>
              <w:rPr>
                <w:rFonts w:ascii="Times New Roman" w:hAnsi="Times New Roman" w:cs="Times New Roman"/>
              </w:rPr>
            </w:pPr>
            <w:r w:rsidRPr="00511615">
              <w:rPr>
                <w:rFonts w:ascii="Times New Roman" w:hAnsi="Times New Roman" w:cs="Times New Roman"/>
              </w:rPr>
              <w:t>14.7</w:t>
            </w:r>
          </w:p>
        </w:tc>
      </w:tr>
    </w:tbl>
    <w:p w14:paraId="5D2BC874" w14:textId="77777777" w:rsidR="000F2AE1" w:rsidRDefault="000F2AE1" w:rsidP="000F2AE1">
      <w:pPr>
        <w:spacing w:line="360" w:lineRule="auto"/>
        <w:jc w:val="both"/>
        <w:rPr>
          <w:rFonts w:ascii="Times New Roman" w:hAnsi="Times New Roman" w:cs="Times New Roman"/>
          <w:sz w:val="24"/>
          <w:szCs w:val="24"/>
        </w:rPr>
      </w:pPr>
    </w:p>
    <w:p w14:paraId="469858F1" w14:textId="3F6ABA7F" w:rsidR="00851CE0" w:rsidRDefault="000F2AE1" w:rsidP="007270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3. provides details about the socio-demographic segmentation of the respondents. The highest number (220,40.0%) of the respondents fell under the age group of 31 to 40 yrs., with more percentage (53.6%) of female respondents. The maximum number (214) of respondents had an education qualification of post-graduation with the maximum respondents (218) falling under the income level of 25,001 to 50,000. </w:t>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t xml:space="preserve"> </w:t>
      </w:r>
      <w:r w:rsidR="006E0F92" w:rsidRPr="00541576">
        <w:rPr>
          <w:rFonts w:ascii="Times New Roman" w:hAnsi="Times New Roman" w:cs="Times New Roman"/>
          <w:sz w:val="24"/>
          <w:szCs w:val="24"/>
        </w:rPr>
        <w:t>CFA was performed on the data</w:t>
      </w:r>
      <w:r w:rsidR="00C21881">
        <w:rPr>
          <w:rFonts w:ascii="Times New Roman" w:hAnsi="Times New Roman" w:cs="Times New Roman"/>
          <w:sz w:val="24"/>
          <w:szCs w:val="24"/>
        </w:rPr>
        <w:t xml:space="preserve"> as shown in figure 2,</w:t>
      </w:r>
      <w:r w:rsidR="006E0F92" w:rsidRPr="00541576">
        <w:rPr>
          <w:rFonts w:ascii="Times New Roman" w:hAnsi="Times New Roman" w:cs="Times New Roman"/>
          <w:sz w:val="24"/>
          <w:szCs w:val="24"/>
        </w:rPr>
        <w:t xml:space="preserve"> to check whether the data fit</w:t>
      </w:r>
      <w:r w:rsidR="00642ECC">
        <w:rPr>
          <w:rFonts w:ascii="Times New Roman" w:hAnsi="Times New Roman" w:cs="Times New Roman"/>
          <w:sz w:val="24"/>
          <w:szCs w:val="24"/>
        </w:rPr>
        <w:t>s</w:t>
      </w:r>
      <w:r w:rsidR="006E0F92" w:rsidRPr="00541576">
        <w:rPr>
          <w:rFonts w:ascii="Times New Roman" w:hAnsi="Times New Roman" w:cs="Times New Roman"/>
          <w:sz w:val="24"/>
          <w:szCs w:val="24"/>
        </w:rPr>
        <w:t xml:space="preserve"> a predefi</w:t>
      </w:r>
      <w:r w:rsidR="00612DBB" w:rsidRPr="00541576">
        <w:rPr>
          <w:rFonts w:ascii="Times New Roman" w:hAnsi="Times New Roman" w:cs="Times New Roman"/>
          <w:sz w:val="24"/>
          <w:szCs w:val="24"/>
        </w:rPr>
        <w:t>ned structure and to test the construct reliability, convergent, divergent</w:t>
      </w:r>
      <w:r w:rsidR="00A0727E">
        <w:rPr>
          <w:rFonts w:ascii="Times New Roman" w:hAnsi="Times New Roman" w:cs="Times New Roman"/>
          <w:sz w:val="24"/>
          <w:szCs w:val="24"/>
        </w:rPr>
        <w:t>/</w:t>
      </w:r>
      <w:r w:rsidR="00612DBB" w:rsidRPr="00541576">
        <w:rPr>
          <w:rFonts w:ascii="Times New Roman" w:hAnsi="Times New Roman" w:cs="Times New Roman"/>
          <w:sz w:val="24"/>
          <w:szCs w:val="24"/>
        </w:rPr>
        <w:t xml:space="preserve">discriminant validity along with testing the model fitness of the data. </w:t>
      </w:r>
      <w:r w:rsidR="00541576" w:rsidRPr="00541576">
        <w:rPr>
          <w:rFonts w:ascii="Times New Roman" w:hAnsi="Times New Roman" w:cs="Times New Roman"/>
          <w:sz w:val="24"/>
          <w:szCs w:val="24"/>
        </w:rPr>
        <w:t xml:space="preserve">Four steps were followed: i) construct reliability was calculated for the assessment of the internal consistency, acceptable value being &gt;0.70.     </w:t>
      </w:r>
      <w:r w:rsidR="00541576" w:rsidRPr="00541576">
        <w:rPr>
          <w:rFonts w:ascii="Times New Roman" w:hAnsi="Times New Roman" w:cs="Times New Roman"/>
          <w:sz w:val="24"/>
          <w:szCs w:val="24"/>
        </w:rPr>
        <w:tab/>
        <w:t xml:space="preserve"> ii) the indicator reliability of an adequate loading of &gt; 0.4</w:t>
      </w:r>
      <w:r w:rsidR="00541576">
        <w:rPr>
          <w:rFonts w:ascii="Times New Roman" w:hAnsi="Times New Roman" w:cs="Times New Roman"/>
          <w:sz w:val="24"/>
          <w:szCs w:val="24"/>
        </w:rPr>
        <w:t>.</w:t>
      </w:r>
      <w:r w:rsidR="00541576">
        <w:rPr>
          <w:rFonts w:ascii="Times New Roman" w:hAnsi="Times New Roman" w:cs="Times New Roman"/>
          <w:sz w:val="24"/>
          <w:szCs w:val="24"/>
        </w:rPr>
        <w:tab/>
      </w:r>
      <w:r w:rsidR="00541576">
        <w:rPr>
          <w:rFonts w:ascii="Times New Roman" w:hAnsi="Times New Roman" w:cs="Times New Roman"/>
          <w:sz w:val="24"/>
          <w:szCs w:val="24"/>
        </w:rPr>
        <w:tab/>
      </w:r>
      <w:r w:rsidR="00541576">
        <w:rPr>
          <w:rFonts w:ascii="Times New Roman" w:hAnsi="Times New Roman" w:cs="Times New Roman"/>
          <w:sz w:val="24"/>
          <w:szCs w:val="24"/>
        </w:rPr>
        <w:tab/>
      </w:r>
      <w:r w:rsidR="00541576">
        <w:rPr>
          <w:rFonts w:ascii="Times New Roman" w:hAnsi="Times New Roman" w:cs="Times New Roman"/>
          <w:sz w:val="24"/>
          <w:szCs w:val="24"/>
        </w:rPr>
        <w:tab/>
      </w:r>
      <w:r w:rsidR="00541576">
        <w:rPr>
          <w:rFonts w:ascii="Times New Roman" w:hAnsi="Times New Roman" w:cs="Times New Roman"/>
          <w:sz w:val="24"/>
          <w:szCs w:val="24"/>
        </w:rPr>
        <w:tab/>
        <w:t xml:space="preserve">         iii) </w:t>
      </w:r>
      <w:r w:rsidR="00541576" w:rsidRPr="00541576">
        <w:rPr>
          <w:rFonts w:ascii="Times New Roman" w:hAnsi="Times New Roman" w:cs="Times New Roman"/>
          <w:sz w:val="24"/>
          <w:szCs w:val="24"/>
        </w:rPr>
        <w:t xml:space="preserve">assessment of the convergent validity through Average Variance Extracted (AVE) with adequate threshold &gt; 0.50. </w:t>
      </w:r>
      <w:r w:rsidR="00541576">
        <w:rPr>
          <w:rFonts w:ascii="Times New Roman" w:hAnsi="Times New Roman" w:cs="Times New Roman"/>
          <w:sz w:val="24"/>
          <w:szCs w:val="24"/>
        </w:rPr>
        <w:tab/>
      </w:r>
      <w:r w:rsidR="00541576">
        <w:rPr>
          <w:rFonts w:ascii="Times New Roman" w:hAnsi="Times New Roman" w:cs="Times New Roman"/>
          <w:sz w:val="24"/>
          <w:szCs w:val="24"/>
        </w:rPr>
        <w:tab/>
        <w:t xml:space="preserve">         </w:t>
      </w:r>
      <w:r w:rsidR="00541576">
        <w:rPr>
          <w:rFonts w:ascii="Times New Roman" w:hAnsi="Times New Roman" w:cs="Times New Roman"/>
          <w:sz w:val="24"/>
          <w:szCs w:val="24"/>
        </w:rPr>
        <w:tab/>
      </w:r>
      <w:r w:rsidR="00541576">
        <w:rPr>
          <w:rFonts w:ascii="Times New Roman" w:hAnsi="Times New Roman" w:cs="Times New Roman"/>
          <w:sz w:val="24"/>
          <w:szCs w:val="24"/>
        </w:rPr>
        <w:tab/>
      </w:r>
      <w:r w:rsidR="00541576">
        <w:rPr>
          <w:rFonts w:ascii="Times New Roman" w:hAnsi="Times New Roman" w:cs="Times New Roman"/>
          <w:sz w:val="24"/>
          <w:szCs w:val="24"/>
        </w:rPr>
        <w:tab/>
      </w:r>
      <w:r w:rsidR="00541576">
        <w:rPr>
          <w:rFonts w:ascii="Times New Roman" w:hAnsi="Times New Roman" w:cs="Times New Roman"/>
          <w:sz w:val="24"/>
          <w:szCs w:val="24"/>
        </w:rPr>
        <w:tab/>
      </w:r>
      <w:r w:rsidR="00541576">
        <w:rPr>
          <w:rFonts w:ascii="Times New Roman" w:hAnsi="Times New Roman" w:cs="Times New Roman"/>
          <w:sz w:val="24"/>
          <w:szCs w:val="24"/>
        </w:rPr>
        <w:tab/>
      </w:r>
      <w:r w:rsidR="00541576">
        <w:rPr>
          <w:rFonts w:ascii="Times New Roman" w:hAnsi="Times New Roman" w:cs="Times New Roman"/>
          <w:sz w:val="24"/>
          <w:szCs w:val="24"/>
        </w:rPr>
        <w:tab/>
      </w:r>
      <w:r w:rsidR="00541576">
        <w:rPr>
          <w:rFonts w:ascii="Times New Roman" w:hAnsi="Times New Roman" w:cs="Times New Roman"/>
          <w:sz w:val="24"/>
          <w:szCs w:val="24"/>
        </w:rPr>
        <w:tab/>
        <w:t xml:space="preserve">        </w:t>
      </w:r>
      <w:r w:rsidR="00541576" w:rsidRPr="00541576">
        <w:rPr>
          <w:rFonts w:ascii="Times New Roman" w:hAnsi="Times New Roman" w:cs="Times New Roman"/>
          <w:sz w:val="24"/>
          <w:szCs w:val="24"/>
        </w:rPr>
        <w:t>i</w:t>
      </w:r>
      <w:r w:rsidR="00541576">
        <w:rPr>
          <w:rFonts w:ascii="Times New Roman" w:hAnsi="Times New Roman" w:cs="Times New Roman"/>
          <w:sz w:val="24"/>
          <w:szCs w:val="24"/>
        </w:rPr>
        <w:t>v</w:t>
      </w:r>
      <w:r w:rsidR="00541576" w:rsidRPr="00541576">
        <w:rPr>
          <w:rFonts w:ascii="Times New Roman" w:hAnsi="Times New Roman" w:cs="Times New Roman"/>
          <w:sz w:val="24"/>
          <w:szCs w:val="24"/>
        </w:rPr>
        <w:t>) assessment of divergent</w:t>
      </w:r>
      <w:r w:rsidR="00A0727E">
        <w:rPr>
          <w:rFonts w:ascii="Times New Roman" w:hAnsi="Times New Roman" w:cs="Times New Roman"/>
          <w:sz w:val="24"/>
          <w:szCs w:val="24"/>
        </w:rPr>
        <w:t>/</w:t>
      </w:r>
      <w:r w:rsidR="00C621A5">
        <w:rPr>
          <w:rFonts w:ascii="Times New Roman" w:hAnsi="Times New Roman" w:cs="Times New Roman"/>
          <w:sz w:val="24"/>
          <w:szCs w:val="24"/>
        </w:rPr>
        <w:t xml:space="preserve">discriminant </w:t>
      </w:r>
      <w:r w:rsidR="00C621A5" w:rsidRPr="00541576">
        <w:rPr>
          <w:rFonts w:ascii="Times New Roman" w:hAnsi="Times New Roman" w:cs="Times New Roman"/>
          <w:sz w:val="24"/>
          <w:szCs w:val="24"/>
        </w:rPr>
        <w:t>validity</w:t>
      </w:r>
      <w:r w:rsidR="00541576" w:rsidRPr="00541576">
        <w:rPr>
          <w:rFonts w:ascii="Times New Roman" w:hAnsi="Times New Roman" w:cs="Times New Roman"/>
          <w:sz w:val="24"/>
          <w:szCs w:val="24"/>
        </w:rPr>
        <w:t xml:space="preserve"> through Fornell-Lackerand</w:t>
      </w:r>
      <w:r w:rsidR="00D67B2B">
        <w:rPr>
          <w:rFonts w:ascii="Times New Roman" w:hAnsi="Times New Roman" w:cs="Times New Roman"/>
          <w:sz w:val="24"/>
          <w:szCs w:val="24"/>
        </w:rPr>
        <w:t xml:space="preserve"> </w:t>
      </w:r>
      <w:r w:rsidR="00541576" w:rsidRPr="00541576">
        <w:rPr>
          <w:rFonts w:ascii="Times New Roman" w:hAnsi="Times New Roman" w:cs="Times New Roman"/>
          <w:sz w:val="24"/>
          <w:szCs w:val="24"/>
        </w:rPr>
        <w:t>Heterotrait Monotrait Ratio (HTMT)</w:t>
      </w:r>
      <w:r w:rsidR="00511615">
        <w:rPr>
          <w:rFonts w:ascii="Times New Roman" w:hAnsi="Times New Roman" w:cs="Times New Roman"/>
          <w:sz w:val="24"/>
          <w:szCs w:val="24"/>
        </w:rPr>
        <w:t xml:space="preserve">. </w:t>
      </w:r>
      <w:r w:rsidR="00541576">
        <w:rPr>
          <w:rFonts w:ascii="Times New Roman" w:hAnsi="Times New Roman" w:cs="Times New Roman"/>
          <w:sz w:val="24"/>
          <w:szCs w:val="24"/>
        </w:rPr>
        <w:t>Along with these four steps Cronbach Alpha was also</w:t>
      </w:r>
      <w:r w:rsidR="00511615">
        <w:rPr>
          <w:rFonts w:ascii="Times New Roman" w:hAnsi="Times New Roman" w:cs="Times New Roman"/>
          <w:sz w:val="24"/>
          <w:szCs w:val="24"/>
        </w:rPr>
        <w:t xml:space="preserve"> calculated to assess the internal consistency.</w:t>
      </w:r>
    </w:p>
    <w:p w14:paraId="53DC7A93" w14:textId="77777777" w:rsidR="00727080" w:rsidRDefault="00727080" w:rsidP="00727080">
      <w:pPr>
        <w:spacing w:line="240" w:lineRule="auto"/>
        <w:jc w:val="both"/>
        <w:rPr>
          <w:rFonts w:ascii="Times New Roman" w:hAnsi="Times New Roman" w:cs="Times New Roman"/>
          <w:sz w:val="24"/>
          <w:szCs w:val="24"/>
        </w:rPr>
      </w:pPr>
    </w:p>
    <w:p w14:paraId="4A201E9B" w14:textId="77777777" w:rsidR="00727080" w:rsidRPr="00851CE0" w:rsidRDefault="00727080" w:rsidP="00727080">
      <w:pPr>
        <w:spacing w:line="240" w:lineRule="auto"/>
        <w:jc w:val="both"/>
        <w:rPr>
          <w:rFonts w:ascii="Times New Roman" w:hAnsi="Times New Roman" w:cs="Times New Roman"/>
          <w:sz w:val="24"/>
          <w:szCs w:val="24"/>
        </w:rPr>
      </w:pPr>
    </w:p>
    <w:p w14:paraId="5D98DEAE" w14:textId="77777777" w:rsidR="00851CE0" w:rsidRDefault="00851CE0" w:rsidP="00851CE0">
      <w:r w:rsidRPr="00727080">
        <w:rPr>
          <w:rFonts w:ascii="Times New Roman" w:hAnsi="Times New Roman" w:cs="Times New Roman"/>
          <w:b/>
          <w:bCs/>
        </w:rPr>
        <w:lastRenderedPageBreak/>
        <w:t xml:space="preserve">Figure_2. </w:t>
      </w:r>
      <w:r w:rsidRPr="00727080">
        <w:rPr>
          <w:rFonts w:ascii="Times New Roman" w:hAnsi="Times New Roman" w:cs="Times New Roman"/>
          <w:b/>
          <w:bCs/>
          <w:sz w:val="24"/>
          <w:szCs w:val="24"/>
        </w:rPr>
        <w:t>Confirmatory</w:t>
      </w:r>
      <w:r>
        <w:rPr>
          <w:rFonts w:ascii="Times New Roman" w:hAnsi="Times New Roman" w:cs="Times New Roman"/>
          <w:b/>
          <w:bCs/>
          <w:sz w:val="24"/>
          <w:szCs w:val="24"/>
        </w:rPr>
        <w:t xml:space="preserve"> Factor Analysis</w:t>
      </w:r>
    </w:p>
    <w:p w14:paraId="78C063E7" w14:textId="77777777" w:rsidR="00851CE0" w:rsidRDefault="00851CE0" w:rsidP="00A04852">
      <w:pPr>
        <w:spacing w:line="360" w:lineRule="auto"/>
        <w:jc w:val="both"/>
        <w:rPr>
          <w:rFonts w:ascii="Times New Roman" w:hAnsi="Times New Roman" w:cs="Times New Roman"/>
          <w:sz w:val="24"/>
          <w:szCs w:val="24"/>
        </w:rPr>
      </w:pPr>
    </w:p>
    <w:p w14:paraId="6836B92D" w14:textId="7EF48A9B" w:rsidR="00851CE0" w:rsidRDefault="00851CE0" w:rsidP="00A04852">
      <w:pPr>
        <w:spacing w:line="360" w:lineRule="auto"/>
        <w:jc w:val="both"/>
        <w:rPr>
          <w:rFonts w:ascii="Times New Roman" w:hAnsi="Times New Roman" w:cs="Times New Roman"/>
          <w:sz w:val="24"/>
          <w:szCs w:val="24"/>
        </w:rPr>
      </w:pPr>
      <w:r w:rsidRPr="003E7E96">
        <w:rPr>
          <w:noProof/>
        </w:rPr>
        <w:drawing>
          <wp:inline distT="0" distB="0" distL="0" distR="0" wp14:anchorId="06764942" wp14:editId="02E520A7">
            <wp:extent cx="5257800" cy="3673475"/>
            <wp:effectExtent l="0" t="0" r="0" b="3175"/>
            <wp:docPr id="294275456"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75456" name="Picture 1" descr="A diagram of a flowchart&#10;&#10;AI-generated content may be incorrect."/>
                    <pic:cNvPicPr/>
                  </pic:nvPicPr>
                  <pic:blipFill>
                    <a:blip r:embed="rId9"/>
                    <a:stretch>
                      <a:fillRect/>
                    </a:stretch>
                  </pic:blipFill>
                  <pic:spPr>
                    <a:xfrm>
                      <a:off x="0" y="0"/>
                      <a:ext cx="5331333" cy="3724850"/>
                    </a:xfrm>
                    <a:prstGeom prst="rect">
                      <a:avLst/>
                    </a:prstGeom>
                  </pic:spPr>
                </pic:pic>
              </a:graphicData>
            </a:graphic>
          </wp:inline>
        </w:drawing>
      </w:r>
    </w:p>
    <w:p w14:paraId="3BB59F5B" w14:textId="77777777" w:rsidR="00851CE0" w:rsidRPr="004B7EC1" w:rsidRDefault="00851CE0" w:rsidP="00851CE0">
      <w:pPr>
        <w:spacing w:line="360" w:lineRule="auto"/>
        <w:jc w:val="both"/>
        <w:rPr>
          <w:rFonts w:ascii="Times New Roman" w:hAnsi="Times New Roman" w:cs="Times New Roman"/>
          <w:sz w:val="16"/>
          <w:szCs w:val="16"/>
        </w:rPr>
      </w:pPr>
      <w:r w:rsidRPr="00904F96">
        <w:rPr>
          <w:rFonts w:ascii="Times New Roman" w:hAnsi="Times New Roman" w:cs="Times New Roman"/>
          <w:sz w:val="16"/>
          <w:szCs w:val="16"/>
        </w:rPr>
        <w:t>Note: AW- Environmental Awareness; ETH – Environmental Ethics; AT – Environmental Attitude; OP – Organic Preference</w:t>
      </w:r>
    </w:p>
    <w:p w14:paraId="540FC3D6" w14:textId="32ADE52B" w:rsidR="00511615" w:rsidRPr="00E66FDE" w:rsidRDefault="00511615" w:rsidP="00A04852">
      <w:pPr>
        <w:spacing w:line="360" w:lineRule="auto"/>
        <w:jc w:val="both"/>
        <w:rPr>
          <w:rFonts w:ascii="Times New Roman" w:hAnsi="Times New Roman" w:cs="Times New Roman"/>
          <w:sz w:val="24"/>
          <w:szCs w:val="24"/>
        </w:rPr>
      </w:pPr>
      <w:r w:rsidRPr="00511615">
        <w:rPr>
          <w:rFonts w:ascii="Times New Roman" w:hAnsi="Times New Roman" w:cs="Times New Roman"/>
          <w:b/>
          <w:bCs/>
          <w:sz w:val="24"/>
          <w:szCs w:val="24"/>
        </w:rPr>
        <w:t xml:space="preserve">Table 4. Internal consistency assessment through Cronbach Alpha and Construct Reliability  </w:t>
      </w:r>
    </w:p>
    <w:tbl>
      <w:tblPr>
        <w:tblStyle w:val="TableGrid"/>
        <w:tblW w:w="0" w:type="auto"/>
        <w:tblLook w:val="04A0" w:firstRow="1" w:lastRow="0" w:firstColumn="1" w:lastColumn="0" w:noHBand="0" w:noVBand="1"/>
      </w:tblPr>
      <w:tblGrid>
        <w:gridCol w:w="3325"/>
        <w:gridCol w:w="1800"/>
        <w:gridCol w:w="1890"/>
        <w:gridCol w:w="1890"/>
      </w:tblGrid>
      <w:tr w:rsidR="00DB6D15" w14:paraId="48C8FEF7" w14:textId="3C3408FF" w:rsidTr="00511615">
        <w:trPr>
          <w:trHeight w:val="485"/>
        </w:trPr>
        <w:tc>
          <w:tcPr>
            <w:tcW w:w="3325" w:type="dxa"/>
          </w:tcPr>
          <w:p w14:paraId="0B54A745" w14:textId="74681C19" w:rsidR="00DB6D15" w:rsidRPr="00511615" w:rsidRDefault="00DB6D15" w:rsidP="00A04852">
            <w:pPr>
              <w:spacing w:line="360" w:lineRule="auto"/>
              <w:jc w:val="center"/>
              <w:rPr>
                <w:rFonts w:ascii="Times New Roman" w:hAnsi="Times New Roman" w:cs="Times New Roman"/>
                <w:b/>
                <w:bCs/>
              </w:rPr>
            </w:pPr>
            <w:r w:rsidRPr="00511615">
              <w:rPr>
                <w:rFonts w:ascii="Times New Roman" w:hAnsi="Times New Roman" w:cs="Times New Roman"/>
                <w:b/>
                <w:bCs/>
              </w:rPr>
              <w:t>Construct</w:t>
            </w:r>
          </w:p>
        </w:tc>
        <w:tc>
          <w:tcPr>
            <w:tcW w:w="1800" w:type="dxa"/>
          </w:tcPr>
          <w:p w14:paraId="5E61E8C6" w14:textId="0CB0B90E" w:rsidR="00DB6D15" w:rsidRPr="00511615" w:rsidRDefault="00DB6D15" w:rsidP="00A04852">
            <w:pPr>
              <w:spacing w:line="360" w:lineRule="auto"/>
              <w:jc w:val="center"/>
              <w:rPr>
                <w:rFonts w:ascii="Times New Roman" w:hAnsi="Times New Roman" w:cs="Times New Roman"/>
                <w:b/>
                <w:bCs/>
              </w:rPr>
            </w:pPr>
            <w:r w:rsidRPr="00511615">
              <w:rPr>
                <w:rFonts w:ascii="Times New Roman" w:hAnsi="Times New Roman" w:cs="Times New Roman"/>
                <w:b/>
                <w:bCs/>
              </w:rPr>
              <w:t>Factor loadings</w:t>
            </w:r>
          </w:p>
        </w:tc>
        <w:tc>
          <w:tcPr>
            <w:tcW w:w="1890" w:type="dxa"/>
          </w:tcPr>
          <w:p w14:paraId="6D2BEA50" w14:textId="6F68625B" w:rsidR="00DB6D15" w:rsidRPr="00511615" w:rsidRDefault="00DB6D15" w:rsidP="00A04852">
            <w:pPr>
              <w:spacing w:line="360" w:lineRule="auto"/>
              <w:jc w:val="center"/>
              <w:rPr>
                <w:rFonts w:ascii="Times New Roman" w:hAnsi="Times New Roman" w:cs="Times New Roman"/>
                <w:b/>
                <w:bCs/>
              </w:rPr>
            </w:pPr>
            <w:r w:rsidRPr="00511615">
              <w:rPr>
                <w:rFonts w:ascii="Times New Roman" w:hAnsi="Times New Roman" w:cs="Times New Roman"/>
                <w:b/>
                <w:bCs/>
              </w:rPr>
              <w:t>Cronbach Alpha</w:t>
            </w:r>
          </w:p>
        </w:tc>
        <w:tc>
          <w:tcPr>
            <w:tcW w:w="1890" w:type="dxa"/>
          </w:tcPr>
          <w:p w14:paraId="3349F016" w14:textId="7E8CF683" w:rsidR="00DB6D15" w:rsidRPr="00511615" w:rsidRDefault="00DB6D15" w:rsidP="00A04852">
            <w:pPr>
              <w:spacing w:line="360" w:lineRule="auto"/>
              <w:jc w:val="center"/>
              <w:rPr>
                <w:rFonts w:ascii="Times New Roman" w:hAnsi="Times New Roman" w:cs="Times New Roman"/>
                <w:b/>
                <w:bCs/>
              </w:rPr>
            </w:pPr>
            <w:r w:rsidRPr="00511615">
              <w:rPr>
                <w:rFonts w:ascii="Times New Roman" w:hAnsi="Times New Roman" w:cs="Times New Roman"/>
                <w:b/>
                <w:bCs/>
              </w:rPr>
              <w:t>Composite Reliability</w:t>
            </w:r>
          </w:p>
        </w:tc>
      </w:tr>
      <w:tr w:rsidR="00DB6D15" w14:paraId="0428E293" w14:textId="368C407A" w:rsidTr="00511615">
        <w:trPr>
          <w:trHeight w:val="1691"/>
        </w:trPr>
        <w:tc>
          <w:tcPr>
            <w:tcW w:w="3325" w:type="dxa"/>
          </w:tcPr>
          <w:p w14:paraId="57CACCB8" w14:textId="5E1C1745"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Environmental Awareness</w:t>
            </w:r>
          </w:p>
          <w:p w14:paraId="40A9D4CF"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ENVAW1</w:t>
            </w:r>
          </w:p>
          <w:p w14:paraId="5E45B162"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ENVAW2</w:t>
            </w:r>
          </w:p>
          <w:p w14:paraId="35F856A1"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ENVAW3</w:t>
            </w:r>
          </w:p>
          <w:p w14:paraId="2551E71C"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ENVAW4</w:t>
            </w:r>
          </w:p>
          <w:p w14:paraId="7BEAAF7E"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ENVAW5</w:t>
            </w:r>
          </w:p>
          <w:p w14:paraId="61EA25F7" w14:textId="5CA0D4BB"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ENVAW6</w:t>
            </w:r>
          </w:p>
        </w:tc>
        <w:tc>
          <w:tcPr>
            <w:tcW w:w="1800" w:type="dxa"/>
          </w:tcPr>
          <w:p w14:paraId="1C05C1B8" w14:textId="77777777" w:rsidR="00DB6D15" w:rsidRPr="00511615" w:rsidRDefault="00DB6D15" w:rsidP="008E7C82">
            <w:pPr>
              <w:jc w:val="center"/>
              <w:rPr>
                <w:rFonts w:ascii="Times New Roman" w:hAnsi="Times New Roman" w:cs="Times New Roman"/>
                <w:b/>
                <w:bCs/>
              </w:rPr>
            </w:pPr>
          </w:p>
          <w:p w14:paraId="6BBA7D92" w14:textId="12378ADD"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.851</w:t>
            </w:r>
          </w:p>
          <w:p w14:paraId="37E51E28" w14:textId="77D6F076"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.848</w:t>
            </w:r>
          </w:p>
          <w:p w14:paraId="2E9E9770" w14:textId="0BD3D735"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.732</w:t>
            </w:r>
          </w:p>
          <w:p w14:paraId="55B5CD2F" w14:textId="58F3B4F0"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.664</w:t>
            </w:r>
          </w:p>
          <w:p w14:paraId="0E72B4EE" w14:textId="18714D3B"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.580</w:t>
            </w:r>
          </w:p>
          <w:p w14:paraId="3FA88102" w14:textId="4DAC9571"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.620</w:t>
            </w:r>
          </w:p>
        </w:tc>
        <w:tc>
          <w:tcPr>
            <w:tcW w:w="1890" w:type="dxa"/>
          </w:tcPr>
          <w:p w14:paraId="48AD5969" w14:textId="77777777" w:rsidR="004B7EC1" w:rsidRDefault="004B7EC1" w:rsidP="008E7C82">
            <w:pPr>
              <w:jc w:val="center"/>
              <w:rPr>
                <w:rFonts w:ascii="Times New Roman" w:hAnsi="Times New Roman" w:cs="Times New Roman"/>
              </w:rPr>
            </w:pPr>
          </w:p>
          <w:p w14:paraId="25D00838" w14:textId="77777777" w:rsidR="004B7EC1" w:rsidRDefault="004B7EC1" w:rsidP="008E7C82">
            <w:pPr>
              <w:jc w:val="center"/>
              <w:rPr>
                <w:rFonts w:ascii="Times New Roman" w:hAnsi="Times New Roman" w:cs="Times New Roman"/>
              </w:rPr>
            </w:pPr>
          </w:p>
          <w:p w14:paraId="54860A0B" w14:textId="77777777" w:rsidR="004B7EC1" w:rsidRDefault="004B7EC1" w:rsidP="008E7C82">
            <w:pPr>
              <w:jc w:val="center"/>
              <w:rPr>
                <w:rFonts w:ascii="Times New Roman" w:hAnsi="Times New Roman" w:cs="Times New Roman"/>
              </w:rPr>
            </w:pPr>
          </w:p>
          <w:p w14:paraId="3E6A0404" w14:textId="38D8140D" w:rsidR="00DB6D15" w:rsidRPr="00511615" w:rsidRDefault="00DB6D15" w:rsidP="008E7C82">
            <w:pPr>
              <w:jc w:val="center"/>
              <w:rPr>
                <w:rFonts w:ascii="Times New Roman" w:hAnsi="Times New Roman" w:cs="Times New Roman"/>
              </w:rPr>
            </w:pPr>
            <w:r w:rsidRPr="00511615">
              <w:rPr>
                <w:rFonts w:ascii="Times New Roman" w:hAnsi="Times New Roman" w:cs="Times New Roman"/>
              </w:rPr>
              <w:t>0.866</w:t>
            </w:r>
          </w:p>
        </w:tc>
        <w:tc>
          <w:tcPr>
            <w:tcW w:w="1890" w:type="dxa"/>
          </w:tcPr>
          <w:p w14:paraId="5ED3E172" w14:textId="77777777" w:rsidR="004B7EC1" w:rsidRDefault="004B7EC1" w:rsidP="008E7C82">
            <w:pPr>
              <w:jc w:val="center"/>
              <w:rPr>
                <w:rFonts w:ascii="Times New Roman" w:hAnsi="Times New Roman" w:cs="Times New Roman"/>
              </w:rPr>
            </w:pPr>
          </w:p>
          <w:p w14:paraId="2BC89329" w14:textId="77777777" w:rsidR="004B7EC1" w:rsidRDefault="004B7EC1" w:rsidP="008E7C82">
            <w:pPr>
              <w:jc w:val="center"/>
              <w:rPr>
                <w:rFonts w:ascii="Times New Roman" w:hAnsi="Times New Roman" w:cs="Times New Roman"/>
              </w:rPr>
            </w:pPr>
          </w:p>
          <w:p w14:paraId="6122645F" w14:textId="77777777" w:rsidR="004B7EC1" w:rsidRDefault="004B7EC1" w:rsidP="008E7C82">
            <w:pPr>
              <w:jc w:val="center"/>
              <w:rPr>
                <w:rFonts w:ascii="Times New Roman" w:hAnsi="Times New Roman" w:cs="Times New Roman"/>
              </w:rPr>
            </w:pPr>
          </w:p>
          <w:p w14:paraId="3D9262E9" w14:textId="48C24D75" w:rsidR="00DB6D15" w:rsidRPr="00511615" w:rsidRDefault="00DB6D15" w:rsidP="008E7C82">
            <w:pPr>
              <w:jc w:val="center"/>
              <w:rPr>
                <w:rFonts w:ascii="Times New Roman" w:hAnsi="Times New Roman" w:cs="Times New Roman"/>
              </w:rPr>
            </w:pPr>
            <w:r w:rsidRPr="00511615">
              <w:rPr>
                <w:rFonts w:ascii="Times New Roman" w:hAnsi="Times New Roman" w:cs="Times New Roman"/>
              </w:rPr>
              <w:t>0.866</w:t>
            </w:r>
          </w:p>
        </w:tc>
      </w:tr>
      <w:tr w:rsidR="00DB6D15" w14:paraId="6712A635" w14:textId="33E94F46" w:rsidTr="00511615">
        <w:trPr>
          <w:trHeight w:val="1808"/>
        </w:trPr>
        <w:tc>
          <w:tcPr>
            <w:tcW w:w="3325" w:type="dxa"/>
          </w:tcPr>
          <w:p w14:paraId="30E366D0"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Environmental Ethics</w:t>
            </w:r>
          </w:p>
          <w:p w14:paraId="574D76E5"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ENVETH 1</w:t>
            </w:r>
          </w:p>
          <w:p w14:paraId="7861BA88" w14:textId="23B4F7AC"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ENVETH 2</w:t>
            </w:r>
          </w:p>
          <w:p w14:paraId="1BB2061C"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ENVETH 3</w:t>
            </w:r>
          </w:p>
          <w:p w14:paraId="53F7B9A8"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ENVETH 4</w:t>
            </w:r>
          </w:p>
          <w:p w14:paraId="164AB9A3"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ENVETH 5</w:t>
            </w:r>
          </w:p>
          <w:p w14:paraId="632C9E61" w14:textId="777CDF7D"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ENVETH 6</w:t>
            </w:r>
          </w:p>
        </w:tc>
        <w:tc>
          <w:tcPr>
            <w:tcW w:w="1800" w:type="dxa"/>
          </w:tcPr>
          <w:p w14:paraId="185D90A9" w14:textId="77777777" w:rsidR="00DB6D15" w:rsidRPr="00511615" w:rsidRDefault="00DB6D15" w:rsidP="008E7C82">
            <w:pPr>
              <w:jc w:val="center"/>
              <w:rPr>
                <w:rFonts w:ascii="Times New Roman" w:hAnsi="Times New Roman" w:cs="Times New Roman"/>
                <w:b/>
                <w:bCs/>
              </w:rPr>
            </w:pPr>
          </w:p>
          <w:p w14:paraId="7F21502C" w14:textId="70EDF50D"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.838</w:t>
            </w:r>
          </w:p>
          <w:p w14:paraId="32986A71" w14:textId="73DEEE3A"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.848</w:t>
            </w:r>
          </w:p>
          <w:p w14:paraId="1DF8F4EA" w14:textId="4A6626AC"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.815</w:t>
            </w:r>
          </w:p>
          <w:p w14:paraId="121E3AC9" w14:textId="4BE67B36"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.823</w:t>
            </w:r>
          </w:p>
          <w:p w14:paraId="206C9F81" w14:textId="6411A194"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.818</w:t>
            </w:r>
          </w:p>
          <w:p w14:paraId="37E3D919" w14:textId="1370983D" w:rsidR="00DB6D15" w:rsidRPr="00511615" w:rsidRDefault="004B7EC1" w:rsidP="008E7C82">
            <w:pPr>
              <w:jc w:val="center"/>
              <w:rPr>
                <w:rFonts w:ascii="Times New Roman" w:hAnsi="Times New Roman" w:cs="Times New Roman"/>
                <w:b/>
                <w:bCs/>
              </w:rPr>
            </w:pPr>
            <w:r>
              <w:rPr>
                <w:rFonts w:ascii="Times New Roman" w:hAnsi="Times New Roman" w:cs="Times New Roman"/>
              </w:rPr>
              <w:t>0</w:t>
            </w:r>
            <w:r w:rsidR="00DB6D15" w:rsidRPr="00511615">
              <w:rPr>
                <w:rFonts w:ascii="Times New Roman" w:hAnsi="Times New Roman" w:cs="Times New Roman"/>
              </w:rPr>
              <w:t>.830</w:t>
            </w:r>
          </w:p>
        </w:tc>
        <w:tc>
          <w:tcPr>
            <w:tcW w:w="1890" w:type="dxa"/>
          </w:tcPr>
          <w:p w14:paraId="3E09A4DC" w14:textId="77777777" w:rsidR="004B7EC1" w:rsidRDefault="004B7EC1" w:rsidP="008E7C82">
            <w:pPr>
              <w:jc w:val="center"/>
              <w:rPr>
                <w:rFonts w:ascii="Times New Roman" w:hAnsi="Times New Roman" w:cs="Times New Roman"/>
              </w:rPr>
            </w:pPr>
          </w:p>
          <w:p w14:paraId="74336146" w14:textId="77777777" w:rsidR="004B7EC1" w:rsidRDefault="004B7EC1" w:rsidP="008E7C82">
            <w:pPr>
              <w:jc w:val="center"/>
              <w:rPr>
                <w:rFonts w:ascii="Times New Roman" w:hAnsi="Times New Roman" w:cs="Times New Roman"/>
              </w:rPr>
            </w:pPr>
          </w:p>
          <w:p w14:paraId="757B1546" w14:textId="77777777" w:rsidR="004B7EC1" w:rsidRDefault="004B7EC1" w:rsidP="008E7C82">
            <w:pPr>
              <w:jc w:val="center"/>
              <w:rPr>
                <w:rFonts w:ascii="Times New Roman" w:hAnsi="Times New Roman" w:cs="Times New Roman"/>
              </w:rPr>
            </w:pPr>
          </w:p>
          <w:p w14:paraId="3B0C6F32" w14:textId="7227A1E7" w:rsidR="00DB6D15" w:rsidRPr="00511615" w:rsidRDefault="002642DB" w:rsidP="008E7C82">
            <w:pPr>
              <w:jc w:val="center"/>
              <w:rPr>
                <w:rFonts w:ascii="Times New Roman" w:hAnsi="Times New Roman" w:cs="Times New Roman"/>
              </w:rPr>
            </w:pPr>
            <w:r w:rsidRPr="00511615">
              <w:rPr>
                <w:rFonts w:ascii="Times New Roman" w:hAnsi="Times New Roman" w:cs="Times New Roman"/>
              </w:rPr>
              <w:t>0.929</w:t>
            </w:r>
          </w:p>
        </w:tc>
        <w:tc>
          <w:tcPr>
            <w:tcW w:w="1890" w:type="dxa"/>
          </w:tcPr>
          <w:p w14:paraId="343257B0" w14:textId="77777777" w:rsidR="004B7EC1" w:rsidRDefault="004B7EC1" w:rsidP="008E7C82">
            <w:pPr>
              <w:jc w:val="center"/>
              <w:rPr>
                <w:rFonts w:ascii="Times New Roman" w:hAnsi="Times New Roman" w:cs="Times New Roman"/>
              </w:rPr>
            </w:pPr>
          </w:p>
          <w:p w14:paraId="59B00751" w14:textId="77777777" w:rsidR="004B7EC1" w:rsidRDefault="004B7EC1" w:rsidP="008E7C82">
            <w:pPr>
              <w:jc w:val="center"/>
              <w:rPr>
                <w:rFonts w:ascii="Times New Roman" w:hAnsi="Times New Roman" w:cs="Times New Roman"/>
              </w:rPr>
            </w:pPr>
          </w:p>
          <w:p w14:paraId="44B16C80" w14:textId="77777777" w:rsidR="004B7EC1" w:rsidRDefault="004B7EC1" w:rsidP="008E7C82">
            <w:pPr>
              <w:jc w:val="center"/>
              <w:rPr>
                <w:rFonts w:ascii="Times New Roman" w:hAnsi="Times New Roman" w:cs="Times New Roman"/>
              </w:rPr>
            </w:pPr>
          </w:p>
          <w:p w14:paraId="189306F9" w14:textId="51159993" w:rsidR="00DB6D15" w:rsidRPr="00511615" w:rsidRDefault="00DB6D15" w:rsidP="008E7C82">
            <w:pPr>
              <w:jc w:val="center"/>
              <w:rPr>
                <w:rFonts w:ascii="Times New Roman" w:hAnsi="Times New Roman" w:cs="Times New Roman"/>
              </w:rPr>
            </w:pPr>
            <w:r w:rsidRPr="00511615">
              <w:rPr>
                <w:rFonts w:ascii="Times New Roman" w:hAnsi="Times New Roman" w:cs="Times New Roman"/>
              </w:rPr>
              <w:t>0.929</w:t>
            </w:r>
          </w:p>
        </w:tc>
      </w:tr>
      <w:tr w:rsidR="00DB6D15" w14:paraId="4A618797" w14:textId="5B7F506D" w:rsidTr="00511615">
        <w:trPr>
          <w:trHeight w:val="1871"/>
        </w:trPr>
        <w:tc>
          <w:tcPr>
            <w:tcW w:w="3325" w:type="dxa"/>
          </w:tcPr>
          <w:p w14:paraId="603E4E36"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lastRenderedPageBreak/>
              <w:t>Environmental Attitude</w:t>
            </w:r>
          </w:p>
          <w:p w14:paraId="5DDED747"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ENVATT 1</w:t>
            </w:r>
          </w:p>
          <w:p w14:paraId="653F7F42"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ENVATT 2</w:t>
            </w:r>
          </w:p>
          <w:p w14:paraId="3A6CB382"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ENVATT 3</w:t>
            </w:r>
          </w:p>
          <w:p w14:paraId="5EB0D615"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ENVATT 4</w:t>
            </w:r>
          </w:p>
          <w:p w14:paraId="6FD01008"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ENVATT 5</w:t>
            </w:r>
          </w:p>
          <w:p w14:paraId="548ED597" w14:textId="4B1999C5" w:rsidR="00DB6D15" w:rsidRPr="00511615" w:rsidRDefault="00DB6D15" w:rsidP="008E7C82">
            <w:pPr>
              <w:jc w:val="center"/>
              <w:rPr>
                <w:rFonts w:ascii="Times New Roman" w:hAnsi="Times New Roman" w:cs="Times New Roman"/>
                <w:b/>
                <w:bCs/>
              </w:rPr>
            </w:pPr>
            <w:r w:rsidRPr="00511615">
              <w:rPr>
                <w:rFonts w:ascii="Times New Roman" w:hAnsi="Times New Roman" w:cs="Times New Roman"/>
              </w:rPr>
              <w:t>ENVATT 6</w:t>
            </w:r>
          </w:p>
        </w:tc>
        <w:tc>
          <w:tcPr>
            <w:tcW w:w="1800" w:type="dxa"/>
          </w:tcPr>
          <w:p w14:paraId="2E6FDE8E" w14:textId="77777777" w:rsidR="00DB6D15" w:rsidRPr="00511615" w:rsidRDefault="00DB6D15" w:rsidP="008E7C82">
            <w:pPr>
              <w:jc w:val="center"/>
              <w:rPr>
                <w:rFonts w:ascii="Times New Roman" w:hAnsi="Times New Roman" w:cs="Times New Roman"/>
                <w:b/>
                <w:bCs/>
              </w:rPr>
            </w:pPr>
          </w:p>
          <w:p w14:paraId="7842161A" w14:textId="618D1E18"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.862</w:t>
            </w:r>
          </w:p>
          <w:p w14:paraId="1C0CA97D" w14:textId="7DC878EC"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.875</w:t>
            </w:r>
          </w:p>
          <w:p w14:paraId="78D34319" w14:textId="0ED3FFC1"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.831</w:t>
            </w:r>
          </w:p>
          <w:p w14:paraId="3BFD5921" w14:textId="76075911"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.835</w:t>
            </w:r>
          </w:p>
          <w:p w14:paraId="21394E2B" w14:textId="12F0C5BC"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.823</w:t>
            </w:r>
          </w:p>
          <w:p w14:paraId="7E844236" w14:textId="39DE67C8" w:rsidR="00DB6D15" w:rsidRPr="00511615" w:rsidRDefault="004B7EC1" w:rsidP="008E7C82">
            <w:pPr>
              <w:jc w:val="center"/>
              <w:rPr>
                <w:rFonts w:ascii="Times New Roman" w:hAnsi="Times New Roman" w:cs="Times New Roman"/>
                <w:b/>
                <w:bCs/>
              </w:rPr>
            </w:pPr>
            <w:r>
              <w:rPr>
                <w:rFonts w:ascii="Times New Roman" w:hAnsi="Times New Roman" w:cs="Times New Roman"/>
              </w:rPr>
              <w:t>0</w:t>
            </w:r>
            <w:r w:rsidR="00DB6D15" w:rsidRPr="00511615">
              <w:rPr>
                <w:rFonts w:ascii="Times New Roman" w:hAnsi="Times New Roman" w:cs="Times New Roman"/>
              </w:rPr>
              <w:t>.836</w:t>
            </w:r>
          </w:p>
        </w:tc>
        <w:tc>
          <w:tcPr>
            <w:tcW w:w="1890" w:type="dxa"/>
          </w:tcPr>
          <w:p w14:paraId="37F663C5" w14:textId="77777777" w:rsidR="004B7EC1" w:rsidRDefault="004B7EC1" w:rsidP="008E7C82">
            <w:pPr>
              <w:jc w:val="center"/>
              <w:rPr>
                <w:rFonts w:ascii="Times New Roman" w:hAnsi="Times New Roman" w:cs="Times New Roman"/>
              </w:rPr>
            </w:pPr>
          </w:p>
          <w:p w14:paraId="74DB6B58" w14:textId="77777777" w:rsidR="004B7EC1" w:rsidRDefault="004B7EC1" w:rsidP="008E7C82">
            <w:pPr>
              <w:jc w:val="center"/>
              <w:rPr>
                <w:rFonts w:ascii="Times New Roman" w:hAnsi="Times New Roman" w:cs="Times New Roman"/>
              </w:rPr>
            </w:pPr>
          </w:p>
          <w:p w14:paraId="66E6774C" w14:textId="77777777" w:rsidR="004B7EC1" w:rsidRDefault="004B7EC1" w:rsidP="008E7C82">
            <w:pPr>
              <w:jc w:val="center"/>
              <w:rPr>
                <w:rFonts w:ascii="Times New Roman" w:hAnsi="Times New Roman" w:cs="Times New Roman"/>
              </w:rPr>
            </w:pPr>
          </w:p>
          <w:p w14:paraId="32ED083B" w14:textId="20B1FA92" w:rsidR="00DB6D15" w:rsidRPr="00511615" w:rsidRDefault="002642DB" w:rsidP="008E7C82">
            <w:pPr>
              <w:jc w:val="center"/>
              <w:rPr>
                <w:rFonts w:ascii="Times New Roman" w:hAnsi="Times New Roman" w:cs="Times New Roman"/>
              </w:rPr>
            </w:pPr>
            <w:r w:rsidRPr="00511615">
              <w:rPr>
                <w:rFonts w:ascii="Times New Roman" w:hAnsi="Times New Roman" w:cs="Times New Roman"/>
              </w:rPr>
              <w:t>0.937</w:t>
            </w:r>
          </w:p>
        </w:tc>
        <w:tc>
          <w:tcPr>
            <w:tcW w:w="1890" w:type="dxa"/>
          </w:tcPr>
          <w:p w14:paraId="48832606" w14:textId="77777777" w:rsidR="004B7EC1" w:rsidRDefault="004B7EC1" w:rsidP="008E7C82">
            <w:pPr>
              <w:jc w:val="center"/>
              <w:rPr>
                <w:rFonts w:ascii="Times New Roman" w:hAnsi="Times New Roman" w:cs="Times New Roman"/>
              </w:rPr>
            </w:pPr>
          </w:p>
          <w:p w14:paraId="14E98F1F" w14:textId="77777777" w:rsidR="004B7EC1" w:rsidRDefault="004B7EC1" w:rsidP="008E7C82">
            <w:pPr>
              <w:jc w:val="center"/>
              <w:rPr>
                <w:rFonts w:ascii="Times New Roman" w:hAnsi="Times New Roman" w:cs="Times New Roman"/>
              </w:rPr>
            </w:pPr>
          </w:p>
          <w:p w14:paraId="105A6DBD" w14:textId="77777777" w:rsidR="004B7EC1" w:rsidRDefault="004B7EC1" w:rsidP="008E7C82">
            <w:pPr>
              <w:jc w:val="center"/>
              <w:rPr>
                <w:rFonts w:ascii="Times New Roman" w:hAnsi="Times New Roman" w:cs="Times New Roman"/>
              </w:rPr>
            </w:pPr>
          </w:p>
          <w:p w14:paraId="326C94A3" w14:textId="5F245840" w:rsidR="00DB6D15" w:rsidRPr="00511615" w:rsidRDefault="00DB6D15" w:rsidP="008E7C82">
            <w:pPr>
              <w:jc w:val="center"/>
              <w:rPr>
                <w:rFonts w:ascii="Times New Roman" w:hAnsi="Times New Roman" w:cs="Times New Roman"/>
              </w:rPr>
            </w:pPr>
            <w:r w:rsidRPr="00511615">
              <w:rPr>
                <w:rFonts w:ascii="Times New Roman" w:hAnsi="Times New Roman" w:cs="Times New Roman"/>
              </w:rPr>
              <w:t>0.937</w:t>
            </w:r>
          </w:p>
          <w:p w14:paraId="3E3D5ADC" w14:textId="112771DE" w:rsidR="00DB6D15" w:rsidRPr="00511615" w:rsidRDefault="00DB6D15" w:rsidP="008E7C82">
            <w:pPr>
              <w:jc w:val="center"/>
              <w:rPr>
                <w:rFonts w:ascii="Times New Roman" w:hAnsi="Times New Roman" w:cs="Times New Roman"/>
                <w:b/>
                <w:bCs/>
              </w:rPr>
            </w:pPr>
          </w:p>
        </w:tc>
      </w:tr>
      <w:tr w:rsidR="00DB6D15" w14:paraId="0F6B9F4C" w14:textId="52D38E06" w:rsidTr="00511615">
        <w:trPr>
          <w:trHeight w:val="1844"/>
        </w:trPr>
        <w:tc>
          <w:tcPr>
            <w:tcW w:w="3325" w:type="dxa"/>
          </w:tcPr>
          <w:p w14:paraId="664D9914" w14:textId="37BD9E38" w:rsidR="00DB6D15" w:rsidRPr="00511615" w:rsidRDefault="00DB6D15" w:rsidP="008E7C82">
            <w:pPr>
              <w:jc w:val="center"/>
              <w:rPr>
                <w:rFonts w:ascii="Times New Roman" w:hAnsi="Times New Roman" w:cs="Times New Roman"/>
              </w:rPr>
            </w:pPr>
            <w:r w:rsidRPr="00511615">
              <w:rPr>
                <w:rFonts w:ascii="Times New Roman" w:hAnsi="Times New Roman" w:cs="Times New Roman"/>
              </w:rPr>
              <w:t>Organic Preference</w:t>
            </w:r>
          </w:p>
          <w:p w14:paraId="0ED96626"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ORGP 1</w:t>
            </w:r>
          </w:p>
          <w:p w14:paraId="2E964CC4"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ORGP 2</w:t>
            </w:r>
          </w:p>
          <w:p w14:paraId="7A3711A3"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ORGP 3</w:t>
            </w:r>
          </w:p>
          <w:p w14:paraId="49201C2E"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ORGP 4</w:t>
            </w:r>
          </w:p>
          <w:p w14:paraId="53B90D76" w14:textId="77777777" w:rsidR="00DB6D15" w:rsidRPr="00511615" w:rsidRDefault="00DB6D15" w:rsidP="008E7C82">
            <w:pPr>
              <w:jc w:val="center"/>
              <w:rPr>
                <w:rFonts w:ascii="Times New Roman" w:hAnsi="Times New Roman" w:cs="Times New Roman"/>
              </w:rPr>
            </w:pPr>
            <w:r w:rsidRPr="00511615">
              <w:rPr>
                <w:rFonts w:ascii="Times New Roman" w:hAnsi="Times New Roman" w:cs="Times New Roman"/>
              </w:rPr>
              <w:t>ORGP5</w:t>
            </w:r>
          </w:p>
          <w:p w14:paraId="565B63A1" w14:textId="46075F3B" w:rsidR="00DB6D15" w:rsidRPr="00511615" w:rsidRDefault="00DB6D15" w:rsidP="008E7C82">
            <w:pPr>
              <w:jc w:val="center"/>
              <w:rPr>
                <w:rFonts w:ascii="Times New Roman" w:hAnsi="Times New Roman" w:cs="Times New Roman"/>
                <w:b/>
                <w:bCs/>
              </w:rPr>
            </w:pPr>
            <w:r w:rsidRPr="00511615">
              <w:rPr>
                <w:rFonts w:ascii="Times New Roman" w:hAnsi="Times New Roman" w:cs="Times New Roman"/>
              </w:rPr>
              <w:t>ORGP 6</w:t>
            </w:r>
          </w:p>
        </w:tc>
        <w:tc>
          <w:tcPr>
            <w:tcW w:w="1800" w:type="dxa"/>
          </w:tcPr>
          <w:p w14:paraId="01FB1241" w14:textId="77777777" w:rsidR="00DB6D15" w:rsidRPr="00511615" w:rsidRDefault="00DB6D15" w:rsidP="008E7C82">
            <w:pPr>
              <w:jc w:val="center"/>
              <w:rPr>
                <w:rFonts w:ascii="Times New Roman" w:hAnsi="Times New Roman" w:cs="Times New Roman"/>
                <w:b/>
                <w:bCs/>
              </w:rPr>
            </w:pPr>
          </w:p>
          <w:p w14:paraId="6910C14D" w14:textId="24403D1F"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.802</w:t>
            </w:r>
          </w:p>
          <w:p w14:paraId="0A49E50B" w14:textId="4F75A374"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.805</w:t>
            </w:r>
          </w:p>
          <w:p w14:paraId="5495DDC4" w14:textId="6F0C8722"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.765</w:t>
            </w:r>
          </w:p>
          <w:p w14:paraId="2CA57BE6" w14:textId="4EA91611"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.776</w:t>
            </w:r>
          </w:p>
          <w:p w14:paraId="12CAAC42" w14:textId="47C0679C" w:rsidR="00DB6D15" w:rsidRPr="00511615" w:rsidRDefault="004B7EC1" w:rsidP="008E7C82">
            <w:pPr>
              <w:jc w:val="center"/>
              <w:rPr>
                <w:rFonts w:ascii="Times New Roman" w:hAnsi="Times New Roman" w:cs="Times New Roman"/>
              </w:rPr>
            </w:pPr>
            <w:r>
              <w:rPr>
                <w:rFonts w:ascii="Times New Roman" w:hAnsi="Times New Roman" w:cs="Times New Roman"/>
              </w:rPr>
              <w:t>0</w:t>
            </w:r>
            <w:r w:rsidR="00DB6D15" w:rsidRPr="00511615">
              <w:rPr>
                <w:rFonts w:ascii="Times New Roman" w:hAnsi="Times New Roman" w:cs="Times New Roman"/>
              </w:rPr>
              <w:t>.795</w:t>
            </w:r>
          </w:p>
          <w:p w14:paraId="1BC0440C" w14:textId="3B53B8EB" w:rsidR="00DB6D15" w:rsidRPr="00511615" w:rsidRDefault="004B7EC1" w:rsidP="008E7C82">
            <w:pPr>
              <w:jc w:val="center"/>
              <w:rPr>
                <w:rFonts w:ascii="Times New Roman" w:hAnsi="Times New Roman" w:cs="Times New Roman"/>
                <w:b/>
                <w:bCs/>
              </w:rPr>
            </w:pPr>
            <w:r>
              <w:rPr>
                <w:rFonts w:ascii="Times New Roman" w:hAnsi="Times New Roman" w:cs="Times New Roman"/>
              </w:rPr>
              <w:t>0</w:t>
            </w:r>
            <w:r w:rsidR="00DB6D15" w:rsidRPr="00511615">
              <w:rPr>
                <w:rFonts w:ascii="Times New Roman" w:hAnsi="Times New Roman" w:cs="Times New Roman"/>
              </w:rPr>
              <w:t>.785</w:t>
            </w:r>
          </w:p>
        </w:tc>
        <w:tc>
          <w:tcPr>
            <w:tcW w:w="1890" w:type="dxa"/>
          </w:tcPr>
          <w:p w14:paraId="7C9DB026" w14:textId="77777777" w:rsidR="004B7EC1" w:rsidRDefault="004B7EC1" w:rsidP="008E7C82">
            <w:pPr>
              <w:jc w:val="center"/>
              <w:rPr>
                <w:rFonts w:ascii="Times New Roman" w:hAnsi="Times New Roman" w:cs="Times New Roman"/>
              </w:rPr>
            </w:pPr>
          </w:p>
          <w:p w14:paraId="4BC3644C" w14:textId="77777777" w:rsidR="004B7EC1" w:rsidRDefault="004B7EC1" w:rsidP="008E7C82">
            <w:pPr>
              <w:jc w:val="center"/>
              <w:rPr>
                <w:rFonts w:ascii="Times New Roman" w:hAnsi="Times New Roman" w:cs="Times New Roman"/>
              </w:rPr>
            </w:pPr>
          </w:p>
          <w:p w14:paraId="67963F29" w14:textId="77777777" w:rsidR="004B7EC1" w:rsidRDefault="004B7EC1" w:rsidP="008E7C82">
            <w:pPr>
              <w:jc w:val="center"/>
              <w:rPr>
                <w:rFonts w:ascii="Times New Roman" w:hAnsi="Times New Roman" w:cs="Times New Roman"/>
              </w:rPr>
            </w:pPr>
          </w:p>
          <w:p w14:paraId="39FF3A48" w14:textId="21EBA143" w:rsidR="00DB6D15" w:rsidRPr="00511615" w:rsidRDefault="002642DB" w:rsidP="008E7C82">
            <w:pPr>
              <w:jc w:val="center"/>
              <w:rPr>
                <w:rFonts w:ascii="Times New Roman" w:hAnsi="Times New Roman" w:cs="Times New Roman"/>
              </w:rPr>
            </w:pPr>
            <w:r w:rsidRPr="00511615">
              <w:rPr>
                <w:rFonts w:ascii="Times New Roman" w:hAnsi="Times New Roman" w:cs="Times New Roman"/>
              </w:rPr>
              <w:t>0.907</w:t>
            </w:r>
          </w:p>
        </w:tc>
        <w:tc>
          <w:tcPr>
            <w:tcW w:w="1890" w:type="dxa"/>
          </w:tcPr>
          <w:p w14:paraId="071805A2" w14:textId="77777777" w:rsidR="004B7EC1" w:rsidRDefault="004B7EC1" w:rsidP="008E7C82">
            <w:pPr>
              <w:jc w:val="center"/>
              <w:rPr>
                <w:rFonts w:ascii="Times New Roman" w:hAnsi="Times New Roman" w:cs="Times New Roman"/>
              </w:rPr>
            </w:pPr>
          </w:p>
          <w:p w14:paraId="7EB535BA" w14:textId="77777777" w:rsidR="004B7EC1" w:rsidRDefault="004B7EC1" w:rsidP="008E7C82">
            <w:pPr>
              <w:jc w:val="center"/>
              <w:rPr>
                <w:rFonts w:ascii="Times New Roman" w:hAnsi="Times New Roman" w:cs="Times New Roman"/>
              </w:rPr>
            </w:pPr>
          </w:p>
          <w:p w14:paraId="56911F9D" w14:textId="77777777" w:rsidR="004B7EC1" w:rsidRDefault="004B7EC1" w:rsidP="008E7C82">
            <w:pPr>
              <w:jc w:val="center"/>
              <w:rPr>
                <w:rFonts w:ascii="Times New Roman" w:hAnsi="Times New Roman" w:cs="Times New Roman"/>
              </w:rPr>
            </w:pPr>
          </w:p>
          <w:p w14:paraId="18FC6FCC" w14:textId="08DB0D12" w:rsidR="00DB6D15" w:rsidRPr="00511615" w:rsidRDefault="00DB6D15" w:rsidP="008E7C82">
            <w:pPr>
              <w:jc w:val="center"/>
              <w:rPr>
                <w:rFonts w:ascii="Times New Roman" w:hAnsi="Times New Roman" w:cs="Times New Roman"/>
              </w:rPr>
            </w:pPr>
            <w:r w:rsidRPr="00511615">
              <w:rPr>
                <w:rFonts w:ascii="Times New Roman" w:hAnsi="Times New Roman" w:cs="Times New Roman"/>
              </w:rPr>
              <w:t>0.908</w:t>
            </w:r>
          </w:p>
        </w:tc>
      </w:tr>
    </w:tbl>
    <w:p w14:paraId="2B1DA9AB" w14:textId="77777777" w:rsidR="0086214D" w:rsidRDefault="0086214D" w:rsidP="00A04852">
      <w:pPr>
        <w:spacing w:line="360" w:lineRule="auto"/>
        <w:jc w:val="both"/>
        <w:rPr>
          <w:rFonts w:ascii="Times New Roman" w:hAnsi="Times New Roman" w:cs="Times New Roman"/>
          <w:sz w:val="24"/>
          <w:szCs w:val="24"/>
        </w:rPr>
      </w:pPr>
    </w:p>
    <w:p w14:paraId="5A335493" w14:textId="77777777" w:rsidR="000F2AE1" w:rsidRPr="0086214D" w:rsidRDefault="000F2AE1" w:rsidP="00727080">
      <w:pPr>
        <w:spacing w:line="240" w:lineRule="auto"/>
        <w:jc w:val="both"/>
        <w:rPr>
          <w:rFonts w:ascii="Times New Roman" w:hAnsi="Times New Roman" w:cs="Times New Roman"/>
          <w:sz w:val="24"/>
          <w:szCs w:val="24"/>
        </w:rPr>
      </w:pPr>
      <w:r w:rsidRPr="00CD589A">
        <w:rPr>
          <w:rFonts w:ascii="Times New Roman" w:hAnsi="Times New Roman" w:cs="Times New Roman"/>
          <w:sz w:val="24"/>
          <w:szCs w:val="24"/>
        </w:rPr>
        <w:t xml:space="preserve">From table 4 we observe that all the factor loadings are &gt;0.5 which indicates that the factors sufficiently capture the variance of the variable, each observed variable has a strong relationship with its latent construct. The construct reliability and Cronbach alpha values are all &gt;0.7, which indicates that the constructs have good internal consistency. This suggests that the indicators reliably measure the same underlying concept. </w:t>
      </w:r>
    </w:p>
    <w:p w14:paraId="3E9012C6" w14:textId="0A22948A" w:rsidR="00612DBB" w:rsidRPr="00612DBB" w:rsidRDefault="00612DBB" w:rsidP="00A04852">
      <w:pPr>
        <w:spacing w:line="360" w:lineRule="auto"/>
        <w:jc w:val="both"/>
        <w:rPr>
          <w:rFonts w:ascii="Times New Roman" w:hAnsi="Times New Roman" w:cs="Times New Roman"/>
          <w:b/>
          <w:bCs/>
          <w:sz w:val="24"/>
          <w:szCs w:val="24"/>
        </w:rPr>
      </w:pPr>
      <w:r w:rsidRPr="00612DBB">
        <w:rPr>
          <w:rFonts w:ascii="Times New Roman" w:hAnsi="Times New Roman" w:cs="Times New Roman"/>
          <w:b/>
          <w:bCs/>
          <w:sz w:val="24"/>
          <w:szCs w:val="24"/>
        </w:rPr>
        <w:t xml:space="preserve">Table </w:t>
      </w:r>
      <w:r w:rsidR="00511615">
        <w:rPr>
          <w:rFonts w:ascii="Times New Roman" w:hAnsi="Times New Roman" w:cs="Times New Roman"/>
          <w:b/>
          <w:bCs/>
          <w:sz w:val="24"/>
          <w:szCs w:val="24"/>
        </w:rPr>
        <w:t>5</w:t>
      </w:r>
      <w:r w:rsidRPr="00612DBB">
        <w:rPr>
          <w:rFonts w:ascii="Times New Roman" w:hAnsi="Times New Roman" w:cs="Times New Roman"/>
          <w:b/>
          <w:bCs/>
          <w:sz w:val="24"/>
          <w:szCs w:val="24"/>
        </w:rPr>
        <w:t xml:space="preserve">. </w:t>
      </w:r>
      <w:r w:rsidR="009247BF">
        <w:rPr>
          <w:rFonts w:ascii="Times New Roman" w:hAnsi="Times New Roman" w:cs="Times New Roman"/>
          <w:b/>
          <w:bCs/>
          <w:sz w:val="24"/>
          <w:szCs w:val="24"/>
        </w:rPr>
        <w:t xml:space="preserve">Convergent and Discriminant </w:t>
      </w:r>
      <w:r>
        <w:rPr>
          <w:rFonts w:ascii="Times New Roman" w:hAnsi="Times New Roman" w:cs="Times New Roman"/>
          <w:b/>
          <w:bCs/>
          <w:sz w:val="24"/>
          <w:szCs w:val="24"/>
        </w:rPr>
        <w:t xml:space="preserve">Validity analysis </w:t>
      </w:r>
    </w:p>
    <w:tbl>
      <w:tblPr>
        <w:tblStyle w:val="TableGrid"/>
        <w:tblW w:w="0" w:type="auto"/>
        <w:tblLook w:val="04A0" w:firstRow="1" w:lastRow="0" w:firstColumn="1" w:lastColumn="0" w:noHBand="0" w:noVBand="1"/>
      </w:tblPr>
      <w:tblGrid>
        <w:gridCol w:w="1146"/>
        <w:gridCol w:w="968"/>
        <w:gridCol w:w="968"/>
        <w:gridCol w:w="1035"/>
        <w:gridCol w:w="1089"/>
        <w:gridCol w:w="1146"/>
        <w:gridCol w:w="1032"/>
        <w:gridCol w:w="998"/>
      </w:tblGrid>
      <w:tr w:rsidR="002642DB" w14:paraId="5B72306D" w14:textId="77777777" w:rsidTr="002642DB">
        <w:tc>
          <w:tcPr>
            <w:tcW w:w="1146" w:type="dxa"/>
          </w:tcPr>
          <w:p w14:paraId="632FB5DD" w14:textId="20444E34"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Variables</w:t>
            </w:r>
          </w:p>
        </w:tc>
        <w:tc>
          <w:tcPr>
            <w:tcW w:w="968" w:type="dxa"/>
          </w:tcPr>
          <w:p w14:paraId="73E3F8B0" w14:textId="1F50966F"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AVE</w:t>
            </w:r>
          </w:p>
        </w:tc>
        <w:tc>
          <w:tcPr>
            <w:tcW w:w="968" w:type="dxa"/>
          </w:tcPr>
          <w:p w14:paraId="0BC86D5B" w14:textId="76AE0EDE"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MSV</w:t>
            </w:r>
          </w:p>
        </w:tc>
        <w:tc>
          <w:tcPr>
            <w:tcW w:w="1035" w:type="dxa"/>
          </w:tcPr>
          <w:p w14:paraId="2317E173" w14:textId="5E93F469"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MSV(H)</w:t>
            </w:r>
          </w:p>
        </w:tc>
        <w:tc>
          <w:tcPr>
            <w:tcW w:w="1089" w:type="dxa"/>
          </w:tcPr>
          <w:p w14:paraId="6630C4C1" w14:textId="4E0416BE"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ENVATT</w:t>
            </w:r>
          </w:p>
        </w:tc>
        <w:tc>
          <w:tcPr>
            <w:tcW w:w="1146" w:type="dxa"/>
          </w:tcPr>
          <w:p w14:paraId="77F900FE" w14:textId="08FF3517"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ENVETH</w:t>
            </w:r>
          </w:p>
        </w:tc>
        <w:tc>
          <w:tcPr>
            <w:tcW w:w="1032" w:type="dxa"/>
          </w:tcPr>
          <w:p w14:paraId="26A80B28" w14:textId="47436BFD"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ENVAW</w:t>
            </w:r>
          </w:p>
        </w:tc>
        <w:tc>
          <w:tcPr>
            <w:tcW w:w="998" w:type="dxa"/>
          </w:tcPr>
          <w:p w14:paraId="17C0D32D" w14:textId="7BC7AB2C"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ORGP</w:t>
            </w:r>
          </w:p>
        </w:tc>
      </w:tr>
      <w:tr w:rsidR="002642DB" w14:paraId="7A764750" w14:textId="77777777" w:rsidTr="002642DB">
        <w:tc>
          <w:tcPr>
            <w:tcW w:w="1146" w:type="dxa"/>
          </w:tcPr>
          <w:p w14:paraId="46B89F96" w14:textId="36681398"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ENVATT</w:t>
            </w:r>
          </w:p>
        </w:tc>
        <w:tc>
          <w:tcPr>
            <w:tcW w:w="968" w:type="dxa"/>
          </w:tcPr>
          <w:p w14:paraId="2B9C3F98" w14:textId="4BBE5479"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0.712</w:t>
            </w:r>
          </w:p>
        </w:tc>
        <w:tc>
          <w:tcPr>
            <w:tcW w:w="968" w:type="dxa"/>
          </w:tcPr>
          <w:p w14:paraId="24407932" w14:textId="26335FBF"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0.285</w:t>
            </w:r>
          </w:p>
        </w:tc>
        <w:tc>
          <w:tcPr>
            <w:tcW w:w="1035" w:type="dxa"/>
          </w:tcPr>
          <w:p w14:paraId="587637DF" w14:textId="16F1A407"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0.938</w:t>
            </w:r>
          </w:p>
        </w:tc>
        <w:tc>
          <w:tcPr>
            <w:tcW w:w="1089" w:type="dxa"/>
          </w:tcPr>
          <w:p w14:paraId="4A4A5581" w14:textId="27AFB5AD"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0.844</w:t>
            </w:r>
          </w:p>
        </w:tc>
        <w:tc>
          <w:tcPr>
            <w:tcW w:w="1146" w:type="dxa"/>
          </w:tcPr>
          <w:p w14:paraId="20BF1A7F" w14:textId="77777777" w:rsidR="002642DB" w:rsidRPr="002535A6" w:rsidRDefault="002642DB" w:rsidP="00A04852">
            <w:pPr>
              <w:spacing w:line="360" w:lineRule="auto"/>
              <w:jc w:val="both"/>
              <w:rPr>
                <w:rFonts w:ascii="Times New Roman" w:hAnsi="Times New Roman" w:cs="Times New Roman"/>
              </w:rPr>
            </w:pPr>
          </w:p>
        </w:tc>
        <w:tc>
          <w:tcPr>
            <w:tcW w:w="1032" w:type="dxa"/>
          </w:tcPr>
          <w:p w14:paraId="5E682B70" w14:textId="77777777" w:rsidR="002642DB" w:rsidRPr="002535A6" w:rsidRDefault="002642DB" w:rsidP="00A04852">
            <w:pPr>
              <w:spacing w:line="360" w:lineRule="auto"/>
              <w:jc w:val="both"/>
              <w:rPr>
                <w:rFonts w:ascii="Times New Roman" w:hAnsi="Times New Roman" w:cs="Times New Roman"/>
              </w:rPr>
            </w:pPr>
          </w:p>
        </w:tc>
        <w:tc>
          <w:tcPr>
            <w:tcW w:w="998" w:type="dxa"/>
          </w:tcPr>
          <w:p w14:paraId="5D575575" w14:textId="77777777" w:rsidR="002642DB" w:rsidRPr="002535A6" w:rsidRDefault="002642DB" w:rsidP="00A04852">
            <w:pPr>
              <w:spacing w:line="360" w:lineRule="auto"/>
              <w:jc w:val="both"/>
              <w:rPr>
                <w:rFonts w:ascii="Times New Roman" w:hAnsi="Times New Roman" w:cs="Times New Roman"/>
              </w:rPr>
            </w:pPr>
          </w:p>
        </w:tc>
      </w:tr>
      <w:tr w:rsidR="002642DB" w14:paraId="3BB607F6" w14:textId="77777777" w:rsidTr="002642DB">
        <w:tc>
          <w:tcPr>
            <w:tcW w:w="1146" w:type="dxa"/>
          </w:tcPr>
          <w:p w14:paraId="269AB1CA" w14:textId="7E4BB3C5"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ENVETH</w:t>
            </w:r>
          </w:p>
        </w:tc>
        <w:tc>
          <w:tcPr>
            <w:tcW w:w="968" w:type="dxa"/>
          </w:tcPr>
          <w:p w14:paraId="6F70C6EF" w14:textId="490967F9"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0.687</w:t>
            </w:r>
          </w:p>
        </w:tc>
        <w:tc>
          <w:tcPr>
            <w:tcW w:w="968" w:type="dxa"/>
          </w:tcPr>
          <w:p w14:paraId="548CB1FD" w14:textId="4BEE0F86"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0.391</w:t>
            </w:r>
          </w:p>
        </w:tc>
        <w:tc>
          <w:tcPr>
            <w:tcW w:w="1035" w:type="dxa"/>
          </w:tcPr>
          <w:p w14:paraId="349517CB" w14:textId="6FB5BFCD"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0.930</w:t>
            </w:r>
          </w:p>
        </w:tc>
        <w:tc>
          <w:tcPr>
            <w:tcW w:w="1089" w:type="dxa"/>
          </w:tcPr>
          <w:p w14:paraId="56BE9B44" w14:textId="0278AC05"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0.501</w:t>
            </w:r>
          </w:p>
        </w:tc>
        <w:tc>
          <w:tcPr>
            <w:tcW w:w="1146" w:type="dxa"/>
          </w:tcPr>
          <w:p w14:paraId="69575558" w14:textId="7AF32630"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0.829</w:t>
            </w:r>
          </w:p>
        </w:tc>
        <w:tc>
          <w:tcPr>
            <w:tcW w:w="1032" w:type="dxa"/>
          </w:tcPr>
          <w:p w14:paraId="56720269" w14:textId="77777777" w:rsidR="002642DB" w:rsidRPr="002535A6" w:rsidRDefault="002642DB" w:rsidP="00A04852">
            <w:pPr>
              <w:spacing w:line="360" w:lineRule="auto"/>
              <w:jc w:val="both"/>
              <w:rPr>
                <w:rFonts w:ascii="Times New Roman" w:hAnsi="Times New Roman" w:cs="Times New Roman"/>
              </w:rPr>
            </w:pPr>
          </w:p>
        </w:tc>
        <w:tc>
          <w:tcPr>
            <w:tcW w:w="998" w:type="dxa"/>
          </w:tcPr>
          <w:p w14:paraId="6ED35022" w14:textId="77777777" w:rsidR="002642DB" w:rsidRPr="002535A6" w:rsidRDefault="002642DB" w:rsidP="00A04852">
            <w:pPr>
              <w:spacing w:line="360" w:lineRule="auto"/>
              <w:jc w:val="both"/>
              <w:rPr>
                <w:rFonts w:ascii="Times New Roman" w:hAnsi="Times New Roman" w:cs="Times New Roman"/>
              </w:rPr>
            </w:pPr>
          </w:p>
        </w:tc>
      </w:tr>
      <w:tr w:rsidR="002642DB" w14:paraId="3CE87968" w14:textId="77777777" w:rsidTr="002642DB">
        <w:tc>
          <w:tcPr>
            <w:tcW w:w="1146" w:type="dxa"/>
          </w:tcPr>
          <w:p w14:paraId="515C3984" w14:textId="09BCFF19"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ENVAW</w:t>
            </w:r>
          </w:p>
        </w:tc>
        <w:tc>
          <w:tcPr>
            <w:tcW w:w="968" w:type="dxa"/>
          </w:tcPr>
          <w:p w14:paraId="4AC8AE2B" w14:textId="4D53FC1F"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0.523</w:t>
            </w:r>
          </w:p>
        </w:tc>
        <w:tc>
          <w:tcPr>
            <w:tcW w:w="968" w:type="dxa"/>
          </w:tcPr>
          <w:p w14:paraId="0FCE971E" w14:textId="7347ABCC"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0.391</w:t>
            </w:r>
          </w:p>
        </w:tc>
        <w:tc>
          <w:tcPr>
            <w:tcW w:w="1035" w:type="dxa"/>
          </w:tcPr>
          <w:p w14:paraId="0388182B" w14:textId="6D5EA925"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0.892</w:t>
            </w:r>
          </w:p>
        </w:tc>
        <w:tc>
          <w:tcPr>
            <w:tcW w:w="1089" w:type="dxa"/>
          </w:tcPr>
          <w:p w14:paraId="1713DAED" w14:textId="2232909F"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0.534</w:t>
            </w:r>
          </w:p>
        </w:tc>
        <w:tc>
          <w:tcPr>
            <w:tcW w:w="1146" w:type="dxa"/>
          </w:tcPr>
          <w:p w14:paraId="6FC27D80" w14:textId="590DF33F"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0.625</w:t>
            </w:r>
          </w:p>
        </w:tc>
        <w:tc>
          <w:tcPr>
            <w:tcW w:w="1032" w:type="dxa"/>
          </w:tcPr>
          <w:p w14:paraId="13559BAD" w14:textId="0CE1DCBE"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0.723</w:t>
            </w:r>
          </w:p>
        </w:tc>
        <w:tc>
          <w:tcPr>
            <w:tcW w:w="998" w:type="dxa"/>
          </w:tcPr>
          <w:p w14:paraId="5641FF35" w14:textId="77777777" w:rsidR="002642DB" w:rsidRPr="002535A6" w:rsidRDefault="002642DB" w:rsidP="00A04852">
            <w:pPr>
              <w:spacing w:line="360" w:lineRule="auto"/>
              <w:jc w:val="both"/>
              <w:rPr>
                <w:rFonts w:ascii="Times New Roman" w:hAnsi="Times New Roman" w:cs="Times New Roman"/>
              </w:rPr>
            </w:pPr>
          </w:p>
        </w:tc>
      </w:tr>
      <w:tr w:rsidR="002642DB" w14:paraId="2ECF407F" w14:textId="77777777" w:rsidTr="002642DB">
        <w:tc>
          <w:tcPr>
            <w:tcW w:w="1146" w:type="dxa"/>
          </w:tcPr>
          <w:p w14:paraId="3D866CDD" w14:textId="656EA1DD" w:rsidR="002642DB" w:rsidRPr="002535A6" w:rsidRDefault="002642DB" w:rsidP="00A04852">
            <w:pPr>
              <w:spacing w:line="360" w:lineRule="auto"/>
              <w:jc w:val="both"/>
              <w:rPr>
                <w:rFonts w:ascii="Times New Roman" w:hAnsi="Times New Roman" w:cs="Times New Roman"/>
                <w:b/>
                <w:bCs/>
              </w:rPr>
            </w:pPr>
            <w:r w:rsidRPr="002535A6">
              <w:rPr>
                <w:rFonts w:ascii="Times New Roman" w:hAnsi="Times New Roman" w:cs="Times New Roman"/>
                <w:b/>
                <w:bCs/>
              </w:rPr>
              <w:t>ORGP</w:t>
            </w:r>
          </w:p>
        </w:tc>
        <w:tc>
          <w:tcPr>
            <w:tcW w:w="968" w:type="dxa"/>
          </w:tcPr>
          <w:p w14:paraId="6C8570AF" w14:textId="7DCB9AA2"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0.621</w:t>
            </w:r>
          </w:p>
        </w:tc>
        <w:tc>
          <w:tcPr>
            <w:tcW w:w="968" w:type="dxa"/>
          </w:tcPr>
          <w:p w14:paraId="5640E102" w14:textId="460E6768"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0.368</w:t>
            </w:r>
          </w:p>
        </w:tc>
        <w:tc>
          <w:tcPr>
            <w:tcW w:w="1035" w:type="dxa"/>
          </w:tcPr>
          <w:p w14:paraId="1204F840" w14:textId="5B4C44C9"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0.908</w:t>
            </w:r>
          </w:p>
        </w:tc>
        <w:tc>
          <w:tcPr>
            <w:tcW w:w="1089" w:type="dxa"/>
          </w:tcPr>
          <w:p w14:paraId="63B45FA7" w14:textId="26FD2427"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0.451</w:t>
            </w:r>
          </w:p>
        </w:tc>
        <w:tc>
          <w:tcPr>
            <w:tcW w:w="1146" w:type="dxa"/>
          </w:tcPr>
          <w:p w14:paraId="19C6708C" w14:textId="281CCF50"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0.565</w:t>
            </w:r>
          </w:p>
        </w:tc>
        <w:tc>
          <w:tcPr>
            <w:tcW w:w="1032" w:type="dxa"/>
          </w:tcPr>
          <w:p w14:paraId="6CD86D65" w14:textId="6206E745"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0.606</w:t>
            </w:r>
          </w:p>
        </w:tc>
        <w:tc>
          <w:tcPr>
            <w:tcW w:w="998" w:type="dxa"/>
          </w:tcPr>
          <w:p w14:paraId="45E9A0EB" w14:textId="47BAED3C" w:rsidR="002642DB" w:rsidRPr="002535A6" w:rsidRDefault="002642DB" w:rsidP="00A04852">
            <w:pPr>
              <w:spacing w:line="360" w:lineRule="auto"/>
              <w:jc w:val="both"/>
              <w:rPr>
                <w:rFonts w:ascii="Times New Roman" w:hAnsi="Times New Roman" w:cs="Times New Roman"/>
              </w:rPr>
            </w:pPr>
            <w:r w:rsidRPr="002535A6">
              <w:rPr>
                <w:rFonts w:ascii="Times New Roman" w:hAnsi="Times New Roman" w:cs="Times New Roman"/>
              </w:rPr>
              <w:t>0.788</w:t>
            </w:r>
          </w:p>
        </w:tc>
      </w:tr>
    </w:tbl>
    <w:p w14:paraId="41EC8FB3" w14:textId="77777777" w:rsidR="00727080" w:rsidRDefault="00727080" w:rsidP="00A04852">
      <w:pPr>
        <w:spacing w:line="360" w:lineRule="auto"/>
        <w:jc w:val="both"/>
        <w:rPr>
          <w:rFonts w:ascii="Times New Roman" w:hAnsi="Times New Roman" w:cs="Times New Roman"/>
          <w:sz w:val="24"/>
          <w:szCs w:val="24"/>
        </w:rPr>
      </w:pPr>
    </w:p>
    <w:p w14:paraId="1270B21A" w14:textId="7DC92267" w:rsidR="00851CE0" w:rsidRDefault="00676124" w:rsidP="007270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5 shows the output of the assessment of the convergent, discriminant /divergent validity.  All the constructs have AVE&gt;0.5 indicating that they have acceptable convergent validity, which suggests that the items that are supposed to measure the same construct are indeed strongly correlated.  The discriminant validity confirms if a construct is truly distinct from other constructs, which is assessed through two methods a) </w:t>
      </w:r>
      <w:r w:rsidRPr="00A0727E">
        <w:rPr>
          <w:rFonts w:ascii="Times New Roman" w:hAnsi="Times New Roman" w:cs="Times New Roman"/>
          <w:sz w:val="24"/>
          <w:szCs w:val="24"/>
        </w:rPr>
        <w:t>Fornell and</w:t>
      </w:r>
      <w:r>
        <w:rPr>
          <w:rFonts w:ascii="Times New Roman" w:hAnsi="Times New Roman" w:cs="Times New Roman"/>
          <w:sz w:val="24"/>
          <w:szCs w:val="24"/>
        </w:rPr>
        <w:t xml:space="preserve"> </w:t>
      </w:r>
      <w:r w:rsidRPr="00A0727E">
        <w:rPr>
          <w:rFonts w:ascii="Times New Roman" w:hAnsi="Times New Roman" w:cs="Times New Roman"/>
          <w:sz w:val="24"/>
          <w:szCs w:val="24"/>
        </w:rPr>
        <w:t>Larcker and Heterotrait-Monotrait Ratio (HTMT)</w:t>
      </w:r>
      <w:r>
        <w:rPr>
          <w:rFonts w:ascii="Times New Roman" w:hAnsi="Times New Roman" w:cs="Times New Roman"/>
          <w:sz w:val="24"/>
          <w:szCs w:val="24"/>
        </w:rPr>
        <w:t xml:space="preserve">. The square root of AVE (Average Variance Extracted) is greater than the inter-construct correlations (off diagonal values) along with the MSV(H) (Maximum Shared Variance) &lt;0.90 indicating a good discriminant validity. Model fit indices; CMIN/DF = 3.147, NFI (Normed Fit Index) = 0.920, CFI (Comparative Fit Index) = 0.944, RMSEA (Root Mean Square Error of Approximation) = 0.063 and PCLOSE = 0.000 which indicated a reasonable model fit (Saha &amp; </w:t>
      </w:r>
      <w:proofErr w:type="gramStart"/>
      <w:r>
        <w:rPr>
          <w:rFonts w:ascii="Times New Roman" w:hAnsi="Times New Roman" w:cs="Times New Roman"/>
          <w:sz w:val="24"/>
          <w:szCs w:val="24"/>
        </w:rPr>
        <w:t>Jha,  2022</w:t>
      </w:r>
      <w:proofErr w:type="gramEnd"/>
      <w:r>
        <w:rPr>
          <w:rFonts w:ascii="Times New Roman" w:hAnsi="Times New Roman" w:cs="Times New Roman"/>
          <w:sz w:val="24"/>
          <w:szCs w:val="24"/>
        </w:rPr>
        <w:t xml:space="preserve">). </w:t>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t xml:space="preserve"> </w:t>
      </w:r>
      <w:r w:rsidR="00045A20" w:rsidRPr="00045A20">
        <w:rPr>
          <w:rFonts w:ascii="Times New Roman" w:hAnsi="Times New Roman" w:cs="Times New Roman"/>
          <w:sz w:val="24"/>
          <w:szCs w:val="24"/>
        </w:rPr>
        <w:t>Structural Equation Model (SEM) is a powerful multivariate statistical technique used for analysing multiple relationships simultaneously while providing strong validation for theoretical models.</w:t>
      </w:r>
      <w:r w:rsidR="002535A6">
        <w:rPr>
          <w:rFonts w:ascii="Times New Roman" w:hAnsi="Times New Roman" w:cs="Times New Roman"/>
          <w:sz w:val="24"/>
          <w:szCs w:val="24"/>
        </w:rPr>
        <w:t xml:space="preserve"> </w:t>
      </w:r>
      <w:r w:rsidR="008D22A9">
        <w:rPr>
          <w:rFonts w:ascii="Times New Roman" w:hAnsi="Times New Roman" w:cs="Times New Roman"/>
          <w:sz w:val="24"/>
          <w:szCs w:val="24"/>
        </w:rPr>
        <w:t xml:space="preserve"> Hypothesis testing using SEM includes checking the standardized path coefficient </w:t>
      </w:r>
      <w:r w:rsidR="008D22A9">
        <w:rPr>
          <w:rFonts w:ascii="Times New Roman" w:hAnsi="Times New Roman" w:cs="Times New Roman"/>
          <w:sz w:val="24"/>
          <w:szCs w:val="24"/>
        </w:rPr>
        <w:lastRenderedPageBreak/>
        <w:t>(βvalue), p-value</w:t>
      </w:r>
      <w:r w:rsidR="00ED035A">
        <w:rPr>
          <w:rFonts w:ascii="Times New Roman" w:hAnsi="Times New Roman" w:cs="Times New Roman"/>
          <w:sz w:val="24"/>
          <w:szCs w:val="24"/>
        </w:rPr>
        <w:t xml:space="preserve"> and critical</w:t>
      </w:r>
      <w:r w:rsidR="008D22A9">
        <w:rPr>
          <w:rFonts w:ascii="Times New Roman" w:hAnsi="Times New Roman" w:cs="Times New Roman"/>
          <w:sz w:val="24"/>
          <w:szCs w:val="24"/>
        </w:rPr>
        <w:t xml:space="preserve"> ratio</w:t>
      </w:r>
      <w:r w:rsidR="00ED035A">
        <w:rPr>
          <w:rFonts w:ascii="Times New Roman" w:hAnsi="Times New Roman" w:cs="Times New Roman"/>
          <w:sz w:val="24"/>
          <w:szCs w:val="24"/>
        </w:rPr>
        <w:t xml:space="preserve"> (t-value). The standardized path coefficient (β) should range from – 1 to +1, p-value &lt;0.05 and critical ration &gt;1.96</w:t>
      </w:r>
      <w:r w:rsidR="00671044">
        <w:rPr>
          <w:rFonts w:ascii="Times New Roman" w:hAnsi="Times New Roman" w:cs="Times New Roman"/>
          <w:sz w:val="24"/>
          <w:szCs w:val="24"/>
        </w:rPr>
        <w:t>. The figure 3 below shows the SEM analysis.</w:t>
      </w:r>
    </w:p>
    <w:p w14:paraId="226033E0" w14:textId="403A2A2C" w:rsidR="00851CE0" w:rsidRPr="00851CE0" w:rsidRDefault="00851CE0" w:rsidP="00851CE0">
      <w:pPr>
        <w:spacing w:line="360" w:lineRule="auto"/>
        <w:jc w:val="both"/>
        <w:rPr>
          <w:rFonts w:ascii="Times New Roman" w:hAnsi="Times New Roman" w:cs="Times New Roman"/>
          <w:sz w:val="24"/>
          <w:szCs w:val="24"/>
        </w:rPr>
      </w:pPr>
      <w:r w:rsidRPr="00727080">
        <w:rPr>
          <w:rFonts w:ascii="Times New Roman" w:hAnsi="Times New Roman" w:cs="Times New Roman"/>
          <w:b/>
          <w:bCs/>
        </w:rPr>
        <w:t>Figure_3.</w:t>
      </w:r>
      <w:r>
        <w:t xml:space="preserve"> </w:t>
      </w:r>
      <w:r w:rsidRPr="002535A6">
        <w:rPr>
          <w:rFonts w:ascii="Times New Roman" w:hAnsi="Times New Roman" w:cs="Times New Roman"/>
          <w:b/>
          <w:bCs/>
          <w:sz w:val="24"/>
          <w:szCs w:val="24"/>
        </w:rPr>
        <w:t>Structural Equation model</w:t>
      </w:r>
    </w:p>
    <w:p w14:paraId="03DD5884" w14:textId="081532A2" w:rsidR="00851CE0" w:rsidRPr="00851CE0" w:rsidRDefault="00851CE0" w:rsidP="00A04852">
      <w:pPr>
        <w:spacing w:line="360" w:lineRule="auto"/>
        <w:jc w:val="both"/>
        <w:rPr>
          <w:rFonts w:ascii="Times New Roman" w:hAnsi="Times New Roman" w:cs="Times New Roman"/>
          <w:sz w:val="24"/>
          <w:szCs w:val="24"/>
        </w:rPr>
      </w:pPr>
      <w:r w:rsidRPr="00506A9A">
        <w:rPr>
          <w:noProof/>
        </w:rPr>
        <w:drawing>
          <wp:inline distT="0" distB="0" distL="0" distR="0" wp14:anchorId="0A64A336" wp14:editId="518F78AC">
            <wp:extent cx="5819791" cy="3160295"/>
            <wp:effectExtent l="0" t="0" r="0" b="2540"/>
            <wp:docPr id="1751597857" name="Picture 1" descr="A diagram of a mathematical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97857" name="Picture 1" descr="A diagram of a mathematical model&#10;&#10;AI-generated content may be incorrect."/>
                    <pic:cNvPicPr/>
                  </pic:nvPicPr>
                  <pic:blipFill>
                    <a:blip r:embed="rId10"/>
                    <a:stretch>
                      <a:fillRect/>
                    </a:stretch>
                  </pic:blipFill>
                  <pic:spPr>
                    <a:xfrm>
                      <a:off x="0" y="0"/>
                      <a:ext cx="5957521" cy="3235086"/>
                    </a:xfrm>
                    <a:prstGeom prst="rect">
                      <a:avLst/>
                    </a:prstGeom>
                  </pic:spPr>
                </pic:pic>
              </a:graphicData>
            </a:graphic>
          </wp:inline>
        </w:drawing>
      </w:r>
      <w:r w:rsidRPr="00904F96">
        <w:rPr>
          <w:rFonts w:ascii="Times New Roman" w:hAnsi="Times New Roman" w:cs="Times New Roman"/>
          <w:sz w:val="16"/>
          <w:szCs w:val="16"/>
        </w:rPr>
        <w:t>Note: AW- Environmental Awareness; ETH – Environmental Ethics; AT – Environmental Attitude; OP – Organic Preference</w:t>
      </w:r>
    </w:p>
    <w:p w14:paraId="29FCB567" w14:textId="5D904CC0" w:rsidR="002535A6" w:rsidRPr="002535A6" w:rsidRDefault="002535A6" w:rsidP="00A04852">
      <w:pPr>
        <w:spacing w:line="360" w:lineRule="auto"/>
        <w:jc w:val="both"/>
        <w:rPr>
          <w:rFonts w:ascii="Times New Roman" w:hAnsi="Times New Roman" w:cs="Times New Roman"/>
          <w:b/>
          <w:bCs/>
          <w:sz w:val="24"/>
          <w:szCs w:val="24"/>
        </w:rPr>
      </w:pPr>
      <w:r w:rsidRPr="002535A6">
        <w:rPr>
          <w:rFonts w:ascii="Times New Roman" w:hAnsi="Times New Roman" w:cs="Times New Roman"/>
          <w:b/>
          <w:bCs/>
          <w:sz w:val="24"/>
          <w:szCs w:val="24"/>
        </w:rPr>
        <w:t xml:space="preserve">Table </w:t>
      </w:r>
      <w:r w:rsidR="0086214D">
        <w:rPr>
          <w:rFonts w:ascii="Times New Roman" w:hAnsi="Times New Roman" w:cs="Times New Roman"/>
          <w:b/>
          <w:bCs/>
          <w:sz w:val="24"/>
          <w:szCs w:val="24"/>
        </w:rPr>
        <w:t>6</w:t>
      </w:r>
      <w:r w:rsidRPr="002535A6">
        <w:rPr>
          <w:rFonts w:ascii="Times New Roman" w:hAnsi="Times New Roman" w:cs="Times New Roman"/>
          <w:b/>
          <w:bCs/>
          <w:sz w:val="24"/>
          <w:szCs w:val="24"/>
        </w:rPr>
        <w:t xml:space="preserve">. </w:t>
      </w:r>
      <w:r w:rsidR="009247BF">
        <w:rPr>
          <w:rFonts w:ascii="Times New Roman" w:hAnsi="Times New Roman" w:cs="Times New Roman"/>
          <w:b/>
          <w:bCs/>
          <w:sz w:val="24"/>
          <w:szCs w:val="24"/>
        </w:rPr>
        <w:t xml:space="preserve">SEM </w:t>
      </w:r>
      <w:r w:rsidRPr="002535A6">
        <w:rPr>
          <w:rFonts w:ascii="Times New Roman" w:hAnsi="Times New Roman" w:cs="Times New Roman"/>
          <w:b/>
          <w:bCs/>
          <w:sz w:val="24"/>
          <w:szCs w:val="24"/>
        </w:rPr>
        <w:t xml:space="preserve">Path analysis </w:t>
      </w:r>
    </w:p>
    <w:tbl>
      <w:tblPr>
        <w:tblStyle w:val="TableGrid"/>
        <w:tblW w:w="0" w:type="auto"/>
        <w:tblLook w:val="04A0" w:firstRow="1" w:lastRow="0" w:firstColumn="1" w:lastColumn="0" w:noHBand="0" w:noVBand="1"/>
      </w:tblPr>
      <w:tblGrid>
        <w:gridCol w:w="2139"/>
        <w:gridCol w:w="1478"/>
        <w:gridCol w:w="1428"/>
        <w:gridCol w:w="1445"/>
        <w:gridCol w:w="1430"/>
        <w:gridCol w:w="1430"/>
      </w:tblGrid>
      <w:tr w:rsidR="00930680" w14:paraId="123816BF" w14:textId="77777777" w:rsidTr="00930680">
        <w:tc>
          <w:tcPr>
            <w:tcW w:w="1558" w:type="dxa"/>
          </w:tcPr>
          <w:p w14:paraId="7C02603E" w14:textId="4C3E1406" w:rsidR="00930680" w:rsidRPr="009E59F7" w:rsidRDefault="00930680" w:rsidP="00A04852">
            <w:pPr>
              <w:spacing w:line="360" w:lineRule="auto"/>
              <w:jc w:val="center"/>
              <w:rPr>
                <w:rFonts w:ascii="Times New Roman" w:hAnsi="Times New Roman" w:cs="Times New Roman"/>
                <w:b/>
                <w:bCs/>
              </w:rPr>
            </w:pPr>
            <w:r w:rsidRPr="009E59F7">
              <w:rPr>
                <w:rFonts w:ascii="Times New Roman" w:hAnsi="Times New Roman" w:cs="Times New Roman"/>
                <w:b/>
                <w:bCs/>
              </w:rPr>
              <w:t>Designation in the SEM diagram</w:t>
            </w:r>
          </w:p>
        </w:tc>
        <w:tc>
          <w:tcPr>
            <w:tcW w:w="1558" w:type="dxa"/>
          </w:tcPr>
          <w:p w14:paraId="02331287" w14:textId="4CDDC882" w:rsidR="00930680" w:rsidRPr="009E59F7" w:rsidRDefault="00930680" w:rsidP="00A04852">
            <w:pPr>
              <w:spacing w:line="360" w:lineRule="auto"/>
              <w:jc w:val="center"/>
              <w:rPr>
                <w:rFonts w:ascii="Times New Roman" w:hAnsi="Times New Roman" w:cs="Times New Roman"/>
                <w:b/>
                <w:bCs/>
              </w:rPr>
            </w:pPr>
            <w:r w:rsidRPr="009E59F7">
              <w:rPr>
                <w:rFonts w:ascii="Times New Roman" w:hAnsi="Times New Roman" w:cs="Times New Roman"/>
                <w:b/>
                <w:bCs/>
              </w:rPr>
              <w:t>Estimate</w:t>
            </w:r>
          </w:p>
        </w:tc>
        <w:tc>
          <w:tcPr>
            <w:tcW w:w="1558" w:type="dxa"/>
          </w:tcPr>
          <w:p w14:paraId="7C5A7D03" w14:textId="665015A3" w:rsidR="00930680" w:rsidRPr="009E59F7" w:rsidRDefault="00930680" w:rsidP="00A04852">
            <w:pPr>
              <w:spacing w:line="360" w:lineRule="auto"/>
              <w:jc w:val="center"/>
              <w:rPr>
                <w:rFonts w:ascii="Times New Roman" w:hAnsi="Times New Roman" w:cs="Times New Roman"/>
                <w:b/>
                <w:bCs/>
              </w:rPr>
            </w:pPr>
            <w:r w:rsidRPr="009E59F7">
              <w:rPr>
                <w:rFonts w:ascii="Times New Roman" w:hAnsi="Times New Roman" w:cs="Times New Roman"/>
                <w:b/>
                <w:bCs/>
              </w:rPr>
              <w:t>S. E</w:t>
            </w:r>
          </w:p>
        </w:tc>
        <w:tc>
          <w:tcPr>
            <w:tcW w:w="1558" w:type="dxa"/>
          </w:tcPr>
          <w:p w14:paraId="367AD03B" w14:textId="0BC7ECA7" w:rsidR="00930680" w:rsidRPr="009E59F7" w:rsidRDefault="00930680" w:rsidP="00A04852">
            <w:pPr>
              <w:spacing w:line="360" w:lineRule="auto"/>
              <w:jc w:val="center"/>
              <w:rPr>
                <w:rFonts w:ascii="Times New Roman" w:hAnsi="Times New Roman" w:cs="Times New Roman"/>
                <w:b/>
                <w:bCs/>
              </w:rPr>
            </w:pPr>
            <w:r w:rsidRPr="009E59F7">
              <w:rPr>
                <w:rFonts w:ascii="Times New Roman" w:hAnsi="Times New Roman" w:cs="Times New Roman"/>
                <w:b/>
                <w:bCs/>
              </w:rPr>
              <w:t>C.R</w:t>
            </w:r>
            <w:r w:rsidR="00ED035A" w:rsidRPr="009E59F7">
              <w:rPr>
                <w:rFonts w:ascii="Times New Roman" w:hAnsi="Times New Roman" w:cs="Times New Roman"/>
                <w:b/>
                <w:bCs/>
              </w:rPr>
              <w:t xml:space="preserve"> (t-value)</w:t>
            </w:r>
          </w:p>
        </w:tc>
        <w:tc>
          <w:tcPr>
            <w:tcW w:w="1559" w:type="dxa"/>
          </w:tcPr>
          <w:p w14:paraId="209346D2" w14:textId="6D6B34FE" w:rsidR="00930680" w:rsidRPr="009E59F7" w:rsidRDefault="00930680" w:rsidP="00A04852">
            <w:pPr>
              <w:spacing w:line="360" w:lineRule="auto"/>
              <w:jc w:val="center"/>
              <w:rPr>
                <w:rFonts w:ascii="Times New Roman" w:hAnsi="Times New Roman" w:cs="Times New Roman"/>
                <w:b/>
                <w:bCs/>
              </w:rPr>
            </w:pPr>
            <w:r w:rsidRPr="009E59F7">
              <w:rPr>
                <w:rFonts w:ascii="Times New Roman" w:hAnsi="Times New Roman" w:cs="Times New Roman"/>
                <w:b/>
                <w:bCs/>
              </w:rPr>
              <w:t>p-value</w:t>
            </w:r>
          </w:p>
        </w:tc>
        <w:tc>
          <w:tcPr>
            <w:tcW w:w="1559" w:type="dxa"/>
          </w:tcPr>
          <w:p w14:paraId="4D10A288" w14:textId="347C6F08" w:rsidR="00930680" w:rsidRPr="009E59F7" w:rsidRDefault="00930680" w:rsidP="00A04852">
            <w:pPr>
              <w:spacing w:line="360" w:lineRule="auto"/>
              <w:jc w:val="center"/>
              <w:rPr>
                <w:rFonts w:ascii="Times New Roman" w:hAnsi="Times New Roman" w:cs="Times New Roman"/>
                <w:b/>
                <w:bCs/>
              </w:rPr>
            </w:pPr>
            <w:r w:rsidRPr="009E59F7">
              <w:rPr>
                <w:rFonts w:ascii="Times New Roman" w:hAnsi="Times New Roman" w:cs="Times New Roman"/>
                <w:b/>
                <w:bCs/>
              </w:rPr>
              <w:t>β-value</w:t>
            </w:r>
          </w:p>
        </w:tc>
      </w:tr>
      <w:tr w:rsidR="00930680" w14:paraId="3AD1DF0A" w14:textId="77777777" w:rsidTr="005B49C9">
        <w:tc>
          <w:tcPr>
            <w:tcW w:w="1558" w:type="dxa"/>
            <w:vAlign w:val="center"/>
          </w:tcPr>
          <w:p w14:paraId="0CCD60FA" w14:textId="6732E595"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ENVATT</w:t>
            </w:r>
            <w:r w:rsidRPr="002535A6">
              <w:rPr>
                <w:rFonts w:ascii="Times New Roman" w:hAnsi="Times New Roman" w:cs="Times New Roman"/>
              </w:rPr>
              <w:sym w:font="Wingdings" w:char="F0DF"/>
            </w:r>
            <w:r w:rsidRPr="002535A6">
              <w:rPr>
                <w:rFonts w:ascii="Times New Roman" w:hAnsi="Times New Roman" w:cs="Times New Roman"/>
              </w:rPr>
              <w:t>ENVAW</w:t>
            </w:r>
          </w:p>
        </w:tc>
        <w:tc>
          <w:tcPr>
            <w:tcW w:w="1558" w:type="dxa"/>
            <w:vAlign w:val="center"/>
          </w:tcPr>
          <w:p w14:paraId="3E0E0427" w14:textId="572BD24D"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0.380</w:t>
            </w:r>
          </w:p>
        </w:tc>
        <w:tc>
          <w:tcPr>
            <w:tcW w:w="1558" w:type="dxa"/>
            <w:vAlign w:val="center"/>
          </w:tcPr>
          <w:p w14:paraId="3AC221E3" w14:textId="4B019AD5"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0.055</w:t>
            </w:r>
          </w:p>
        </w:tc>
        <w:tc>
          <w:tcPr>
            <w:tcW w:w="1558" w:type="dxa"/>
          </w:tcPr>
          <w:p w14:paraId="449AD383" w14:textId="79A06E1F"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6.871</w:t>
            </w:r>
          </w:p>
        </w:tc>
        <w:tc>
          <w:tcPr>
            <w:tcW w:w="1559" w:type="dxa"/>
          </w:tcPr>
          <w:p w14:paraId="02B11E76" w14:textId="381F7A89"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w:t>
            </w:r>
          </w:p>
        </w:tc>
        <w:tc>
          <w:tcPr>
            <w:tcW w:w="1559" w:type="dxa"/>
          </w:tcPr>
          <w:p w14:paraId="5FEA4E7C" w14:textId="15FF70A9"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0.372</w:t>
            </w:r>
          </w:p>
        </w:tc>
      </w:tr>
      <w:tr w:rsidR="00930680" w14:paraId="23A88EAF" w14:textId="77777777" w:rsidTr="005B49C9">
        <w:tc>
          <w:tcPr>
            <w:tcW w:w="1558" w:type="dxa"/>
            <w:vAlign w:val="center"/>
          </w:tcPr>
          <w:p w14:paraId="20665402" w14:textId="02A4B132"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ENVATT</w:t>
            </w:r>
            <w:r w:rsidRPr="002535A6">
              <w:rPr>
                <w:rFonts w:ascii="Times New Roman" w:hAnsi="Times New Roman" w:cs="Times New Roman"/>
              </w:rPr>
              <w:sym w:font="Wingdings" w:char="F0DF"/>
            </w:r>
            <w:r w:rsidRPr="002535A6">
              <w:rPr>
                <w:rFonts w:ascii="Times New Roman" w:hAnsi="Times New Roman" w:cs="Times New Roman"/>
              </w:rPr>
              <w:t>ENVETH</w:t>
            </w:r>
          </w:p>
        </w:tc>
        <w:tc>
          <w:tcPr>
            <w:tcW w:w="1558" w:type="dxa"/>
            <w:vAlign w:val="center"/>
          </w:tcPr>
          <w:p w14:paraId="10B18E3F" w14:textId="5DD86722"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0.291</w:t>
            </w:r>
          </w:p>
        </w:tc>
        <w:tc>
          <w:tcPr>
            <w:tcW w:w="1558" w:type="dxa"/>
            <w:vAlign w:val="center"/>
          </w:tcPr>
          <w:p w14:paraId="06AABF3D" w14:textId="7BB89BC7"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0.055</w:t>
            </w:r>
          </w:p>
        </w:tc>
        <w:tc>
          <w:tcPr>
            <w:tcW w:w="1558" w:type="dxa"/>
          </w:tcPr>
          <w:p w14:paraId="5F772B0D" w14:textId="0AE9541F"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5.329</w:t>
            </w:r>
          </w:p>
        </w:tc>
        <w:tc>
          <w:tcPr>
            <w:tcW w:w="1559" w:type="dxa"/>
          </w:tcPr>
          <w:p w14:paraId="79BB6BC9" w14:textId="711350F4"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w:t>
            </w:r>
          </w:p>
        </w:tc>
        <w:tc>
          <w:tcPr>
            <w:tcW w:w="1559" w:type="dxa"/>
          </w:tcPr>
          <w:p w14:paraId="2622E499" w14:textId="4C1EFB42"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0.280</w:t>
            </w:r>
          </w:p>
        </w:tc>
      </w:tr>
      <w:tr w:rsidR="00930680" w14:paraId="78526C56" w14:textId="77777777" w:rsidTr="005B49C9">
        <w:tc>
          <w:tcPr>
            <w:tcW w:w="1558" w:type="dxa"/>
            <w:vAlign w:val="center"/>
          </w:tcPr>
          <w:p w14:paraId="1476A5E5" w14:textId="4470C07B"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ORGP</w:t>
            </w:r>
            <w:r w:rsidRPr="002535A6">
              <w:rPr>
                <w:rFonts w:ascii="Times New Roman" w:hAnsi="Times New Roman" w:cs="Times New Roman"/>
              </w:rPr>
              <w:sym w:font="Wingdings" w:char="F0DF"/>
            </w:r>
            <w:r w:rsidRPr="002535A6">
              <w:rPr>
                <w:rFonts w:ascii="Times New Roman" w:hAnsi="Times New Roman" w:cs="Times New Roman"/>
              </w:rPr>
              <w:t>ENVATT</w:t>
            </w:r>
          </w:p>
        </w:tc>
        <w:tc>
          <w:tcPr>
            <w:tcW w:w="1558" w:type="dxa"/>
            <w:vAlign w:val="center"/>
          </w:tcPr>
          <w:p w14:paraId="26C6FF43" w14:textId="2C65C6F6"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0.400</w:t>
            </w:r>
          </w:p>
        </w:tc>
        <w:tc>
          <w:tcPr>
            <w:tcW w:w="1558" w:type="dxa"/>
            <w:vAlign w:val="center"/>
          </w:tcPr>
          <w:p w14:paraId="3B3B623D" w14:textId="4104FC6B"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0.038</w:t>
            </w:r>
          </w:p>
        </w:tc>
        <w:tc>
          <w:tcPr>
            <w:tcW w:w="1558" w:type="dxa"/>
          </w:tcPr>
          <w:p w14:paraId="7034A123" w14:textId="10CB72D3"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10.406</w:t>
            </w:r>
          </w:p>
        </w:tc>
        <w:tc>
          <w:tcPr>
            <w:tcW w:w="1559" w:type="dxa"/>
          </w:tcPr>
          <w:p w14:paraId="2E16B9E5" w14:textId="358D061F"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w:t>
            </w:r>
          </w:p>
        </w:tc>
        <w:tc>
          <w:tcPr>
            <w:tcW w:w="1559" w:type="dxa"/>
          </w:tcPr>
          <w:p w14:paraId="38E65B89" w14:textId="2E4BF06F" w:rsidR="00930680" w:rsidRPr="002535A6" w:rsidRDefault="00930680" w:rsidP="00A04852">
            <w:pPr>
              <w:spacing w:line="360" w:lineRule="auto"/>
              <w:jc w:val="center"/>
              <w:rPr>
                <w:rFonts w:ascii="Times New Roman" w:hAnsi="Times New Roman" w:cs="Times New Roman"/>
              </w:rPr>
            </w:pPr>
            <w:r w:rsidRPr="002535A6">
              <w:rPr>
                <w:rFonts w:ascii="Times New Roman" w:hAnsi="Times New Roman" w:cs="Times New Roman"/>
              </w:rPr>
              <w:t>0.471</w:t>
            </w:r>
          </w:p>
        </w:tc>
      </w:tr>
    </w:tbl>
    <w:p w14:paraId="4D210588" w14:textId="30AE61FB" w:rsidR="00E55102" w:rsidRDefault="00ED035A" w:rsidP="00727080">
      <w:pPr>
        <w:spacing w:line="240" w:lineRule="auto"/>
        <w:jc w:val="both"/>
        <w:rPr>
          <w:rFonts w:ascii="Times New Roman" w:hAnsi="Times New Roman" w:cs="Times New Roman"/>
          <w:sz w:val="24"/>
          <w:szCs w:val="24"/>
        </w:rPr>
      </w:pPr>
      <w:r w:rsidRPr="002B76BF">
        <w:rPr>
          <w:rFonts w:ascii="Times New Roman" w:hAnsi="Times New Roman" w:cs="Times New Roman"/>
          <w:b/>
          <w:bCs/>
          <w:sz w:val="24"/>
          <w:szCs w:val="24"/>
        </w:rPr>
        <w:t>Hypothesis testing</w:t>
      </w:r>
      <w:r w:rsidR="003E0EF8">
        <w:rPr>
          <w:rFonts w:ascii="Times New Roman" w:hAnsi="Times New Roman" w:cs="Times New Roman"/>
          <w:b/>
          <w:bCs/>
          <w:sz w:val="24"/>
          <w:szCs w:val="24"/>
        </w:rPr>
        <w:t xml:space="preserve">: </w:t>
      </w:r>
      <w:r w:rsidR="0086214D" w:rsidRPr="0086214D">
        <w:rPr>
          <w:rFonts w:ascii="Times New Roman" w:hAnsi="Times New Roman" w:cs="Times New Roman"/>
          <w:sz w:val="24"/>
          <w:szCs w:val="24"/>
        </w:rPr>
        <w:t>Table 6 shows t</w:t>
      </w:r>
      <w:r w:rsidR="00E55102">
        <w:rPr>
          <w:rFonts w:ascii="Times New Roman" w:hAnsi="Times New Roman" w:cs="Times New Roman"/>
          <w:sz w:val="24"/>
          <w:szCs w:val="24"/>
        </w:rPr>
        <w:t>he</w:t>
      </w:r>
      <w:r w:rsidR="0086214D" w:rsidRPr="0086214D">
        <w:rPr>
          <w:rFonts w:ascii="Times New Roman" w:hAnsi="Times New Roman" w:cs="Times New Roman"/>
          <w:sz w:val="24"/>
          <w:szCs w:val="24"/>
        </w:rPr>
        <w:t xml:space="preserve"> standardised path coefficients and test result of the paired variables.  </w:t>
      </w:r>
      <w:r w:rsidR="0086214D">
        <w:rPr>
          <w:rFonts w:ascii="Times New Roman" w:hAnsi="Times New Roman" w:cs="Times New Roman"/>
          <w:sz w:val="24"/>
          <w:szCs w:val="24"/>
        </w:rPr>
        <w:t>The test result shows that all three hypotheses are supported with significant p-value and β-value</w:t>
      </w:r>
      <w:r w:rsidR="00E55102">
        <w:rPr>
          <w:rFonts w:ascii="Times New Roman" w:hAnsi="Times New Roman" w:cs="Times New Roman"/>
          <w:sz w:val="24"/>
          <w:szCs w:val="24"/>
        </w:rPr>
        <w:t xml:space="preserve"> i.e.,</w:t>
      </w:r>
      <w:r w:rsidR="00E55102" w:rsidRPr="00ED035A">
        <w:rPr>
          <w:rFonts w:ascii="Times New Roman" w:hAnsi="Times New Roman" w:cs="Times New Roman"/>
          <w:b/>
          <w:bCs/>
          <w:sz w:val="24"/>
          <w:szCs w:val="24"/>
        </w:rPr>
        <w:t xml:space="preserve"> </w:t>
      </w:r>
      <w:r w:rsidR="00E55102">
        <w:rPr>
          <w:rFonts w:ascii="Times New Roman" w:hAnsi="Times New Roman" w:cs="Times New Roman"/>
          <w:b/>
          <w:bCs/>
          <w:sz w:val="24"/>
          <w:szCs w:val="24"/>
        </w:rPr>
        <w:t>t</w:t>
      </w:r>
      <w:r w:rsidR="00E55102">
        <w:rPr>
          <w:rFonts w:ascii="Times New Roman" w:hAnsi="Times New Roman" w:cs="Times New Roman"/>
          <w:sz w:val="24"/>
          <w:szCs w:val="24"/>
        </w:rPr>
        <w:t>here is significant association between ENVAW and ENVATT, between ENVETH and ENVATT and between ENVATT and ORGP. Indicating that the data fits the model as well as all the path are supported and significant which is also backed by the existing theory.</w:t>
      </w:r>
    </w:p>
    <w:p w14:paraId="0EABB814" w14:textId="447E8C54" w:rsidR="00275D96" w:rsidRPr="003E0EF8" w:rsidRDefault="00275D96" w:rsidP="00A048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7. Mediation Analysis</w:t>
      </w:r>
    </w:p>
    <w:tbl>
      <w:tblPr>
        <w:tblStyle w:val="TableGrid"/>
        <w:tblW w:w="0" w:type="auto"/>
        <w:tblInd w:w="-95" w:type="dxa"/>
        <w:tblLook w:val="04A0" w:firstRow="1" w:lastRow="0" w:firstColumn="1" w:lastColumn="0" w:noHBand="0" w:noVBand="1"/>
      </w:tblPr>
      <w:tblGrid>
        <w:gridCol w:w="3805"/>
        <w:gridCol w:w="908"/>
        <w:gridCol w:w="907"/>
        <w:gridCol w:w="951"/>
        <w:gridCol w:w="907"/>
        <w:gridCol w:w="1060"/>
        <w:gridCol w:w="907"/>
      </w:tblGrid>
      <w:tr w:rsidR="00275D96" w14:paraId="07BE2637" w14:textId="77777777" w:rsidTr="005B49C9">
        <w:tc>
          <w:tcPr>
            <w:tcW w:w="3805" w:type="dxa"/>
          </w:tcPr>
          <w:p w14:paraId="3E90E7D4" w14:textId="77777777" w:rsidR="00275D96" w:rsidRPr="00893A97" w:rsidRDefault="00275D96" w:rsidP="005B49C9">
            <w:pPr>
              <w:pStyle w:val="ListParagraph"/>
              <w:ind w:left="0"/>
              <w:jc w:val="center"/>
              <w:rPr>
                <w:rFonts w:ascii="Times New Roman" w:hAnsi="Times New Roman" w:cs="Times New Roman"/>
                <w:sz w:val="24"/>
                <w:szCs w:val="24"/>
              </w:rPr>
            </w:pPr>
            <w:bookmarkStart w:id="1" w:name="_Hlk199765894"/>
            <w:r w:rsidRPr="00893A97">
              <w:rPr>
                <w:rFonts w:ascii="Times New Roman" w:hAnsi="Times New Roman" w:cs="Times New Roman"/>
                <w:sz w:val="24"/>
                <w:szCs w:val="24"/>
              </w:rPr>
              <w:t>Path</w:t>
            </w:r>
          </w:p>
        </w:tc>
        <w:tc>
          <w:tcPr>
            <w:tcW w:w="908" w:type="dxa"/>
          </w:tcPr>
          <w:p w14:paraId="581A85BC"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Total effect</w:t>
            </w:r>
          </w:p>
        </w:tc>
        <w:tc>
          <w:tcPr>
            <w:tcW w:w="907" w:type="dxa"/>
          </w:tcPr>
          <w:p w14:paraId="0C894F59"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p-value</w:t>
            </w:r>
          </w:p>
        </w:tc>
        <w:tc>
          <w:tcPr>
            <w:tcW w:w="951" w:type="dxa"/>
          </w:tcPr>
          <w:p w14:paraId="0AB5B8D7"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Direct Effect</w:t>
            </w:r>
          </w:p>
        </w:tc>
        <w:tc>
          <w:tcPr>
            <w:tcW w:w="907" w:type="dxa"/>
          </w:tcPr>
          <w:p w14:paraId="7880C9B9"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p-value</w:t>
            </w:r>
          </w:p>
        </w:tc>
        <w:tc>
          <w:tcPr>
            <w:tcW w:w="1060" w:type="dxa"/>
          </w:tcPr>
          <w:p w14:paraId="7FC7B231"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Indirect effect</w:t>
            </w:r>
          </w:p>
        </w:tc>
        <w:tc>
          <w:tcPr>
            <w:tcW w:w="907" w:type="dxa"/>
          </w:tcPr>
          <w:p w14:paraId="2B0C08E6"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p-value</w:t>
            </w:r>
          </w:p>
        </w:tc>
      </w:tr>
      <w:tr w:rsidR="00275D96" w14:paraId="1F542893" w14:textId="77777777" w:rsidTr="005B49C9">
        <w:tc>
          <w:tcPr>
            <w:tcW w:w="3805" w:type="dxa"/>
          </w:tcPr>
          <w:p w14:paraId="24CCCA79"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ENVETH&lt;ENVATT&lt;ORGP</w:t>
            </w:r>
          </w:p>
        </w:tc>
        <w:tc>
          <w:tcPr>
            <w:tcW w:w="908" w:type="dxa"/>
          </w:tcPr>
          <w:p w14:paraId="5F804A2A"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0.262</w:t>
            </w:r>
          </w:p>
        </w:tc>
        <w:tc>
          <w:tcPr>
            <w:tcW w:w="907" w:type="dxa"/>
          </w:tcPr>
          <w:p w14:paraId="57AA0EAA"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0.001</w:t>
            </w:r>
          </w:p>
        </w:tc>
        <w:tc>
          <w:tcPr>
            <w:tcW w:w="951" w:type="dxa"/>
          </w:tcPr>
          <w:p w14:paraId="32016EB1"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0.235</w:t>
            </w:r>
          </w:p>
        </w:tc>
        <w:tc>
          <w:tcPr>
            <w:tcW w:w="907" w:type="dxa"/>
          </w:tcPr>
          <w:p w14:paraId="7C005B75"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0.001</w:t>
            </w:r>
          </w:p>
        </w:tc>
        <w:tc>
          <w:tcPr>
            <w:tcW w:w="1060" w:type="dxa"/>
          </w:tcPr>
          <w:p w14:paraId="34C18B92"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0.027</w:t>
            </w:r>
          </w:p>
        </w:tc>
        <w:tc>
          <w:tcPr>
            <w:tcW w:w="907" w:type="dxa"/>
          </w:tcPr>
          <w:p w14:paraId="00142175"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0.014</w:t>
            </w:r>
          </w:p>
        </w:tc>
      </w:tr>
      <w:tr w:rsidR="00275D96" w14:paraId="7DE7D28E" w14:textId="77777777" w:rsidTr="005B49C9">
        <w:tc>
          <w:tcPr>
            <w:tcW w:w="3805" w:type="dxa"/>
          </w:tcPr>
          <w:p w14:paraId="7AA5432D"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ENVAW&lt;ENVATT&lt;ORGP</w:t>
            </w:r>
          </w:p>
        </w:tc>
        <w:tc>
          <w:tcPr>
            <w:tcW w:w="908" w:type="dxa"/>
          </w:tcPr>
          <w:p w14:paraId="310F1088"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0.517</w:t>
            </w:r>
          </w:p>
        </w:tc>
        <w:tc>
          <w:tcPr>
            <w:tcW w:w="907" w:type="dxa"/>
          </w:tcPr>
          <w:p w14:paraId="29F9FC90"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0.001</w:t>
            </w:r>
          </w:p>
        </w:tc>
        <w:tc>
          <w:tcPr>
            <w:tcW w:w="951" w:type="dxa"/>
          </w:tcPr>
          <w:p w14:paraId="765ADAE7"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0.466</w:t>
            </w:r>
          </w:p>
        </w:tc>
        <w:tc>
          <w:tcPr>
            <w:tcW w:w="907" w:type="dxa"/>
          </w:tcPr>
          <w:p w14:paraId="168CD1C6"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0.001</w:t>
            </w:r>
          </w:p>
        </w:tc>
        <w:tc>
          <w:tcPr>
            <w:tcW w:w="1060" w:type="dxa"/>
          </w:tcPr>
          <w:p w14:paraId="3358442A"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0.051</w:t>
            </w:r>
          </w:p>
        </w:tc>
        <w:tc>
          <w:tcPr>
            <w:tcW w:w="907" w:type="dxa"/>
          </w:tcPr>
          <w:p w14:paraId="5C3BD1AD" w14:textId="77777777" w:rsidR="00275D96" w:rsidRPr="00893A97" w:rsidRDefault="00275D96" w:rsidP="005B49C9">
            <w:pPr>
              <w:pStyle w:val="ListParagraph"/>
              <w:ind w:left="0"/>
              <w:jc w:val="center"/>
              <w:rPr>
                <w:rFonts w:ascii="Times New Roman" w:hAnsi="Times New Roman" w:cs="Times New Roman"/>
                <w:sz w:val="24"/>
                <w:szCs w:val="24"/>
              </w:rPr>
            </w:pPr>
            <w:r w:rsidRPr="00893A97">
              <w:rPr>
                <w:rFonts w:ascii="Times New Roman" w:hAnsi="Times New Roman" w:cs="Times New Roman"/>
                <w:sz w:val="24"/>
                <w:szCs w:val="24"/>
              </w:rPr>
              <w:t>0.024</w:t>
            </w:r>
          </w:p>
        </w:tc>
      </w:tr>
      <w:bookmarkEnd w:id="1"/>
    </w:tbl>
    <w:p w14:paraId="3AB3A154" w14:textId="77777777" w:rsidR="00275D96" w:rsidRDefault="00275D96" w:rsidP="00275D96">
      <w:pPr>
        <w:spacing w:line="360" w:lineRule="auto"/>
        <w:jc w:val="both"/>
        <w:rPr>
          <w:rFonts w:ascii="Times New Roman" w:hAnsi="Times New Roman" w:cs="Times New Roman"/>
          <w:b/>
          <w:bCs/>
          <w:sz w:val="24"/>
          <w:szCs w:val="24"/>
        </w:rPr>
      </w:pPr>
    </w:p>
    <w:p w14:paraId="387DDF78" w14:textId="79833CD0" w:rsidR="003D36A5" w:rsidRPr="00BA1D53" w:rsidRDefault="00275D96" w:rsidP="00727080">
      <w:pPr>
        <w:spacing w:line="240" w:lineRule="auto"/>
        <w:jc w:val="both"/>
        <w:rPr>
          <w:rFonts w:ascii="Times New Roman" w:hAnsi="Times New Roman" w:cs="Times New Roman"/>
          <w:sz w:val="24"/>
          <w:szCs w:val="24"/>
        </w:rPr>
      </w:pPr>
      <w:r w:rsidRPr="006619D5">
        <w:rPr>
          <w:rFonts w:ascii="Times New Roman" w:hAnsi="Times New Roman" w:cs="Times New Roman"/>
          <w:b/>
          <w:bCs/>
          <w:sz w:val="24"/>
          <w:szCs w:val="24"/>
        </w:rPr>
        <w:lastRenderedPageBreak/>
        <w:t>Mediation Analysis</w:t>
      </w:r>
      <w:r w:rsidRPr="006619D5">
        <w:rPr>
          <w:rFonts w:ascii="Times New Roman" w:hAnsi="Times New Roman" w:cs="Times New Roman"/>
          <w:sz w:val="24"/>
          <w:szCs w:val="24"/>
        </w:rPr>
        <w:t>:  To determine the mediating role of ENVATT a mediating study was conducted</w:t>
      </w:r>
      <w:r>
        <w:rPr>
          <w:rFonts w:ascii="Times New Roman" w:hAnsi="Times New Roman" w:cs="Times New Roman"/>
          <w:sz w:val="24"/>
          <w:szCs w:val="24"/>
        </w:rPr>
        <w:t xml:space="preserve">. </w:t>
      </w:r>
      <w:r w:rsidR="00BA1D53">
        <w:rPr>
          <w:rFonts w:ascii="Times New Roman" w:hAnsi="Times New Roman" w:cs="Times New Roman"/>
          <w:sz w:val="24"/>
          <w:szCs w:val="24"/>
        </w:rPr>
        <w:t xml:space="preserve"> </w:t>
      </w:r>
      <w:r>
        <w:rPr>
          <w:rFonts w:ascii="Times New Roman" w:hAnsi="Times New Roman" w:cs="Times New Roman"/>
          <w:sz w:val="24"/>
          <w:szCs w:val="24"/>
        </w:rPr>
        <w:t>Table 7 shows the result of the mediating analysis which shows that ENVATT is partially mediating the relationship between ENVAW &amp; ORGP, i.e., both direct (β= 0.466, p-value = 0.001) and indirect (β= 0.051, p-value = 0.024) paths are significant. Similarly, ENVATT is partially mediating the relationship between ENVETH &amp; ORGP i.e., both direct</w:t>
      </w:r>
      <w:r w:rsidR="00BA1D53">
        <w:rPr>
          <w:rFonts w:ascii="Times New Roman" w:hAnsi="Times New Roman" w:cs="Times New Roman"/>
          <w:sz w:val="24"/>
          <w:szCs w:val="24"/>
        </w:rPr>
        <w:t xml:space="preserve"> </w:t>
      </w:r>
      <w:r>
        <w:rPr>
          <w:rFonts w:ascii="Times New Roman" w:hAnsi="Times New Roman" w:cs="Times New Roman"/>
          <w:sz w:val="24"/>
          <w:szCs w:val="24"/>
        </w:rPr>
        <w:t>(β= 0.235, p-value = 0.001) and indirect</w:t>
      </w:r>
      <w:r w:rsidR="00BA1D53">
        <w:rPr>
          <w:rFonts w:ascii="Times New Roman" w:hAnsi="Times New Roman" w:cs="Times New Roman"/>
          <w:sz w:val="24"/>
          <w:szCs w:val="24"/>
        </w:rPr>
        <w:t xml:space="preserve"> </w:t>
      </w:r>
      <w:r>
        <w:rPr>
          <w:rFonts w:ascii="Times New Roman" w:hAnsi="Times New Roman" w:cs="Times New Roman"/>
          <w:sz w:val="24"/>
          <w:szCs w:val="24"/>
        </w:rPr>
        <w:t xml:space="preserve">(β = 0.027, p-value = 0.014) paths are significant. </w:t>
      </w:r>
    </w:p>
    <w:p w14:paraId="065267F2" w14:textId="3BDA15AA" w:rsidR="0086214D" w:rsidRPr="00727080" w:rsidRDefault="00E55102" w:rsidP="00A04852">
      <w:pPr>
        <w:spacing w:line="360" w:lineRule="auto"/>
        <w:jc w:val="both"/>
        <w:rPr>
          <w:rFonts w:ascii="Times New Roman" w:hAnsi="Times New Roman" w:cs="Times New Roman"/>
          <w:b/>
          <w:bCs/>
          <w:sz w:val="28"/>
          <w:szCs w:val="28"/>
        </w:rPr>
      </w:pPr>
      <w:r w:rsidRPr="00727080">
        <w:rPr>
          <w:rFonts w:ascii="Times New Roman" w:hAnsi="Times New Roman" w:cs="Times New Roman"/>
          <w:b/>
          <w:bCs/>
          <w:sz w:val="28"/>
          <w:szCs w:val="28"/>
        </w:rPr>
        <w:t xml:space="preserve"> 5. Discussion</w:t>
      </w:r>
    </w:p>
    <w:p w14:paraId="294877DA" w14:textId="5C243635" w:rsidR="003E0EF8" w:rsidRPr="003E0EF8" w:rsidRDefault="003E0EF8" w:rsidP="00727080">
      <w:pPr>
        <w:spacing w:line="240" w:lineRule="auto"/>
        <w:jc w:val="both"/>
        <w:rPr>
          <w:rFonts w:ascii="Times New Roman" w:hAnsi="Times New Roman" w:cs="Times New Roman"/>
          <w:sz w:val="24"/>
          <w:szCs w:val="24"/>
        </w:rPr>
      </w:pPr>
      <w:r w:rsidRPr="003E0EF8">
        <w:rPr>
          <w:rFonts w:ascii="Times New Roman" w:hAnsi="Times New Roman" w:cs="Times New Roman"/>
          <w:sz w:val="24"/>
          <w:szCs w:val="24"/>
        </w:rPr>
        <w:t>From table 6 the following results were obtained:</w:t>
      </w:r>
    </w:p>
    <w:p w14:paraId="6550F323" w14:textId="3ECD0A27" w:rsidR="00977099" w:rsidRDefault="00ED035A" w:rsidP="00727080">
      <w:pPr>
        <w:spacing w:line="240" w:lineRule="auto"/>
        <w:jc w:val="both"/>
        <w:rPr>
          <w:rFonts w:ascii="Times New Roman" w:hAnsi="Times New Roman" w:cs="Times New Roman"/>
          <w:sz w:val="24"/>
          <w:szCs w:val="24"/>
        </w:rPr>
      </w:pPr>
      <w:r w:rsidRPr="00ED035A">
        <w:rPr>
          <w:rFonts w:ascii="Times New Roman" w:hAnsi="Times New Roman" w:cs="Times New Roman"/>
          <w:b/>
          <w:bCs/>
          <w:sz w:val="24"/>
          <w:szCs w:val="24"/>
        </w:rPr>
        <w:t>H</w:t>
      </w:r>
      <w:r w:rsidRPr="00ED035A">
        <w:rPr>
          <w:rFonts w:ascii="Times New Roman" w:hAnsi="Times New Roman" w:cs="Times New Roman"/>
          <w:b/>
          <w:bCs/>
          <w:sz w:val="24"/>
          <w:szCs w:val="24"/>
          <w:vertAlign w:val="subscript"/>
        </w:rPr>
        <w:t>1</w:t>
      </w:r>
      <w:r w:rsidRPr="00ED035A">
        <w:rPr>
          <w:rFonts w:ascii="Times New Roman" w:hAnsi="Times New Roman" w:cs="Times New Roman"/>
          <w:b/>
          <w:bCs/>
          <w:sz w:val="24"/>
          <w:szCs w:val="24"/>
        </w:rPr>
        <w:t xml:space="preserve">: </w:t>
      </w:r>
      <w:r w:rsidR="00977099">
        <w:rPr>
          <w:rFonts w:ascii="Times New Roman" w:hAnsi="Times New Roman" w:cs="Times New Roman"/>
          <w:b/>
          <w:bCs/>
          <w:sz w:val="24"/>
          <w:szCs w:val="24"/>
        </w:rPr>
        <w:t>t</w:t>
      </w:r>
      <w:r w:rsidR="00977099">
        <w:rPr>
          <w:rFonts w:ascii="Times New Roman" w:hAnsi="Times New Roman" w:cs="Times New Roman"/>
          <w:sz w:val="24"/>
          <w:szCs w:val="24"/>
        </w:rPr>
        <w:t xml:space="preserve">here is significant association between ENVAW and ENVATT </w:t>
      </w:r>
    </w:p>
    <w:p w14:paraId="5C5DA580" w14:textId="0996E2F1" w:rsidR="00977099" w:rsidRPr="00CA2784" w:rsidRDefault="00977099" w:rsidP="00727080">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Environmental Awareness (ENVAW) has a positive and significant impact on Environmental Attitude (ENVATT) which is indicated by the estimate = 0.380, p-value &lt;0.001 and β-value = 0.372. Thus, the hypothesis is supported and it signifies that there is a significant positive association between ENVAW and ENVATT</w:t>
      </w:r>
      <w:r w:rsidR="003E0EF8">
        <w:rPr>
          <w:rFonts w:ascii="Times New Roman" w:hAnsi="Times New Roman" w:cs="Times New Roman"/>
          <w:sz w:val="24"/>
          <w:szCs w:val="24"/>
        </w:rPr>
        <w:t>, which is similar to the findings by Evcimen, (2025)</w:t>
      </w:r>
      <w:r>
        <w:rPr>
          <w:rFonts w:ascii="Times New Roman" w:hAnsi="Times New Roman" w:cs="Times New Roman"/>
          <w:sz w:val="24"/>
          <w:szCs w:val="24"/>
        </w:rPr>
        <w:t xml:space="preserve"> </w:t>
      </w:r>
      <w:r w:rsidR="003E0EF8">
        <w:rPr>
          <w:rFonts w:ascii="Times New Roman" w:hAnsi="Times New Roman" w:cs="Times New Roman"/>
          <w:sz w:val="24"/>
          <w:szCs w:val="24"/>
        </w:rPr>
        <w:t>wherein when Environmental Awareness education was provided to the nursing students, their Environmental Attitude positively had an increment. This</w:t>
      </w:r>
      <w:r>
        <w:rPr>
          <w:rFonts w:ascii="Times New Roman" w:hAnsi="Times New Roman" w:cs="Times New Roman"/>
          <w:sz w:val="24"/>
          <w:szCs w:val="24"/>
        </w:rPr>
        <w:t xml:space="preserve"> implies that 1 unit increase in ENVAW leads to a 0.372 standard unit increase in ENVATT</w:t>
      </w:r>
      <w:r w:rsidR="00D53709">
        <w:rPr>
          <w:rFonts w:ascii="Times New Roman" w:hAnsi="Times New Roman" w:cs="Times New Roman"/>
          <w:sz w:val="24"/>
          <w:szCs w:val="24"/>
        </w:rPr>
        <w:t xml:space="preserve">. This significant influence indicates that the more aware the population </w:t>
      </w:r>
      <w:r w:rsidR="003E0EF8">
        <w:rPr>
          <w:rFonts w:ascii="Times New Roman" w:hAnsi="Times New Roman" w:cs="Times New Roman"/>
          <w:sz w:val="24"/>
          <w:szCs w:val="24"/>
        </w:rPr>
        <w:t xml:space="preserve">is </w:t>
      </w:r>
      <w:r w:rsidR="00D53709">
        <w:rPr>
          <w:rFonts w:ascii="Times New Roman" w:hAnsi="Times New Roman" w:cs="Times New Roman"/>
          <w:sz w:val="24"/>
          <w:szCs w:val="24"/>
        </w:rPr>
        <w:t xml:space="preserve">in regards to the various environmental issues and crisis the positive </w:t>
      </w:r>
      <w:r w:rsidR="0042140F">
        <w:rPr>
          <w:rFonts w:ascii="Times New Roman" w:hAnsi="Times New Roman" w:cs="Times New Roman"/>
          <w:sz w:val="24"/>
          <w:szCs w:val="24"/>
        </w:rPr>
        <w:t>will be the</w:t>
      </w:r>
      <w:r w:rsidR="00D53709">
        <w:rPr>
          <w:rFonts w:ascii="Times New Roman" w:hAnsi="Times New Roman" w:cs="Times New Roman"/>
          <w:sz w:val="24"/>
          <w:szCs w:val="24"/>
        </w:rPr>
        <w:t xml:space="preserve"> attitude of the population towards the </w:t>
      </w:r>
      <w:r w:rsidR="001353FB">
        <w:rPr>
          <w:rFonts w:ascii="Times New Roman" w:hAnsi="Times New Roman" w:cs="Times New Roman"/>
          <w:sz w:val="24"/>
          <w:szCs w:val="24"/>
        </w:rPr>
        <w:t>eco-friendly</w:t>
      </w:r>
      <w:r w:rsidR="00D53709">
        <w:rPr>
          <w:rFonts w:ascii="Times New Roman" w:hAnsi="Times New Roman" w:cs="Times New Roman"/>
          <w:sz w:val="24"/>
          <w:szCs w:val="24"/>
        </w:rPr>
        <w:t xml:space="preserve"> behaviours which in turn could lead to actions that might help in sustaining the environment.  </w:t>
      </w:r>
      <w:r w:rsidRPr="00CA2784">
        <w:rPr>
          <w:rFonts w:ascii="Times New Roman" w:hAnsi="Times New Roman" w:cs="Times New Roman"/>
          <w:color w:val="FF0000"/>
          <w:sz w:val="24"/>
          <w:szCs w:val="24"/>
        </w:rPr>
        <w:t xml:space="preserve"> </w:t>
      </w:r>
    </w:p>
    <w:p w14:paraId="0BDD0A72" w14:textId="77777777" w:rsidR="00977099" w:rsidRPr="00920ED0" w:rsidRDefault="00977099" w:rsidP="00727080">
      <w:pPr>
        <w:spacing w:line="240" w:lineRule="auto"/>
        <w:jc w:val="both"/>
        <w:rPr>
          <w:rFonts w:ascii="Times New Roman" w:hAnsi="Times New Roman" w:cs="Times New Roman"/>
          <w:sz w:val="24"/>
          <w:szCs w:val="24"/>
        </w:rPr>
      </w:pPr>
      <w:r w:rsidRPr="00213A13">
        <w:rPr>
          <w:rFonts w:ascii="Times New Roman" w:hAnsi="Times New Roman" w:cs="Times New Roman"/>
          <w:b/>
          <w:bCs/>
          <w:sz w:val="24"/>
          <w:szCs w:val="24"/>
        </w:rPr>
        <w:t>H</w:t>
      </w:r>
      <w:r w:rsidRPr="00213A13">
        <w:rPr>
          <w:rFonts w:ascii="Times New Roman" w:hAnsi="Times New Roman" w:cs="Times New Roman"/>
          <w:b/>
          <w:bCs/>
          <w:sz w:val="24"/>
          <w:szCs w:val="24"/>
          <w:vertAlign w:val="subscript"/>
        </w:rPr>
        <w:t>2</w:t>
      </w:r>
      <w:r w:rsidRPr="00213A13">
        <w:rPr>
          <w:rFonts w:ascii="Times New Roman" w:hAnsi="Times New Roman" w:cs="Times New Roman"/>
          <w:b/>
          <w:bCs/>
          <w:sz w:val="24"/>
          <w:szCs w:val="24"/>
        </w:rPr>
        <w:t>:</w:t>
      </w:r>
      <w:r>
        <w:rPr>
          <w:rFonts w:ascii="Times New Roman" w:hAnsi="Times New Roman" w:cs="Times New Roman"/>
          <w:sz w:val="24"/>
          <w:szCs w:val="24"/>
        </w:rPr>
        <w:t xml:space="preserve"> there is significant association between ENVETH and ENVATT</w:t>
      </w:r>
    </w:p>
    <w:p w14:paraId="0F6D3AAB" w14:textId="3A688DF7" w:rsidR="00B2313E" w:rsidRDefault="00977099" w:rsidP="00727080">
      <w:pPr>
        <w:spacing w:line="240" w:lineRule="auto"/>
        <w:jc w:val="both"/>
        <w:rPr>
          <w:rFonts w:ascii="Times New Roman" w:hAnsi="Times New Roman" w:cs="Times New Roman"/>
          <w:sz w:val="24"/>
          <w:szCs w:val="24"/>
        </w:rPr>
      </w:pPr>
      <w:r>
        <w:rPr>
          <w:rFonts w:ascii="Times New Roman" w:hAnsi="Times New Roman" w:cs="Times New Roman"/>
          <w:sz w:val="24"/>
          <w:szCs w:val="24"/>
        </w:rPr>
        <w:t>Environmental Ethics (ENVETH) has a positive and significant effect on Environmental Attitude (ENVATT), which is evident from estimates = 0.291, p-value &lt;0.001 and β-value = 0.280</w:t>
      </w:r>
      <w:r w:rsidR="000E14D8">
        <w:rPr>
          <w:rFonts w:ascii="Times New Roman" w:hAnsi="Times New Roman" w:cs="Times New Roman"/>
          <w:sz w:val="24"/>
          <w:szCs w:val="24"/>
        </w:rPr>
        <w:t xml:space="preserve"> which is similar to the result of Aziz et.al., (2021)</w:t>
      </w:r>
      <w:r>
        <w:rPr>
          <w:rFonts w:ascii="Times New Roman" w:hAnsi="Times New Roman" w:cs="Times New Roman"/>
          <w:sz w:val="24"/>
          <w:szCs w:val="24"/>
        </w:rPr>
        <w:t xml:space="preserve">. Thus, the hypothesis is supported and it signifies that there is a significant positive association between </w:t>
      </w:r>
      <w:r w:rsidR="00B2313E">
        <w:rPr>
          <w:rFonts w:ascii="Times New Roman" w:hAnsi="Times New Roman" w:cs="Times New Roman"/>
          <w:sz w:val="24"/>
          <w:szCs w:val="24"/>
        </w:rPr>
        <w:t>ENVETH and</w:t>
      </w:r>
      <w:r>
        <w:rPr>
          <w:rFonts w:ascii="Times New Roman" w:hAnsi="Times New Roman" w:cs="Times New Roman"/>
          <w:sz w:val="24"/>
          <w:szCs w:val="24"/>
        </w:rPr>
        <w:t xml:space="preserve"> ENVATT which implies </w:t>
      </w:r>
      <w:r w:rsidR="00B2313E">
        <w:rPr>
          <w:rFonts w:ascii="Times New Roman" w:hAnsi="Times New Roman" w:cs="Times New Roman"/>
          <w:sz w:val="24"/>
          <w:szCs w:val="24"/>
        </w:rPr>
        <w:t>that 1</w:t>
      </w:r>
      <w:r>
        <w:rPr>
          <w:rFonts w:ascii="Times New Roman" w:hAnsi="Times New Roman" w:cs="Times New Roman"/>
          <w:sz w:val="24"/>
          <w:szCs w:val="24"/>
        </w:rPr>
        <w:t xml:space="preserve"> unit </w:t>
      </w:r>
      <w:r w:rsidR="00B2313E">
        <w:rPr>
          <w:rFonts w:ascii="Times New Roman" w:hAnsi="Times New Roman" w:cs="Times New Roman"/>
          <w:sz w:val="24"/>
          <w:szCs w:val="24"/>
        </w:rPr>
        <w:t xml:space="preserve">increase in ENVETH results in a 0.280 standard unit increase in ENVATT. </w:t>
      </w:r>
      <w:r w:rsidR="00D53709">
        <w:rPr>
          <w:rFonts w:ascii="Times New Roman" w:hAnsi="Times New Roman" w:cs="Times New Roman"/>
          <w:sz w:val="24"/>
          <w:szCs w:val="24"/>
        </w:rPr>
        <w:t xml:space="preserve">From the above results, it is only evident that Environmental Ethics needs to be fostered among the population specially from household level. The more conscious an individual is about their actions </w:t>
      </w:r>
      <w:r w:rsidR="001353FB">
        <w:rPr>
          <w:rFonts w:ascii="Times New Roman" w:hAnsi="Times New Roman" w:cs="Times New Roman"/>
          <w:sz w:val="24"/>
          <w:szCs w:val="24"/>
        </w:rPr>
        <w:t>towards the</w:t>
      </w:r>
      <w:r w:rsidR="00D53709">
        <w:rPr>
          <w:rFonts w:ascii="Times New Roman" w:hAnsi="Times New Roman" w:cs="Times New Roman"/>
          <w:sz w:val="24"/>
          <w:szCs w:val="24"/>
        </w:rPr>
        <w:t xml:space="preserve"> environment the </w:t>
      </w:r>
      <w:r w:rsidR="00BA1D53">
        <w:rPr>
          <w:rFonts w:ascii="Times New Roman" w:hAnsi="Times New Roman" w:cs="Times New Roman"/>
          <w:sz w:val="24"/>
          <w:szCs w:val="24"/>
        </w:rPr>
        <w:t xml:space="preserve">eco-friendly </w:t>
      </w:r>
      <w:r w:rsidR="00D53709">
        <w:rPr>
          <w:rFonts w:ascii="Times New Roman" w:hAnsi="Times New Roman" w:cs="Times New Roman"/>
          <w:sz w:val="24"/>
          <w:szCs w:val="24"/>
        </w:rPr>
        <w:t xml:space="preserve">attitude they carry which can be projected into </w:t>
      </w:r>
      <w:r w:rsidR="0033018A">
        <w:rPr>
          <w:rFonts w:ascii="Times New Roman" w:hAnsi="Times New Roman" w:cs="Times New Roman"/>
          <w:sz w:val="24"/>
          <w:szCs w:val="24"/>
        </w:rPr>
        <w:t>actions through</w:t>
      </w:r>
      <w:r w:rsidR="00D53709">
        <w:rPr>
          <w:rFonts w:ascii="Times New Roman" w:hAnsi="Times New Roman" w:cs="Times New Roman"/>
          <w:sz w:val="24"/>
          <w:szCs w:val="24"/>
        </w:rPr>
        <w:t xml:space="preserve"> the means of consumption patterns. </w:t>
      </w:r>
    </w:p>
    <w:p w14:paraId="690A1160" w14:textId="77777777" w:rsidR="00B2313E" w:rsidRPr="00920ED0" w:rsidRDefault="00B2313E" w:rsidP="00727080">
      <w:pPr>
        <w:spacing w:line="240" w:lineRule="auto"/>
        <w:jc w:val="both"/>
        <w:rPr>
          <w:rFonts w:ascii="Times New Roman" w:hAnsi="Times New Roman" w:cs="Times New Roman"/>
          <w:sz w:val="24"/>
          <w:szCs w:val="24"/>
        </w:rPr>
      </w:pPr>
      <w:r w:rsidRPr="00213A13">
        <w:rPr>
          <w:rFonts w:ascii="Times New Roman" w:hAnsi="Times New Roman" w:cs="Times New Roman"/>
          <w:b/>
          <w:bCs/>
          <w:sz w:val="24"/>
          <w:szCs w:val="24"/>
        </w:rPr>
        <w:t>H</w:t>
      </w:r>
      <w:r w:rsidRPr="00213A13">
        <w:rPr>
          <w:rFonts w:ascii="Times New Roman" w:hAnsi="Times New Roman" w:cs="Times New Roman"/>
          <w:b/>
          <w:bCs/>
          <w:sz w:val="24"/>
          <w:szCs w:val="24"/>
          <w:vertAlign w:val="subscript"/>
        </w:rPr>
        <w:t>3</w:t>
      </w:r>
      <w:r w:rsidRPr="00213A13">
        <w:rPr>
          <w:rFonts w:ascii="Times New Roman" w:hAnsi="Times New Roman" w:cs="Times New Roman"/>
          <w:b/>
          <w:bCs/>
          <w:sz w:val="24"/>
          <w:szCs w:val="24"/>
        </w:rPr>
        <w:t>:</w:t>
      </w:r>
      <w:r>
        <w:rPr>
          <w:rFonts w:ascii="Times New Roman" w:hAnsi="Times New Roman" w:cs="Times New Roman"/>
          <w:sz w:val="24"/>
          <w:szCs w:val="24"/>
        </w:rPr>
        <w:t xml:space="preserve"> there is significant association between ENVATT and ORGP </w:t>
      </w:r>
    </w:p>
    <w:p w14:paraId="4AB436C8" w14:textId="63AFEC93" w:rsidR="00CA2784" w:rsidRDefault="00B2313E" w:rsidP="00727080">
      <w:pPr>
        <w:spacing w:line="240" w:lineRule="auto"/>
        <w:jc w:val="both"/>
        <w:rPr>
          <w:rFonts w:ascii="Times New Roman" w:hAnsi="Times New Roman" w:cs="Times New Roman"/>
          <w:sz w:val="24"/>
          <w:szCs w:val="24"/>
        </w:rPr>
      </w:pPr>
      <w:r>
        <w:rPr>
          <w:rFonts w:ascii="Times New Roman" w:hAnsi="Times New Roman" w:cs="Times New Roman"/>
          <w:sz w:val="24"/>
          <w:szCs w:val="24"/>
        </w:rPr>
        <w:t>Environmental Attitude (ENVATT) has a strong positive effect on Organic Preference (ORGP) that is implied by estimate = 0.400, p-value &lt;0.001 and β-value = 0.471. Thus, the hypothesis is strongly supported and it signifies a strong positive association between Environmental Attitude (ENVATT) and Organic preference (ORGP) which can be interpreted as 1 unit increase in ENVATT leads to a 0.471 standard unit increase in ORGP.</w:t>
      </w:r>
      <w:r w:rsidR="0033018A">
        <w:rPr>
          <w:rFonts w:ascii="Times New Roman" w:hAnsi="Times New Roman" w:cs="Times New Roman"/>
          <w:sz w:val="24"/>
          <w:szCs w:val="24"/>
        </w:rPr>
        <w:t xml:space="preserve"> </w:t>
      </w:r>
      <w:r w:rsidR="004D7A58">
        <w:rPr>
          <w:rFonts w:ascii="Times New Roman" w:hAnsi="Times New Roman" w:cs="Times New Roman"/>
          <w:sz w:val="24"/>
          <w:szCs w:val="24"/>
        </w:rPr>
        <w:t>This result highlights that, a positive attitude towards environment leads to strong influence in the consumption of Organic products</w:t>
      </w:r>
      <w:r w:rsidR="00C56E26">
        <w:rPr>
          <w:rFonts w:ascii="Times New Roman" w:hAnsi="Times New Roman" w:cs="Times New Roman"/>
          <w:sz w:val="24"/>
          <w:szCs w:val="24"/>
        </w:rPr>
        <w:t xml:space="preserve"> which is backed by Zhao, (2025). </w:t>
      </w:r>
      <w:r w:rsidR="00AE2047">
        <w:rPr>
          <w:rFonts w:ascii="Times New Roman" w:hAnsi="Times New Roman" w:cs="Times New Roman"/>
          <w:sz w:val="24"/>
          <w:szCs w:val="24"/>
        </w:rPr>
        <w:t xml:space="preserve"> </w:t>
      </w:r>
    </w:p>
    <w:p w14:paraId="600553DD" w14:textId="216C5FB7" w:rsidR="00AE2047" w:rsidRDefault="00BA1D53" w:rsidP="007270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ENVATT partially mediates the relationship between ENVAW &amp; ORGP and between ENVETH &amp; ORGP which is also supported by other studies </w:t>
      </w:r>
      <w:r w:rsidR="008026E1">
        <w:rPr>
          <w:rFonts w:ascii="Times New Roman" w:hAnsi="Times New Roman" w:cs="Times New Roman"/>
          <w:sz w:val="24"/>
          <w:szCs w:val="24"/>
        </w:rPr>
        <w:fldChar w:fldCharType="begin" w:fldLock="1"/>
      </w:r>
      <w:r w:rsidR="008026E1">
        <w:rPr>
          <w:rFonts w:ascii="Times New Roman" w:hAnsi="Times New Roman" w:cs="Times New Roman"/>
          <w:sz w:val="24"/>
          <w:szCs w:val="24"/>
        </w:rPr>
        <w:instrText>ADDIN CSL_CITATION {"citationItems":[{"id":"ITEM-1","itemData":{"DOI":"10.1111/ijcs.12094","ISSN":"14706431","abstract":"The aim of this research was to examine the effect of health consciousness, environmental concern and food safety concern on both the intention to buy organic foods and the attitude towards organic foods, and the effect of attitude towards organic foods on the intention to buy organic foods. It had also a specific aim to explore whether attitude has a mediation effect on the relationship between the intention to buy and health consciousness, environmental concern and food safety concern. Data were gathered from consumers using a survey. The questionnaire used was administered to a convenience sample of 385 consumers from Adana, Turkey, through a self-administered questionnaire. Regression and mediation analysis were used to test the hypotheses. The findings suggested that the attitude and the intention to buy were affected by health consciousness, environmental concern and food safety concern. They also showed that the attitude plays a fundamental role both in terms of the direct impact on the intention to buy and the indirect effect as a mediator on how the health consciousness, environmental concern and food safety concern affect the intention to buy. This research is useful to fill the gaps in the literature regarding the mediation effect of the attitude on the relationship between the intention to buy and food safety concern. Another contribution is being one of the first to examine the attitude as a mediator on the relationship between the intention to buy organic foods and health consciousness, environmental concern and food safety concern of Turkish consumers. © 2014 John Wiley &amp; Sons Ltd.","author":[{"dropping-particle":"","family":"Çabuk","given":"Serap","non-dropping-particle":"","parse-names":false,"suffix":""},{"dropping-particle":"","family":"Tanrikulu","given":"Ceyda","non-dropping-particle":"","parse-names":false,"suffix":""},{"dropping-particle":"","family":"Gelibolu","given":"Levent","non-dropping-particle":"","parse-names":false,"suffix":""}],"container-title":"International Journal of Consumer Studies","id":"ITEM-1","issue":"4","issued":{"date-parts":[["2014"]]},"page":"337-345","title":"Understanding organic food consumption: Attitude as a mediator","type":"article-journal","volume":"38"},"uris":["http://www.mendeley.com/documents/?uuid=eb429851-4d1f-4d06-9e4c-7087c323f8d7"]},{"id":"ITEM-2","itemData":{"DOI":"10.1108/SJME-08-2023-0217","ISSN":"24449709","abstract":"Purpose: This study aims to identify whether green advertising and eco-labels influence the purchasing behaviors of organic products or whether the influence of such behaviors is presented through the mediating effect of the attitude and environmental awareness of millennials. Design/methodology/approach: This study used a quantitative, correlational and cross-sectional design. A total of 430 millennials participated in the study. The questionnaire consisted of 20 questions, distributed across five variables. It was applied to people outside shopping centers in the city of Quito and Guayaquil, Ecuador. The results were subjected to statistical tests to determine the internal consistency of the instrument. The convergent and discriminant validity of the research model was verified through confirmatory factor analysis and structural equation modeling. SPSS 20 and AMOS 24 were used for statistical analyses. Findings: The study identified that attitude and environmental awareness mediate the relationship between green advertising and green purchasing behaviors, as well as the relationship between eco-labels and green purchasing behaviors. Furthermore, it has been proven that green advertising directly influences the green purchasing behaviors of organic products among millennials, whereas eco-labels do not. Originality/value: This study is among the initial investigations to delineate the connection between elements of green marketing and the buying patterns of organic goods among millennials in an emerging economy. The study provides answers to earlier scholarly inquiries that proposed examining the correlation among the constituents of the theorized framework.","author":[{"dropping-particle":"","family":"Carrión-Bósquez","given":"Nelson Geovany","non-dropping-particle":"","parse-names":false,"suffix":""},{"dropping-particle":"","family":"Ortiz-Regalado","given":"Oscar","non-dropping-particle":"","parse-names":false,"suffix":""},{"dropping-particle":"","family":"Veas-González","given":"Ivan","non-dropping-particle":"","parse-names":false,"suffix":""},{"dropping-particle":"","family":"Naranjo-Armijo","given":"Franklin Gerardo","non-dropping-particle":"","parse-names":false,"suffix":""},{"dropping-particle":"","family":"Guerra-Regalado","given":"Wilson Fernando","non-dropping-particle":"","parse-names":false,"suffix":""}],"container-title":"Spanish Journal of Marketing - ESIC","id":"ITEM-2","issued":{"date-parts":[["2024"]]},"title":"The mediating role of attitude and environmental awareness in the influence of green advertising and eco-labels on green purchasing behaviors","type":"article-journal"},"uris":["http://www.mendeley.com/documents/?uuid=b8d87f74-9b7b-4498-92dd-4bca4525b16b"]}],"mendeley":{"formattedCitation":"(Çabuk et al., 2014; Carrión-Bósquez et al., 2024)","plainTextFormattedCitation":"(Çabuk et al., 2014; Carrión-Bósquez et al., 2024)"},"properties":{"noteIndex":0},"schema":"https://github.com/citation-style-language/schema/raw/master/csl-citation.json"}</w:instrText>
      </w:r>
      <w:r w:rsidR="008026E1">
        <w:rPr>
          <w:rFonts w:ascii="Times New Roman" w:hAnsi="Times New Roman" w:cs="Times New Roman"/>
          <w:sz w:val="24"/>
          <w:szCs w:val="24"/>
        </w:rPr>
        <w:fldChar w:fldCharType="separate"/>
      </w:r>
      <w:r w:rsidR="008026E1" w:rsidRPr="008026E1">
        <w:rPr>
          <w:rFonts w:ascii="Times New Roman" w:hAnsi="Times New Roman" w:cs="Times New Roman"/>
          <w:noProof/>
          <w:sz w:val="24"/>
          <w:szCs w:val="24"/>
        </w:rPr>
        <w:t>(Çabuk et al., 2014; Carrión-Bósquez et al., 2024)</w:t>
      </w:r>
      <w:r w:rsidR="008026E1">
        <w:rPr>
          <w:rFonts w:ascii="Times New Roman" w:hAnsi="Times New Roman" w:cs="Times New Roman"/>
          <w:sz w:val="24"/>
          <w:szCs w:val="24"/>
        </w:rPr>
        <w:fldChar w:fldCharType="end"/>
      </w:r>
      <w:r w:rsidR="008026E1">
        <w:rPr>
          <w:rFonts w:ascii="Times New Roman" w:hAnsi="Times New Roman" w:cs="Times New Roman"/>
          <w:sz w:val="24"/>
          <w:szCs w:val="24"/>
        </w:rPr>
        <w:t xml:space="preserve">. Since ENVATT partially mediates in both the paths, it can be implied that ENVATT does explain </w:t>
      </w:r>
      <w:r w:rsidR="008026E1">
        <w:rPr>
          <w:rFonts w:ascii="Times New Roman" w:hAnsi="Times New Roman" w:cs="Times New Roman"/>
          <w:sz w:val="24"/>
          <w:szCs w:val="24"/>
        </w:rPr>
        <w:lastRenderedPageBreak/>
        <w:t xml:space="preserve">the influence of ENVAW and ENVETH on Organic Product Preference in consumers </w:t>
      </w:r>
      <w:r w:rsidR="00E9479A">
        <w:rPr>
          <w:rFonts w:ascii="Times New Roman" w:hAnsi="Times New Roman" w:cs="Times New Roman"/>
          <w:sz w:val="24"/>
          <w:szCs w:val="24"/>
        </w:rPr>
        <w:t>a</w:t>
      </w:r>
      <w:r w:rsidR="008026E1">
        <w:rPr>
          <w:rFonts w:ascii="Times New Roman" w:hAnsi="Times New Roman" w:cs="Times New Roman"/>
          <w:sz w:val="24"/>
          <w:szCs w:val="24"/>
        </w:rPr>
        <w:t>s</w:t>
      </w:r>
      <w:r w:rsidR="00E9479A">
        <w:rPr>
          <w:rFonts w:ascii="Times New Roman" w:hAnsi="Times New Roman" w:cs="Times New Roman"/>
          <w:sz w:val="24"/>
          <w:szCs w:val="24"/>
        </w:rPr>
        <w:t xml:space="preserve"> well as ENVAW and ENVETH also have direct influence on ORGP.  Especially the indirect effect of ENVETH on ORGP via ENVATT is found to be statically </w:t>
      </w:r>
      <w:r w:rsidR="00A25782">
        <w:rPr>
          <w:rFonts w:ascii="Times New Roman" w:hAnsi="Times New Roman" w:cs="Times New Roman"/>
          <w:sz w:val="24"/>
          <w:szCs w:val="24"/>
        </w:rPr>
        <w:t>significant along</w:t>
      </w:r>
      <w:r w:rsidR="00E9479A">
        <w:rPr>
          <w:rFonts w:ascii="Times New Roman" w:hAnsi="Times New Roman" w:cs="Times New Roman"/>
          <w:sz w:val="24"/>
          <w:szCs w:val="24"/>
        </w:rPr>
        <w:t xml:space="preserve"> with a strong and significant direct effect, which indicates that consumers ethics significantly influence their attitude towards the environment </w:t>
      </w:r>
      <w:r w:rsidR="008026E1">
        <w:rPr>
          <w:rFonts w:ascii="Times New Roman" w:hAnsi="Times New Roman" w:cs="Times New Roman"/>
          <w:sz w:val="24"/>
          <w:szCs w:val="24"/>
        </w:rPr>
        <w:t xml:space="preserve">  </w:t>
      </w:r>
      <w:r w:rsidR="00E9479A">
        <w:rPr>
          <w:rFonts w:ascii="Times New Roman" w:hAnsi="Times New Roman" w:cs="Times New Roman"/>
          <w:sz w:val="24"/>
          <w:szCs w:val="24"/>
        </w:rPr>
        <w:t xml:space="preserve">sustainability as well as independently motivate them to engage in eco friendly consumption behaviours. Similarly, ENVAW has both direct and </w:t>
      </w:r>
      <w:r w:rsidR="00A25782">
        <w:rPr>
          <w:rFonts w:ascii="Times New Roman" w:hAnsi="Times New Roman" w:cs="Times New Roman"/>
          <w:sz w:val="24"/>
          <w:szCs w:val="24"/>
        </w:rPr>
        <w:t>indirect strong</w:t>
      </w:r>
      <w:r w:rsidR="00E9479A">
        <w:rPr>
          <w:rFonts w:ascii="Times New Roman" w:hAnsi="Times New Roman" w:cs="Times New Roman"/>
          <w:sz w:val="24"/>
          <w:szCs w:val="24"/>
        </w:rPr>
        <w:t xml:space="preserve"> significant influence on ORGP thus </w:t>
      </w:r>
      <w:r w:rsidR="00A25782">
        <w:rPr>
          <w:rFonts w:ascii="Times New Roman" w:hAnsi="Times New Roman" w:cs="Times New Roman"/>
          <w:sz w:val="24"/>
          <w:szCs w:val="24"/>
        </w:rPr>
        <w:t>it underscores the importance of Environmental</w:t>
      </w:r>
      <w:r w:rsidR="00E9479A">
        <w:rPr>
          <w:rFonts w:ascii="Times New Roman" w:hAnsi="Times New Roman" w:cs="Times New Roman"/>
          <w:sz w:val="24"/>
          <w:szCs w:val="24"/>
        </w:rPr>
        <w:t xml:space="preserve"> </w:t>
      </w:r>
      <w:r w:rsidR="00A25782">
        <w:rPr>
          <w:rFonts w:ascii="Times New Roman" w:hAnsi="Times New Roman" w:cs="Times New Roman"/>
          <w:sz w:val="24"/>
          <w:szCs w:val="24"/>
        </w:rPr>
        <w:t>Awareness in promotion of Organic Product Consumption among the consumers through shaping a positive attitude or through direct behavioural outcome, which aligns with the TPB model (Ajzen, 1991) that states the crucial role of a positive ecofriendly attitude in obtaining a sustainable consumption behaviour.</w:t>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r>
      <w:r w:rsidR="00727080">
        <w:rPr>
          <w:rFonts w:ascii="Times New Roman" w:hAnsi="Times New Roman" w:cs="Times New Roman"/>
          <w:sz w:val="24"/>
          <w:szCs w:val="24"/>
        </w:rPr>
        <w:tab/>
        <w:t xml:space="preserve"> </w:t>
      </w:r>
      <w:r w:rsidR="00E81FF2">
        <w:rPr>
          <w:rFonts w:ascii="Times New Roman" w:hAnsi="Times New Roman" w:cs="Times New Roman"/>
          <w:sz w:val="24"/>
          <w:szCs w:val="24"/>
        </w:rPr>
        <w:t>This result</w:t>
      </w:r>
      <w:r w:rsidR="00AE2047">
        <w:rPr>
          <w:rFonts w:ascii="Times New Roman" w:hAnsi="Times New Roman" w:cs="Times New Roman"/>
          <w:sz w:val="24"/>
          <w:szCs w:val="24"/>
        </w:rPr>
        <w:t xml:space="preserve"> provides a crucial look into how various factors like Environmental Awareness, Environmental Ethics influences Attitude of consumers towards Organic Products which could further be utilised by the policy makers to increase the consumption percentage of organic products by making the consumers more aware about the</w:t>
      </w:r>
      <w:r w:rsidR="00E81FF2">
        <w:rPr>
          <w:rFonts w:ascii="Times New Roman" w:hAnsi="Times New Roman" w:cs="Times New Roman"/>
          <w:sz w:val="24"/>
          <w:szCs w:val="24"/>
        </w:rPr>
        <w:t xml:space="preserve"> various benefits</w:t>
      </w:r>
      <w:r w:rsidR="00AE2047">
        <w:rPr>
          <w:rFonts w:ascii="Times New Roman" w:hAnsi="Times New Roman" w:cs="Times New Roman"/>
          <w:sz w:val="24"/>
          <w:szCs w:val="24"/>
        </w:rPr>
        <w:t xml:space="preserve"> of Organic farming and organic pr</w:t>
      </w:r>
      <w:r w:rsidR="00E81FF2">
        <w:rPr>
          <w:rFonts w:ascii="Times New Roman" w:hAnsi="Times New Roman" w:cs="Times New Roman"/>
          <w:sz w:val="24"/>
          <w:szCs w:val="24"/>
        </w:rPr>
        <w:t xml:space="preserve">oducts both in terms of environment sustainability and public health. </w:t>
      </w:r>
    </w:p>
    <w:p w14:paraId="2A59EE47" w14:textId="0DE9018C" w:rsidR="00977099" w:rsidRPr="00727080" w:rsidRDefault="003E0EF8" w:rsidP="00A04852">
      <w:pPr>
        <w:spacing w:line="360" w:lineRule="auto"/>
        <w:jc w:val="both"/>
        <w:rPr>
          <w:rFonts w:ascii="Times New Roman" w:hAnsi="Times New Roman" w:cs="Times New Roman"/>
          <w:b/>
          <w:bCs/>
          <w:sz w:val="28"/>
          <w:szCs w:val="28"/>
        </w:rPr>
      </w:pPr>
      <w:r w:rsidRPr="00727080">
        <w:rPr>
          <w:rFonts w:ascii="Times New Roman" w:hAnsi="Times New Roman" w:cs="Times New Roman"/>
          <w:b/>
          <w:bCs/>
          <w:sz w:val="28"/>
          <w:szCs w:val="28"/>
        </w:rPr>
        <w:t>6.</w:t>
      </w:r>
      <w:r w:rsidR="00311586" w:rsidRPr="00727080">
        <w:rPr>
          <w:rFonts w:ascii="Times New Roman" w:hAnsi="Times New Roman" w:cs="Times New Roman"/>
          <w:b/>
          <w:bCs/>
          <w:sz w:val="28"/>
          <w:szCs w:val="28"/>
        </w:rPr>
        <w:t xml:space="preserve"> </w:t>
      </w:r>
      <w:r w:rsidR="00B2313E" w:rsidRPr="00727080">
        <w:rPr>
          <w:rFonts w:ascii="Times New Roman" w:hAnsi="Times New Roman" w:cs="Times New Roman"/>
          <w:b/>
          <w:bCs/>
          <w:sz w:val="28"/>
          <w:szCs w:val="28"/>
        </w:rPr>
        <w:t>Conclusion</w:t>
      </w:r>
      <w:r w:rsidR="00977099" w:rsidRPr="00727080">
        <w:rPr>
          <w:rFonts w:ascii="Times New Roman" w:hAnsi="Times New Roman" w:cs="Times New Roman"/>
          <w:b/>
          <w:bCs/>
          <w:sz w:val="28"/>
          <w:szCs w:val="28"/>
        </w:rPr>
        <w:t xml:space="preserve"> </w:t>
      </w:r>
    </w:p>
    <w:p w14:paraId="298C2D6A" w14:textId="049A160E" w:rsidR="009B237A" w:rsidRDefault="009E59F7" w:rsidP="00727080">
      <w:pPr>
        <w:spacing w:line="240" w:lineRule="auto"/>
        <w:jc w:val="both"/>
        <w:rPr>
          <w:rFonts w:ascii="Times New Roman" w:hAnsi="Times New Roman" w:cs="Times New Roman"/>
          <w:sz w:val="24"/>
          <w:szCs w:val="24"/>
        </w:rPr>
      </w:pPr>
      <w:r>
        <w:rPr>
          <w:rFonts w:ascii="Times New Roman" w:hAnsi="Times New Roman" w:cs="Times New Roman"/>
          <w:sz w:val="24"/>
          <w:szCs w:val="24"/>
        </w:rPr>
        <w:t>Finding Environmental Attitude – influencing factors that could affect the population’s preference for organic products was the primary goal for this study. According to the results, Environmental Awareness and Environmental Ethics significantly improved Environmental Attitude, which in turn lead to an individual’s preference for organic products. Ahmed et.al</w:t>
      </w:r>
      <w:r w:rsidR="00A46473">
        <w:rPr>
          <w:rFonts w:ascii="Times New Roman" w:hAnsi="Times New Roman" w:cs="Times New Roman"/>
          <w:sz w:val="24"/>
          <w:szCs w:val="24"/>
        </w:rPr>
        <w:t>., (</w:t>
      </w:r>
      <w:r>
        <w:rPr>
          <w:rFonts w:ascii="Times New Roman" w:hAnsi="Times New Roman" w:cs="Times New Roman"/>
          <w:sz w:val="24"/>
          <w:szCs w:val="24"/>
        </w:rPr>
        <w:t xml:space="preserve">2024) likewise found that Environmental Attitude positively impacted young consumer’s intention to purchase organic food. The study conducted by </w:t>
      </w:r>
      <w:r w:rsidRPr="009E59F7">
        <w:rPr>
          <w:rFonts w:ascii="Times New Roman" w:hAnsi="Times New Roman" w:cs="Times New Roman"/>
          <w:sz w:val="24"/>
          <w:szCs w:val="24"/>
        </w:rPr>
        <w:t>Wierzbiński et al. (2021) </w:t>
      </w:r>
      <w:r>
        <w:rPr>
          <w:rFonts w:ascii="Times New Roman" w:hAnsi="Times New Roman" w:cs="Times New Roman"/>
          <w:sz w:val="24"/>
          <w:szCs w:val="24"/>
        </w:rPr>
        <w:t xml:space="preserve">revealed that the consumption of organic food, particularly among young polish, has increased dramatically due to growing Environmental Awareness, which was corroborated by </w:t>
      </w:r>
      <w:r w:rsidRPr="009E59F7">
        <w:rPr>
          <w:rFonts w:ascii="Times New Roman" w:hAnsi="Times New Roman" w:cs="Times New Roman"/>
          <w:sz w:val="24"/>
          <w:szCs w:val="24"/>
        </w:rPr>
        <w:t>Akhatr et al. (2021).</w:t>
      </w:r>
      <w:bookmarkStart w:id="2" w:name="_Hlk199516467"/>
    </w:p>
    <w:p w14:paraId="01B70B16" w14:textId="78417259" w:rsidR="009B237A" w:rsidRDefault="009B237A" w:rsidP="0072708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were also certain limitations to this study like the research was carried out in Sikkim, India’s first organic state. This factor facilitates easier access to organic products along with increased public awareness regarding its benefits. Thus, the findings may differ in other locations where the organic products are not easily accessible. Similarly, since these organic products are locally produced, there may be a predisposition among consumers who favours supporting local businesses. As the study relied on respondents’ declarations, it’s possible that only those responses were provided that were deemed acceptable by the society. Additionally, the study mostly used pre-validated scales, the result of which may have differed based on the location and cultural customs: hence, there may have been some biasness in the responses collected. </w:t>
      </w:r>
    </w:p>
    <w:p w14:paraId="6630FAB8" w14:textId="31496AE6" w:rsidR="009B237A" w:rsidRDefault="009B237A" w:rsidP="00727080">
      <w:pPr>
        <w:spacing w:line="240" w:lineRule="auto"/>
        <w:jc w:val="both"/>
        <w:rPr>
          <w:rFonts w:ascii="Times New Roman" w:hAnsi="Times New Roman" w:cs="Times New Roman"/>
          <w:sz w:val="24"/>
          <w:szCs w:val="24"/>
        </w:rPr>
      </w:pPr>
      <w:r w:rsidRPr="00851CE0">
        <w:rPr>
          <w:rFonts w:ascii="Times New Roman" w:hAnsi="Times New Roman" w:cs="Times New Roman"/>
          <w:sz w:val="24"/>
          <w:szCs w:val="24"/>
        </w:rPr>
        <w:t>For the future researchers, they may consider</w:t>
      </w:r>
      <w:r w:rsidR="006A7D86" w:rsidRPr="00851CE0">
        <w:rPr>
          <w:rFonts w:ascii="Times New Roman" w:hAnsi="Times New Roman" w:cs="Times New Roman"/>
          <w:sz w:val="24"/>
          <w:szCs w:val="24"/>
        </w:rPr>
        <w:t xml:space="preserve"> all six districts of Sikkim</w:t>
      </w:r>
      <w:r w:rsidRPr="00851CE0">
        <w:rPr>
          <w:rFonts w:ascii="Times New Roman" w:hAnsi="Times New Roman" w:cs="Times New Roman"/>
          <w:sz w:val="24"/>
          <w:szCs w:val="24"/>
        </w:rPr>
        <w:t xml:space="preserve">, </w:t>
      </w:r>
      <w:r w:rsidR="003D36A5" w:rsidRPr="00851CE0">
        <w:rPr>
          <w:rFonts w:ascii="Times New Roman" w:hAnsi="Times New Roman" w:cs="Times New Roman"/>
          <w:sz w:val="24"/>
          <w:szCs w:val="24"/>
        </w:rPr>
        <w:t>considering</w:t>
      </w:r>
      <w:r w:rsidRPr="00851CE0">
        <w:rPr>
          <w:rFonts w:ascii="Times New Roman" w:hAnsi="Times New Roman" w:cs="Times New Roman"/>
          <w:sz w:val="24"/>
          <w:szCs w:val="24"/>
        </w:rPr>
        <w:t xml:space="preserve"> the current trend of nuclear families and movement due to urbanisation many households may have members of less than 3 members thus more crucial data can come out</w:t>
      </w:r>
      <w:r w:rsidR="003D36A5" w:rsidRPr="00851CE0">
        <w:rPr>
          <w:rFonts w:ascii="Times New Roman" w:hAnsi="Times New Roman" w:cs="Times New Roman"/>
          <w:sz w:val="24"/>
          <w:szCs w:val="24"/>
        </w:rPr>
        <w:t xml:space="preserve"> of such studies</w:t>
      </w:r>
      <w:r w:rsidRPr="00851CE0">
        <w:rPr>
          <w:rFonts w:ascii="Times New Roman" w:hAnsi="Times New Roman" w:cs="Times New Roman"/>
          <w:sz w:val="24"/>
          <w:szCs w:val="24"/>
        </w:rPr>
        <w:t xml:space="preserve">. </w:t>
      </w:r>
      <w:r w:rsidR="003D36A5" w:rsidRPr="00851CE0">
        <w:rPr>
          <w:rFonts w:ascii="Times New Roman" w:hAnsi="Times New Roman" w:cs="Times New Roman"/>
          <w:sz w:val="24"/>
          <w:szCs w:val="24"/>
        </w:rPr>
        <w:t>Also,</w:t>
      </w:r>
      <w:r w:rsidRPr="00851CE0">
        <w:rPr>
          <w:rFonts w:ascii="Times New Roman" w:hAnsi="Times New Roman" w:cs="Times New Roman"/>
          <w:sz w:val="24"/>
          <w:szCs w:val="24"/>
        </w:rPr>
        <w:t xml:space="preserve"> comparative studies could be explored among the household with at</w:t>
      </w:r>
      <w:r w:rsidR="003D36A5" w:rsidRPr="00851CE0">
        <w:rPr>
          <w:rFonts w:ascii="Times New Roman" w:hAnsi="Times New Roman" w:cs="Times New Roman"/>
          <w:sz w:val="24"/>
          <w:szCs w:val="24"/>
        </w:rPr>
        <w:t xml:space="preserve"> </w:t>
      </w:r>
      <w:r w:rsidRPr="00851CE0">
        <w:rPr>
          <w:rFonts w:ascii="Times New Roman" w:hAnsi="Times New Roman" w:cs="Times New Roman"/>
          <w:sz w:val="24"/>
          <w:szCs w:val="24"/>
        </w:rPr>
        <w:t xml:space="preserve">least 3 </w:t>
      </w:r>
      <w:r w:rsidR="003D36A5" w:rsidRPr="00851CE0">
        <w:rPr>
          <w:rFonts w:ascii="Times New Roman" w:hAnsi="Times New Roman" w:cs="Times New Roman"/>
          <w:sz w:val="24"/>
          <w:szCs w:val="24"/>
        </w:rPr>
        <w:t>members</w:t>
      </w:r>
      <w:r w:rsidRPr="00851CE0">
        <w:rPr>
          <w:rFonts w:ascii="Times New Roman" w:hAnsi="Times New Roman" w:cs="Times New Roman"/>
          <w:sz w:val="24"/>
          <w:szCs w:val="24"/>
        </w:rPr>
        <w:t xml:space="preserve"> and household with less than 3 members which can provide a deeper insight into the </w:t>
      </w:r>
      <w:r w:rsidR="003D36A5" w:rsidRPr="00851CE0">
        <w:rPr>
          <w:rFonts w:ascii="Times New Roman" w:hAnsi="Times New Roman" w:cs="Times New Roman"/>
          <w:sz w:val="24"/>
          <w:szCs w:val="24"/>
        </w:rPr>
        <w:t>variation/ similarity in consumption</w:t>
      </w:r>
      <w:r w:rsidRPr="00851CE0">
        <w:rPr>
          <w:rFonts w:ascii="Times New Roman" w:hAnsi="Times New Roman" w:cs="Times New Roman"/>
          <w:sz w:val="24"/>
          <w:szCs w:val="24"/>
        </w:rPr>
        <w:t xml:space="preserve"> patterns towards organic products.</w:t>
      </w:r>
      <w:r>
        <w:rPr>
          <w:rFonts w:ascii="Times New Roman" w:hAnsi="Times New Roman" w:cs="Times New Roman"/>
          <w:sz w:val="24"/>
          <w:szCs w:val="24"/>
        </w:rPr>
        <w:t xml:space="preserve"> </w:t>
      </w:r>
    </w:p>
    <w:bookmarkEnd w:id="2"/>
    <w:p w14:paraId="35AC3031" w14:textId="77777777" w:rsidR="00727080" w:rsidRDefault="00727080" w:rsidP="00727080">
      <w:pPr>
        <w:spacing w:line="240" w:lineRule="auto"/>
        <w:jc w:val="both"/>
        <w:rPr>
          <w:rFonts w:ascii="Times New Roman" w:hAnsi="Times New Roman" w:cs="Times New Roman"/>
          <w:b/>
          <w:bCs/>
          <w:sz w:val="24"/>
          <w:szCs w:val="24"/>
        </w:rPr>
      </w:pPr>
    </w:p>
    <w:p w14:paraId="03886C15" w14:textId="77777777" w:rsidR="00727080" w:rsidRDefault="00727080" w:rsidP="00727080">
      <w:pPr>
        <w:spacing w:line="240" w:lineRule="auto"/>
        <w:jc w:val="both"/>
        <w:rPr>
          <w:rFonts w:ascii="Times New Roman" w:hAnsi="Times New Roman" w:cs="Times New Roman"/>
          <w:b/>
          <w:bCs/>
          <w:sz w:val="24"/>
          <w:szCs w:val="24"/>
        </w:rPr>
      </w:pPr>
    </w:p>
    <w:p w14:paraId="1B504175" w14:textId="29C19BF2" w:rsidR="00FC112F" w:rsidRPr="00FC112F" w:rsidRDefault="003D36A5" w:rsidP="0072708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00FC112F" w:rsidRPr="00FC112F">
        <w:rPr>
          <w:rFonts w:ascii="Times New Roman" w:hAnsi="Times New Roman" w:cs="Times New Roman"/>
          <w:b/>
          <w:bCs/>
          <w:sz w:val="24"/>
          <w:szCs w:val="24"/>
        </w:rPr>
        <w:t>. Reference</w:t>
      </w:r>
    </w:p>
    <w:p w14:paraId="3543BC61" w14:textId="090837C5" w:rsidR="00087497" w:rsidRDefault="00FD5403" w:rsidP="00727080">
      <w:pPr>
        <w:spacing w:line="240" w:lineRule="auto"/>
        <w:jc w:val="both"/>
        <w:rPr>
          <w:rFonts w:ascii="Times New Roman" w:hAnsi="Times New Roman" w:cs="Times New Roman"/>
          <w:sz w:val="24"/>
          <w:szCs w:val="24"/>
        </w:rPr>
      </w:pPr>
      <w:r w:rsidRPr="00FD5403">
        <w:rPr>
          <w:rFonts w:ascii="Times New Roman" w:hAnsi="Times New Roman" w:cs="Times New Roman"/>
          <w:sz w:val="24"/>
          <w:szCs w:val="24"/>
        </w:rPr>
        <w:t>Agovino, M., Crociata, A., Quaglione, D., Sacco, P., &amp; Sarra, A. (2017). Good taste tastes good. Cultural capital as a determinant of organic food purchase by Italian consumers: Evidence and policy implications. </w:t>
      </w:r>
      <w:r w:rsidRPr="00FD5403">
        <w:rPr>
          <w:rFonts w:ascii="Times New Roman" w:hAnsi="Times New Roman" w:cs="Times New Roman"/>
          <w:i/>
          <w:iCs/>
          <w:sz w:val="24"/>
          <w:szCs w:val="24"/>
        </w:rPr>
        <w:t>Ecological Economics</w:t>
      </w:r>
      <w:r w:rsidRPr="00FD5403">
        <w:rPr>
          <w:rFonts w:ascii="Times New Roman" w:hAnsi="Times New Roman" w:cs="Times New Roman"/>
          <w:sz w:val="24"/>
          <w:szCs w:val="24"/>
        </w:rPr>
        <w:t>, </w:t>
      </w:r>
      <w:r w:rsidRPr="00FD5403">
        <w:rPr>
          <w:rFonts w:ascii="Times New Roman" w:hAnsi="Times New Roman" w:cs="Times New Roman"/>
          <w:i/>
          <w:iCs/>
          <w:sz w:val="24"/>
          <w:szCs w:val="24"/>
        </w:rPr>
        <w:t>141</w:t>
      </w:r>
      <w:r w:rsidRPr="00FD5403">
        <w:rPr>
          <w:rFonts w:ascii="Times New Roman" w:hAnsi="Times New Roman" w:cs="Times New Roman"/>
          <w:sz w:val="24"/>
          <w:szCs w:val="24"/>
        </w:rPr>
        <w:t>, 66-75.</w:t>
      </w:r>
    </w:p>
    <w:p w14:paraId="6F1A6632" w14:textId="496C0F0B" w:rsidR="00A174D2" w:rsidRDefault="00A174D2" w:rsidP="00727080">
      <w:pPr>
        <w:spacing w:line="240" w:lineRule="auto"/>
        <w:jc w:val="both"/>
        <w:rPr>
          <w:rFonts w:ascii="Times New Roman" w:hAnsi="Times New Roman" w:cs="Times New Roman"/>
          <w:sz w:val="24"/>
          <w:szCs w:val="24"/>
        </w:rPr>
      </w:pPr>
      <w:r w:rsidRPr="00A174D2">
        <w:rPr>
          <w:rFonts w:ascii="Times New Roman" w:hAnsi="Times New Roman" w:cs="Times New Roman"/>
          <w:sz w:val="24"/>
          <w:szCs w:val="24"/>
        </w:rPr>
        <w:t>Ahmed, N., Li, C., Khan, A., Qalati, S. A., Naz, S., &amp; Rana, F. (2021). Purchase intention toward organic food among young consumers using theory of planned behavior: role of environmental concerns and environmental awareness. </w:t>
      </w:r>
      <w:r w:rsidRPr="00A174D2">
        <w:rPr>
          <w:rFonts w:ascii="Times New Roman" w:hAnsi="Times New Roman" w:cs="Times New Roman"/>
          <w:i/>
          <w:iCs/>
          <w:sz w:val="24"/>
          <w:szCs w:val="24"/>
        </w:rPr>
        <w:t>Journal of Environmental Planning and Management</w:t>
      </w:r>
      <w:r w:rsidRPr="00A174D2">
        <w:rPr>
          <w:rFonts w:ascii="Times New Roman" w:hAnsi="Times New Roman" w:cs="Times New Roman"/>
          <w:sz w:val="24"/>
          <w:szCs w:val="24"/>
        </w:rPr>
        <w:t>, </w:t>
      </w:r>
      <w:r w:rsidRPr="00A174D2">
        <w:rPr>
          <w:rFonts w:ascii="Times New Roman" w:hAnsi="Times New Roman" w:cs="Times New Roman"/>
          <w:i/>
          <w:iCs/>
          <w:sz w:val="24"/>
          <w:szCs w:val="24"/>
        </w:rPr>
        <w:t>64</w:t>
      </w:r>
      <w:r w:rsidRPr="00A174D2">
        <w:rPr>
          <w:rFonts w:ascii="Times New Roman" w:hAnsi="Times New Roman" w:cs="Times New Roman"/>
          <w:sz w:val="24"/>
          <w:szCs w:val="24"/>
        </w:rPr>
        <w:t>(5), 796-822.</w:t>
      </w:r>
    </w:p>
    <w:p w14:paraId="54715A60" w14:textId="0C78E45B" w:rsidR="00B34ACE" w:rsidRDefault="00B34ACE" w:rsidP="00727080">
      <w:pPr>
        <w:spacing w:line="240" w:lineRule="auto"/>
        <w:jc w:val="both"/>
        <w:rPr>
          <w:rFonts w:ascii="Times New Roman" w:hAnsi="Times New Roman" w:cs="Times New Roman"/>
          <w:sz w:val="24"/>
          <w:szCs w:val="24"/>
        </w:rPr>
      </w:pPr>
      <w:r w:rsidRPr="00B34ACE">
        <w:rPr>
          <w:rFonts w:ascii="Times New Roman" w:hAnsi="Times New Roman" w:cs="Times New Roman"/>
          <w:sz w:val="24"/>
          <w:szCs w:val="24"/>
        </w:rPr>
        <w:t>Ajzen, I. (1991). The theory of planned behavior. </w:t>
      </w:r>
      <w:r w:rsidRPr="00B34ACE">
        <w:rPr>
          <w:rFonts w:ascii="Times New Roman" w:hAnsi="Times New Roman" w:cs="Times New Roman"/>
          <w:i/>
          <w:iCs/>
          <w:sz w:val="24"/>
          <w:szCs w:val="24"/>
        </w:rPr>
        <w:t>Organizational behavior and human decision processes</w:t>
      </w:r>
      <w:r w:rsidRPr="00B34ACE">
        <w:rPr>
          <w:rFonts w:ascii="Times New Roman" w:hAnsi="Times New Roman" w:cs="Times New Roman"/>
          <w:sz w:val="24"/>
          <w:szCs w:val="24"/>
        </w:rPr>
        <w:t>, </w:t>
      </w:r>
      <w:r w:rsidRPr="00B34ACE">
        <w:rPr>
          <w:rFonts w:ascii="Times New Roman" w:hAnsi="Times New Roman" w:cs="Times New Roman"/>
          <w:i/>
          <w:iCs/>
          <w:sz w:val="24"/>
          <w:szCs w:val="24"/>
        </w:rPr>
        <w:t>50</w:t>
      </w:r>
      <w:r w:rsidRPr="00B34ACE">
        <w:rPr>
          <w:rFonts w:ascii="Times New Roman" w:hAnsi="Times New Roman" w:cs="Times New Roman"/>
          <w:sz w:val="24"/>
          <w:szCs w:val="24"/>
        </w:rPr>
        <w:t>(2), 179-211.</w:t>
      </w:r>
    </w:p>
    <w:p w14:paraId="3D4E724A" w14:textId="78AF4F76" w:rsidR="00AF10F6" w:rsidRDefault="00AF10F6" w:rsidP="00727080">
      <w:pPr>
        <w:spacing w:line="240" w:lineRule="auto"/>
        <w:jc w:val="both"/>
        <w:rPr>
          <w:rFonts w:ascii="Times New Roman" w:hAnsi="Times New Roman" w:cs="Times New Roman"/>
          <w:sz w:val="24"/>
          <w:szCs w:val="24"/>
        </w:rPr>
      </w:pPr>
      <w:r w:rsidRPr="003C4492">
        <w:rPr>
          <w:rFonts w:ascii="Times New Roman" w:hAnsi="Times New Roman" w:cs="Times New Roman"/>
          <w:sz w:val="24"/>
          <w:szCs w:val="24"/>
        </w:rPr>
        <w:t>Ajzen, I. (2022). Reporting Behaviour of People with Disabilities in relation to the Lack of Accessibility on Government Websites: Analysis in the light of the Theory of Planned Behaviour. Disability, CBR https://doi.org/10.47985/dcidj.475 and Inclusive Development, 33(1), 52–68.</w:t>
      </w:r>
    </w:p>
    <w:p w14:paraId="3EA96C50" w14:textId="295D5918" w:rsidR="004A1D15" w:rsidRDefault="004A1D15" w:rsidP="00727080">
      <w:pPr>
        <w:spacing w:line="240" w:lineRule="auto"/>
        <w:jc w:val="both"/>
        <w:rPr>
          <w:rFonts w:ascii="Times New Roman" w:hAnsi="Times New Roman" w:cs="Times New Roman"/>
          <w:sz w:val="24"/>
          <w:szCs w:val="24"/>
        </w:rPr>
      </w:pPr>
      <w:r w:rsidRPr="004A1D15">
        <w:rPr>
          <w:rFonts w:ascii="Times New Roman" w:hAnsi="Times New Roman" w:cs="Times New Roman"/>
          <w:sz w:val="24"/>
          <w:szCs w:val="24"/>
        </w:rPr>
        <w:t xml:space="preserve">Ajzen, I., Lohmann, S., &amp; Albarracin, D. (2021). The Influence of Attitudes on Behavior. </w:t>
      </w:r>
      <w:r w:rsidRPr="004A1D15">
        <w:rPr>
          <w:rFonts w:ascii="Times New Roman" w:hAnsi="Times New Roman" w:cs="Times New Roman"/>
          <w:i/>
          <w:iCs/>
          <w:sz w:val="24"/>
          <w:szCs w:val="24"/>
        </w:rPr>
        <w:t>The Handbook of Attitudes,</w:t>
      </w:r>
      <w:r w:rsidRPr="004A1D15">
        <w:rPr>
          <w:rFonts w:ascii="Times New Roman" w:hAnsi="Times New Roman" w:cs="Times New Roman"/>
          <w:sz w:val="24"/>
          <w:szCs w:val="24"/>
        </w:rPr>
        <w:t xml:space="preserve"> May, 187–236. </w:t>
      </w:r>
      <w:hyperlink r:id="rId11" w:history="1">
        <w:r w:rsidR="00030EA3" w:rsidRPr="00BB4CB2">
          <w:rPr>
            <w:rStyle w:val="Hyperlink"/>
            <w:rFonts w:ascii="Times New Roman" w:hAnsi="Times New Roman" w:cs="Times New Roman"/>
            <w:sz w:val="24"/>
            <w:szCs w:val="24"/>
          </w:rPr>
          <w:t>https://doi.org/10.4324/9781410612823-13</w:t>
        </w:r>
      </w:hyperlink>
    </w:p>
    <w:p w14:paraId="178D3E5F" w14:textId="26243667" w:rsidR="00030EA3" w:rsidRDefault="00030EA3" w:rsidP="00727080">
      <w:pPr>
        <w:spacing w:line="240" w:lineRule="auto"/>
        <w:jc w:val="both"/>
        <w:rPr>
          <w:rFonts w:ascii="Times New Roman" w:hAnsi="Times New Roman" w:cs="Times New Roman"/>
          <w:sz w:val="24"/>
          <w:szCs w:val="24"/>
        </w:rPr>
      </w:pPr>
      <w:r w:rsidRPr="00030EA3">
        <w:rPr>
          <w:rFonts w:ascii="Times New Roman" w:hAnsi="Times New Roman" w:cs="Times New Roman"/>
          <w:sz w:val="24"/>
          <w:szCs w:val="24"/>
        </w:rPr>
        <w:t>Akhtar, R., Sultana, S., Masud, M. M., Jafrin, N., &amp; Al-Mamun, A. (2021). Consumers’ environmental ethics, willingness, and green consumerism between lower and higher income groups. </w:t>
      </w:r>
      <w:r w:rsidRPr="00030EA3">
        <w:rPr>
          <w:rFonts w:ascii="Times New Roman" w:hAnsi="Times New Roman" w:cs="Times New Roman"/>
          <w:i/>
          <w:iCs/>
          <w:sz w:val="24"/>
          <w:szCs w:val="24"/>
        </w:rPr>
        <w:t>Resources, Conservation and Recycling</w:t>
      </w:r>
      <w:r w:rsidRPr="00030EA3">
        <w:rPr>
          <w:rFonts w:ascii="Times New Roman" w:hAnsi="Times New Roman" w:cs="Times New Roman"/>
          <w:sz w:val="24"/>
          <w:szCs w:val="24"/>
        </w:rPr>
        <w:t>, </w:t>
      </w:r>
      <w:r w:rsidRPr="00030EA3">
        <w:rPr>
          <w:rFonts w:ascii="Times New Roman" w:hAnsi="Times New Roman" w:cs="Times New Roman"/>
          <w:i/>
          <w:iCs/>
          <w:sz w:val="24"/>
          <w:szCs w:val="24"/>
        </w:rPr>
        <w:t>168</w:t>
      </w:r>
      <w:r w:rsidRPr="00030EA3">
        <w:rPr>
          <w:rFonts w:ascii="Times New Roman" w:hAnsi="Times New Roman" w:cs="Times New Roman"/>
          <w:sz w:val="24"/>
          <w:szCs w:val="24"/>
        </w:rPr>
        <w:t>, 105274.</w:t>
      </w:r>
    </w:p>
    <w:p w14:paraId="0AFF0154" w14:textId="2B8C1BB2" w:rsidR="00030EA3" w:rsidRDefault="00030EA3" w:rsidP="00727080">
      <w:pPr>
        <w:spacing w:line="240" w:lineRule="auto"/>
        <w:jc w:val="both"/>
        <w:rPr>
          <w:rFonts w:ascii="Times New Roman" w:hAnsi="Times New Roman" w:cs="Times New Roman"/>
          <w:sz w:val="24"/>
          <w:szCs w:val="24"/>
        </w:rPr>
      </w:pPr>
      <w:r w:rsidRPr="0090541C">
        <w:rPr>
          <w:rFonts w:ascii="Times New Roman" w:hAnsi="Times New Roman" w:cs="Times New Roman"/>
          <w:sz w:val="24"/>
          <w:szCs w:val="24"/>
        </w:rPr>
        <w:t>Alam, M. N., Ogiemwonyi, O., Hago, I. E., Azizan, N. A., Hashim, F., &amp; Hossain, M. S. (2023). Understanding consumer environmental ethics and the willingness to use green products. </w:t>
      </w:r>
      <w:r w:rsidRPr="0090541C">
        <w:rPr>
          <w:rFonts w:ascii="Times New Roman" w:hAnsi="Times New Roman" w:cs="Times New Roman"/>
          <w:i/>
          <w:iCs/>
          <w:sz w:val="24"/>
          <w:szCs w:val="24"/>
        </w:rPr>
        <w:t>Sage Open</w:t>
      </w:r>
      <w:r w:rsidRPr="0090541C">
        <w:rPr>
          <w:rFonts w:ascii="Times New Roman" w:hAnsi="Times New Roman" w:cs="Times New Roman"/>
          <w:sz w:val="24"/>
          <w:szCs w:val="24"/>
        </w:rPr>
        <w:t>, </w:t>
      </w:r>
      <w:r w:rsidRPr="0090541C">
        <w:rPr>
          <w:rFonts w:ascii="Times New Roman" w:hAnsi="Times New Roman" w:cs="Times New Roman"/>
          <w:i/>
          <w:iCs/>
          <w:sz w:val="24"/>
          <w:szCs w:val="24"/>
        </w:rPr>
        <w:t>13</w:t>
      </w:r>
      <w:r w:rsidRPr="0090541C">
        <w:rPr>
          <w:rFonts w:ascii="Times New Roman" w:hAnsi="Times New Roman" w:cs="Times New Roman"/>
          <w:sz w:val="24"/>
          <w:szCs w:val="24"/>
        </w:rPr>
        <w:t>(1), 21582440221149727.</w:t>
      </w:r>
    </w:p>
    <w:p w14:paraId="45957C27" w14:textId="035F59AD" w:rsidR="008B3350" w:rsidRDefault="008B3350" w:rsidP="00727080">
      <w:pPr>
        <w:spacing w:line="240" w:lineRule="auto"/>
        <w:jc w:val="both"/>
        <w:rPr>
          <w:rFonts w:ascii="Times New Roman" w:hAnsi="Times New Roman" w:cs="Times New Roman"/>
          <w:sz w:val="24"/>
          <w:szCs w:val="24"/>
        </w:rPr>
      </w:pPr>
      <w:r w:rsidRPr="008B3350">
        <w:rPr>
          <w:rFonts w:ascii="Times New Roman" w:hAnsi="Times New Roman" w:cs="Times New Roman"/>
          <w:sz w:val="24"/>
          <w:szCs w:val="24"/>
        </w:rPr>
        <w:t>Azam, S. M. F., &amp; Dbab, I. F. (2021). Environmental Awareness, Knowledge and Attitude of Libyan Secondary School JAAR American Journals. Journal of American Academic Research (JAAR), 9(3).</w:t>
      </w:r>
    </w:p>
    <w:p w14:paraId="355C75A9" w14:textId="548BACF2" w:rsidR="004A1D15" w:rsidRDefault="004A1D15" w:rsidP="00727080">
      <w:pPr>
        <w:spacing w:line="240" w:lineRule="auto"/>
        <w:jc w:val="both"/>
        <w:rPr>
          <w:rFonts w:ascii="Times New Roman" w:hAnsi="Times New Roman" w:cs="Times New Roman"/>
          <w:sz w:val="24"/>
          <w:szCs w:val="24"/>
        </w:rPr>
      </w:pPr>
      <w:r w:rsidRPr="004A1D15">
        <w:rPr>
          <w:rFonts w:ascii="Times New Roman" w:hAnsi="Times New Roman" w:cs="Times New Roman"/>
          <w:sz w:val="24"/>
          <w:szCs w:val="24"/>
        </w:rPr>
        <w:t>Aziz, F., Rami, A. A. M., Zaremohzzabieh, Z., &amp; Ahrari, S. (2021). Effects of emotions and ethics on pro-environmental behavior of university employees: A model based on the theory of planned behavior</w:t>
      </w:r>
      <w:r w:rsidRPr="004A1D15">
        <w:rPr>
          <w:rFonts w:ascii="Times New Roman" w:hAnsi="Times New Roman" w:cs="Times New Roman"/>
          <w:i/>
          <w:iCs/>
          <w:sz w:val="24"/>
          <w:szCs w:val="24"/>
        </w:rPr>
        <w:t>. Sustainability (Switzerland),</w:t>
      </w:r>
      <w:r w:rsidRPr="004A1D15">
        <w:rPr>
          <w:rFonts w:ascii="Times New Roman" w:hAnsi="Times New Roman" w:cs="Times New Roman"/>
          <w:sz w:val="24"/>
          <w:szCs w:val="24"/>
        </w:rPr>
        <w:t xml:space="preserve"> 13(13). </w:t>
      </w:r>
      <w:hyperlink r:id="rId12" w:history="1">
        <w:r w:rsidR="00BA1D53" w:rsidRPr="00EE6E3C">
          <w:rPr>
            <w:rStyle w:val="Hyperlink"/>
            <w:rFonts w:ascii="Times New Roman" w:hAnsi="Times New Roman" w:cs="Times New Roman"/>
            <w:sz w:val="24"/>
            <w:szCs w:val="24"/>
          </w:rPr>
          <w:t>https://doi.org/10.3390/su13137062</w:t>
        </w:r>
      </w:hyperlink>
      <w:r>
        <w:rPr>
          <w:rFonts w:ascii="Times New Roman" w:hAnsi="Times New Roman" w:cs="Times New Roman"/>
          <w:sz w:val="24"/>
          <w:szCs w:val="24"/>
        </w:rPr>
        <w:t>.</w:t>
      </w:r>
    </w:p>
    <w:p w14:paraId="7BF22522" w14:textId="22204F92" w:rsidR="008026E1" w:rsidRDefault="008026E1" w:rsidP="00727080">
      <w:pPr>
        <w:spacing w:line="240" w:lineRule="auto"/>
        <w:jc w:val="both"/>
        <w:rPr>
          <w:rFonts w:ascii="Times New Roman" w:hAnsi="Times New Roman" w:cs="Times New Roman"/>
          <w:sz w:val="24"/>
          <w:szCs w:val="24"/>
        </w:rPr>
      </w:pPr>
      <w:r w:rsidRPr="008026E1">
        <w:rPr>
          <w:rFonts w:ascii="Times New Roman" w:hAnsi="Times New Roman" w:cs="Times New Roman"/>
          <w:sz w:val="24"/>
          <w:szCs w:val="24"/>
        </w:rPr>
        <w:t>Çabuk, S., Tanrikulu, C., &amp; Gelibolu, L. (2014). Understanding organic food consumption: attitude as a mediator. </w:t>
      </w:r>
      <w:r w:rsidRPr="008026E1">
        <w:rPr>
          <w:rFonts w:ascii="Times New Roman" w:hAnsi="Times New Roman" w:cs="Times New Roman"/>
          <w:i/>
          <w:iCs/>
          <w:sz w:val="24"/>
          <w:szCs w:val="24"/>
        </w:rPr>
        <w:t>International Journal of consumer studies</w:t>
      </w:r>
      <w:r w:rsidRPr="008026E1">
        <w:rPr>
          <w:rFonts w:ascii="Times New Roman" w:hAnsi="Times New Roman" w:cs="Times New Roman"/>
          <w:sz w:val="24"/>
          <w:szCs w:val="24"/>
        </w:rPr>
        <w:t>, </w:t>
      </w:r>
      <w:r w:rsidRPr="008026E1">
        <w:rPr>
          <w:rFonts w:ascii="Times New Roman" w:hAnsi="Times New Roman" w:cs="Times New Roman"/>
          <w:i/>
          <w:iCs/>
          <w:sz w:val="24"/>
          <w:szCs w:val="24"/>
        </w:rPr>
        <w:t>38</w:t>
      </w:r>
      <w:r w:rsidRPr="008026E1">
        <w:rPr>
          <w:rFonts w:ascii="Times New Roman" w:hAnsi="Times New Roman" w:cs="Times New Roman"/>
          <w:sz w:val="24"/>
          <w:szCs w:val="24"/>
        </w:rPr>
        <w:t>(4), 337-345.</w:t>
      </w:r>
    </w:p>
    <w:p w14:paraId="1F974F3C" w14:textId="7D954012" w:rsidR="00BA1D53" w:rsidRDefault="00BA1D53" w:rsidP="00727080">
      <w:pPr>
        <w:spacing w:line="240" w:lineRule="auto"/>
        <w:jc w:val="both"/>
        <w:rPr>
          <w:rFonts w:ascii="Times New Roman" w:hAnsi="Times New Roman" w:cs="Times New Roman"/>
          <w:sz w:val="24"/>
          <w:szCs w:val="24"/>
        </w:rPr>
      </w:pPr>
      <w:r w:rsidRPr="00BA1D53">
        <w:rPr>
          <w:rFonts w:ascii="Times New Roman" w:hAnsi="Times New Roman" w:cs="Times New Roman"/>
          <w:sz w:val="24"/>
          <w:szCs w:val="24"/>
        </w:rPr>
        <w:t>Carrión-Bósquez, N. G., Ortiz-Regalado, O., Veas-González, I., Naranjo-Armijo, F. G., &amp; Guerra-Regalado, W. F. (2024). The mediating role of attitude and environmental awareness in the influence of green advertising and eco-labels on green purchasing behaviors. </w:t>
      </w:r>
      <w:r w:rsidRPr="00BA1D53">
        <w:rPr>
          <w:rFonts w:ascii="Times New Roman" w:hAnsi="Times New Roman" w:cs="Times New Roman"/>
          <w:i/>
          <w:iCs/>
          <w:sz w:val="24"/>
          <w:szCs w:val="24"/>
        </w:rPr>
        <w:t>Spanish Journal of Marketing-ESIC</w:t>
      </w:r>
      <w:r w:rsidRPr="00BA1D53">
        <w:rPr>
          <w:rFonts w:ascii="Times New Roman" w:hAnsi="Times New Roman" w:cs="Times New Roman"/>
          <w:sz w:val="24"/>
          <w:szCs w:val="24"/>
        </w:rPr>
        <w:t>.</w:t>
      </w:r>
    </w:p>
    <w:p w14:paraId="4758FEF4" w14:textId="0D146645" w:rsidR="003C4492" w:rsidRPr="003C4492" w:rsidRDefault="003C4492" w:rsidP="00727080">
      <w:pPr>
        <w:spacing w:line="240" w:lineRule="auto"/>
        <w:jc w:val="both"/>
        <w:rPr>
          <w:rFonts w:ascii="Times New Roman" w:hAnsi="Times New Roman" w:cs="Times New Roman"/>
          <w:i/>
          <w:iCs/>
          <w:sz w:val="24"/>
          <w:szCs w:val="24"/>
        </w:rPr>
      </w:pPr>
      <w:r w:rsidRPr="005B7C75">
        <w:rPr>
          <w:rFonts w:ascii="Times New Roman" w:hAnsi="Times New Roman" w:cs="Times New Roman"/>
          <w:sz w:val="24"/>
          <w:szCs w:val="24"/>
        </w:rPr>
        <w:t>Carvalho, F. P. (2017). Pesticides, environment, and food safety</w:t>
      </w:r>
      <w:r w:rsidRPr="005B7C75">
        <w:rPr>
          <w:rFonts w:ascii="Times New Roman" w:hAnsi="Times New Roman" w:cs="Times New Roman"/>
          <w:i/>
          <w:iCs/>
          <w:sz w:val="24"/>
          <w:szCs w:val="24"/>
        </w:rPr>
        <w:t>. Food and energy security, 6(2), 48-60.</w:t>
      </w:r>
    </w:p>
    <w:p w14:paraId="1C36A95F" w14:textId="74AC50D9" w:rsidR="00087497" w:rsidRDefault="005B7C75" w:rsidP="00727080">
      <w:pPr>
        <w:spacing w:line="240" w:lineRule="auto"/>
        <w:jc w:val="both"/>
        <w:rPr>
          <w:rFonts w:ascii="Times New Roman" w:hAnsi="Times New Roman" w:cs="Times New Roman"/>
          <w:i/>
          <w:iCs/>
          <w:sz w:val="24"/>
          <w:szCs w:val="24"/>
        </w:rPr>
      </w:pPr>
      <w:r w:rsidRPr="005B7C75">
        <w:rPr>
          <w:rFonts w:ascii="Times New Roman" w:hAnsi="Times New Roman" w:cs="Times New Roman"/>
          <w:sz w:val="24"/>
          <w:szCs w:val="24"/>
        </w:rPr>
        <w:t>Chakrabarty, T., Akter, S., Saifullah, A. S. M., Sheikh, M. S., &amp; Bhowmick, A. C. (2014). Use of fertilizer and pesticide for crop production in agrarian area of Tangail district, Bangladesh</w:t>
      </w:r>
      <w:r w:rsidRPr="005B7C75">
        <w:rPr>
          <w:rFonts w:ascii="Times New Roman" w:hAnsi="Times New Roman" w:cs="Times New Roman"/>
          <w:i/>
          <w:iCs/>
          <w:sz w:val="24"/>
          <w:szCs w:val="24"/>
        </w:rPr>
        <w:t>. Environment and Ecology Research, 2(6), 253-261.</w:t>
      </w:r>
    </w:p>
    <w:p w14:paraId="5189C387" w14:textId="73F5A11C" w:rsidR="00C80D46" w:rsidRDefault="00C80D46" w:rsidP="00727080">
      <w:pPr>
        <w:spacing w:line="240" w:lineRule="auto"/>
        <w:jc w:val="both"/>
        <w:rPr>
          <w:rFonts w:ascii="Times New Roman" w:hAnsi="Times New Roman" w:cs="Times New Roman"/>
          <w:i/>
          <w:iCs/>
          <w:sz w:val="24"/>
          <w:szCs w:val="24"/>
        </w:rPr>
      </w:pPr>
      <w:r w:rsidRPr="008E7C82">
        <w:rPr>
          <w:rFonts w:ascii="Times New Roman" w:hAnsi="Times New Roman" w:cs="Times New Roman"/>
          <w:i/>
          <w:iCs/>
          <w:sz w:val="24"/>
          <w:szCs w:val="24"/>
        </w:rPr>
        <w:lastRenderedPageBreak/>
        <w:t>Cochran, W. G. (1977). Sampling Techniques (3</w:t>
      </w:r>
      <w:r w:rsidRPr="008E7C82">
        <w:rPr>
          <w:rFonts w:ascii="Times New Roman" w:hAnsi="Times New Roman" w:cs="Times New Roman"/>
          <w:i/>
          <w:iCs/>
          <w:sz w:val="24"/>
          <w:szCs w:val="24"/>
          <w:vertAlign w:val="superscript"/>
        </w:rPr>
        <w:t>rd</w:t>
      </w:r>
      <w:r w:rsidRPr="008E7C82">
        <w:rPr>
          <w:rFonts w:ascii="Times New Roman" w:hAnsi="Times New Roman" w:cs="Times New Roman"/>
          <w:i/>
          <w:iCs/>
          <w:sz w:val="24"/>
          <w:szCs w:val="24"/>
        </w:rPr>
        <w:t xml:space="preserve"> ed.). New York: John Wiley &amp;Sons</w:t>
      </w:r>
      <w:r w:rsidRPr="0081226D">
        <w:rPr>
          <w:rFonts w:ascii="Times New Roman" w:hAnsi="Times New Roman" w:cs="Times New Roman"/>
          <w:i/>
          <w:iCs/>
          <w:sz w:val="24"/>
          <w:szCs w:val="24"/>
          <w:highlight w:val="yellow"/>
        </w:rPr>
        <w:t>.</w:t>
      </w:r>
    </w:p>
    <w:p w14:paraId="0B5711E4" w14:textId="53D62D07" w:rsidR="00AF10F6" w:rsidRPr="00BC6617" w:rsidRDefault="00AF10F6" w:rsidP="00727080">
      <w:pPr>
        <w:spacing w:line="240" w:lineRule="auto"/>
        <w:jc w:val="both"/>
        <w:rPr>
          <w:rFonts w:ascii="Times New Roman" w:hAnsi="Times New Roman" w:cs="Times New Roman"/>
          <w:i/>
          <w:iCs/>
          <w:sz w:val="24"/>
          <w:szCs w:val="24"/>
        </w:rPr>
      </w:pPr>
      <w:r w:rsidRPr="00BC6617">
        <w:rPr>
          <w:rFonts w:ascii="Times New Roman" w:hAnsi="Times New Roman" w:cs="Times New Roman"/>
          <w:sz w:val="24"/>
          <w:szCs w:val="24"/>
        </w:rPr>
        <w:t>Costa, C. S. R., Costa, M. F. da, Maciel, R. G., Aguiar, E. C., &amp; Wanderley, L. O. (2021). Consumer antecedents towards green product purchase intentions.</w:t>
      </w:r>
      <w:r w:rsidRPr="00BC6617">
        <w:rPr>
          <w:rFonts w:ascii="Times New Roman" w:hAnsi="Times New Roman" w:cs="Times New Roman"/>
          <w:i/>
          <w:iCs/>
          <w:sz w:val="24"/>
          <w:szCs w:val="24"/>
        </w:rPr>
        <w:t xml:space="preserve"> Journal of Cleaner Production, 313(August 2020). </w:t>
      </w:r>
      <w:r w:rsidRPr="00BC6617">
        <w:rPr>
          <w:rFonts w:ascii="Times New Roman" w:hAnsi="Times New Roman" w:cs="Times New Roman"/>
          <w:sz w:val="24"/>
          <w:szCs w:val="24"/>
        </w:rPr>
        <w:t>https://doi.org/10.1016/j.jclepro.2021.127964.</w:t>
      </w:r>
    </w:p>
    <w:p w14:paraId="5ECA88A4" w14:textId="4F3EA331" w:rsidR="00A44697" w:rsidRPr="00BC6617" w:rsidRDefault="00A44697" w:rsidP="00727080">
      <w:pPr>
        <w:spacing w:line="240" w:lineRule="auto"/>
        <w:jc w:val="both"/>
        <w:rPr>
          <w:rFonts w:ascii="Times New Roman" w:hAnsi="Times New Roman" w:cs="Times New Roman"/>
          <w:sz w:val="24"/>
          <w:szCs w:val="24"/>
        </w:rPr>
      </w:pPr>
      <w:r w:rsidRPr="00BC6617">
        <w:rPr>
          <w:rFonts w:ascii="Times New Roman" w:hAnsi="Times New Roman" w:cs="Times New Roman"/>
          <w:sz w:val="24"/>
          <w:szCs w:val="24"/>
        </w:rPr>
        <w:t>Council of the European Union (2018): REGULATION (EU) 2018/848 OF THE EUROPEAN PARLIAMENT AND OF THE COUNCIL of 30 May 2018 on organic production and labelling of organic products and repealing Council Regulation (EC) No 834/2007. Official Journal of the European Union, pp. 1-92.</w:t>
      </w:r>
    </w:p>
    <w:p w14:paraId="5CFC3EA5" w14:textId="1426E9A3" w:rsidR="00BC3033" w:rsidRPr="00BC6617" w:rsidRDefault="00BC3033" w:rsidP="00727080">
      <w:pPr>
        <w:spacing w:line="240" w:lineRule="auto"/>
        <w:jc w:val="both"/>
        <w:rPr>
          <w:rFonts w:ascii="Times New Roman" w:hAnsi="Times New Roman" w:cs="Times New Roman"/>
          <w:sz w:val="24"/>
          <w:szCs w:val="24"/>
        </w:rPr>
      </w:pPr>
      <w:r w:rsidRPr="00BC6617">
        <w:rPr>
          <w:rFonts w:ascii="Times New Roman" w:hAnsi="Times New Roman" w:cs="Times New Roman"/>
          <w:sz w:val="24"/>
          <w:szCs w:val="24"/>
        </w:rPr>
        <w:t>Das, J., &amp; Bhattacharyya, D. (2018). An Enquiry into the Challenges of Organic Farming in Sikkim. Business Studies, 2, 105–113.</w:t>
      </w:r>
    </w:p>
    <w:p w14:paraId="537B81E6" w14:textId="349AA775" w:rsidR="00A435EA" w:rsidRDefault="00A435EA" w:rsidP="00727080">
      <w:pPr>
        <w:spacing w:line="240" w:lineRule="auto"/>
        <w:jc w:val="both"/>
        <w:rPr>
          <w:rFonts w:ascii="Times New Roman" w:hAnsi="Times New Roman" w:cs="Times New Roman"/>
          <w:sz w:val="24"/>
          <w:szCs w:val="24"/>
        </w:rPr>
      </w:pPr>
      <w:r w:rsidRPr="00BC6617">
        <w:rPr>
          <w:rFonts w:ascii="Times New Roman" w:hAnsi="Times New Roman" w:cs="Times New Roman"/>
          <w:sz w:val="24"/>
          <w:szCs w:val="24"/>
        </w:rPr>
        <w:t>Diagourtas, G., Kounetas, K. E., &amp; Simaki, V. (2023). Consumer attitudes and sociodemographic profiles in purchasing organic food products: evidence from a Greek and Swedish survey. </w:t>
      </w:r>
      <w:r w:rsidRPr="00BC6617">
        <w:rPr>
          <w:rFonts w:ascii="Times New Roman" w:hAnsi="Times New Roman" w:cs="Times New Roman"/>
          <w:i/>
          <w:iCs/>
          <w:sz w:val="24"/>
          <w:szCs w:val="24"/>
        </w:rPr>
        <w:t>British food journal</w:t>
      </w:r>
      <w:r w:rsidRPr="00BC6617">
        <w:rPr>
          <w:rFonts w:ascii="Times New Roman" w:hAnsi="Times New Roman" w:cs="Times New Roman"/>
          <w:sz w:val="24"/>
          <w:szCs w:val="24"/>
        </w:rPr>
        <w:t>, </w:t>
      </w:r>
      <w:r w:rsidRPr="00BC6617">
        <w:rPr>
          <w:rFonts w:ascii="Times New Roman" w:hAnsi="Times New Roman" w:cs="Times New Roman"/>
          <w:i/>
          <w:iCs/>
          <w:sz w:val="24"/>
          <w:szCs w:val="24"/>
        </w:rPr>
        <w:t>125</w:t>
      </w:r>
      <w:r w:rsidRPr="00BC6617">
        <w:rPr>
          <w:rFonts w:ascii="Times New Roman" w:hAnsi="Times New Roman" w:cs="Times New Roman"/>
          <w:sz w:val="24"/>
          <w:szCs w:val="24"/>
        </w:rPr>
        <w:t>(7), 2407-2423.</w:t>
      </w:r>
    </w:p>
    <w:p w14:paraId="63C7F1C3" w14:textId="7BFC0844" w:rsidR="008E7C82" w:rsidRPr="00BC6617" w:rsidRDefault="008E7C82" w:rsidP="00727080">
      <w:pPr>
        <w:spacing w:line="240" w:lineRule="auto"/>
        <w:jc w:val="both"/>
        <w:rPr>
          <w:rFonts w:ascii="Times New Roman" w:hAnsi="Times New Roman" w:cs="Times New Roman"/>
          <w:sz w:val="24"/>
          <w:szCs w:val="24"/>
        </w:rPr>
      </w:pPr>
      <w:r w:rsidRPr="00931F9D">
        <w:rPr>
          <w:rFonts w:ascii="Times New Roman" w:hAnsi="Times New Roman" w:cs="Times New Roman"/>
          <w:sz w:val="24"/>
          <w:szCs w:val="24"/>
        </w:rPr>
        <w:t>Dunlap, R. E., Van Liere, K. D., Mertig, A. G., &amp; Jones, R. E. (2000). New trends in measuring environmental attitudes: measuring endorsement of the new ecological paradigm: a revised NEP scale. </w:t>
      </w:r>
      <w:r w:rsidRPr="00931F9D">
        <w:rPr>
          <w:rFonts w:ascii="Times New Roman" w:hAnsi="Times New Roman" w:cs="Times New Roman"/>
          <w:i/>
          <w:iCs/>
          <w:sz w:val="24"/>
          <w:szCs w:val="24"/>
        </w:rPr>
        <w:t>Journal of social issues</w:t>
      </w:r>
      <w:r w:rsidRPr="00931F9D">
        <w:rPr>
          <w:rFonts w:ascii="Times New Roman" w:hAnsi="Times New Roman" w:cs="Times New Roman"/>
          <w:sz w:val="24"/>
          <w:szCs w:val="24"/>
        </w:rPr>
        <w:t>, </w:t>
      </w:r>
      <w:r w:rsidRPr="00931F9D">
        <w:rPr>
          <w:rFonts w:ascii="Times New Roman" w:hAnsi="Times New Roman" w:cs="Times New Roman"/>
          <w:i/>
          <w:iCs/>
          <w:sz w:val="24"/>
          <w:szCs w:val="24"/>
        </w:rPr>
        <w:t>56</w:t>
      </w:r>
      <w:r w:rsidRPr="00931F9D">
        <w:rPr>
          <w:rFonts w:ascii="Times New Roman" w:hAnsi="Times New Roman" w:cs="Times New Roman"/>
          <w:sz w:val="24"/>
          <w:szCs w:val="24"/>
        </w:rPr>
        <w:t>(3), 425-442.</w:t>
      </w:r>
    </w:p>
    <w:p w14:paraId="11D52C22" w14:textId="2AC73FFE" w:rsidR="00A44697" w:rsidRPr="008B3350" w:rsidRDefault="00A44697" w:rsidP="00727080">
      <w:pPr>
        <w:spacing w:line="240" w:lineRule="auto"/>
        <w:jc w:val="both"/>
        <w:rPr>
          <w:rFonts w:ascii="Times New Roman" w:hAnsi="Times New Roman" w:cs="Times New Roman"/>
          <w:sz w:val="24"/>
          <w:szCs w:val="24"/>
        </w:rPr>
      </w:pPr>
      <w:r w:rsidRPr="00BC6617">
        <w:rPr>
          <w:rFonts w:ascii="Times New Roman" w:hAnsi="Times New Roman" w:cs="Times New Roman"/>
          <w:sz w:val="24"/>
          <w:szCs w:val="24"/>
        </w:rPr>
        <w:t xml:space="preserve">El-Hage Scialabba, N., Hattam, C. (2003): Agricultura orgánica, ambiente y seguridad alimen </w:t>
      </w:r>
      <w:r w:rsidRPr="008B3350">
        <w:rPr>
          <w:rFonts w:ascii="Times New Roman" w:hAnsi="Times New Roman" w:cs="Times New Roman"/>
          <w:sz w:val="24"/>
          <w:szCs w:val="24"/>
        </w:rPr>
        <w:t>taria. Https://Www.Fao.Org/3/Y4137s/Y4137s00.Htm. Last accessed: 15 May 2024.</w:t>
      </w:r>
    </w:p>
    <w:p w14:paraId="173F0826" w14:textId="08BCDCA3" w:rsidR="008B3350" w:rsidRPr="00BC6617" w:rsidRDefault="008B3350" w:rsidP="00727080">
      <w:pPr>
        <w:spacing w:line="240" w:lineRule="auto"/>
        <w:jc w:val="both"/>
        <w:rPr>
          <w:rFonts w:ascii="Times New Roman" w:hAnsi="Times New Roman" w:cs="Times New Roman"/>
          <w:i/>
          <w:iCs/>
          <w:sz w:val="24"/>
          <w:szCs w:val="24"/>
        </w:rPr>
      </w:pPr>
      <w:r w:rsidRPr="008B3350">
        <w:rPr>
          <w:rFonts w:ascii="Times New Roman" w:hAnsi="Times New Roman" w:cs="Times New Roman"/>
          <w:sz w:val="24"/>
          <w:szCs w:val="24"/>
        </w:rPr>
        <w:t>Evcimen, H., Çiftci, N., &amp; Yıldız, M. (2025). Effect of Environmental Awareness‐Based Education on Environmental Attitudes of Nursing Students: A Randomized Controlled Study.</w:t>
      </w:r>
      <w:r w:rsidRPr="008B3350">
        <w:rPr>
          <w:rFonts w:ascii="Times New Roman" w:hAnsi="Times New Roman" w:cs="Times New Roman"/>
          <w:i/>
          <w:iCs/>
          <w:sz w:val="24"/>
          <w:szCs w:val="24"/>
        </w:rPr>
        <w:t> Public Health Nursing, 42(1), 411-418.</w:t>
      </w:r>
    </w:p>
    <w:p w14:paraId="4060D846" w14:textId="5996DB3E" w:rsidR="00EE1472" w:rsidRPr="00BC6617" w:rsidRDefault="00EE1472" w:rsidP="00727080">
      <w:pPr>
        <w:spacing w:line="240" w:lineRule="auto"/>
        <w:jc w:val="both"/>
        <w:rPr>
          <w:rFonts w:ascii="Times New Roman" w:hAnsi="Times New Roman" w:cs="Times New Roman"/>
          <w:i/>
          <w:iCs/>
          <w:sz w:val="24"/>
          <w:szCs w:val="24"/>
        </w:rPr>
      </w:pPr>
      <w:r w:rsidRPr="00BC6617">
        <w:rPr>
          <w:rFonts w:ascii="Times New Roman" w:hAnsi="Times New Roman" w:cs="Times New Roman"/>
          <w:sz w:val="24"/>
          <w:szCs w:val="24"/>
        </w:rPr>
        <w:t>Fishbein, M., &amp; Ajzen, I. (1975). Belief, attitude, intention, and behavior: An introduction to theory and research. Reading, MA: Addison-Wesley.</w:t>
      </w:r>
    </w:p>
    <w:p w14:paraId="4BDF8692" w14:textId="5FB5B969" w:rsidR="00EE1472" w:rsidRPr="00BC6617" w:rsidRDefault="00EE1472" w:rsidP="00727080">
      <w:pPr>
        <w:spacing w:line="240" w:lineRule="auto"/>
        <w:jc w:val="both"/>
        <w:rPr>
          <w:rFonts w:ascii="Times New Roman" w:hAnsi="Times New Roman" w:cs="Times New Roman"/>
          <w:sz w:val="24"/>
          <w:szCs w:val="24"/>
        </w:rPr>
      </w:pPr>
      <w:r w:rsidRPr="00BC6617">
        <w:rPr>
          <w:rFonts w:ascii="Times New Roman" w:hAnsi="Times New Roman" w:cs="Times New Roman"/>
          <w:sz w:val="24"/>
          <w:szCs w:val="24"/>
        </w:rPr>
        <w:t>Fisher, J. D., &amp; Fisher, W. A. (1992). Changing AIDS-risk behavior. Psychological Bulletin, 111, 455–474.</w:t>
      </w:r>
    </w:p>
    <w:p w14:paraId="3D264ED7" w14:textId="4941F46B" w:rsidR="00087497" w:rsidRPr="00BC6617" w:rsidRDefault="00087497" w:rsidP="00727080">
      <w:pPr>
        <w:spacing w:line="240" w:lineRule="auto"/>
        <w:jc w:val="both"/>
        <w:rPr>
          <w:rFonts w:ascii="Times New Roman" w:hAnsi="Times New Roman" w:cs="Times New Roman"/>
          <w:i/>
          <w:iCs/>
          <w:sz w:val="24"/>
          <w:szCs w:val="24"/>
        </w:rPr>
      </w:pPr>
      <w:r w:rsidRPr="00BC6617">
        <w:rPr>
          <w:rFonts w:ascii="Times New Roman" w:hAnsi="Times New Roman" w:cs="Times New Roman"/>
          <w:sz w:val="24"/>
          <w:szCs w:val="24"/>
        </w:rPr>
        <w:t>Food and Agriculture Organization of the United Nations, 2015. How to Feed the World in 2050. Retrieved from</w:t>
      </w:r>
      <w:r w:rsidRPr="00BC6617">
        <w:rPr>
          <w:rFonts w:ascii="Times New Roman" w:hAnsi="Times New Roman" w:cs="Times New Roman"/>
          <w:i/>
          <w:iCs/>
          <w:sz w:val="24"/>
          <w:szCs w:val="24"/>
        </w:rPr>
        <w:t xml:space="preserve">. </w:t>
      </w:r>
      <w:hyperlink r:id="rId13" w:history="1">
        <w:r w:rsidR="00591984" w:rsidRPr="00BC6617">
          <w:rPr>
            <w:rStyle w:val="Hyperlink"/>
            <w:rFonts w:ascii="Times New Roman" w:hAnsi="Times New Roman" w:cs="Times New Roman"/>
            <w:i/>
            <w:iCs/>
            <w:sz w:val="24"/>
            <w:szCs w:val="24"/>
          </w:rPr>
          <w:t>https://www.fao.org</w:t>
        </w:r>
      </w:hyperlink>
      <w:r w:rsidRPr="00BC6617">
        <w:rPr>
          <w:rFonts w:ascii="Times New Roman" w:hAnsi="Times New Roman" w:cs="Times New Roman"/>
          <w:i/>
          <w:iCs/>
          <w:sz w:val="24"/>
          <w:szCs w:val="24"/>
        </w:rPr>
        <w:t>.</w:t>
      </w:r>
    </w:p>
    <w:p w14:paraId="69090376" w14:textId="0DF91388" w:rsidR="005C1E2A" w:rsidRPr="00BC6617" w:rsidRDefault="005C1E2A" w:rsidP="00727080">
      <w:pPr>
        <w:spacing w:line="240" w:lineRule="auto"/>
        <w:jc w:val="both"/>
        <w:rPr>
          <w:rFonts w:ascii="Times New Roman" w:hAnsi="Times New Roman" w:cs="Times New Roman"/>
          <w:i/>
          <w:iCs/>
          <w:sz w:val="24"/>
          <w:szCs w:val="24"/>
        </w:rPr>
      </w:pPr>
      <w:r w:rsidRPr="00BC6617">
        <w:rPr>
          <w:rFonts w:ascii="Times New Roman" w:hAnsi="Times New Roman" w:cs="Times New Roman"/>
          <w:sz w:val="24"/>
          <w:szCs w:val="24"/>
        </w:rPr>
        <w:t>Fu, L., Sun, Z., Zha, L., Liu, F., He, L., Sun, X., &amp; Jing, X. (2020). Environmental awareness and pro-environmental behavior within China’s road freight transportation industry: Moderating role of perceived policy effectiveness</w:t>
      </w:r>
      <w:r w:rsidRPr="00BC6617">
        <w:rPr>
          <w:rFonts w:ascii="Times New Roman" w:hAnsi="Times New Roman" w:cs="Times New Roman"/>
          <w:i/>
          <w:iCs/>
          <w:sz w:val="24"/>
          <w:szCs w:val="24"/>
        </w:rPr>
        <w:t>. Journal of Cleaner Production, 252, 119796.</w:t>
      </w:r>
    </w:p>
    <w:p w14:paraId="58C9BB02" w14:textId="726EC4EC" w:rsidR="00EE1472" w:rsidRPr="00BC6617" w:rsidRDefault="00EE1472" w:rsidP="00727080">
      <w:pPr>
        <w:spacing w:line="240" w:lineRule="auto"/>
        <w:jc w:val="both"/>
        <w:rPr>
          <w:rFonts w:ascii="Times New Roman" w:hAnsi="Times New Roman" w:cs="Times New Roman"/>
          <w:sz w:val="24"/>
          <w:szCs w:val="24"/>
        </w:rPr>
      </w:pPr>
      <w:r w:rsidRPr="00BC6617">
        <w:rPr>
          <w:rFonts w:ascii="Times New Roman" w:hAnsi="Times New Roman" w:cs="Times New Roman"/>
          <w:sz w:val="24"/>
          <w:szCs w:val="24"/>
        </w:rPr>
        <w:t>Gollwitzer, P. M. (1993). Goal achievement: The role of intentions. European Review of Social Psychology, 4, 141–185.</w:t>
      </w:r>
    </w:p>
    <w:p w14:paraId="5FB151CF" w14:textId="54E7F431" w:rsidR="005C1E2A" w:rsidRDefault="00CA6246" w:rsidP="00727080">
      <w:pPr>
        <w:spacing w:line="240" w:lineRule="auto"/>
        <w:jc w:val="both"/>
        <w:rPr>
          <w:rFonts w:ascii="Times New Roman" w:hAnsi="Times New Roman" w:cs="Times New Roman"/>
          <w:i/>
          <w:iCs/>
          <w:sz w:val="24"/>
          <w:szCs w:val="24"/>
        </w:rPr>
      </w:pPr>
      <w:r w:rsidRPr="00BC6617">
        <w:rPr>
          <w:rFonts w:ascii="Times New Roman" w:hAnsi="Times New Roman" w:cs="Times New Roman"/>
          <w:sz w:val="24"/>
          <w:szCs w:val="24"/>
        </w:rPr>
        <w:t>Grzybowska-Brzezinska, M., Grzywinska-Rapca, M., Zuchowski, I., &amp; Bórawski, P. (2017). Organic food attributes determing consumer choices</w:t>
      </w:r>
      <w:r w:rsidRPr="00CA6246">
        <w:rPr>
          <w:rFonts w:ascii="Times New Roman" w:hAnsi="Times New Roman" w:cs="Times New Roman"/>
          <w:i/>
          <w:iCs/>
          <w:sz w:val="24"/>
          <w:szCs w:val="24"/>
        </w:rPr>
        <w:t>.</w:t>
      </w:r>
    </w:p>
    <w:p w14:paraId="594670FA" w14:textId="77303036" w:rsidR="00C45C2D" w:rsidRDefault="00C45C2D" w:rsidP="00727080">
      <w:pPr>
        <w:spacing w:line="240" w:lineRule="auto"/>
        <w:jc w:val="both"/>
        <w:rPr>
          <w:rFonts w:ascii="Times New Roman" w:hAnsi="Times New Roman" w:cs="Times New Roman"/>
          <w:i/>
          <w:iCs/>
          <w:sz w:val="24"/>
          <w:szCs w:val="24"/>
        </w:rPr>
      </w:pPr>
      <w:r w:rsidRPr="00C45C2D">
        <w:rPr>
          <w:rFonts w:ascii="Times New Roman" w:hAnsi="Times New Roman" w:cs="Times New Roman"/>
          <w:sz w:val="24"/>
          <w:szCs w:val="24"/>
        </w:rPr>
        <w:t>Guan, D., Lei, Y., Liu, Y., &amp; Ma, Q. (2024). The effect of matching promotion type with purchase type on green consumption</w:t>
      </w:r>
      <w:r w:rsidRPr="00C45C2D">
        <w:rPr>
          <w:rFonts w:ascii="Times New Roman" w:hAnsi="Times New Roman" w:cs="Times New Roman"/>
          <w:i/>
          <w:iCs/>
          <w:sz w:val="24"/>
          <w:szCs w:val="24"/>
        </w:rPr>
        <w:t xml:space="preserve">. Journal of Retailing and Consumer Services, 78, Article 103732. </w:t>
      </w:r>
      <w:r w:rsidRPr="00C45C2D">
        <w:rPr>
          <w:rFonts w:ascii="Times New Roman" w:hAnsi="Times New Roman" w:cs="Times New Roman"/>
          <w:sz w:val="24"/>
          <w:szCs w:val="24"/>
        </w:rPr>
        <w:t>https://doi.org/10.1016/j.jretconser.2024.103732</w:t>
      </w:r>
    </w:p>
    <w:p w14:paraId="639838C6" w14:textId="36E8D9AD" w:rsidR="00CA6ECD" w:rsidRDefault="00CA6ECD" w:rsidP="00727080">
      <w:pPr>
        <w:spacing w:line="240" w:lineRule="auto"/>
        <w:jc w:val="both"/>
        <w:rPr>
          <w:rFonts w:ascii="Times New Roman" w:hAnsi="Times New Roman" w:cs="Times New Roman"/>
          <w:i/>
          <w:iCs/>
          <w:sz w:val="24"/>
          <w:szCs w:val="24"/>
        </w:rPr>
      </w:pPr>
      <w:r w:rsidRPr="00E75671">
        <w:rPr>
          <w:rFonts w:ascii="Times New Roman" w:hAnsi="Times New Roman" w:cs="Times New Roman"/>
          <w:sz w:val="24"/>
          <w:szCs w:val="24"/>
        </w:rPr>
        <w:lastRenderedPageBreak/>
        <w:t>Handoyo, B., Astina, I. K., &amp; Mkumbachi, R. L. (2021). Students’ environmental awareness and pro-environmental behaviour: Preliminary study of geography students at state university of malang.</w:t>
      </w:r>
      <w:r w:rsidRPr="00CA6ECD">
        <w:rPr>
          <w:rFonts w:ascii="Times New Roman" w:hAnsi="Times New Roman" w:cs="Times New Roman"/>
          <w:i/>
          <w:iCs/>
          <w:sz w:val="24"/>
          <w:szCs w:val="24"/>
        </w:rPr>
        <w:t xml:space="preserve"> IOP Conference Series: Earth and Environmental Science, 683(1). </w:t>
      </w:r>
      <w:hyperlink r:id="rId14" w:history="1">
        <w:r w:rsidR="006A796B" w:rsidRPr="00BE2881">
          <w:rPr>
            <w:rStyle w:val="Hyperlink"/>
            <w:rFonts w:ascii="Times New Roman" w:hAnsi="Times New Roman" w:cs="Times New Roman"/>
            <w:i/>
            <w:iCs/>
            <w:sz w:val="24"/>
            <w:szCs w:val="24"/>
          </w:rPr>
          <w:t>https://doi.org/10.1088/1755-1315/683/1/012049</w:t>
        </w:r>
      </w:hyperlink>
      <w:r w:rsidR="00E75671">
        <w:rPr>
          <w:rFonts w:ascii="Times New Roman" w:hAnsi="Times New Roman" w:cs="Times New Roman"/>
          <w:i/>
          <w:iCs/>
          <w:sz w:val="24"/>
          <w:szCs w:val="24"/>
        </w:rPr>
        <w:t>.</w:t>
      </w:r>
    </w:p>
    <w:p w14:paraId="2DA261AF" w14:textId="3E9B8DE3" w:rsidR="006A796B" w:rsidRDefault="006A796B" w:rsidP="00727080">
      <w:pPr>
        <w:spacing w:line="240" w:lineRule="auto"/>
        <w:jc w:val="both"/>
        <w:rPr>
          <w:rFonts w:ascii="Times New Roman" w:hAnsi="Times New Roman" w:cs="Times New Roman"/>
          <w:i/>
          <w:iCs/>
          <w:sz w:val="24"/>
          <w:szCs w:val="24"/>
        </w:rPr>
      </w:pPr>
      <w:r w:rsidRPr="006A796B">
        <w:rPr>
          <w:rFonts w:ascii="Times New Roman" w:hAnsi="Times New Roman" w:cs="Times New Roman"/>
          <w:sz w:val="24"/>
          <w:szCs w:val="24"/>
        </w:rPr>
        <w:t>Kirmani, M. D., &amp; Khan, M. N. (2018). Decoding willingness of Indian consumers to pay a premium on green products</w:t>
      </w:r>
      <w:r w:rsidRPr="006A796B">
        <w:rPr>
          <w:rFonts w:ascii="Times New Roman" w:hAnsi="Times New Roman" w:cs="Times New Roman"/>
          <w:i/>
          <w:iCs/>
          <w:sz w:val="24"/>
          <w:szCs w:val="24"/>
        </w:rPr>
        <w:t>. South Asian Journal of Business Studies, 7(1), 73-90.</w:t>
      </w:r>
    </w:p>
    <w:p w14:paraId="223CC829" w14:textId="52235AB7" w:rsidR="00F13D42" w:rsidRDefault="00F13D42" w:rsidP="00727080">
      <w:pPr>
        <w:spacing w:line="240" w:lineRule="auto"/>
        <w:jc w:val="both"/>
        <w:rPr>
          <w:rFonts w:ascii="Times New Roman" w:hAnsi="Times New Roman" w:cs="Times New Roman"/>
          <w:i/>
          <w:iCs/>
          <w:sz w:val="24"/>
          <w:szCs w:val="24"/>
        </w:rPr>
      </w:pPr>
      <w:r w:rsidRPr="00F13D42">
        <w:rPr>
          <w:rFonts w:ascii="Times New Roman" w:hAnsi="Times New Roman" w:cs="Times New Roman"/>
          <w:sz w:val="24"/>
          <w:szCs w:val="24"/>
        </w:rPr>
        <w:t>Madureira, T., Nunes, F., Veiga, J., &amp; Saralegui-Diez, P. (2021). Choices in sustainable food consumption: How Spanish low intake organic consumers behave</w:t>
      </w:r>
      <w:r w:rsidRPr="00F13D42">
        <w:rPr>
          <w:rFonts w:ascii="Times New Roman" w:hAnsi="Times New Roman" w:cs="Times New Roman"/>
          <w:i/>
          <w:iCs/>
          <w:sz w:val="24"/>
          <w:szCs w:val="24"/>
        </w:rPr>
        <w:t>. Agriculture, 11(11), 1125.</w:t>
      </w:r>
    </w:p>
    <w:p w14:paraId="156F506F" w14:textId="6A6D74C9" w:rsidR="004F58E8" w:rsidRDefault="00FD5403" w:rsidP="00727080">
      <w:pPr>
        <w:spacing w:line="240" w:lineRule="auto"/>
        <w:jc w:val="both"/>
        <w:rPr>
          <w:rFonts w:ascii="Times New Roman" w:hAnsi="Times New Roman" w:cs="Times New Roman"/>
          <w:i/>
          <w:iCs/>
          <w:sz w:val="24"/>
          <w:szCs w:val="24"/>
        </w:rPr>
      </w:pPr>
      <w:r w:rsidRPr="00FD5403">
        <w:rPr>
          <w:rFonts w:ascii="Times New Roman" w:hAnsi="Times New Roman" w:cs="Times New Roman"/>
          <w:sz w:val="24"/>
          <w:szCs w:val="24"/>
        </w:rPr>
        <w:t>Malissiova, E., Tsokana, K., Soultani, G., Alexandraki, M., Katsioulis, A., &amp; Manouras, A. (2022). Organic food: A Study of consumer perception and preferences in Greece</w:t>
      </w:r>
      <w:r w:rsidRPr="00FD5403">
        <w:rPr>
          <w:rFonts w:ascii="Times New Roman" w:hAnsi="Times New Roman" w:cs="Times New Roman"/>
          <w:i/>
          <w:iCs/>
          <w:sz w:val="24"/>
          <w:szCs w:val="24"/>
        </w:rPr>
        <w:t>. Applied Food Research, 2(1), 100129.</w:t>
      </w:r>
    </w:p>
    <w:p w14:paraId="039C2E23" w14:textId="48341D57" w:rsidR="00FD5403" w:rsidRDefault="00FD5403" w:rsidP="00727080">
      <w:pPr>
        <w:spacing w:line="240" w:lineRule="auto"/>
        <w:jc w:val="both"/>
        <w:rPr>
          <w:rFonts w:ascii="Times New Roman" w:hAnsi="Times New Roman" w:cs="Times New Roman"/>
          <w:i/>
          <w:iCs/>
          <w:sz w:val="24"/>
          <w:szCs w:val="24"/>
        </w:rPr>
      </w:pPr>
      <w:r w:rsidRPr="00FD5403">
        <w:rPr>
          <w:rFonts w:ascii="Times New Roman" w:hAnsi="Times New Roman" w:cs="Times New Roman"/>
          <w:sz w:val="24"/>
          <w:szCs w:val="24"/>
        </w:rPr>
        <w:t>Nadricka, K., Millet, K., &amp; Verlegh, P. W. (2020). When organic products are tasty: Taste inferences from an Organic= Healthy Association</w:t>
      </w:r>
      <w:r w:rsidRPr="00FD5403">
        <w:rPr>
          <w:rFonts w:ascii="Times New Roman" w:hAnsi="Times New Roman" w:cs="Times New Roman"/>
          <w:i/>
          <w:iCs/>
          <w:sz w:val="24"/>
          <w:szCs w:val="24"/>
        </w:rPr>
        <w:t>. Food Quality and Preference, 83, 103896.</w:t>
      </w:r>
    </w:p>
    <w:p w14:paraId="103362EB" w14:textId="5DE4AB16" w:rsidR="00A435EA" w:rsidRDefault="00A435EA" w:rsidP="00727080">
      <w:pPr>
        <w:spacing w:line="240" w:lineRule="auto"/>
        <w:jc w:val="both"/>
        <w:rPr>
          <w:rFonts w:ascii="Times New Roman" w:hAnsi="Times New Roman" w:cs="Times New Roman"/>
          <w:i/>
          <w:iCs/>
          <w:sz w:val="24"/>
          <w:szCs w:val="24"/>
        </w:rPr>
      </w:pPr>
      <w:r w:rsidRPr="00A435EA">
        <w:rPr>
          <w:rFonts w:ascii="Times New Roman" w:hAnsi="Times New Roman" w:cs="Times New Roman"/>
          <w:sz w:val="24"/>
          <w:szCs w:val="24"/>
        </w:rPr>
        <w:t>Nunes, T., Madureira, F., Veiga, J., &amp; Saralegui-Diez, P. (2021). Choices in Sustainable Food Consumption: How Spanish Low Intake Organic Consumers Behave</w:t>
      </w:r>
      <w:r w:rsidRPr="00A435EA">
        <w:rPr>
          <w:rFonts w:ascii="Times New Roman" w:hAnsi="Times New Roman" w:cs="Times New Roman"/>
          <w:i/>
          <w:iCs/>
          <w:sz w:val="24"/>
          <w:szCs w:val="24"/>
        </w:rPr>
        <w:t>. Agriculture 2021, 11, 1125.</w:t>
      </w:r>
    </w:p>
    <w:p w14:paraId="09FC3272" w14:textId="156DAA70" w:rsidR="00F13D42" w:rsidRDefault="00F13D42" w:rsidP="00727080">
      <w:pPr>
        <w:spacing w:line="240" w:lineRule="auto"/>
        <w:jc w:val="both"/>
        <w:rPr>
          <w:rFonts w:ascii="Times New Roman" w:hAnsi="Times New Roman" w:cs="Times New Roman"/>
          <w:sz w:val="24"/>
          <w:szCs w:val="24"/>
        </w:rPr>
      </w:pPr>
      <w:r w:rsidRPr="00F13D42">
        <w:rPr>
          <w:rFonts w:ascii="Times New Roman" w:hAnsi="Times New Roman" w:cs="Times New Roman"/>
          <w:sz w:val="24"/>
          <w:szCs w:val="24"/>
        </w:rPr>
        <w:t xml:space="preserve">Nunes, F., Madureira, T., &amp; Veiga, J. (2021). The organic food choice pattern: are organic consumers becoming more </w:t>
      </w:r>
      <w:r w:rsidR="00372858" w:rsidRPr="00F13D42">
        <w:rPr>
          <w:rFonts w:ascii="Times New Roman" w:hAnsi="Times New Roman" w:cs="Times New Roman"/>
          <w:sz w:val="24"/>
          <w:szCs w:val="24"/>
        </w:rPr>
        <w:t>alike?</w:t>
      </w:r>
      <w:r w:rsidRPr="00F13D42">
        <w:rPr>
          <w:rFonts w:ascii="Times New Roman" w:hAnsi="Times New Roman" w:cs="Times New Roman"/>
          <w:sz w:val="24"/>
          <w:szCs w:val="24"/>
        </w:rPr>
        <w:t> Foods, 10(5), 983.</w:t>
      </w:r>
    </w:p>
    <w:p w14:paraId="15150E6B" w14:textId="054F3E3C" w:rsidR="00372858" w:rsidRDefault="00372858" w:rsidP="00727080">
      <w:pPr>
        <w:spacing w:line="240" w:lineRule="auto"/>
        <w:jc w:val="both"/>
        <w:rPr>
          <w:rFonts w:ascii="Times New Roman" w:hAnsi="Times New Roman" w:cs="Times New Roman"/>
          <w:sz w:val="24"/>
          <w:szCs w:val="24"/>
        </w:rPr>
      </w:pPr>
      <w:r w:rsidRPr="00372858">
        <w:rPr>
          <w:rFonts w:ascii="Times New Roman" w:hAnsi="Times New Roman" w:cs="Times New Roman"/>
          <w:sz w:val="24"/>
          <w:szCs w:val="24"/>
        </w:rPr>
        <w:t>OECD, 2002. Policies to Promote Sustainable Consumption: An Over view, ENV/EPOC/WPNEP (2001)18/FINAL. OECD, Paris.</w:t>
      </w:r>
    </w:p>
    <w:p w14:paraId="45D78DF7" w14:textId="0A203376" w:rsidR="004F58E8" w:rsidRPr="004F58E8" w:rsidRDefault="004F58E8" w:rsidP="00727080">
      <w:pPr>
        <w:spacing w:line="240" w:lineRule="auto"/>
        <w:jc w:val="both"/>
        <w:rPr>
          <w:rFonts w:ascii="Times New Roman" w:hAnsi="Times New Roman" w:cs="Times New Roman"/>
          <w:i/>
          <w:iCs/>
          <w:color w:val="2F5496" w:themeColor="accent1" w:themeShade="BF"/>
          <w:sz w:val="24"/>
          <w:szCs w:val="24"/>
          <w:u w:val="single"/>
        </w:rPr>
      </w:pPr>
      <w:r>
        <w:rPr>
          <w:rFonts w:ascii="Times New Roman" w:hAnsi="Times New Roman" w:cs="Times New Roman"/>
          <w:sz w:val="24"/>
          <w:szCs w:val="24"/>
        </w:rPr>
        <w:t>Office of the Registrar General &amp; Census Commissioner, India. (2011</w:t>
      </w:r>
      <w:r w:rsidRPr="00253905">
        <w:rPr>
          <w:rFonts w:ascii="Times New Roman" w:hAnsi="Times New Roman" w:cs="Times New Roman"/>
          <w:i/>
          <w:iCs/>
          <w:sz w:val="24"/>
          <w:szCs w:val="24"/>
        </w:rPr>
        <w:t>).</w:t>
      </w:r>
      <w:r w:rsidRPr="00253905">
        <w:rPr>
          <w:rFonts w:ascii="Fira Sans" w:eastAsia="Times New Roman" w:hAnsi="Fira Sans" w:cs="Times New Roman"/>
          <w:i/>
          <w:iCs/>
          <w:color w:val="333333"/>
          <w:kern w:val="0"/>
          <w:sz w:val="27"/>
          <w:szCs w:val="27"/>
          <w14:ligatures w14:val="none"/>
        </w:rPr>
        <w:t xml:space="preserve"> </w:t>
      </w:r>
      <w:r w:rsidRPr="00253905">
        <w:rPr>
          <w:rFonts w:ascii="Times New Roman" w:hAnsi="Times New Roman" w:cs="Times New Roman"/>
          <w:i/>
          <w:iCs/>
          <w:sz w:val="24"/>
          <w:szCs w:val="24"/>
          <w:lang w:val="en-US" w:bidi="th-TH"/>
        </w:rPr>
        <w:t xml:space="preserve">A-01: Number of villages, towns, households, population and area (India, states/UTs, districts and Sub-districts) </w:t>
      </w:r>
      <w:r w:rsidRPr="00253905">
        <w:rPr>
          <w:rFonts w:ascii="Times New Roman" w:hAnsi="Times New Roman" w:cs="Times New Roman"/>
          <w:i/>
          <w:iCs/>
          <w:sz w:val="24"/>
          <w:szCs w:val="24"/>
          <w:lang w:val="en-US"/>
        </w:rPr>
        <w:t xml:space="preserve">– Census of India </w:t>
      </w:r>
      <w:r w:rsidRPr="00253905">
        <w:rPr>
          <w:rFonts w:ascii="Times New Roman" w:hAnsi="Times New Roman" w:cs="Times New Roman"/>
          <w:i/>
          <w:iCs/>
          <w:sz w:val="24"/>
          <w:szCs w:val="24"/>
          <w:lang w:val="en-US" w:bidi="th-TH"/>
        </w:rPr>
        <w:t>2011</w:t>
      </w:r>
      <w:r w:rsidRPr="00253905">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Ministry of Home Affairs</w:t>
      </w:r>
      <w:r w:rsidRPr="004F58E8">
        <w:rPr>
          <w:rFonts w:ascii="Times New Roman" w:hAnsi="Times New Roman" w:cs="Times New Roman"/>
          <w:i/>
          <w:iCs/>
          <w:color w:val="2F5496" w:themeColor="accent1" w:themeShade="BF"/>
          <w:sz w:val="24"/>
          <w:szCs w:val="24"/>
          <w:u w:val="single"/>
          <w:lang w:val="en-US"/>
        </w:rPr>
        <w:t>.</w:t>
      </w:r>
      <w:r w:rsidRPr="004F58E8">
        <w:rPr>
          <w:i/>
          <w:iCs/>
          <w:color w:val="2F5496" w:themeColor="accent1" w:themeShade="BF"/>
          <w:u w:val="single"/>
        </w:rPr>
        <w:t xml:space="preserve"> </w:t>
      </w:r>
      <w:r w:rsidRPr="004F58E8">
        <w:rPr>
          <w:rFonts w:ascii="Times New Roman" w:hAnsi="Times New Roman" w:cs="Times New Roman"/>
          <w:i/>
          <w:iCs/>
          <w:color w:val="2F5496" w:themeColor="accent1" w:themeShade="BF"/>
          <w:sz w:val="24"/>
          <w:szCs w:val="24"/>
          <w:u w:val="single"/>
          <w:lang w:val="en-US"/>
        </w:rPr>
        <w:t>https://censusindia.gov.in/census.website/data/census-tables</w:t>
      </w:r>
    </w:p>
    <w:p w14:paraId="32F07E8C" w14:textId="7884126E" w:rsidR="00F00775" w:rsidRDefault="00F00775" w:rsidP="00727080">
      <w:pPr>
        <w:spacing w:line="240" w:lineRule="auto"/>
        <w:jc w:val="both"/>
        <w:rPr>
          <w:rStyle w:val="Hyperlink"/>
          <w:rFonts w:ascii="Times New Roman" w:hAnsi="Times New Roman" w:cs="Times New Roman"/>
          <w:i/>
          <w:iCs/>
          <w:sz w:val="24"/>
          <w:szCs w:val="24"/>
        </w:rPr>
      </w:pPr>
      <w:r w:rsidRPr="00F00775">
        <w:rPr>
          <w:rFonts w:ascii="Times New Roman" w:hAnsi="Times New Roman" w:cs="Times New Roman"/>
          <w:sz w:val="24"/>
          <w:szCs w:val="24"/>
        </w:rPr>
        <w:t xml:space="preserve">Pacho, F. (2020). What influences consumers to purchase organic food in developing countries? </w:t>
      </w:r>
      <w:r w:rsidRPr="00F00775">
        <w:rPr>
          <w:rFonts w:ascii="Times New Roman" w:hAnsi="Times New Roman" w:cs="Times New Roman"/>
          <w:i/>
          <w:iCs/>
          <w:sz w:val="24"/>
          <w:szCs w:val="24"/>
        </w:rPr>
        <w:t xml:space="preserve">British Food Journal, </w:t>
      </w:r>
      <w:hyperlink r:id="rId15" w:history="1">
        <w:r w:rsidR="006C5D23" w:rsidRPr="00605172">
          <w:rPr>
            <w:rStyle w:val="Hyperlink"/>
            <w:rFonts w:ascii="Times New Roman" w:hAnsi="Times New Roman" w:cs="Times New Roman"/>
            <w:i/>
            <w:iCs/>
            <w:sz w:val="24"/>
            <w:szCs w:val="24"/>
          </w:rPr>
          <w:t>https://doi.org/10.1108/BFJ-01-2020-0075</w:t>
        </w:r>
      </w:hyperlink>
    </w:p>
    <w:p w14:paraId="45EB4780" w14:textId="2F443A93" w:rsidR="00C42108" w:rsidRPr="00C42108" w:rsidRDefault="00C42108" w:rsidP="00727080">
      <w:pPr>
        <w:spacing w:line="240" w:lineRule="auto"/>
        <w:jc w:val="both"/>
        <w:rPr>
          <w:rStyle w:val="Hyperlink"/>
          <w:rFonts w:ascii="Times New Roman" w:hAnsi="Times New Roman" w:cs="Times New Roman"/>
          <w:i/>
          <w:iCs/>
          <w:sz w:val="24"/>
          <w:szCs w:val="24"/>
        </w:rPr>
      </w:pPr>
      <w:r w:rsidRPr="00C42108">
        <w:rPr>
          <w:rFonts w:ascii="Times New Roman" w:hAnsi="Times New Roman" w:cs="Times New Roman"/>
          <w:sz w:val="24"/>
          <w:szCs w:val="24"/>
        </w:rPr>
        <w:t>Palmer, C., McShane, K., &amp; Sandler, R. (2014). Environmental ethics</w:t>
      </w:r>
      <w:r w:rsidRPr="00C42108">
        <w:rPr>
          <w:rFonts w:ascii="Times New Roman" w:hAnsi="Times New Roman" w:cs="Times New Roman"/>
          <w:i/>
          <w:iCs/>
          <w:sz w:val="24"/>
          <w:szCs w:val="24"/>
        </w:rPr>
        <w:t xml:space="preserve">. Annual Review of Environment and Resources, 39, 419–442. </w:t>
      </w:r>
      <w:r w:rsidRPr="00C42108">
        <w:rPr>
          <w:rFonts w:ascii="Times New Roman" w:hAnsi="Times New Roman" w:cs="Times New Roman"/>
          <w:i/>
          <w:iCs/>
          <w:sz w:val="24"/>
          <w:szCs w:val="24"/>
          <w:u w:val="single"/>
        </w:rPr>
        <w:t>https://doi.org/10.1146/annurev-environ-121112 094434</w:t>
      </w:r>
    </w:p>
    <w:p w14:paraId="0D75449B" w14:textId="55B74928" w:rsidR="00FE332B" w:rsidRPr="00FE332B" w:rsidRDefault="00FE332B" w:rsidP="00727080">
      <w:pPr>
        <w:spacing w:line="240" w:lineRule="auto"/>
        <w:jc w:val="both"/>
        <w:rPr>
          <w:rFonts w:ascii="Times New Roman" w:hAnsi="Times New Roman" w:cs="Times New Roman"/>
          <w:sz w:val="24"/>
          <w:szCs w:val="24"/>
        </w:rPr>
      </w:pPr>
      <w:r w:rsidRPr="00FE332B">
        <w:rPr>
          <w:rFonts w:ascii="Times New Roman" w:hAnsi="Times New Roman" w:cs="Times New Roman"/>
          <w:sz w:val="24"/>
          <w:szCs w:val="24"/>
        </w:rPr>
        <w:t>Rao, B. S. (2017).</w:t>
      </w:r>
      <w:r w:rsidRPr="00FE332B">
        <w:rPr>
          <w:rFonts w:ascii="Times New Roman" w:hAnsi="Times New Roman" w:cs="Times New Roman"/>
          <w:i/>
          <w:iCs/>
          <w:sz w:val="24"/>
          <w:szCs w:val="24"/>
        </w:rPr>
        <w:t xml:space="preserve"> Study of organic cultivation in Sikkim</w:t>
      </w:r>
      <w:r w:rsidRPr="00FE332B">
        <w:rPr>
          <w:rFonts w:ascii="Times New Roman" w:hAnsi="Times New Roman" w:cs="Times New Roman"/>
          <w:sz w:val="24"/>
          <w:szCs w:val="24"/>
        </w:rPr>
        <w:t>. 1–45.</w:t>
      </w:r>
    </w:p>
    <w:p w14:paraId="76E55684" w14:textId="573F30C0" w:rsidR="006C5D23" w:rsidRDefault="006C5D23" w:rsidP="00727080">
      <w:pPr>
        <w:spacing w:line="240" w:lineRule="auto"/>
        <w:jc w:val="both"/>
        <w:rPr>
          <w:rFonts w:ascii="Times New Roman" w:hAnsi="Times New Roman" w:cs="Times New Roman"/>
          <w:i/>
          <w:iCs/>
          <w:sz w:val="24"/>
          <w:szCs w:val="24"/>
        </w:rPr>
      </w:pPr>
      <w:r w:rsidRPr="006C5D23">
        <w:rPr>
          <w:rFonts w:ascii="Times New Roman" w:hAnsi="Times New Roman" w:cs="Times New Roman"/>
          <w:sz w:val="24"/>
          <w:szCs w:val="24"/>
        </w:rPr>
        <w:t>Raut, V., Raut, D. D., &amp; Deshpande, S. (2018). A boost of organic farming to farmers</w:t>
      </w:r>
      <w:r w:rsidRPr="006C5D23">
        <w:rPr>
          <w:rFonts w:ascii="Times New Roman" w:hAnsi="Times New Roman" w:cs="Times New Roman"/>
          <w:i/>
          <w:iCs/>
          <w:sz w:val="24"/>
          <w:szCs w:val="24"/>
        </w:rPr>
        <w:t>. Gujarat J Ext Educ, 29(2), 159-162.</w:t>
      </w:r>
    </w:p>
    <w:p w14:paraId="2E3E1356" w14:textId="140DC5B8" w:rsidR="00F15609" w:rsidRPr="00A346D5" w:rsidRDefault="00F15609" w:rsidP="00727080">
      <w:pPr>
        <w:spacing w:line="240" w:lineRule="auto"/>
        <w:jc w:val="both"/>
        <w:rPr>
          <w:rFonts w:ascii="Times New Roman" w:hAnsi="Times New Roman" w:cs="Times New Roman"/>
          <w:i/>
          <w:iCs/>
          <w:sz w:val="32"/>
          <w:szCs w:val="32"/>
        </w:rPr>
      </w:pPr>
      <w:r w:rsidRPr="00A346D5">
        <w:rPr>
          <w:rFonts w:ascii="Times New Roman" w:hAnsi="Times New Roman" w:cs="Times New Roman"/>
          <w:color w:val="222222"/>
          <w:sz w:val="24"/>
          <w:szCs w:val="24"/>
          <w:shd w:val="clear" w:color="auto" w:fill="FFFFFF"/>
        </w:rPr>
        <w:t>Saha, S. K., &amp; Jha, A. (2022). Impact of reminder on medication adherence: A structural equation model, based on study in Sikkim, India. </w:t>
      </w:r>
      <w:r w:rsidRPr="00A346D5">
        <w:rPr>
          <w:rFonts w:ascii="Times New Roman" w:hAnsi="Times New Roman" w:cs="Times New Roman"/>
          <w:i/>
          <w:iCs/>
          <w:color w:val="222222"/>
          <w:sz w:val="24"/>
          <w:szCs w:val="24"/>
          <w:shd w:val="clear" w:color="auto" w:fill="FFFFFF"/>
        </w:rPr>
        <w:t>Bioscience Journal</w:t>
      </w:r>
      <w:r w:rsidRPr="00A346D5">
        <w:rPr>
          <w:rFonts w:ascii="Times New Roman" w:hAnsi="Times New Roman" w:cs="Times New Roman"/>
          <w:color w:val="222222"/>
          <w:sz w:val="24"/>
          <w:szCs w:val="24"/>
          <w:shd w:val="clear" w:color="auto" w:fill="FFFFFF"/>
        </w:rPr>
        <w:t>, </w:t>
      </w:r>
      <w:r w:rsidRPr="00A346D5">
        <w:rPr>
          <w:rFonts w:ascii="Times New Roman" w:hAnsi="Times New Roman" w:cs="Times New Roman"/>
          <w:i/>
          <w:iCs/>
          <w:color w:val="222222"/>
          <w:sz w:val="24"/>
          <w:szCs w:val="24"/>
          <w:shd w:val="clear" w:color="auto" w:fill="FFFFFF"/>
        </w:rPr>
        <w:t>38</w:t>
      </w:r>
      <w:r w:rsidRPr="00A346D5">
        <w:rPr>
          <w:rFonts w:ascii="Times New Roman" w:hAnsi="Times New Roman" w:cs="Times New Roman"/>
          <w:color w:val="222222"/>
          <w:sz w:val="24"/>
          <w:szCs w:val="24"/>
          <w:shd w:val="clear" w:color="auto" w:fill="FFFFFF"/>
        </w:rPr>
        <w:t>.</w:t>
      </w:r>
    </w:p>
    <w:p w14:paraId="251D3B36" w14:textId="49C32888" w:rsidR="008E7C82" w:rsidRPr="008E7C82" w:rsidRDefault="008E7C82" w:rsidP="00727080">
      <w:pPr>
        <w:spacing w:line="240" w:lineRule="auto"/>
        <w:jc w:val="both"/>
        <w:rPr>
          <w:rFonts w:ascii="Times New Roman" w:hAnsi="Times New Roman" w:cs="Times New Roman"/>
          <w:sz w:val="24"/>
          <w:szCs w:val="24"/>
        </w:rPr>
      </w:pPr>
      <w:r w:rsidRPr="00931F9D">
        <w:rPr>
          <w:rFonts w:ascii="Times New Roman" w:hAnsi="Times New Roman" w:cs="Times New Roman"/>
          <w:sz w:val="24"/>
          <w:szCs w:val="24"/>
        </w:rPr>
        <w:t>Sasmitha, R., Iqshanullah, A. M., Arunachalam, R., &amp; Shanjeevika, A. (2021). Scale construction to measure the attitude of hilly tribes towards environmental conservation. </w:t>
      </w:r>
      <w:r w:rsidRPr="00931F9D">
        <w:rPr>
          <w:rFonts w:ascii="Times New Roman" w:hAnsi="Times New Roman" w:cs="Times New Roman"/>
          <w:i/>
          <w:iCs/>
          <w:sz w:val="24"/>
          <w:szCs w:val="24"/>
        </w:rPr>
        <w:t>Indian Journal of Extension Education</w:t>
      </w:r>
      <w:r w:rsidRPr="00931F9D">
        <w:rPr>
          <w:rFonts w:ascii="Times New Roman" w:hAnsi="Times New Roman" w:cs="Times New Roman"/>
          <w:sz w:val="24"/>
          <w:szCs w:val="24"/>
        </w:rPr>
        <w:t>, </w:t>
      </w:r>
      <w:r w:rsidRPr="00931F9D">
        <w:rPr>
          <w:rFonts w:ascii="Times New Roman" w:hAnsi="Times New Roman" w:cs="Times New Roman"/>
          <w:i/>
          <w:iCs/>
          <w:sz w:val="24"/>
          <w:szCs w:val="24"/>
        </w:rPr>
        <w:t>57</w:t>
      </w:r>
      <w:r w:rsidRPr="00931F9D">
        <w:rPr>
          <w:rFonts w:ascii="Times New Roman" w:hAnsi="Times New Roman" w:cs="Times New Roman"/>
          <w:sz w:val="24"/>
          <w:szCs w:val="24"/>
        </w:rPr>
        <w:t>(2), 26-30.</w:t>
      </w:r>
    </w:p>
    <w:p w14:paraId="50B3FB2B" w14:textId="3C285AB0" w:rsidR="007C289D" w:rsidRDefault="007C289D" w:rsidP="00727080">
      <w:pPr>
        <w:spacing w:line="240" w:lineRule="auto"/>
        <w:jc w:val="both"/>
        <w:rPr>
          <w:rFonts w:ascii="Times New Roman" w:hAnsi="Times New Roman" w:cs="Times New Roman"/>
          <w:i/>
          <w:iCs/>
          <w:sz w:val="24"/>
          <w:szCs w:val="24"/>
        </w:rPr>
      </w:pPr>
      <w:r w:rsidRPr="007C289D">
        <w:rPr>
          <w:rFonts w:ascii="Times New Roman" w:hAnsi="Times New Roman" w:cs="Times New Roman"/>
          <w:sz w:val="24"/>
          <w:szCs w:val="24"/>
        </w:rPr>
        <w:t>Seyfang, G. (2006). Ecological citizenship and sustainable consumption: Examining local organic food networks</w:t>
      </w:r>
      <w:r w:rsidRPr="007C289D">
        <w:rPr>
          <w:rFonts w:ascii="Times New Roman" w:hAnsi="Times New Roman" w:cs="Times New Roman"/>
          <w:i/>
          <w:iCs/>
          <w:sz w:val="24"/>
          <w:szCs w:val="24"/>
        </w:rPr>
        <w:t>. Journal of rural studies, 22(4), 383-395.</w:t>
      </w:r>
    </w:p>
    <w:p w14:paraId="363EC79F" w14:textId="26D93C26" w:rsidR="00591984" w:rsidRDefault="00591984" w:rsidP="00727080">
      <w:pPr>
        <w:spacing w:line="240" w:lineRule="auto"/>
        <w:jc w:val="both"/>
        <w:rPr>
          <w:rFonts w:ascii="Times New Roman" w:hAnsi="Times New Roman" w:cs="Times New Roman"/>
          <w:i/>
          <w:iCs/>
          <w:sz w:val="24"/>
          <w:szCs w:val="24"/>
        </w:rPr>
      </w:pPr>
      <w:r w:rsidRPr="00591984">
        <w:rPr>
          <w:rFonts w:ascii="Times New Roman" w:hAnsi="Times New Roman" w:cs="Times New Roman"/>
          <w:sz w:val="24"/>
          <w:szCs w:val="24"/>
        </w:rPr>
        <w:lastRenderedPageBreak/>
        <w:t>Sharma, N., &amp; Singhvi, R. (2017). Effects of chemical fertilizers and pesticides on human health and environment: a review.</w:t>
      </w:r>
      <w:r w:rsidRPr="00591984">
        <w:rPr>
          <w:rFonts w:ascii="Times New Roman" w:hAnsi="Times New Roman" w:cs="Times New Roman"/>
          <w:i/>
          <w:iCs/>
          <w:sz w:val="24"/>
          <w:szCs w:val="24"/>
        </w:rPr>
        <w:t xml:space="preserve"> International journal of agriculture, environment and biotechnology, 10(6), 675-680.</w:t>
      </w:r>
    </w:p>
    <w:p w14:paraId="1B967415" w14:textId="352615C0" w:rsidR="003B5B6C" w:rsidRDefault="003B5B6C" w:rsidP="00727080">
      <w:pPr>
        <w:spacing w:line="240" w:lineRule="auto"/>
        <w:jc w:val="both"/>
        <w:rPr>
          <w:rFonts w:ascii="Times New Roman" w:hAnsi="Times New Roman" w:cs="Times New Roman"/>
          <w:i/>
          <w:iCs/>
          <w:sz w:val="24"/>
          <w:szCs w:val="24"/>
        </w:rPr>
      </w:pPr>
      <w:r w:rsidRPr="003B5B6C">
        <w:rPr>
          <w:rFonts w:ascii="Times New Roman" w:hAnsi="Times New Roman" w:cs="Times New Roman"/>
          <w:sz w:val="24"/>
          <w:szCs w:val="24"/>
        </w:rPr>
        <w:t>Shao, J. (2016). Are present sustainability assessment approaches capable of promoting sustainable consumption? A cross-section review on information transferring approaches</w:t>
      </w:r>
      <w:r w:rsidRPr="003B5B6C">
        <w:rPr>
          <w:rFonts w:ascii="Times New Roman" w:hAnsi="Times New Roman" w:cs="Times New Roman"/>
          <w:i/>
          <w:iCs/>
          <w:sz w:val="24"/>
          <w:szCs w:val="24"/>
        </w:rPr>
        <w:t>. Sustainable Production and Consumption, 7, 79-93.</w:t>
      </w:r>
    </w:p>
    <w:p w14:paraId="3418B3AD" w14:textId="4EBD5C2C" w:rsidR="004A1D15" w:rsidRDefault="004A1D15" w:rsidP="00727080">
      <w:pPr>
        <w:spacing w:line="240" w:lineRule="auto"/>
        <w:jc w:val="both"/>
        <w:rPr>
          <w:rFonts w:ascii="Times New Roman" w:hAnsi="Times New Roman" w:cs="Times New Roman"/>
          <w:i/>
          <w:iCs/>
          <w:sz w:val="24"/>
          <w:szCs w:val="24"/>
        </w:rPr>
      </w:pPr>
      <w:r w:rsidRPr="004A1D15">
        <w:rPr>
          <w:rFonts w:ascii="Times New Roman" w:hAnsi="Times New Roman" w:cs="Times New Roman"/>
          <w:sz w:val="24"/>
          <w:szCs w:val="24"/>
        </w:rPr>
        <w:t xml:space="preserve">Sheng, C. W., &amp; Chen, M. C. (2010). The influence of environmental practices on ethical attitudes: internal principles vs external factors. </w:t>
      </w:r>
      <w:r w:rsidRPr="004A1D15">
        <w:rPr>
          <w:rFonts w:ascii="Times New Roman" w:hAnsi="Times New Roman" w:cs="Times New Roman"/>
          <w:i/>
          <w:iCs/>
          <w:sz w:val="24"/>
          <w:szCs w:val="24"/>
        </w:rPr>
        <w:t xml:space="preserve">Social Responsibility Journal, </w:t>
      </w:r>
      <w:r w:rsidRPr="004A1D15">
        <w:rPr>
          <w:rFonts w:ascii="Times New Roman" w:hAnsi="Times New Roman" w:cs="Times New Roman"/>
          <w:sz w:val="24"/>
          <w:szCs w:val="24"/>
        </w:rPr>
        <w:t>6(4), 510–521. https://doi.org/10.1108/17471111011083400</w:t>
      </w:r>
    </w:p>
    <w:p w14:paraId="07A4C45B" w14:textId="66393A8B" w:rsidR="009F3477" w:rsidRDefault="009F3477" w:rsidP="00727080">
      <w:pPr>
        <w:spacing w:line="240" w:lineRule="auto"/>
        <w:jc w:val="both"/>
        <w:rPr>
          <w:rStyle w:val="Hyperlink"/>
          <w:rFonts w:ascii="Times New Roman" w:hAnsi="Times New Roman" w:cs="Times New Roman"/>
          <w:sz w:val="24"/>
          <w:szCs w:val="24"/>
        </w:rPr>
      </w:pPr>
      <w:r w:rsidRPr="009F3477">
        <w:rPr>
          <w:rFonts w:ascii="Times New Roman" w:hAnsi="Times New Roman" w:cs="Times New Roman"/>
          <w:sz w:val="24"/>
          <w:szCs w:val="24"/>
        </w:rPr>
        <w:t>Singh, Jagpal</w:t>
      </w:r>
      <w:r>
        <w:rPr>
          <w:rFonts w:ascii="Times New Roman" w:hAnsi="Times New Roman" w:cs="Times New Roman"/>
          <w:sz w:val="24"/>
          <w:szCs w:val="24"/>
        </w:rPr>
        <w:t xml:space="preserve"> </w:t>
      </w:r>
      <w:r w:rsidRPr="009F3477">
        <w:rPr>
          <w:rFonts w:ascii="Times New Roman" w:hAnsi="Times New Roman" w:cs="Times New Roman"/>
          <w:sz w:val="24"/>
          <w:szCs w:val="24"/>
        </w:rPr>
        <w:t xml:space="preserve">(2020). A comparative analysis of organic and inorganic farming: An empirical study of rural Punjab. Ph D(Commerce) Thesis. PG &amp; Research Department of Commerce LRG Government Arts College for Women. Tirupur, Tamil Naidu. </w:t>
      </w:r>
      <w:hyperlink r:id="rId16" w:history="1">
        <w:r w:rsidR="00384790" w:rsidRPr="00FB2C6F">
          <w:rPr>
            <w:rStyle w:val="Hyperlink"/>
            <w:rFonts w:ascii="Times New Roman" w:hAnsi="Times New Roman" w:cs="Times New Roman"/>
            <w:sz w:val="24"/>
            <w:szCs w:val="24"/>
          </w:rPr>
          <w:t>www.shodhganga.inflibnet.ac.in</w:t>
        </w:r>
      </w:hyperlink>
      <w:r w:rsidR="00C45B05">
        <w:rPr>
          <w:rStyle w:val="Hyperlink"/>
          <w:rFonts w:ascii="Times New Roman" w:hAnsi="Times New Roman" w:cs="Times New Roman"/>
          <w:sz w:val="24"/>
          <w:szCs w:val="24"/>
        </w:rPr>
        <w:t>.</w:t>
      </w:r>
    </w:p>
    <w:p w14:paraId="437F4026" w14:textId="088D68B1" w:rsidR="00C45B05" w:rsidRDefault="00C45B05" w:rsidP="00727080">
      <w:pPr>
        <w:spacing w:line="240" w:lineRule="auto"/>
        <w:jc w:val="both"/>
        <w:rPr>
          <w:rFonts w:ascii="Times New Roman" w:hAnsi="Times New Roman" w:cs="Times New Roman"/>
          <w:sz w:val="24"/>
          <w:szCs w:val="24"/>
        </w:rPr>
      </w:pPr>
      <w:r w:rsidRPr="00C45B05">
        <w:rPr>
          <w:rFonts w:ascii="Times New Roman" w:hAnsi="Times New Roman" w:cs="Times New Roman"/>
          <w:sz w:val="24"/>
          <w:szCs w:val="24"/>
        </w:rPr>
        <w:t xml:space="preserve">Steg, L., &amp; Vlek, C. (2009). Encouraging pro-environmental behaviour: An integrative review and research agenda. </w:t>
      </w:r>
      <w:r w:rsidRPr="00C45B05">
        <w:rPr>
          <w:rFonts w:ascii="Times New Roman" w:hAnsi="Times New Roman" w:cs="Times New Roman"/>
          <w:i/>
          <w:iCs/>
          <w:sz w:val="24"/>
          <w:szCs w:val="24"/>
        </w:rPr>
        <w:t>Journal of Environmental Psychology,</w:t>
      </w:r>
      <w:r w:rsidRPr="00C45B05">
        <w:rPr>
          <w:rFonts w:ascii="Times New Roman" w:hAnsi="Times New Roman" w:cs="Times New Roman"/>
          <w:sz w:val="24"/>
          <w:szCs w:val="24"/>
        </w:rPr>
        <w:t xml:space="preserve"> 29(3), 309–317. </w:t>
      </w:r>
      <w:hyperlink r:id="rId17" w:history="1">
        <w:r w:rsidR="002C2AB1" w:rsidRPr="00BE2881">
          <w:rPr>
            <w:rStyle w:val="Hyperlink"/>
            <w:rFonts w:ascii="Times New Roman" w:hAnsi="Times New Roman" w:cs="Times New Roman"/>
            <w:sz w:val="24"/>
            <w:szCs w:val="24"/>
          </w:rPr>
          <w:t>https://doi.org/10.1016/j.jenvp.2008.10.004</w:t>
        </w:r>
      </w:hyperlink>
      <w:r w:rsidR="002C2AB1">
        <w:rPr>
          <w:rFonts w:ascii="Times New Roman" w:hAnsi="Times New Roman" w:cs="Times New Roman"/>
          <w:sz w:val="24"/>
          <w:szCs w:val="24"/>
        </w:rPr>
        <w:t>.</w:t>
      </w:r>
    </w:p>
    <w:p w14:paraId="1CBE6A62" w14:textId="0AA54BA1" w:rsidR="002C2AB1" w:rsidRDefault="002C2AB1" w:rsidP="00727080">
      <w:pPr>
        <w:spacing w:line="240" w:lineRule="auto"/>
        <w:jc w:val="both"/>
        <w:rPr>
          <w:rFonts w:ascii="Times New Roman" w:hAnsi="Times New Roman" w:cs="Times New Roman"/>
          <w:sz w:val="24"/>
          <w:szCs w:val="24"/>
        </w:rPr>
      </w:pPr>
      <w:r w:rsidRPr="002C2AB1">
        <w:rPr>
          <w:rFonts w:ascii="Times New Roman" w:hAnsi="Times New Roman" w:cs="Times New Roman"/>
          <w:sz w:val="24"/>
          <w:szCs w:val="24"/>
        </w:rPr>
        <w:t>Tang, C. M. F., &amp; Lam, D. (2017). The role of extraversion and agreeableness traits on Gen Y’s attitudes and willingness to pay for green hotels. </w:t>
      </w:r>
      <w:r w:rsidRPr="002C2AB1">
        <w:rPr>
          <w:rFonts w:ascii="Times New Roman" w:hAnsi="Times New Roman" w:cs="Times New Roman"/>
          <w:i/>
          <w:iCs/>
          <w:sz w:val="24"/>
          <w:szCs w:val="24"/>
        </w:rPr>
        <w:t>International Journal of Contemporary Hospitality Management</w:t>
      </w:r>
      <w:r w:rsidRPr="002C2AB1">
        <w:rPr>
          <w:rFonts w:ascii="Times New Roman" w:hAnsi="Times New Roman" w:cs="Times New Roman"/>
          <w:sz w:val="24"/>
          <w:szCs w:val="24"/>
        </w:rPr>
        <w:t>, </w:t>
      </w:r>
      <w:r w:rsidRPr="002C2AB1">
        <w:rPr>
          <w:rFonts w:ascii="Times New Roman" w:hAnsi="Times New Roman" w:cs="Times New Roman"/>
          <w:i/>
          <w:iCs/>
          <w:sz w:val="24"/>
          <w:szCs w:val="24"/>
        </w:rPr>
        <w:t>29</w:t>
      </w:r>
      <w:r w:rsidRPr="002C2AB1">
        <w:rPr>
          <w:rFonts w:ascii="Times New Roman" w:hAnsi="Times New Roman" w:cs="Times New Roman"/>
          <w:sz w:val="24"/>
          <w:szCs w:val="24"/>
        </w:rPr>
        <w:t>(1), 607-623.</w:t>
      </w:r>
    </w:p>
    <w:p w14:paraId="0A8D5D3B" w14:textId="23A16C35" w:rsidR="00384790" w:rsidRPr="009F3477" w:rsidRDefault="00384790" w:rsidP="00727080">
      <w:pPr>
        <w:spacing w:line="240" w:lineRule="auto"/>
        <w:jc w:val="both"/>
        <w:rPr>
          <w:rFonts w:ascii="Times New Roman" w:hAnsi="Times New Roman" w:cs="Times New Roman"/>
          <w:sz w:val="24"/>
          <w:szCs w:val="24"/>
        </w:rPr>
      </w:pPr>
      <w:r w:rsidRPr="00384790">
        <w:rPr>
          <w:rFonts w:ascii="Times New Roman" w:hAnsi="Times New Roman" w:cs="Times New Roman"/>
          <w:sz w:val="24"/>
          <w:szCs w:val="24"/>
        </w:rPr>
        <w:t>Tsai, C. W., &amp; Tsai, C. P. (2008). Impacts of consumer environmental ethics on consumer behaviors in green hotels. </w:t>
      </w:r>
      <w:r w:rsidRPr="00384790">
        <w:rPr>
          <w:rFonts w:ascii="Times New Roman" w:hAnsi="Times New Roman" w:cs="Times New Roman"/>
          <w:i/>
          <w:iCs/>
          <w:sz w:val="24"/>
          <w:szCs w:val="24"/>
        </w:rPr>
        <w:t>Journal of Hospitality &amp; Leisure Marketing</w:t>
      </w:r>
      <w:r w:rsidRPr="00384790">
        <w:rPr>
          <w:rFonts w:ascii="Times New Roman" w:hAnsi="Times New Roman" w:cs="Times New Roman"/>
          <w:sz w:val="24"/>
          <w:szCs w:val="24"/>
        </w:rPr>
        <w:t>, </w:t>
      </w:r>
      <w:r w:rsidRPr="00384790">
        <w:rPr>
          <w:rFonts w:ascii="Times New Roman" w:hAnsi="Times New Roman" w:cs="Times New Roman"/>
          <w:i/>
          <w:iCs/>
          <w:sz w:val="24"/>
          <w:szCs w:val="24"/>
        </w:rPr>
        <w:t>17</w:t>
      </w:r>
      <w:r w:rsidRPr="00384790">
        <w:rPr>
          <w:rFonts w:ascii="Times New Roman" w:hAnsi="Times New Roman" w:cs="Times New Roman"/>
          <w:sz w:val="24"/>
          <w:szCs w:val="24"/>
        </w:rPr>
        <w:t>(3-4), 284-313.</w:t>
      </w:r>
    </w:p>
    <w:p w14:paraId="25D116D5" w14:textId="014604B5" w:rsidR="00087497" w:rsidRDefault="00087497" w:rsidP="00727080">
      <w:pPr>
        <w:spacing w:line="240" w:lineRule="auto"/>
        <w:jc w:val="both"/>
        <w:rPr>
          <w:rFonts w:ascii="Times New Roman" w:hAnsi="Times New Roman" w:cs="Times New Roman"/>
          <w:i/>
          <w:iCs/>
          <w:sz w:val="24"/>
          <w:szCs w:val="24"/>
        </w:rPr>
      </w:pPr>
      <w:r w:rsidRPr="00087497">
        <w:rPr>
          <w:rFonts w:ascii="Times New Roman" w:hAnsi="Times New Roman" w:cs="Times New Roman"/>
          <w:sz w:val="24"/>
          <w:szCs w:val="24"/>
        </w:rPr>
        <w:t xml:space="preserve">United Nations, 2015. Population Pyramids of the World from 1950 to 2100. World Population Prospects. Retrieved from. </w:t>
      </w:r>
      <w:hyperlink r:id="rId18" w:history="1">
        <w:r w:rsidR="00A166F9" w:rsidRPr="00DE6006">
          <w:rPr>
            <w:rStyle w:val="Hyperlink"/>
            <w:rFonts w:ascii="Times New Roman" w:hAnsi="Times New Roman" w:cs="Times New Roman"/>
            <w:i/>
            <w:iCs/>
            <w:sz w:val="24"/>
            <w:szCs w:val="24"/>
          </w:rPr>
          <w:t>https://un.org</w:t>
        </w:r>
      </w:hyperlink>
      <w:r w:rsidRPr="00087497">
        <w:rPr>
          <w:rFonts w:ascii="Times New Roman" w:hAnsi="Times New Roman" w:cs="Times New Roman"/>
          <w:i/>
          <w:iCs/>
          <w:sz w:val="24"/>
          <w:szCs w:val="24"/>
        </w:rPr>
        <w:t>.</w:t>
      </w:r>
    </w:p>
    <w:p w14:paraId="66794042" w14:textId="5269B47D" w:rsidR="002C2AB1" w:rsidRDefault="002C2AB1" w:rsidP="00727080">
      <w:pPr>
        <w:spacing w:line="240" w:lineRule="auto"/>
        <w:jc w:val="both"/>
        <w:rPr>
          <w:rFonts w:ascii="Times New Roman" w:hAnsi="Times New Roman" w:cs="Times New Roman"/>
          <w:i/>
          <w:iCs/>
          <w:sz w:val="24"/>
          <w:szCs w:val="24"/>
        </w:rPr>
      </w:pPr>
      <w:r w:rsidRPr="002C2AB1">
        <w:rPr>
          <w:rFonts w:ascii="Times New Roman" w:hAnsi="Times New Roman" w:cs="Times New Roman"/>
          <w:sz w:val="24"/>
          <w:szCs w:val="24"/>
        </w:rPr>
        <w:t>Varshneya, G., Pandey, S. K., &amp; Das, G. (2017). Impact of social influence and green consumption values on purchase intention of organic clothing: a study on collectivist developing economy</w:t>
      </w:r>
      <w:r w:rsidRPr="002C2AB1">
        <w:rPr>
          <w:rFonts w:ascii="Times New Roman" w:hAnsi="Times New Roman" w:cs="Times New Roman"/>
          <w:i/>
          <w:iCs/>
          <w:sz w:val="24"/>
          <w:szCs w:val="24"/>
        </w:rPr>
        <w:t>. Global business review, 18(2), 478-492.</w:t>
      </w:r>
    </w:p>
    <w:p w14:paraId="438DB1B3" w14:textId="66F36A90" w:rsidR="003B7D6B" w:rsidRDefault="003B7D6B" w:rsidP="00727080">
      <w:pPr>
        <w:spacing w:line="240" w:lineRule="auto"/>
        <w:jc w:val="both"/>
        <w:rPr>
          <w:rFonts w:ascii="Times New Roman" w:hAnsi="Times New Roman" w:cs="Times New Roman"/>
          <w:i/>
          <w:iCs/>
          <w:sz w:val="24"/>
          <w:szCs w:val="24"/>
        </w:rPr>
      </w:pPr>
      <w:r w:rsidRPr="003B7D6B">
        <w:rPr>
          <w:rFonts w:ascii="Times New Roman" w:hAnsi="Times New Roman" w:cs="Times New Roman"/>
          <w:i/>
          <w:iCs/>
          <w:sz w:val="24"/>
          <w:szCs w:val="24"/>
        </w:rPr>
        <w:t>Wierzbiński, B., Surmacz, T., Kuźniar, W., &amp; Witek, L. (2021). The role of the ecological awareness and the influence on food preferences in shaping pro-ecological behavior of young consumers. Agriculture, 11(4), 345.</w:t>
      </w:r>
    </w:p>
    <w:p w14:paraId="6BCC18BF" w14:textId="16A2D4D5" w:rsidR="00A166F9" w:rsidRDefault="00A166F9" w:rsidP="00727080">
      <w:pPr>
        <w:spacing w:line="240" w:lineRule="auto"/>
        <w:jc w:val="both"/>
        <w:rPr>
          <w:rFonts w:ascii="Times New Roman" w:hAnsi="Times New Roman" w:cs="Times New Roman"/>
          <w:sz w:val="24"/>
          <w:szCs w:val="24"/>
        </w:rPr>
      </w:pPr>
      <w:r w:rsidRPr="00A166F9">
        <w:rPr>
          <w:rFonts w:ascii="Times New Roman" w:hAnsi="Times New Roman" w:cs="Times New Roman"/>
          <w:sz w:val="24"/>
          <w:szCs w:val="24"/>
        </w:rPr>
        <w:t>Willer, H., Trávníček, J., &amp; Schlatter, B. (2025). The World of Organic Agriculture. Statistics and Emerging Trends 2025.</w:t>
      </w:r>
    </w:p>
    <w:p w14:paraId="786375CA" w14:textId="666EEA0F" w:rsidR="00C45C2D" w:rsidRDefault="00C45C2D" w:rsidP="00727080">
      <w:pPr>
        <w:spacing w:line="240" w:lineRule="auto"/>
        <w:jc w:val="both"/>
        <w:rPr>
          <w:rFonts w:ascii="Times New Roman" w:hAnsi="Times New Roman" w:cs="Times New Roman"/>
          <w:sz w:val="24"/>
          <w:szCs w:val="24"/>
        </w:rPr>
      </w:pPr>
      <w:r w:rsidRPr="00C45C2D">
        <w:rPr>
          <w:rFonts w:ascii="Times New Roman" w:hAnsi="Times New Roman" w:cs="Times New Roman"/>
          <w:sz w:val="24"/>
          <w:szCs w:val="24"/>
        </w:rPr>
        <w:t>Xiao, J., Yang, Z., Li, Z., &amp; Chen, Z. (2023). A review of social roles in green consumer behaviour. International Journal of Consumer Studies, 47(6), 2033–2070. https:// doi.org/10.1111/ijcs.12865</w:t>
      </w:r>
    </w:p>
    <w:p w14:paraId="66C7B09D" w14:textId="79CF7500" w:rsidR="003B5B6C" w:rsidRDefault="003B5B6C" w:rsidP="00727080">
      <w:pPr>
        <w:spacing w:line="240" w:lineRule="auto"/>
        <w:jc w:val="both"/>
        <w:rPr>
          <w:rFonts w:ascii="Times New Roman" w:hAnsi="Times New Roman" w:cs="Times New Roman"/>
          <w:sz w:val="24"/>
          <w:szCs w:val="24"/>
        </w:rPr>
      </w:pPr>
      <w:r w:rsidRPr="003B5B6C">
        <w:rPr>
          <w:rFonts w:ascii="Times New Roman" w:hAnsi="Times New Roman" w:cs="Times New Roman"/>
          <w:sz w:val="24"/>
          <w:szCs w:val="24"/>
        </w:rPr>
        <w:t>Xu, X., Wang, S., &amp; Yu, Y. (2020). Consumer’s intention to purchase green furniture: Do health consciousness and environmental awareness matter?. </w:t>
      </w:r>
      <w:r w:rsidRPr="003B5B6C">
        <w:rPr>
          <w:rFonts w:ascii="Times New Roman" w:hAnsi="Times New Roman" w:cs="Times New Roman"/>
          <w:i/>
          <w:iCs/>
          <w:sz w:val="24"/>
          <w:szCs w:val="24"/>
        </w:rPr>
        <w:t>Science of the Total Environment</w:t>
      </w:r>
      <w:r w:rsidRPr="003B5B6C">
        <w:rPr>
          <w:rFonts w:ascii="Times New Roman" w:hAnsi="Times New Roman" w:cs="Times New Roman"/>
          <w:sz w:val="24"/>
          <w:szCs w:val="24"/>
        </w:rPr>
        <w:t>, </w:t>
      </w:r>
      <w:r w:rsidRPr="003B5B6C">
        <w:rPr>
          <w:rFonts w:ascii="Times New Roman" w:hAnsi="Times New Roman" w:cs="Times New Roman"/>
          <w:i/>
          <w:iCs/>
          <w:sz w:val="24"/>
          <w:szCs w:val="24"/>
        </w:rPr>
        <w:t>704</w:t>
      </w:r>
      <w:r w:rsidRPr="003B5B6C">
        <w:rPr>
          <w:rFonts w:ascii="Times New Roman" w:hAnsi="Times New Roman" w:cs="Times New Roman"/>
          <w:sz w:val="24"/>
          <w:szCs w:val="24"/>
        </w:rPr>
        <w:t>, 135275.</w:t>
      </w:r>
    </w:p>
    <w:p w14:paraId="160DCF67" w14:textId="3C593404" w:rsidR="0090541C" w:rsidRPr="00BC6617" w:rsidRDefault="0090541C" w:rsidP="00727080">
      <w:pPr>
        <w:spacing w:line="240" w:lineRule="auto"/>
        <w:jc w:val="both"/>
        <w:rPr>
          <w:rFonts w:ascii="Times New Roman" w:hAnsi="Times New Roman" w:cs="Times New Roman"/>
          <w:sz w:val="24"/>
          <w:szCs w:val="24"/>
        </w:rPr>
      </w:pPr>
      <w:r w:rsidRPr="0090541C">
        <w:rPr>
          <w:rFonts w:ascii="Times New Roman" w:hAnsi="Times New Roman" w:cs="Times New Roman"/>
          <w:sz w:val="24"/>
          <w:szCs w:val="24"/>
        </w:rPr>
        <w:t>Yadav, R., &amp; Pathak, G. S. (2017). Determinants of consumers' green purchase behavior in a developing nation: Applying and extending the theory of planned behavior. </w:t>
      </w:r>
      <w:r w:rsidRPr="0090541C">
        <w:rPr>
          <w:rFonts w:ascii="Times New Roman" w:hAnsi="Times New Roman" w:cs="Times New Roman"/>
          <w:i/>
          <w:iCs/>
          <w:sz w:val="24"/>
          <w:szCs w:val="24"/>
        </w:rPr>
        <w:t xml:space="preserve">Ecological </w:t>
      </w:r>
      <w:r w:rsidRPr="00BC6617">
        <w:rPr>
          <w:rFonts w:ascii="Times New Roman" w:hAnsi="Times New Roman" w:cs="Times New Roman"/>
          <w:i/>
          <w:iCs/>
          <w:sz w:val="24"/>
          <w:szCs w:val="24"/>
        </w:rPr>
        <w:t>economics</w:t>
      </w:r>
      <w:r w:rsidRPr="00BC6617">
        <w:rPr>
          <w:rFonts w:ascii="Times New Roman" w:hAnsi="Times New Roman" w:cs="Times New Roman"/>
          <w:sz w:val="24"/>
          <w:szCs w:val="24"/>
        </w:rPr>
        <w:t>, </w:t>
      </w:r>
      <w:r w:rsidRPr="00BC6617">
        <w:rPr>
          <w:rFonts w:ascii="Times New Roman" w:hAnsi="Times New Roman" w:cs="Times New Roman"/>
          <w:i/>
          <w:iCs/>
          <w:sz w:val="24"/>
          <w:szCs w:val="24"/>
        </w:rPr>
        <w:t>134</w:t>
      </w:r>
      <w:r w:rsidRPr="00BC6617">
        <w:rPr>
          <w:rFonts w:ascii="Times New Roman" w:hAnsi="Times New Roman" w:cs="Times New Roman"/>
          <w:sz w:val="24"/>
          <w:szCs w:val="24"/>
        </w:rPr>
        <w:t>, 114-122.</w:t>
      </w:r>
    </w:p>
    <w:p w14:paraId="0685CF11" w14:textId="5099ADC0" w:rsidR="00AF10F6" w:rsidRDefault="00AF10F6" w:rsidP="00727080">
      <w:pPr>
        <w:spacing w:line="240" w:lineRule="auto"/>
        <w:jc w:val="both"/>
        <w:rPr>
          <w:rFonts w:ascii="Times New Roman" w:hAnsi="Times New Roman" w:cs="Times New Roman"/>
          <w:sz w:val="24"/>
          <w:szCs w:val="24"/>
        </w:rPr>
      </w:pPr>
      <w:r w:rsidRPr="00BC6617">
        <w:rPr>
          <w:rFonts w:ascii="Times New Roman" w:hAnsi="Times New Roman" w:cs="Times New Roman"/>
          <w:sz w:val="24"/>
          <w:szCs w:val="24"/>
        </w:rPr>
        <w:lastRenderedPageBreak/>
        <w:t xml:space="preserve">Yang, M. X., Tang, X., Cheung, M. L., &amp; Zhang, Y. (2021). An institutional perspective on consumers’ environmental awareness and pro-environmental behavioral intention: Evidence from 39 countries. </w:t>
      </w:r>
      <w:r w:rsidRPr="00BC6617">
        <w:rPr>
          <w:rFonts w:ascii="Times New Roman" w:hAnsi="Times New Roman" w:cs="Times New Roman"/>
          <w:i/>
          <w:iCs/>
          <w:sz w:val="24"/>
          <w:szCs w:val="24"/>
        </w:rPr>
        <w:t>Business Strategy and the Environment,</w:t>
      </w:r>
      <w:r w:rsidRPr="00BC6617">
        <w:rPr>
          <w:rFonts w:ascii="Times New Roman" w:hAnsi="Times New Roman" w:cs="Times New Roman"/>
          <w:sz w:val="24"/>
          <w:szCs w:val="24"/>
        </w:rPr>
        <w:t xml:space="preserve"> 30(1), 566–575. </w:t>
      </w:r>
      <w:hyperlink r:id="rId19" w:history="1">
        <w:r w:rsidR="008E7C82" w:rsidRPr="007B1542">
          <w:rPr>
            <w:rStyle w:val="Hyperlink"/>
            <w:rFonts w:ascii="Times New Roman" w:hAnsi="Times New Roman" w:cs="Times New Roman"/>
            <w:sz w:val="24"/>
            <w:szCs w:val="24"/>
          </w:rPr>
          <w:t>https://doi.org/10.1002/bse.2638</w:t>
        </w:r>
      </w:hyperlink>
    </w:p>
    <w:p w14:paraId="4CEC9DA6" w14:textId="44019FE2" w:rsidR="008E7C82" w:rsidRDefault="008E7C82" w:rsidP="00727080">
      <w:pPr>
        <w:spacing w:line="240" w:lineRule="auto"/>
        <w:jc w:val="both"/>
        <w:rPr>
          <w:rFonts w:ascii="Times New Roman" w:hAnsi="Times New Roman" w:cs="Times New Roman"/>
          <w:sz w:val="24"/>
          <w:szCs w:val="24"/>
        </w:rPr>
      </w:pPr>
      <w:r w:rsidRPr="00605DB2">
        <w:rPr>
          <w:rFonts w:ascii="Times New Roman" w:hAnsi="Times New Roman" w:cs="Times New Roman"/>
          <w:sz w:val="24"/>
          <w:szCs w:val="24"/>
        </w:rPr>
        <w:t>YİĞİT, E. A., &amp; KIYICI, F. B. (2022). The Environmental Awareness in the Context of Sustainable Development: A Scale Development Study. </w:t>
      </w:r>
      <w:r w:rsidRPr="00605DB2">
        <w:rPr>
          <w:rFonts w:ascii="Times New Roman" w:hAnsi="Times New Roman" w:cs="Times New Roman"/>
          <w:i/>
          <w:iCs/>
          <w:sz w:val="24"/>
          <w:szCs w:val="24"/>
        </w:rPr>
        <w:t>Sakarya University Journal of Education</w:t>
      </w:r>
      <w:r w:rsidRPr="00605DB2">
        <w:rPr>
          <w:rFonts w:ascii="Times New Roman" w:hAnsi="Times New Roman" w:cs="Times New Roman"/>
          <w:sz w:val="24"/>
          <w:szCs w:val="24"/>
        </w:rPr>
        <w:t>, </w:t>
      </w:r>
      <w:r w:rsidRPr="00605DB2">
        <w:rPr>
          <w:rFonts w:ascii="Times New Roman" w:hAnsi="Times New Roman" w:cs="Times New Roman"/>
          <w:i/>
          <w:iCs/>
          <w:sz w:val="24"/>
          <w:szCs w:val="24"/>
        </w:rPr>
        <w:t>12</w:t>
      </w:r>
      <w:r w:rsidRPr="00605DB2">
        <w:rPr>
          <w:rFonts w:ascii="Times New Roman" w:hAnsi="Times New Roman" w:cs="Times New Roman"/>
          <w:sz w:val="24"/>
          <w:szCs w:val="24"/>
        </w:rPr>
        <w:t>(3).</w:t>
      </w:r>
    </w:p>
    <w:p w14:paraId="74330A7C" w14:textId="0F91025D" w:rsidR="00F77605" w:rsidRDefault="00F77605" w:rsidP="00727080">
      <w:pPr>
        <w:spacing w:line="240" w:lineRule="auto"/>
        <w:jc w:val="both"/>
        <w:rPr>
          <w:rFonts w:ascii="Times New Roman" w:hAnsi="Times New Roman" w:cs="Times New Roman"/>
          <w:sz w:val="24"/>
          <w:szCs w:val="24"/>
        </w:rPr>
      </w:pPr>
      <w:r w:rsidRPr="00F77605">
        <w:rPr>
          <w:rFonts w:ascii="Times New Roman" w:hAnsi="Times New Roman" w:cs="Times New Roman"/>
          <w:sz w:val="24"/>
          <w:szCs w:val="24"/>
        </w:rPr>
        <w:t>Zhao, X., Fan, L., &amp; Xu, Y. (2025). An investigation of determinants of green consumption behavior: an extended theory of planned behavior. </w:t>
      </w:r>
      <w:r w:rsidRPr="00F77605">
        <w:rPr>
          <w:rFonts w:ascii="Times New Roman" w:hAnsi="Times New Roman" w:cs="Times New Roman"/>
          <w:i/>
          <w:iCs/>
          <w:sz w:val="24"/>
          <w:szCs w:val="24"/>
        </w:rPr>
        <w:t>Innovation and Green Development</w:t>
      </w:r>
      <w:r w:rsidRPr="00F77605">
        <w:rPr>
          <w:rFonts w:ascii="Times New Roman" w:hAnsi="Times New Roman" w:cs="Times New Roman"/>
          <w:sz w:val="24"/>
          <w:szCs w:val="24"/>
        </w:rPr>
        <w:t>, </w:t>
      </w:r>
      <w:r w:rsidRPr="00F77605">
        <w:rPr>
          <w:rFonts w:ascii="Times New Roman" w:hAnsi="Times New Roman" w:cs="Times New Roman"/>
          <w:i/>
          <w:iCs/>
          <w:sz w:val="24"/>
          <w:szCs w:val="24"/>
        </w:rPr>
        <w:t>4</w:t>
      </w:r>
      <w:r w:rsidRPr="00F77605">
        <w:rPr>
          <w:rFonts w:ascii="Times New Roman" w:hAnsi="Times New Roman" w:cs="Times New Roman"/>
          <w:sz w:val="24"/>
          <w:szCs w:val="24"/>
        </w:rPr>
        <w:t>(1), 100198.</w:t>
      </w:r>
    </w:p>
    <w:p w14:paraId="06688D37" w14:textId="066EA01D" w:rsidR="0053375A" w:rsidRDefault="0053375A" w:rsidP="00727080">
      <w:pPr>
        <w:spacing w:line="240" w:lineRule="auto"/>
        <w:jc w:val="both"/>
        <w:rPr>
          <w:rFonts w:ascii="Times New Roman" w:hAnsi="Times New Roman" w:cs="Times New Roman"/>
          <w:sz w:val="24"/>
          <w:szCs w:val="24"/>
        </w:rPr>
      </w:pPr>
      <w:r w:rsidRPr="0053375A">
        <w:rPr>
          <w:rFonts w:ascii="Times New Roman" w:hAnsi="Times New Roman" w:cs="Times New Roman"/>
          <w:sz w:val="24"/>
          <w:szCs w:val="24"/>
        </w:rPr>
        <w:t>Zsóka, Á., Szerényi, Z. M., Széchy, A., &amp; Kocsis, T. (2013). Greening due to environmental education? Environmental knowledge, attitudes, consumer behavior and everyday pro-environmental activities of Hungarian high school and university students. </w:t>
      </w:r>
      <w:r w:rsidRPr="0053375A">
        <w:rPr>
          <w:rFonts w:ascii="Times New Roman" w:hAnsi="Times New Roman" w:cs="Times New Roman"/>
          <w:i/>
          <w:iCs/>
          <w:sz w:val="24"/>
          <w:szCs w:val="24"/>
        </w:rPr>
        <w:t>Journal of cleaner production</w:t>
      </w:r>
      <w:r w:rsidRPr="0053375A">
        <w:rPr>
          <w:rFonts w:ascii="Times New Roman" w:hAnsi="Times New Roman" w:cs="Times New Roman"/>
          <w:sz w:val="24"/>
          <w:szCs w:val="24"/>
        </w:rPr>
        <w:t>, </w:t>
      </w:r>
      <w:r w:rsidRPr="0053375A">
        <w:rPr>
          <w:rFonts w:ascii="Times New Roman" w:hAnsi="Times New Roman" w:cs="Times New Roman"/>
          <w:i/>
          <w:iCs/>
          <w:sz w:val="24"/>
          <w:szCs w:val="24"/>
        </w:rPr>
        <w:t>48</w:t>
      </w:r>
      <w:r w:rsidRPr="0053375A">
        <w:rPr>
          <w:rFonts w:ascii="Times New Roman" w:hAnsi="Times New Roman" w:cs="Times New Roman"/>
          <w:sz w:val="24"/>
          <w:szCs w:val="24"/>
        </w:rPr>
        <w:t>, 126-138.</w:t>
      </w:r>
    </w:p>
    <w:p w14:paraId="43B1D0AA" w14:textId="70B6754F" w:rsidR="003B7D6B" w:rsidRDefault="003B7D6B" w:rsidP="00727080">
      <w:pPr>
        <w:spacing w:line="240" w:lineRule="auto"/>
        <w:jc w:val="both"/>
        <w:rPr>
          <w:rFonts w:ascii="Times New Roman" w:hAnsi="Times New Roman" w:cs="Times New Roman"/>
          <w:sz w:val="24"/>
          <w:szCs w:val="24"/>
        </w:rPr>
      </w:pPr>
    </w:p>
    <w:sectPr w:rsidR="003B7D6B" w:rsidSect="00FE70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63FF" w14:textId="77777777" w:rsidR="00002873" w:rsidRDefault="00002873" w:rsidP="00612DBB">
      <w:pPr>
        <w:spacing w:after="0" w:line="240" w:lineRule="auto"/>
      </w:pPr>
      <w:r>
        <w:separator/>
      </w:r>
    </w:p>
  </w:endnote>
  <w:endnote w:type="continuationSeparator" w:id="0">
    <w:p w14:paraId="7CA0E84B" w14:textId="77777777" w:rsidR="00002873" w:rsidRDefault="00002873" w:rsidP="00612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9CA8" w14:textId="77777777" w:rsidR="00002873" w:rsidRDefault="00002873" w:rsidP="00612DBB">
      <w:pPr>
        <w:spacing w:after="0" w:line="240" w:lineRule="auto"/>
      </w:pPr>
      <w:r>
        <w:separator/>
      </w:r>
    </w:p>
  </w:footnote>
  <w:footnote w:type="continuationSeparator" w:id="0">
    <w:p w14:paraId="72BD0D26" w14:textId="77777777" w:rsidR="00002873" w:rsidRDefault="00002873" w:rsidP="00612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E47"/>
    <w:multiLevelType w:val="multilevel"/>
    <w:tmpl w:val="962213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F1D19"/>
    <w:multiLevelType w:val="multilevel"/>
    <w:tmpl w:val="3ECC97D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3D3E90"/>
    <w:multiLevelType w:val="hybridMultilevel"/>
    <w:tmpl w:val="594C402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61F10"/>
    <w:multiLevelType w:val="hybridMultilevel"/>
    <w:tmpl w:val="FB7690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37880"/>
    <w:multiLevelType w:val="hybridMultilevel"/>
    <w:tmpl w:val="A76A0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C2162"/>
    <w:multiLevelType w:val="multilevel"/>
    <w:tmpl w:val="D59410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BA17909"/>
    <w:multiLevelType w:val="hybridMultilevel"/>
    <w:tmpl w:val="70BC5404"/>
    <w:lvl w:ilvl="0" w:tplc="FD7E5DCA">
      <w:start w:val="2"/>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163901">
    <w:abstractNumId w:val="1"/>
  </w:num>
  <w:num w:numId="2" w16cid:durableId="840504890">
    <w:abstractNumId w:val="4"/>
  </w:num>
  <w:num w:numId="3" w16cid:durableId="2013608909">
    <w:abstractNumId w:val="2"/>
  </w:num>
  <w:num w:numId="4" w16cid:durableId="1908953669">
    <w:abstractNumId w:val="5"/>
  </w:num>
  <w:num w:numId="5" w16cid:durableId="2030832835">
    <w:abstractNumId w:val="3"/>
  </w:num>
  <w:num w:numId="6" w16cid:durableId="10188246">
    <w:abstractNumId w:val="6"/>
  </w:num>
  <w:num w:numId="7" w16cid:durableId="212533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9A"/>
    <w:rsid w:val="000021E8"/>
    <w:rsid w:val="00002873"/>
    <w:rsid w:val="000051A1"/>
    <w:rsid w:val="00016767"/>
    <w:rsid w:val="00030EA3"/>
    <w:rsid w:val="00043485"/>
    <w:rsid w:val="00045A20"/>
    <w:rsid w:val="0007231A"/>
    <w:rsid w:val="000749BE"/>
    <w:rsid w:val="000759F2"/>
    <w:rsid w:val="00082C19"/>
    <w:rsid w:val="00087497"/>
    <w:rsid w:val="00090682"/>
    <w:rsid w:val="00097529"/>
    <w:rsid w:val="000C0DEB"/>
    <w:rsid w:val="000E14D8"/>
    <w:rsid w:val="000F2AE1"/>
    <w:rsid w:val="001056F6"/>
    <w:rsid w:val="00121333"/>
    <w:rsid w:val="00122745"/>
    <w:rsid w:val="001353FB"/>
    <w:rsid w:val="001430DE"/>
    <w:rsid w:val="00146E7A"/>
    <w:rsid w:val="00147BEE"/>
    <w:rsid w:val="00171EDE"/>
    <w:rsid w:val="001A025D"/>
    <w:rsid w:val="001A5406"/>
    <w:rsid w:val="001A7AA6"/>
    <w:rsid w:val="001C15FE"/>
    <w:rsid w:val="0020175B"/>
    <w:rsid w:val="00213A13"/>
    <w:rsid w:val="002172BD"/>
    <w:rsid w:val="00226FD1"/>
    <w:rsid w:val="00245635"/>
    <w:rsid w:val="002535A6"/>
    <w:rsid w:val="00255E29"/>
    <w:rsid w:val="002642DB"/>
    <w:rsid w:val="0027595A"/>
    <w:rsid w:val="00275D96"/>
    <w:rsid w:val="002901EF"/>
    <w:rsid w:val="0029359A"/>
    <w:rsid w:val="00294850"/>
    <w:rsid w:val="002B154C"/>
    <w:rsid w:val="002B2EBF"/>
    <w:rsid w:val="002B76BF"/>
    <w:rsid w:val="002C1A5E"/>
    <w:rsid w:val="002C2AB1"/>
    <w:rsid w:val="002F4EB5"/>
    <w:rsid w:val="002F609C"/>
    <w:rsid w:val="00300782"/>
    <w:rsid w:val="00306151"/>
    <w:rsid w:val="003072BF"/>
    <w:rsid w:val="00311586"/>
    <w:rsid w:val="003208FE"/>
    <w:rsid w:val="0033018A"/>
    <w:rsid w:val="00342967"/>
    <w:rsid w:val="00346C47"/>
    <w:rsid w:val="00372858"/>
    <w:rsid w:val="0038306A"/>
    <w:rsid w:val="00384790"/>
    <w:rsid w:val="003923DE"/>
    <w:rsid w:val="003A1EBD"/>
    <w:rsid w:val="003B4FB2"/>
    <w:rsid w:val="003B5B6C"/>
    <w:rsid w:val="003B7D6B"/>
    <w:rsid w:val="003C3320"/>
    <w:rsid w:val="003C4492"/>
    <w:rsid w:val="003D36A5"/>
    <w:rsid w:val="003E0EF8"/>
    <w:rsid w:val="003E6E26"/>
    <w:rsid w:val="00403FA7"/>
    <w:rsid w:val="00407DE5"/>
    <w:rsid w:val="00411E7D"/>
    <w:rsid w:val="00417978"/>
    <w:rsid w:val="0042140F"/>
    <w:rsid w:val="00434001"/>
    <w:rsid w:val="00441722"/>
    <w:rsid w:val="00441969"/>
    <w:rsid w:val="00441A01"/>
    <w:rsid w:val="004636A4"/>
    <w:rsid w:val="0048439E"/>
    <w:rsid w:val="004A0991"/>
    <w:rsid w:val="004A1D15"/>
    <w:rsid w:val="004A5A8E"/>
    <w:rsid w:val="004B7EC1"/>
    <w:rsid w:val="004D31A5"/>
    <w:rsid w:val="004D3A14"/>
    <w:rsid w:val="004D5509"/>
    <w:rsid w:val="004D605A"/>
    <w:rsid w:val="004D7A58"/>
    <w:rsid w:val="004E4CC5"/>
    <w:rsid w:val="004F58E8"/>
    <w:rsid w:val="00511615"/>
    <w:rsid w:val="005157BE"/>
    <w:rsid w:val="00522320"/>
    <w:rsid w:val="0053375A"/>
    <w:rsid w:val="00541576"/>
    <w:rsid w:val="0054296E"/>
    <w:rsid w:val="00555101"/>
    <w:rsid w:val="005654CB"/>
    <w:rsid w:val="00575306"/>
    <w:rsid w:val="00581BE3"/>
    <w:rsid w:val="00591984"/>
    <w:rsid w:val="005B49C9"/>
    <w:rsid w:val="005B7C75"/>
    <w:rsid w:val="005C1E2A"/>
    <w:rsid w:val="005D4DA0"/>
    <w:rsid w:val="005F10B7"/>
    <w:rsid w:val="005F7848"/>
    <w:rsid w:val="006016DB"/>
    <w:rsid w:val="00605DB2"/>
    <w:rsid w:val="00612DBB"/>
    <w:rsid w:val="00613EC4"/>
    <w:rsid w:val="006174DC"/>
    <w:rsid w:val="00622B1E"/>
    <w:rsid w:val="0063713F"/>
    <w:rsid w:val="00642ECC"/>
    <w:rsid w:val="00645F45"/>
    <w:rsid w:val="00652332"/>
    <w:rsid w:val="006546AB"/>
    <w:rsid w:val="00662B74"/>
    <w:rsid w:val="00671044"/>
    <w:rsid w:val="00676124"/>
    <w:rsid w:val="00680FC9"/>
    <w:rsid w:val="0068777F"/>
    <w:rsid w:val="006A1E23"/>
    <w:rsid w:val="006A796B"/>
    <w:rsid w:val="006A7D86"/>
    <w:rsid w:val="006B084D"/>
    <w:rsid w:val="006B3160"/>
    <w:rsid w:val="006B3336"/>
    <w:rsid w:val="006C1D4C"/>
    <w:rsid w:val="006C25CE"/>
    <w:rsid w:val="006C5D23"/>
    <w:rsid w:val="006D4171"/>
    <w:rsid w:val="006D4240"/>
    <w:rsid w:val="006D78AF"/>
    <w:rsid w:val="006E0BA5"/>
    <w:rsid w:val="006E0F92"/>
    <w:rsid w:val="006F59A8"/>
    <w:rsid w:val="00703917"/>
    <w:rsid w:val="00703DAE"/>
    <w:rsid w:val="007145EB"/>
    <w:rsid w:val="007157DC"/>
    <w:rsid w:val="00715CC1"/>
    <w:rsid w:val="0072451E"/>
    <w:rsid w:val="00727080"/>
    <w:rsid w:val="00742A58"/>
    <w:rsid w:val="00745AB3"/>
    <w:rsid w:val="00771E42"/>
    <w:rsid w:val="00780E28"/>
    <w:rsid w:val="00797E7C"/>
    <w:rsid w:val="007A1830"/>
    <w:rsid w:val="007A5BA0"/>
    <w:rsid w:val="007C289D"/>
    <w:rsid w:val="007C5383"/>
    <w:rsid w:val="007D5F57"/>
    <w:rsid w:val="008026E1"/>
    <w:rsid w:val="00802755"/>
    <w:rsid w:val="00811D00"/>
    <w:rsid w:val="0081226D"/>
    <w:rsid w:val="00832BCC"/>
    <w:rsid w:val="00833288"/>
    <w:rsid w:val="00835264"/>
    <w:rsid w:val="00842F48"/>
    <w:rsid w:val="00845F17"/>
    <w:rsid w:val="0084698D"/>
    <w:rsid w:val="00851CE0"/>
    <w:rsid w:val="0086214D"/>
    <w:rsid w:val="008649F1"/>
    <w:rsid w:val="00874CE8"/>
    <w:rsid w:val="00882206"/>
    <w:rsid w:val="008A3FA7"/>
    <w:rsid w:val="008B3350"/>
    <w:rsid w:val="008B62B7"/>
    <w:rsid w:val="008D22A9"/>
    <w:rsid w:val="008D7757"/>
    <w:rsid w:val="008E427E"/>
    <w:rsid w:val="008E7C82"/>
    <w:rsid w:val="00904F96"/>
    <w:rsid w:val="0090541C"/>
    <w:rsid w:val="00920ED0"/>
    <w:rsid w:val="0092170A"/>
    <w:rsid w:val="009247BF"/>
    <w:rsid w:val="0093032C"/>
    <w:rsid w:val="00930680"/>
    <w:rsid w:val="00931F9D"/>
    <w:rsid w:val="009524CF"/>
    <w:rsid w:val="009607B2"/>
    <w:rsid w:val="00966042"/>
    <w:rsid w:val="009675DD"/>
    <w:rsid w:val="00967AE7"/>
    <w:rsid w:val="00977099"/>
    <w:rsid w:val="009845CD"/>
    <w:rsid w:val="009B237A"/>
    <w:rsid w:val="009E59F7"/>
    <w:rsid w:val="009F3477"/>
    <w:rsid w:val="00A04852"/>
    <w:rsid w:val="00A064E8"/>
    <w:rsid w:val="00A0727E"/>
    <w:rsid w:val="00A11089"/>
    <w:rsid w:val="00A166F9"/>
    <w:rsid w:val="00A16B58"/>
    <w:rsid w:val="00A174D2"/>
    <w:rsid w:val="00A2289A"/>
    <w:rsid w:val="00A25782"/>
    <w:rsid w:val="00A320F0"/>
    <w:rsid w:val="00A346D5"/>
    <w:rsid w:val="00A435EA"/>
    <w:rsid w:val="00A44697"/>
    <w:rsid w:val="00A46473"/>
    <w:rsid w:val="00A74F13"/>
    <w:rsid w:val="00A7655E"/>
    <w:rsid w:val="00A80FE1"/>
    <w:rsid w:val="00A865E7"/>
    <w:rsid w:val="00A90081"/>
    <w:rsid w:val="00AB0941"/>
    <w:rsid w:val="00AE2047"/>
    <w:rsid w:val="00AF10F6"/>
    <w:rsid w:val="00AF28C9"/>
    <w:rsid w:val="00AF57AB"/>
    <w:rsid w:val="00AF7187"/>
    <w:rsid w:val="00B15C29"/>
    <w:rsid w:val="00B2313E"/>
    <w:rsid w:val="00B320C7"/>
    <w:rsid w:val="00B334DE"/>
    <w:rsid w:val="00B34ACE"/>
    <w:rsid w:val="00B360A1"/>
    <w:rsid w:val="00B50E0A"/>
    <w:rsid w:val="00B60E6A"/>
    <w:rsid w:val="00B72555"/>
    <w:rsid w:val="00B759A0"/>
    <w:rsid w:val="00B856A2"/>
    <w:rsid w:val="00B876A9"/>
    <w:rsid w:val="00BA1D53"/>
    <w:rsid w:val="00BA5672"/>
    <w:rsid w:val="00BC3033"/>
    <w:rsid w:val="00BC6617"/>
    <w:rsid w:val="00BE60DA"/>
    <w:rsid w:val="00BF213A"/>
    <w:rsid w:val="00BF78D4"/>
    <w:rsid w:val="00C05A65"/>
    <w:rsid w:val="00C135BA"/>
    <w:rsid w:val="00C13CB4"/>
    <w:rsid w:val="00C155A1"/>
    <w:rsid w:val="00C21881"/>
    <w:rsid w:val="00C26A89"/>
    <w:rsid w:val="00C42108"/>
    <w:rsid w:val="00C4210B"/>
    <w:rsid w:val="00C42757"/>
    <w:rsid w:val="00C4563B"/>
    <w:rsid w:val="00C45B05"/>
    <w:rsid w:val="00C45C2D"/>
    <w:rsid w:val="00C46FD8"/>
    <w:rsid w:val="00C502D5"/>
    <w:rsid w:val="00C56E26"/>
    <w:rsid w:val="00C621A5"/>
    <w:rsid w:val="00C649FF"/>
    <w:rsid w:val="00C80D46"/>
    <w:rsid w:val="00C82D66"/>
    <w:rsid w:val="00C9077B"/>
    <w:rsid w:val="00C94237"/>
    <w:rsid w:val="00C969F9"/>
    <w:rsid w:val="00CA18F4"/>
    <w:rsid w:val="00CA2784"/>
    <w:rsid w:val="00CA6246"/>
    <w:rsid w:val="00CA6ECD"/>
    <w:rsid w:val="00CB4CFC"/>
    <w:rsid w:val="00CB5B5D"/>
    <w:rsid w:val="00CC7021"/>
    <w:rsid w:val="00CD589A"/>
    <w:rsid w:val="00CE5580"/>
    <w:rsid w:val="00CF0316"/>
    <w:rsid w:val="00D02C20"/>
    <w:rsid w:val="00D21BB6"/>
    <w:rsid w:val="00D53709"/>
    <w:rsid w:val="00D67B2B"/>
    <w:rsid w:val="00D71007"/>
    <w:rsid w:val="00D75A65"/>
    <w:rsid w:val="00D82BB1"/>
    <w:rsid w:val="00D94BE3"/>
    <w:rsid w:val="00D956D8"/>
    <w:rsid w:val="00DA6E85"/>
    <w:rsid w:val="00DB6D15"/>
    <w:rsid w:val="00DC1E94"/>
    <w:rsid w:val="00DE37AF"/>
    <w:rsid w:val="00DE58A0"/>
    <w:rsid w:val="00DF410D"/>
    <w:rsid w:val="00E2418A"/>
    <w:rsid w:val="00E33287"/>
    <w:rsid w:val="00E35914"/>
    <w:rsid w:val="00E37B11"/>
    <w:rsid w:val="00E43488"/>
    <w:rsid w:val="00E457EA"/>
    <w:rsid w:val="00E53CEE"/>
    <w:rsid w:val="00E55102"/>
    <w:rsid w:val="00E551E0"/>
    <w:rsid w:val="00E60D90"/>
    <w:rsid w:val="00E66FDE"/>
    <w:rsid w:val="00E72C40"/>
    <w:rsid w:val="00E75671"/>
    <w:rsid w:val="00E76E5D"/>
    <w:rsid w:val="00E81FF2"/>
    <w:rsid w:val="00E91552"/>
    <w:rsid w:val="00E9479A"/>
    <w:rsid w:val="00E97299"/>
    <w:rsid w:val="00EA58C6"/>
    <w:rsid w:val="00EC470E"/>
    <w:rsid w:val="00EC4EEC"/>
    <w:rsid w:val="00EC77C6"/>
    <w:rsid w:val="00ED035A"/>
    <w:rsid w:val="00EE1472"/>
    <w:rsid w:val="00F00775"/>
    <w:rsid w:val="00F03D70"/>
    <w:rsid w:val="00F07C5C"/>
    <w:rsid w:val="00F13D42"/>
    <w:rsid w:val="00F15609"/>
    <w:rsid w:val="00F21064"/>
    <w:rsid w:val="00F272AC"/>
    <w:rsid w:val="00F4439F"/>
    <w:rsid w:val="00F451DE"/>
    <w:rsid w:val="00F53E2E"/>
    <w:rsid w:val="00F62464"/>
    <w:rsid w:val="00F71B37"/>
    <w:rsid w:val="00F77605"/>
    <w:rsid w:val="00F94DE0"/>
    <w:rsid w:val="00F969D7"/>
    <w:rsid w:val="00FA3170"/>
    <w:rsid w:val="00FA39F7"/>
    <w:rsid w:val="00FC112F"/>
    <w:rsid w:val="00FC6714"/>
    <w:rsid w:val="00FD26FB"/>
    <w:rsid w:val="00FD5403"/>
    <w:rsid w:val="00FD7CEA"/>
    <w:rsid w:val="00FE332B"/>
    <w:rsid w:val="00FE70C9"/>
    <w:rsid w:val="00FF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A4CC"/>
  <w15:chartTrackingRefBased/>
  <w15:docId w15:val="{844196C7-3B4C-4E54-BA68-72B309C4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984"/>
    <w:rPr>
      <w:color w:val="0563C1" w:themeColor="hyperlink"/>
      <w:u w:val="single"/>
    </w:rPr>
  </w:style>
  <w:style w:type="character" w:styleId="UnresolvedMention">
    <w:name w:val="Unresolved Mention"/>
    <w:basedOn w:val="DefaultParagraphFont"/>
    <w:uiPriority w:val="99"/>
    <w:semiHidden/>
    <w:unhideWhenUsed/>
    <w:rsid w:val="00591984"/>
    <w:rPr>
      <w:color w:val="605E5C"/>
      <w:shd w:val="clear" w:color="auto" w:fill="E1DFDD"/>
    </w:rPr>
  </w:style>
  <w:style w:type="paragraph" w:styleId="ListParagraph">
    <w:name w:val="List Paragraph"/>
    <w:basedOn w:val="Normal"/>
    <w:uiPriority w:val="34"/>
    <w:qFormat/>
    <w:rsid w:val="0090541C"/>
    <w:pPr>
      <w:ind w:left="720"/>
      <w:contextualSpacing/>
    </w:pPr>
  </w:style>
  <w:style w:type="table" w:styleId="TableGrid">
    <w:name w:val="Table Grid"/>
    <w:basedOn w:val="TableNormal"/>
    <w:uiPriority w:val="39"/>
    <w:rsid w:val="00F6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624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624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12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DBB"/>
    <w:rPr>
      <w:lang w:val="en-GB"/>
    </w:rPr>
  </w:style>
  <w:style w:type="paragraph" w:styleId="Footer">
    <w:name w:val="footer"/>
    <w:basedOn w:val="Normal"/>
    <w:link w:val="FooterChar"/>
    <w:uiPriority w:val="99"/>
    <w:unhideWhenUsed/>
    <w:rsid w:val="00612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DB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2585">
      <w:bodyDiv w:val="1"/>
      <w:marLeft w:val="0"/>
      <w:marRight w:val="0"/>
      <w:marTop w:val="0"/>
      <w:marBottom w:val="0"/>
      <w:divBdr>
        <w:top w:val="none" w:sz="0" w:space="0" w:color="auto"/>
        <w:left w:val="none" w:sz="0" w:space="0" w:color="auto"/>
        <w:bottom w:val="none" w:sz="0" w:space="0" w:color="auto"/>
        <w:right w:val="none" w:sz="0" w:space="0" w:color="auto"/>
      </w:divBdr>
    </w:div>
    <w:div w:id="505562329">
      <w:bodyDiv w:val="1"/>
      <w:marLeft w:val="0"/>
      <w:marRight w:val="0"/>
      <w:marTop w:val="0"/>
      <w:marBottom w:val="0"/>
      <w:divBdr>
        <w:top w:val="none" w:sz="0" w:space="0" w:color="auto"/>
        <w:left w:val="none" w:sz="0" w:space="0" w:color="auto"/>
        <w:bottom w:val="none" w:sz="0" w:space="0" w:color="auto"/>
        <w:right w:val="none" w:sz="0" w:space="0" w:color="auto"/>
      </w:divBdr>
    </w:div>
    <w:div w:id="632251209">
      <w:bodyDiv w:val="1"/>
      <w:marLeft w:val="0"/>
      <w:marRight w:val="0"/>
      <w:marTop w:val="0"/>
      <w:marBottom w:val="0"/>
      <w:divBdr>
        <w:top w:val="none" w:sz="0" w:space="0" w:color="auto"/>
        <w:left w:val="none" w:sz="0" w:space="0" w:color="auto"/>
        <w:bottom w:val="none" w:sz="0" w:space="0" w:color="auto"/>
        <w:right w:val="none" w:sz="0" w:space="0" w:color="auto"/>
      </w:divBdr>
    </w:div>
    <w:div w:id="759060644">
      <w:bodyDiv w:val="1"/>
      <w:marLeft w:val="0"/>
      <w:marRight w:val="0"/>
      <w:marTop w:val="0"/>
      <w:marBottom w:val="0"/>
      <w:divBdr>
        <w:top w:val="none" w:sz="0" w:space="0" w:color="auto"/>
        <w:left w:val="none" w:sz="0" w:space="0" w:color="auto"/>
        <w:bottom w:val="none" w:sz="0" w:space="0" w:color="auto"/>
        <w:right w:val="none" w:sz="0" w:space="0" w:color="auto"/>
      </w:divBdr>
    </w:div>
    <w:div w:id="847986438">
      <w:bodyDiv w:val="1"/>
      <w:marLeft w:val="0"/>
      <w:marRight w:val="0"/>
      <w:marTop w:val="0"/>
      <w:marBottom w:val="0"/>
      <w:divBdr>
        <w:top w:val="none" w:sz="0" w:space="0" w:color="auto"/>
        <w:left w:val="none" w:sz="0" w:space="0" w:color="auto"/>
        <w:bottom w:val="none" w:sz="0" w:space="0" w:color="auto"/>
        <w:right w:val="none" w:sz="0" w:space="0" w:color="auto"/>
      </w:divBdr>
    </w:div>
    <w:div w:id="902523953">
      <w:bodyDiv w:val="1"/>
      <w:marLeft w:val="0"/>
      <w:marRight w:val="0"/>
      <w:marTop w:val="0"/>
      <w:marBottom w:val="0"/>
      <w:divBdr>
        <w:top w:val="none" w:sz="0" w:space="0" w:color="auto"/>
        <w:left w:val="none" w:sz="0" w:space="0" w:color="auto"/>
        <w:bottom w:val="none" w:sz="0" w:space="0" w:color="auto"/>
        <w:right w:val="none" w:sz="0" w:space="0" w:color="auto"/>
      </w:divBdr>
    </w:div>
    <w:div w:id="1107967443">
      <w:bodyDiv w:val="1"/>
      <w:marLeft w:val="0"/>
      <w:marRight w:val="0"/>
      <w:marTop w:val="0"/>
      <w:marBottom w:val="0"/>
      <w:divBdr>
        <w:top w:val="none" w:sz="0" w:space="0" w:color="auto"/>
        <w:left w:val="none" w:sz="0" w:space="0" w:color="auto"/>
        <w:bottom w:val="none" w:sz="0" w:space="0" w:color="auto"/>
        <w:right w:val="none" w:sz="0" w:space="0" w:color="auto"/>
      </w:divBdr>
    </w:div>
    <w:div w:id="1191067999">
      <w:bodyDiv w:val="1"/>
      <w:marLeft w:val="0"/>
      <w:marRight w:val="0"/>
      <w:marTop w:val="0"/>
      <w:marBottom w:val="0"/>
      <w:divBdr>
        <w:top w:val="none" w:sz="0" w:space="0" w:color="auto"/>
        <w:left w:val="none" w:sz="0" w:space="0" w:color="auto"/>
        <w:bottom w:val="none" w:sz="0" w:space="0" w:color="auto"/>
        <w:right w:val="none" w:sz="0" w:space="0" w:color="auto"/>
      </w:divBdr>
    </w:div>
    <w:div w:id="1344551769">
      <w:bodyDiv w:val="1"/>
      <w:marLeft w:val="0"/>
      <w:marRight w:val="0"/>
      <w:marTop w:val="0"/>
      <w:marBottom w:val="0"/>
      <w:divBdr>
        <w:top w:val="none" w:sz="0" w:space="0" w:color="auto"/>
        <w:left w:val="none" w:sz="0" w:space="0" w:color="auto"/>
        <w:bottom w:val="none" w:sz="0" w:space="0" w:color="auto"/>
        <w:right w:val="none" w:sz="0" w:space="0" w:color="auto"/>
      </w:divBdr>
    </w:div>
    <w:div w:id="1388646318">
      <w:bodyDiv w:val="1"/>
      <w:marLeft w:val="0"/>
      <w:marRight w:val="0"/>
      <w:marTop w:val="0"/>
      <w:marBottom w:val="0"/>
      <w:divBdr>
        <w:top w:val="none" w:sz="0" w:space="0" w:color="auto"/>
        <w:left w:val="none" w:sz="0" w:space="0" w:color="auto"/>
        <w:bottom w:val="none" w:sz="0" w:space="0" w:color="auto"/>
        <w:right w:val="none" w:sz="0" w:space="0" w:color="auto"/>
      </w:divBdr>
    </w:div>
    <w:div w:id="16633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o.org" TargetMode="External"/><Relationship Id="rId18" Type="http://schemas.openxmlformats.org/officeDocument/2006/relationships/hyperlink" Target="https://un.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su13137062" TargetMode="External"/><Relationship Id="rId17" Type="http://schemas.openxmlformats.org/officeDocument/2006/relationships/hyperlink" Target="https://doi.org/10.1016/j.jenvp.2008.10.004" TargetMode="External"/><Relationship Id="rId2" Type="http://schemas.openxmlformats.org/officeDocument/2006/relationships/numbering" Target="numbering.xml"/><Relationship Id="rId16" Type="http://schemas.openxmlformats.org/officeDocument/2006/relationships/hyperlink" Target="http://www.shodhganga.inflibnet.ac.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1410612823-13" TargetMode="External"/><Relationship Id="rId5" Type="http://schemas.openxmlformats.org/officeDocument/2006/relationships/webSettings" Target="webSettings.xml"/><Relationship Id="rId15" Type="http://schemas.openxmlformats.org/officeDocument/2006/relationships/hyperlink" Target="https://doi.org/10.1108/BFJ-01-2020-0075" TargetMode="External"/><Relationship Id="rId10" Type="http://schemas.openxmlformats.org/officeDocument/2006/relationships/image" Target="media/image3.png"/><Relationship Id="rId19" Type="http://schemas.openxmlformats.org/officeDocument/2006/relationships/hyperlink" Target="https://doi.org/10.1002/bse.263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8/1755-1315/683/1/012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FEA0-C849-4EF4-8014-923F8B21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4721</TotalTime>
  <Pages>1</Pages>
  <Words>11637</Words>
  <Characters>66334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Bhawana Gurung</dc:creator>
  <cp:keywords/>
  <dc:description/>
  <cp:lastModifiedBy>Bhawana Gurung</cp:lastModifiedBy>
  <cp:revision>3</cp:revision>
  <dcterms:created xsi:type="dcterms:W3CDTF">2025-04-07T06:51:00Z</dcterms:created>
  <dcterms:modified xsi:type="dcterms:W3CDTF">2026-03-24T15:35:00Z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56923125-b94a-3d66-9852-8feba5ebd4d2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