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079E" w14:textId="54AEE3C5" w:rsidR="004359B5" w:rsidRDefault="004359B5" w:rsidP="00515962">
      <w:pPr>
        <w:ind w:firstLine="0"/>
      </w:pPr>
    </w:p>
    <w:p w14:paraId="3F6D5852" w14:textId="77777777" w:rsidR="00515962" w:rsidRDefault="00515962" w:rsidP="00515962">
      <w:pPr>
        <w:ind w:firstLine="0"/>
      </w:pPr>
    </w:p>
    <w:p w14:paraId="79D27C7F" w14:textId="77777777" w:rsidR="00846461" w:rsidRDefault="00846461" w:rsidP="00515962">
      <w:pPr>
        <w:ind w:firstLine="0"/>
      </w:pPr>
    </w:p>
    <w:p w14:paraId="47EFB197" w14:textId="77777777" w:rsidR="00846461" w:rsidRDefault="00846461" w:rsidP="00515962">
      <w:pPr>
        <w:ind w:firstLine="0"/>
      </w:pPr>
    </w:p>
    <w:p w14:paraId="3A33F2C7" w14:textId="77777777" w:rsidR="00846461" w:rsidRDefault="00846461" w:rsidP="00515962">
      <w:pPr>
        <w:ind w:firstLine="0"/>
      </w:pPr>
    </w:p>
    <w:p w14:paraId="68935346" w14:textId="77777777" w:rsidR="00846461" w:rsidRDefault="00846461" w:rsidP="00515962">
      <w:pPr>
        <w:ind w:firstLine="0"/>
      </w:pPr>
    </w:p>
    <w:p w14:paraId="385D587F" w14:textId="77777777" w:rsidR="00846461" w:rsidRDefault="00846461" w:rsidP="00515962">
      <w:pPr>
        <w:ind w:firstLine="0"/>
      </w:pPr>
    </w:p>
    <w:p w14:paraId="01A63D92" w14:textId="77777777" w:rsidR="00846461" w:rsidRDefault="00846461" w:rsidP="00515962">
      <w:pPr>
        <w:ind w:firstLine="0"/>
      </w:pPr>
    </w:p>
    <w:p w14:paraId="201ADAF1" w14:textId="77777777" w:rsidR="00846461" w:rsidRDefault="00846461" w:rsidP="00515962">
      <w:pPr>
        <w:ind w:firstLine="0"/>
      </w:pPr>
    </w:p>
    <w:p w14:paraId="6B9CF545" w14:textId="77777777" w:rsidR="00846461" w:rsidRDefault="00846461" w:rsidP="00515962">
      <w:pPr>
        <w:ind w:firstLine="0"/>
      </w:pPr>
    </w:p>
    <w:p w14:paraId="107724D3" w14:textId="77777777" w:rsidR="00846461" w:rsidRDefault="00846461" w:rsidP="00515962">
      <w:pPr>
        <w:ind w:firstLine="0"/>
      </w:pPr>
    </w:p>
    <w:p w14:paraId="4D3D543F" w14:textId="77777777" w:rsidR="00846461" w:rsidRDefault="00846461" w:rsidP="00515962">
      <w:pPr>
        <w:ind w:firstLine="0"/>
      </w:pPr>
    </w:p>
    <w:p w14:paraId="5A31BE30" w14:textId="77777777" w:rsidR="00846461" w:rsidRDefault="00846461" w:rsidP="00515962">
      <w:pPr>
        <w:ind w:firstLine="0"/>
      </w:pPr>
    </w:p>
    <w:p w14:paraId="3A07836D" w14:textId="77777777" w:rsidR="00846461" w:rsidRDefault="00846461" w:rsidP="00515962">
      <w:pPr>
        <w:ind w:firstLine="0"/>
      </w:pPr>
    </w:p>
    <w:p w14:paraId="237F3AA7" w14:textId="77777777" w:rsidR="00846461" w:rsidRDefault="00846461" w:rsidP="00515962">
      <w:pPr>
        <w:ind w:firstLine="0"/>
      </w:pPr>
    </w:p>
    <w:p w14:paraId="278ED148" w14:textId="77777777" w:rsidR="00846461" w:rsidRDefault="00846461" w:rsidP="00515962">
      <w:pPr>
        <w:ind w:firstLine="0"/>
      </w:pPr>
    </w:p>
    <w:p w14:paraId="22F76309" w14:textId="77777777" w:rsidR="002C2DE1" w:rsidRDefault="002C2DE1" w:rsidP="00515962">
      <w:pPr>
        <w:ind w:firstLine="0"/>
      </w:pPr>
    </w:p>
    <w:p w14:paraId="1A19D968" w14:textId="60101FCE" w:rsidR="002C2DE1" w:rsidRPr="00967F50" w:rsidRDefault="00846461" w:rsidP="002C2DE1">
      <w:pPr>
        <w:spacing w:after="160" w:line="360" w:lineRule="auto"/>
        <w:ind w:firstLine="0"/>
        <w:jc w:val="center"/>
        <w:rPr>
          <w:b/>
          <w:bCs/>
          <w:sz w:val="32"/>
          <w:szCs w:val="32"/>
        </w:rPr>
      </w:pPr>
      <w:r w:rsidRPr="00846461">
        <w:rPr>
          <w:b/>
          <w:bCs/>
          <w:sz w:val="32"/>
          <w:szCs w:val="32"/>
        </w:rPr>
        <w:t>Les Veines Obscures du Pouvoir : Analyse de l'Indépendance de la Justice Malgache à l'Aune de la Séparation des Pouvoirs</w:t>
      </w:r>
    </w:p>
    <w:p w14:paraId="6CB61C4E" w14:textId="32D7423A" w:rsidR="002C2DE1" w:rsidRPr="00967F50" w:rsidRDefault="002C2DE1" w:rsidP="002C2DE1">
      <w:pPr>
        <w:spacing w:after="160" w:line="360" w:lineRule="auto"/>
        <w:ind w:firstLine="0"/>
        <w:jc w:val="center"/>
        <w:rPr>
          <w:b/>
          <w:bCs/>
          <w:i/>
          <w:iCs/>
        </w:rPr>
      </w:pPr>
      <w:r w:rsidRPr="00967F50">
        <w:rPr>
          <w:b/>
          <w:bCs/>
          <w:i/>
          <w:iCs/>
        </w:rPr>
        <w:t>The Dark Veins of Power: Analysis of the Independence of Malagasy Justice in Light of the Separation of Powers</w:t>
      </w:r>
    </w:p>
    <w:p w14:paraId="0439024C" w14:textId="77777777" w:rsidR="002C2DE1" w:rsidRPr="002C2DE1" w:rsidRDefault="002C2DE1" w:rsidP="00515962">
      <w:pPr>
        <w:ind w:firstLine="0"/>
      </w:pPr>
    </w:p>
    <w:p w14:paraId="22A4ABBE" w14:textId="77777777" w:rsidR="00485269" w:rsidRPr="00485269" w:rsidRDefault="00485269" w:rsidP="00485269">
      <w:pPr>
        <w:jc w:val="center"/>
        <w:rPr>
          <w:i/>
          <w:iCs/>
        </w:rPr>
      </w:pPr>
      <w:r w:rsidRPr="00485269">
        <w:rPr>
          <w:i/>
          <w:iCs/>
        </w:rPr>
        <w:t xml:space="preserve">Auteur : </w:t>
      </w:r>
      <w:r w:rsidRPr="00485269">
        <w:rPr>
          <w:b/>
          <w:bCs/>
          <w:i/>
          <w:iCs/>
        </w:rPr>
        <w:t>Dr</w:t>
      </w:r>
      <w:r w:rsidRPr="00485269">
        <w:rPr>
          <w:i/>
          <w:iCs/>
        </w:rPr>
        <w:t xml:space="preserve"> </w:t>
      </w:r>
      <w:r w:rsidRPr="00485269">
        <w:rPr>
          <w:b/>
          <w:bCs/>
          <w:i/>
          <w:iCs/>
        </w:rPr>
        <w:t>Sydrique MIARAKA</w:t>
      </w:r>
      <w:r w:rsidRPr="00485269">
        <w:rPr>
          <w:i/>
          <w:iCs/>
        </w:rPr>
        <w:t xml:space="preserve"> </w:t>
      </w:r>
    </w:p>
    <w:p w14:paraId="225D68E0" w14:textId="77777777" w:rsidR="00485269" w:rsidRPr="00485269" w:rsidRDefault="00485269" w:rsidP="00485269">
      <w:pPr>
        <w:jc w:val="center"/>
        <w:rPr>
          <w:i/>
          <w:iCs/>
        </w:rPr>
      </w:pPr>
      <w:r w:rsidRPr="00485269">
        <w:rPr>
          <w:i/>
          <w:iCs/>
        </w:rPr>
        <w:t>est Maître de conférences en science politique et chercheur en philosophie politique à l’Université d’Antsiranana, Madagascar, spécialisé en gouvernance et éthique politique. Il est point focal du programme Erasmus entre l’Université de Sannio, Italie, et l’Université d’Antsiranana.</w:t>
      </w:r>
      <w:r w:rsidRPr="00485269">
        <w:rPr>
          <w:i/>
          <w:iCs/>
        </w:rPr>
        <w:br/>
      </w:r>
      <w:r w:rsidRPr="00485269">
        <w:rPr>
          <w:b/>
          <w:bCs/>
          <w:i/>
          <w:iCs/>
        </w:rPr>
        <w:t>Contact :</w:t>
      </w:r>
      <w:r w:rsidRPr="00485269">
        <w:rPr>
          <w:i/>
          <w:iCs/>
        </w:rPr>
        <w:t xml:space="preserve"> sydriquemiaraka201@gmail.com | WhatsApp : +261 34 07 561 44</w:t>
      </w:r>
    </w:p>
    <w:p w14:paraId="748D0C79" w14:textId="77777777" w:rsidR="00485269" w:rsidRPr="00485269" w:rsidRDefault="00485269" w:rsidP="00485269">
      <w:pPr>
        <w:jc w:val="center"/>
        <w:rPr>
          <w:i/>
          <w:iCs/>
        </w:rPr>
      </w:pPr>
    </w:p>
    <w:p w14:paraId="48F76287" w14:textId="77777777" w:rsidR="00485269" w:rsidRDefault="00485269" w:rsidP="00485269">
      <w:pPr>
        <w:jc w:val="center"/>
        <w:rPr>
          <w:i/>
          <w:iCs/>
        </w:rPr>
      </w:pPr>
    </w:p>
    <w:p w14:paraId="582A800A" w14:textId="2AAB9C0B" w:rsidR="00485269" w:rsidRDefault="004359B5" w:rsidP="00485269">
      <w:pPr>
        <w:jc w:val="center"/>
        <w:rPr>
          <w:i/>
          <w:iCs/>
        </w:rPr>
      </w:pPr>
      <w:r w:rsidRPr="00485269">
        <w:br w:type="page"/>
      </w:r>
    </w:p>
    <w:p w14:paraId="717ED92B" w14:textId="77777777" w:rsidR="00485269" w:rsidRDefault="00485269" w:rsidP="00485269">
      <w:pPr>
        <w:jc w:val="center"/>
      </w:pPr>
    </w:p>
    <w:p w14:paraId="16114A2D" w14:textId="2A5E4926" w:rsidR="004359B5" w:rsidRDefault="004359B5">
      <w:pPr>
        <w:spacing w:after="160" w:line="278" w:lineRule="auto"/>
        <w:ind w:firstLine="0"/>
        <w:jc w:val="left"/>
      </w:pPr>
    </w:p>
    <w:p w14:paraId="78A10121" w14:textId="77777777" w:rsidR="00CC0826" w:rsidRPr="00A35216" w:rsidRDefault="00F84814" w:rsidP="00F84814">
      <w:pPr>
        <w:rPr>
          <w:sz w:val="20"/>
          <w:szCs w:val="20"/>
        </w:rPr>
      </w:pPr>
      <w:r w:rsidRPr="00F84814">
        <w:rPr>
          <w:b/>
          <w:bCs/>
          <w:sz w:val="20"/>
          <w:szCs w:val="20"/>
        </w:rPr>
        <w:t>Résumé</w:t>
      </w:r>
      <w:r w:rsidRPr="00F84814">
        <w:rPr>
          <w:sz w:val="20"/>
          <w:szCs w:val="20"/>
        </w:rPr>
        <w:t xml:space="preserve"> </w:t>
      </w:r>
    </w:p>
    <w:p w14:paraId="762ACADB" w14:textId="17F04C04" w:rsidR="00F84814" w:rsidRPr="00F84814" w:rsidRDefault="00F84814" w:rsidP="00F84814">
      <w:pPr>
        <w:rPr>
          <w:sz w:val="20"/>
          <w:szCs w:val="20"/>
        </w:rPr>
      </w:pPr>
      <w:r w:rsidRPr="00F84814">
        <w:rPr>
          <w:sz w:val="20"/>
          <w:szCs w:val="20"/>
        </w:rPr>
        <w:t xml:space="preserve">La justice constitue un pilier fondamental de l'État de droit et de la démocratie. À Madagascar, malgré les dispositions constitutionnelles de 2010 garantissant l'indépendance judiciaire, une contradiction majeure persiste entre le principe affiché et la réalité institutionnelle. Cet article vise à démontrer les mécanismes par lesquels le pouvoir exécutif exerce une emprise sur le pouvoir judiciaire et analyser les conséquences sur la confiance citoyenne. La méthodologie repose sur une analyse exégétique des textes constitutionnels et lois organiques, combinée à une observation des pratiques institutionnelles. Les résultats révèlent une mainmise significative de l'exécutif sur la gestion des carrières, le budget et les nominations au sein des Hautes Cours via le Conseil Supérieur de la Magistrature. Cette dépendance structurelle engendre corruption, lenteur administrative et perte de confiance citoyenne, menaçant la cohésion sociale et la culture du </w:t>
      </w:r>
      <w:r w:rsidRPr="00F84814">
        <w:rPr>
          <w:i/>
          <w:iCs/>
          <w:sz w:val="20"/>
          <w:szCs w:val="20"/>
        </w:rPr>
        <w:t>Fihavanana</w:t>
      </w:r>
      <w:r w:rsidRPr="00F84814">
        <w:rPr>
          <w:sz w:val="20"/>
          <w:szCs w:val="20"/>
        </w:rPr>
        <w:t>. En conclusion, l'indépendance judiciaire demeure textuelle mais pas matérielle. Une réforme structurelle excluant l'influence directe de l'exécutif est urgente pour restaurer la légitimité de la justice et garantir la séparation des pouvoirs.</w:t>
      </w:r>
    </w:p>
    <w:p w14:paraId="62B53D6D" w14:textId="5AAF8D6E" w:rsidR="00F84814" w:rsidRPr="00F84814" w:rsidRDefault="00A35216" w:rsidP="00F84814">
      <w:pPr>
        <w:rPr>
          <w:sz w:val="20"/>
          <w:szCs w:val="20"/>
        </w:rPr>
      </w:pPr>
      <w:r w:rsidRPr="00F84814">
        <w:rPr>
          <w:b/>
          <w:bCs/>
          <w:sz w:val="20"/>
          <w:szCs w:val="20"/>
        </w:rPr>
        <w:t>Mots-clés</w:t>
      </w:r>
      <w:r>
        <w:rPr>
          <w:b/>
          <w:bCs/>
          <w:sz w:val="20"/>
          <w:szCs w:val="20"/>
        </w:rPr>
        <w:t xml:space="preserve"> </w:t>
      </w:r>
      <w:r w:rsidR="00F84814" w:rsidRPr="00F84814">
        <w:rPr>
          <w:b/>
          <w:bCs/>
          <w:sz w:val="20"/>
          <w:szCs w:val="20"/>
        </w:rPr>
        <w:t>:</w:t>
      </w:r>
      <w:r w:rsidR="00F84814" w:rsidRPr="00F84814">
        <w:rPr>
          <w:sz w:val="20"/>
          <w:szCs w:val="20"/>
        </w:rPr>
        <w:t xml:space="preserve"> Justice Malgache, Indépendance Judiciaire, Séparation des Pouvoirs, Exécutif, État de Droit</w:t>
      </w:r>
    </w:p>
    <w:p w14:paraId="217114BD" w14:textId="14BE9A1A" w:rsidR="004359B5" w:rsidRPr="00A35216" w:rsidRDefault="004359B5" w:rsidP="00F84814">
      <w:pPr>
        <w:rPr>
          <w:sz w:val="20"/>
          <w:szCs w:val="20"/>
        </w:rPr>
      </w:pPr>
    </w:p>
    <w:p w14:paraId="52AED363" w14:textId="77777777" w:rsidR="00CC0826" w:rsidRPr="00A35216" w:rsidRDefault="00CC0826" w:rsidP="00CC0826">
      <w:pPr>
        <w:rPr>
          <w:sz w:val="20"/>
          <w:szCs w:val="20"/>
        </w:rPr>
      </w:pPr>
      <w:r w:rsidRPr="00CC0826">
        <w:rPr>
          <w:b/>
          <w:bCs/>
          <w:sz w:val="20"/>
          <w:szCs w:val="20"/>
        </w:rPr>
        <w:t>Abstract</w:t>
      </w:r>
      <w:r w:rsidRPr="00CC0826">
        <w:rPr>
          <w:sz w:val="20"/>
          <w:szCs w:val="20"/>
        </w:rPr>
        <w:t xml:space="preserve"> </w:t>
      </w:r>
    </w:p>
    <w:p w14:paraId="2A6330BE" w14:textId="6D17B21E" w:rsidR="00CC0826" w:rsidRPr="00CC0826" w:rsidRDefault="00CC0826" w:rsidP="00CC0826">
      <w:pPr>
        <w:rPr>
          <w:sz w:val="20"/>
          <w:szCs w:val="20"/>
        </w:rPr>
      </w:pPr>
      <w:r w:rsidRPr="00CC0826">
        <w:rPr>
          <w:sz w:val="20"/>
          <w:szCs w:val="20"/>
        </w:rPr>
        <w:t>Justice is a fundamental pillar of the Rule of Law and democracy. In Madagascar, despite the 2010 constitutional provisions guaranteeing judicial independence, a major contradiction persists between the stated principle and institutional reality. This article aims to demonstrate the mechanisms by which the executive power exerts control over the judiciary and analyze the consequences on citizen confidence. The methodology relies on an exegetical analysis of constitutional texts and organic laws, combined with an observation of institutional practices. Results reveal a significant hold by the executive over career management, budget and appointments within the High Courts via the Superior Council of the Magistracy. This structural dependency generates corruption, administrative slowness and loss of citizen confidence, threatening social cohesion and the Fihavanana culture. In conclusion, judicial independence remains textual but not material. A structural reform excluding direct executive influence is urgent to restore the legitimacy of justice and guarantee the separation of powers.</w:t>
      </w:r>
    </w:p>
    <w:p w14:paraId="3A51A052" w14:textId="77777777" w:rsidR="00CC0826" w:rsidRPr="00CC0826" w:rsidRDefault="00CC0826" w:rsidP="00CC0826">
      <w:pPr>
        <w:rPr>
          <w:sz w:val="20"/>
          <w:szCs w:val="20"/>
        </w:rPr>
      </w:pPr>
      <w:r w:rsidRPr="00CC0826">
        <w:rPr>
          <w:b/>
          <w:bCs/>
          <w:sz w:val="20"/>
          <w:szCs w:val="20"/>
        </w:rPr>
        <w:t>Keywords:</w:t>
      </w:r>
      <w:r w:rsidRPr="00CC0826">
        <w:rPr>
          <w:sz w:val="20"/>
          <w:szCs w:val="20"/>
        </w:rPr>
        <w:t xml:space="preserve"> Malagasy Justice, Judicial Independence, Separation of Powers, Executive, Rule of Law</w:t>
      </w:r>
    </w:p>
    <w:p w14:paraId="1F90EE22" w14:textId="77777777" w:rsidR="00F84814" w:rsidRPr="00F84814" w:rsidRDefault="00F84814" w:rsidP="00F84814"/>
    <w:p w14:paraId="41FB3BC0" w14:textId="77777777" w:rsidR="004359B5" w:rsidRDefault="004359B5">
      <w:pPr>
        <w:spacing w:after="160" w:line="278" w:lineRule="auto"/>
        <w:ind w:firstLine="0"/>
        <w:jc w:val="left"/>
      </w:pPr>
      <w:r>
        <w:br w:type="page"/>
      </w:r>
    </w:p>
    <w:p w14:paraId="5B01E5E7" w14:textId="77CB31C8" w:rsidR="004359B5" w:rsidRDefault="004359B5" w:rsidP="004359B5">
      <w:pPr>
        <w:pStyle w:val="Titre1"/>
      </w:pPr>
      <w:r>
        <w:t>Introduction</w:t>
      </w:r>
    </w:p>
    <w:p w14:paraId="2C192C14" w14:textId="2749A2E9" w:rsidR="008821E9" w:rsidRPr="008821E9" w:rsidRDefault="008821E9" w:rsidP="008821E9">
      <w:r>
        <w:t xml:space="preserve">La </w:t>
      </w:r>
      <w:r w:rsidRPr="008821E9">
        <w:t xml:space="preserve">justice constitue l'un des piliers fondamentaux de toute démocratie moderne et le gardien suprême de l'État de droit. Selon la théorie classique de la séparation des pouvoirs, élaborée par Montesquieu dans </w:t>
      </w:r>
      <w:r w:rsidRPr="008821E9">
        <w:rPr>
          <w:i/>
          <w:iCs/>
        </w:rPr>
        <w:t>De l'Esprit des Lois</w:t>
      </w:r>
      <w:r w:rsidRPr="008821E9">
        <w:t>, la liberté politique ne peut subsister que si la puissance de juger est distincte de la puissance législative et exécutrice</w:t>
      </w:r>
      <w:r>
        <w:rPr>
          <w:rStyle w:val="Appelnotedebasdep"/>
        </w:rPr>
        <w:footnoteReference w:id="1"/>
      </w:r>
      <w:r w:rsidRPr="008821E9">
        <w:t>. Dans un État démocratique, l'indépendance judiciaire n'est pas seulement un privilège corporatiste pour les magistrats mais une garantie essentielle pour les justiciables, assurant que les lois soient appliquées avec impartialité, sans crainte ni faveur. Cependant, la réalisation de cet idéal théorique se heurte souvent à des réalités politiques complexes, particulièrement dans les pays en voie de développement où les équilibres institutionnels restent fragiles. À Madagascar, la question de l'indépendance de la justice demeure un chantier inachevé, malgré les dispositions constitutionnelles qui la consacrent</w:t>
      </w:r>
      <w:r>
        <w:rPr>
          <w:rStyle w:val="Appelnotedebasdep"/>
        </w:rPr>
        <w:footnoteReference w:id="2"/>
      </w:r>
      <w:r w:rsidRPr="008821E9">
        <w:t>.</w:t>
      </w:r>
    </w:p>
    <w:p w14:paraId="5CBCC43F" w14:textId="125AD932" w:rsidR="008821E9" w:rsidRPr="008821E9" w:rsidRDefault="008821E9" w:rsidP="008821E9">
      <w:r w:rsidRPr="008821E9">
        <w:t>La Constitution de la IVème République de Madagascar, adoptée en 2010, affirme dans son article 106 que la justice est rendue au nom du peuple malgache par des juridictions indépendantes</w:t>
      </w:r>
      <w:r>
        <w:rPr>
          <w:rStyle w:val="Appelnotedebasdep"/>
        </w:rPr>
        <w:footnoteReference w:id="3"/>
      </w:r>
      <w:r w:rsidRPr="008821E9">
        <w:t>. Pourtant, une analyse approfondie des textes organiques révèle une contradiction majeure entre le principe affiché et l'organisation institutionnelle effective. En effet, la loi fondamentale dispose que le Président de la République est le garant de l'indépendance de la justice et préside le Conseil Supérieur de la Magistrature (CSM)</w:t>
      </w:r>
      <w:r>
        <w:rPr>
          <w:rStyle w:val="Appelnotedebasdep"/>
        </w:rPr>
        <w:footnoteReference w:id="4"/>
      </w:r>
      <w:r w:rsidRPr="008821E9">
        <w:t>. Cette configuration place le chef de l'exécutif au cœur du dispositif de gestion de la carrière des magistrats, créant ainsi un lien de subordination organique qui fragilise l'autonomie du pouvoir judiciaire. Cette immixtion de l'exécutif dans la sphère judiciaire soulève des interrogations sur la réelle effectivité de la séparation des pouvoirs dans la Grande Île. Comme le soulignait le doyen Debbasch, l'indépendance de la justice ne doit pas servir à assurer un confort de carrière aux magistrats, mais à garantir aux citoyens que les décisions de justice sont rendues en âme et conscience, sans pression extérieure</w:t>
      </w:r>
      <w:r>
        <w:rPr>
          <w:rStyle w:val="Appelnotedebasdep"/>
        </w:rPr>
        <w:footnoteReference w:id="5"/>
      </w:r>
      <w:r w:rsidRPr="008821E9">
        <w:t>.</w:t>
      </w:r>
    </w:p>
    <w:p w14:paraId="50C17B94" w14:textId="78634705" w:rsidR="008821E9" w:rsidRPr="008821E9" w:rsidRDefault="008821E9" w:rsidP="008821E9">
      <w:r w:rsidRPr="008821E9">
        <w:t>Le problème central qui se pose alors est de comprendre dans quelle mesure l'organisation institutionnelle de la justice à Madagascar compromet-elle son indépendance réelle face au pouvoir exécutif. La situation actuelle se caractérise par une prépondérance de l'exécutif qui dispose de moyens d'action et de contrôle considérables sur les magistrats notamment à travers la gestion budgétaire et les nominations au sein des Hautes Cours</w:t>
      </w:r>
      <w:r>
        <w:rPr>
          <w:rStyle w:val="Appelnotedebasdep"/>
        </w:rPr>
        <w:footnoteReference w:id="6"/>
      </w:r>
      <w:r w:rsidRPr="008821E9">
        <w:t xml:space="preserve">. Cette domination engendre une défiance croissante de la population envers l'institution judiciaire. Lorsque les justiciables perçoivent la justice comme un instrument au service du pouvoir politique plutôt que comme une arbitre impartiale, la confiance sociale s'érode, favorisant </w:t>
      </w:r>
      <w:r>
        <w:t xml:space="preserve">ainsi </w:t>
      </w:r>
      <w:r w:rsidRPr="008821E9">
        <w:t>l'émergence de pratiques de justice populaire et de vindictes</w:t>
      </w:r>
      <w:r>
        <w:rPr>
          <w:rStyle w:val="Appelnotedebasdep"/>
        </w:rPr>
        <w:footnoteReference w:id="7"/>
      </w:r>
      <w:r w:rsidRPr="008821E9">
        <w:t xml:space="preserve">. Cette crise de légitimité menace non seulement l'État de droit mais également la cohésion sociale et la culture du </w:t>
      </w:r>
      <w:r w:rsidRPr="008821E9">
        <w:rPr>
          <w:i/>
          <w:iCs/>
        </w:rPr>
        <w:t>Fihavanana</w:t>
      </w:r>
      <w:r w:rsidRPr="008821E9">
        <w:t xml:space="preserve"> propre au peuple malgache</w:t>
      </w:r>
      <w:r>
        <w:rPr>
          <w:rStyle w:val="Appelnotedebasdep"/>
        </w:rPr>
        <w:footnoteReference w:id="8"/>
      </w:r>
      <w:r w:rsidRPr="008821E9">
        <w:t>.</w:t>
      </w:r>
    </w:p>
    <w:p w14:paraId="29AEBCAD" w14:textId="6BD7F1B2" w:rsidR="008821E9" w:rsidRDefault="008821E9" w:rsidP="008821E9">
      <w:r w:rsidRPr="008821E9">
        <w:t>L'objectif de cet article est de démontrer les mécanismes institutionnels et politiques par lesquels l'exécutif exerce une emprise sur le pouvoir judiciaire à Madagascar et d'analyser les conséquences de cette dépendance sur la confiance citoyenne. Il s'agira d'examiner les dispositions constitutionnelles et légales qui encadrent la magistrature, tout en les confrontant aux pratiques observées sur le terrain. Pour ce faire, cette étude s'appuiera sur une analyse doctrinale des textes juridiques combinée à une observation des dysfonctionnements institutionnels récents. La réflexion s'articulera autour de quatre sections principales. Dans un premier temps, le contexte de l'étude posera les fondements théoriques de l'indépendance judiciaire et le cadre constitutionnel malgache. Ensuite, la méthodologie exposera l'approche juridique et documentaire retenue. La troisième section présentera les résultats de l'analyse, mettant en lumière la mainmise de l'exécutif sur la gestion des magistrats et le fonctionnement des Hautes Cours. Enfin, la discussion interprétera ces résultats au regard des impacts sur l'État de droit et proposera des pistes de réflexion pour une réforme structurelle nécessaire</w:t>
      </w:r>
      <w:r>
        <w:rPr>
          <w:rStyle w:val="Appelnotedebasdep"/>
        </w:rPr>
        <w:footnoteReference w:id="9"/>
      </w:r>
      <w:r w:rsidRPr="008821E9">
        <w:t>.</w:t>
      </w:r>
    </w:p>
    <w:p w14:paraId="7F0059F8" w14:textId="77777777" w:rsidR="008047F1" w:rsidRPr="008821E9" w:rsidRDefault="008047F1" w:rsidP="008821E9"/>
    <w:p w14:paraId="11BD9689" w14:textId="77777777" w:rsidR="008047F1" w:rsidRPr="008047F1" w:rsidRDefault="008047F1" w:rsidP="008047F1">
      <w:pPr>
        <w:pStyle w:val="Titre1"/>
      </w:pPr>
      <w:r w:rsidRPr="008047F1">
        <w:t>1. Contexte de l'Étude</w:t>
      </w:r>
    </w:p>
    <w:p w14:paraId="3144ADB5" w14:textId="1B245DEC" w:rsidR="008047F1" w:rsidRDefault="008047F1" w:rsidP="008047F1">
      <w:r w:rsidRPr="008047F1">
        <w:t>L'analyse de l'indépendance de la justice à Madagascar nécessite préalablement une immersion dans les fondements théoriques qui régissent l'organisation des pouvoirs dans un État démocratique. En effet, la justice ne saurait être comprise comme une simple fonction administrative, mais bien comme un pouvoir constitutionnel distinct, dont l'autonomie est la condition de la liberté publique. Cette section se propose d'examiner les bases doctrinales de l'indépendance judiciaire, principalement issues de la pensée de Montesquieu, avant d'analyser leur transposition dans le cadre constitutionnel malgache de 2010. La confrontation entre la théorie idéale de la séparation des pouvoirs et la réalité institutionnelle de la Grande Île permettra de mettre en exergue les tensions structurelles qui caractérisent le système judiciaire actuel</w:t>
      </w:r>
      <w:r>
        <w:rPr>
          <w:rStyle w:val="Appelnotedebasdep"/>
        </w:rPr>
        <w:footnoteReference w:id="10"/>
      </w:r>
      <w:r w:rsidRPr="008047F1">
        <w:t>.</w:t>
      </w:r>
    </w:p>
    <w:p w14:paraId="1CA5729B" w14:textId="77777777" w:rsidR="008047F1" w:rsidRPr="008047F1" w:rsidRDefault="008047F1" w:rsidP="008047F1"/>
    <w:p w14:paraId="32C8CB7A" w14:textId="48F567C7" w:rsidR="008047F1" w:rsidRPr="008047F1" w:rsidRDefault="008047F1" w:rsidP="008047F1">
      <w:pPr>
        <w:pStyle w:val="Titre1"/>
      </w:pPr>
      <w:r w:rsidRPr="008047F1">
        <w:t>1.1. Fondements théoriques de l'indépendance judiciaire</w:t>
      </w:r>
    </w:p>
    <w:p w14:paraId="5C32CF2D" w14:textId="3B545922" w:rsidR="008047F1" w:rsidRPr="008047F1" w:rsidRDefault="008047F1" w:rsidP="008047F1">
      <w:r w:rsidRPr="008047F1">
        <w:t xml:space="preserve">La théorie de la séparation des pouvoirs constitue la pierre angulaire de l'État de droit moderne. Élaborée par Montesquieu dans son œuvre majeure </w:t>
      </w:r>
      <w:r w:rsidRPr="008047F1">
        <w:rPr>
          <w:i/>
          <w:iCs/>
        </w:rPr>
        <w:t>De l'Esprit des Lois</w:t>
      </w:r>
      <w:r w:rsidRPr="008047F1">
        <w:t>, cette doctrine postule que pour éviter l'arbitraire et le despotisme, les trois fonctions principales de l'État doivent être confiées à des organes distincts. Selon le philosophe français, la concentration des pouvoirs entre les mains d'un seul individu ou d'un seul corps conduit inévitablement à la tyrannie. Il illustre cette pensée par une affirmation devenue classique dans la doctrine juridique mondiale :</w:t>
      </w:r>
    </w:p>
    <w:p w14:paraId="2442D29B" w14:textId="4A0B80B9" w:rsidR="008047F1" w:rsidRPr="008047F1" w:rsidRDefault="008047F1" w:rsidP="008047F1">
      <w:r w:rsidRPr="008047F1">
        <w:t>Dans un État, c'est-à-dire dans une société où il y a des lois, la liberté ne peut consister qu'à pouvoir faire ce que l'on doit vouloir et à n'être point contraint de faire ce que l'on ne doit pas vouloir. Tout serait perdu si le même homme</w:t>
      </w:r>
      <w:r>
        <w:t>,</w:t>
      </w:r>
      <w:r w:rsidRPr="008047F1">
        <w:t xml:space="preserve"> ou le même corps des principaux, ou des nobles, ou du peuple, exerçait ces trois pouvoirs : celui de faire des lois, celui d'exécuter les résolutions publiques, et celui de juger les crimes ou les différends des particuliers</w:t>
      </w:r>
      <w:r>
        <w:rPr>
          <w:rStyle w:val="Appelnotedebasdep"/>
        </w:rPr>
        <w:footnoteReference w:id="11"/>
      </w:r>
      <w:r w:rsidRPr="008047F1">
        <w:t>.</w:t>
      </w:r>
    </w:p>
    <w:p w14:paraId="3296554F" w14:textId="219DFA29" w:rsidR="008047F1" w:rsidRPr="008047F1" w:rsidRDefault="008047F1" w:rsidP="008047F1">
      <w:r w:rsidRPr="008047F1">
        <w:t>Cette citation met en lumière le lien intrinsèque entre la séparation des pouvoirs et la liberté politique. Dans un État de droit, la soumission à la loi doit être universelle, englobant aussi bien les gouvernés que les gouvernants. L'indépendance de la justice découle directement de ce principe : le pouvoir judiciaire doit être capable de trancher les litiges et de punir les infractions sans subir de pressions émanant du pouvoir législatif ou exécutif. Comme le souligne le doyen Debbasch, l'indépendance de la justice ne doit pas être conçue comme un privilège corporatiste visant à assurer un confort de carrière aux magistrats mais comme une garantie fondamentale pour les citoyens</w:t>
      </w:r>
      <w:r>
        <w:rPr>
          <w:rStyle w:val="Appelnotedebasdep"/>
        </w:rPr>
        <w:footnoteReference w:id="12"/>
      </w:r>
      <w:r w:rsidRPr="008047F1">
        <w:t>. Elle assure que les décisions de justice sont rendues en âme et conscience, à l'abri de toute ingérence politique.</w:t>
      </w:r>
    </w:p>
    <w:p w14:paraId="4C5378BD" w14:textId="38AF4505" w:rsidR="008047F1" w:rsidRPr="008047F1" w:rsidRDefault="008047F1" w:rsidP="008047F1">
      <w:r w:rsidRPr="008047F1">
        <w:t>L'indépendance judiciaire se décline selon plusieurs dimensions qu'il convient de distinguer pour une analyse pertinente. Premièrement, l'indépendance institutionnelle renvoie à l'autonomie de l'organe judiciaire dans son ensemble vis-à-vis des autres pouvoirs de l'État. Cela implique que les juridictions disposent de leurs propres ressources et de leur propre administration. Deuxièmement, l'indépendance personnelle concerne le statut individuel du magistrat. Elle suppose que le juge ne puisse être révoqué arbitrairement et que sa carrière ne dépende pas de la faveur du pouvoir politique</w:t>
      </w:r>
      <w:r>
        <w:rPr>
          <w:rStyle w:val="Appelnotedebasdep"/>
        </w:rPr>
        <w:footnoteReference w:id="13"/>
      </w:r>
      <w:r w:rsidRPr="008047F1">
        <w:t>. À Madagascar, comme dans plusieurs pays francophones d'Africa subsaharienne, l'organisation politique est fortement inspirée du modèle français, où cette distinction est théoriquement reconnue mais pratiquement mise à mal par la gestion des carrières</w:t>
      </w:r>
      <w:r>
        <w:rPr>
          <w:rStyle w:val="Appelnotedebasdep"/>
        </w:rPr>
        <w:footnoteReference w:id="14"/>
      </w:r>
      <w:r w:rsidRPr="008047F1">
        <w:t>.</w:t>
      </w:r>
    </w:p>
    <w:p w14:paraId="394BB79D" w14:textId="38087242" w:rsidR="008047F1" w:rsidRPr="008047F1" w:rsidRDefault="008047F1" w:rsidP="008047F1">
      <w:r w:rsidRPr="008047F1">
        <w:t>Par ailleurs, deux autres aspects matériels sont déterminants pour l'effectivité de cette indépendance : les plans financier et administratif. Sur le plan financier, une justice indépendante nécessite une autonomie budgétaire. Si l'exécutif contrôle le cordon de la bourse, il dispose d'un moyen de pression considérable sur les magistrats, pouvant aller jusqu'au chantage par la restriction des moyens de fonctionnement ou la modulation des salaires</w:t>
      </w:r>
      <w:r>
        <w:rPr>
          <w:rStyle w:val="Appelnotedebasdep"/>
        </w:rPr>
        <w:footnoteReference w:id="15"/>
      </w:r>
      <w:r w:rsidRPr="008047F1">
        <w:t>. Sur le plan administratif, les tribunaux doivent avoir le pouvoir de gérer leur organisation interne, la durée des procès et les débats sans intervention extérieure. L'absence d'autonomie dans ces domaines rend l'indépendance textuelle illusoire. En effet, si le pouvoir judiciaire est dépendant de la puissance exécutive pour son budget et son administration, l'autonomie personnelle des magistrats se trouve automatiquement altérée</w:t>
      </w:r>
      <w:r>
        <w:rPr>
          <w:rStyle w:val="Appelnotedebasdep"/>
        </w:rPr>
        <w:footnoteReference w:id="16"/>
      </w:r>
      <w:r w:rsidRPr="008047F1">
        <w:t>.</w:t>
      </w:r>
    </w:p>
    <w:p w14:paraId="28CFCA6B" w14:textId="2F769E63" w:rsidR="008047F1" w:rsidRDefault="008047F1" w:rsidP="008047F1">
      <w:r w:rsidRPr="008047F1">
        <w:t>La liberté dont il est question ici n'est pas une liberté absolue permettant aux juges de faire ce que bon leur semble mais une liberté encadrée par la loi. Montesquieu précise à cet égard que la liberté politique ne consiste point à faire ce que l'on veut. Dans un État libre, on ne doit pas faire ce que la loi interdit</w:t>
      </w:r>
      <w:r>
        <w:t xml:space="preserve"> </w:t>
      </w:r>
      <w:r w:rsidRPr="008047F1">
        <w:t>et on ne peut contraindre une personne à faire ce que la loi lui défend</w:t>
      </w:r>
      <w:r>
        <w:rPr>
          <w:rStyle w:val="Appelnotedebasdep"/>
        </w:rPr>
        <w:footnoteReference w:id="17"/>
      </w:r>
      <w:r w:rsidRPr="008047F1">
        <w:t xml:space="preserve">. Cette nuance est cruciale pour éviter la confusion entre indépendance et arbitraire judiciaire. L'indépendance objective du juge signifie sa liberté de penser et d'interpréter la loi sans contrainte externe, tout en restant soumis à la règle de droit. C'est cette autonomie de raisonnement qui garantit l'impartialité des décisions. Lorsque cette indépendance est compromise, la justice perd son sens « </w:t>
      </w:r>
      <w:r w:rsidRPr="008047F1">
        <w:rPr>
          <w:i/>
          <w:iCs/>
        </w:rPr>
        <w:t>juste</w:t>
      </w:r>
      <w:r w:rsidRPr="008047F1">
        <w:t xml:space="preserve"> » et provoque un sentiment de méfiance permanente à l'égard des citoyens, menaçant ainsi la paix sociale</w:t>
      </w:r>
      <w:r>
        <w:rPr>
          <w:rStyle w:val="Appelnotedebasdep"/>
        </w:rPr>
        <w:footnoteReference w:id="18"/>
      </w:r>
      <w:r w:rsidRPr="008047F1">
        <w:t>.</w:t>
      </w:r>
    </w:p>
    <w:p w14:paraId="788B3328" w14:textId="77777777" w:rsidR="008047F1" w:rsidRPr="008047F1" w:rsidRDefault="008047F1" w:rsidP="008047F1"/>
    <w:p w14:paraId="4695302E" w14:textId="5DBF51E0" w:rsidR="008047F1" w:rsidRPr="008047F1" w:rsidRDefault="008047F1" w:rsidP="008047F1">
      <w:pPr>
        <w:pStyle w:val="Titre1"/>
      </w:pPr>
      <w:r w:rsidRPr="008047F1">
        <w:t>1.2. Cadre constitutionnel malgache</w:t>
      </w:r>
    </w:p>
    <w:p w14:paraId="64662F39" w14:textId="68AB8CF2" w:rsidR="008047F1" w:rsidRPr="008047F1" w:rsidRDefault="008047F1" w:rsidP="008047F1">
      <w:r w:rsidRPr="008047F1">
        <w:t>L'examen du cadre constitutionnel malgache révèle une contradiction fondamentale entre les principes affirmés et l'organisation institutionnelle mise en place. La Constitution de la IVème République, adoptée en 2010, dispose dans son article 106 que la justice est rendue au nom du peuple malgache par des juridictions indépendantes</w:t>
      </w:r>
      <w:r w:rsidR="00A82F99">
        <w:rPr>
          <w:rStyle w:val="Appelnotedebasdep"/>
        </w:rPr>
        <w:footnoteReference w:id="19"/>
      </w:r>
      <w:r w:rsidRPr="008047F1">
        <w:t>. Cette disposition constitutionnelle semble consacrer le principe de séparation des pouvoirs et l'autonomie du pouvoir judiciaire. Cependant, une lecture approfondie des articles subséquents montre que cette indépendance est fortement conditionnée par le rôle prépondérant accordé au Chef de l'État.</w:t>
      </w:r>
    </w:p>
    <w:p w14:paraId="3F2E87BB" w14:textId="3925220E" w:rsidR="008047F1" w:rsidRPr="008047F1" w:rsidRDefault="008047F1" w:rsidP="008047F1">
      <w:r w:rsidRPr="008047F1">
        <w:t>En effet, l'article 107 de la Constitution stipule que le Président de la République est le garant de l'indépendance de la justice. Il préside le Conseil Supérieur de la Magistrature (CSM), organe chargé d'assister le Président dans cette mission</w:t>
      </w:r>
      <w:r w:rsidR="00A82F99">
        <w:rPr>
          <w:rStyle w:val="Appelnotedebasdep"/>
        </w:rPr>
        <w:footnoteReference w:id="20"/>
      </w:r>
      <w:r w:rsidRPr="008047F1">
        <w:t>. Cette configuration institutionnelle place le chef de l'exécutif au cœur du dispositif de gestion de la magistrature. Le CSM dispose de rôles spécifiques en tant qu'organe de sauvegarde, de gestion de carrière et de sanction des magistrats. Il veille au respect de la loi et des règles déontologiques, et présente des recommandations sur l'administration de la justice</w:t>
      </w:r>
      <w:r w:rsidR="00A82F99">
        <w:rPr>
          <w:rStyle w:val="Appelnotedebasdep"/>
        </w:rPr>
        <w:footnoteReference w:id="21"/>
      </w:r>
      <w:r w:rsidRPr="008047F1">
        <w:t>. Toutefois, le fait que le Président de la République qui est une émanation du pouvoir exécutif, préside cet organe crée une confusion des pouvoirs potentielle. Comme le note l'observatoire Sefafi, cette situation place les magistrats dans une position de dépendance hiérarchique vis-à-vis de l'exécutif</w:t>
      </w:r>
      <w:r w:rsidR="00A82F99">
        <w:rPr>
          <w:rStyle w:val="Appelnotedebasdep"/>
        </w:rPr>
        <w:footnoteReference w:id="22"/>
      </w:r>
      <w:r w:rsidRPr="008047F1">
        <w:t>.</w:t>
      </w:r>
    </w:p>
    <w:p w14:paraId="7719EB98" w14:textId="6518047A" w:rsidR="008047F1" w:rsidRPr="008047F1" w:rsidRDefault="008047F1" w:rsidP="008047F1">
      <w:r w:rsidRPr="008047F1">
        <w:t>La composition du CSM et son mode de fonctionnement illustrent cette emprise. Le Président de la République est assisté par le Ministre de la Justice en qualité de vice-président du Conseil</w:t>
      </w:r>
      <w:r w:rsidR="00A82F99">
        <w:rPr>
          <w:rStyle w:val="Appelnotedebasdep"/>
        </w:rPr>
        <w:footnoteReference w:id="23"/>
      </w:r>
      <w:r w:rsidRPr="008047F1">
        <w:t>. La présence de ces deux figures de l'exécutif à la tête de l'organe de gestion des magistrats signifie que la carrière des juges, leurs nominations, leurs avancements et leurs sanctions sont ultimement sous le contrôle du pouvoir politique. Cette réalité contredit le principe selon lequel la fonction de juger est une fonction constitutionnelle qui incombe directement aux magistrats, distincte de celle du Parlement et du Gouvernement</w:t>
      </w:r>
      <w:r w:rsidR="00A82F99">
        <w:rPr>
          <w:rStyle w:val="Appelnotedebasdep"/>
        </w:rPr>
        <w:footnoteReference w:id="24"/>
      </w:r>
      <w:r w:rsidRPr="008047F1">
        <w:t>. À Madagascar, le problème majeur réside dans le fait que la gestion de carrière des magistrats est intimement liée au pouvoir politique, rendant difficile l'émancipation du lien qui les unit au second pouvoir</w:t>
      </w:r>
      <w:r w:rsidR="00A82F99">
        <w:rPr>
          <w:rStyle w:val="Appelnotedebasdep"/>
        </w:rPr>
        <w:footnoteReference w:id="25"/>
      </w:r>
      <w:r w:rsidRPr="008047F1">
        <w:t>.</w:t>
      </w:r>
    </w:p>
    <w:p w14:paraId="38701E2E" w14:textId="266D7B9C" w:rsidR="008047F1" w:rsidRPr="008047F1" w:rsidRDefault="008047F1" w:rsidP="008047F1">
      <w:r w:rsidRPr="008047F1">
        <w:t>Une comparaison avec d'autres modèles juridiques permet de mieux situer la spécificité du cas malgache. Dans les pays anglo-saxons comme le Canada, l'administration de la justice repose sur un modèle différent où la jurisprudence est une source première de droit et où l'indépendance de la magistrature est gardienne de l'État de droit sans être placée sous la garantie directe du Chef de l'exécutif</w:t>
      </w:r>
      <w:r w:rsidR="00A82F99">
        <w:rPr>
          <w:rStyle w:val="Appelnotedebasdep"/>
        </w:rPr>
        <w:footnoteReference w:id="26"/>
      </w:r>
      <w:r w:rsidRPr="008047F1">
        <w:t>. Au Canada, le conseil veille au respect du principe d'indépendance mais ne place pas le pouvoir judiciaire sous la tutelle organique de l'exécutif, mettant ainsi la justice à l'abri de la domination politique</w:t>
      </w:r>
      <w:r w:rsidR="00A82F99">
        <w:rPr>
          <w:rStyle w:val="Appelnotedebasdep"/>
        </w:rPr>
        <w:footnoteReference w:id="27"/>
      </w:r>
      <w:r w:rsidRPr="008047F1">
        <w:t>. En revanche, le modèle malgache se rapproche de celui du Maroc, où le Conseil est également assisté par le Roi qui incarne le pouvoir exécutif</w:t>
      </w:r>
      <w:r w:rsidR="00A82F99">
        <w:rPr>
          <w:rStyle w:val="Appelnotedebasdep"/>
        </w:rPr>
        <w:footnoteReference w:id="28"/>
      </w:r>
      <w:r w:rsidRPr="008047F1">
        <w:t>. Cette similitude avec le modèle français, où le Président est garant de l'indépendance, montre les limites des systèmes hérités de la tradition civiliste dans les contextes où la culture démocratique est encore en consolidation.</w:t>
      </w:r>
    </w:p>
    <w:p w14:paraId="40429D35" w14:textId="62ABC350" w:rsidR="008047F1" w:rsidRPr="008047F1" w:rsidRDefault="008047F1" w:rsidP="008047F1">
      <w:r w:rsidRPr="008047F1">
        <w:t>La Constitution malgache prévoit également l'existence de Hautes Cours dont l'indépendance est cruciale pour l'équilibre des pouvoirs. La Haute Cour Constitutionnelle (HCC) est chargée de vérifier la conformité des lois à la Constitution tandis que la Haute Cour de Justice (HCJ) juge les hautes personnalités de l'État</w:t>
      </w:r>
      <w:r w:rsidR="00A82F99">
        <w:rPr>
          <w:rStyle w:val="Appelnotedebasdep"/>
        </w:rPr>
        <w:footnoteReference w:id="29"/>
      </w:r>
      <w:r w:rsidRPr="008047F1">
        <w:t>. Cependant, le mode de nomination des membres de ces cours révèle une influence directe de l'exécutif. Le Président de la République nomme trois des neuf membres de la HCC, les six autres étant nommés par le CSM, l'Assemblée Nationale et le Sénat</w:t>
      </w:r>
      <w:r w:rsidR="00A82F99">
        <w:rPr>
          <w:rStyle w:val="Appelnotedebasdep"/>
        </w:rPr>
        <w:footnoteReference w:id="30"/>
      </w:r>
      <w:r w:rsidRPr="008047F1">
        <w:t xml:space="preserve">. Quant à la HCJ, ses membres sont issus du CSM, dont on a vu la présidence </w:t>
      </w:r>
      <w:r w:rsidR="00A82F99" w:rsidRPr="008047F1">
        <w:t>exécutive</w:t>
      </w:r>
      <w:r w:rsidR="00A82F99">
        <w:rPr>
          <w:rStyle w:val="Appelnotedebasdep"/>
        </w:rPr>
        <w:footnoteReference w:id="31"/>
      </w:r>
      <w:r w:rsidRPr="008047F1">
        <w:t xml:space="preserve">. Cette </w:t>
      </w:r>
      <w:r w:rsidR="003A4456" w:rsidRPr="008047F1">
        <w:t>saisie</w:t>
      </w:r>
      <w:r w:rsidRPr="008047F1">
        <w:t xml:space="preserve"> permet à l'exécutif d'influencer la prise de décision des magistrats de ces deux hautes cours, entraînant souvent une paralysie fonctionnelle lorsque les intérêts du pouvoir sont en jeu</w:t>
      </w:r>
      <w:r w:rsidR="003A4456">
        <w:rPr>
          <w:rStyle w:val="Appelnotedebasdep"/>
        </w:rPr>
        <w:footnoteReference w:id="32"/>
      </w:r>
      <w:r w:rsidRPr="008047F1">
        <w:t>.</w:t>
      </w:r>
    </w:p>
    <w:p w14:paraId="5695D391" w14:textId="5778BE99" w:rsidR="008047F1" w:rsidRDefault="008047F1" w:rsidP="008047F1">
      <w:r w:rsidRPr="008047F1">
        <w:t>En définitive, le cadre constitutionnel malgache, bien qu'affichant une volonté de séparation des pouvoirs, institutionnalise une forme de tutelle de l'exécutif sur le judiciaire. La Constitution est devenue dans la pratique un instrument pour renforcer le pouvoir présidentiel comme en témoignent les révisions constitutionnelles successives visant à protéger les dirigeants</w:t>
      </w:r>
      <w:r w:rsidR="003A4456">
        <w:rPr>
          <w:rStyle w:val="Appelnotedebasdep"/>
        </w:rPr>
        <w:footnoteReference w:id="33"/>
      </w:r>
      <w:r w:rsidRPr="008047F1">
        <w:t xml:space="preserve">. Cette situation engendre une </w:t>
      </w:r>
      <w:r w:rsidR="003A4456" w:rsidRPr="008047F1">
        <w:t>inquiétude</w:t>
      </w:r>
      <w:r w:rsidRPr="008047F1">
        <w:t xml:space="preserve"> croissante de la population. Lorsque les justiciables perçoivent la justice comme un instrument au service du pouvoir politique plutôt que comme un arbitre impartial, la confiance sociale s'érode. Comme l'affirme Ricœur, l'indignation peut s'affranchir du désir de vengeance qui incite la victime à se faire justice à elle-même</w:t>
      </w:r>
      <w:r w:rsidR="003A4456">
        <w:rPr>
          <w:rStyle w:val="Appelnotedebasdep"/>
        </w:rPr>
        <w:footnoteReference w:id="34"/>
      </w:r>
      <w:r w:rsidRPr="008047F1">
        <w:t>. C'est précisément ce phénomène de vindicte populaire que l'on observe à Madagascar, symptôme direct de la défaillance du pouvoir judiciaire et de son manque d'indépendance réelle</w:t>
      </w:r>
      <w:r w:rsidR="003A4456">
        <w:rPr>
          <w:rStyle w:val="Appelnotedebasdep"/>
        </w:rPr>
        <w:footnoteReference w:id="35"/>
      </w:r>
      <w:r w:rsidRPr="008047F1">
        <w:t>.</w:t>
      </w:r>
    </w:p>
    <w:p w14:paraId="6CCCF330" w14:textId="77777777" w:rsidR="004F769B" w:rsidRPr="008047F1" w:rsidRDefault="004F769B" w:rsidP="008047F1"/>
    <w:p w14:paraId="6416D086" w14:textId="77777777" w:rsidR="004F769B" w:rsidRPr="004F769B" w:rsidRDefault="004F769B" w:rsidP="004F769B">
      <w:pPr>
        <w:pStyle w:val="Titre1"/>
      </w:pPr>
      <w:r w:rsidRPr="004F769B">
        <w:t>2. Méthodologie</w:t>
      </w:r>
    </w:p>
    <w:p w14:paraId="7BB2CEA2" w14:textId="68CB9D4E" w:rsidR="004F769B" w:rsidRPr="004F769B" w:rsidRDefault="004F769B" w:rsidP="004F769B">
      <w:r w:rsidRPr="004F769B">
        <w:t>Pour appréhender la complexité de l'indépendance de la justice à Madagascar, cette étude adopte une approche qualitative fondée sur l'analyse juridique et l'observation des pratiques institutionnelles. Cette démarche permet de confronter les normes constitutionnelles aux réalités politiques observées sur le terrain. L'objectif est de mettre en lumière les écarts entre le droit formel et le droit vécu, en s'appuyant sur des sources primaires et secondaires vérifiées</w:t>
      </w:r>
      <w:r>
        <w:rPr>
          <w:rStyle w:val="Appelnotedebasdep"/>
        </w:rPr>
        <w:footnoteReference w:id="36"/>
      </w:r>
      <w:r w:rsidRPr="004F769B">
        <w:t>.</w:t>
      </w:r>
    </w:p>
    <w:p w14:paraId="15AE1D82" w14:textId="158211CD" w:rsidR="004F769B" w:rsidRPr="004F769B" w:rsidRDefault="004F769B" w:rsidP="004F769B">
      <w:r w:rsidRPr="004F769B">
        <w:t>La première phase de la recherche consiste en une analyse exégétique des textes fondamentaux régissant le pouvoir judiciaire malgache. Il s'agit principalement de la Constitution de la IVème République de 2010 et des lois organiques subséquentes, notamment la loi organique n°2014-043 relative à la Haute Cour de Justice</w:t>
      </w:r>
      <w:r>
        <w:rPr>
          <w:rStyle w:val="Appelnotedebasdep"/>
        </w:rPr>
        <w:footnoteReference w:id="37"/>
      </w:r>
      <w:r w:rsidRPr="004F769B">
        <w:t>. Cette méthode permet d'identifier les dispositions légales qui garantissent théoriquement l'indépendance des magistrats et celles qui, paradoxalement, instituent une tutelle exécutive. En parallèle, cette analyse juridique est enrichie par une revue de la doctrine classique et contemporaine. Les travaux de Montesquieu sur la séparation des pouvoirs servent de grille de lecture théorique pour évaluer la conformité du système malgache aux standards démocratiques</w:t>
      </w:r>
      <w:r>
        <w:rPr>
          <w:rStyle w:val="Appelnotedebasdep"/>
        </w:rPr>
        <w:footnoteReference w:id="38"/>
      </w:r>
      <w:r w:rsidRPr="004F769B">
        <w:t>. De même, les réflexions de Debbasch sur l'indépendance de la justice et de Weber sur la légitimité du pouvoir éclairent les enjeux d’autorité judiciaire</w:t>
      </w:r>
      <w:r>
        <w:rPr>
          <w:rStyle w:val="Appelnotedebasdep"/>
        </w:rPr>
        <w:footnoteReference w:id="39"/>
      </w:r>
      <w:r w:rsidRPr="004F769B">
        <w:t>. Cette approche doctrinale permet de construire un cadre normatif de référence contre lequel les pratiques observées seront mesurées.</w:t>
      </w:r>
    </w:p>
    <w:p w14:paraId="70180E14" w14:textId="622CACF7" w:rsidR="004F769B" w:rsidRDefault="004F769B" w:rsidP="004F769B">
      <w:r w:rsidRPr="004F769B">
        <w:t>La seconde phase repose sur l'observation des faits institutionnels et des dynamiques politiques récentes. L'analyse se concentre sur les mécanismes concrets de gestion de la magistrature tels que les nominations, l'avancement de carrière et l'allocation budgétaire. Les rapports d'organismes de surveillance comme le Sefafi Observatoire de la Vie Publique fournissent des données cruciales sur les interventions politiques dans les procédures judiciaires</w:t>
      </w:r>
      <w:r>
        <w:rPr>
          <w:rStyle w:val="Appelnotedebasdep"/>
        </w:rPr>
        <w:footnoteReference w:id="40"/>
      </w:r>
      <w:r w:rsidRPr="004F769B">
        <w:t>. L'étude examine également le fonctionnement effectif des Hautes Cours (HCC et HCJ) depuis leur mise en place, en relevant les cas de paralysie fonctionnelle ou de partialité apparente lors de crises politiques</w:t>
      </w:r>
      <w:r>
        <w:rPr>
          <w:rStyle w:val="Appelnotedebasdep"/>
        </w:rPr>
        <w:footnoteReference w:id="41"/>
      </w:r>
      <w:r w:rsidRPr="004F769B">
        <w:t>. Cette observation des pratiques permet de vérifier si la gestion de carrière des magistrats est effectivement intimement liée au pouvoir politique comme le suggèrent les textes constitutionnels</w:t>
      </w:r>
      <w:r>
        <w:rPr>
          <w:rStyle w:val="Appelnotedebasdep"/>
        </w:rPr>
        <w:footnoteReference w:id="42"/>
      </w:r>
      <w:r w:rsidRPr="004F769B">
        <w:t>. En croisant ces données factuelles avec l'analyse juridique, la méthodologie vise à démontrer comment l'emprise de l'exécutif se matérialise concrètement, affectant la confiance citoyenne et l'État de droit</w:t>
      </w:r>
      <w:r>
        <w:rPr>
          <w:rStyle w:val="Appelnotedebasdep"/>
        </w:rPr>
        <w:footnoteReference w:id="43"/>
      </w:r>
      <w:r w:rsidRPr="004F769B">
        <w:t>.</w:t>
      </w:r>
    </w:p>
    <w:p w14:paraId="467AED19" w14:textId="77777777" w:rsidR="000933C6" w:rsidRPr="004F769B" w:rsidRDefault="000933C6" w:rsidP="004F769B"/>
    <w:p w14:paraId="688C6B84" w14:textId="77777777" w:rsidR="000933C6" w:rsidRPr="000933C6" w:rsidRDefault="000933C6" w:rsidP="000933C6">
      <w:pPr>
        <w:pStyle w:val="Titre1"/>
      </w:pPr>
      <w:r w:rsidRPr="000933C6">
        <w:t>3. Résultats</w:t>
      </w:r>
    </w:p>
    <w:p w14:paraId="6E05A7AD" w14:textId="1F6CF848" w:rsidR="000933C6" w:rsidRDefault="000933C6" w:rsidP="000933C6">
      <w:r w:rsidRPr="000933C6">
        <w:t>L'analyse des dispositions constitutionnelles et des pratiques institutionnelles à Madagascar révèle une réalité contrastée où l'indépendance judiciaire, bien que proclamée, se heurte à des mécanismes structurels de dépendance. Cette section expose les résultats de l'investigation menée sur l'organisation du pouvoir judiciaire, en mettant en lumière les vecteurs de l'emprise exécutive.</w:t>
      </w:r>
    </w:p>
    <w:p w14:paraId="0326A50D" w14:textId="77777777" w:rsidR="000933C6" w:rsidRPr="000933C6" w:rsidRDefault="000933C6" w:rsidP="000933C6"/>
    <w:p w14:paraId="69FE9A4C" w14:textId="327DA957" w:rsidR="000933C6" w:rsidRPr="000933C6" w:rsidRDefault="000933C6" w:rsidP="000933C6">
      <w:pPr>
        <w:pStyle w:val="Titre1"/>
      </w:pPr>
      <w:r w:rsidRPr="000933C6">
        <w:t>3.1. La mainmise de l'exécutif sur la gestion des magistrats</w:t>
      </w:r>
    </w:p>
    <w:p w14:paraId="67723896" w14:textId="68AE43D4" w:rsidR="000933C6" w:rsidRPr="000933C6" w:rsidRDefault="000933C6" w:rsidP="000933C6">
      <w:r w:rsidRPr="000933C6">
        <w:t>Le premier résultat majeur de cette étude concerne la composition et la présidence du Conseil Supérieur de la Magistrature (CSM). En vertu de l'article 107 de la Constitution de 2010, le Président de la République est le garant de l'indépendance de la justice et préside le CSM</w:t>
      </w:r>
      <w:r>
        <w:rPr>
          <w:rStyle w:val="Appelnotedebasdep"/>
        </w:rPr>
        <w:footnoteReference w:id="44"/>
      </w:r>
      <w:r w:rsidRPr="000933C6">
        <w:t>. Cette disposition place le chef de l'exécutif à la tête de l'organe chargé de la gestion de carrière des magistrats. De plus, le Ministre de la Justice assiste le Président en qualité de vice-président du Conseil</w:t>
      </w:r>
      <w:r>
        <w:rPr>
          <w:rStyle w:val="Appelnotedebasdep"/>
        </w:rPr>
        <w:footnoteReference w:id="45"/>
      </w:r>
      <w:r w:rsidRPr="000933C6">
        <w:t>. Cette configuration institutionnelle crée une confusion organique des pouvoirs car les deux plus hautes autorités de l'exécutif dirigent l'instance censée protéger l'autonomie du judiciaire. Comme le souligne le document de base, cette situation place les magistrats dans une position de dépendance hiérarchique vis-à-vis de l'exécutif, rendant difficile l'émancipation du lien qui les unit au second pouvoir</w:t>
      </w:r>
      <w:r>
        <w:rPr>
          <w:rStyle w:val="Appelnotedebasdep"/>
        </w:rPr>
        <w:footnoteReference w:id="46"/>
      </w:r>
      <w:r w:rsidRPr="000933C6">
        <w:t>. Le CSM, qui devrait être un organe de sauvegarde, devient ainsi un instrument de gestion politique de la magistrature.</w:t>
      </w:r>
    </w:p>
    <w:p w14:paraId="23F1D0AC" w14:textId="2962D275" w:rsidR="000933C6" w:rsidRPr="000933C6" w:rsidRDefault="000933C6" w:rsidP="000933C6">
      <w:r w:rsidRPr="000933C6">
        <w:t>Cette tutelle organique a des conséquences directes et tangibles sur la carrière des magistrats. L'analyse des pratiques montre que l'avancement, les nominations et les sanctions sont intimement liés au pouvoir politique. Les magistrats se trouvent souvent dans l'incapacité de rendre des décisions autonomes par peur de représailles à leur encontre</w:t>
      </w:r>
      <w:r>
        <w:rPr>
          <w:rStyle w:val="Appelnotedebasdep"/>
        </w:rPr>
        <w:footnoteReference w:id="47"/>
      </w:r>
      <w:r w:rsidRPr="000933C6">
        <w:t>. La gestion de carrière étant contrôlée par le Président et le Ministre, la loyauté politique devient parfois un critère implicite d'évolution professionnelle. Cette situation engendre une dette morale des juges envers l'exécutif, altérant leur indépendance personnelle. Selon les résolutions des assises nationales de la magistrature malgache, les juges militent pour dénoncer toutes interventions tendant à modifier le cours normal d'une procédure judiciaire</w:t>
      </w:r>
      <w:r>
        <w:rPr>
          <w:rStyle w:val="Appelnotedebasdep"/>
        </w:rPr>
        <w:footnoteReference w:id="48"/>
      </w:r>
      <w:r w:rsidRPr="000933C6">
        <w:t>. Pourtant, la réalité du terrain indique que la crainte de la révocation ou de la rétrogradation pèse lourdement sur leur conscience professionnelle. Le doyen Debbasch rappelait à cet égard que l'indépendance ne doit pas servir à assurer un confort de carrière aux magistrats mais à garantir aux citoyens que les décisions sont rendues en âme et conscience</w:t>
      </w:r>
      <w:r>
        <w:rPr>
          <w:rStyle w:val="Appelnotedebasdep"/>
        </w:rPr>
        <w:footnoteReference w:id="49"/>
      </w:r>
      <w:r w:rsidRPr="000933C6">
        <w:t>. Or, à Madagascar, la carrière elle-même est l'enjeu qui compromet cette garantie.</w:t>
      </w:r>
    </w:p>
    <w:p w14:paraId="6D065E2B" w14:textId="064C79D3" w:rsidR="004359B5" w:rsidRDefault="000933C6" w:rsidP="000933C6">
      <w:r w:rsidRPr="000933C6">
        <w:t>En outre, les résultats mettent en évidence une dépendance financière et administrative critique. Le pouvoir judiciaire ne dispose pas d'une autonomie budgétaire réelle ; c'est l'exécutif qui détient le cordon de la bourse</w:t>
      </w:r>
      <w:r>
        <w:rPr>
          <w:rStyle w:val="Appelnotedebasdep"/>
        </w:rPr>
        <w:footnoteReference w:id="50"/>
      </w:r>
      <w:r w:rsidRPr="000933C6">
        <w:t>. Cette dépendance économique liée aux dépenses de fonctionnement et aux salaires des magistrats occasionne la possibilité de chantage ainsi que de prise illégale d'intérêts</w:t>
      </w:r>
      <w:r>
        <w:rPr>
          <w:rStyle w:val="Appelnotedebasdep"/>
        </w:rPr>
        <w:footnoteReference w:id="51"/>
      </w:r>
      <w:r w:rsidRPr="000933C6">
        <w:t>. Si l'exécutif contrôle le budget, il dispose d'un moyen de pression considérable pouvant aller jusqu'à la restriction des moyens de fonctionnement des juridictions. Sur le plan administratif, la carte judiciaire et la politique pénale relèvent des prérogatives du Gouvernement</w:t>
      </w:r>
      <w:r>
        <w:rPr>
          <w:rStyle w:val="Appelnotedebasdep"/>
        </w:rPr>
        <w:footnoteReference w:id="52"/>
      </w:r>
      <w:r w:rsidRPr="000933C6">
        <w:t>. Le Ministre de la Justice peut ainsi influencer le juge par l'opportunité politique et la promotion professionnelle. Cette immixtion contredit le principe selon lequel les tribunaux doivent avoir le pouvoir d'administrer eux-mêmes sans pression ni influence de la part d'autres organes</w:t>
      </w:r>
      <w:r>
        <w:rPr>
          <w:rStyle w:val="Appelnotedebasdep"/>
        </w:rPr>
        <w:footnoteReference w:id="53"/>
      </w:r>
      <w:r w:rsidRPr="000933C6">
        <w:t>. Montesquieu avait averti que c'est une expérience éternelle que tout homme qui a du pouvoir est porté à en abuser</w:t>
      </w:r>
      <w:r>
        <w:rPr>
          <w:rStyle w:val="Appelnotedebasdep"/>
        </w:rPr>
        <w:footnoteReference w:id="54"/>
      </w:r>
      <w:r w:rsidRPr="000933C6">
        <w:t>. À Madagascar, la concentration de la gestion administrative et financière entre les mains de l'exécutif valide cette assertion, créant un environnement où l'autonomie personnelle des magistrats se trouve automatiquement altérée par la dépendance structurelle de leur institution</w:t>
      </w:r>
      <w:r>
        <w:rPr>
          <w:rStyle w:val="Appelnotedebasdep"/>
        </w:rPr>
        <w:footnoteReference w:id="55"/>
      </w:r>
      <w:r w:rsidRPr="000933C6">
        <w:t>.</w:t>
      </w:r>
    </w:p>
    <w:p w14:paraId="1C7C5671" w14:textId="77777777" w:rsidR="00842E62" w:rsidRDefault="00842E62" w:rsidP="000933C6"/>
    <w:p w14:paraId="6F051026" w14:textId="77777777" w:rsidR="00842E62" w:rsidRPr="00842E62" w:rsidRDefault="00842E62" w:rsidP="00842E62">
      <w:pPr>
        <w:pStyle w:val="Titre1"/>
      </w:pPr>
      <w:r w:rsidRPr="00842E62">
        <w:t>3.2. L'influence politique au sein des Hautes Cours</w:t>
      </w:r>
    </w:p>
    <w:p w14:paraId="30496C21" w14:textId="58C5EFD5" w:rsidR="00842E62" w:rsidRPr="00842E62" w:rsidRDefault="00842E62" w:rsidP="00842E62">
      <w:r w:rsidRPr="00842E62">
        <w:t>Au-delà de la gestion courante des magistrats, l'emprise de l'exécutif se manifeste avec une acuité particulière au sein des Hautes Cours, instances suprêmes censées réguler les pouvoirs de l'État. L'analyse des modes de nomination et des prérogatives de la Haute Cour Constitutionnelle (HCC) et de la Haute Cour de Justice (HCJ) révèle des mécanismes institutionnels qui favorisent une influence politique directe. Cette situation compromet l'impartialité attendue de ces organes, surtout lorsque les intérêts du pouvoir en place sont engagés</w:t>
      </w:r>
      <w:r>
        <w:rPr>
          <w:rStyle w:val="Appelnotedebasdep"/>
        </w:rPr>
        <w:footnoteReference w:id="56"/>
      </w:r>
      <w:r w:rsidRPr="00842E62">
        <w:t>.</w:t>
      </w:r>
    </w:p>
    <w:p w14:paraId="0BC5FE3D" w14:textId="1D9C4F51" w:rsidR="00842E62" w:rsidRPr="00842E62" w:rsidRDefault="00842E62" w:rsidP="00842E62">
      <w:r w:rsidRPr="00842E62">
        <w:t>S'agissant de la Haute Cour Constitutionnelle, la Constitution de 2010 prévoit une composition qui laisse une marge de manœuvre significative au Chef de l'État. En effet, le Président de la République nomme directement trois des neuf membres de cette institution</w:t>
      </w:r>
      <w:r>
        <w:rPr>
          <w:rStyle w:val="Appelnotedebasdep"/>
        </w:rPr>
        <w:footnoteReference w:id="57"/>
      </w:r>
      <w:r w:rsidRPr="00842E62">
        <w:t>. Les six autres membres sont désignés par le Conseil Supérieur de la Magistrature, l'Assemblée Nationale et le Sénat</w:t>
      </w:r>
      <w:r>
        <w:rPr>
          <w:rStyle w:val="Appelnotedebasdep"/>
        </w:rPr>
        <w:footnoteReference w:id="58"/>
      </w:r>
      <w:r w:rsidRPr="00842E62">
        <w:t>. Bien que cette répartition semble équilibrée, la réalité politique montre que la majorité présidentielle influence souvent les nominations parlementaires et celles du CSM dont le Président de la République est le garant. Cette cour joue un rôle pivotal dans la vie démocratique notamment dans la proclamation des résultats des élections et la validation des référendums</w:t>
      </w:r>
      <w:r>
        <w:rPr>
          <w:rStyle w:val="Appelnotedebasdep"/>
        </w:rPr>
        <w:footnoteReference w:id="59"/>
      </w:r>
      <w:r w:rsidRPr="00842E62">
        <w:t>. De manière critique, elle est compétente pour prononcer la déchéance du Président de la République en cas d'empêchement ou de haute trahison</w:t>
      </w:r>
      <w:r>
        <w:rPr>
          <w:rStyle w:val="Appelnotedebasdep"/>
        </w:rPr>
        <w:footnoteReference w:id="60"/>
      </w:r>
      <w:r w:rsidRPr="00842E62">
        <w:t>. Cependant, la présence de membres nommés par le Président lui-même crée un conflit d'intérêts structurel lors de l'examen de recours électoraux ou de procédures de destitution impliquant le Chef de l'État.</w:t>
      </w:r>
    </w:p>
    <w:p w14:paraId="45B7323E" w14:textId="6A8146E2" w:rsidR="00842E62" w:rsidRPr="00842E62" w:rsidRDefault="00842E62" w:rsidP="00842E62">
      <w:r w:rsidRPr="00842E62">
        <w:t>La situation de la Haute Cour de Justice (HCJ) illustre encore plus flagra</w:t>
      </w:r>
      <w:r>
        <w:t>nt</w:t>
      </w:r>
      <w:r w:rsidRPr="00842E62">
        <w:t xml:space="preserve"> les difficultés de mise en œuvre de la justice indépendante pour les hauts dignitaires. Instituée par la loi organique n°2014-043, cette cour est chargée de juger le Président de la République, le Premier ministre, les membres du gouvernement et les présidents des assemblées parlementaires pour les infractions commises dans l'exercice de leurs fonctions</w:t>
      </w:r>
      <w:r>
        <w:rPr>
          <w:rStyle w:val="Appelnotedebasdep"/>
        </w:rPr>
        <w:footnoteReference w:id="61"/>
      </w:r>
      <w:r w:rsidRPr="00842E62">
        <w:t>. Pourtant, malgré son existence légale depuis 2014, elle n'a connu une effectivité opérationnelle qu'à partir de 2018</w:t>
      </w:r>
      <w:r>
        <w:rPr>
          <w:rStyle w:val="Appelnotedebasdep"/>
        </w:rPr>
        <w:footnoteReference w:id="62"/>
      </w:r>
      <w:r w:rsidRPr="00842E62">
        <w:t>. Cette latence s'explique par la complexité des procédures de mise en accusation et la réticence politique à activer un mécanisme pouvant conduire à la sanction des dirigeants. La procédure de dénonciation est longue, opaque et soumise à des filtres politiques qui protègent de facto les hauts dignitaires du régime</w:t>
      </w:r>
      <w:r>
        <w:rPr>
          <w:rStyle w:val="Appelnotedebasdep"/>
        </w:rPr>
        <w:footnoteReference w:id="63"/>
      </w:r>
      <w:r w:rsidRPr="00842E62">
        <w:t>.</w:t>
      </w:r>
    </w:p>
    <w:p w14:paraId="200F4453" w14:textId="11772A2B" w:rsidR="00842E62" w:rsidRPr="00842E62" w:rsidRDefault="00842E62" w:rsidP="00842E62">
      <w:r w:rsidRPr="00842E62">
        <w:t>Les preuves de la paralysie fonctionnelle de ces cours lorsque les intérêts du pouvoir sont en jeu sont multiples. L'influence indirecte exercée par l'exécutif au Parlement constitue un vice apparent dans le cadre de la proposition de résolution de mise en accusation</w:t>
      </w:r>
      <w:r>
        <w:rPr>
          <w:rStyle w:val="Appelnotedebasdep"/>
        </w:rPr>
        <w:footnoteReference w:id="64"/>
      </w:r>
      <w:r w:rsidRPr="00842E62">
        <w:t>. La protection des intérêts communs des membres des partis au pouvoir prime souvent sur l'exigence de justice. De plus, la dépendance économique liée aux dépenses de fonctionnement et aux salaires des magistrats de ces deux cours occasionne la possibilité de chantage ainsi que de prise illégale d'intérêts</w:t>
      </w:r>
      <w:r w:rsidR="007E76E7">
        <w:rPr>
          <w:rStyle w:val="Appelnotedebasdep"/>
        </w:rPr>
        <w:footnoteReference w:id="65"/>
      </w:r>
      <w:r w:rsidRPr="00842E62">
        <w:t>. L'exécutif dispose d'un moyen de pression financière à l'égard tant de la Haute Cour de Justice que de la Haute Cour Constitutionnelle. Cette réalité valide l'analyse de Montesquieu sur la nature du pouvoir :</w:t>
      </w:r>
    </w:p>
    <w:p w14:paraId="04BCE8CA" w14:textId="0DB5842A" w:rsidR="00842E62" w:rsidRPr="00842E62" w:rsidRDefault="00842E62" w:rsidP="00842E62">
      <w:r w:rsidRPr="00842E62">
        <w:t>C'est une expérience éternelle, que tout homme qui a du pouvoir est porté à en abuser ; il va jusqu'à ce qu'il trouve des limites. Pour qu'on ne puisse abuser du pouvoir, il faut que par la disposition des choses, le pouvoir arrête le pouvoir</w:t>
      </w:r>
      <w:r w:rsidR="007E76E7">
        <w:rPr>
          <w:rStyle w:val="Appelnotedebasdep"/>
        </w:rPr>
        <w:footnoteReference w:id="66"/>
      </w:r>
      <w:r w:rsidRPr="00842E62">
        <w:t>.</w:t>
      </w:r>
    </w:p>
    <w:p w14:paraId="5E3B4F8B" w14:textId="67B57E5D" w:rsidR="00842E62" w:rsidRDefault="00842E62" w:rsidP="00842E62">
      <w:r w:rsidRPr="00842E62">
        <w:t>À Madagascar, les limites font défaut car l'exécutif contrôle les organes censés le limiter. Historiquement, la Constitution elle-même est devenue un instrument pour renforcer le pouvoir présidentiel des dirigeants comme en témoignent les révisions constitutionnelles successives</w:t>
      </w:r>
      <w:r w:rsidR="007E76E7">
        <w:rPr>
          <w:rStyle w:val="Appelnotedebasdep"/>
        </w:rPr>
        <w:footnoteReference w:id="67"/>
      </w:r>
      <w:r w:rsidRPr="00842E62">
        <w:t>. Durant la première République, le président Zafy Albert fit l'objet d'un empêchement par le Parlement, suivi d'une destitution par la HCC. Par vigilance, son successeur Didier Ratsiraka procéda à la révision de la Constitution en 1998 pour limiter les cas d'empêchement</w:t>
      </w:r>
      <w:r w:rsidR="007E76E7">
        <w:rPr>
          <w:rStyle w:val="Appelnotedebasdep"/>
        </w:rPr>
        <w:footnoteReference w:id="68"/>
      </w:r>
      <w:r w:rsidRPr="00842E62">
        <w:t>. Ces précédents historiques montrent que les hauts dignitaires utilisent les réformes juridiques pour se mettre à l'abri des sanctions judiciaires. Aujourd'hui, la partialité et la complaisance pointent leur nez lorsqu'il s'agit de défendre un haut dignitaire du régime</w:t>
      </w:r>
      <w:r w:rsidR="007E76E7">
        <w:rPr>
          <w:rStyle w:val="Appelnotedebasdep"/>
        </w:rPr>
        <w:footnoteReference w:id="69"/>
      </w:r>
      <w:r w:rsidRPr="00842E62">
        <w:t>. Cette partialité est le corolaire d'une contrainte personnelle sur la carrière professionnelle et sur le budget. En conséquence, l'exécutif est, en quelques sortes, à l'abri de toutes sanctions résultant de la procédure de mise en accusation</w:t>
      </w:r>
      <w:r w:rsidR="007E76E7">
        <w:rPr>
          <w:rStyle w:val="Appelnotedebasdep"/>
        </w:rPr>
        <w:footnoteReference w:id="70"/>
      </w:r>
      <w:r w:rsidRPr="00842E62">
        <w:t>. Cette impunité de fait engendre une défiance croissante de la population et contribue au déclin de l'autorité de l'État de droit dans la Grande Île</w:t>
      </w:r>
      <w:r w:rsidR="007E76E7">
        <w:rPr>
          <w:rStyle w:val="Appelnotedebasdep"/>
        </w:rPr>
        <w:footnoteReference w:id="71"/>
      </w:r>
      <w:r w:rsidRPr="00842E62">
        <w:t>.</w:t>
      </w:r>
    </w:p>
    <w:p w14:paraId="2A51D219" w14:textId="77777777" w:rsidR="00145D0E" w:rsidRPr="00842E62" w:rsidRDefault="00145D0E" w:rsidP="00842E62"/>
    <w:p w14:paraId="24789C50" w14:textId="77777777" w:rsidR="00145D0E" w:rsidRPr="00145D0E" w:rsidRDefault="00145D0E" w:rsidP="00145D0E">
      <w:pPr>
        <w:pStyle w:val="Titre1"/>
      </w:pPr>
      <w:r w:rsidRPr="00145D0E">
        <w:t>3.3. La corruption et la défaillance du service public judiciaire</w:t>
      </w:r>
    </w:p>
    <w:p w14:paraId="42118094" w14:textId="6F393D1F" w:rsidR="00145D0E" w:rsidRPr="00145D0E" w:rsidRDefault="00145D0E" w:rsidP="00145D0E">
      <w:r w:rsidRPr="00145D0E">
        <w:t>Les conséquences de l'emprise de l'exécutif sur le pouvoir judiciaire ne se limitent pas aux seuls aspects institutionnels ; elles se répercutent directement sur la qualité du service public rendu aux justiciables. La défaillance du pouvoir judiciaire à Madagascar se manifeste par une corruption endémique et une administration défaillante</w:t>
      </w:r>
      <w:r w:rsidR="007737F6">
        <w:t xml:space="preserve"> </w:t>
      </w:r>
      <w:r w:rsidRPr="00145D0E">
        <w:t>qui érodent la confiance citoyenne. Cette section analyse les liens entre la précarité des magistrats, la lourdeur des procédures et la perte de légitimité de l'institution judiciaire aux yeux de la population</w:t>
      </w:r>
      <w:r w:rsidR="007737F6">
        <w:rPr>
          <w:rStyle w:val="Appelnotedebasdep"/>
        </w:rPr>
        <w:footnoteReference w:id="72"/>
      </w:r>
      <w:r w:rsidRPr="00145D0E">
        <w:t>.</w:t>
      </w:r>
    </w:p>
    <w:p w14:paraId="347E8D9A" w14:textId="13AD576C" w:rsidR="00145D0E" w:rsidRPr="00145D0E" w:rsidRDefault="00145D0E" w:rsidP="00145D0E">
      <w:r w:rsidRPr="00145D0E">
        <w:t>Le premier facteur de défaillance réside dans le lien étroit entre la précarité des magistrats et la corruption. La dépendance économique liée aux dépenses de fonctionnement et aux salaires des magistrats occasionne la possibilité de chantage ainsi que de prise illégale d'intérêts</w:t>
      </w:r>
      <w:r w:rsidR="007737F6">
        <w:rPr>
          <w:rStyle w:val="Appelnotedebasdep"/>
        </w:rPr>
        <w:footnoteReference w:id="73"/>
      </w:r>
      <w:r w:rsidRPr="00145D0E">
        <w:t>. Lorsque l'exécutif détient le cordon de la bourse, il dispose d'un levier de pression qui fragilise l'intégrité des juges. Le favoritisme, le népotisme ainsi que la corruption sont devenus monnaie courante au sein de la magistrature, en raison de cette mainmise totale sur la gestion des carrières et des budgets</w:t>
      </w:r>
      <w:r w:rsidR="007737F6">
        <w:rPr>
          <w:rStyle w:val="Appelnotedebasdep"/>
        </w:rPr>
        <w:footnoteReference w:id="74"/>
      </w:r>
      <w:r w:rsidRPr="00145D0E">
        <w:t>. Les magistrats, confrontés à des conditions de travail difficiles et à une rémunération parfois insuffisante, peuvent être tentés de céder à des sollicitations externes. Cette situation contredit l'idéal de vertu nécessaire à la fonction judiciaire. Comme le soulignait Montesquieu, l'amour de la démocratie est celui de l'égalité</w:t>
      </w:r>
      <w:r w:rsidR="007737F6">
        <w:t xml:space="preserve"> </w:t>
      </w:r>
      <w:r w:rsidRPr="00145D0E">
        <w:t>et personne ne doit être au-dessus de la loi</w:t>
      </w:r>
      <w:r w:rsidR="007737F6">
        <w:rPr>
          <w:rStyle w:val="Appelnotedebasdep"/>
        </w:rPr>
        <w:footnoteReference w:id="75"/>
      </w:r>
      <w:r w:rsidRPr="00145D0E">
        <w:t>. Or, la corruption introduit une inégalité fondamentale dans le traitement des dossiers, où la justice devient une marchandise accessible selon les moyens financiers ou les relations politiques du justiciable.</w:t>
      </w:r>
    </w:p>
    <w:p w14:paraId="760B0CA2" w14:textId="553CB408" w:rsidR="00145D0E" w:rsidRPr="00145D0E" w:rsidRDefault="00145D0E" w:rsidP="00145D0E">
      <w:r w:rsidRPr="00145D0E">
        <w:t>Par ailleurs, la défaillance du service public judiciaire se caractérise par une lenteur administrative et des coûts de procédure prohibitifs. Face à la lenteur administrative et aux frais coûteux de la procédure, le peuple montre sa réticence à recourir à la justice en cas de préjudice. Cette situation crée un double effet pervers. D'une part, elle décourage les citoyens honnêtes de faire valoir leurs droits, laissant les infractions impunies. D'autre part, elle encourage le recours à des solutions informelles ou illégales pour régler les différends. Le pouvoir judiciaire doit avoir la capacité de répondre aux besoins de l'intérêt général mais l'encombrement des tribunaux et la complexité des démarches rendent cet accès difficil</w:t>
      </w:r>
      <w:r w:rsidR="00452372">
        <w:t>e</w:t>
      </w:r>
      <w:r w:rsidR="00452372">
        <w:rPr>
          <w:rStyle w:val="Appelnotedebasdep"/>
        </w:rPr>
        <w:footnoteReference w:id="76"/>
      </w:r>
      <w:r w:rsidRPr="00145D0E">
        <w:t>. L'État de droit sera toujours une utopie s'il n'y a pas de justice libre et indépendante dans le système républicain, capable de rendre des décisions rapides et abordables</w:t>
      </w:r>
      <w:r w:rsidR="00452372">
        <w:rPr>
          <w:rStyle w:val="Appelnotedebasdep"/>
        </w:rPr>
        <w:footnoteReference w:id="77"/>
      </w:r>
      <w:r w:rsidRPr="00145D0E">
        <w:t>.</w:t>
      </w:r>
    </w:p>
    <w:p w14:paraId="20F08BD4" w14:textId="2A3E91BB" w:rsidR="00145D0E" w:rsidRPr="00145D0E" w:rsidRDefault="00145D0E" w:rsidP="00145D0E">
      <w:r w:rsidRPr="00145D0E">
        <w:t>Enfin, ces dysfonctionnements entraînent une perte de confiance majeure de la population envers l'institution judiciaire. Au sein de l'État Malgache, les citoyens n'ont plus confiance aux juges, percevant l'institution comme partiale et inefficace</w:t>
      </w:r>
      <w:r w:rsidR="00452372">
        <w:rPr>
          <w:rStyle w:val="Appelnotedebasdep"/>
        </w:rPr>
        <w:footnoteReference w:id="78"/>
      </w:r>
      <w:r w:rsidRPr="00145D0E">
        <w:t>. Cette situation engendre des désordres sociaux comme l'indignation ou d'autres formes de violence. Le phénomène de la vindicte populaire dans la société malgache vient donc probablement de l'indignation générale occasionnée par le manque d'indépendance du pouvoir judiciaire</w:t>
      </w:r>
      <w:r w:rsidR="00452372">
        <w:rPr>
          <w:rStyle w:val="Appelnotedebasdep"/>
        </w:rPr>
        <w:footnoteReference w:id="79"/>
      </w:r>
      <w:r w:rsidRPr="00145D0E">
        <w:t>. Lorsque la justice étatique faillit à sa mission, les citoyens se font justice eux-mêmes, brisant le monopole de la violence légitime détenu par l'État. Paul Ricœur avait analysé ce mécanisme en affirmant que :</w:t>
      </w:r>
    </w:p>
    <w:p w14:paraId="473109EC" w14:textId="1F270F3E" w:rsidR="00145D0E" w:rsidRPr="00145D0E" w:rsidRDefault="00145D0E" w:rsidP="00145D0E">
      <w:r w:rsidRPr="00145D0E">
        <w:t>L'indignation peut s'affranchir du désir de vengeance qui incite la victime à se faire justice à elle-même</w:t>
      </w:r>
      <w:r w:rsidR="00887C2F">
        <w:rPr>
          <w:rStyle w:val="Appelnotedebasdep"/>
        </w:rPr>
        <w:footnoteReference w:id="80"/>
      </w:r>
      <w:r w:rsidRPr="00145D0E">
        <w:t>.</w:t>
      </w:r>
    </w:p>
    <w:p w14:paraId="3F568EA2" w14:textId="7F8966E1" w:rsidR="00145D0E" w:rsidRDefault="00145D0E" w:rsidP="00145D0E">
      <w:r w:rsidRPr="00145D0E">
        <w:t xml:space="preserve">Cette dérive menace directement la cohésion sociale et la culture du </w:t>
      </w:r>
      <w:r w:rsidRPr="00145D0E">
        <w:rPr>
          <w:i/>
          <w:iCs/>
        </w:rPr>
        <w:t>Fihavanana</w:t>
      </w:r>
      <w:r w:rsidRPr="00145D0E">
        <w:t xml:space="preserve"> du peuple malgache</w:t>
      </w:r>
      <w:r w:rsidR="00887C2F">
        <w:rPr>
          <w:rStyle w:val="Appelnotedebasdep"/>
        </w:rPr>
        <w:footnoteReference w:id="81"/>
      </w:r>
      <w:r w:rsidRPr="00145D0E">
        <w:t xml:space="preserve">. Effectivement, les problèmes de justice touchent également le </w:t>
      </w:r>
      <w:r w:rsidRPr="00145D0E">
        <w:rPr>
          <w:i/>
          <w:iCs/>
        </w:rPr>
        <w:t>Fihavanana</w:t>
      </w:r>
      <w:r w:rsidRPr="00145D0E">
        <w:t xml:space="preserve"> malagasy car une famille de la victime d'une vindicte populaire va vouloir se venger, instaurant une sorte de vendetta qui gangrène la société. La paix, la sécurité et surtout le </w:t>
      </w:r>
      <w:r w:rsidRPr="00145D0E">
        <w:rPr>
          <w:i/>
          <w:iCs/>
        </w:rPr>
        <w:t>Fihavanana</w:t>
      </w:r>
      <w:r w:rsidRPr="00145D0E">
        <w:t xml:space="preserve"> ne seront plus maintenus au sein de l'organisation sociale si l'injustice persiste. Sur le plan psychologique, au quotidien, le peuple se désintéresse et se méfie de la justice, créant un climat de peur quand il s'agit de porter plainte contre certains individus haut placés</w:t>
      </w:r>
      <w:r w:rsidR="00887C2F">
        <w:rPr>
          <w:rStyle w:val="Appelnotedebasdep"/>
        </w:rPr>
        <w:footnoteReference w:id="82"/>
      </w:r>
      <w:r w:rsidRPr="00145D0E">
        <w:t>. Rien ne donne plus de force aux lois, que la subordination extrême des citoyens aux magistrats mais cette subordination nécessite que les magistrats soient eux-mêmes soumis à l'éthique et à la loi</w:t>
      </w:r>
      <w:r w:rsidR="00887C2F">
        <w:rPr>
          <w:rStyle w:val="Appelnotedebasdep"/>
        </w:rPr>
        <w:footnoteReference w:id="83"/>
      </w:r>
      <w:r w:rsidRPr="00145D0E">
        <w:t>. En l'absence de cette confiance, la légitimité du pouvoir judiciaire s'effondre, validant ainsi les constats qualitatifs sur la défaillance alarmante du système</w:t>
      </w:r>
      <w:r w:rsidR="00887C2F">
        <w:rPr>
          <w:rStyle w:val="Appelnotedebasdep"/>
        </w:rPr>
        <w:footnoteReference w:id="84"/>
      </w:r>
      <w:r w:rsidRPr="00145D0E">
        <w:t>.</w:t>
      </w:r>
    </w:p>
    <w:p w14:paraId="5B9CE51D" w14:textId="77777777" w:rsidR="003A4C4A" w:rsidRPr="00145D0E" w:rsidRDefault="003A4C4A" w:rsidP="00145D0E"/>
    <w:p w14:paraId="0D58D9F3" w14:textId="77777777" w:rsidR="003A4C4A" w:rsidRPr="003A4C4A" w:rsidRDefault="003A4C4A" w:rsidP="003A4C4A">
      <w:pPr>
        <w:pStyle w:val="Titre1"/>
      </w:pPr>
      <w:r w:rsidRPr="003A4C4A">
        <w:t>4. Discussion</w:t>
      </w:r>
    </w:p>
    <w:p w14:paraId="24ADFF6B" w14:textId="25D8792E" w:rsidR="003A4C4A" w:rsidRPr="003A4C4A" w:rsidRDefault="003A4C4A" w:rsidP="003A4C4A">
      <w:r w:rsidRPr="003A4C4A">
        <w:t>Les résultats exposés précédemment mettent en lumière une réalité institutionnelle où l'indépendance judiciaire à Madagascar demeure largement théorique. Cette section se propose d'interpréter ces constats à la lumière des principes fondamentaux de l'État de droit et des spécificités socioculturelles malgaches. L'analyse des mécanismes de l'emprise exécutive permet de comprendre les ramifications profondes de cette dépendance sur la démocratie et la cohésion sociale. Il s'agit dès lors de dépasser le simple constat juridique pour explorer les implications politiques et sociales d'une justice sous tutelle, tout en envisageant des pistes de réforme structurelle</w:t>
      </w:r>
      <w:r>
        <w:rPr>
          <w:rStyle w:val="Appelnotedebasdep"/>
        </w:rPr>
        <w:footnoteReference w:id="85"/>
      </w:r>
      <w:r w:rsidRPr="003A4C4A">
        <w:t>.</w:t>
      </w:r>
    </w:p>
    <w:p w14:paraId="422C71EE" w14:textId="0CDED5AA" w:rsidR="003A4C4A" w:rsidRPr="003A4C4A" w:rsidRDefault="003A4C4A" w:rsidP="003A4C4A">
      <w:r w:rsidRPr="003A4C4A">
        <w:rPr>
          <w:b/>
          <w:bCs/>
        </w:rPr>
        <w:t>4.1. Impacts sur l'État de Droit et la Démocr</w:t>
      </w:r>
      <w:r>
        <w:rPr>
          <w:b/>
          <w:bCs/>
        </w:rPr>
        <w:t>at</w:t>
      </w:r>
      <w:r w:rsidRPr="003A4C4A">
        <w:rPr>
          <w:b/>
          <w:bCs/>
        </w:rPr>
        <w:t>ie</w:t>
      </w:r>
    </w:p>
    <w:p w14:paraId="3E1B8AEE" w14:textId="4A863C2F" w:rsidR="003A4C4A" w:rsidRPr="003A4C4A" w:rsidRDefault="003A4C4A" w:rsidP="003A4C4A">
      <w:r w:rsidRPr="003A4C4A">
        <w:t>La violation du principe de séparation des pouvoirs constitue le cœur de la problématique démocratique à Madagascar. Comme l'ont démontré les résultats, la concentration des pouvoirs de gestion de la magistrature entre les mains de l'exécutif contredit directement la philosophie politique de Montesquieu. Ce dernier affirmait que pour qu'on ne puisse abuser du pouvoir, il faut que, par la disposition des choses, le pouvoir arrête le pouvoir</w:t>
      </w:r>
      <w:r>
        <w:rPr>
          <w:rStyle w:val="Appelnotedebasdep"/>
        </w:rPr>
        <w:footnoteReference w:id="86"/>
      </w:r>
      <w:r w:rsidRPr="003A4C4A">
        <w:t>. Or, dans le système actuel, le pouvoir exécutif ne trouve pas de limite effective dans le pouvoir judiciaire, puisque c'est lui qui nomme, gère et finance les magistrats. Cette configuration engendre un risque majeur d'arbitraire, où la loi n'est plus appliquée avec impartialité mais selon les intérêts du moment politique.</w:t>
      </w:r>
    </w:p>
    <w:p w14:paraId="41ADB3A3" w14:textId="42E3412D" w:rsidR="003A4C4A" w:rsidRPr="003A4C4A" w:rsidRDefault="003A4C4A" w:rsidP="003A4C4A">
      <w:r w:rsidRPr="003A4C4A">
        <w:t>Le risque d'une justice à deux vitesses devient alors une réalité tangible. D'un côté, les justiciables ordinaires subissent la rigueur de la loi, souvent avec lenteur et coûts élevés. De l'autre, les hauts dignitaires de l'État bénéficient d'une protection implicite grâce aux verrous institutionnels mis en place au sein de la Haute Cour de Justice et de la Haute Cour Constitutionnelle</w:t>
      </w:r>
      <w:r>
        <w:rPr>
          <w:rStyle w:val="Appelnotedebasdep"/>
        </w:rPr>
        <w:footnoteReference w:id="87"/>
      </w:r>
      <w:r w:rsidRPr="003A4C4A">
        <w:t>. Cette dichotomie dans le traitement juridique des citoyens brise le principe d'égalité devant la loi, qui est le fondement même de l'État de droit. Montesquieu précisait à cet égard que l'amour de la démocratie est celui de l'égalité, et personne ne doit être au-dessus de la loi</w:t>
      </w:r>
      <w:r>
        <w:rPr>
          <w:rStyle w:val="Appelnotedebasdep"/>
        </w:rPr>
        <w:footnoteReference w:id="88"/>
      </w:r>
      <w:r w:rsidRPr="003A4C4A">
        <w:t>. Lorsque cette égalité est compromise, la légitimité du régime politique s'effrite. La démocratie ne se résume pas à l'organisation d'élections, mais implique également l'existence de contre-pouvoirs efficaces capables de sanctionner les abus des gouvernants.</w:t>
      </w:r>
    </w:p>
    <w:p w14:paraId="3FD152A0" w14:textId="771AB55E" w:rsidR="003A4C4A" w:rsidRDefault="003A4C4A" w:rsidP="003A4C4A">
      <w:r w:rsidRPr="003A4C4A">
        <w:t>De plus, la confusion des pouvoirs entraîne une insécurité juridique pour les investisseurs et les citoyens. Si les décisions de justice peuvent être influencées par des considérations politiques, la prévisibilité du droit disparaît. Cette situation est particulièrement dommageable pour le développement économique car la sécurité judiciaire est un prérequis pour la confiance des acteurs économiques</w:t>
      </w:r>
      <w:r>
        <w:rPr>
          <w:rStyle w:val="Appelnotedebasdep"/>
        </w:rPr>
        <w:footnoteReference w:id="89"/>
      </w:r>
      <w:r w:rsidRPr="003A4C4A">
        <w:t>. L'État de droit sera toujours une utopie s'il n'y a pas de justice libre et indépendante dans le système républicain</w:t>
      </w:r>
      <w:r>
        <w:rPr>
          <w:rStyle w:val="Appelnotedebasdep"/>
        </w:rPr>
        <w:footnoteReference w:id="90"/>
      </w:r>
      <w:r w:rsidRPr="003A4C4A">
        <w:t>. La défaillance du pouvoir judiciaire à Madagascar n'est donc pas seulement un problème juridique interne mais un obstacle structurel à la consolidation démocratique et au développement national. La mainmise de l'exécutif transforme la justice en un instrument de régulation politique plutôt qu'en un arbitre impartial des conflits sociaux.</w:t>
      </w:r>
    </w:p>
    <w:p w14:paraId="2BBC8261" w14:textId="77777777" w:rsidR="003A4C4A" w:rsidRPr="003A4C4A" w:rsidRDefault="003A4C4A" w:rsidP="003A4C4A"/>
    <w:p w14:paraId="5C5B98DE" w14:textId="56ACD600" w:rsidR="003A4C4A" w:rsidRPr="003A4C4A" w:rsidRDefault="003A4C4A" w:rsidP="003A4C4A">
      <w:pPr>
        <w:pStyle w:val="Titre1"/>
      </w:pPr>
      <w:r w:rsidRPr="003A4C4A">
        <w:t>4.2. Conséquences sociales : La crise de confiance</w:t>
      </w:r>
    </w:p>
    <w:p w14:paraId="41046732" w14:textId="266EB230" w:rsidR="003A4C4A" w:rsidRPr="003A4C4A" w:rsidRDefault="003A4C4A" w:rsidP="003A4C4A">
      <w:r w:rsidRPr="003A4C4A">
        <w:t>Au-delà des institutions, la défaillance de la justice résonne profondément dans le corps social malgache. La perte de confiance des citoyens envers l'institution judiciaire est la conséquence directe de son manque d'indépendance perçu. Au sein de l'État Malgache, les citoyens n'ont plus confiance aux juges, percevant l'institution comme partiale et inefficace</w:t>
      </w:r>
      <w:r>
        <w:rPr>
          <w:rStyle w:val="Appelnotedebasdep"/>
        </w:rPr>
        <w:footnoteReference w:id="91"/>
      </w:r>
      <w:r w:rsidRPr="003A4C4A">
        <w:t>. Cette défiance n'est pas passive ; elle se traduit par des comportements actifs de contournement de la justice étatique. Le phénomène de la vindicte populaire dans la société malgache vient donc probablement de l'indignation générale occasionnée par le manque d'indépendance du pouvoir judiciaire</w:t>
      </w:r>
      <w:r>
        <w:rPr>
          <w:rStyle w:val="Appelnotedebasdep"/>
        </w:rPr>
        <w:footnoteReference w:id="92"/>
      </w:r>
      <w:r w:rsidRPr="003A4C4A">
        <w:t>. Lorsque la justice officielle faillit à sa mission de protection et de sanction, les citoyens se sentent autorisés à se faire justice eux-mêmes.</w:t>
      </w:r>
    </w:p>
    <w:p w14:paraId="60F7CE3E" w14:textId="652DE337" w:rsidR="003A4C4A" w:rsidRPr="003A4C4A" w:rsidRDefault="003A4C4A" w:rsidP="003A4C4A">
      <w:r w:rsidRPr="003A4C4A">
        <w:t xml:space="preserve">Cette dérive menace directement la cohésion sociale et la culture du </w:t>
      </w:r>
      <w:r w:rsidRPr="003A4C4A">
        <w:rPr>
          <w:i/>
          <w:iCs/>
        </w:rPr>
        <w:t>Fihavanana</w:t>
      </w:r>
      <w:r w:rsidRPr="003A4C4A">
        <w:t xml:space="preserve"> du peuple malgache</w:t>
      </w:r>
      <w:r>
        <w:rPr>
          <w:rStyle w:val="Appelnotedebasdep"/>
        </w:rPr>
        <w:footnoteReference w:id="93"/>
      </w:r>
      <w:r w:rsidRPr="003A4C4A">
        <w:t xml:space="preserve">. Le </w:t>
      </w:r>
      <w:r w:rsidRPr="003A4C4A">
        <w:rPr>
          <w:i/>
          <w:iCs/>
        </w:rPr>
        <w:t>Fihavanana</w:t>
      </w:r>
      <w:r w:rsidRPr="003A4C4A">
        <w:t>, concept central de la sociabilité malgache, repose sur la solidarité, la paix et le respect mutuel. Or, l'injustice fait une entorse à la culture malgache. Ainsi, une famille de la victime d'une vindicte populaire va vouloir se venger, instaurant</w:t>
      </w:r>
      <w:r>
        <w:t xml:space="preserve"> ainsi</w:t>
      </w:r>
      <w:r w:rsidRPr="003A4C4A">
        <w:t xml:space="preserve"> une sorte de vendetta qui gangrène la société. La paix, la sécurité et surtout le </w:t>
      </w:r>
      <w:r w:rsidRPr="003A4C4A">
        <w:rPr>
          <w:i/>
          <w:iCs/>
        </w:rPr>
        <w:t>Fihavanana</w:t>
      </w:r>
      <w:r w:rsidRPr="003A4C4A">
        <w:t xml:space="preserve"> ne seront plus maintenus au sein de l'organisation sociale si l'injustice persiste. La justice populaire devient ainsi le symptôme visible de la défaillance de la justice étatique. Elle est une réponse désespérée à l'impunité des puissants et à la lenteur des procédures pour les faibles.</w:t>
      </w:r>
    </w:p>
    <w:p w14:paraId="1DAFFBA3" w14:textId="52C82BF7" w:rsidR="003A4C4A" w:rsidRDefault="003A4C4A" w:rsidP="003A4C4A">
      <w:r w:rsidRPr="003A4C4A">
        <w:t>Sur le plan psychologique, au quotidien, le peuple se désintéresse et se méfie de la justice, créant un climat de peur quand il s'agit de porter plainte contre certains individus haut placés</w:t>
      </w:r>
      <w:r>
        <w:rPr>
          <w:rStyle w:val="Appelnotedebasdep"/>
        </w:rPr>
        <w:footnoteReference w:id="94"/>
      </w:r>
      <w:r w:rsidRPr="003A4C4A">
        <w:t>. Cette peur paralyse l'action citoyenne et renforce l'impunité. Paul Ricœur avait analysé ce mécanisme en affirmant que l'indignation peut s'affranchir du désir de vengeance qui incite la victime à se faire justice à elle-même</w:t>
      </w:r>
      <w:r>
        <w:rPr>
          <w:rStyle w:val="Appelnotedebasdep"/>
        </w:rPr>
        <w:footnoteReference w:id="95"/>
      </w:r>
      <w:r w:rsidRPr="003A4C4A">
        <w:t>. À Madagascar, cette indignation se transforme en violence lorsque les voies légales sont bloquées. La prolifération de la vindicte populaire indique que le contrat social est rompu : l'État ne remplit plus sa fonction régalienne de protection juridique et les citoyens reprennent ce pouvoir à leur compte, au prix du chaos social. Rien ne donne plus de force aux lois, que la subordination extrême des citoyens aux magistrats</w:t>
      </w:r>
      <w:r>
        <w:t xml:space="preserve"> </w:t>
      </w:r>
      <w:r w:rsidRPr="003A4C4A">
        <w:t>mais cette subordination nécessite que les magistrats soient eux-mêmes soumis à l'éthique et à la loi</w:t>
      </w:r>
      <w:r>
        <w:rPr>
          <w:rStyle w:val="Appelnotedebasdep"/>
        </w:rPr>
        <w:footnoteReference w:id="96"/>
      </w:r>
      <w:r w:rsidRPr="003A4C4A">
        <w:t>.</w:t>
      </w:r>
    </w:p>
    <w:p w14:paraId="1386EBA7" w14:textId="77777777" w:rsidR="003A4C4A" w:rsidRPr="003A4C4A" w:rsidRDefault="003A4C4A" w:rsidP="003A4C4A"/>
    <w:p w14:paraId="03557143" w14:textId="0BE5366B" w:rsidR="003A4C4A" w:rsidRPr="003A4C4A" w:rsidRDefault="003A4C4A" w:rsidP="003A4C4A">
      <w:r w:rsidRPr="003A4C4A">
        <w:rPr>
          <w:b/>
          <w:bCs/>
        </w:rPr>
        <w:t>4.3. Pistes de réflexion pour une réforme</w:t>
      </w:r>
    </w:p>
    <w:p w14:paraId="7FE6D108" w14:textId="6CDE3882" w:rsidR="003A4C4A" w:rsidRPr="003A4C4A" w:rsidRDefault="003A4C4A" w:rsidP="003A4C4A">
      <w:r w:rsidRPr="003A4C4A">
        <w:t>Face à ces constats alarmants, une réforme structurelle du pouvoir judiciaire s'impose comme une urgence nationale. La première piste de réflexion concerne la nécessité d'une autonomie financière et administrative réelle. Actuellement, la dépendance économique liée aux dépenses de fonctionnement et aux salaires des magistrats occasionne la possibilité de chantage ainsi que de prise illégale d'intérêts</w:t>
      </w:r>
      <w:r>
        <w:rPr>
          <w:rStyle w:val="Appelnotedebasdep"/>
        </w:rPr>
        <w:footnoteReference w:id="97"/>
      </w:r>
      <w:r w:rsidRPr="003A4C4A">
        <w:t>. Pour garantir l'indépendance, le budget de la justice doit être sanctuarisé et géré de manière autonome, sans intervention discrétionnaire de l'exécutif. Les droits et avantages des magistrats sont assurés et leurs salaires ne doivent pas être contrôlés et ingérés par la puissance exécutrice</w:t>
      </w:r>
      <w:r>
        <w:rPr>
          <w:rStyle w:val="Appelnotedebasdep"/>
        </w:rPr>
        <w:footnoteReference w:id="98"/>
      </w:r>
      <w:r w:rsidRPr="003A4C4A">
        <w:t>. Une autonomie budgétaire permettrait aux juridictions de planifier leurs activités et de fonctionner sans la menace de restrictions financières utilisées comme moyen de pression.</w:t>
      </w:r>
    </w:p>
    <w:p w14:paraId="54EE1ADD" w14:textId="3E4B2E5E" w:rsidR="003A4C4A" w:rsidRPr="003A4C4A" w:rsidRDefault="003A4C4A" w:rsidP="003A4C4A">
      <w:r w:rsidRPr="003A4C4A">
        <w:t>La seconde piste majeure concerne la révision du mode de nomination au Conseil Supérieur de la Magistrature (CSM). Il est impératif d'exclure l'influence directe de l'exécutif de la gestion de carrière des magistrats. La faculté de nommer les magistrats ne doit revenir ni au législatif, ni à l'exécutif. Cette mission doit être issue de l'organisation du pouvoir judiciaire lui-même</w:t>
      </w:r>
      <w:r>
        <w:rPr>
          <w:rStyle w:val="Appelnotedebasdep"/>
        </w:rPr>
        <w:footnoteReference w:id="99"/>
      </w:r>
      <w:r w:rsidRPr="003A4C4A">
        <w:t>. Le Président de la République ne devrait plus présider le CSM car cette fonction crée une confusion organique incompatible avec la séparation des pouvoirs. Il faut commencer par revoir les textes et imposer la séparation matérielle des pouvoirs</w:t>
      </w:r>
      <w:r>
        <w:rPr>
          <w:rStyle w:val="Appelnotedebasdep"/>
        </w:rPr>
        <w:footnoteReference w:id="100"/>
      </w:r>
      <w:r w:rsidRPr="003A4C4A">
        <w:t>. Une composition du CSM majoritairement élue par les pairs magistrats, avec une représentation de la société civile, permettrait de renforcer la légitimité et l'indépendance de l'organe de gestion.</w:t>
      </w:r>
    </w:p>
    <w:p w14:paraId="4D8983E6" w14:textId="5CB6A03B" w:rsidR="003A4C4A" w:rsidRDefault="003A4C4A" w:rsidP="003A4C4A">
      <w:r w:rsidRPr="003A4C4A">
        <w:t>Enfin, la réforme doit viser à restaurer la confiance citoyenne par la transparence et la célérité. Face à la lenteur administrative et aux frais coûteux de la procédure, le peuple montre sa réticence à recourir à la justice en cas de préjudice. Simplifier les procédures, réduire les coûts et lutter contre la corruption interne sont des mesures complémentaires indispensables. Les magistrats doivent être consciencieux et vertueux pour écarter toute tentative de corruption et de partialité</w:t>
      </w:r>
      <w:r>
        <w:rPr>
          <w:rStyle w:val="Appelnotedebasdep"/>
        </w:rPr>
        <w:footnoteReference w:id="101"/>
      </w:r>
      <w:r w:rsidRPr="003A4C4A">
        <w:t>. La revendication faite par les magistrats ne peut avoir lieu que si le fond du problème soit enfin irrésolu</w:t>
      </w:r>
      <w:r>
        <w:rPr>
          <w:rStyle w:val="Appelnotedebasdep"/>
        </w:rPr>
        <w:footnoteReference w:id="102"/>
      </w:r>
      <w:r w:rsidRPr="003A4C4A">
        <w:t>. En somme, l'indépendance de la justice à Madagascar ne sera effective que lorsque les textes constitutionnels seront mis en conformité avec la pratique, garantissant ainsi que le pouvoir judiciaire puisse réellement arrêter le pouvoir exécutif, conformément à l'esprit de Montesquieu.</w:t>
      </w:r>
    </w:p>
    <w:p w14:paraId="32236D56" w14:textId="77777777" w:rsidR="003A4C4A" w:rsidRPr="003A4C4A" w:rsidRDefault="003A4C4A" w:rsidP="003A4C4A"/>
    <w:p w14:paraId="1A199064" w14:textId="77777777" w:rsidR="003A4C4A" w:rsidRPr="003A4C4A" w:rsidRDefault="003A4C4A" w:rsidP="003A4C4A">
      <w:pPr>
        <w:pStyle w:val="Titre1"/>
      </w:pPr>
      <w:r w:rsidRPr="003A4C4A">
        <w:t>Conclusion</w:t>
      </w:r>
    </w:p>
    <w:p w14:paraId="61C5105C" w14:textId="31F85AFE" w:rsidR="003A4C4A" w:rsidRPr="003A4C4A" w:rsidRDefault="003A4C4A" w:rsidP="003A4C4A">
      <w:r w:rsidRPr="003A4C4A">
        <w:t>Au terme de cette analyse, il apparaît clairement que la justice malgache traverse une crise structurelle profonde où l'indépendance proclamée se heurte à une réalité institutionnelle contraignante. Cette étude a permis de confirmer que l'indépendance du pouvoir judiciaire à Madagascar est essentiellement textuelle mais pas matérielle. Bien que la Constitution de 2010 affirme le principe de séparation des pouvoirs et l'autonomie des juridictions, les mécanismes de gestion mis en place par l'exécutif neutralisent cette autonomie dans la pratique</w:t>
      </w:r>
      <w:r>
        <w:rPr>
          <w:rStyle w:val="Appelnotedebasdep"/>
        </w:rPr>
        <w:footnoteReference w:id="103"/>
      </w:r>
      <w:r w:rsidRPr="003A4C4A">
        <w:t xml:space="preserve">. Les </w:t>
      </w:r>
      <w:r>
        <w:t>conclusions</w:t>
      </w:r>
      <w:r w:rsidRPr="003A4C4A">
        <w:t xml:space="preserve"> de cette recherche démontrent que le Conseil Supérieur de la Magistrature, présidé par le Chef de l'État, constitue le principal vecteur de cette dépendance, transformant la garantie constitutionnelle en un instrument de tutelle politique</w:t>
      </w:r>
      <w:r>
        <w:rPr>
          <w:rStyle w:val="Appelnotedebasdep"/>
        </w:rPr>
        <w:footnoteReference w:id="104"/>
      </w:r>
      <w:r w:rsidRPr="003A4C4A">
        <w:t>.</w:t>
      </w:r>
    </w:p>
    <w:p w14:paraId="601196ED" w14:textId="5C73CDAA" w:rsidR="003A4C4A" w:rsidRPr="003A4C4A" w:rsidRDefault="003A4C4A" w:rsidP="003A4C4A">
      <w:r w:rsidRPr="003A4C4A">
        <w:t>En réponse à la problématique posée, il est établi que l'exécutif utilise les leviers constitutionnels pour contrôler le judiciaire. La mainmise sur la gestion de carrière, le budget et les nominations au sein des Hautes Cours permet au pouvoir politique d'influencer les décisions de justice, particulièrement lorsque ses intérêts sont en jeu</w:t>
      </w:r>
      <w:r>
        <w:rPr>
          <w:rStyle w:val="Appelnotedebasdep"/>
        </w:rPr>
        <w:footnoteReference w:id="105"/>
      </w:r>
      <w:r w:rsidRPr="003A4C4A">
        <w:t>. Cette configuration valide l'avertissement de Montesquieu selon lequel c'est une expérience éternelle que tout homme qui a du pouvoir est porté à en abuser</w:t>
      </w:r>
      <w:r>
        <w:rPr>
          <w:rStyle w:val="Appelnotedebasdep"/>
        </w:rPr>
        <w:footnoteReference w:id="106"/>
      </w:r>
      <w:r w:rsidRPr="003A4C4A">
        <w:t>. À Madagascar, cette absence de limites effectives au pouvoir exécutif dans le domaine judiciaire engendre une confusion des pouvoirs qui compromet l'État de droit. La justice, censée être le gardien des libertés, devient ainsi un outil de régulation politique, incapable de sanctionner les abus des gouvernants ou de protéger efficacement les justiciables contre l'arbitraire</w:t>
      </w:r>
      <w:r>
        <w:rPr>
          <w:rStyle w:val="Appelnotedebasdep"/>
        </w:rPr>
        <w:footnoteReference w:id="107"/>
      </w:r>
      <w:r w:rsidRPr="003A4C4A">
        <w:t>.</w:t>
      </w:r>
    </w:p>
    <w:p w14:paraId="1DD7E574" w14:textId="78D4859E" w:rsidR="003A4C4A" w:rsidRPr="003A4C4A" w:rsidRDefault="003A4C4A" w:rsidP="003A4C4A">
      <w:r w:rsidRPr="003A4C4A">
        <w:t xml:space="preserve">Les conséquences de cette défaillance dépassent le cadre institutionnel pour atteindre le corps social tout entier. La perte de confiance des citoyens envers l'institution judiciaire est le symptôme le plus alarmant de cette crise. Lorsque la justice étatique faillit à sa mission, le phénomène de la vindicte populaire émerge comme une réponse désespérée à l'impunité. Cette dérive menace directement la cohésion sociale et la culture du </w:t>
      </w:r>
      <w:r w:rsidRPr="003A4C4A">
        <w:rPr>
          <w:i/>
          <w:iCs/>
        </w:rPr>
        <w:t>Fihavanana</w:t>
      </w:r>
      <w:r w:rsidRPr="003A4C4A">
        <w:t>, pilier de la société malgache. Comme l'a souligné Ricœur, l'indignation peut s'affranchir du désir de vengeance qui incite la victime à se faire justice à elle-même</w:t>
      </w:r>
      <w:r>
        <w:rPr>
          <w:rStyle w:val="Appelnotedebasdep"/>
        </w:rPr>
        <w:footnoteReference w:id="108"/>
      </w:r>
      <w:r w:rsidRPr="003A4C4A">
        <w:t>. À Madagascar, cette indignation se transforme en violence lorsque les voies légales sont perçues comme bloquées par la corruption et la lenteur administrative. La paix sociale ne pourra être maintenue que si la justice retrouve sa légitimité aux yeux du peuple.</w:t>
      </w:r>
    </w:p>
    <w:p w14:paraId="7E8A676E" w14:textId="608A364A" w:rsidR="003A4C4A" w:rsidRPr="003A4C4A" w:rsidRDefault="003A4C4A" w:rsidP="003A4C4A">
      <w:r w:rsidRPr="003A4C4A">
        <w:t>En guise d'ouverture, il est urgent d'engager une réforme structurelle profonde pour restaurer la légitimité de la justice et éviter le chaos social. Cette réforme doit commencer par une autonomie financière et administrative réelle, affranchissant le budget de la justice du contrôle discrétionnaire de l'exécutif. Il est également impératif de réviser le mode de nomination au Conseil Supérieur de la Magistrature pour exclure l'influence directe du Président de la République, confiant plutôt cette gestion aux pairs magistrats et à la société civile</w:t>
      </w:r>
      <w:r>
        <w:rPr>
          <w:rStyle w:val="Appelnotedebasdep"/>
        </w:rPr>
        <w:footnoteReference w:id="109"/>
      </w:r>
      <w:r w:rsidRPr="003A4C4A">
        <w:t>. La revendication faite par les magistrats ne peut avoir lieu que si le fond du problème soit enfin irrésolu</w:t>
      </w:r>
      <w:r>
        <w:rPr>
          <w:rStyle w:val="Appelnotedebasdep"/>
        </w:rPr>
        <w:footnoteReference w:id="110"/>
      </w:r>
      <w:r w:rsidRPr="003A4C4A">
        <w:t>. Enfin, la lutte contre la corruption et la simplification des procédures sont indispensables pour rendre la justice accessible et crédible. L'État de droit sera toujours une utopie s'il n'y a pas de justice libre et indépendante dans le système républicain</w:t>
      </w:r>
      <w:r>
        <w:rPr>
          <w:rStyle w:val="Appelnotedebasdep"/>
        </w:rPr>
        <w:footnoteReference w:id="111"/>
      </w:r>
      <w:r w:rsidRPr="003A4C4A">
        <w:t xml:space="preserve">. Seul un pouvoir judiciaire véritablement indépendant pourra garantir l'égalité de tous devant la loi et préserver le </w:t>
      </w:r>
      <w:r w:rsidRPr="003A4C4A">
        <w:rPr>
          <w:i/>
          <w:iCs/>
        </w:rPr>
        <w:t>Fihavanana</w:t>
      </w:r>
      <w:r w:rsidRPr="003A4C4A">
        <w:t xml:space="preserve"> du peuple malgache</w:t>
      </w:r>
      <w:r>
        <w:rPr>
          <w:rStyle w:val="Appelnotedebasdep"/>
        </w:rPr>
        <w:footnoteReference w:id="112"/>
      </w:r>
      <w:r w:rsidRPr="003A4C4A">
        <w:t>.</w:t>
      </w:r>
    </w:p>
    <w:p w14:paraId="28430845" w14:textId="19DF82BB" w:rsidR="00762E94" w:rsidRDefault="00762E94">
      <w:pPr>
        <w:spacing w:after="160" w:line="278" w:lineRule="auto"/>
        <w:ind w:firstLine="0"/>
        <w:jc w:val="left"/>
      </w:pPr>
      <w:r>
        <w:br w:type="page"/>
      </w:r>
    </w:p>
    <w:p w14:paraId="2EA6FCED" w14:textId="7AF5E5E4" w:rsidR="00842E62" w:rsidRDefault="00762E94" w:rsidP="00762E94">
      <w:pPr>
        <w:pStyle w:val="Titre1"/>
        <w:ind w:firstLine="0"/>
      </w:pPr>
      <w:r>
        <w:t>Références bibliographiques</w:t>
      </w:r>
    </w:p>
    <w:p w14:paraId="0CFE7848" w14:textId="77777777" w:rsidR="00485269" w:rsidRPr="00485269" w:rsidRDefault="00485269" w:rsidP="00485269"/>
    <w:p w14:paraId="703A9749" w14:textId="21338A63" w:rsidR="00485269" w:rsidRPr="00485269" w:rsidRDefault="00485269" w:rsidP="00485269">
      <w:pPr>
        <w:ind w:firstLine="0"/>
        <w:rPr>
          <w:b/>
          <w:bCs/>
        </w:rPr>
      </w:pPr>
      <w:r w:rsidRPr="00485269">
        <w:rPr>
          <w:b/>
          <w:bCs/>
        </w:rPr>
        <w:t>I. Ouvrages</w:t>
      </w:r>
    </w:p>
    <w:p w14:paraId="12CAD085" w14:textId="77777777" w:rsidR="00485269" w:rsidRDefault="00485269" w:rsidP="00485269">
      <w:pPr>
        <w:ind w:firstLine="0"/>
      </w:pPr>
      <w:r>
        <w:t>Conac, Gérard (1998). Les Constitutions africaines, Tome II. La Documentation française.</w:t>
      </w:r>
    </w:p>
    <w:p w14:paraId="09AE41AE" w14:textId="77777777" w:rsidR="00485269" w:rsidRDefault="00485269" w:rsidP="00485269">
      <w:pPr>
        <w:ind w:firstLine="0"/>
      </w:pPr>
    </w:p>
    <w:p w14:paraId="7D1A6EFF" w14:textId="77777777" w:rsidR="00485269" w:rsidRDefault="00485269" w:rsidP="00485269">
      <w:pPr>
        <w:ind w:firstLine="0"/>
      </w:pPr>
      <w:r>
        <w:t>Imbiki, André (2013). Déontologie et responsabilités des magistrats. Éditions Créons.</w:t>
      </w:r>
    </w:p>
    <w:p w14:paraId="7A213514" w14:textId="77777777" w:rsidR="00485269" w:rsidRDefault="00485269" w:rsidP="00485269">
      <w:pPr>
        <w:ind w:firstLine="0"/>
      </w:pPr>
    </w:p>
    <w:p w14:paraId="66FE37A0" w14:textId="77777777" w:rsidR="00485269" w:rsidRDefault="00485269" w:rsidP="00485269">
      <w:pPr>
        <w:ind w:firstLine="0"/>
      </w:pPr>
      <w:r>
        <w:t>Montesquieu (1979). De l’Esprit des lois. Garnier-Flammarion.</w:t>
      </w:r>
    </w:p>
    <w:p w14:paraId="41A8DC9A" w14:textId="77777777" w:rsidR="00485269" w:rsidRDefault="00485269" w:rsidP="00485269">
      <w:pPr>
        <w:ind w:firstLine="0"/>
      </w:pPr>
    </w:p>
    <w:p w14:paraId="0623D3DE" w14:textId="77777777" w:rsidR="00485269" w:rsidRDefault="00485269" w:rsidP="00485269">
      <w:pPr>
        <w:ind w:firstLine="0"/>
      </w:pPr>
      <w:r>
        <w:t>Ricœur, Paul (1995). Le juste. Éditions Esprit.</w:t>
      </w:r>
    </w:p>
    <w:p w14:paraId="2783AFE9" w14:textId="77777777" w:rsidR="00485269" w:rsidRDefault="00485269" w:rsidP="00485269">
      <w:pPr>
        <w:ind w:firstLine="0"/>
      </w:pPr>
    </w:p>
    <w:p w14:paraId="02004355" w14:textId="77777777" w:rsidR="00485269" w:rsidRDefault="00485269" w:rsidP="00485269">
      <w:pPr>
        <w:ind w:firstLine="0"/>
      </w:pPr>
      <w:r>
        <w:t>Weber, Max (2003). Le Savant et le Politique. La Découverte.</w:t>
      </w:r>
    </w:p>
    <w:p w14:paraId="5F23C481" w14:textId="77777777" w:rsidR="00485269" w:rsidRDefault="00485269" w:rsidP="00485269">
      <w:pPr>
        <w:ind w:firstLine="0"/>
      </w:pPr>
    </w:p>
    <w:p w14:paraId="7A3684A5" w14:textId="64A5256C" w:rsidR="00485269" w:rsidRPr="00485269" w:rsidRDefault="00485269" w:rsidP="00485269">
      <w:pPr>
        <w:ind w:firstLine="0"/>
        <w:rPr>
          <w:b/>
          <w:bCs/>
        </w:rPr>
      </w:pPr>
      <w:r w:rsidRPr="00485269">
        <w:rPr>
          <w:b/>
          <w:bCs/>
        </w:rPr>
        <w:t xml:space="preserve">II. Articles scientifiques </w:t>
      </w:r>
    </w:p>
    <w:p w14:paraId="3FBEC91F" w14:textId="77777777" w:rsidR="00485269" w:rsidRDefault="00485269" w:rsidP="00485269">
      <w:pPr>
        <w:ind w:firstLine="0"/>
      </w:pPr>
      <w:r>
        <w:t>AHJUCAF (2022). Les menaces externes à l’indépendance de la justice. http://v1.ahjucaf.org/Les-menaces-externes-a-l-independance-de-la-justice//html</w:t>
      </w:r>
    </w:p>
    <w:p w14:paraId="15367126" w14:textId="77777777" w:rsidR="00485269" w:rsidRDefault="00485269" w:rsidP="00485269">
      <w:pPr>
        <w:ind w:firstLine="0"/>
      </w:pPr>
      <w:r>
        <w:t xml:space="preserve"> (consulté le 16 février 2026).</w:t>
      </w:r>
    </w:p>
    <w:p w14:paraId="649F6BD6" w14:textId="77777777" w:rsidR="00485269" w:rsidRDefault="00485269" w:rsidP="00485269">
      <w:pPr>
        <w:ind w:firstLine="0"/>
      </w:pPr>
    </w:p>
    <w:p w14:paraId="52F8D0F3" w14:textId="77777777" w:rsidR="00485269" w:rsidRDefault="00485269" w:rsidP="00485269">
      <w:pPr>
        <w:ind w:firstLine="0"/>
      </w:pPr>
      <w:r>
        <w:t>Debbasch, Charles (2002). L’indépendance de la justice. In Au Carrefour des droits, Mélanges en l’honneur de Louis Dubouis (pp. 27-33). Dalloz.</w:t>
      </w:r>
    </w:p>
    <w:p w14:paraId="2E74DCCF" w14:textId="77777777" w:rsidR="00485269" w:rsidRDefault="00485269" w:rsidP="00485269">
      <w:pPr>
        <w:ind w:firstLine="0"/>
      </w:pPr>
    </w:p>
    <w:p w14:paraId="5447C591" w14:textId="77777777" w:rsidR="00485269" w:rsidRDefault="00485269" w:rsidP="00485269">
      <w:pPr>
        <w:ind w:firstLine="0"/>
      </w:pPr>
      <w:r>
        <w:t>Delcamp, Alain (2013). Cours constitutionnelles et parlements ou comment se conjuguent aujourd’hui principe de souveraineté et État de droit. Les Nouveaux Cahiers du Conseil constitutionnel, (38), 181-203. https://www.cairn.info/revue-nouveaux-cahiers-conseil-constitutionnel-2013-1-page-181.htm</w:t>
      </w:r>
    </w:p>
    <w:p w14:paraId="607339BE" w14:textId="77777777" w:rsidR="00485269" w:rsidRDefault="00485269" w:rsidP="00485269">
      <w:pPr>
        <w:ind w:firstLine="0"/>
      </w:pPr>
      <w:r>
        <w:t xml:space="preserve"> (consulté le 16 février 2026).</w:t>
      </w:r>
    </w:p>
    <w:p w14:paraId="3F7B27B5" w14:textId="77777777" w:rsidR="00485269" w:rsidRDefault="00485269" w:rsidP="00485269">
      <w:pPr>
        <w:ind w:firstLine="0"/>
      </w:pPr>
    </w:p>
    <w:p w14:paraId="72AF23FE" w14:textId="77777777" w:rsidR="00485269" w:rsidRDefault="00485269" w:rsidP="00485269">
      <w:pPr>
        <w:ind w:firstLine="0"/>
      </w:pPr>
      <w:r>
        <w:t>Renoux, Thierry-Serge (1999). Le pouvoir judiciaire en France et en Europe continentale : approche comparative. Revue de Droit Public, (4), 967-984.</w:t>
      </w:r>
    </w:p>
    <w:p w14:paraId="4404ADED" w14:textId="77777777" w:rsidR="00485269" w:rsidRDefault="00485269" w:rsidP="00485269">
      <w:pPr>
        <w:ind w:firstLine="0"/>
      </w:pPr>
    </w:p>
    <w:p w14:paraId="0291313F" w14:textId="77777777" w:rsidR="00485269" w:rsidRDefault="00485269" w:rsidP="00485269">
      <w:pPr>
        <w:ind w:firstLine="0"/>
      </w:pPr>
      <w:r>
        <w:t>Tiberghien, François (2017). Pouvoir judiciaire et gestion autonome des moyens. Après-demain, 41(1), 26-30. https://www.cairn.info/revue-apres-demain-2017-1-page-26.htm</w:t>
      </w:r>
    </w:p>
    <w:p w14:paraId="171AF0B1" w14:textId="77777777" w:rsidR="00485269" w:rsidRDefault="00485269" w:rsidP="00485269">
      <w:pPr>
        <w:ind w:firstLine="0"/>
      </w:pPr>
      <w:r>
        <w:t xml:space="preserve"> (consulté le 18 février 2026).</w:t>
      </w:r>
    </w:p>
    <w:p w14:paraId="7F906F9F" w14:textId="77777777" w:rsidR="00485269" w:rsidRDefault="00485269" w:rsidP="00485269">
      <w:pPr>
        <w:ind w:firstLine="0"/>
      </w:pPr>
    </w:p>
    <w:p w14:paraId="631715E1" w14:textId="77777777" w:rsidR="00485269" w:rsidRDefault="00485269" w:rsidP="00485269">
      <w:pPr>
        <w:ind w:firstLine="0"/>
      </w:pPr>
      <w:r>
        <w:t>Urfer, Sylvain (2003). Nouvelle donne malgache. Études, 398(4), 465-474. https://www.cairn.info/revue-etudes-2003-4-page-465.htm</w:t>
      </w:r>
    </w:p>
    <w:p w14:paraId="07AF40F8" w14:textId="77777777" w:rsidR="00485269" w:rsidRDefault="00485269" w:rsidP="00485269">
      <w:pPr>
        <w:ind w:firstLine="0"/>
      </w:pPr>
      <w:r>
        <w:t xml:space="preserve"> (consulté le 18 février 2026).</w:t>
      </w:r>
    </w:p>
    <w:p w14:paraId="695C109B" w14:textId="77777777" w:rsidR="00485269" w:rsidRDefault="00485269" w:rsidP="00485269">
      <w:pPr>
        <w:ind w:firstLine="0"/>
      </w:pPr>
    </w:p>
    <w:p w14:paraId="0BF5F216" w14:textId="77777777" w:rsidR="00485269" w:rsidRPr="00485269" w:rsidRDefault="00485269" w:rsidP="00485269">
      <w:pPr>
        <w:ind w:firstLine="0"/>
        <w:rPr>
          <w:b/>
          <w:bCs/>
        </w:rPr>
      </w:pPr>
      <w:r w:rsidRPr="00485269">
        <w:rPr>
          <w:b/>
          <w:bCs/>
        </w:rPr>
        <w:t>III. Textes juridiques et normatifs</w:t>
      </w:r>
    </w:p>
    <w:p w14:paraId="58D7AC5F" w14:textId="77777777" w:rsidR="00485269" w:rsidRDefault="00485269" w:rsidP="00485269">
      <w:pPr>
        <w:ind w:firstLine="0"/>
      </w:pPr>
      <w:r>
        <w:t>Constitution de la République de Madagascar (1998). Journal officiel de la République de Madagascar.</w:t>
      </w:r>
    </w:p>
    <w:p w14:paraId="64FCA621" w14:textId="77777777" w:rsidR="00485269" w:rsidRDefault="00485269" w:rsidP="00485269">
      <w:pPr>
        <w:ind w:firstLine="0"/>
      </w:pPr>
    </w:p>
    <w:p w14:paraId="4B7E363A" w14:textId="77777777" w:rsidR="00485269" w:rsidRDefault="00485269" w:rsidP="00485269">
      <w:pPr>
        <w:ind w:firstLine="0"/>
      </w:pPr>
      <w:r>
        <w:t>Constitution de la République de Madagascar (2010). Journal officiel de la République de Madagascar.</w:t>
      </w:r>
    </w:p>
    <w:p w14:paraId="43F31AAC" w14:textId="77777777" w:rsidR="00485269" w:rsidRDefault="00485269" w:rsidP="00485269">
      <w:pPr>
        <w:ind w:firstLine="0"/>
      </w:pPr>
    </w:p>
    <w:p w14:paraId="1A3E034E" w14:textId="3278E589" w:rsidR="00485269" w:rsidRDefault="00485269" w:rsidP="00485269">
      <w:pPr>
        <w:ind w:firstLine="0"/>
      </w:pPr>
      <w:r>
        <w:t>Loi organique n°2014-043 (2014). Sur la Haute Cour de Justice. Journal officiel de la République de Madagascar</w:t>
      </w:r>
      <w:r>
        <w:t> </w:t>
      </w:r>
    </w:p>
    <w:p w14:paraId="6D8E9BF5" w14:textId="77777777" w:rsidR="00485269" w:rsidRDefault="00485269" w:rsidP="00485269">
      <w:pPr>
        <w:ind w:firstLine="0"/>
      </w:pPr>
    </w:p>
    <w:p w14:paraId="6A398FB6" w14:textId="1302083B" w:rsidR="003F5BCF" w:rsidRPr="003F5BCF" w:rsidRDefault="00485269" w:rsidP="00485269">
      <w:pPr>
        <w:ind w:firstLine="0"/>
      </w:pPr>
      <w:r>
        <w:t>SEFAFI (2009). Quelle justice pour le présent et l’avenir ? Observatoire de la vie publique.</w:t>
      </w:r>
    </w:p>
    <w:sectPr w:rsidR="003F5BCF" w:rsidRPr="003F5BCF" w:rsidSect="004359B5">
      <w:pgSz w:w="11906" w:h="16838"/>
      <w:pgMar w:top="1440" w:right="107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1D2C" w14:textId="77777777" w:rsidR="00DE703E" w:rsidRDefault="00DE703E" w:rsidP="004359B5">
      <w:r>
        <w:separator/>
      </w:r>
    </w:p>
  </w:endnote>
  <w:endnote w:type="continuationSeparator" w:id="0">
    <w:p w14:paraId="15BF941E" w14:textId="77777777" w:rsidR="00DE703E" w:rsidRDefault="00DE703E" w:rsidP="004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618F" w14:textId="77777777" w:rsidR="00DE703E" w:rsidRDefault="00DE703E" w:rsidP="004359B5">
      <w:r>
        <w:separator/>
      </w:r>
    </w:p>
  </w:footnote>
  <w:footnote w:type="continuationSeparator" w:id="0">
    <w:p w14:paraId="6F4A3AC2" w14:textId="77777777" w:rsidR="00DE703E" w:rsidRDefault="00DE703E" w:rsidP="004359B5">
      <w:r>
        <w:continuationSeparator/>
      </w:r>
    </w:p>
  </w:footnote>
  <w:footnote w:id="1">
    <w:p w14:paraId="51E2DD6B" w14:textId="7AC9DC87" w:rsidR="008821E9" w:rsidRPr="008821E9" w:rsidRDefault="008821E9" w:rsidP="008821E9">
      <w:pPr>
        <w:pStyle w:val="Notedebasdepage"/>
        <w:ind w:firstLine="0"/>
      </w:pPr>
      <w:r>
        <w:rPr>
          <w:rStyle w:val="Appelnotedebasdep"/>
        </w:rPr>
        <w:footnoteRef/>
      </w:r>
      <w:r>
        <w:t xml:space="preserve"> </w:t>
      </w:r>
      <w:r w:rsidRPr="008821E9">
        <w:t>Montesquieu, C. (1979). De l'Esprit des Lois. Garnier-Flammarion, p. 294.</w:t>
      </w:r>
    </w:p>
  </w:footnote>
  <w:footnote w:id="2">
    <w:p w14:paraId="4EFB95F1" w14:textId="1B4832B3" w:rsidR="008821E9" w:rsidRPr="008821E9" w:rsidRDefault="008821E9" w:rsidP="008821E9">
      <w:pPr>
        <w:pStyle w:val="Notedebasdepage"/>
        <w:ind w:firstLine="0"/>
      </w:pPr>
      <w:r>
        <w:rPr>
          <w:rStyle w:val="Appelnotedebasdep"/>
        </w:rPr>
        <w:footnoteRef/>
      </w:r>
      <w:r>
        <w:t xml:space="preserve"> </w:t>
      </w:r>
      <w:r w:rsidRPr="008821E9">
        <w:t xml:space="preserve">Urfer, S. (2003). Nouvelle donne malgache. Études, 398(4), 465-474. </w:t>
      </w:r>
      <w:hyperlink r:id="rId1" w:history="1">
        <w:r w:rsidRPr="00D7034C">
          <w:rPr>
            <w:rStyle w:val="Lienhypertexte"/>
          </w:rPr>
          <w:t>https://www.cairn.info/revue-etudes-2003-4-page-465.htm</w:t>
        </w:r>
      </w:hyperlink>
      <w:r>
        <w:t xml:space="preserve"> </w:t>
      </w:r>
      <w:r w:rsidRPr="008821E9">
        <w:t xml:space="preserve">(consulté le </w:t>
      </w:r>
      <w:r>
        <w:t>18 Février 2026</w:t>
      </w:r>
      <w:r w:rsidRPr="008821E9">
        <w:t>).</w:t>
      </w:r>
    </w:p>
  </w:footnote>
  <w:footnote w:id="3">
    <w:p w14:paraId="2F0C0BA9" w14:textId="6C5AB6BA" w:rsidR="008821E9" w:rsidRPr="008821E9" w:rsidRDefault="008821E9" w:rsidP="008821E9">
      <w:pPr>
        <w:pStyle w:val="Notedebasdepage"/>
        <w:ind w:firstLine="0"/>
      </w:pPr>
      <w:r>
        <w:rPr>
          <w:rStyle w:val="Appelnotedebasdep"/>
        </w:rPr>
        <w:footnoteRef/>
      </w:r>
      <w:r>
        <w:t xml:space="preserve"> </w:t>
      </w:r>
      <w:r w:rsidRPr="008821E9">
        <w:t>Constitution de la République de Madagascar (2010). Article 106. Journal Officiel de la République de Madagascar.</w:t>
      </w:r>
    </w:p>
  </w:footnote>
  <w:footnote w:id="4">
    <w:p w14:paraId="440D81B3" w14:textId="1B2C59AF" w:rsidR="008821E9" w:rsidRPr="008821E9" w:rsidRDefault="008821E9" w:rsidP="008821E9">
      <w:pPr>
        <w:pStyle w:val="Notedebasdepage"/>
        <w:ind w:firstLine="0"/>
      </w:pPr>
      <w:r>
        <w:rPr>
          <w:rStyle w:val="Appelnotedebasdep"/>
        </w:rPr>
        <w:footnoteRef/>
      </w:r>
      <w:r>
        <w:t xml:space="preserve"> </w:t>
      </w:r>
      <w:r w:rsidRPr="008821E9">
        <w:t>Constitution de la République de Madagascar (2010). Article 107, Alinéa 1 et 2. Journal Officiel de la République de Madagascar.</w:t>
      </w:r>
    </w:p>
  </w:footnote>
  <w:footnote w:id="5">
    <w:p w14:paraId="424AFD33" w14:textId="1F23B3B2" w:rsidR="008821E9" w:rsidRPr="008821E9" w:rsidRDefault="008821E9" w:rsidP="008821E9">
      <w:pPr>
        <w:pStyle w:val="Notedebasdepage"/>
        <w:ind w:firstLine="0"/>
      </w:pPr>
      <w:r>
        <w:rPr>
          <w:rStyle w:val="Appelnotedebasdep"/>
        </w:rPr>
        <w:footnoteRef/>
      </w:r>
      <w:r>
        <w:t xml:space="preserve"> </w:t>
      </w:r>
      <w:r w:rsidRPr="008821E9">
        <w:t>Debbasch, C. (2002). L'indépendance de la justice. In Au Carrefour des droits, Mélanges en l'honneur de Louis Dubouis (pp. 27-33). Dalloz.</w:t>
      </w:r>
    </w:p>
  </w:footnote>
  <w:footnote w:id="6">
    <w:p w14:paraId="3A8F4EDA" w14:textId="493CEDE8" w:rsidR="008821E9" w:rsidRPr="008821E9" w:rsidRDefault="008821E9" w:rsidP="008821E9">
      <w:pPr>
        <w:pStyle w:val="Notedebasdepage"/>
        <w:ind w:firstLine="0"/>
      </w:pPr>
      <w:r>
        <w:rPr>
          <w:rStyle w:val="Appelnotedebasdep"/>
        </w:rPr>
        <w:footnoteRef/>
      </w:r>
      <w:r>
        <w:t xml:space="preserve"> </w:t>
      </w:r>
      <w:r w:rsidRPr="008821E9">
        <w:t>Sefafi Observatoire de la Vie Publique. (2009). Quelle justice pour le présent et l'avenir ? Antananarivo.</w:t>
      </w:r>
    </w:p>
  </w:footnote>
  <w:footnote w:id="7">
    <w:p w14:paraId="1F2B8E18" w14:textId="1BF4D568" w:rsidR="008821E9" w:rsidRPr="008821E9" w:rsidRDefault="008821E9" w:rsidP="008821E9">
      <w:pPr>
        <w:pStyle w:val="Notedebasdepage"/>
        <w:ind w:firstLine="0"/>
      </w:pPr>
      <w:r>
        <w:rPr>
          <w:rStyle w:val="Appelnotedebasdep"/>
        </w:rPr>
        <w:footnoteRef/>
      </w:r>
      <w:r>
        <w:t xml:space="preserve"> </w:t>
      </w:r>
      <w:r w:rsidRPr="008821E9">
        <w:t>Ricœur, P. (1995). Le juste. Éditions Esprit, p. 19.</w:t>
      </w:r>
    </w:p>
  </w:footnote>
  <w:footnote w:id="8">
    <w:p w14:paraId="13A88298" w14:textId="4780326C" w:rsidR="008821E9" w:rsidRPr="008821E9" w:rsidRDefault="008821E9" w:rsidP="008821E9">
      <w:pPr>
        <w:pStyle w:val="Notedebasdepage"/>
        <w:ind w:firstLine="0"/>
      </w:pPr>
      <w:r>
        <w:rPr>
          <w:rStyle w:val="Appelnotedebasdep"/>
        </w:rPr>
        <w:footnoteRef/>
      </w:r>
      <w:r>
        <w:t xml:space="preserve"> </w:t>
      </w:r>
      <w:r w:rsidRPr="008821E9">
        <w:t>Renoux, T.-S. (1999). Le pouvoir judiciaire en France et en Europe continentale : approche comparative. Revue de Droit Public, (4), 967-984.</w:t>
      </w:r>
    </w:p>
  </w:footnote>
  <w:footnote w:id="9">
    <w:p w14:paraId="56602B54" w14:textId="511119B1" w:rsidR="008821E9" w:rsidRPr="008821E9" w:rsidRDefault="008821E9" w:rsidP="008821E9">
      <w:pPr>
        <w:pStyle w:val="Notedebasdepage"/>
        <w:ind w:firstLine="0"/>
      </w:pPr>
      <w:r>
        <w:rPr>
          <w:rStyle w:val="Appelnotedebasdep"/>
        </w:rPr>
        <w:footnoteRef/>
      </w:r>
      <w:r>
        <w:t xml:space="preserve"> </w:t>
      </w:r>
      <w:r w:rsidRPr="008821E9">
        <w:t>Imbiki, A. (2013). Déontologie et Responsabilités des Magistrats. Éditions Créons, pp. 331-337.</w:t>
      </w:r>
    </w:p>
  </w:footnote>
  <w:footnote w:id="10">
    <w:p w14:paraId="5D33F2C9" w14:textId="4AF32B29" w:rsidR="008047F1" w:rsidRPr="003A4456" w:rsidRDefault="008047F1" w:rsidP="003A4456">
      <w:pPr>
        <w:pStyle w:val="Notedebasdepage"/>
        <w:ind w:firstLine="0"/>
      </w:pPr>
      <w:r>
        <w:rPr>
          <w:rStyle w:val="Appelnotedebasdep"/>
        </w:rPr>
        <w:footnoteRef/>
      </w:r>
      <w:r>
        <w:t xml:space="preserve"> </w:t>
      </w:r>
      <w:r w:rsidR="003A4456" w:rsidRPr="003A4456">
        <w:t xml:space="preserve">Urfer, S. (2003). Nouvelle donne malgache. Études, 398(4), 465-474. </w:t>
      </w:r>
      <w:hyperlink r:id="rId2" w:history="1">
        <w:r w:rsidR="003A4456" w:rsidRPr="00D7034C">
          <w:rPr>
            <w:rStyle w:val="Lienhypertexte"/>
          </w:rPr>
          <w:t>https://www.cairn.info/revue-etudes-2003-4-page-465.htm</w:t>
        </w:r>
      </w:hyperlink>
      <w:r w:rsidR="003A4456">
        <w:t xml:space="preserve"> </w:t>
      </w:r>
      <w:r w:rsidR="003A4456" w:rsidRPr="003A4456">
        <w:t xml:space="preserve">(consulté le </w:t>
      </w:r>
      <w:r w:rsidR="003A4456">
        <w:t>1</w:t>
      </w:r>
      <w:r w:rsidR="003A4456" w:rsidRPr="003A4456">
        <w:t xml:space="preserve">6 </w:t>
      </w:r>
      <w:r w:rsidR="003A4456">
        <w:t>Février 2026</w:t>
      </w:r>
      <w:r w:rsidR="003A4456" w:rsidRPr="003A4456">
        <w:t>).</w:t>
      </w:r>
    </w:p>
  </w:footnote>
  <w:footnote w:id="11">
    <w:p w14:paraId="36561C43" w14:textId="38F881C1" w:rsidR="008047F1" w:rsidRPr="008047F1" w:rsidRDefault="008047F1" w:rsidP="003A4456">
      <w:pPr>
        <w:pStyle w:val="Notedebasdepage"/>
        <w:ind w:firstLine="0"/>
      </w:pPr>
      <w:r>
        <w:rPr>
          <w:rStyle w:val="Appelnotedebasdep"/>
        </w:rPr>
        <w:footnoteRef/>
      </w:r>
      <w:r>
        <w:t xml:space="preserve"> </w:t>
      </w:r>
      <w:r w:rsidR="003A4456" w:rsidRPr="003A4456">
        <w:t>Montesquieu, C. (1979). De l'Esprit des Lois. Garnier-Flammarion, p. 292.</w:t>
      </w:r>
    </w:p>
  </w:footnote>
  <w:footnote w:id="12">
    <w:p w14:paraId="4492AF77" w14:textId="5090CB30" w:rsidR="008047F1" w:rsidRPr="008047F1" w:rsidRDefault="008047F1" w:rsidP="003A4456">
      <w:pPr>
        <w:pStyle w:val="Notedebasdepage"/>
        <w:ind w:firstLine="0"/>
      </w:pPr>
      <w:r>
        <w:rPr>
          <w:rStyle w:val="Appelnotedebasdep"/>
        </w:rPr>
        <w:footnoteRef/>
      </w:r>
      <w:r>
        <w:t xml:space="preserve"> </w:t>
      </w:r>
      <w:r w:rsidR="003A4456" w:rsidRPr="003A4456">
        <w:t>Debbasch, C. (2002). L'indépendance de la justice. In Au Carrefour des droits, Mélanges en l'honneur de Louis Dubouis (pp. 27-33). Dalloz.</w:t>
      </w:r>
    </w:p>
  </w:footnote>
  <w:footnote w:id="13">
    <w:p w14:paraId="7A224B82" w14:textId="2BB41B9E" w:rsidR="008047F1" w:rsidRPr="008047F1" w:rsidRDefault="008047F1" w:rsidP="003A4456">
      <w:pPr>
        <w:pStyle w:val="Notedebasdepage"/>
        <w:ind w:firstLine="0"/>
      </w:pPr>
      <w:r>
        <w:rPr>
          <w:rStyle w:val="Appelnotedebasdep"/>
        </w:rPr>
        <w:footnoteRef/>
      </w:r>
      <w:r>
        <w:t xml:space="preserve"> </w:t>
      </w:r>
      <w:r w:rsidR="003A4456" w:rsidRPr="003A4456">
        <w:t xml:space="preserve">Imbiki, A. (2013). </w:t>
      </w:r>
      <w:r w:rsidR="003A4456" w:rsidRPr="003A4456">
        <w:rPr>
          <w:i/>
          <w:iCs/>
        </w:rPr>
        <w:t>Déontologie et Responsabilités des Magistrats</w:t>
      </w:r>
      <w:r w:rsidR="003A4456" w:rsidRPr="003A4456">
        <w:t>. Éditions Créons, pp. 331-337.</w:t>
      </w:r>
    </w:p>
  </w:footnote>
  <w:footnote w:id="14">
    <w:p w14:paraId="36F7A1F7" w14:textId="2E8F2276" w:rsidR="008047F1" w:rsidRPr="003A4456" w:rsidRDefault="008047F1" w:rsidP="003A4456">
      <w:pPr>
        <w:pStyle w:val="Notedebasdepage"/>
        <w:ind w:firstLine="0"/>
      </w:pPr>
      <w:r>
        <w:rPr>
          <w:rStyle w:val="Appelnotedebasdep"/>
        </w:rPr>
        <w:footnoteRef/>
      </w:r>
      <w:r>
        <w:t xml:space="preserve"> </w:t>
      </w:r>
      <w:r w:rsidR="003A4456" w:rsidRPr="003A4456">
        <w:t xml:space="preserve">Ahjucaf. (2022). </w:t>
      </w:r>
      <w:r w:rsidR="003A4456" w:rsidRPr="003A4456">
        <w:rPr>
          <w:i/>
          <w:iCs/>
        </w:rPr>
        <w:t>Les menaces externes à l'indépendance de la justice</w:t>
      </w:r>
      <w:r w:rsidR="003A4456" w:rsidRPr="003A4456">
        <w:t xml:space="preserve">. </w:t>
      </w:r>
      <w:hyperlink r:id="rId3" w:history="1">
        <w:r w:rsidR="003A4456" w:rsidRPr="00D7034C">
          <w:rPr>
            <w:rStyle w:val="Lienhypertexte"/>
          </w:rPr>
          <w:t>http://v1.ahjucaf.org/Les-menaces-externes-a-l-independance-de-la-justice//html</w:t>
        </w:r>
      </w:hyperlink>
      <w:r w:rsidR="003A4456">
        <w:t xml:space="preserve"> </w:t>
      </w:r>
      <w:r w:rsidR="003A4456" w:rsidRPr="003A4456">
        <w:t xml:space="preserve">(consulté le </w:t>
      </w:r>
      <w:r w:rsidR="003A4456">
        <w:t>1</w:t>
      </w:r>
      <w:r w:rsidR="003A4456" w:rsidRPr="003A4456">
        <w:t xml:space="preserve">6 </w:t>
      </w:r>
      <w:r w:rsidR="003A4456">
        <w:t>Février</w:t>
      </w:r>
      <w:r w:rsidR="003A4456" w:rsidRPr="003A4456">
        <w:t xml:space="preserve"> 202</w:t>
      </w:r>
      <w:r w:rsidR="003A4456">
        <w:t>6</w:t>
      </w:r>
      <w:r w:rsidR="003A4456" w:rsidRPr="003A4456">
        <w:t>).</w:t>
      </w:r>
    </w:p>
  </w:footnote>
  <w:footnote w:id="15">
    <w:p w14:paraId="712D6CDB" w14:textId="4A5EDE7A" w:rsidR="008047F1" w:rsidRPr="003A4456" w:rsidRDefault="008047F1" w:rsidP="003A4456">
      <w:pPr>
        <w:pStyle w:val="Notedebasdepage"/>
        <w:ind w:firstLine="0"/>
      </w:pPr>
      <w:r>
        <w:rPr>
          <w:rStyle w:val="Appelnotedebasdep"/>
        </w:rPr>
        <w:footnoteRef/>
      </w:r>
      <w:r>
        <w:t xml:space="preserve"> </w:t>
      </w:r>
      <w:r w:rsidR="00485269" w:rsidRPr="00485269">
        <w:rPr>
          <w:i/>
          <w:iCs/>
        </w:rPr>
        <w:t xml:space="preserve">Idem </w:t>
      </w:r>
    </w:p>
  </w:footnote>
  <w:footnote w:id="16">
    <w:p w14:paraId="37142F3C" w14:textId="40442EF2" w:rsidR="008047F1" w:rsidRPr="003A4456" w:rsidRDefault="008047F1" w:rsidP="003A4456">
      <w:pPr>
        <w:pStyle w:val="Notedebasdepage"/>
        <w:ind w:firstLine="0"/>
      </w:pPr>
      <w:r>
        <w:rPr>
          <w:rStyle w:val="Appelnotedebasdep"/>
        </w:rPr>
        <w:footnoteRef/>
      </w:r>
      <w:r>
        <w:t xml:space="preserve"> </w:t>
      </w:r>
      <w:r w:rsidR="00485269" w:rsidRPr="00485269">
        <w:rPr>
          <w:i/>
          <w:iCs/>
        </w:rPr>
        <w:t>Idem</w:t>
      </w:r>
    </w:p>
  </w:footnote>
  <w:footnote w:id="17">
    <w:p w14:paraId="0BAB6233" w14:textId="0881A7D0" w:rsidR="008047F1" w:rsidRPr="008047F1" w:rsidRDefault="008047F1" w:rsidP="003A4456">
      <w:pPr>
        <w:pStyle w:val="Notedebasdepage"/>
        <w:ind w:firstLine="0"/>
      </w:pPr>
      <w:r>
        <w:rPr>
          <w:rStyle w:val="Appelnotedebasdep"/>
        </w:rPr>
        <w:footnoteRef/>
      </w:r>
      <w:r>
        <w:t xml:space="preserve"> </w:t>
      </w:r>
      <w:r w:rsidR="003A4456" w:rsidRPr="003A4456">
        <w:t>Montesquieu, C. (1979). De l'Esprit des Lois. Garnier-Flammarion, p. 297.</w:t>
      </w:r>
    </w:p>
  </w:footnote>
  <w:footnote w:id="18">
    <w:p w14:paraId="74A71367" w14:textId="28D38513" w:rsidR="008047F1" w:rsidRPr="008047F1" w:rsidRDefault="008047F1" w:rsidP="003A4456">
      <w:pPr>
        <w:pStyle w:val="Notedebasdepage"/>
        <w:ind w:firstLine="0"/>
      </w:pPr>
      <w:r>
        <w:rPr>
          <w:rStyle w:val="Appelnotedebasdep"/>
        </w:rPr>
        <w:footnoteRef/>
      </w:r>
      <w:r>
        <w:t xml:space="preserve"> </w:t>
      </w:r>
      <w:r w:rsidR="003A4456" w:rsidRPr="003A4456">
        <w:t xml:space="preserve">Ahjucaf. (2022). </w:t>
      </w:r>
      <w:r w:rsidR="003A4456" w:rsidRPr="003A4456">
        <w:rPr>
          <w:i/>
          <w:iCs/>
        </w:rPr>
        <w:t>Les menaces externes à l'indépendance de la justice</w:t>
      </w:r>
      <w:r w:rsidR="003A4456" w:rsidRPr="003A4456">
        <w:t xml:space="preserve">. </w:t>
      </w:r>
      <w:hyperlink r:id="rId4" w:history="1">
        <w:r w:rsidR="003A4456" w:rsidRPr="00D7034C">
          <w:rPr>
            <w:rStyle w:val="Lienhypertexte"/>
          </w:rPr>
          <w:t>http://v1.ahjucaf.org/Les-menaces-externes-a-l-independance-de-la-justice//html</w:t>
        </w:r>
      </w:hyperlink>
      <w:r w:rsidR="003A4456">
        <w:t xml:space="preserve"> </w:t>
      </w:r>
      <w:r w:rsidR="003A4456" w:rsidRPr="003A4456">
        <w:t xml:space="preserve">(consulté le </w:t>
      </w:r>
      <w:r w:rsidR="003A4456">
        <w:t>1</w:t>
      </w:r>
      <w:r w:rsidR="003A4456" w:rsidRPr="003A4456">
        <w:t xml:space="preserve">6 </w:t>
      </w:r>
      <w:r w:rsidR="003A4456">
        <w:t>Février</w:t>
      </w:r>
      <w:r w:rsidR="003A4456" w:rsidRPr="003A4456">
        <w:t xml:space="preserve"> 202</w:t>
      </w:r>
      <w:r w:rsidR="003A4456">
        <w:t>6</w:t>
      </w:r>
      <w:r w:rsidR="003A4456" w:rsidRPr="003A4456">
        <w:t>).</w:t>
      </w:r>
    </w:p>
  </w:footnote>
  <w:footnote w:id="19">
    <w:p w14:paraId="184B0A04" w14:textId="4DA20217" w:rsidR="00A82F99" w:rsidRPr="00A82F99" w:rsidRDefault="00A82F99" w:rsidP="003A4456">
      <w:pPr>
        <w:pStyle w:val="Notedebasdepage"/>
        <w:ind w:firstLine="0"/>
      </w:pPr>
      <w:r>
        <w:rPr>
          <w:rStyle w:val="Appelnotedebasdep"/>
        </w:rPr>
        <w:footnoteRef/>
      </w:r>
      <w:r>
        <w:t xml:space="preserve"> </w:t>
      </w:r>
      <w:r w:rsidR="003A4456" w:rsidRPr="003A4456">
        <w:t>Constitution de la République de Madagascar. (2010). Article 106. Journal Officiel de la République de Madagascar.</w:t>
      </w:r>
    </w:p>
  </w:footnote>
  <w:footnote w:id="20">
    <w:p w14:paraId="7CAC8347" w14:textId="5C7C02D4" w:rsidR="00A82F99" w:rsidRPr="00A82F99" w:rsidRDefault="00A82F99" w:rsidP="003A4456">
      <w:pPr>
        <w:pStyle w:val="Notedebasdepage"/>
        <w:ind w:firstLine="0"/>
      </w:pPr>
      <w:r>
        <w:rPr>
          <w:rStyle w:val="Appelnotedebasdep"/>
        </w:rPr>
        <w:footnoteRef/>
      </w:r>
      <w:r>
        <w:t xml:space="preserve"> </w:t>
      </w:r>
      <w:r w:rsidR="003A4456" w:rsidRPr="003A4456">
        <w:t>Constitution de la République de Madagascar. (2010). Article 107, Alinéa 1 et 2. Journal Officiel de la République de Madagascar.</w:t>
      </w:r>
    </w:p>
  </w:footnote>
  <w:footnote w:id="21">
    <w:p w14:paraId="48274BB0" w14:textId="363D0AC9" w:rsidR="00A82F99" w:rsidRPr="00A82F99" w:rsidRDefault="00A82F99" w:rsidP="003A4456">
      <w:pPr>
        <w:pStyle w:val="Notedebasdepage"/>
        <w:ind w:firstLine="0"/>
      </w:pPr>
      <w:r>
        <w:rPr>
          <w:rStyle w:val="Appelnotedebasdep"/>
        </w:rPr>
        <w:footnoteRef/>
      </w:r>
      <w:r>
        <w:t xml:space="preserve"> </w:t>
      </w:r>
      <w:r w:rsidR="003A4456" w:rsidRPr="003A4456">
        <w:t>Constitution de la République de Madagascar. (2010). Article 107, Alinéa 03. Journal Officiel de la République de Madagascar.</w:t>
      </w:r>
    </w:p>
  </w:footnote>
  <w:footnote w:id="22">
    <w:p w14:paraId="60983924" w14:textId="00965D93" w:rsidR="00A82F99" w:rsidRPr="00A82F99" w:rsidRDefault="00A82F99" w:rsidP="003A4456">
      <w:pPr>
        <w:pStyle w:val="Notedebasdepage"/>
        <w:ind w:firstLine="0"/>
      </w:pPr>
      <w:r>
        <w:rPr>
          <w:rStyle w:val="Appelnotedebasdep"/>
        </w:rPr>
        <w:footnoteRef/>
      </w:r>
      <w:r>
        <w:t xml:space="preserve"> </w:t>
      </w:r>
      <w:r w:rsidR="003A4456" w:rsidRPr="003A4456">
        <w:t xml:space="preserve">Sefafi Observatoire de la Vie Publique. (2009). </w:t>
      </w:r>
      <w:r w:rsidR="003A4456" w:rsidRPr="003A4456">
        <w:rPr>
          <w:i/>
          <w:iCs/>
        </w:rPr>
        <w:t>Quelle justice pour le présent et l'avenir ?</w:t>
      </w:r>
      <w:r w:rsidR="003A4456" w:rsidRPr="003A4456">
        <w:t xml:space="preserve"> Antananarivo.</w:t>
      </w:r>
    </w:p>
  </w:footnote>
  <w:footnote w:id="23">
    <w:p w14:paraId="7EB328C7" w14:textId="350065FA" w:rsidR="00A82F99" w:rsidRPr="00A82F99" w:rsidRDefault="00A82F99" w:rsidP="003A4456">
      <w:pPr>
        <w:pStyle w:val="Notedebasdepage"/>
        <w:ind w:firstLine="0"/>
      </w:pPr>
      <w:r>
        <w:rPr>
          <w:rStyle w:val="Appelnotedebasdep"/>
        </w:rPr>
        <w:footnoteRef/>
      </w:r>
      <w:r>
        <w:t xml:space="preserve"> </w:t>
      </w:r>
      <w:r w:rsidR="003A4456" w:rsidRPr="003A4456">
        <w:t>Constitution de la République de Madagascar. (2010). Article 107. Journal Officiel de la République de Madagascar.</w:t>
      </w:r>
    </w:p>
  </w:footnote>
  <w:footnote w:id="24">
    <w:p w14:paraId="62EA007A" w14:textId="49C48BB5" w:rsidR="00A82F99" w:rsidRPr="00A82F99" w:rsidRDefault="00A82F99" w:rsidP="003A4456">
      <w:pPr>
        <w:pStyle w:val="Notedebasdepage"/>
        <w:ind w:firstLine="0"/>
      </w:pPr>
      <w:r>
        <w:rPr>
          <w:rStyle w:val="Appelnotedebasdep"/>
        </w:rPr>
        <w:footnoteRef/>
      </w:r>
      <w:r>
        <w:t xml:space="preserve"> </w:t>
      </w:r>
      <w:r w:rsidR="003A4456" w:rsidRPr="003A4456">
        <w:t xml:space="preserve">Ahjucaf. (2022). </w:t>
      </w:r>
      <w:r w:rsidR="003A4456" w:rsidRPr="003A4456">
        <w:rPr>
          <w:i/>
          <w:iCs/>
        </w:rPr>
        <w:t>Les menaces externes à l'indépendance de la justice</w:t>
      </w:r>
      <w:r w:rsidR="003A4456" w:rsidRPr="003A4456">
        <w:t xml:space="preserve">. </w:t>
      </w:r>
      <w:hyperlink r:id="rId5" w:history="1">
        <w:r w:rsidR="003A4456" w:rsidRPr="003A4456">
          <w:rPr>
            <w:rStyle w:val="Lienhypertexte"/>
          </w:rPr>
          <w:t>http://v1.ahjucaf.org/Les-menaces-externes-a-l-independance-de-la-justice//html</w:t>
        </w:r>
      </w:hyperlink>
      <w:r w:rsidR="003A4456" w:rsidRPr="003A4456">
        <w:t xml:space="preserve"> (consulté le 16 Février 2026).</w:t>
      </w:r>
    </w:p>
  </w:footnote>
  <w:footnote w:id="25">
    <w:p w14:paraId="65709E40" w14:textId="15419C24" w:rsidR="00A82F99" w:rsidRPr="00A82F99" w:rsidRDefault="00A82F99" w:rsidP="003A4456">
      <w:pPr>
        <w:pStyle w:val="Notedebasdepage"/>
        <w:ind w:firstLine="0"/>
      </w:pPr>
      <w:r>
        <w:rPr>
          <w:rStyle w:val="Appelnotedebasdep"/>
        </w:rPr>
        <w:footnoteRef/>
      </w:r>
      <w:r>
        <w:t xml:space="preserve"> </w:t>
      </w:r>
      <w:r w:rsidR="003A4456" w:rsidRPr="003A4456">
        <w:t>Imbiki, A. (2013). Déontologie et Responsabilités des Magistrats. Éditions Créons, pp. 331-337.</w:t>
      </w:r>
    </w:p>
  </w:footnote>
  <w:footnote w:id="26">
    <w:p w14:paraId="51C3ABEE" w14:textId="31637E85" w:rsidR="00A82F99" w:rsidRPr="00A82F99" w:rsidRDefault="00A82F99" w:rsidP="003A4456">
      <w:pPr>
        <w:pStyle w:val="Notedebasdepage"/>
        <w:ind w:firstLine="0"/>
      </w:pPr>
      <w:r>
        <w:rPr>
          <w:rStyle w:val="Appelnotedebasdep"/>
        </w:rPr>
        <w:footnoteRef/>
      </w:r>
      <w:r>
        <w:t xml:space="preserve"> </w:t>
      </w:r>
      <w:r w:rsidR="003A4456" w:rsidRPr="003A4456">
        <w:t xml:space="preserve">Ahjucaf. (2022). </w:t>
      </w:r>
      <w:r w:rsidR="003A4456" w:rsidRPr="003A4456">
        <w:rPr>
          <w:i/>
          <w:iCs/>
        </w:rPr>
        <w:t>Les menaces externes à l'indépendance de la justice</w:t>
      </w:r>
      <w:r w:rsidR="003A4456" w:rsidRPr="003A4456">
        <w:t xml:space="preserve">. </w:t>
      </w:r>
      <w:hyperlink r:id="rId6" w:history="1">
        <w:r w:rsidR="003A4456" w:rsidRPr="003A4456">
          <w:rPr>
            <w:rStyle w:val="Lienhypertexte"/>
          </w:rPr>
          <w:t>http://v1.ahjucaf.org/Les-menaces-externes-a-l-independance-de-la-justice//html</w:t>
        </w:r>
      </w:hyperlink>
      <w:r w:rsidR="003A4456" w:rsidRPr="003A4456">
        <w:t xml:space="preserve"> (consulté le 16 Février 2026).</w:t>
      </w:r>
    </w:p>
  </w:footnote>
  <w:footnote w:id="27">
    <w:p w14:paraId="56AA6657" w14:textId="711DDA46" w:rsidR="00A82F99" w:rsidRPr="00A82F99" w:rsidRDefault="00A82F99" w:rsidP="003A4456">
      <w:pPr>
        <w:pStyle w:val="Notedebasdepage"/>
        <w:ind w:firstLine="0"/>
      </w:pPr>
      <w:r>
        <w:rPr>
          <w:rStyle w:val="Appelnotedebasdep"/>
        </w:rPr>
        <w:footnoteRef/>
      </w:r>
      <w:r>
        <w:t xml:space="preserve"> </w:t>
      </w:r>
      <w:r w:rsidR="00485269" w:rsidRPr="00485269">
        <w:rPr>
          <w:i/>
          <w:iCs/>
        </w:rPr>
        <w:t>Idem</w:t>
      </w:r>
    </w:p>
  </w:footnote>
  <w:footnote w:id="28">
    <w:p w14:paraId="512BC924" w14:textId="21230CAD" w:rsidR="00A82F99" w:rsidRPr="00A82F99" w:rsidRDefault="00A82F99" w:rsidP="003A4456">
      <w:pPr>
        <w:pStyle w:val="Notedebasdepage"/>
        <w:ind w:firstLine="0"/>
      </w:pPr>
      <w:r>
        <w:rPr>
          <w:rStyle w:val="Appelnotedebasdep"/>
        </w:rPr>
        <w:footnoteRef/>
      </w:r>
      <w:r>
        <w:t xml:space="preserve"> </w:t>
      </w:r>
      <w:r w:rsidR="00485269" w:rsidRPr="00485269">
        <w:rPr>
          <w:i/>
          <w:iCs/>
        </w:rPr>
        <w:t>Idem</w:t>
      </w:r>
    </w:p>
  </w:footnote>
  <w:footnote w:id="29">
    <w:p w14:paraId="17C6A2F8" w14:textId="03D83012" w:rsidR="00A82F99" w:rsidRPr="00A82F99" w:rsidRDefault="00A82F99" w:rsidP="003A4456">
      <w:pPr>
        <w:pStyle w:val="Notedebasdepage"/>
        <w:ind w:firstLine="0"/>
      </w:pPr>
      <w:r>
        <w:rPr>
          <w:rStyle w:val="Appelnotedebasdep"/>
        </w:rPr>
        <w:footnoteRef/>
      </w:r>
      <w:r>
        <w:t xml:space="preserve"> </w:t>
      </w:r>
      <w:r w:rsidR="003A4456" w:rsidRPr="003A4456">
        <w:t>Constitution de la République de Madagascar. (2010). Article 133. Journal Officiel de la République de Madagascar.</w:t>
      </w:r>
    </w:p>
  </w:footnote>
  <w:footnote w:id="30">
    <w:p w14:paraId="58E4B183" w14:textId="2DEBE9D9" w:rsidR="00A82F99" w:rsidRPr="00A82F99" w:rsidRDefault="00A82F99" w:rsidP="003A4456">
      <w:pPr>
        <w:pStyle w:val="Notedebasdepage"/>
        <w:ind w:firstLine="0"/>
      </w:pPr>
      <w:r>
        <w:rPr>
          <w:rStyle w:val="Appelnotedebasdep"/>
        </w:rPr>
        <w:footnoteRef/>
      </w:r>
      <w:r>
        <w:t xml:space="preserve"> </w:t>
      </w:r>
      <w:r w:rsidR="003A4456" w:rsidRPr="003A4456">
        <w:t>Constitution de la République de Madagascar. (2010). Article 114. Journal Officiel de la République de Madagascar.</w:t>
      </w:r>
    </w:p>
  </w:footnote>
  <w:footnote w:id="31">
    <w:p w14:paraId="0631CDD3" w14:textId="5BC389B2" w:rsidR="00A82F99" w:rsidRPr="00A82F99" w:rsidRDefault="00A82F99" w:rsidP="003A4456">
      <w:pPr>
        <w:pStyle w:val="Notedebasdepage"/>
        <w:ind w:firstLine="0"/>
      </w:pPr>
      <w:r>
        <w:rPr>
          <w:rStyle w:val="Appelnotedebasdep"/>
        </w:rPr>
        <w:footnoteRef/>
      </w:r>
      <w:r>
        <w:t xml:space="preserve"> </w:t>
      </w:r>
      <w:r w:rsidR="003A4456" w:rsidRPr="003A4456">
        <w:t xml:space="preserve">Loi organique n°2014-043. (2014). </w:t>
      </w:r>
      <w:r w:rsidR="003A4456" w:rsidRPr="00497DDE">
        <w:rPr>
          <w:i/>
          <w:iCs/>
        </w:rPr>
        <w:t>Sur la Haute Cour de Justice</w:t>
      </w:r>
      <w:r w:rsidR="003A4456" w:rsidRPr="003A4456">
        <w:t>. Article 2. Journal Officiel de la République de Madagascar.</w:t>
      </w:r>
    </w:p>
  </w:footnote>
  <w:footnote w:id="32">
    <w:p w14:paraId="7270AEF3" w14:textId="247ECE3B" w:rsidR="003A4456" w:rsidRPr="003A4456" w:rsidRDefault="003A4456" w:rsidP="003A4456">
      <w:pPr>
        <w:pStyle w:val="Notedebasdepage"/>
        <w:ind w:firstLine="0"/>
      </w:pPr>
      <w:r>
        <w:rPr>
          <w:rStyle w:val="Appelnotedebasdep"/>
        </w:rPr>
        <w:footnoteRef/>
      </w:r>
      <w:r>
        <w:t xml:space="preserve"> </w:t>
      </w:r>
      <w:r w:rsidRPr="003A4456">
        <w:t xml:space="preserve">Sefafi Observatoire de la Vie Publique. (2009). </w:t>
      </w:r>
      <w:r w:rsidRPr="003A4456">
        <w:rPr>
          <w:i/>
          <w:iCs/>
        </w:rPr>
        <w:t>Quelle justice pour le présent et l'avenir</w:t>
      </w:r>
      <w:r w:rsidRPr="003A4456">
        <w:t xml:space="preserve"> ? Antananarivo.</w:t>
      </w:r>
    </w:p>
  </w:footnote>
  <w:footnote w:id="33">
    <w:p w14:paraId="114FC452" w14:textId="571998D8" w:rsidR="003A4456" w:rsidRPr="003A4456" w:rsidRDefault="003A4456" w:rsidP="003A4456">
      <w:pPr>
        <w:pStyle w:val="Notedebasdepage"/>
        <w:ind w:firstLine="0"/>
      </w:pPr>
      <w:r>
        <w:rPr>
          <w:rStyle w:val="Appelnotedebasdep"/>
        </w:rPr>
        <w:footnoteRef/>
      </w:r>
      <w:r>
        <w:t xml:space="preserve"> </w:t>
      </w:r>
      <w:r w:rsidRPr="003A4456">
        <w:t xml:space="preserve">Conac, G. (1998). </w:t>
      </w:r>
      <w:r w:rsidRPr="003A4456">
        <w:rPr>
          <w:i/>
          <w:iCs/>
        </w:rPr>
        <w:t>Les Constitutions africaines</w:t>
      </w:r>
      <w:r w:rsidRPr="003A4456">
        <w:t>, Tome II. La Documentation française, p. 18.</w:t>
      </w:r>
    </w:p>
  </w:footnote>
  <w:footnote w:id="34">
    <w:p w14:paraId="50382459" w14:textId="7A1008BC" w:rsidR="003A4456" w:rsidRPr="003A4456" w:rsidRDefault="003A4456" w:rsidP="003A4456">
      <w:pPr>
        <w:pStyle w:val="Notedebasdepage"/>
        <w:ind w:firstLine="0"/>
      </w:pPr>
      <w:r>
        <w:rPr>
          <w:rStyle w:val="Appelnotedebasdep"/>
        </w:rPr>
        <w:footnoteRef/>
      </w:r>
      <w:r>
        <w:t xml:space="preserve"> </w:t>
      </w:r>
      <w:r w:rsidRPr="003A4456">
        <w:t>Ricœur, P. (1995</w:t>
      </w:r>
      <w:r w:rsidRPr="003A4456">
        <w:rPr>
          <w:i/>
          <w:iCs/>
        </w:rPr>
        <w:t>). Le juste. Éditions</w:t>
      </w:r>
      <w:r w:rsidRPr="003A4456">
        <w:t xml:space="preserve"> Esprit, p.19.</w:t>
      </w:r>
    </w:p>
  </w:footnote>
  <w:footnote w:id="35">
    <w:p w14:paraId="4E34D104" w14:textId="6003F6A8" w:rsidR="003A4456" w:rsidRPr="003A4456" w:rsidRDefault="003A4456" w:rsidP="003A4456">
      <w:pPr>
        <w:pStyle w:val="Notedebasdepage"/>
        <w:ind w:firstLine="0"/>
      </w:pPr>
      <w:r>
        <w:rPr>
          <w:rStyle w:val="Appelnotedebasdep"/>
        </w:rPr>
        <w:footnoteRef/>
      </w:r>
      <w:r>
        <w:t xml:space="preserve"> </w:t>
      </w:r>
      <w:r w:rsidRPr="003A4456">
        <w:t xml:space="preserve">Renoux, T.-S. (1999). </w:t>
      </w:r>
      <w:r w:rsidRPr="003A4456">
        <w:rPr>
          <w:i/>
          <w:iCs/>
        </w:rPr>
        <w:t>Le pouvoir judiciaire en France et en Europe continentale</w:t>
      </w:r>
      <w:r w:rsidRPr="003A4456">
        <w:t xml:space="preserve"> : approche comparative. Revue de Droit Public, (4), 967-984.</w:t>
      </w:r>
    </w:p>
  </w:footnote>
  <w:footnote w:id="36">
    <w:p w14:paraId="6612F681" w14:textId="2687D4C9" w:rsidR="004F769B" w:rsidRPr="004F769B" w:rsidRDefault="004F769B" w:rsidP="004F769B">
      <w:pPr>
        <w:pStyle w:val="Notedebasdepage"/>
        <w:ind w:firstLine="0"/>
      </w:pPr>
      <w:r>
        <w:rPr>
          <w:rStyle w:val="Appelnotedebasdep"/>
        </w:rPr>
        <w:footnoteRef/>
      </w:r>
      <w:r>
        <w:t xml:space="preserve"> </w:t>
      </w:r>
      <w:r w:rsidRPr="004F769B">
        <w:t xml:space="preserve">Imbiki, A. (2013). </w:t>
      </w:r>
      <w:r w:rsidRPr="004F769B">
        <w:rPr>
          <w:i/>
          <w:iCs/>
        </w:rPr>
        <w:t>Déontologie et Responsabilités des Magistrats</w:t>
      </w:r>
      <w:r w:rsidRPr="004F769B">
        <w:t>. Éditions Créons.</w:t>
      </w:r>
    </w:p>
  </w:footnote>
  <w:footnote w:id="37">
    <w:p w14:paraId="614FC150" w14:textId="4A7950F8" w:rsidR="004F769B" w:rsidRPr="004F769B" w:rsidRDefault="004F769B" w:rsidP="004F769B">
      <w:pPr>
        <w:pStyle w:val="Notedebasdepage"/>
        <w:ind w:firstLine="0"/>
      </w:pPr>
      <w:r>
        <w:rPr>
          <w:rStyle w:val="Appelnotedebasdep"/>
        </w:rPr>
        <w:footnoteRef/>
      </w:r>
      <w:r>
        <w:t xml:space="preserve"> </w:t>
      </w:r>
      <w:r w:rsidRPr="004F769B">
        <w:t xml:space="preserve">Loi organique n°2014-043. (2014). </w:t>
      </w:r>
      <w:r w:rsidRPr="004F769B">
        <w:rPr>
          <w:i/>
          <w:iCs/>
        </w:rPr>
        <w:t>Sur la Haute Cour de Justice. Journal Officiel de la République de Madagascar</w:t>
      </w:r>
      <w:r w:rsidRPr="004F769B">
        <w:t>.</w:t>
      </w:r>
    </w:p>
  </w:footnote>
  <w:footnote w:id="38">
    <w:p w14:paraId="4C7A85B4" w14:textId="69799900" w:rsidR="004F769B" w:rsidRPr="004F769B" w:rsidRDefault="004F769B" w:rsidP="004F769B">
      <w:pPr>
        <w:pStyle w:val="Notedebasdepage"/>
        <w:ind w:firstLine="0"/>
      </w:pPr>
      <w:r>
        <w:rPr>
          <w:rStyle w:val="Appelnotedebasdep"/>
        </w:rPr>
        <w:footnoteRef/>
      </w:r>
      <w:r>
        <w:t xml:space="preserve"> </w:t>
      </w:r>
      <w:r w:rsidRPr="004F769B">
        <w:t xml:space="preserve">Montesquieu, C. (1979). </w:t>
      </w:r>
      <w:r w:rsidRPr="004F769B">
        <w:rPr>
          <w:i/>
          <w:iCs/>
        </w:rPr>
        <w:t>De l'Esprit des Lois</w:t>
      </w:r>
      <w:r w:rsidRPr="004F769B">
        <w:t>. Garnier-Flammarion.</w:t>
      </w:r>
    </w:p>
  </w:footnote>
  <w:footnote w:id="39">
    <w:p w14:paraId="39F1A071" w14:textId="2EB0AC00" w:rsidR="004F769B" w:rsidRPr="004F769B" w:rsidRDefault="004F769B" w:rsidP="004F769B">
      <w:pPr>
        <w:pStyle w:val="Notedebasdepage"/>
        <w:ind w:firstLine="0"/>
      </w:pPr>
      <w:r>
        <w:rPr>
          <w:rStyle w:val="Appelnotedebasdep"/>
        </w:rPr>
        <w:footnoteRef/>
      </w:r>
      <w:r>
        <w:t xml:space="preserve"> </w:t>
      </w:r>
      <w:r w:rsidRPr="004F769B">
        <w:t xml:space="preserve">Weber, M. (2003). </w:t>
      </w:r>
      <w:r w:rsidRPr="004F769B">
        <w:rPr>
          <w:i/>
          <w:iCs/>
        </w:rPr>
        <w:t>Le Savant et le Politique</w:t>
      </w:r>
      <w:r w:rsidRPr="004F769B">
        <w:t>. La Découverte.</w:t>
      </w:r>
    </w:p>
  </w:footnote>
  <w:footnote w:id="40">
    <w:p w14:paraId="20C84B5B" w14:textId="707BF347" w:rsidR="004F769B" w:rsidRPr="004F769B" w:rsidRDefault="004F769B" w:rsidP="004F769B">
      <w:pPr>
        <w:pStyle w:val="Notedebasdepage"/>
        <w:ind w:firstLine="0"/>
      </w:pPr>
      <w:r>
        <w:rPr>
          <w:rStyle w:val="Appelnotedebasdep"/>
        </w:rPr>
        <w:footnoteRef/>
      </w:r>
      <w:r>
        <w:t xml:space="preserve"> </w:t>
      </w:r>
      <w:r w:rsidRPr="004F769B">
        <w:t xml:space="preserve">Sefafi Observatoire de la Vie Publique. (2009). </w:t>
      </w:r>
      <w:r w:rsidRPr="004F769B">
        <w:rPr>
          <w:i/>
          <w:iCs/>
        </w:rPr>
        <w:t>Quelle justice pour le présent et l'avenir ?</w:t>
      </w:r>
      <w:r w:rsidRPr="004F769B">
        <w:t xml:space="preserve"> Antananarivo.</w:t>
      </w:r>
    </w:p>
  </w:footnote>
  <w:footnote w:id="41">
    <w:p w14:paraId="466B4D04" w14:textId="3EF70F77" w:rsidR="004F769B" w:rsidRPr="004F769B" w:rsidRDefault="004F769B" w:rsidP="004F769B">
      <w:pPr>
        <w:pStyle w:val="Notedebasdepage"/>
        <w:ind w:firstLine="0"/>
      </w:pPr>
      <w:r>
        <w:rPr>
          <w:rStyle w:val="Appelnotedebasdep"/>
        </w:rPr>
        <w:footnoteRef/>
      </w:r>
      <w:r>
        <w:t xml:space="preserve"> </w:t>
      </w:r>
      <w:r w:rsidRPr="004F769B">
        <w:t xml:space="preserve">Conac, G. (1998). </w:t>
      </w:r>
      <w:r w:rsidRPr="004F769B">
        <w:rPr>
          <w:i/>
          <w:iCs/>
        </w:rPr>
        <w:t>Les Constitutions africaines</w:t>
      </w:r>
      <w:r w:rsidRPr="004F769B">
        <w:t>, Tome II. La Documentation française.</w:t>
      </w:r>
    </w:p>
  </w:footnote>
  <w:footnote w:id="42">
    <w:p w14:paraId="0BAF841D" w14:textId="3608DC13" w:rsidR="004F769B" w:rsidRPr="004F769B" w:rsidRDefault="004F769B" w:rsidP="004F769B">
      <w:pPr>
        <w:pStyle w:val="Notedebasdepage"/>
        <w:ind w:firstLine="0"/>
      </w:pPr>
      <w:r>
        <w:rPr>
          <w:rStyle w:val="Appelnotedebasdep"/>
        </w:rPr>
        <w:footnoteRef/>
      </w:r>
      <w:r>
        <w:t xml:space="preserve"> </w:t>
      </w:r>
      <w:r w:rsidRPr="004F769B">
        <w:t>Constitution de la République de Madagascar. (2010). Article 107. Journal Officiel de la République de Madagascar.</w:t>
      </w:r>
    </w:p>
  </w:footnote>
  <w:footnote w:id="43">
    <w:p w14:paraId="66F45DC3" w14:textId="7900E18F" w:rsidR="004F769B" w:rsidRPr="004F769B" w:rsidRDefault="004F769B" w:rsidP="004F769B">
      <w:pPr>
        <w:pStyle w:val="Notedebasdepage"/>
        <w:ind w:firstLine="0"/>
      </w:pPr>
      <w:r>
        <w:rPr>
          <w:rStyle w:val="Appelnotedebasdep"/>
        </w:rPr>
        <w:footnoteRef/>
      </w:r>
      <w:r>
        <w:t xml:space="preserve"> </w:t>
      </w:r>
      <w:r w:rsidRPr="004F769B">
        <w:t xml:space="preserve">Ricœur, P. (1995). </w:t>
      </w:r>
      <w:r w:rsidRPr="004F769B">
        <w:rPr>
          <w:i/>
          <w:iCs/>
        </w:rPr>
        <w:t>Le juste. Éditions Esprit</w:t>
      </w:r>
      <w:r w:rsidRPr="004F769B">
        <w:t>.</w:t>
      </w:r>
    </w:p>
  </w:footnote>
  <w:footnote w:id="44">
    <w:p w14:paraId="11BEB368" w14:textId="571750DD" w:rsidR="000933C6" w:rsidRPr="000933C6" w:rsidRDefault="000933C6" w:rsidP="000933C6">
      <w:pPr>
        <w:pStyle w:val="Notedebasdepage"/>
        <w:ind w:firstLine="0"/>
      </w:pPr>
      <w:r>
        <w:rPr>
          <w:rStyle w:val="Appelnotedebasdep"/>
        </w:rPr>
        <w:footnoteRef/>
      </w:r>
      <w:r>
        <w:t xml:space="preserve"> </w:t>
      </w:r>
      <w:r w:rsidRPr="000933C6">
        <w:t>Constitution de la République de Madagascar. (2010). Article 107, Alinéa 1. Journal Officiel de la République de Madagascar.</w:t>
      </w:r>
    </w:p>
  </w:footnote>
  <w:footnote w:id="45">
    <w:p w14:paraId="77BDB495" w14:textId="1403D55C" w:rsidR="000933C6" w:rsidRPr="000933C6" w:rsidRDefault="000933C6" w:rsidP="000933C6">
      <w:pPr>
        <w:pStyle w:val="Notedebasdepage"/>
        <w:ind w:firstLine="0"/>
      </w:pPr>
      <w:r>
        <w:rPr>
          <w:rStyle w:val="Appelnotedebasdep"/>
        </w:rPr>
        <w:footnoteRef/>
      </w:r>
      <w:r>
        <w:t xml:space="preserve"> </w:t>
      </w:r>
      <w:r w:rsidRPr="000933C6">
        <w:t>Constitution de la République de Madagascar. (2010). Article 107, Alinéa 2. Journal Officiel de la République de Madagascar.</w:t>
      </w:r>
    </w:p>
  </w:footnote>
  <w:footnote w:id="46">
    <w:p w14:paraId="006D17F4" w14:textId="48328F84" w:rsidR="000933C6" w:rsidRPr="000933C6" w:rsidRDefault="000933C6" w:rsidP="000933C6">
      <w:pPr>
        <w:pStyle w:val="Notedebasdepage"/>
        <w:ind w:firstLine="0"/>
      </w:pPr>
      <w:r>
        <w:rPr>
          <w:rStyle w:val="Appelnotedebasdep"/>
        </w:rPr>
        <w:footnoteRef/>
      </w:r>
      <w:r>
        <w:t xml:space="preserve"> </w:t>
      </w:r>
      <w:r w:rsidRPr="000933C6">
        <w:t xml:space="preserve">Imbiki, A. (2013). </w:t>
      </w:r>
      <w:r w:rsidRPr="000933C6">
        <w:rPr>
          <w:i/>
          <w:iCs/>
        </w:rPr>
        <w:t>Déontologie et Responsabilités des Magistrats</w:t>
      </w:r>
      <w:r w:rsidRPr="000933C6">
        <w:t>. Éditions Créons, pp. 331-337.</w:t>
      </w:r>
    </w:p>
  </w:footnote>
  <w:footnote w:id="47">
    <w:p w14:paraId="14D138EC" w14:textId="51981B07" w:rsidR="000933C6" w:rsidRPr="000933C6" w:rsidRDefault="000933C6" w:rsidP="000933C6">
      <w:pPr>
        <w:pStyle w:val="Notedebasdepage"/>
        <w:ind w:firstLine="0"/>
      </w:pPr>
      <w:r>
        <w:rPr>
          <w:rStyle w:val="Appelnotedebasdep"/>
        </w:rPr>
        <w:footnoteRef/>
      </w:r>
      <w:r>
        <w:t xml:space="preserve"> </w:t>
      </w:r>
      <w:r w:rsidRPr="000933C6">
        <w:t xml:space="preserve">Sefafi Observatoire de la Vie Publique. (2009). </w:t>
      </w:r>
      <w:r w:rsidRPr="000933C6">
        <w:rPr>
          <w:i/>
          <w:iCs/>
        </w:rPr>
        <w:t>Quelle justice pour le présent et l'avenir</w:t>
      </w:r>
      <w:r w:rsidRPr="000933C6">
        <w:t xml:space="preserve"> ? Antananarivo.</w:t>
      </w:r>
    </w:p>
  </w:footnote>
  <w:footnote w:id="48">
    <w:p w14:paraId="23D1F176" w14:textId="389E8AEB" w:rsidR="000933C6" w:rsidRPr="000933C6" w:rsidRDefault="000933C6" w:rsidP="000933C6">
      <w:pPr>
        <w:pStyle w:val="Notedebasdepage"/>
        <w:ind w:firstLine="0"/>
      </w:pPr>
      <w:r>
        <w:rPr>
          <w:rStyle w:val="Appelnotedebasdep"/>
        </w:rPr>
        <w:footnoteRef/>
      </w:r>
      <w:r>
        <w:t xml:space="preserve"> </w:t>
      </w:r>
      <w:r w:rsidRPr="000933C6">
        <w:t xml:space="preserve">Imbiki, A. (2013). </w:t>
      </w:r>
      <w:r w:rsidRPr="000933C6">
        <w:rPr>
          <w:i/>
          <w:iCs/>
        </w:rPr>
        <w:t>Déontologie et Responsabilités des Magistrats</w:t>
      </w:r>
      <w:r w:rsidRPr="000933C6">
        <w:t>. Éditions Créons, pp. 331-337</w:t>
      </w:r>
      <w:r>
        <w:t>.</w:t>
      </w:r>
    </w:p>
  </w:footnote>
  <w:footnote w:id="49">
    <w:p w14:paraId="4F309005" w14:textId="5329CF99" w:rsidR="000933C6" w:rsidRPr="000933C6" w:rsidRDefault="000933C6" w:rsidP="000933C6">
      <w:pPr>
        <w:pStyle w:val="Notedebasdepage"/>
        <w:ind w:firstLine="0"/>
      </w:pPr>
      <w:r>
        <w:rPr>
          <w:rStyle w:val="Appelnotedebasdep"/>
        </w:rPr>
        <w:footnoteRef/>
      </w:r>
      <w:r>
        <w:t xml:space="preserve"> </w:t>
      </w:r>
      <w:r w:rsidRPr="000933C6">
        <w:t xml:space="preserve">Debbasch, C. (2002). L'indépendance de la justice. </w:t>
      </w:r>
      <w:r w:rsidRPr="000933C6">
        <w:rPr>
          <w:i/>
          <w:iCs/>
        </w:rPr>
        <w:t xml:space="preserve">In Au Carrefour des droits, Mélanges en l'honneur de Louis Dubouis </w:t>
      </w:r>
      <w:r w:rsidRPr="000933C6">
        <w:t>(pp. 27-33). Dalloz.</w:t>
      </w:r>
    </w:p>
  </w:footnote>
  <w:footnote w:id="50">
    <w:p w14:paraId="20F721F8" w14:textId="32C61EA5" w:rsidR="000933C6" w:rsidRPr="000933C6" w:rsidRDefault="000933C6" w:rsidP="000933C6">
      <w:pPr>
        <w:pStyle w:val="Notedebasdepage"/>
        <w:ind w:firstLine="0"/>
      </w:pPr>
      <w:r>
        <w:rPr>
          <w:rStyle w:val="Appelnotedebasdep"/>
        </w:rPr>
        <w:footnoteRef/>
      </w:r>
      <w:r>
        <w:t xml:space="preserve"> </w:t>
      </w:r>
      <w:r w:rsidR="00842E62" w:rsidRPr="003A4456">
        <w:t xml:space="preserve">Ahjucaf. (2022). </w:t>
      </w:r>
      <w:r w:rsidR="00842E62" w:rsidRPr="003A4456">
        <w:rPr>
          <w:i/>
          <w:iCs/>
        </w:rPr>
        <w:t>Les menaces externes à l'indépendance de la justice</w:t>
      </w:r>
      <w:r w:rsidR="00842E62" w:rsidRPr="003A4456">
        <w:t xml:space="preserve">. </w:t>
      </w:r>
      <w:hyperlink r:id="rId7" w:history="1">
        <w:r w:rsidR="00842E62" w:rsidRPr="003A4456">
          <w:rPr>
            <w:rStyle w:val="Lienhypertexte"/>
          </w:rPr>
          <w:t>http://v1.ahjucaf.org/Les-menaces-externes-a-l-independance-de-la-justice//html</w:t>
        </w:r>
      </w:hyperlink>
      <w:r w:rsidR="00842E62" w:rsidRPr="003A4456">
        <w:t xml:space="preserve"> (consulté le 16 Février 2026).</w:t>
      </w:r>
    </w:p>
  </w:footnote>
  <w:footnote w:id="51">
    <w:p w14:paraId="24583F5B" w14:textId="479DFE55" w:rsidR="000933C6" w:rsidRPr="00842E62" w:rsidRDefault="000933C6" w:rsidP="000933C6">
      <w:pPr>
        <w:pStyle w:val="Notedebasdepage"/>
        <w:ind w:firstLine="0"/>
      </w:pPr>
      <w:r>
        <w:rPr>
          <w:rStyle w:val="Appelnotedebasdep"/>
        </w:rPr>
        <w:footnoteRef/>
      </w:r>
      <w:r>
        <w:t xml:space="preserve"> </w:t>
      </w:r>
      <w:r w:rsidR="00842E62" w:rsidRPr="00842E62">
        <w:t xml:space="preserve">Delcamp, A. (2013). Cours constitutionnelles et parlements ou comment se conjuguent aujourd'hui principe de souveraineté et État de droit. </w:t>
      </w:r>
      <w:r w:rsidR="00842E62" w:rsidRPr="00842E62">
        <w:rPr>
          <w:i/>
          <w:iCs/>
        </w:rPr>
        <w:t>Les Nouveaux Cahiers du Conseil constitutionnel</w:t>
      </w:r>
      <w:r w:rsidR="00842E62" w:rsidRPr="00842E62">
        <w:t xml:space="preserve">, 38, 181-203. </w:t>
      </w:r>
      <w:hyperlink r:id="rId8" w:history="1">
        <w:r w:rsidR="00842E62" w:rsidRPr="00D7034C">
          <w:rPr>
            <w:rStyle w:val="Lienhypertexte"/>
          </w:rPr>
          <w:t>https://www.cairn.info/revue-nouveaux-cahiers-conseil-constitutionnel-2013-1-page-181.htm</w:t>
        </w:r>
      </w:hyperlink>
      <w:r w:rsidR="00842E62">
        <w:t xml:space="preserve"> </w:t>
      </w:r>
      <w:r w:rsidR="00842E62" w:rsidRPr="00842E62">
        <w:t xml:space="preserve">(consulté le </w:t>
      </w:r>
      <w:r w:rsidR="00842E62">
        <w:t>1</w:t>
      </w:r>
      <w:r w:rsidR="00842E62" w:rsidRPr="00842E62">
        <w:t xml:space="preserve">6 </w:t>
      </w:r>
      <w:r w:rsidR="00842E62">
        <w:t>Février</w:t>
      </w:r>
      <w:r w:rsidR="00842E62" w:rsidRPr="00842E62">
        <w:t xml:space="preserve"> 202</w:t>
      </w:r>
      <w:r w:rsidR="00842E62">
        <w:t>6</w:t>
      </w:r>
      <w:r w:rsidR="00842E62" w:rsidRPr="00842E62">
        <w:t>).</w:t>
      </w:r>
    </w:p>
  </w:footnote>
  <w:footnote w:id="52">
    <w:p w14:paraId="19A795E3" w14:textId="469FCA75" w:rsidR="000933C6" w:rsidRPr="00842E62" w:rsidRDefault="000933C6" w:rsidP="000933C6">
      <w:pPr>
        <w:pStyle w:val="Notedebasdepage"/>
        <w:ind w:firstLine="0"/>
      </w:pPr>
      <w:r>
        <w:rPr>
          <w:rStyle w:val="Appelnotedebasdep"/>
        </w:rPr>
        <w:footnoteRef/>
      </w:r>
      <w:r>
        <w:t xml:space="preserve"> </w:t>
      </w:r>
      <w:r w:rsidR="00842E62" w:rsidRPr="00842E62">
        <w:t xml:space="preserve">Tiberghien, F. (2017). </w:t>
      </w:r>
      <w:r w:rsidR="00842E62" w:rsidRPr="00842E62">
        <w:rPr>
          <w:i/>
          <w:iCs/>
        </w:rPr>
        <w:t>Pouvoir judiciaire et gestion autonome des moyens</w:t>
      </w:r>
      <w:r w:rsidR="00842E62" w:rsidRPr="00842E62">
        <w:t xml:space="preserve">. Après-demain, 41(1), 26-30. </w:t>
      </w:r>
      <w:hyperlink r:id="rId9" w:history="1">
        <w:r w:rsidR="00842E62" w:rsidRPr="00D7034C">
          <w:rPr>
            <w:rStyle w:val="Lienhypertexte"/>
          </w:rPr>
          <w:t>https://www.cairn.info/revue-apres-demain-2017-1-page-26.htm</w:t>
        </w:r>
      </w:hyperlink>
      <w:r w:rsidR="00842E62">
        <w:t xml:space="preserve"> </w:t>
      </w:r>
      <w:r w:rsidR="00842E62" w:rsidRPr="00842E62">
        <w:t xml:space="preserve">(consulté le 18 </w:t>
      </w:r>
      <w:r w:rsidR="00842E62">
        <w:t>Février</w:t>
      </w:r>
      <w:r w:rsidR="00842E62" w:rsidRPr="00842E62">
        <w:t xml:space="preserve"> 202</w:t>
      </w:r>
      <w:r w:rsidR="00842E62">
        <w:t>6</w:t>
      </w:r>
      <w:r w:rsidR="00842E62" w:rsidRPr="00842E62">
        <w:t>).</w:t>
      </w:r>
    </w:p>
  </w:footnote>
  <w:footnote w:id="53">
    <w:p w14:paraId="11745BB0" w14:textId="576158D6" w:rsidR="000933C6" w:rsidRPr="000933C6" w:rsidRDefault="000933C6" w:rsidP="000933C6">
      <w:pPr>
        <w:pStyle w:val="Notedebasdepage"/>
        <w:ind w:firstLine="0"/>
      </w:pPr>
      <w:r>
        <w:rPr>
          <w:rStyle w:val="Appelnotedebasdep"/>
        </w:rPr>
        <w:footnoteRef/>
      </w:r>
      <w:r>
        <w:t xml:space="preserve"> </w:t>
      </w:r>
      <w:r w:rsidR="00842E62" w:rsidRPr="00842E62">
        <w:t xml:space="preserve">Ahjucaf. (2022). </w:t>
      </w:r>
      <w:r w:rsidR="00842E62" w:rsidRPr="00842E62">
        <w:rPr>
          <w:i/>
          <w:iCs/>
        </w:rPr>
        <w:t>Les menaces externes à l'indépendance de la justice</w:t>
      </w:r>
      <w:r w:rsidR="00842E62" w:rsidRPr="00842E62">
        <w:t xml:space="preserve">. </w:t>
      </w:r>
      <w:hyperlink r:id="rId10" w:history="1">
        <w:r w:rsidR="00842E62" w:rsidRPr="00842E62">
          <w:rPr>
            <w:rStyle w:val="Lienhypertexte"/>
          </w:rPr>
          <w:t>http://v1.ahjucaf.org/Les-menaces-externes-a-l-independance-de-la-justice//html</w:t>
        </w:r>
      </w:hyperlink>
      <w:r w:rsidR="00842E62" w:rsidRPr="00842E62">
        <w:t xml:space="preserve"> (consulté le 16 Février 2026).</w:t>
      </w:r>
    </w:p>
  </w:footnote>
  <w:footnote w:id="54">
    <w:p w14:paraId="2D6C2228" w14:textId="438EA3C4" w:rsidR="000933C6" w:rsidRPr="000933C6" w:rsidRDefault="000933C6" w:rsidP="000933C6">
      <w:pPr>
        <w:pStyle w:val="Notedebasdepage"/>
        <w:ind w:firstLine="0"/>
      </w:pPr>
      <w:r>
        <w:rPr>
          <w:rStyle w:val="Appelnotedebasdep"/>
        </w:rPr>
        <w:footnoteRef/>
      </w:r>
      <w:r>
        <w:t xml:space="preserve"> </w:t>
      </w:r>
      <w:r w:rsidR="00842E62" w:rsidRPr="00842E62">
        <w:t xml:space="preserve">Montesquieu, C. (1979). </w:t>
      </w:r>
      <w:r w:rsidR="00842E62" w:rsidRPr="00842E62">
        <w:rPr>
          <w:i/>
          <w:iCs/>
        </w:rPr>
        <w:t>De l'Esprit des Lois</w:t>
      </w:r>
      <w:r w:rsidR="00842E62" w:rsidRPr="00842E62">
        <w:t>. Garnier-Flammarion, p. 293.</w:t>
      </w:r>
    </w:p>
  </w:footnote>
  <w:footnote w:id="55">
    <w:p w14:paraId="3EEA3EF6" w14:textId="396723BB" w:rsidR="000933C6" w:rsidRPr="000933C6" w:rsidRDefault="000933C6" w:rsidP="000933C6">
      <w:pPr>
        <w:pStyle w:val="Notedebasdepage"/>
        <w:ind w:firstLine="0"/>
      </w:pPr>
      <w:r>
        <w:rPr>
          <w:rStyle w:val="Appelnotedebasdep"/>
        </w:rPr>
        <w:footnoteRef/>
      </w:r>
      <w:r>
        <w:t xml:space="preserve"> </w:t>
      </w:r>
      <w:r w:rsidR="00842E62" w:rsidRPr="00842E62">
        <w:t xml:space="preserve">Ahjucaf. (2022). </w:t>
      </w:r>
      <w:r w:rsidR="00842E62" w:rsidRPr="00842E62">
        <w:rPr>
          <w:i/>
          <w:iCs/>
        </w:rPr>
        <w:t>Les menaces externes à l'indépendance de la justice</w:t>
      </w:r>
      <w:r w:rsidR="00842E62" w:rsidRPr="00842E62">
        <w:t xml:space="preserve">. </w:t>
      </w:r>
      <w:hyperlink r:id="rId11" w:history="1">
        <w:r w:rsidR="00842E62" w:rsidRPr="00842E62">
          <w:rPr>
            <w:rStyle w:val="Lienhypertexte"/>
          </w:rPr>
          <w:t>http://v1.ahjucaf.org/Les-menaces-externes-a-l-independance-de-la-justice//html</w:t>
        </w:r>
      </w:hyperlink>
      <w:r w:rsidR="00842E62" w:rsidRPr="00842E62">
        <w:t xml:space="preserve"> (consulté le 16 Février 2026).</w:t>
      </w:r>
    </w:p>
  </w:footnote>
  <w:footnote w:id="56">
    <w:p w14:paraId="3C8EA269" w14:textId="39C88EE1" w:rsidR="00842E62" w:rsidRPr="00842E62" w:rsidRDefault="00842E62" w:rsidP="007E76E7">
      <w:pPr>
        <w:pStyle w:val="Notedebasdepage"/>
        <w:ind w:firstLine="0"/>
      </w:pPr>
      <w:r>
        <w:rPr>
          <w:rStyle w:val="Appelnotedebasdep"/>
        </w:rPr>
        <w:footnoteRef/>
      </w:r>
      <w:r>
        <w:t xml:space="preserve"> </w:t>
      </w:r>
      <w:r w:rsidR="007E76E7" w:rsidRPr="007E76E7">
        <w:t xml:space="preserve">Conac, G. (1998). </w:t>
      </w:r>
      <w:r w:rsidR="007E76E7" w:rsidRPr="007E76E7">
        <w:rPr>
          <w:i/>
          <w:iCs/>
        </w:rPr>
        <w:t>Les Constitutions africaines</w:t>
      </w:r>
      <w:r w:rsidR="007E76E7" w:rsidRPr="007E76E7">
        <w:t>, Tome II. La Documentation française, p. 18.</w:t>
      </w:r>
    </w:p>
  </w:footnote>
  <w:footnote w:id="57">
    <w:p w14:paraId="78F9D425" w14:textId="42FE6189" w:rsidR="00842E62" w:rsidRPr="007E76E7" w:rsidRDefault="00842E62" w:rsidP="007E76E7">
      <w:pPr>
        <w:pStyle w:val="Notedebasdepage"/>
        <w:ind w:firstLine="0"/>
      </w:pPr>
      <w:r>
        <w:rPr>
          <w:rStyle w:val="Appelnotedebasdep"/>
        </w:rPr>
        <w:footnoteRef/>
      </w:r>
      <w:r>
        <w:t xml:space="preserve"> </w:t>
      </w:r>
      <w:r w:rsidR="007E76E7" w:rsidRPr="007E76E7">
        <w:t>Constitution de la République de Madagascar. (2010). Article 114. Journal Officiel de la République de Madagascar.</w:t>
      </w:r>
    </w:p>
  </w:footnote>
  <w:footnote w:id="58">
    <w:p w14:paraId="50838F67" w14:textId="216B6203" w:rsidR="00842E62" w:rsidRPr="007E76E7" w:rsidRDefault="00842E62" w:rsidP="007E76E7">
      <w:pPr>
        <w:pStyle w:val="Notedebasdepage"/>
        <w:ind w:firstLine="0"/>
      </w:pPr>
      <w:r>
        <w:rPr>
          <w:rStyle w:val="Appelnotedebasdep"/>
        </w:rPr>
        <w:footnoteRef/>
      </w:r>
      <w:r>
        <w:t xml:space="preserve"> </w:t>
      </w:r>
      <w:r w:rsidR="007E76E7" w:rsidRPr="007E76E7">
        <w:t>Constitution de la République de Madagascar. (2010). Article 114. Journal Officiel de la République de Madagascar.</w:t>
      </w:r>
    </w:p>
  </w:footnote>
  <w:footnote w:id="59">
    <w:p w14:paraId="561DEAD2" w14:textId="28CED2FC" w:rsidR="00842E62" w:rsidRPr="007E76E7" w:rsidRDefault="00842E62" w:rsidP="007E76E7">
      <w:pPr>
        <w:pStyle w:val="Notedebasdepage"/>
        <w:ind w:firstLine="0"/>
      </w:pPr>
      <w:r>
        <w:rPr>
          <w:rStyle w:val="Appelnotedebasdep"/>
        </w:rPr>
        <w:footnoteRef/>
      </w:r>
      <w:r>
        <w:t xml:space="preserve"> </w:t>
      </w:r>
      <w:r w:rsidR="007E76E7" w:rsidRPr="007E76E7">
        <w:t>Constitution de la République de Madagascar. (2010). Article 116. Journal Officiel de la République de Madagascar.</w:t>
      </w:r>
    </w:p>
  </w:footnote>
  <w:footnote w:id="60">
    <w:p w14:paraId="109B9631" w14:textId="43C9245B" w:rsidR="00842E62" w:rsidRPr="007E76E7" w:rsidRDefault="00842E62" w:rsidP="007E76E7">
      <w:pPr>
        <w:pStyle w:val="Notedebasdepage"/>
        <w:ind w:firstLine="0"/>
      </w:pPr>
      <w:r>
        <w:rPr>
          <w:rStyle w:val="Appelnotedebasdep"/>
        </w:rPr>
        <w:footnoteRef/>
      </w:r>
      <w:r>
        <w:t xml:space="preserve"> </w:t>
      </w:r>
      <w:r w:rsidR="007E76E7" w:rsidRPr="007E76E7">
        <w:t>Constitution de la République de Madagascar. (2010). Article 116. Journal Officiel de la République de Madagascar.</w:t>
      </w:r>
    </w:p>
  </w:footnote>
  <w:footnote w:id="61">
    <w:p w14:paraId="75ACFF72" w14:textId="2953A6D8" w:rsidR="00842E62" w:rsidRPr="00842E62" w:rsidRDefault="00842E62" w:rsidP="007E76E7">
      <w:pPr>
        <w:pStyle w:val="Notedebasdepage"/>
        <w:ind w:firstLine="0"/>
      </w:pPr>
      <w:r>
        <w:rPr>
          <w:rStyle w:val="Appelnotedebasdep"/>
        </w:rPr>
        <w:footnoteRef/>
      </w:r>
      <w:r>
        <w:t xml:space="preserve"> </w:t>
      </w:r>
      <w:r w:rsidR="007E76E7" w:rsidRPr="007E76E7">
        <w:t xml:space="preserve">Loi organique n°2014-043. (2014). </w:t>
      </w:r>
      <w:r w:rsidR="007E76E7" w:rsidRPr="007E76E7">
        <w:rPr>
          <w:i/>
          <w:iCs/>
        </w:rPr>
        <w:t>Sur la Haute Cour de Justice</w:t>
      </w:r>
      <w:r w:rsidR="007E76E7" w:rsidRPr="007E76E7">
        <w:t>. Article 13. Journal Officiel de la République de Madagascar.</w:t>
      </w:r>
    </w:p>
  </w:footnote>
  <w:footnote w:id="62">
    <w:p w14:paraId="2CC1F751" w14:textId="63A49DA4" w:rsidR="00842E62" w:rsidRPr="00842E62" w:rsidRDefault="00842E62" w:rsidP="007E76E7">
      <w:pPr>
        <w:pStyle w:val="Notedebasdepage"/>
        <w:ind w:firstLine="0"/>
      </w:pPr>
      <w:r>
        <w:rPr>
          <w:rStyle w:val="Appelnotedebasdep"/>
        </w:rPr>
        <w:footnoteRef/>
      </w:r>
      <w:r>
        <w:t xml:space="preserve"> </w:t>
      </w:r>
      <w:r w:rsidR="007E76E7" w:rsidRPr="007E76E7">
        <w:t xml:space="preserve">Sefafi Observatoire de la Vie Publique. (2009). </w:t>
      </w:r>
      <w:r w:rsidR="007E76E7" w:rsidRPr="007E76E7">
        <w:rPr>
          <w:i/>
          <w:iCs/>
        </w:rPr>
        <w:t>Quelle justice pour le présent et l'avenir</w:t>
      </w:r>
      <w:r w:rsidR="007E76E7" w:rsidRPr="007E76E7">
        <w:t xml:space="preserve"> ? Antananarivo.</w:t>
      </w:r>
    </w:p>
  </w:footnote>
  <w:footnote w:id="63">
    <w:p w14:paraId="7C8946FB" w14:textId="6ED86A14" w:rsidR="00842E62" w:rsidRPr="00842E62" w:rsidRDefault="00842E62" w:rsidP="007E76E7">
      <w:pPr>
        <w:pStyle w:val="Notedebasdepage"/>
        <w:ind w:firstLine="0"/>
      </w:pPr>
      <w:r>
        <w:rPr>
          <w:rStyle w:val="Appelnotedebasdep"/>
        </w:rPr>
        <w:footnoteRef/>
      </w:r>
      <w:r>
        <w:t xml:space="preserve"> </w:t>
      </w:r>
      <w:r w:rsidR="007E76E7" w:rsidRPr="007E76E7">
        <w:t xml:space="preserve">Loi organique n°2014-043. (2014). </w:t>
      </w:r>
      <w:r w:rsidR="007E76E7" w:rsidRPr="007E76E7">
        <w:rPr>
          <w:i/>
          <w:iCs/>
        </w:rPr>
        <w:t>Sur la Haute Cour de Justice</w:t>
      </w:r>
      <w:r w:rsidR="007E76E7" w:rsidRPr="007E76E7">
        <w:t>. Article 14. Journal Officiel de la République de Madagascar.</w:t>
      </w:r>
    </w:p>
  </w:footnote>
  <w:footnote w:id="64">
    <w:p w14:paraId="5394B4B8" w14:textId="16C69610" w:rsidR="00842E62" w:rsidRPr="007E76E7" w:rsidRDefault="00842E62" w:rsidP="007E76E7">
      <w:pPr>
        <w:pStyle w:val="Notedebasdepage"/>
        <w:ind w:firstLine="0"/>
      </w:pPr>
      <w:r>
        <w:rPr>
          <w:rStyle w:val="Appelnotedebasdep"/>
        </w:rPr>
        <w:footnoteRef/>
      </w:r>
      <w:r>
        <w:t xml:space="preserve"> </w:t>
      </w:r>
      <w:r w:rsidR="007E76E7" w:rsidRPr="007E76E7">
        <w:t xml:space="preserve">Delcamp, A. (2013). Cours constitutionnelles et parlements ou comment se conjuguent aujourd'hui principe de souveraineté et État de droit. Les Nouveaux Cahiers du Conseil constitutionnel, 38, 181-203. </w:t>
      </w:r>
      <w:hyperlink r:id="rId12" w:history="1">
        <w:r w:rsidR="007E76E7" w:rsidRPr="00D7034C">
          <w:rPr>
            <w:rStyle w:val="Lienhypertexte"/>
          </w:rPr>
          <w:t>https://www.cairn.info/revue-nouveaux-cahiers-conseil-constitutionnel-2013-1-page-181.htm</w:t>
        </w:r>
      </w:hyperlink>
      <w:r w:rsidR="007E76E7">
        <w:t xml:space="preserve"> </w:t>
      </w:r>
      <w:r w:rsidR="007E76E7" w:rsidRPr="007E76E7">
        <w:t xml:space="preserve">(consulté le </w:t>
      </w:r>
      <w:r w:rsidR="007E76E7">
        <w:t>1</w:t>
      </w:r>
      <w:r w:rsidR="007E76E7" w:rsidRPr="007E76E7">
        <w:t xml:space="preserve">6 </w:t>
      </w:r>
      <w:r w:rsidR="007E76E7">
        <w:t>Févirer</w:t>
      </w:r>
      <w:r w:rsidR="007E76E7" w:rsidRPr="007E76E7">
        <w:t xml:space="preserve"> 202</w:t>
      </w:r>
      <w:r w:rsidR="007E76E7">
        <w:t>6</w:t>
      </w:r>
      <w:r w:rsidR="007E76E7" w:rsidRPr="007E76E7">
        <w:t>).</w:t>
      </w:r>
    </w:p>
  </w:footnote>
  <w:footnote w:id="65">
    <w:p w14:paraId="23996CCB" w14:textId="1763B301" w:rsidR="007E76E7" w:rsidRPr="007E76E7" w:rsidRDefault="007E76E7" w:rsidP="007E76E7">
      <w:pPr>
        <w:pStyle w:val="Notedebasdepage"/>
        <w:ind w:firstLine="0"/>
      </w:pPr>
      <w:r>
        <w:rPr>
          <w:rStyle w:val="Appelnotedebasdep"/>
        </w:rPr>
        <w:footnoteRef/>
      </w:r>
      <w:r>
        <w:t xml:space="preserve"> </w:t>
      </w:r>
      <w:r w:rsidRPr="007E76E7">
        <w:t xml:space="preserve">Delcamp, A. (2013). Cours constitutionnelles et parlements ou comment se conjuguent aujourd'hui principe de souveraineté et État de droit. Les Nouveaux Cahiers du Conseil constitutionnel, 38, 181-203. </w:t>
      </w:r>
      <w:hyperlink r:id="rId13" w:history="1">
        <w:r w:rsidRPr="00D7034C">
          <w:rPr>
            <w:rStyle w:val="Lienhypertexte"/>
          </w:rPr>
          <w:t>https://www.cairn.info/revue-nouveaux-cahiers-conseil-constitutionnel-2013-1-page-181.htm</w:t>
        </w:r>
      </w:hyperlink>
      <w:r>
        <w:t xml:space="preserve"> </w:t>
      </w:r>
      <w:r w:rsidRPr="007E76E7">
        <w:t xml:space="preserve">(consulté le </w:t>
      </w:r>
      <w:r>
        <w:t>1</w:t>
      </w:r>
      <w:r w:rsidRPr="007E76E7">
        <w:t xml:space="preserve">6 </w:t>
      </w:r>
      <w:r>
        <w:t>Févirer</w:t>
      </w:r>
      <w:r w:rsidRPr="007E76E7">
        <w:t xml:space="preserve"> 202</w:t>
      </w:r>
      <w:r>
        <w:t>6</w:t>
      </w:r>
      <w:r w:rsidRPr="007E76E7">
        <w:t>).</w:t>
      </w:r>
    </w:p>
  </w:footnote>
  <w:footnote w:id="66">
    <w:p w14:paraId="079BE6C0" w14:textId="2B266074" w:rsidR="007E76E7" w:rsidRPr="007E76E7" w:rsidRDefault="007E76E7" w:rsidP="007E76E7">
      <w:pPr>
        <w:pStyle w:val="Notedebasdepage"/>
        <w:ind w:firstLine="0"/>
      </w:pPr>
      <w:r>
        <w:rPr>
          <w:rStyle w:val="Appelnotedebasdep"/>
        </w:rPr>
        <w:footnoteRef/>
      </w:r>
      <w:r>
        <w:t xml:space="preserve"> </w:t>
      </w:r>
      <w:r w:rsidRPr="007E76E7">
        <w:t xml:space="preserve">Montesquieu, C. (1979). </w:t>
      </w:r>
      <w:r w:rsidRPr="007E76E7">
        <w:rPr>
          <w:i/>
          <w:iCs/>
        </w:rPr>
        <w:t>De l'Esprit des Lois</w:t>
      </w:r>
      <w:r w:rsidRPr="007E76E7">
        <w:t>. Garnier-Flammarion, p. 293.</w:t>
      </w:r>
    </w:p>
  </w:footnote>
  <w:footnote w:id="67">
    <w:p w14:paraId="206D1C62" w14:textId="679AD5C8" w:rsidR="007E76E7" w:rsidRPr="007E76E7" w:rsidRDefault="007E76E7" w:rsidP="007E76E7">
      <w:pPr>
        <w:pStyle w:val="Notedebasdepage"/>
        <w:ind w:firstLine="0"/>
      </w:pPr>
      <w:r>
        <w:rPr>
          <w:rStyle w:val="Appelnotedebasdep"/>
        </w:rPr>
        <w:footnoteRef/>
      </w:r>
      <w:r>
        <w:t xml:space="preserve"> </w:t>
      </w:r>
      <w:r w:rsidRPr="007E76E7">
        <w:t xml:space="preserve">Conac, G. (1998). </w:t>
      </w:r>
      <w:r w:rsidRPr="007E76E7">
        <w:rPr>
          <w:i/>
          <w:iCs/>
        </w:rPr>
        <w:t>Les Constitutions africaines</w:t>
      </w:r>
      <w:r w:rsidRPr="007E76E7">
        <w:t>, Tome II. La Documentation française, p. 18.</w:t>
      </w:r>
    </w:p>
  </w:footnote>
  <w:footnote w:id="68">
    <w:p w14:paraId="4361FB17" w14:textId="685F389B" w:rsidR="007E76E7" w:rsidRPr="007E76E7" w:rsidRDefault="007E76E7" w:rsidP="007E76E7">
      <w:pPr>
        <w:pStyle w:val="Notedebasdepage"/>
        <w:ind w:firstLine="0"/>
      </w:pPr>
      <w:r>
        <w:rPr>
          <w:rStyle w:val="Appelnotedebasdep"/>
        </w:rPr>
        <w:footnoteRef/>
      </w:r>
      <w:r>
        <w:t xml:space="preserve"> </w:t>
      </w:r>
      <w:r w:rsidRPr="007E76E7">
        <w:t>Constitution de la République de Madagascar. (1998). Article 50 et 51. Journal Officiel de la République de Madagascar.</w:t>
      </w:r>
    </w:p>
  </w:footnote>
  <w:footnote w:id="69">
    <w:p w14:paraId="2D550F1F" w14:textId="14119981" w:rsidR="007E76E7" w:rsidRPr="007E76E7" w:rsidRDefault="007E76E7" w:rsidP="007E76E7">
      <w:pPr>
        <w:pStyle w:val="Notedebasdepage"/>
        <w:ind w:firstLine="0"/>
      </w:pPr>
      <w:r>
        <w:rPr>
          <w:rStyle w:val="Appelnotedebasdep"/>
        </w:rPr>
        <w:footnoteRef/>
      </w:r>
      <w:r>
        <w:t xml:space="preserve"> </w:t>
      </w:r>
      <w:r w:rsidRPr="007E76E7">
        <w:t xml:space="preserve">Sefafi Observatoire de la Vie Publique. (2009). </w:t>
      </w:r>
      <w:r w:rsidRPr="007E76E7">
        <w:rPr>
          <w:i/>
          <w:iCs/>
        </w:rPr>
        <w:t>Quelle justice pour le présent et l'avenir</w:t>
      </w:r>
      <w:r w:rsidRPr="007E76E7">
        <w:t xml:space="preserve"> ? Antananarivo.</w:t>
      </w:r>
    </w:p>
  </w:footnote>
  <w:footnote w:id="70">
    <w:p w14:paraId="59BEDE38" w14:textId="5A45FD04" w:rsidR="007E76E7" w:rsidRPr="007E76E7" w:rsidRDefault="007E76E7" w:rsidP="007E76E7">
      <w:pPr>
        <w:pStyle w:val="Notedebasdepage"/>
        <w:ind w:firstLine="0"/>
      </w:pPr>
      <w:r>
        <w:rPr>
          <w:rStyle w:val="Appelnotedebasdep"/>
        </w:rPr>
        <w:footnoteRef/>
      </w:r>
      <w:r>
        <w:t xml:space="preserve"> </w:t>
      </w:r>
      <w:r w:rsidRPr="007E76E7">
        <w:t xml:space="preserve">Delcamp, A. (2013). Cours constitutionnelles et parlements ou comment se conjuguent aujourd'hui principe de souveraineté et État de droit. Les Nouveaux Cahiers du Conseil constitutionnel, 38, 181-203. </w:t>
      </w:r>
      <w:hyperlink r:id="rId14" w:history="1">
        <w:r w:rsidRPr="00D7034C">
          <w:rPr>
            <w:rStyle w:val="Lienhypertexte"/>
          </w:rPr>
          <w:t>https://www.cairn.info/revue-nouveaux-cahiers-conseil-constitutionnel-2013-1-page-181.htm</w:t>
        </w:r>
      </w:hyperlink>
      <w:r>
        <w:t xml:space="preserve"> </w:t>
      </w:r>
      <w:r w:rsidRPr="007E76E7">
        <w:t xml:space="preserve">(consulté le </w:t>
      </w:r>
      <w:r>
        <w:t>1</w:t>
      </w:r>
      <w:r w:rsidRPr="007E76E7">
        <w:t xml:space="preserve">6 </w:t>
      </w:r>
      <w:r>
        <w:t>Févirer</w:t>
      </w:r>
      <w:r w:rsidRPr="007E76E7">
        <w:t xml:space="preserve"> 202</w:t>
      </w:r>
      <w:r>
        <w:t>6</w:t>
      </w:r>
      <w:r w:rsidRPr="007E76E7">
        <w:t>).</w:t>
      </w:r>
    </w:p>
  </w:footnote>
  <w:footnote w:id="71">
    <w:p w14:paraId="38BD977E" w14:textId="23E93E84" w:rsidR="007E76E7" w:rsidRPr="007E76E7" w:rsidRDefault="007E76E7" w:rsidP="007E76E7">
      <w:pPr>
        <w:pStyle w:val="Notedebasdepage"/>
        <w:ind w:firstLine="0"/>
      </w:pPr>
      <w:r>
        <w:rPr>
          <w:rStyle w:val="Appelnotedebasdep"/>
        </w:rPr>
        <w:footnoteRef/>
      </w:r>
      <w:r>
        <w:t xml:space="preserve"> </w:t>
      </w:r>
      <w:r w:rsidRPr="007E76E7">
        <w:t xml:space="preserve">Urfer, S. (2003). Nouvelle donne malgache. Études, 398(4), 465-474. </w:t>
      </w:r>
      <w:hyperlink r:id="rId15" w:history="1">
        <w:r w:rsidRPr="00D7034C">
          <w:rPr>
            <w:rStyle w:val="Lienhypertexte"/>
          </w:rPr>
          <w:t>https://www.cairn.info/revue-etudes-2003-4-page-465.htm</w:t>
        </w:r>
      </w:hyperlink>
      <w:r>
        <w:t xml:space="preserve"> </w:t>
      </w:r>
      <w:r w:rsidRPr="007E76E7">
        <w:t xml:space="preserve">(consulté le </w:t>
      </w:r>
      <w:r>
        <w:t>1</w:t>
      </w:r>
      <w:r w:rsidRPr="007E76E7">
        <w:t xml:space="preserve">6 </w:t>
      </w:r>
      <w:r>
        <w:t>Février</w:t>
      </w:r>
      <w:r w:rsidRPr="007E76E7">
        <w:t xml:space="preserve"> 202</w:t>
      </w:r>
      <w:r>
        <w:t>6</w:t>
      </w:r>
      <w:r w:rsidRPr="007E76E7">
        <w:t>).</w:t>
      </w:r>
    </w:p>
  </w:footnote>
  <w:footnote w:id="72">
    <w:p w14:paraId="01EAB5F7" w14:textId="59F09D56" w:rsidR="007737F6" w:rsidRPr="007737F6" w:rsidRDefault="007737F6" w:rsidP="00887C2F">
      <w:pPr>
        <w:pStyle w:val="Notedebasdepage"/>
        <w:ind w:firstLine="0"/>
      </w:pPr>
      <w:r>
        <w:rPr>
          <w:rStyle w:val="Appelnotedebasdep"/>
        </w:rPr>
        <w:footnoteRef/>
      </w:r>
      <w:r>
        <w:t xml:space="preserve"> </w:t>
      </w:r>
      <w:r w:rsidR="00887C2F" w:rsidRPr="00887C2F">
        <w:t>Imbiki, A. (2013). Déontologie et Responsabilités des Magistrats. Éditions Créons.</w:t>
      </w:r>
    </w:p>
  </w:footnote>
  <w:footnote w:id="73">
    <w:p w14:paraId="20CA9D08" w14:textId="73D906F2" w:rsidR="007737F6" w:rsidRPr="007737F6" w:rsidRDefault="007737F6" w:rsidP="00887C2F">
      <w:pPr>
        <w:pStyle w:val="Notedebasdepage"/>
        <w:ind w:firstLine="0"/>
      </w:pPr>
      <w:r>
        <w:rPr>
          <w:rStyle w:val="Appelnotedebasdep"/>
        </w:rPr>
        <w:footnoteRef/>
      </w:r>
      <w:r>
        <w:t xml:space="preserve"> </w:t>
      </w:r>
      <w:r w:rsidR="00887C2F" w:rsidRPr="007E76E7">
        <w:t xml:space="preserve">Delcamp, A. (2013). Cours constitutionnelles et parlements ou comment se conjuguent aujourd'hui principe de souveraineté et État de droit. Les Nouveaux Cahiers du Conseil constitutionnel, 38, 181-203. </w:t>
      </w:r>
      <w:hyperlink r:id="rId16" w:history="1">
        <w:r w:rsidR="00887C2F" w:rsidRPr="00D7034C">
          <w:rPr>
            <w:rStyle w:val="Lienhypertexte"/>
          </w:rPr>
          <w:t>https://www.cairn.info/revue-nouveaux-cahiers-conseil-constitutionnel-2013-1-page-181.htm</w:t>
        </w:r>
      </w:hyperlink>
      <w:r w:rsidR="00887C2F">
        <w:t xml:space="preserve"> </w:t>
      </w:r>
      <w:r w:rsidR="00887C2F" w:rsidRPr="007E76E7">
        <w:t xml:space="preserve">(consulté le </w:t>
      </w:r>
      <w:r w:rsidR="00887C2F">
        <w:t>1</w:t>
      </w:r>
      <w:r w:rsidR="00887C2F" w:rsidRPr="007E76E7">
        <w:t xml:space="preserve">6 </w:t>
      </w:r>
      <w:r w:rsidR="00887C2F">
        <w:t>Févirer</w:t>
      </w:r>
      <w:r w:rsidR="00887C2F" w:rsidRPr="007E76E7">
        <w:t xml:space="preserve"> 202</w:t>
      </w:r>
      <w:r w:rsidR="00887C2F">
        <w:t>6</w:t>
      </w:r>
      <w:r w:rsidR="00887C2F" w:rsidRPr="007E76E7">
        <w:t>).</w:t>
      </w:r>
    </w:p>
  </w:footnote>
  <w:footnote w:id="74">
    <w:p w14:paraId="27AC4E59" w14:textId="0FD1774C" w:rsidR="007737F6" w:rsidRPr="007737F6" w:rsidRDefault="007737F6" w:rsidP="00887C2F">
      <w:pPr>
        <w:pStyle w:val="Notedebasdepage"/>
        <w:ind w:firstLine="0"/>
      </w:pPr>
      <w:r>
        <w:rPr>
          <w:rStyle w:val="Appelnotedebasdep"/>
        </w:rPr>
        <w:footnoteRef/>
      </w:r>
      <w:r>
        <w:t xml:space="preserve"> </w:t>
      </w:r>
      <w:r w:rsidR="00887C2F" w:rsidRPr="00887C2F">
        <w:t>Constitution de la République de Madagascar. (2010). Article 107. Journal Officiel de la République de Madagascar.</w:t>
      </w:r>
    </w:p>
  </w:footnote>
  <w:footnote w:id="75">
    <w:p w14:paraId="7BFF887F" w14:textId="5C7C9799" w:rsidR="007737F6" w:rsidRPr="007737F6" w:rsidRDefault="007737F6" w:rsidP="00887C2F">
      <w:pPr>
        <w:pStyle w:val="Notedebasdepage"/>
        <w:ind w:firstLine="0"/>
      </w:pPr>
      <w:r>
        <w:rPr>
          <w:rStyle w:val="Appelnotedebasdep"/>
        </w:rPr>
        <w:footnoteRef/>
      </w:r>
      <w:r>
        <w:t xml:space="preserve"> </w:t>
      </w:r>
      <w:r w:rsidR="00887C2F" w:rsidRPr="00887C2F">
        <w:t xml:space="preserve">Montesquieu, C. (1979). </w:t>
      </w:r>
      <w:r w:rsidR="00887C2F" w:rsidRPr="00887C2F">
        <w:rPr>
          <w:i/>
          <w:iCs/>
        </w:rPr>
        <w:t>De l'Esprit des Lois</w:t>
      </w:r>
      <w:r w:rsidR="00887C2F" w:rsidRPr="00887C2F">
        <w:t>. Garnier-Flammarion, p. 168.</w:t>
      </w:r>
    </w:p>
  </w:footnote>
  <w:footnote w:id="76">
    <w:p w14:paraId="321391F2" w14:textId="176D70D2" w:rsidR="00452372" w:rsidRPr="00452372" w:rsidRDefault="00452372" w:rsidP="00887C2F">
      <w:pPr>
        <w:pStyle w:val="Notedebasdepage"/>
        <w:ind w:firstLine="0"/>
      </w:pPr>
      <w:r>
        <w:rPr>
          <w:rStyle w:val="Appelnotedebasdep"/>
        </w:rPr>
        <w:footnoteRef/>
      </w:r>
      <w:r>
        <w:t xml:space="preserve"> </w:t>
      </w:r>
      <w:r w:rsidR="003A4C4A" w:rsidRPr="003A4C4A">
        <w:t xml:space="preserve">Renoux, T.-S. (1999). </w:t>
      </w:r>
      <w:r w:rsidR="003A4C4A" w:rsidRPr="003A4C4A">
        <w:rPr>
          <w:i/>
          <w:iCs/>
        </w:rPr>
        <w:t>Le pouvoir judiciaire en France et en Europe continentale : approche comparative</w:t>
      </w:r>
      <w:r w:rsidR="003A4C4A" w:rsidRPr="003A4C4A">
        <w:t xml:space="preserve">. </w:t>
      </w:r>
      <w:r w:rsidR="003A4C4A" w:rsidRPr="003A4C4A">
        <w:rPr>
          <w:i/>
          <w:iCs/>
        </w:rPr>
        <w:t>Revue de Droit Public</w:t>
      </w:r>
      <w:r w:rsidR="003A4C4A" w:rsidRPr="003A4C4A">
        <w:t>, (4), 967-984.</w:t>
      </w:r>
    </w:p>
  </w:footnote>
  <w:footnote w:id="77">
    <w:p w14:paraId="5D5BF1ED" w14:textId="6901ED4E" w:rsidR="00452372" w:rsidRPr="00452372" w:rsidRDefault="00452372" w:rsidP="00887C2F">
      <w:pPr>
        <w:pStyle w:val="Notedebasdepage"/>
        <w:ind w:firstLine="0"/>
      </w:pPr>
      <w:r>
        <w:rPr>
          <w:rStyle w:val="Appelnotedebasdep"/>
        </w:rPr>
        <w:footnoteRef/>
      </w:r>
      <w:r>
        <w:t xml:space="preserve"> </w:t>
      </w:r>
      <w:r w:rsidR="003A4C4A" w:rsidRPr="007E76E7">
        <w:t xml:space="preserve">Urfer, S. (2003). Nouvelle donne malgache. Études, 398(4), 465-474. </w:t>
      </w:r>
      <w:hyperlink r:id="rId17" w:history="1">
        <w:r w:rsidR="003A4C4A" w:rsidRPr="00D7034C">
          <w:rPr>
            <w:rStyle w:val="Lienhypertexte"/>
          </w:rPr>
          <w:t>https://www.cairn.info/revue-etudes-2003-4-page-465.htm</w:t>
        </w:r>
      </w:hyperlink>
      <w:r w:rsidR="003A4C4A">
        <w:t xml:space="preserve"> </w:t>
      </w:r>
      <w:r w:rsidR="003A4C4A" w:rsidRPr="007E76E7">
        <w:t xml:space="preserve">(consulté le </w:t>
      </w:r>
      <w:r w:rsidR="003A4C4A">
        <w:t>1</w:t>
      </w:r>
      <w:r w:rsidR="003A4C4A" w:rsidRPr="007E76E7">
        <w:t xml:space="preserve">6 </w:t>
      </w:r>
      <w:r w:rsidR="003A4C4A">
        <w:t>Février</w:t>
      </w:r>
      <w:r w:rsidR="003A4C4A" w:rsidRPr="007E76E7">
        <w:t xml:space="preserve"> 202</w:t>
      </w:r>
      <w:r w:rsidR="003A4C4A">
        <w:t>6</w:t>
      </w:r>
      <w:r w:rsidR="003A4C4A" w:rsidRPr="007E76E7">
        <w:t>).</w:t>
      </w:r>
    </w:p>
  </w:footnote>
  <w:footnote w:id="78">
    <w:p w14:paraId="7E5531F8" w14:textId="2E1D3DB4" w:rsidR="00452372" w:rsidRPr="00452372" w:rsidRDefault="00452372" w:rsidP="00887C2F">
      <w:pPr>
        <w:pStyle w:val="Notedebasdepage"/>
        <w:ind w:firstLine="0"/>
      </w:pPr>
      <w:r>
        <w:rPr>
          <w:rStyle w:val="Appelnotedebasdep"/>
        </w:rPr>
        <w:footnoteRef/>
      </w:r>
      <w:r>
        <w:t xml:space="preserve"> </w:t>
      </w:r>
      <w:r w:rsidR="003A4C4A" w:rsidRPr="003A4C4A">
        <w:t xml:space="preserve">Sefafi Observatoire de la Vie Publique. (2009). </w:t>
      </w:r>
      <w:r w:rsidR="003A4C4A" w:rsidRPr="003A4C4A">
        <w:rPr>
          <w:i/>
          <w:iCs/>
        </w:rPr>
        <w:t>Quelle justice pour le présent et l'avenir</w:t>
      </w:r>
      <w:r w:rsidR="003A4C4A" w:rsidRPr="003A4C4A">
        <w:t xml:space="preserve"> ? Antananarivo.</w:t>
      </w:r>
    </w:p>
  </w:footnote>
  <w:footnote w:id="79">
    <w:p w14:paraId="3D696F40" w14:textId="0C41CDD4" w:rsidR="00452372" w:rsidRPr="00452372" w:rsidRDefault="00452372" w:rsidP="00887C2F">
      <w:pPr>
        <w:pStyle w:val="Notedebasdepage"/>
        <w:ind w:firstLine="0"/>
      </w:pPr>
      <w:r>
        <w:rPr>
          <w:rStyle w:val="Appelnotedebasdep"/>
        </w:rPr>
        <w:footnoteRef/>
      </w:r>
      <w:r>
        <w:t xml:space="preserve"> </w:t>
      </w:r>
      <w:r w:rsidR="003A4C4A" w:rsidRPr="003A4C4A">
        <w:t xml:space="preserve">Ricœur, P. (1995). </w:t>
      </w:r>
      <w:r w:rsidR="003A4C4A" w:rsidRPr="003A4C4A">
        <w:rPr>
          <w:i/>
          <w:iCs/>
        </w:rPr>
        <w:t>Le juste</w:t>
      </w:r>
      <w:r w:rsidR="003A4C4A" w:rsidRPr="003A4C4A">
        <w:t>. Éditions Esprit.</w:t>
      </w:r>
      <w:r w:rsidR="00485269">
        <w:t>19</w:t>
      </w:r>
    </w:p>
  </w:footnote>
  <w:footnote w:id="80">
    <w:p w14:paraId="38806DA1" w14:textId="2C8F1C5A" w:rsidR="00887C2F" w:rsidRPr="00887C2F" w:rsidRDefault="00887C2F" w:rsidP="00887C2F">
      <w:pPr>
        <w:pStyle w:val="Notedebasdepage"/>
        <w:ind w:firstLine="0"/>
      </w:pPr>
      <w:r>
        <w:rPr>
          <w:rStyle w:val="Appelnotedebasdep"/>
        </w:rPr>
        <w:footnoteRef/>
      </w:r>
      <w:r>
        <w:t xml:space="preserve"> </w:t>
      </w:r>
      <w:r w:rsidR="00485269" w:rsidRPr="00485269">
        <w:rPr>
          <w:i/>
          <w:iCs/>
        </w:rPr>
        <w:t>Idem</w:t>
      </w:r>
    </w:p>
  </w:footnote>
  <w:footnote w:id="81">
    <w:p w14:paraId="1DB0D344" w14:textId="2E891EB6" w:rsidR="00887C2F" w:rsidRPr="00887C2F" w:rsidRDefault="00887C2F" w:rsidP="00887C2F">
      <w:pPr>
        <w:pStyle w:val="Notedebasdepage"/>
        <w:ind w:firstLine="0"/>
      </w:pPr>
      <w:r>
        <w:rPr>
          <w:rStyle w:val="Appelnotedebasdep"/>
        </w:rPr>
        <w:footnoteRef/>
      </w:r>
      <w:r>
        <w:t xml:space="preserve"> </w:t>
      </w:r>
      <w:r w:rsidR="003A4C4A" w:rsidRPr="003A4C4A">
        <w:t>Constitution de la République de Madagascar. (2010). Préambule. Journal Officiel de la République de Madagascar.</w:t>
      </w:r>
    </w:p>
  </w:footnote>
  <w:footnote w:id="82">
    <w:p w14:paraId="6E1DDDC8" w14:textId="73CE5C35" w:rsidR="00887C2F" w:rsidRPr="00887C2F" w:rsidRDefault="00887C2F" w:rsidP="00887C2F">
      <w:pPr>
        <w:pStyle w:val="Notedebasdepage"/>
        <w:ind w:firstLine="0"/>
      </w:pPr>
      <w:r>
        <w:rPr>
          <w:rStyle w:val="Appelnotedebasdep"/>
        </w:rPr>
        <w:footnoteRef/>
      </w:r>
      <w:r>
        <w:t xml:space="preserve"> </w:t>
      </w:r>
      <w:r w:rsidR="003A4C4A" w:rsidRPr="003A4C4A">
        <w:t>Imbiki, A. (2013). Déontologie et Responsabilités des Magistrats. Éditions Créons.</w:t>
      </w:r>
    </w:p>
  </w:footnote>
  <w:footnote w:id="83">
    <w:p w14:paraId="7216DA9D" w14:textId="14DF817E" w:rsidR="00887C2F" w:rsidRPr="00887C2F" w:rsidRDefault="00887C2F" w:rsidP="00887C2F">
      <w:pPr>
        <w:pStyle w:val="Notedebasdepage"/>
        <w:ind w:firstLine="0"/>
      </w:pPr>
      <w:r>
        <w:rPr>
          <w:rStyle w:val="Appelnotedebasdep"/>
        </w:rPr>
        <w:footnoteRef/>
      </w:r>
      <w:r>
        <w:t xml:space="preserve"> </w:t>
      </w:r>
      <w:r w:rsidR="003A4C4A" w:rsidRPr="003A4C4A">
        <w:t xml:space="preserve">Montesquieu, C. (1979). </w:t>
      </w:r>
      <w:r w:rsidR="003A4C4A" w:rsidRPr="003A4C4A">
        <w:rPr>
          <w:i/>
          <w:iCs/>
        </w:rPr>
        <w:t>De l'Esprit des Lois</w:t>
      </w:r>
      <w:r w:rsidR="003A4C4A" w:rsidRPr="003A4C4A">
        <w:t>. Garnier-Flammarion, p. 176.</w:t>
      </w:r>
    </w:p>
  </w:footnote>
  <w:footnote w:id="84">
    <w:p w14:paraId="3EE69CB4" w14:textId="5D54212B" w:rsidR="00887C2F" w:rsidRPr="003A4C4A" w:rsidRDefault="00887C2F" w:rsidP="00887C2F">
      <w:pPr>
        <w:pStyle w:val="Notedebasdepage"/>
        <w:ind w:firstLine="0"/>
      </w:pPr>
      <w:r>
        <w:rPr>
          <w:rStyle w:val="Appelnotedebasdep"/>
        </w:rPr>
        <w:footnoteRef/>
      </w:r>
      <w:r>
        <w:t xml:space="preserve"> </w:t>
      </w:r>
      <w:r w:rsidR="003A4C4A">
        <w:rPr>
          <w:rStyle w:val="Appelnotedebasdep"/>
        </w:rPr>
        <w:footnoteRef/>
      </w:r>
      <w:r w:rsidR="003A4C4A">
        <w:t xml:space="preserve"> </w:t>
      </w:r>
      <w:r w:rsidR="003A4C4A" w:rsidRPr="00842E62">
        <w:t xml:space="preserve">Ahjucaf. (2022). </w:t>
      </w:r>
      <w:r w:rsidR="003A4C4A" w:rsidRPr="00842E62">
        <w:rPr>
          <w:i/>
          <w:iCs/>
        </w:rPr>
        <w:t>Les menaces externes à l'indépendance de la justice</w:t>
      </w:r>
      <w:r w:rsidR="003A4C4A" w:rsidRPr="00842E62">
        <w:t xml:space="preserve">. </w:t>
      </w:r>
      <w:hyperlink r:id="rId18" w:history="1">
        <w:r w:rsidR="003A4C4A" w:rsidRPr="00842E62">
          <w:rPr>
            <w:rStyle w:val="Lienhypertexte"/>
          </w:rPr>
          <w:t>http://v1.ahjucaf.org/Les-menaces-externes-a-l-independance-de-la-justice//html</w:t>
        </w:r>
      </w:hyperlink>
      <w:r w:rsidR="003A4C4A" w:rsidRPr="00842E62">
        <w:t xml:space="preserve"> (consulté le 16 Février 2026).</w:t>
      </w:r>
    </w:p>
  </w:footnote>
  <w:footnote w:id="85">
    <w:p w14:paraId="7CAD92BA" w14:textId="482DCC41" w:rsidR="003A4C4A" w:rsidRPr="003A4C4A" w:rsidRDefault="003A4C4A" w:rsidP="003A4C4A">
      <w:pPr>
        <w:pStyle w:val="Notedebasdepage"/>
        <w:ind w:firstLine="0"/>
      </w:pPr>
      <w:r>
        <w:rPr>
          <w:rStyle w:val="Appelnotedebasdep"/>
        </w:rPr>
        <w:footnoteRef/>
      </w:r>
      <w:r>
        <w:t xml:space="preserve"> </w:t>
      </w:r>
      <w:r w:rsidRPr="003A4C4A">
        <w:t xml:space="preserve">Imbiki, A. (2013). </w:t>
      </w:r>
      <w:r w:rsidRPr="003A4C4A">
        <w:rPr>
          <w:i/>
          <w:iCs/>
        </w:rPr>
        <w:t>Déontologie et Responsabilités des Magistrats</w:t>
      </w:r>
      <w:r w:rsidRPr="003A4C4A">
        <w:t>. Éditions Créons.</w:t>
      </w:r>
    </w:p>
  </w:footnote>
  <w:footnote w:id="86">
    <w:p w14:paraId="1ABFB87C" w14:textId="3BFBAF90" w:rsidR="003A4C4A" w:rsidRPr="003A4C4A" w:rsidRDefault="003A4C4A" w:rsidP="003A4C4A">
      <w:pPr>
        <w:pStyle w:val="Notedebasdepage"/>
        <w:ind w:firstLine="0"/>
      </w:pPr>
      <w:r>
        <w:rPr>
          <w:rStyle w:val="Appelnotedebasdep"/>
        </w:rPr>
        <w:footnoteRef/>
      </w:r>
      <w:r>
        <w:t xml:space="preserve"> </w:t>
      </w:r>
      <w:r w:rsidRPr="003A4C4A">
        <w:t xml:space="preserve">Montesquieu, C. (1979). </w:t>
      </w:r>
      <w:r w:rsidRPr="003A4C4A">
        <w:rPr>
          <w:i/>
          <w:iCs/>
        </w:rPr>
        <w:t>De l'Esprit des Lois</w:t>
      </w:r>
      <w:r w:rsidRPr="003A4C4A">
        <w:t>. Garnier-Flammarion, p. 293.</w:t>
      </w:r>
    </w:p>
  </w:footnote>
  <w:footnote w:id="87">
    <w:p w14:paraId="463A9C68" w14:textId="7ADD9E54" w:rsidR="003A4C4A" w:rsidRPr="003A4C4A" w:rsidRDefault="003A4C4A" w:rsidP="003A4C4A">
      <w:pPr>
        <w:pStyle w:val="Notedebasdepage"/>
        <w:ind w:firstLine="0"/>
      </w:pPr>
      <w:r>
        <w:rPr>
          <w:rStyle w:val="Appelnotedebasdep"/>
        </w:rPr>
        <w:footnoteRef/>
      </w:r>
      <w:r>
        <w:t xml:space="preserve"> </w:t>
      </w:r>
      <w:r w:rsidRPr="003A4C4A">
        <w:t>Constitution de la République de Madagascar. (2010). Article 133. Journal Officiel de la République de Madagascar.</w:t>
      </w:r>
    </w:p>
  </w:footnote>
  <w:footnote w:id="88">
    <w:p w14:paraId="23482168" w14:textId="6F362A11" w:rsidR="003A4C4A" w:rsidRPr="003A4C4A" w:rsidRDefault="003A4C4A" w:rsidP="003A4C4A">
      <w:pPr>
        <w:pStyle w:val="Notedebasdepage"/>
        <w:ind w:firstLine="0"/>
      </w:pPr>
      <w:r>
        <w:rPr>
          <w:rStyle w:val="Appelnotedebasdep"/>
        </w:rPr>
        <w:footnoteRef/>
      </w:r>
      <w:r>
        <w:t xml:space="preserve"> </w:t>
      </w:r>
      <w:r w:rsidRPr="003A4C4A">
        <w:t xml:space="preserve">Montesquieu, C. (1979). </w:t>
      </w:r>
      <w:r w:rsidRPr="003A4C4A">
        <w:rPr>
          <w:i/>
          <w:iCs/>
        </w:rPr>
        <w:t>De l'Esprit des Lois</w:t>
      </w:r>
      <w:r w:rsidRPr="003A4C4A">
        <w:t>. Garnier-Flammarion, p. 168.</w:t>
      </w:r>
    </w:p>
  </w:footnote>
  <w:footnote w:id="89">
    <w:p w14:paraId="5749E1E7" w14:textId="5F9BB850" w:rsidR="003A4C4A" w:rsidRPr="003A4C4A" w:rsidRDefault="003A4C4A" w:rsidP="003A4C4A">
      <w:pPr>
        <w:pStyle w:val="Notedebasdepage"/>
        <w:ind w:firstLine="0"/>
      </w:pPr>
      <w:r>
        <w:rPr>
          <w:rStyle w:val="Appelnotedebasdep"/>
        </w:rPr>
        <w:footnoteRef/>
      </w:r>
      <w:r>
        <w:t xml:space="preserve"> </w:t>
      </w:r>
      <w:r w:rsidRPr="003A4C4A">
        <w:t xml:space="preserve">Urfer, S. (2003). Nouvelle donne malgache. Études, 398(4), 465-474. </w:t>
      </w:r>
      <w:hyperlink r:id="rId19" w:history="1">
        <w:r w:rsidRPr="003A4C4A">
          <w:rPr>
            <w:rStyle w:val="Lienhypertexte"/>
          </w:rPr>
          <w:t>https://www.cairn.info/revue-etudes-2003-4-page-465.htm</w:t>
        </w:r>
      </w:hyperlink>
      <w:r w:rsidRPr="003A4C4A">
        <w:t xml:space="preserve"> (consulté le 16 Février 2026).</w:t>
      </w:r>
    </w:p>
  </w:footnote>
  <w:footnote w:id="90">
    <w:p w14:paraId="089E0C37" w14:textId="6660C827" w:rsidR="003A4C4A" w:rsidRPr="003A4C4A" w:rsidRDefault="003A4C4A" w:rsidP="003A4C4A">
      <w:pPr>
        <w:pStyle w:val="Notedebasdepage"/>
        <w:ind w:firstLine="0"/>
      </w:pPr>
      <w:r>
        <w:rPr>
          <w:rStyle w:val="Appelnotedebasdep"/>
        </w:rPr>
        <w:footnoteRef/>
      </w:r>
      <w:r>
        <w:t xml:space="preserve"> </w:t>
      </w:r>
      <w:r w:rsidRPr="003A4C4A">
        <w:t xml:space="preserve">Urfer, S. (2003). Nouvelle donne malgache. Études, 398(4), 465-474. </w:t>
      </w:r>
      <w:hyperlink r:id="rId20" w:history="1">
        <w:r w:rsidRPr="003A4C4A">
          <w:rPr>
            <w:rStyle w:val="Lienhypertexte"/>
          </w:rPr>
          <w:t>https://www.cairn.info/revue-etudes-2003-4-page-465.htm</w:t>
        </w:r>
      </w:hyperlink>
      <w:r w:rsidRPr="003A4C4A">
        <w:t xml:space="preserve"> (consulté le 16 Février 2026).</w:t>
      </w:r>
    </w:p>
  </w:footnote>
  <w:footnote w:id="91">
    <w:p w14:paraId="3ECA4B6B" w14:textId="59BEFBE6" w:rsidR="003A4C4A" w:rsidRPr="003A4C4A" w:rsidRDefault="003A4C4A" w:rsidP="003A4C4A">
      <w:pPr>
        <w:pStyle w:val="Notedebasdepage"/>
        <w:ind w:firstLine="0"/>
      </w:pPr>
      <w:r>
        <w:rPr>
          <w:rStyle w:val="Appelnotedebasdep"/>
        </w:rPr>
        <w:footnoteRef/>
      </w:r>
      <w:r>
        <w:t xml:space="preserve"> </w:t>
      </w:r>
      <w:r w:rsidRPr="003A4C4A">
        <w:t xml:space="preserve">Sefafi Observatoire de la Vie Publique. (2009). </w:t>
      </w:r>
      <w:r w:rsidRPr="003A4C4A">
        <w:rPr>
          <w:i/>
          <w:iCs/>
        </w:rPr>
        <w:t>Quelle justice pour le présent et l'avenir</w:t>
      </w:r>
      <w:r w:rsidRPr="003A4C4A">
        <w:t xml:space="preserve"> ? Antananarivo.</w:t>
      </w:r>
    </w:p>
  </w:footnote>
  <w:footnote w:id="92">
    <w:p w14:paraId="7FB694D4" w14:textId="0413E814" w:rsidR="003A4C4A" w:rsidRPr="003A4C4A" w:rsidRDefault="003A4C4A" w:rsidP="003A4C4A">
      <w:pPr>
        <w:pStyle w:val="Notedebasdepage"/>
        <w:ind w:firstLine="0"/>
      </w:pPr>
      <w:r>
        <w:rPr>
          <w:rStyle w:val="Appelnotedebasdep"/>
        </w:rPr>
        <w:footnoteRef/>
      </w:r>
      <w:r>
        <w:t xml:space="preserve"> </w:t>
      </w:r>
      <w:bookmarkStart w:id="0" w:name="_Hlk222758415"/>
      <w:r w:rsidR="00485269" w:rsidRPr="00485269">
        <w:rPr>
          <w:i/>
          <w:iCs/>
        </w:rPr>
        <w:t>Op.cit</w:t>
      </w:r>
      <w:r w:rsidR="00485269">
        <w:t>., p.19</w:t>
      </w:r>
      <w:bookmarkEnd w:id="0"/>
    </w:p>
  </w:footnote>
  <w:footnote w:id="93">
    <w:p w14:paraId="388ED36A" w14:textId="6469BC32" w:rsidR="003A4C4A" w:rsidRPr="003A4C4A" w:rsidRDefault="003A4C4A" w:rsidP="003A4C4A">
      <w:pPr>
        <w:pStyle w:val="Notedebasdepage"/>
        <w:ind w:firstLine="0"/>
      </w:pPr>
      <w:r>
        <w:rPr>
          <w:rStyle w:val="Appelnotedebasdep"/>
        </w:rPr>
        <w:footnoteRef/>
      </w:r>
      <w:r>
        <w:t xml:space="preserve"> </w:t>
      </w:r>
      <w:r w:rsidRPr="003A4C4A">
        <w:t>Constitution de la République de Madagascar. (2010). Préambule. Journal Officiel de la République de Madagascar.</w:t>
      </w:r>
    </w:p>
  </w:footnote>
  <w:footnote w:id="94">
    <w:p w14:paraId="583FA122" w14:textId="7C2537C0" w:rsidR="003A4C4A" w:rsidRPr="003A4C4A" w:rsidRDefault="003A4C4A" w:rsidP="003A4C4A">
      <w:pPr>
        <w:pStyle w:val="Notedebasdepage"/>
        <w:ind w:firstLine="0"/>
      </w:pPr>
      <w:r>
        <w:rPr>
          <w:rStyle w:val="Appelnotedebasdep"/>
        </w:rPr>
        <w:footnoteRef/>
      </w:r>
      <w:r>
        <w:t xml:space="preserve"> </w:t>
      </w:r>
      <w:r w:rsidRPr="003A4C4A">
        <w:t>Imbiki, A. (2013). Déontologie et Responsabilités des Magistrats. Éditions Créons.</w:t>
      </w:r>
    </w:p>
  </w:footnote>
  <w:footnote w:id="95">
    <w:p w14:paraId="6514E36D" w14:textId="40FA62E7" w:rsidR="003A4C4A" w:rsidRPr="003A4C4A" w:rsidRDefault="003A4C4A" w:rsidP="003A4C4A">
      <w:pPr>
        <w:pStyle w:val="Notedebasdepage"/>
        <w:ind w:firstLine="0"/>
      </w:pPr>
      <w:r>
        <w:rPr>
          <w:rStyle w:val="Appelnotedebasdep"/>
        </w:rPr>
        <w:footnoteRef/>
      </w:r>
      <w:r>
        <w:t xml:space="preserve"> </w:t>
      </w:r>
      <w:r w:rsidR="00485269" w:rsidRPr="00485269">
        <w:rPr>
          <w:i/>
          <w:iCs/>
        </w:rPr>
        <w:t>Op.cit</w:t>
      </w:r>
      <w:r w:rsidR="00485269" w:rsidRPr="00485269">
        <w:t>., p.19</w:t>
      </w:r>
    </w:p>
  </w:footnote>
  <w:footnote w:id="96">
    <w:p w14:paraId="644B80FD" w14:textId="0E3699DE" w:rsidR="003A4C4A" w:rsidRPr="003A4C4A" w:rsidRDefault="003A4C4A" w:rsidP="003A4C4A">
      <w:pPr>
        <w:pStyle w:val="Notedebasdepage"/>
        <w:ind w:firstLine="0"/>
      </w:pPr>
      <w:r>
        <w:rPr>
          <w:rStyle w:val="Appelnotedebasdep"/>
        </w:rPr>
        <w:footnoteRef/>
      </w:r>
      <w:r>
        <w:t xml:space="preserve"> </w:t>
      </w:r>
      <w:r w:rsidRPr="003A4C4A">
        <w:t xml:space="preserve">Montesquieu, C. (1979). </w:t>
      </w:r>
      <w:r w:rsidRPr="003A4C4A">
        <w:rPr>
          <w:i/>
          <w:iCs/>
        </w:rPr>
        <w:t>De l'Esprit des Lois</w:t>
      </w:r>
      <w:r w:rsidRPr="003A4C4A">
        <w:t>. Garnier-Flammarion, p. 176.</w:t>
      </w:r>
    </w:p>
  </w:footnote>
  <w:footnote w:id="97">
    <w:p w14:paraId="01309FD5" w14:textId="580C1046" w:rsidR="003A4C4A" w:rsidRPr="003A4C4A" w:rsidRDefault="003A4C4A" w:rsidP="003A4C4A">
      <w:pPr>
        <w:pStyle w:val="Notedebasdepage"/>
        <w:ind w:firstLine="0"/>
      </w:pPr>
      <w:r>
        <w:rPr>
          <w:rStyle w:val="Appelnotedebasdep"/>
        </w:rPr>
        <w:footnoteRef/>
      </w:r>
      <w:r>
        <w:t xml:space="preserve"> </w:t>
      </w:r>
      <w:r w:rsidRPr="003A4C4A">
        <w:t xml:space="preserve">Delcamp, A. (2013). Cours constitutionnelles et parlements ou comment se conjuguent aujourd'hui principe de souveraineté et État de droit. </w:t>
      </w:r>
      <w:r w:rsidRPr="003A4C4A">
        <w:rPr>
          <w:i/>
          <w:iCs/>
        </w:rPr>
        <w:t>Les Nouveaux Cahiers du Conseil constitutionnel</w:t>
      </w:r>
      <w:r w:rsidRPr="003A4C4A">
        <w:t xml:space="preserve">, 38, 181-203. </w:t>
      </w:r>
      <w:hyperlink r:id="rId21" w:history="1">
        <w:r w:rsidRPr="00D7034C">
          <w:rPr>
            <w:rStyle w:val="Lienhypertexte"/>
          </w:rPr>
          <w:t>https://www.cairn.info/revue-nouveaux-cahiers-conseil-constitutionnel-2013-1-page-181.htm</w:t>
        </w:r>
      </w:hyperlink>
      <w:r>
        <w:t xml:space="preserve"> </w:t>
      </w:r>
      <w:r w:rsidRPr="003A4C4A">
        <w:t xml:space="preserve">(consulté le </w:t>
      </w:r>
      <w:r>
        <w:t>1</w:t>
      </w:r>
      <w:r w:rsidRPr="003A4C4A">
        <w:t xml:space="preserve">6 </w:t>
      </w:r>
      <w:r>
        <w:t>Février</w:t>
      </w:r>
      <w:r w:rsidRPr="003A4C4A">
        <w:t xml:space="preserve"> 202</w:t>
      </w:r>
      <w:r>
        <w:t>6</w:t>
      </w:r>
      <w:r w:rsidRPr="003A4C4A">
        <w:t>).</w:t>
      </w:r>
    </w:p>
  </w:footnote>
  <w:footnote w:id="98">
    <w:p w14:paraId="242AD60E" w14:textId="52E22B90" w:rsidR="003A4C4A" w:rsidRPr="003A4C4A" w:rsidRDefault="003A4C4A" w:rsidP="003A4C4A">
      <w:pPr>
        <w:pStyle w:val="Notedebasdepage"/>
        <w:ind w:firstLine="0"/>
      </w:pPr>
      <w:r>
        <w:rPr>
          <w:rStyle w:val="Appelnotedebasdep"/>
        </w:rPr>
        <w:footnoteRef/>
      </w:r>
      <w:r>
        <w:t xml:space="preserve"> </w:t>
      </w:r>
      <w:r w:rsidRPr="003A4C4A">
        <w:t xml:space="preserve">Ahjucaf. (2022). </w:t>
      </w:r>
      <w:r w:rsidRPr="003A4C4A">
        <w:rPr>
          <w:i/>
          <w:iCs/>
        </w:rPr>
        <w:t>Les menaces externes à l'indépendance de la justice</w:t>
      </w:r>
      <w:r w:rsidRPr="003A4C4A">
        <w:t xml:space="preserve">. </w:t>
      </w:r>
      <w:hyperlink r:id="rId22" w:history="1">
        <w:r w:rsidRPr="003A4C4A">
          <w:rPr>
            <w:rStyle w:val="Lienhypertexte"/>
          </w:rPr>
          <w:t>http://v1.ahjucaf.org/Les-menaces-externes-a-l-independance-de-la-justice//html</w:t>
        </w:r>
      </w:hyperlink>
      <w:r w:rsidRPr="003A4C4A">
        <w:t xml:space="preserve"> (consulté le 16 Février 2026).</w:t>
      </w:r>
    </w:p>
  </w:footnote>
  <w:footnote w:id="99">
    <w:p w14:paraId="27F2311F" w14:textId="3F4A6A34" w:rsidR="003A4C4A" w:rsidRPr="003A4C4A" w:rsidRDefault="003A4C4A" w:rsidP="003A4C4A">
      <w:pPr>
        <w:pStyle w:val="Notedebasdepage"/>
        <w:ind w:firstLine="0"/>
      </w:pPr>
      <w:r>
        <w:rPr>
          <w:rStyle w:val="Appelnotedebasdep"/>
        </w:rPr>
        <w:footnoteRef/>
      </w:r>
      <w:r>
        <w:t xml:space="preserve"> </w:t>
      </w:r>
      <w:r w:rsidRPr="003A4C4A">
        <w:t>Montesquieu, C. (1979). De l'Esprit des Lois. Garnier-Flammarion, p. 294.</w:t>
      </w:r>
    </w:p>
  </w:footnote>
  <w:footnote w:id="100">
    <w:p w14:paraId="653E993F" w14:textId="3A554398" w:rsidR="003A4C4A" w:rsidRPr="003A4C4A" w:rsidRDefault="003A4C4A" w:rsidP="003A4C4A">
      <w:pPr>
        <w:pStyle w:val="Notedebasdepage"/>
        <w:ind w:firstLine="0"/>
      </w:pPr>
      <w:r>
        <w:rPr>
          <w:rStyle w:val="Appelnotedebasdep"/>
        </w:rPr>
        <w:footnoteRef/>
      </w:r>
      <w:r>
        <w:t xml:space="preserve"> </w:t>
      </w:r>
      <w:r w:rsidRPr="003A4C4A">
        <w:t>Imbiki, A. (2013). Déontologie et Responsabilités des Magistrats. Éditions Créons, pp. 331-337.</w:t>
      </w:r>
    </w:p>
  </w:footnote>
  <w:footnote w:id="101">
    <w:p w14:paraId="09BB2368" w14:textId="0E78B56F" w:rsidR="003A4C4A" w:rsidRPr="003A4C4A" w:rsidRDefault="003A4C4A" w:rsidP="003A4C4A">
      <w:pPr>
        <w:pStyle w:val="Notedebasdepage"/>
        <w:ind w:firstLine="0"/>
      </w:pPr>
      <w:r>
        <w:rPr>
          <w:rStyle w:val="Appelnotedebasdep"/>
        </w:rPr>
        <w:footnoteRef/>
      </w:r>
      <w:r>
        <w:t xml:space="preserve"> </w:t>
      </w:r>
      <w:r w:rsidRPr="003A4C4A">
        <w:t xml:space="preserve">Montesquieu, C. (1979). </w:t>
      </w:r>
      <w:r w:rsidRPr="003A4C4A">
        <w:rPr>
          <w:i/>
          <w:iCs/>
        </w:rPr>
        <w:t>De l'Esprit des Lois</w:t>
      </w:r>
      <w:r w:rsidRPr="003A4C4A">
        <w:t>. Garnier-Flammarion, pp. 168-169.</w:t>
      </w:r>
    </w:p>
  </w:footnote>
  <w:footnote w:id="102">
    <w:p w14:paraId="11DE8FDF" w14:textId="0025B87C" w:rsidR="003A4C4A" w:rsidRPr="003A4C4A" w:rsidRDefault="003A4C4A" w:rsidP="003A4C4A">
      <w:pPr>
        <w:pStyle w:val="Notedebasdepage"/>
        <w:ind w:firstLine="0"/>
      </w:pPr>
      <w:r>
        <w:rPr>
          <w:rStyle w:val="Appelnotedebasdep"/>
        </w:rPr>
        <w:footnoteRef/>
      </w:r>
      <w:r>
        <w:t xml:space="preserve"> </w:t>
      </w:r>
      <w:r w:rsidRPr="003A4C4A">
        <w:t xml:space="preserve">Imbiki, A. (2013). </w:t>
      </w:r>
      <w:r w:rsidRPr="003A4C4A">
        <w:rPr>
          <w:i/>
          <w:iCs/>
        </w:rPr>
        <w:t>Déontologie et Responsabilités des Magistrats</w:t>
      </w:r>
      <w:r w:rsidRPr="003A4C4A">
        <w:t>. Éditions Créons, pp. 331-337.</w:t>
      </w:r>
    </w:p>
  </w:footnote>
  <w:footnote w:id="103">
    <w:p w14:paraId="73551EAD" w14:textId="38BB3B2D" w:rsidR="003A4C4A" w:rsidRPr="003A4C4A" w:rsidRDefault="003A4C4A" w:rsidP="003A4C4A">
      <w:pPr>
        <w:pStyle w:val="Notedebasdepage"/>
        <w:ind w:firstLine="0"/>
      </w:pPr>
      <w:r>
        <w:rPr>
          <w:rStyle w:val="Appelnotedebasdep"/>
        </w:rPr>
        <w:footnoteRef/>
      </w:r>
      <w:r>
        <w:t xml:space="preserve"> </w:t>
      </w:r>
      <w:r w:rsidRPr="003A4C4A">
        <w:t>Constitution de la République de Madagascar. (2010). Article 106. Journal Officiel de la République de Madagascar.</w:t>
      </w:r>
    </w:p>
  </w:footnote>
  <w:footnote w:id="104">
    <w:p w14:paraId="1FC77F6B" w14:textId="0DFB67DF" w:rsidR="003A4C4A" w:rsidRPr="003A4C4A" w:rsidRDefault="003A4C4A" w:rsidP="003A4C4A">
      <w:pPr>
        <w:pStyle w:val="Notedebasdepage"/>
        <w:ind w:firstLine="0"/>
      </w:pPr>
      <w:r>
        <w:rPr>
          <w:rStyle w:val="Appelnotedebasdep"/>
        </w:rPr>
        <w:footnoteRef/>
      </w:r>
      <w:r>
        <w:t xml:space="preserve"> </w:t>
      </w:r>
      <w:r w:rsidRPr="003A4C4A">
        <w:t xml:space="preserve">Imbiki, A. (2013). </w:t>
      </w:r>
      <w:r w:rsidRPr="003A4C4A">
        <w:rPr>
          <w:i/>
          <w:iCs/>
        </w:rPr>
        <w:t>Déontologie et Responsabilités des Magistrats</w:t>
      </w:r>
      <w:r w:rsidRPr="003A4C4A">
        <w:t>. Éditions Créons, pp. 331-337.</w:t>
      </w:r>
    </w:p>
  </w:footnote>
  <w:footnote w:id="105">
    <w:p w14:paraId="2517B061" w14:textId="4EC0FBB2" w:rsidR="003A4C4A" w:rsidRPr="003A4C4A" w:rsidRDefault="003A4C4A" w:rsidP="003A4C4A">
      <w:pPr>
        <w:pStyle w:val="Notedebasdepage"/>
        <w:ind w:firstLine="0"/>
      </w:pPr>
      <w:r>
        <w:rPr>
          <w:rStyle w:val="Appelnotedebasdep"/>
        </w:rPr>
        <w:footnoteRef/>
      </w:r>
      <w:r>
        <w:t xml:space="preserve"> </w:t>
      </w:r>
      <w:r w:rsidRPr="003A4C4A">
        <w:t xml:space="preserve">Sefafi Observatoire de la Vie Publique. (2009). </w:t>
      </w:r>
      <w:r w:rsidRPr="003A4C4A">
        <w:rPr>
          <w:i/>
          <w:iCs/>
        </w:rPr>
        <w:t>Quelle justice pour le présent et l'avenir</w:t>
      </w:r>
      <w:r w:rsidRPr="003A4C4A">
        <w:t xml:space="preserve"> ? Antananarivo.</w:t>
      </w:r>
    </w:p>
  </w:footnote>
  <w:footnote w:id="106">
    <w:p w14:paraId="2ACC3625" w14:textId="4217EF6B" w:rsidR="003A4C4A" w:rsidRPr="003A4C4A" w:rsidRDefault="003A4C4A" w:rsidP="003A4C4A">
      <w:pPr>
        <w:pStyle w:val="Notedebasdepage"/>
        <w:ind w:firstLine="0"/>
      </w:pPr>
      <w:r>
        <w:rPr>
          <w:rStyle w:val="Appelnotedebasdep"/>
        </w:rPr>
        <w:footnoteRef/>
      </w:r>
      <w:r>
        <w:t xml:space="preserve"> </w:t>
      </w:r>
      <w:r w:rsidRPr="003A4C4A">
        <w:t xml:space="preserve">Montesquieu, C. (1979). </w:t>
      </w:r>
      <w:r w:rsidRPr="003A4C4A">
        <w:rPr>
          <w:i/>
          <w:iCs/>
        </w:rPr>
        <w:t>De l'Esprit des Lois</w:t>
      </w:r>
      <w:r w:rsidRPr="003A4C4A">
        <w:t>. Garnier-Flammarion, p. 293.</w:t>
      </w:r>
    </w:p>
  </w:footnote>
  <w:footnote w:id="107">
    <w:p w14:paraId="61A5CE8B" w14:textId="3B2668D0" w:rsidR="003A4C4A" w:rsidRPr="003A4C4A" w:rsidRDefault="003A4C4A" w:rsidP="003A4C4A">
      <w:pPr>
        <w:pStyle w:val="Notedebasdepage"/>
        <w:ind w:firstLine="0"/>
      </w:pPr>
      <w:r>
        <w:rPr>
          <w:rStyle w:val="Appelnotedebasdep"/>
        </w:rPr>
        <w:footnoteRef/>
      </w:r>
      <w:r>
        <w:t xml:space="preserve"> </w:t>
      </w:r>
      <w:r w:rsidRPr="003A4C4A">
        <w:t xml:space="preserve">Urfer, S. (2003). Nouvelle donne malgache. Études, 398(4), 465-474. </w:t>
      </w:r>
      <w:hyperlink r:id="rId23" w:history="1">
        <w:r w:rsidRPr="003A4C4A">
          <w:rPr>
            <w:rStyle w:val="Lienhypertexte"/>
          </w:rPr>
          <w:t>https://www.cairn.info/revue-etudes-2003-4-page-465.htm</w:t>
        </w:r>
      </w:hyperlink>
      <w:r w:rsidRPr="003A4C4A">
        <w:t xml:space="preserve"> (consulté le 16 Février 2026).</w:t>
      </w:r>
    </w:p>
  </w:footnote>
  <w:footnote w:id="108">
    <w:p w14:paraId="583D755F" w14:textId="7B965703" w:rsidR="003A4C4A" w:rsidRPr="003A4C4A" w:rsidRDefault="003A4C4A" w:rsidP="003A4C4A">
      <w:pPr>
        <w:pStyle w:val="Notedebasdepage"/>
        <w:ind w:firstLine="0"/>
      </w:pPr>
      <w:r>
        <w:rPr>
          <w:rStyle w:val="Appelnotedebasdep"/>
        </w:rPr>
        <w:footnoteRef/>
      </w:r>
      <w:r>
        <w:t xml:space="preserve"> </w:t>
      </w:r>
      <w:r w:rsidRPr="003A4C4A">
        <w:t xml:space="preserve">Ricœur, P. (1995). </w:t>
      </w:r>
      <w:r w:rsidRPr="003A4C4A">
        <w:rPr>
          <w:i/>
          <w:iCs/>
        </w:rPr>
        <w:t>Le juste. Éditions</w:t>
      </w:r>
      <w:r w:rsidRPr="003A4C4A">
        <w:t xml:space="preserve"> Esprit, p. 19.</w:t>
      </w:r>
    </w:p>
  </w:footnote>
  <w:footnote w:id="109">
    <w:p w14:paraId="05A225FD" w14:textId="2A321644" w:rsidR="003A4C4A" w:rsidRPr="003A4C4A" w:rsidRDefault="003A4C4A" w:rsidP="003A4C4A">
      <w:pPr>
        <w:pStyle w:val="Notedebasdepage"/>
        <w:ind w:firstLine="0"/>
      </w:pPr>
      <w:r>
        <w:rPr>
          <w:rStyle w:val="Appelnotedebasdep"/>
        </w:rPr>
        <w:footnoteRef/>
      </w:r>
      <w:r>
        <w:t xml:space="preserve"> </w:t>
      </w:r>
      <w:r w:rsidRPr="003A4C4A">
        <w:t xml:space="preserve">Montesquieu, C. (1979). </w:t>
      </w:r>
      <w:r w:rsidRPr="003A4C4A">
        <w:rPr>
          <w:i/>
          <w:iCs/>
        </w:rPr>
        <w:t>De l'Esprit des Lois</w:t>
      </w:r>
      <w:r w:rsidRPr="003A4C4A">
        <w:t>. Garnier-Flammarion, p. 294.</w:t>
      </w:r>
    </w:p>
  </w:footnote>
  <w:footnote w:id="110">
    <w:p w14:paraId="35BA004D" w14:textId="7D38D6CA" w:rsidR="003A4C4A" w:rsidRPr="003A4C4A" w:rsidRDefault="003A4C4A" w:rsidP="003A4C4A">
      <w:pPr>
        <w:pStyle w:val="Notedebasdepage"/>
        <w:ind w:firstLine="0"/>
      </w:pPr>
      <w:r>
        <w:rPr>
          <w:rStyle w:val="Appelnotedebasdep"/>
        </w:rPr>
        <w:footnoteRef/>
      </w:r>
      <w:r>
        <w:t xml:space="preserve"> </w:t>
      </w:r>
      <w:r w:rsidRPr="003A4C4A">
        <w:t>Imbiki, A. (2013). Déontologie et Responsabilités des Magistrats. Éditions Créons, pp. 331-337.</w:t>
      </w:r>
    </w:p>
  </w:footnote>
  <w:footnote w:id="111">
    <w:p w14:paraId="3FC4D7AE" w14:textId="73D0FB58" w:rsidR="003A4C4A" w:rsidRPr="003A4C4A" w:rsidRDefault="003A4C4A" w:rsidP="003A4C4A">
      <w:pPr>
        <w:pStyle w:val="Notedebasdepage"/>
        <w:ind w:firstLine="0"/>
      </w:pPr>
      <w:r>
        <w:rPr>
          <w:rStyle w:val="Appelnotedebasdep"/>
        </w:rPr>
        <w:footnoteRef/>
      </w:r>
      <w:r>
        <w:t xml:space="preserve"> </w:t>
      </w:r>
      <w:r w:rsidRPr="003A4C4A">
        <w:t xml:space="preserve">Urfer, S. (2003). Nouvelle donne malgache. Études, 398(4), 465-474. </w:t>
      </w:r>
      <w:hyperlink r:id="rId24" w:history="1">
        <w:r w:rsidRPr="003A4C4A">
          <w:rPr>
            <w:rStyle w:val="Lienhypertexte"/>
          </w:rPr>
          <w:t>https://www.cairn.info/revue-etudes-2003-4-page-465.htm</w:t>
        </w:r>
      </w:hyperlink>
      <w:r w:rsidRPr="003A4C4A">
        <w:t xml:space="preserve"> (consulté le 16 Février 2026).</w:t>
      </w:r>
    </w:p>
  </w:footnote>
  <w:footnote w:id="112">
    <w:p w14:paraId="1C0FBC47" w14:textId="726AAD8B" w:rsidR="003A4C4A" w:rsidRPr="003A4C4A" w:rsidRDefault="003A4C4A" w:rsidP="003A4C4A">
      <w:pPr>
        <w:pStyle w:val="Notedebasdepage"/>
        <w:ind w:firstLine="0"/>
      </w:pPr>
      <w:r>
        <w:rPr>
          <w:rStyle w:val="Appelnotedebasdep"/>
        </w:rPr>
        <w:footnoteRef/>
      </w:r>
      <w:r>
        <w:t xml:space="preserve"> </w:t>
      </w:r>
      <w:r w:rsidRPr="003A4C4A">
        <w:t>Constitution de la République de Madagascar. (2010). Préambule. Journal Officiel de la République de Madagascar.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44E"/>
    <w:multiLevelType w:val="multilevel"/>
    <w:tmpl w:val="45680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31E84"/>
    <w:multiLevelType w:val="multilevel"/>
    <w:tmpl w:val="B166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C7804"/>
    <w:multiLevelType w:val="multilevel"/>
    <w:tmpl w:val="EDBA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848826">
    <w:abstractNumId w:val="2"/>
  </w:num>
  <w:num w:numId="2" w16cid:durableId="975641871">
    <w:abstractNumId w:val="0"/>
  </w:num>
  <w:num w:numId="3" w16cid:durableId="181417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B5"/>
    <w:rsid w:val="00005FC6"/>
    <w:rsid w:val="000933C6"/>
    <w:rsid w:val="000C0F79"/>
    <w:rsid w:val="000D5D35"/>
    <w:rsid w:val="00145D0E"/>
    <w:rsid w:val="001962CD"/>
    <w:rsid w:val="001D5837"/>
    <w:rsid w:val="00202FA6"/>
    <w:rsid w:val="002C2DE1"/>
    <w:rsid w:val="0034793D"/>
    <w:rsid w:val="003A4456"/>
    <w:rsid w:val="003A4C4A"/>
    <w:rsid w:val="003F5BCF"/>
    <w:rsid w:val="004359B5"/>
    <w:rsid w:val="00452372"/>
    <w:rsid w:val="00485269"/>
    <w:rsid w:val="00497DDE"/>
    <w:rsid w:val="004B07D8"/>
    <w:rsid w:val="004F769B"/>
    <w:rsid w:val="00515962"/>
    <w:rsid w:val="00554AA5"/>
    <w:rsid w:val="00556C7F"/>
    <w:rsid w:val="00580DE9"/>
    <w:rsid w:val="006170E2"/>
    <w:rsid w:val="00624BE0"/>
    <w:rsid w:val="0065488F"/>
    <w:rsid w:val="006C13B3"/>
    <w:rsid w:val="006E0D41"/>
    <w:rsid w:val="00717515"/>
    <w:rsid w:val="00762E94"/>
    <w:rsid w:val="007737F6"/>
    <w:rsid w:val="007749C8"/>
    <w:rsid w:val="00794242"/>
    <w:rsid w:val="007E5A9B"/>
    <w:rsid w:val="007E76E7"/>
    <w:rsid w:val="008047F1"/>
    <w:rsid w:val="00820CD1"/>
    <w:rsid w:val="00842E62"/>
    <w:rsid w:val="00846461"/>
    <w:rsid w:val="008821E9"/>
    <w:rsid w:val="00887C2F"/>
    <w:rsid w:val="008E0F88"/>
    <w:rsid w:val="0098293C"/>
    <w:rsid w:val="009F16C6"/>
    <w:rsid w:val="00A1406C"/>
    <w:rsid w:val="00A35216"/>
    <w:rsid w:val="00A82F99"/>
    <w:rsid w:val="00C261D5"/>
    <w:rsid w:val="00C744AC"/>
    <w:rsid w:val="00CB2429"/>
    <w:rsid w:val="00CC0826"/>
    <w:rsid w:val="00CD1725"/>
    <w:rsid w:val="00D301BF"/>
    <w:rsid w:val="00D82D9B"/>
    <w:rsid w:val="00DE703E"/>
    <w:rsid w:val="00E5116D"/>
    <w:rsid w:val="00EC153F"/>
    <w:rsid w:val="00EE3980"/>
    <w:rsid w:val="00F84814"/>
    <w:rsid w:val="00FC5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7949"/>
  <w15:chartTrackingRefBased/>
  <w15:docId w15:val="{78D4E3F5-51F0-4948-817F-79D0CB09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B5"/>
    <w:pPr>
      <w:spacing w:after="0" w:line="240" w:lineRule="auto"/>
      <w:ind w:firstLine="567"/>
      <w:jc w:val="both"/>
    </w:pPr>
    <w:rPr>
      <w:rFonts w:ascii="Times New Roman" w:hAnsi="Times New Roman"/>
    </w:rPr>
  </w:style>
  <w:style w:type="paragraph" w:styleId="Titre1">
    <w:name w:val="heading 1"/>
    <w:basedOn w:val="Normal"/>
    <w:next w:val="Normal"/>
    <w:link w:val="Titre1Car"/>
    <w:uiPriority w:val="9"/>
    <w:qFormat/>
    <w:rsid w:val="004359B5"/>
    <w:pPr>
      <w:outlineLvl w:val="0"/>
    </w:pPr>
    <w:rPr>
      <w:b/>
      <w:bCs/>
    </w:rPr>
  </w:style>
  <w:style w:type="paragraph" w:styleId="Titre2">
    <w:name w:val="heading 2"/>
    <w:basedOn w:val="Normal"/>
    <w:next w:val="Normal"/>
    <w:link w:val="Titre2Car"/>
    <w:uiPriority w:val="9"/>
    <w:unhideWhenUsed/>
    <w:qFormat/>
    <w:rsid w:val="00554AA5"/>
    <w:pPr>
      <w:outlineLvl w:val="1"/>
    </w:pPr>
    <w:rPr>
      <w:b/>
      <w:bCs/>
      <w:sz w:val="28"/>
      <w:szCs w:val="28"/>
    </w:rPr>
  </w:style>
  <w:style w:type="paragraph" w:styleId="Titre3">
    <w:name w:val="heading 3"/>
    <w:basedOn w:val="Normal"/>
    <w:next w:val="Normal"/>
    <w:link w:val="Titre3Car"/>
    <w:uiPriority w:val="9"/>
    <w:unhideWhenUsed/>
    <w:qFormat/>
    <w:rsid w:val="00554AA5"/>
    <w:pPr>
      <w:outlineLvl w:val="2"/>
    </w:pPr>
    <w:rPr>
      <w:b/>
      <w:bCs/>
    </w:rPr>
  </w:style>
  <w:style w:type="paragraph" w:styleId="Titre4">
    <w:name w:val="heading 4"/>
    <w:basedOn w:val="Normal"/>
    <w:next w:val="Normal"/>
    <w:link w:val="Titre4Car"/>
    <w:uiPriority w:val="9"/>
    <w:unhideWhenUsed/>
    <w:qFormat/>
    <w:rsid w:val="00554AA5"/>
    <w:pPr>
      <w:outlineLvl w:val="3"/>
    </w:pPr>
    <w:rPr>
      <w:b/>
      <w:bCs/>
    </w:rPr>
  </w:style>
  <w:style w:type="paragraph" w:styleId="Titre5">
    <w:name w:val="heading 5"/>
    <w:basedOn w:val="Titre4"/>
    <w:next w:val="Normal"/>
    <w:link w:val="Titre5Car"/>
    <w:uiPriority w:val="9"/>
    <w:unhideWhenUsed/>
    <w:qFormat/>
    <w:rsid w:val="00554AA5"/>
    <w:pPr>
      <w:outlineLvl w:val="4"/>
    </w:pPr>
  </w:style>
  <w:style w:type="paragraph" w:styleId="Titre6">
    <w:name w:val="heading 6"/>
    <w:basedOn w:val="Normal"/>
    <w:next w:val="Normal"/>
    <w:link w:val="Titre6Car"/>
    <w:uiPriority w:val="9"/>
    <w:semiHidden/>
    <w:unhideWhenUsed/>
    <w:qFormat/>
    <w:rsid w:val="004359B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359B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359B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359B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1962CD"/>
    <w:pPr>
      <w:spacing w:after="200"/>
    </w:pPr>
  </w:style>
  <w:style w:type="character" w:customStyle="1" w:styleId="Titre1Car">
    <w:name w:val="Titre 1 Car"/>
    <w:basedOn w:val="Policepardfaut"/>
    <w:link w:val="Titre1"/>
    <w:uiPriority w:val="9"/>
    <w:rsid w:val="004359B5"/>
    <w:rPr>
      <w:rFonts w:ascii="Times New Roman" w:hAnsi="Times New Roman"/>
      <w:b/>
      <w:bCs/>
    </w:rPr>
  </w:style>
  <w:style w:type="character" w:customStyle="1" w:styleId="Titre2Car">
    <w:name w:val="Titre 2 Car"/>
    <w:basedOn w:val="Policepardfaut"/>
    <w:link w:val="Titre2"/>
    <w:uiPriority w:val="9"/>
    <w:rsid w:val="00554AA5"/>
    <w:rPr>
      <w:rFonts w:ascii="Times New Roman" w:hAnsi="Times New Roman"/>
      <w:b/>
      <w:bCs/>
      <w:sz w:val="28"/>
      <w:szCs w:val="28"/>
    </w:rPr>
  </w:style>
  <w:style w:type="character" w:customStyle="1" w:styleId="Titre3Car">
    <w:name w:val="Titre 3 Car"/>
    <w:basedOn w:val="Policepardfaut"/>
    <w:link w:val="Titre3"/>
    <w:uiPriority w:val="9"/>
    <w:rsid w:val="00554AA5"/>
    <w:rPr>
      <w:rFonts w:ascii="Times New Roman" w:hAnsi="Times New Roman"/>
      <w:b/>
      <w:bCs/>
    </w:rPr>
  </w:style>
  <w:style w:type="character" w:customStyle="1" w:styleId="Titre4Car">
    <w:name w:val="Titre 4 Car"/>
    <w:basedOn w:val="Policepardfaut"/>
    <w:link w:val="Titre4"/>
    <w:uiPriority w:val="9"/>
    <w:rsid w:val="00554AA5"/>
    <w:rPr>
      <w:rFonts w:ascii="Times New Roman" w:hAnsi="Times New Roman"/>
      <w:b/>
      <w:bCs/>
    </w:rPr>
  </w:style>
  <w:style w:type="character" w:customStyle="1" w:styleId="Titre5Car">
    <w:name w:val="Titre 5 Car"/>
    <w:basedOn w:val="Policepardfaut"/>
    <w:link w:val="Titre5"/>
    <w:uiPriority w:val="9"/>
    <w:rsid w:val="00554AA5"/>
    <w:rPr>
      <w:rFonts w:ascii="Times New Roman" w:hAnsi="Times New Roman"/>
      <w:b/>
      <w:bCs/>
    </w:rPr>
  </w:style>
  <w:style w:type="character" w:customStyle="1" w:styleId="Titre6Car">
    <w:name w:val="Titre 6 Car"/>
    <w:basedOn w:val="Policepardfaut"/>
    <w:link w:val="Titre6"/>
    <w:uiPriority w:val="9"/>
    <w:semiHidden/>
    <w:rsid w:val="004359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59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59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59B5"/>
    <w:rPr>
      <w:rFonts w:eastAsiaTheme="majorEastAsia" w:cstheme="majorBidi"/>
      <w:color w:val="272727" w:themeColor="text1" w:themeTint="D8"/>
    </w:rPr>
  </w:style>
  <w:style w:type="paragraph" w:styleId="Titre">
    <w:name w:val="Title"/>
    <w:basedOn w:val="Normal"/>
    <w:next w:val="Normal"/>
    <w:link w:val="TitreCar"/>
    <w:uiPriority w:val="10"/>
    <w:qFormat/>
    <w:rsid w:val="004359B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59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59B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59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59B5"/>
    <w:pPr>
      <w:spacing w:before="160"/>
      <w:jc w:val="center"/>
    </w:pPr>
    <w:rPr>
      <w:i/>
      <w:iCs/>
      <w:color w:val="404040" w:themeColor="text1" w:themeTint="BF"/>
    </w:rPr>
  </w:style>
  <w:style w:type="character" w:customStyle="1" w:styleId="CitationCar">
    <w:name w:val="Citation Car"/>
    <w:basedOn w:val="Policepardfaut"/>
    <w:link w:val="Citation"/>
    <w:uiPriority w:val="29"/>
    <w:rsid w:val="004359B5"/>
    <w:rPr>
      <w:rFonts w:ascii="Times New Roman" w:hAnsi="Times New Roman"/>
      <w:i/>
      <w:iCs/>
      <w:color w:val="404040" w:themeColor="text1" w:themeTint="BF"/>
    </w:rPr>
  </w:style>
  <w:style w:type="paragraph" w:styleId="Paragraphedeliste">
    <w:name w:val="List Paragraph"/>
    <w:basedOn w:val="Normal"/>
    <w:uiPriority w:val="34"/>
    <w:qFormat/>
    <w:rsid w:val="004359B5"/>
    <w:pPr>
      <w:ind w:left="720"/>
      <w:contextualSpacing/>
    </w:pPr>
  </w:style>
  <w:style w:type="character" w:styleId="Accentuationintense">
    <w:name w:val="Intense Emphasis"/>
    <w:basedOn w:val="Policepardfaut"/>
    <w:uiPriority w:val="21"/>
    <w:qFormat/>
    <w:rsid w:val="004359B5"/>
    <w:rPr>
      <w:i/>
      <w:iCs/>
      <w:color w:val="0F4761" w:themeColor="accent1" w:themeShade="BF"/>
    </w:rPr>
  </w:style>
  <w:style w:type="paragraph" w:styleId="Citationintense">
    <w:name w:val="Intense Quote"/>
    <w:basedOn w:val="Normal"/>
    <w:next w:val="Normal"/>
    <w:link w:val="CitationintenseCar"/>
    <w:uiPriority w:val="30"/>
    <w:qFormat/>
    <w:rsid w:val="0043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59B5"/>
    <w:rPr>
      <w:rFonts w:ascii="Times New Roman" w:hAnsi="Times New Roman"/>
      <w:i/>
      <w:iCs/>
      <w:color w:val="0F4761" w:themeColor="accent1" w:themeShade="BF"/>
    </w:rPr>
  </w:style>
  <w:style w:type="character" w:styleId="Rfrenceintense">
    <w:name w:val="Intense Reference"/>
    <w:basedOn w:val="Policepardfaut"/>
    <w:uiPriority w:val="32"/>
    <w:qFormat/>
    <w:rsid w:val="004359B5"/>
    <w:rPr>
      <w:b/>
      <w:bCs/>
      <w:smallCaps/>
      <w:color w:val="0F4761" w:themeColor="accent1" w:themeShade="BF"/>
      <w:spacing w:val="5"/>
    </w:rPr>
  </w:style>
  <w:style w:type="paragraph" w:styleId="En-tte">
    <w:name w:val="header"/>
    <w:basedOn w:val="Normal"/>
    <w:link w:val="En-tteCar"/>
    <w:uiPriority w:val="99"/>
    <w:unhideWhenUsed/>
    <w:rsid w:val="004359B5"/>
    <w:pPr>
      <w:tabs>
        <w:tab w:val="center" w:pos="4536"/>
        <w:tab w:val="right" w:pos="9072"/>
      </w:tabs>
    </w:pPr>
  </w:style>
  <w:style w:type="character" w:customStyle="1" w:styleId="En-tteCar">
    <w:name w:val="En-tête Car"/>
    <w:basedOn w:val="Policepardfaut"/>
    <w:link w:val="En-tte"/>
    <w:uiPriority w:val="99"/>
    <w:rsid w:val="004359B5"/>
    <w:rPr>
      <w:rFonts w:ascii="Times New Roman" w:hAnsi="Times New Roman"/>
    </w:rPr>
  </w:style>
  <w:style w:type="paragraph" w:styleId="Pieddepage">
    <w:name w:val="footer"/>
    <w:basedOn w:val="Normal"/>
    <w:link w:val="PieddepageCar"/>
    <w:uiPriority w:val="99"/>
    <w:unhideWhenUsed/>
    <w:rsid w:val="004359B5"/>
    <w:pPr>
      <w:tabs>
        <w:tab w:val="center" w:pos="4536"/>
        <w:tab w:val="right" w:pos="9072"/>
      </w:tabs>
    </w:pPr>
  </w:style>
  <w:style w:type="character" w:customStyle="1" w:styleId="PieddepageCar">
    <w:name w:val="Pied de page Car"/>
    <w:basedOn w:val="Policepardfaut"/>
    <w:link w:val="Pieddepage"/>
    <w:uiPriority w:val="99"/>
    <w:rsid w:val="004359B5"/>
    <w:rPr>
      <w:rFonts w:ascii="Times New Roman" w:hAnsi="Times New Roman"/>
    </w:rPr>
  </w:style>
  <w:style w:type="paragraph" w:styleId="Notedebasdepage">
    <w:name w:val="footnote text"/>
    <w:basedOn w:val="Normal"/>
    <w:link w:val="NotedebasdepageCar"/>
    <w:uiPriority w:val="99"/>
    <w:semiHidden/>
    <w:unhideWhenUsed/>
    <w:rsid w:val="004359B5"/>
    <w:rPr>
      <w:sz w:val="20"/>
      <w:szCs w:val="20"/>
    </w:rPr>
  </w:style>
  <w:style w:type="character" w:customStyle="1" w:styleId="NotedebasdepageCar">
    <w:name w:val="Note de bas de page Car"/>
    <w:basedOn w:val="Policepardfaut"/>
    <w:link w:val="Notedebasdepage"/>
    <w:uiPriority w:val="99"/>
    <w:semiHidden/>
    <w:rsid w:val="004359B5"/>
    <w:rPr>
      <w:rFonts w:ascii="Times New Roman" w:hAnsi="Times New Roman"/>
      <w:sz w:val="20"/>
      <w:szCs w:val="20"/>
    </w:rPr>
  </w:style>
  <w:style w:type="character" w:styleId="Appelnotedebasdep">
    <w:name w:val="footnote reference"/>
    <w:basedOn w:val="Policepardfaut"/>
    <w:uiPriority w:val="99"/>
    <w:semiHidden/>
    <w:unhideWhenUsed/>
    <w:rsid w:val="004359B5"/>
    <w:rPr>
      <w:vertAlign w:val="superscript"/>
    </w:rPr>
  </w:style>
  <w:style w:type="character" w:styleId="Lienhypertexte">
    <w:name w:val="Hyperlink"/>
    <w:basedOn w:val="Policepardfaut"/>
    <w:uiPriority w:val="99"/>
    <w:unhideWhenUsed/>
    <w:rsid w:val="008821E9"/>
    <w:rPr>
      <w:color w:val="467886" w:themeColor="hyperlink"/>
      <w:u w:val="single"/>
    </w:rPr>
  </w:style>
  <w:style w:type="character" w:styleId="Mentionnonrsolue">
    <w:name w:val="Unresolved Mention"/>
    <w:basedOn w:val="Policepardfaut"/>
    <w:uiPriority w:val="99"/>
    <w:semiHidden/>
    <w:unhideWhenUsed/>
    <w:rsid w:val="008821E9"/>
    <w:rPr>
      <w:color w:val="605E5C"/>
      <w:shd w:val="clear" w:color="auto" w:fill="E1DFDD"/>
    </w:rPr>
  </w:style>
  <w:style w:type="character" w:styleId="Lienhypertextesuivivisit">
    <w:name w:val="FollowedHyperlink"/>
    <w:basedOn w:val="Policepardfaut"/>
    <w:uiPriority w:val="99"/>
    <w:semiHidden/>
    <w:unhideWhenUsed/>
    <w:rsid w:val="008821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airn.info/revue-nouveaux-cahiers-conseil-constitutionnel-2013-1-page-181.htm" TargetMode="External"/><Relationship Id="rId13" Type="http://schemas.openxmlformats.org/officeDocument/2006/relationships/hyperlink" Target="https://www.cairn.info/revue-nouveaux-cahiers-conseil-constitutionnel-2013-1-page-181.htm" TargetMode="External"/><Relationship Id="rId18" Type="http://schemas.openxmlformats.org/officeDocument/2006/relationships/hyperlink" Target="http://v1.ahjucaf.org/Les-menaces-externes-a-l-independance-de-la-justice/html" TargetMode="External"/><Relationship Id="rId3" Type="http://schemas.openxmlformats.org/officeDocument/2006/relationships/hyperlink" Target="http://v1.ahjucaf.org/Les-menaces-externes-a-l-independance-de-la-justice//html" TargetMode="External"/><Relationship Id="rId21" Type="http://schemas.openxmlformats.org/officeDocument/2006/relationships/hyperlink" Target="https://www.cairn.info/revue-nouveaux-cahiers-conseil-constitutionnel-2013-1-page-181.htm" TargetMode="External"/><Relationship Id="rId7" Type="http://schemas.openxmlformats.org/officeDocument/2006/relationships/hyperlink" Target="http://v1.ahjucaf.org/Les-menaces-externes-a-l-independance-de-la-justice/html" TargetMode="External"/><Relationship Id="rId12" Type="http://schemas.openxmlformats.org/officeDocument/2006/relationships/hyperlink" Target="https://www.cairn.info/revue-nouveaux-cahiers-conseil-constitutionnel-2013-1-page-181.htm" TargetMode="External"/><Relationship Id="rId17" Type="http://schemas.openxmlformats.org/officeDocument/2006/relationships/hyperlink" Target="https://www.cairn.info/revue-etudes-2003-4-page-465.htm" TargetMode="External"/><Relationship Id="rId2" Type="http://schemas.openxmlformats.org/officeDocument/2006/relationships/hyperlink" Target="https://www.cairn.info/revue-etudes-2003-4-page-465.htm" TargetMode="External"/><Relationship Id="rId16" Type="http://schemas.openxmlformats.org/officeDocument/2006/relationships/hyperlink" Target="https://www.cairn.info/revue-nouveaux-cahiers-conseil-constitutionnel-2013-1-page-181.htm" TargetMode="External"/><Relationship Id="rId20" Type="http://schemas.openxmlformats.org/officeDocument/2006/relationships/hyperlink" Target="https://www.cairn.info/revue-etudes-2003-4-page-465.htm" TargetMode="External"/><Relationship Id="rId1" Type="http://schemas.openxmlformats.org/officeDocument/2006/relationships/hyperlink" Target="https://www.cairn.info/revue-etudes-2003-4-page-465.htm" TargetMode="External"/><Relationship Id="rId6" Type="http://schemas.openxmlformats.org/officeDocument/2006/relationships/hyperlink" Target="http://v1.ahjucaf.org/Les-menaces-externes-a-l-independance-de-la-justice/html" TargetMode="External"/><Relationship Id="rId11" Type="http://schemas.openxmlformats.org/officeDocument/2006/relationships/hyperlink" Target="http://v1.ahjucaf.org/Les-menaces-externes-a-l-independance-de-la-justice/html" TargetMode="External"/><Relationship Id="rId24" Type="http://schemas.openxmlformats.org/officeDocument/2006/relationships/hyperlink" Target="https://www.cairn.info/revue-etudes-2003-4-page-465.htm" TargetMode="External"/><Relationship Id="rId5" Type="http://schemas.openxmlformats.org/officeDocument/2006/relationships/hyperlink" Target="http://v1.ahjucaf.org/Les-menaces-externes-a-l-independance-de-la-justice/html" TargetMode="External"/><Relationship Id="rId15" Type="http://schemas.openxmlformats.org/officeDocument/2006/relationships/hyperlink" Target="https://www.cairn.info/revue-etudes-2003-4-page-465.htm" TargetMode="External"/><Relationship Id="rId23" Type="http://schemas.openxmlformats.org/officeDocument/2006/relationships/hyperlink" Target="https://www.cairn.info/revue-etudes-2003-4-page-465.htm" TargetMode="External"/><Relationship Id="rId10" Type="http://schemas.openxmlformats.org/officeDocument/2006/relationships/hyperlink" Target="http://v1.ahjucaf.org/Les-menaces-externes-a-l-independance-de-la-justice/html" TargetMode="External"/><Relationship Id="rId19" Type="http://schemas.openxmlformats.org/officeDocument/2006/relationships/hyperlink" Target="https://www.cairn.info/revue-etudes-2003-4-page-465.htm" TargetMode="External"/><Relationship Id="rId4" Type="http://schemas.openxmlformats.org/officeDocument/2006/relationships/hyperlink" Target="http://v1.ahjucaf.org/Les-menaces-externes-a-l-independance-de-la-justice//html" TargetMode="External"/><Relationship Id="rId9" Type="http://schemas.openxmlformats.org/officeDocument/2006/relationships/hyperlink" Target="https://www.cairn.info/revue-apres-demain-2017-1-page-26.htm" TargetMode="External"/><Relationship Id="rId14" Type="http://schemas.openxmlformats.org/officeDocument/2006/relationships/hyperlink" Target="https://www.cairn.info/revue-nouveaux-cahiers-conseil-constitutionnel-2013-1-page-181.htm" TargetMode="External"/><Relationship Id="rId22" Type="http://schemas.openxmlformats.org/officeDocument/2006/relationships/hyperlink" Target="http://v1.ahjucaf.org/Les-menaces-externes-a-l-independance-de-la-justic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3D62-27A5-47D1-88F6-93877BA2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7456</Words>
  <Characters>41011</Characters>
  <Application>Microsoft Office Word</Application>
  <DocSecurity>0</DocSecurity>
  <Lines>341</Lines>
  <Paragraphs>96</Paragraphs>
  <ScaleCrop>false</ScaleCrop>
  <Company/>
  <LinksUpToDate>false</LinksUpToDate>
  <CharactersWithSpaces>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Delio Mami</dc:creator>
  <cp:keywords/>
  <dc:description/>
  <cp:lastModifiedBy>sydriquemiaraka201@gmail.com</cp:lastModifiedBy>
  <cp:revision>3</cp:revision>
  <dcterms:created xsi:type="dcterms:W3CDTF">2026-02-23T15:54:00Z</dcterms:created>
  <dcterms:modified xsi:type="dcterms:W3CDTF">2026-02-23T16:04:00Z</dcterms:modified>
</cp:coreProperties>
</file>