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97F93" w14:textId="77777777" w:rsidR="00BE5201" w:rsidRDefault="00BE5201">
      <w:pPr>
        <w:pStyle w:val="Title"/>
        <w:rPr>
          <w:sz w:val="40"/>
          <w:szCs w:val="40"/>
        </w:rPr>
      </w:pPr>
      <w:r w:rsidRPr="00BE5201">
        <w:rPr>
          <w:sz w:val="40"/>
          <w:szCs w:val="40"/>
        </w:rPr>
        <w:t>The Silent Intelligence of Substations</w:t>
      </w:r>
    </w:p>
    <w:p w14:paraId="21B0510E" w14:textId="3C204CA4" w:rsidR="00EB72B4" w:rsidRPr="00BE5201" w:rsidRDefault="00BE5201">
      <w:pPr>
        <w:pStyle w:val="Title"/>
        <w:rPr>
          <w:sz w:val="40"/>
          <w:szCs w:val="40"/>
        </w:rPr>
      </w:pPr>
      <w:r w:rsidRPr="00BE5201">
        <w:rPr>
          <w:sz w:val="40"/>
          <w:szCs w:val="40"/>
        </w:rPr>
        <w:t>~</w:t>
      </w:r>
      <w:r>
        <w:rPr>
          <w:sz w:val="40"/>
          <w:szCs w:val="40"/>
        </w:rPr>
        <w:t xml:space="preserve"> </w:t>
      </w:r>
      <w:r w:rsidRPr="00BE5201">
        <w:rPr>
          <w:sz w:val="40"/>
          <w:szCs w:val="40"/>
        </w:rPr>
        <w:t xml:space="preserve">UNDERSTANDING OF </w:t>
      </w:r>
      <w:r w:rsidR="00570115" w:rsidRPr="00BE5201">
        <w:rPr>
          <w:sz w:val="40"/>
          <w:szCs w:val="40"/>
        </w:rPr>
        <w:t xml:space="preserve">SECONDARY ENGINEERING </w:t>
      </w:r>
    </w:p>
    <w:p w14:paraId="042251FE" w14:textId="77777777" w:rsidR="00EB72B4" w:rsidRPr="00BE5201" w:rsidRDefault="00000000">
      <w:pPr>
        <w:pStyle w:val="Heading1"/>
        <w:rPr>
          <w:rFonts w:cstheme="majorHAnsi"/>
          <w:sz w:val="24"/>
          <w:szCs w:val="24"/>
        </w:rPr>
      </w:pPr>
      <w:r w:rsidRPr="00BE5201">
        <w:rPr>
          <w:rFonts w:cstheme="majorHAnsi"/>
          <w:sz w:val="24"/>
          <w:szCs w:val="24"/>
        </w:rPr>
        <w:t>Abstract</w:t>
      </w:r>
    </w:p>
    <w:p w14:paraId="1A72522D" w14:textId="77777777" w:rsidR="00736B4D" w:rsidRPr="00BE5201" w:rsidRDefault="00736B4D">
      <w:pPr>
        <w:rPr>
          <w:rFonts w:asciiTheme="majorHAnsi" w:hAnsiTheme="majorHAnsi" w:cstheme="majorHAnsi"/>
          <w:sz w:val="24"/>
          <w:szCs w:val="24"/>
        </w:rPr>
      </w:pPr>
    </w:p>
    <w:p w14:paraId="0DE214A6" w14:textId="77777777" w:rsidR="00736B4D" w:rsidRPr="00BE5201" w:rsidRDefault="00736B4D">
      <w:pPr>
        <w:rPr>
          <w:rFonts w:asciiTheme="majorHAnsi" w:hAnsiTheme="majorHAnsi" w:cstheme="majorHAnsi"/>
          <w:sz w:val="24"/>
          <w:szCs w:val="24"/>
        </w:rPr>
      </w:pPr>
      <w:r w:rsidRPr="00BE5201">
        <w:rPr>
          <w:rFonts w:asciiTheme="majorHAnsi" w:hAnsiTheme="majorHAnsi" w:cstheme="majorHAnsi"/>
          <w:sz w:val="24"/>
          <w:szCs w:val="24"/>
        </w:rPr>
        <w:t xml:space="preserve">Secondary Engineering forms the backbone of modern substation operation yet it often remains unnoticed compared to the more visible primary equipment. This article explores the concept of Secondary Engineering and explains why it can rightly be regarded as the </w:t>
      </w:r>
      <w:r w:rsidRPr="00BE5201">
        <w:rPr>
          <w:rFonts w:asciiTheme="majorHAnsi" w:hAnsiTheme="majorHAnsi" w:cstheme="majorHAnsi"/>
          <w:i/>
          <w:iCs/>
          <w:sz w:val="24"/>
          <w:szCs w:val="24"/>
        </w:rPr>
        <w:t>silent fighter</w:t>
      </w:r>
      <w:r w:rsidRPr="00BE5201">
        <w:rPr>
          <w:rFonts w:asciiTheme="majorHAnsi" w:hAnsiTheme="majorHAnsi" w:cstheme="majorHAnsi"/>
          <w:sz w:val="24"/>
          <w:szCs w:val="24"/>
        </w:rPr>
        <w:t xml:space="preserve"> of the power system. While Primary Equipment handles the transmission of power, Secondary Engineering ensures that the system operates safely reliably and intelligently through protection, control, monitoring and measurement. </w:t>
      </w:r>
    </w:p>
    <w:p w14:paraId="1FE75B3F" w14:textId="77777777" w:rsidR="00736B4D" w:rsidRPr="00BE5201" w:rsidRDefault="00736B4D">
      <w:pPr>
        <w:rPr>
          <w:rFonts w:asciiTheme="majorHAnsi" w:hAnsiTheme="majorHAnsi" w:cstheme="majorHAnsi"/>
          <w:sz w:val="24"/>
          <w:szCs w:val="24"/>
        </w:rPr>
      </w:pPr>
      <w:r w:rsidRPr="00BE5201">
        <w:rPr>
          <w:rFonts w:asciiTheme="majorHAnsi" w:hAnsiTheme="majorHAnsi" w:cstheme="majorHAnsi"/>
          <w:sz w:val="24"/>
          <w:szCs w:val="24"/>
        </w:rPr>
        <w:t>The paper first introduces the essential language of the field by outlining the key subtopics that constitute Secondary Engineering including Protection Schemes, Control Systems, Measurement Circuits and Auxiliary Systems. Understanding these elements provides Engineers with the framework needed to interpret and design reliable substation protection systems.</w:t>
      </w:r>
    </w:p>
    <w:p w14:paraId="48E86C7E" w14:textId="77777777" w:rsidR="00DB7578" w:rsidRPr="00BE5201" w:rsidRDefault="00736B4D" w:rsidP="00DB7578">
      <w:pPr>
        <w:rPr>
          <w:rFonts w:asciiTheme="majorHAnsi" w:hAnsiTheme="majorHAnsi" w:cstheme="majorHAnsi"/>
          <w:sz w:val="24"/>
          <w:szCs w:val="24"/>
        </w:rPr>
      </w:pPr>
      <w:r w:rsidRPr="00BE5201">
        <w:rPr>
          <w:rFonts w:asciiTheme="majorHAnsi" w:hAnsiTheme="majorHAnsi" w:cstheme="majorHAnsi"/>
          <w:sz w:val="24"/>
          <w:szCs w:val="24"/>
        </w:rPr>
        <w:t>The discussion then focuses on one of the most critical components of Secondary Engineering, the Instrument Transformer (IT)</w:t>
      </w:r>
      <w:r w:rsidRPr="00BE5201">
        <w:rPr>
          <w:rFonts w:asciiTheme="majorHAnsi" w:hAnsiTheme="majorHAnsi" w:cstheme="majorHAnsi"/>
          <w:b/>
          <w:bCs/>
          <w:sz w:val="24"/>
          <w:szCs w:val="24"/>
        </w:rPr>
        <w:t xml:space="preserve">, </w:t>
      </w:r>
      <w:r w:rsidRPr="00BE5201">
        <w:rPr>
          <w:rFonts w:asciiTheme="majorHAnsi" w:hAnsiTheme="majorHAnsi" w:cstheme="majorHAnsi"/>
          <w:sz w:val="24"/>
          <w:szCs w:val="24"/>
        </w:rPr>
        <w:t xml:space="preserve">starts with Current Transformer first which </w:t>
      </w:r>
      <w:r w:rsidR="00DB7578" w:rsidRPr="00BE5201">
        <w:rPr>
          <w:rFonts w:asciiTheme="majorHAnsi" w:hAnsiTheme="majorHAnsi" w:cstheme="majorHAnsi"/>
          <w:sz w:val="24"/>
          <w:szCs w:val="24"/>
        </w:rPr>
        <w:t>is often</w:t>
      </w:r>
      <w:r w:rsidRPr="00BE5201">
        <w:rPr>
          <w:rFonts w:asciiTheme="majorHAnsi" w:hAnsiTheme="majorHAnsi" w:cstheme="majorHAnsi"/>
          <w:sz w:val="24"/>
          <w:szCs w:val="24"/>
        </w:rPr>
        <w:t xml:space="preserve"> considered the guardian of the protection and metering system. Current transformers play a vital role in accurately translating high primary currents into measurable secondary signals enabling protection relays meters and monitoring devices to detect abnormalities and respond appropriately.</w:t>
      </w:r>
    </w:p>
    <w:p w14:paraId="4D9B960C" w14:textId="68AEC3B0" w:rsidR="00DB7578" w:rsidRPr="00BE5201" w:rsidRDefault="00736B4D" w:rsidP="00DB7578">
      <w:pPr>
        <w:rPr>
          <w:rFonts w:asciiTheme="majorHAnsi" w:hAnsiTheme="majorHAnsi" w:cstheme="majorHAnsi"/>
          <w:sz w:val="24"/>
          <w:szCs w:val="24"/>
        </w:rPr>
      </w:pPr>
      <w:r w:rsidRPr="00BE5201">
        <w:rPr>
          <w:rFonts w:asciiTheme="majorHAnsi" w:hAnsiTheme="majorHAnsi" w:cstheme="majorHAnsi"/>
          <w:sz w:val="24"/>
          <w:szCs w:val="24"/>
        </w:rPr>
        <w:t xml:space="preserve"> </w:t>
      </w:r>
      <w:r w:rsidR="00DB7578" w:rsidRPr="00BE5201">
        <w:rPr>
          <w:rFonts w:asciiTheme="majorHAnsi" w:hAnsiTheme="majorHAnsi" w:cstheme="majorHAnsi"/>
          <w:sz w:val="24"/>
          <w:szCs w:val="24"/>
        </w:rPr>
        <w:t>To bridge theory with practice, the article presents a practical and intuitive approach to CT sizing. The parameters that influence CT selection for both protection and metering applications are carefully explained including many other concepts for fault current considerations. In addition, a simplified case study is presented to illustrate how CT parameters are evaluated and selected for protection schemes in substations.</w:t>
      </w:r>
    </w:p>
    <w:p w14:paraId="4E5B3371" w14:textId="7740CED4" w:rsidR="00736B4D" w:rsidRPr="00BE5201" w:rsidRDefault="00DB7578">
      <w:pPr>
        <w:rPr>
          <w:rFonts w:asciiTheme="majorHAnsi" w:hAnsiTheme="majorHAnsi" w:cstheme="majorHAnsi"/>
          <w:sz w:val="24"/>
          <w:szCs w:val="24"/>
        </w:rPr>
      </w:pPr>
      <w:r w:rsidRPr="00BE5201">
        <w:rPr>
          <w:rFonts w:asciiTheme="majorHAnsi" w:hAnsiTheme="majorHAnsi" w:cstheme="majorHAnsi"/>
          <w:sz w:val="24"/>
          <w:szCs w:val="24"/>
        </w:rPr>
        <w:t>Through this structured discussion, the paper aims to make the often overlooked field of secondary engineering more accessible engaging and technically insightful for engineers students and professionals working in power system protection.</w:t>
      </w:r>
    </w:p>
    <w:p w14:paraId="33B03C54" w14:textId="1D722C3D" w:rsidR="00EB72B4" w:rsidRPr="00BE5201" w:rsidRDefault="00736B4D">
      <w:pPr>
        <w:rPr>
          <w:rFonts w:asciiTheme="majorHAnsi" w:hAnsiTheme="majorHAnsi" w:cstheme="majorHAnsi"/>
          <w:sz w:val="24"/>
          <w:szCs w:val="24"/>
        </w:rPr>
      </w:pPr>
      <w:r w:rsidRPr="00BE5201">
        <w:rPr>
          <w:rFonts w:asciiTheme="majorHAnsi" w:hAnsiTheme="majorHAnsi" w:cstheme="majorHAnsi"/>
          <w:sz w:val="24"/>
          <w:szCs w:val="24"/>
        </w:rPr>
        <w:t xml:space="preserve"> </w:t>
      </w:r>
    </w:p>
    <w:p w14:paraId="0B072372" w14:textId="77777777" w:rsidR="00EB72B4" w:rsidRPr="00BE5201" w:rsidRDefault="00000000">
      <w:pPr>
        <w:pStyle w:val="Heading1"/>
        <w:rPr>
          <w:rFonts w:cstheme="majorHAnsi"/>
          <w:sz w:val="24"/>
          <w:szCs w:val="24"/>
        </w:rPr>
      </w:pPr>
      <w:r w:rsidRPr="00BE5201">
        <w:rPr>
          <w:rFonts w:cstheme="majorHAnsi"/>
          <w:sz w:val="24"/>
          <w:szCs w:val="24"/>
        </w:rPr>
        <w:lastRenderedPageBreak/>
        <w:t>Keywords</w:t>
      </w:r>
    </w:p>
    <w:p w14:paraId="260535CF" w14:textId="77777777" w:rsidR="00477876" w:rsidRPr="00BE5201" w:rsidRDefault="00477876" w:rsidP="00477876">
      <w:pPr>
        <w:rPr>
          <w:rFonts w:asciiTheme="majorHAnsi" w:hAnsiTheme="majorHAnsi" w:cstheme="majorHAnsi"/>
          <w:sz w:val="24"/>
          <w:szCs w:val="24"/>
        </w:rPr>
      </w:pPr>
    </w:p>
    <w:p w14:paraId="4A19AB31" w14:textId="77777777" w:rsidR="00570115" w:rsidRPr="00BE5201" w:rsidRDefault="00570115" w:rsidP="00570115">
      <w:pPr>
        <w:rPr>
          <w:rFonts w:asciiTheme="majorHAnsi" w:hAnsiTheme="majorHAnsi" w:cstheme="majorHAnsi"/>
          <w:sz w:val="24"/>
          <w:szCs w:val="24"/>
        </w:rPr>
      </w:pPr>
      <w:r w:rsidRPr="00BE5201">
        <w:rPr>
          <w:rFonts w:asciiTheme="majorHAnsi" w:hAnsiTheme="majorHAnsi" w:cstheme="majorHAnsi"/>
          <w:sz w:val="24"/>
          <w:szCs w:val="24"/>
        </w:rPr>
        <w:t xml:space="preserve">Secondary Engineering </w:t>
      </w:r>
    </w:p>
    <w:p w14:paraId="4BDF0178" w14:textId="6A542699" w:rsidR="00176007" w:rsidRPr="00BE5201" w:rsidRDefault="00570115" w:rsidP="00570115">
      <w:pPr>
        <w:rPr>
          <w:rFonts w:asciiTheme="majorHAnsi" w:hAnsiTheme="majorHAnsi" w:cstheme="majorHAnsi"/>
          <w:sz w:val="24"/>
          <w:szCs w:val="24"/>
        </w:rPr>
      </w:pPr>
      <w:r w:rsidRPr="00BE5201">
        <w:rPr>
          <w:rFonts w:asciiTheme="majorHAnsi" w:hAnsiTheme="majorHAnsi" w:cstheme="majorHAnsi"/>
          <w:sz w:val="24"/>
          <w:szCs w:val="24"/>
        </w:rPr>
        <w:t xml:space="preserve">Substation Protection </w:t>
      </w:r>
      <w:r w:rsidR="00176007" w:rsidRPr="00BE5201">
        <w:rPr>
          <w:rFonts w:asciiTheme="majorHAnsi" w:hAnsiTheme="majorHAnsi" w:cstheme="majorHAnsi"/>
          <w:sz w:val="24"/>
          <w:szCs w:val="24"/>
        </w:rPr>
        <w:t>and Measurement; Control and Analysis</w:t>
      </w:r>
    </w:p>
    <w:p w14:paraId="55C94F4A" w14:textId="1AF68996" w:rsidR="00570115" w:rsidRPr="00BE5201" w:rsidRDefault="00570115" w:rsidP="00570115">
      <w:pPr>
        <w:rPr>
          <w:rFonts w:asciiTheme="majorHAnsi" w:hAnsiTheme="majorHAnsi" w:cstheme="majorHAnsi"/>
          <w:sz w:val="24"/>
          <w:szCs w:val="24"/>
          <w:lang w:val="fr-FR"/>
        </w:rPr>
      </w:pPr>
      <w:r w:rsidRPr="00BE5201">
        <w:rPr>
          <w:rFonts w:asciiTheme="majorHAnsi" w:hAnsiTheme="majorHAnsi" w:cstheme="majorHAnsi"/>
          <w:sz w:val="24"/>
          <w:szCs w:val="24"/>
          <w:lang w:val="fr-FR"/>
        </w:rPr>
        <w:t xml:space="preserve">Instrument </w:t>
      </w:r>
      <w:r w:rsidR="00BE5201" w:rsidRPr="00BE5201">
        <w:rPr>
          <w:rFonts w:asciiTheme="majorHAnsi" w:hAnsiTheme="majorHAnsi" w:cstheme="majorHAnsi"/>
          <w:sz w:val="24"/>
          <w:szCs w:val="24"/>
          <w:lang w:val="fr-FR"/>
        </w:rPr>
        <w:t xml:space="preserve">Transformer </w:t>
      </w:r>
    </w:p>
    <w:p w14:paraId="41C07A4C" w14:textId="77777777" w:rsidR="00570115" w:rsidRPr="00BE5201" w:rsidRDefault="00000000">
      <w:pPr>
        <w:rPr>
          <w:rFonts w:asciiTheme="majorHAnsi" w:hAnsiTheme="majorHAnsi" w:cstheme="majorHAnsi"/>
          <w:sz w:val="24"/>
          <w:szCs w:val="24"/>
          <w:lang w:val="fr-FR"/>
        </w:rPr>
      </w:pPr>
      <w:r w:rsidRPr="00BE5201">
        <w:rPr>
          <w:rFonts w:asciiTheme="majorHAnsi" w:hAnsiTheme="majorHAnsi" w:cstheme="majorHAnsi"/>
          <w:sz w:val="24"/>
          <w:szCs w:val="24"/>
          <w:lang w:val="fr-FR"/>
        </w:rPr>
        <w:t xml:space="preserve">Current Transformer </w:t>
      </w:r>
    </w:p>
    <w:p w14:paraId="66B6577C" w14:textId="14FCFFA5" w:rsidR="00176007" w:rsidRPr="00BE5201" w:rsidRDefault="00BE5201">
      <w:pPr>
        <w:rPr>
          <w:rFonts w:asciiTheme="majorHAnsi" w:hAnsiTheme="majorHAnsi" w:cstheme="majorHAnsi"/>
          <w:sz w:val="24"/>
          <w:szCs w:val="24"/>
          <w:lang w:val="fr-FR"/>
        </w:rPr>
      </w:pPr>
      <w:r w:rsidRPr="00BE5201">
        <w:rPr>
          <w:rFonts w:asciiTheme="majorHAnsi" w:hAnsiTheme="majorHAnsi" w:cstheme="majorHAnsi"/>
          <w:sz w:val="24"/>
          <w:szCs w:val="24"/>
          <w:lang w:val="fr-FR"/>
        </w:rPr>
        <w:t>Potenti</w:t>
      </w:r>
      <w:r>
        <w:rPr>
          <w:rFonts w:asciiTheme="majorHAnsi" w:hAnsiTheme="majorHAnsi" w:cstheme="majorHAnsi"/>
          <w:sz w:val="24"/>
          <w:szCs w:val="24"/>
          <w:lang w:val="fr-FR"/>
        </w:rPr>
        <w:t>a</w:t>
      </w:r>
      <w:r w:rsidRPr="00BE5201">
        <w:rPr>
          <w:rFonts w:asciiTheme="majorHAnsi" w:hAnsiTheme="majorHAnsi" w:cstheme="majorHAnsi"/>
          <w:sz w:val="24"/>
          <w:szCs w:val="24"/>
          <w:lang w:val="fr-FR"/>
        </w:rPr>
        <w:t>l</w:t>
      </w:r>
      <w:r w:rsidR="00176007" w:rsidRPr="00BE5201">
        <w:rPr>
          <w:rFonts w:asciiTheme="majorHAnsi" w:hAnsiTheme="majorHAnsi" w:cstheme="majorHAnsi"/>
          <w:sz w:val="24"/>
          <w:szCs w:val="24"/>
          <w:lang w:val="fr-FR"/>
        </w:rPr>
        <w:t xml:space="preserve"> Transformer</w:t>
      </w:r>
    </w:p>
    <w:p w14:paraId="2CB39E2B" w14:textId="6DEA9F56" w:rsidR="00176007" w:rsidRPr="00BE5201" w:rsidRDefault="00176007">
      <w:pPr>
        <w:rPr>
          <w:rFonts w:asciiTheme="majorHAnsi" w:hAnsiTheme="majorHAnsi" w:cstheme="majorHAnsi"/>
          <w:sz w:val="24"/>
          <w:szCs w:val="24"/>
        </w:rPr>
      </w:pPr>
      <w:r w:rsidRPr="00BE5201">
        <w:rPr>
          <w:rFonts w:asciiTheme="majorHAnsi" w:hAnsiTheme="majorHAnsi" w:cstheme="majorHAnsi"/>
          <w:sz w:val="24"/>
          <w:szCs w:val="24"/>
        </w:rPr>
        <w:t>Capacitive Voltage Transformer</w:t>
      </w:r>
    </w:p>
    <w:p w14:paraId="4B8547F3" w14:textId="6626660F" w:rsidR="00570115" w:rsidRPr="00BE5201" w:rsidRDefault="00176007">
      <w:pPr>
        <w:rPr>
          <w:rFonts w:asciiTheme="majorHAnsi" w:hAnsiTheme="majorHAnsi" w:cstheme="majorHAnsi"/>
          <w:sz w:val="24"/>
          <w:szCs w:val="24"/>
        </w:rPr>
      </w:pPr>
      <w:r w:rsidRPr="00BE5201">
        <w:rPr>
          <w:rFonts w:asciiTheme="majorHAnsi" w:hAnsiTheme="majorHAnsi" w:cstheme="majorHAnsi"/>
          <w:sz w:val="24"/>
          <w:szCs w:val="24"/>
        </w:rPr>
        <w:t>Sizing and Parameters</w:t>
      </w:r>
    </w:p>
    <w:p w14:paraId="547EDB08" w14:textId="44D0E170" w:rsidR="00477876" w:rsidRPr="00BE5201" w:rsidRDefault="00477876">
      <w:pPr>
        <w:rPr>
          <w:rFonts w:asciiTheme="majorHAnsi" w:hAnsiTheme="majorHAnsi" w:cstheme="majorHAnsi"/>
          <w:sz w:val="24"/>
          <w:szCs w:val="24"/>
        </w:rPr>
      </w:pPr>
      <w:r w:rsidRPr="00BE5201">
        <w:rPr>
          <w:rFonts w:asciiTheme="majorHAnsi" w:hAnsiTheme="majorHAnsi" w:cstheme="majorHAnsi"/>
          <w:sz w:val="24"/>
          <w:szCs w:val="24"/>
        </w:rPr>
        <w:t>Communication &amp; Signals Protocol</w:t>
      </w:r>
    </w:p>
    <w:p w14:paraId="799E1DBC" w14:textId="2281E1B1" w:rsidR="00477876" w:rsidRPr="00BE5201" w:rsidRDefault="00477876">
      <w:pPr>
        <w:rPr>
          <w:rFonts w:asciiTheme="majorHAnsi" w:hAnsiTheme="majorHAnsi" w:cstheme="majorHAnsi"/>
          <w:sz w:val="24"/>
          <w:szCs w:val="24"/>
        </w:rPr>
      </w:pPr>
      <w:r w:rsidRPr="00BE5201">
        <w:rPr>
          <w:rFonts w:asciiTheme="majorHAnsi" w:hAnsiTheme="majorHAnsi" w:cstheme="majorHAnsi"/>
          <w:sz w:val="24"/>
          <w:szCs w:val="24"/>
        </w:rPr>
        <w:t>Co-ordination System</w:t>
      </w:r>
    </w:p>
    <w:p w14:paraId="4AA88E77" w14:textId="27C28531" w:rsidR="00176007" w:rsidRPr="00BE5201" w:rsidRDefault="00176007">
      <w:pPr>
        <w:rPr>
          <w:rFonts w:asciiTheme="majorHAnsi" w:hAnsiTheme="majorHAnsi" w:cstheme="majorHAnsi"/>
          <w:sz w:val="24"/>
          <w:szCs w:val="24"/>
        </w:rPr>
      </w:pPr>
      <w:r w:rsidRPr="00BE5201">
        <w:rPr>
          <w:rFonts w:asciiTheme="majorHAnsi" w:hAnsiTheme="majorHAnsi" w:cstheme="majorHAnsi"/>
          <w:sz w:val="24"/>
          <w:szCs w:val="24"/>
        </w:rPr>
        <w:t>Equations and Graphs (For Understanding)</w:t>
      </w:r>
    </w:p>
    <w:p w14:paraId="58113908" w14:textId="728D0507" w:rsidR="00DE47CE" w:rsidRPr="00BE5201" w:rsidRDefault="00DE47CE">
      <w:pPr>
        <w:rPr>
          <w:rFonts w:asciiTheme="majorHAnsi" w:hAnsiTheme="majorHAnsi" w:cstheme="majorHAnsi"/>
          <w:sz w:val="24"/>
          <w:szCs w:val="24"/>
        </w:rPr>
      </w:pPr>
      <w:r w:rsidRPr="00BE5201">
        <w:rPr>
          <w:rFonts w:asciiTheme="majorHAnsi" w:hAnsiTheme="majorHAnsi" w:cstheme="majorHAnsi"/>
          <w:sz w:val="24"/>
          <w:szCs w:val="24"/>
        </w:rPr>
        <w:t>Simplified Circuitry Diagrams</w:t>
      </w:r>
    </w:p>
    <w:p w14:paraId="56FFD98F" w14:textId="4B341C35" w:rsidR="00176007" w:rsidRDefault="00176007">
      <w:pPr>
        <w:rPr>
          <w:rFonts w:asciiTheme="majorHAnsi" w:hAnsiTheme="majorHAnsi" w:cstheme="majorHAnsi"/>
          <w:sz w:val="24"/>
          <w:szCs w:val="24"/>
        </w:rPr>
      </w:pPr>
      <w:r w:rsidRPr="00BE5201">
        <w:rPr>
          <w:rFonts w:asciiTheme="majorHAnsi" w:hAnsiTheme="majorHAnsi" w:cstheme="majorHAnsi"/>
          <w:sz w:val="24"/>
          <w:szCs w:val="24"/>
        </w:rPr>
        <w:t>Case Study (Example-Real Based Incidents)</w:t>
      </w:r>
    </w:p>
    <w:p w14:paraId="0C584DC4" w14:textId="1561FB71" w:rsidR="00A03A80" w:rsidRPr="00BE5201" w:rsidRDefault="00A03A80">
      <w:pPr>
        <w:rPr>
          <w:rFonts w:asciiTheme="majorHAnsi" w:hAnsiTheme="majorHAnsi" w:cstheme="majorHAnsi"/>
          <w:sz w:val="24"/>
          <w:szCs w:val="24"/>
        </w:rPr>
      </w:pPr>
      <w:r>
        <w:rPr>
          <w:rFonts w:asciiTheme="majorHAnsi" w:hAnsiTheme="majorHAnsi" w:cstheme="majorHAnsi"/>
          <w:sz w:val="24"/>
          <w:szCs w:val="24"/>
        </w:rPr>
        <w:t>Implementation Of AI</w:t>
      </w:r>
    </w:p>
    <w:p w14:paraId="0AA5914C" w14:textId="1B680714" w:rsidR="00477876" w:rsidRPr="00BE5201" w:rsidRDefault="00477876">
      <w:pPr>
        <w:rPr>
          <w:rFonts w:asciiTheme="majorHAnsi" w:hAnsiTheme="majorHAnsi" w:cstheme="majorHAnsi"/>
          <w:sz w:val="24"/>
          <w:szCs w:val="24"/>
        </w:rPr>
      </w:pPr>
      <w:r w:rsidRPr="00BE5201">
        <w:rPr>
          <w:rFonts w:asciiTheme="majorHAnsi" w:hAnsiTheme="majorHAnsi" w:cstheme="majorHAnsi"/>
          <w:sz w:val="24"/>
          <w:szCs w:val="24"/>
        </w:rPr>
        <w:t>Visual</w:t>
      </w:r>
      <w:r w:rsidR="00BE5201" w:rsidRPr="00BE5201">
        <w:rPr>
          <w:rFonts w:asciiTheme="majorHAnsi" w:hAnsiTheme="majorHAnsi" w:cstheme="majorHAnsi"/>
          <w:sz w:val="24"/>
          <w:szCs w:val="24"/>
        </w:rPr>
        <w:t xml:space="preserve"> Learning Elements</w:t>
      </w:r>
    </w:p>
    <w:p w14:paraId="0382BC1B" w14:textId="6CF8D0A3" w:rsidR="00477876" w:rsidRPr="00BE5201" w:rsidRDefault="00477876">
      <w:pPr>
        <w:rPr>
          <w:rFonts w:asciiTheme="majorHAnsi" w:hAnsiTheme="majorHAnsi" w:cstheme="majorHAnsi"/>
          <w:sz w:val="24"/>
          <w:szCs w:val="24"/>
        </w:rPr>
      </w:pPr>
      <w:r w:rsidRPr="00BE5201">
        <w:rPr>
          <w:rFonts w:asciiTheme="majorHAnsi" w:hAnsiTheme="majorHAnsi" w:cstheme="majorHAnsi"/>
          <w:sz w:val="24"/>
          <w:szCs w:val="24"/>
        </w:rPr>
        <w:t>Crosswords</w:t>
      </w:r>
    </w:p>
    <w:p w14:paraId="78962AA7" w14:textId="56EC12FE" w:rsidR="00477876" w:rsidRPr="00BE5201" w:rsidRDefault="00477876">
      <w:pPr>
        <w:rPr>
          <w:rFonts w:asciiTheme="majorHAnsi" w:hAnsiTheme="majorHAnsi" w:cstheme="majorHAnsi"/>
          <w:sz w:val="24"/>
          <w:szCs w:val="24"/>
        </w:rPr>
      </w:pPr>
      <w:r w:rsidRPr="00BE5201">
        <w:rPr>
          <w:rFonts w:asciiTheme="majorHAnsi" w:hAnsiTheme="majorHAnsi" w:cstheme="majorHAnsi"/>
          <w:sz w:val="24"/>
          <w:szCs w:val="24"/>
        </w:rPr>
        <w:t>Pictography &amp; Engaging Facts</w:t>
      </w:r>
    </w:p>
    <w:p w14:paraId="737015AB" w14:textId="2DFC3915" w:rsidR="00477876" w:rsidRPr="00BE5201" w:rsidRDefault="00477876" w:rsidP="00477876">
      <w:pPr>
        <w:rPr>
          <w:rFonts w:asciiTheme="majorHAnsi" w:hAnsiTheme="majorHAnsi" w:cstheme="majorHAnsi"/>
          <w:sz w:val="24"/>
          <w:szCs w:val="24"/>
        </w:rPr>
      </w:pPr>
      <w:r w:rsidRPr="00BE5201">
        <w:rPr>
          <w:rFonts w:asciiTheme="majorHAnsi" w:hAnsiTheme="majorHAnsi" w:cstheme="majorHAnsi"/>
          <w:sz w:val="24"/>
          <w:szCs w:val="24"/>
        </w:rPr>
        <w:t>References</w:t>
      </w:r>
    </w:p>
    <w:p w14:paraId="6A8296AD" w14:textId="1C0B4268" w:rsidR="00EB72B4" w:rsidRPr="00BE5201" w:rsidRDefault="00000000">
      <w:pPr>
        <w:pStyle w:val="Heading1"/>
        <w:rPr>
          <w:rFonts w:cstheme="majorHAnsi"/>
          <w:sz w:val="24"/>
          <w:szCs w:val="24"/>
        </w:rPr>
      </w:pPr>
      <w:r w:rsidRPr="00BE5201">
        <w:rPr>
          <w:rFonts w:cstheme="majorHAnsi"/>
          <w:sz w:val="24"/>
          <w:szCs w:val="24"/>
        </w:rPr>
        <w:lastRenderedPageBreak/>
        <w:t>Introduction</w:t>
      </w:r>
    </w:p>
    <w:p w14:paraId="6F83D9A3" w14:textId="2792E793" w:rsidR="00DE47CE" w:rsidRPr="00BE5201" w:rsidRDefault="00DE47CE" w:rsidP="00DE47CE">
      <w:pPr>
        <w:pStyle w:val="Heading1"/>
        <w:rPr>
          <w:rFonts w:eastAsiaTheme="minorEastAsia" w:cstheme="majorHAnsi"/>
          <w:b w:val="0"/>
          <w:bCs w:val="0"/>
          <w:color w:val="auto"/>
          <w:sz w:val="24"/>
          <w:szCs w:val="24"/>
        </w:rPr>
      </w:pPr>
      <w:r w:rsidRPr="00BE5201">
        <w:rPr>
          <w:rFonts w:eastAsiaTheme="minorEastAsia" w:cstheme="majorHAnsi"/>
          <w:b w:val="0"/>
          <w:bCs w:val="0"/>
          <w:color w:val="auto"/>
          <w:sz w:val="24"/>
          <w:szCs w:val="24"/>
        </w:rPr>
        <w:t>In most discussions about power systems attention is naturally drawn toward the massive transformers towering switchgear and high voltage transmission equipment that dominate the physical landscape of a substation. However, the true operational intelligence of the grid lies in a far less visible layer of engineering known as Secondary Engineering. Unlike primary equipment which handles the flow of electrical power, secondary engineering is responsible for interpreting what that power is doing.</w:t>
      </w:r>
    </w:p>
    <w:p w14:paraId="7B6852EC" w14:textId="5EBE4FF2" w:rsidR="00EB72B4" w:rsidRPr="00BE5201" w:rsidRDefault="00000000">
      <w:pPr>
        <w:pStyle w:val="Heading1"/>
        <w:rPr>
          <w:rFonts w:cstheme="majorHAnsi"/>
          <w:sz w:val="24"/>
          <w:szCs w:val="24"/>
        </w:rPr>
      </w:pPr>
      <w:r w:rsidRPr="00BE5201">
        <w:rPr>
          <w:rFonts w:cstheme="majorHAnsi"/>
          <w:sz w:val="24"/>
          <w:szCs w:val="24"/>
        </w:rPr>
        <w:t>Role of Secondary Engineering</w:t>
      </w:r>
    </w:p>
    <w:p w14:paraId="4BF9AFAA" w14:textId="77777777" w:rsidR="00DE47CE" w:rsidRPr="00BE5201" w:rsidRDefault="00DE47CE" w:rsidP="00DE47CE">
      <w:pPr>
        <w:pStyle w:val="Heading1"/>
        <w:rPr>
          <w:rFonts w:eastAsiaTheme="minorEastAsia" w:cstheme="majorHAnsi"/>
          <w:b w:val="0"/>
          <w:bCs w:val="0"/>
          <w:color w:val="auto"/>
          <w:sz w:val="24"/>
          <w:szCs w:val="24"/>
        </w:rPr>
      </w:pPr>
      <w:r w:rsidRPr="00BE5201">
        <w:rPr>
          <w:rFonts w:eastAsiaTheme="minorEastAsia" w:cstheme="majorHAnsi"/>
          <w:b w:val="0"/>
          <w:bCs w:val="0"/>
          <w:color w:val="auto"/>
          <w:sz w:val="24"/>
          <w:szCs w:val="24"/>
        </w:rPr>
        <w:t>What is less widely appreciated is that secondary engineering does not merely monitor the system it effectively decides the fate of the system during disturbances. Within a few milliseconds protection relays interpret signals received from instrument transformers analyze fault characteristics and command circuit breakers to isolate faulty sections of the grid. In this brief instant the entire stability of a power network can depend on the accuracy of signals generated by secondary circuits designed long before the fault ever occurs.</w:t>
      </w:r>
    </w:p>
    <w:p w14:paraId="44D4E5FF" w14:textId="77777777" w:rsidR="00DE47CE" w:rsidRPr="00BE5201" w:rsidRDefault="00DE47CE" w:rsidP="00DE47CE">
      <w:pPr>
        <w:pStyle w:val="Heading1"/>
        <w:rPr>
          <w:rFonts w:eastAsiaTheme="minorEastAsia" w:cstheme="majorHAnsi"/>
          <w:b w:val="0"/>
          <w:bCs w:val="0"/>
          <w:color w:val="auto"/>
          <w:sz w:val="24"/>
          <w:szCs w:val="24"/>
        </w:rPr>
      </w:pPr>
      <w:r w:rsidRPr="00BE5201">
        <w:rPr>
          <w:rFonts w:eastAsiaTheme="minorEastAsia" w:cstheme="majorHAnsi"/>
          <w:b w:val="0"/>
          <w:bCs w:val="0"/>
          <w:color w:val="auto"/>
          <w:sz w:val="24"/>
          <w:szCs w:val="24"/>
        </w:rPr>
        <w:t>Another subtle yet critical aspect often overlooked is that the reliability of the protection system rarely depends on the relay alone but on the coordinated performance of several secondary elements including current transformers wiring schemes burden calculations and saturation characteristics. Even a minor mismatch in these parameters can distort the electrical signals reaching protection devices leading to incorrect system interpretation. In this sense secondary engineering does not simply support the power system it silently translates the behavior of the grid into actionable decisions.</w:t>
      </w:r>
    </w:p>
    <w:p w14:paraId="38EE7225" w14:textId="314A39F6" w:rsidR="00DE47CE" w:rsidRPr="00BE5201" w:rsidRDefault="00DE47CE" w:rsidP="00477876">
      <w:pPr>
        <w:pStyle w:val="Heading1"/>
        <w:rPr>
          <w:rFonts w:eastAsiaTheme="minorEastAsia" w:cstheme="majorHAnsi"/>
          <w:b w:val="0"/>
          <w:bCs w:val="0"/>
          <w:color w:val="auto"/>
          <w:sz w:val="24"/>
          <w:szCs w:val="24"/>
        </w:rPr>
      </w:pPr>
      <w:r w:rsidRPr="00BE5201">
        <w:rPr>
          <w:rFonts w:eastAsiaTheme="minorEastAsia" w:cstheme="majorHAnsi"/>
          <w:b w:val="0"/>
          <w:bCs w:val="0"/>
          <w:color w:val="auto"/>
          <w:sz w:val="24"/>
          <w:szCs w:val="24"/>
        </w:rPr>
        <w:t>Understanding this hidden layer of engineering reveals why secondary engineering can be considered the silent intelligence of substations—a discipline where precision signal interpretation and protection logic safeguard some of the most complex electrical infrastructures in modern society.</w:t>
      </w:r>
    </w:p>
    <w:p w14:paraId="09ECEDFF" w14:textId="77777777" w:rsidR="00477876" w:rsidRPr="00BE5201" w:rsidRDefault="00477876" w:rsidP="00477876">
      <w:pPr>
        <w:pStyle w:val="Heading1"/>
        <w:rPr>
          <w:rFonts w:eastAsiaTheme="minorEastAsia" w:cstheme="majorHAnsi"/>
          <w:color w:val="auto"/>
          <w:sz w:val="24"/>
          <w:szCs w:val="24"/>
        </w:rPr>
      </w:pPr>
      <w:r w:rsidRPr="00BE5201">
        <w:rPr>
          <w:rFonts w:eastAsiaTheme="minorEastAsia" w:cstheme="majorHAnsi"/>
          <w:color w:val="auto"/>
          <w:sz w:val="24"/>
          <w:szCs w:val="24"/>
        </w:rPr>
        <w:lastRenderedPageBreak/>
        <w:t>Below is a brief demonstration of the key concepts. These provide a glimpse of the ideas that will be explored in this article. In addition to these concepts, several other related topics, as indicated in the keywords, also form an important part of this field. The core principles of each concept will be discussed in greater depth in the following sections to help readers gain a clearer and more comprehensive understanding of the subject.</w:t>
      </w:r>
    </w:p>
    <w:p w14:paraId="512E9E44" w14:textId="6F179457" w:rsidR="00EB72B4" w:rsidRDefault="00000000">
      <w:pPr>
        <w:pStyle w:val="Heading1"/>
        <w:rPr>
          <w:rFonts w:cstheme="majorHAnsi"/>
          <w:sz w:val="24"/>
          <w:szCs w:val="24"/>
        </w:rPr>
      </w:pPr>
      <w:r w:rsidRPr="00BE5201">
        <w:rPr>
          <w:rFonts w:cstheme="majorHAnsi"/>
          <w:sz w:val="24"/>
          <w:szCs w:val="24"/>
        </w:rPr>
        <w:t>Instrument Transformers</w:t>
      </w:r>
    </w:p>
    <w:p w14:paraId="0BFE1133" w14:textId="77777777" w:rsidR="00BE5201" w:rsidRPr="00BE5201" w:rsidRDefault="00BE5201" w:rsidP="00BE5201"/>
    <w:p w14:paraId="047A7F75" w14:textId="24C4D4B4"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 xml:space="preserve">Instrument transformers are devices used to step down high currents and voltages to </w:t>
      </w:r>
      <w:r w:rsidRPr="00BE5201">
        <w:rPr>
          <w:rFonts w:asciiTheme="majorHAnsi" w:hAnsiTheme="majorHAnsi" w:cstheme="majorHAnsi"/>
          <w:sz w:val="24"/>
          <w:szCs w:val="24"/>
        </w:rPr>
        <w:br/>
        <w:t>safe levels for measuring and protection equipment. The main types include current</w:t>
      </w:r>
      <w:r w:rsidR="00DE47CE" w:rsidRPr="00BE5201">
        <w:rPr>
          <w:rFonts w:asciiTheme="majorHAnsi" w:hAnsiTheme="majorHAnsi" w:cstheme="majorHAnsi"/>
          <w:sz w:val="24"/>
          <w:szCs w:val="24"/>
        </w:rPr>
        <w:t xml:space="preserve"> </w:t>
      </w:r>
      <w:r w:rsidRPr="00BE5201">
        <w:rPr>
          <w:rFonts w:asciiTheme="majorHAnsi" w:hAnsiTheme="majorHAnsi" w:cstheme="majorHAnsi"/>
          <w:sz w:val="24"/>
          <w:szCs w:val="24"/>
        </w:rPr>
        <w:t>transformers</w:t>
      </w:r>
      <w:r w:rsidR="00DE47CE" w:rsidRPr="00BE5201">
        <w:rPr>
          <w:rFonts w:asciiTheme="majorHAnsi" w:hAnsiTheme="majorHAnsi" w:cstheme="majorHAnsi"/>
          <w:sz w:val="24"/>
          <w:szCs w:val="24"/>
        </w:rPr>
        <w:t>,</w:t>
      </w:r>
      <w:r w:rsidRPr="00BE5201">
        <w:rPr>
          <w:rFonts w:asciiTheme="majorHAnsi" w:hAnsiTheme="majorHAnsi" w:cstheme="majorHAnsi"/>
          <w:sz w:val="24"/>
          <w:szCs w:val="24"/>
        </w:rPr>
        <w:t xml:space="preserve"> potential transformers and capacitive voltage transformers. These devices provide electrical isolation and ensure that measurement and protection devices operate safely.</w:t>
      </w:r>
    </w:p>
    <w:p w14:paraId="6A785C6E" w14:textId="0A07CE4F" w:rsidR="00EB72B4" w:rsidRDefault="00000000">
      <w:pPr>
        <w:pStyle w:val="Heading1"/>
        <w:rPr>
          <w:rFonts w:cstheme="majorHAnsi"/>
          <w:sz w:val="24"/>
          <w:szCs w:val="24"/>
        </w:rPr>
      </w:pPr>
      <w:r w:rsidRPr="00BE5201">
        <w:rPr>
          <w:rFonts w:cstheme="majorHAnsi"/>
          <w:sz w:val="24"/>
          <w:szCs w:val="24"/>
        </w:rPr>
        <w:t>Working Principle of Current Transformer</w:t>
      </w:r>
    </w:p>
    <w:p w14:paraId="22278D6F" w14:textId="77777777" w:rsidR="00BE5201" w:rsidRPr="00BE5201" w:rsidRDefault="00BE5201" w:rsidP="00BE5201"/>
    <w:p w14:paraId="267ED941" w14:textId="4368FDB9"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A current transformer operates on the principle of electromagnetic induction. When alternating current flows through the primary conductor</w:t>
      </w:r>
      <w:r w:rsidR="009D4200" w:rsidRPr="00BE5201">
        <w:rPr>
          <w:rFonts w:asciiTheme="majorHAnsi" w:hAnsiTheme="majorHAnsi" w:cstheme="majorHAnsi"/>
          <w:sz w:val="24"/>
          <w:szCs w:val="24"/>
        </w:rPr>
        <w:t>,</w:t>
      </w:r>
      <w:r w:rsidRPr="00BE5201">
        <w:rPr>
          <w:rFonts w:asciiTheme="majorHAnsi" w:hAnsiTheme="majorHAnsi" w:cstheme="majorHAnsi"/>
          <w:sz w:val="24"/>
          <w:szCs w:val="24"/>
        </w:rPr>
        <w:t xml:space="preserve"> it produces a magnetic field that creates flux in the core. The changing flux induces voltage in the secondary winding</w:t>
      </w:r>
      <w:r w:rsidR="009D4200" w:rsidRPr="00BE5201">
        <w:rPr>
          <w:rFonts w:asciiTheme="majorHAnsi" w:hAnsiTheme="majorHAnsi" w:cstheme="majorHAnsi"/>
          <w:sz w:val="24"/>
          <w:szCs w:val="24"/>
        </w:rPr>
        <w:t xml:space="preserve"> </w:t>
      </w:r>
      <w:r w:rsidRPr="00BE5201">
        <w:rPr>
          <w:rFonts w:asciiTheme="majorHAnsi" w:hAnsiTheme="majorHAnsi" w:cstheme="majorHAnsi"/>
          <w:sz w:val="24"/>
          <w:szCs w:val="24"/>
        </w:rPr>
        <w:t>resulting in a secondary current proportional to the primary current.</w:t>
      </w:r>
    </w:p>
    <w:p w14:paraId="6B615EAA"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The basic relationship is</w:t>
      </w:r>
    </w:p>
    <w:p w14:paraId="1179879D"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Ip / Is = Ns / Np</w:t>
      </w:r>
    </w:p>
    <w:p w14:paraId="7E543C37" w14:textId="2DDA8D22"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where Ip is primary current Is is secondary current Np is number of primary turns and Ns is number of secondary turns.</w:t>
      </w:r>
    </w:p>
    <w:p w14:paraId="0097144D" w14:textId="3B363C6B" w:rsidR="00EB72B4" w:rsidRDefault="00000000">
      <w:pPr>
        <w:pStyle w:val="Heading1"/>
        <w:rPr>
          <w:rFonts w:cstheme="majorHAnsi"/>
          <w:sz w:val="24"/>
          <w:szCs w:val="24"/>
        </w:rPr>
      </w:pPr>
      <w:r w:rsidRPr="00BE5201">
        <w:rPr>
          <w:rFonts w:cstheme="majorHAnsi"/>
          <w:sz w:val="24"/>
          <w:szCs w:val="24"/>
        </w:rPr>
        <w:t>CT Types</w:t>
      </w:r>
    </w:p>
    <w:p w14:paraId="0A46F5BB" w14:textId="77777777" w:rsidR="00BE5201" w:rsidRPr="00BE5201" w:rsidRDefault="00BE5201" w:rsidP="00BE5201"/>
    <w:p w14:paraId="3EF28D70" w14:textId="2AACF816"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Current transformers can be classified according to construction and insulation</w:t>
      </w:r>
      <w:r w:rsidR="00570115" w:rsidRPr="00BE5201">
        <w:rPr>
          <w:rFonts w:asciiTheme="majorHAnsi" w:hAnsiTheme="majorHAnsi" w:cstheme="majorHAnsi"/>
          <w:sz w:val="24"/>
          <w:szCs w:val="24"/>
        </w:rPr>
        <w:t>:</w:t>
      </w:r>
    </w:p>
    <w:p w14:paraId="7A28D5C1"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b/>
          <w:bCs/>
          <w:sz w:val="24"/>
          <w:szCs w:val="24"/>
        </w:rPr>
        <w:t>Low and Medium Voltage CT</w:t>
      </w:r>
      <w:r w:rsidRPr="00BE5201">
        <w:rPr>
          <w:rFonts w:asciiTheme="majorHAnsi" w:hAnsiTheme="majorHAnsi" w:cstheme="majorHAnsi"/>
          <w:sz w:val="24"/>
          <w:szCs w:val="24"/>
        </w:rPr>
        <w:br/>
        <w:t>Window Type CT</w:t>
      </w:r>
      <w:r w:rsidRPr="00BE5201">
        <w:rPr>
          <w:rFonts w:asciiTheme="majorHAnsi" w:hAnsiTheme="majorHAnsi" w:cstheme="majorHAnsi"/>
          <w:sz w:val="24"/>
          <w:szCs w:val="24"/>
        </w:rPr>
        <w:br/>
        <w:t>Split Core CT</w:t>
      </w:r>
      <w:r w:rsidRPr="00BE5201">
        <w:rPr>
          <w:rFonts w:asciiTheme="majorHAnsi" w:hAnsiTheme="majorHAnsi" w:cstheme="majorHAnsi"/>
          <w:sz w:val="24"/>
          <w:szCs w:val="24"/>
        </w:rPr>
        <w:br/>
      </w:r>
      <w:r w:rsidRPr="00BE5201">
        <w:rPr>
          <w:rFonts w:asciiTheme="majorHAnsi" w:hAnsiTheme="majorHAnsi" w:cstheme="majorHAnsi"/>
          <w:sz w:val="24"/>
          <w:szCs w:val="24"/>
        </w:rPr>
        <w:lastRenderedPageBreak/>
        <w:t>Bar Primary CT</w:t>
      </w:r>
      <w:r w:rsidRPr="00BE5201">
        <w:rPr>
          <w:rFonts w:asciiTheme="majorHAnsi" w:hAnsiTheme="majorHAnsi" w:cstheme="majorHAnsi"/>
          <w:sz w:val="24"/>
          <w:szCs w:val="24"/>
        </w:rPr>
        <w:br/>
        <w:t>Wound Type CT</w:t>
      </w:r>
    </w:p>
    <w:p w14:paraId="0B9D5124"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b/>
          <w:bCs/>
          <w:sz w:val="24"/>
          <w:szCs w:val="24"/>
        </w:rPr>
        <w:t>High Voltage CT</w:t>
      </w:r>
      <w:r w:rsidRPr="00BE5201">
        <w:rPr>
          <w:rFonts w:asciiTheme="majorHAnsi" w:hAnsiTheme="majorHAnsi" w:cstheme="majorHAnsi"/>
          <w:sz w:val="24"/>
          <w:szCs w:val="24"/>
        </w:rPr>
        <w:br/>
        <w:t>Oil Insulated CT</w:t>
      </w:r>
      <w:r w:rsidRPr="00BE5201">
        <w:rPr>
          <w:rFonts w:asciiTheme="majorHAnsi" w:hAnsiTheme="majorHAnsi" w:cstheme="majorHAnsi"/>
          <w:sz w:val="24"/>
          <w:szCs w:val="24"/>
        </w:rPr>
        <w:br/>
        <w:t>SF6 Gas Insulated CT</w:t>
      </w:r>
    </w:p>
    <w:p w14:paraId="2D3E87A7"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b/>
          <w:bCs/>
          <w:sz w:val="24"/>
          <w:szCs w:val="24"/>
        </w:rPr>
        <w:t>Special Purpose CT</w:t>
      </w:r>
      <w:r w:rsidRPr="00BE5201">
        <w:rPr>
          <w:rFonts w:asciiTheme="majorHAnsi" w:hAnsiTheme="majorHAnsi" w:cstheme="majorHAnsi"/>
          <w:sz w:val="24"/>
          <w:szCs w:val="24"/>
        </w:rPr>
        <w:br/>
        <w:t>Bushing CT</w:t>
      </w:r>
      <w:r w:rsidRPr="00BE5201">
        <w:rPr>
          <w:rFonts w:asciiTheme="majorHAnsi" w:hAnsiTheme="majorHAnsi" w:cstheme="majorHAnsi"/>
          <w:sz w:val="24"/>
          <w:szCs w:val="24"/>
        </w:rPr>
        <w:br/>
        <w:t>Clamp CT</w:t>
      </w:r>
      <w:r w:rsidRPr="00BE5201">
        <w:rPr>
          <w:rFonts w:asciiTheme="majorHAnsi" w:hAnsiTheme="majorHAnsi" w:cstheme="majorHAnsi"/>
          <w:sz w:val="24"/>
          <w:szCs w:val="24"/>
        </w:rPr>
        <w:br/>
        <w:t>Neutral CT</w:t>
      </w:r>
      <w:r w:rsidRPr="00BE5201">
        <w:rPr>
          <w:rFonts w:asciiTheme="majorHAnsi" w:hAnsiTheme="majorHAnsi" w:cstheme="majorHAnsi"/>
          <w:sz w:val="24"/>
          <w:szCs w:val="24"/>
        </w:rPr>
        <w:br/>
        <w:t>Low Power CT</w:t>
      </w:r>
    </w:p>
    <w:p w14:paraId="52E6E6A3" w14:textId="3CD68D71" w:rsidR="00EB72B4" w:rsidRDefault="00000000">
      <w:pPr>
        <w:pStyle w:val="Heading1"/>
        <w:rPr>
          <w:rFonts w:cstheme="majorHAnsi"/>
          <w:sz w:val="24"/>
          <w:szCs w:val="24"/>
        </w:rPr>
      </w:pPr>
      <w:r w:rsidRPr="00BE5201">
        <w:rPr>
          <w:rFonts w:cstheme="majorHAnsi"/>
          <w:sz w:val="24"/>
          <w:szCs w:val="24"/>
        </w:rPr>
        <w:t>CT Sizing Methodology</w:t>
      </w:r>
    </w:p>
    <w:p w14:paraId="428AF01D" w14:textId="77777777" w:rsidR="00BE5201" w:rsidRPr="00BE5201" w:rsidRDefault="00BE5201" w:rsidP="00BE5201"/>
    <w:p w14:paraId="7F2AD44D"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 xml:space="preserve">CT sizing ensures accurate measurement and reliable protection performance. Improper </w:t>
      </w:r>
      <w:r w:rsidRPr="00BE5201">
        <w:rPr>
          <w:rFonts w:asciiTheme="majorHAnsi" w:hAnsiTheme="majorHAnsi" w:cstheme="majorHAnsi"/>
          <w:sz w:val="24"/>
          <w:szCs w:val="24"/>
        </w:rPr>
        <w:br/>
        <w:t>CT selection may lead to relay maloperation or measurement errors.</w:t>
      </w:r>
    </w:p>
    <w:p w14:paraId="291F8D0E" w14:textId="48B63058"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The following information is required before CT sizing</w:t>
      </w:r>
      <w:r w:rsidR="00570115" w:rsidRPr="00BE5201">
        <w:rPr>
          <w:rFonts w:asciiTheme="majorHAnsi" w:hAnsiTheme="majorHAnsi" w:cstheme="majorHAnsi"/>
          <w:sz w:val="24"/>
          <w:szCs w:val="24"/>
        </w:rPr>
        <w:t>:</w:t>
      </w:r>
      <w:r w:rsidRPr="00BE5201">
        <w:rPr>
          <w:rFonts w:asciiTheme="majorHAnsi" w:hAnsiTheme="majorHAnsi" w:cstheme="majorHAnsi"/>
          <w:sz w:val="24"/>
          <w:szCs w:val="24"/>
        </w:rPr>
        <w:br/>
        <w:t>Protection single line diagram</w:t>
      </w:r>
      <w:r w:rsidRPr="00BE5201">
        <w:rPr>
          <w:rFonts w:asciiTheme="majorHAnsi" w:hAnsiTheme="majorHAnsi" w:cstheme="majorHAnsi"/>
          <w:sz w:val="24"/>
          <w:szCs w:val="24"/>
        </w:rPr>
        <w:br/>
        <w:t>Maximum load current</w:t>
      </w:r>
      <w:r w:rsidRPr="00BE5201">
        <w:rPr>
          <w:rFonts w:asciiTheme="majorHAnsi" w:hAnsiTheme="majorHAnsi" w:cstheme="majorHAnsi"/>
          <w:sz w:val="24"/>
          <w:szCs w:val="24"/>
        </w:rPr>
        <w:br/>
        <w:t>Maximum fault current</w:t>
      </w:r>
      <w:r w:rsidRPr="00BE5201">
        <w:rPr>
          <w:rFonts w:asciiTheme="majorHAnsi" w:hAnsiTheme="majorHAnsi" w:cstheme="majorHAnsi"/>
          <w:sz w:val="24"/>
          <w:szCs w:val="24"/>
        </w:rPr>
        <w:br/>
        <w:t>Relay burden</w:t>
      </w:r>
      <w:r w:rsidRPr="00BE5201">
        <w:rPr>
          <w:rFonts w:asciiTheme="majorHAnsi" w:hAnsiTheme="majorHAnsi" w:cstheme="majorHAnsi"/>
          <w:sz w:val="24"/>
          <w:szCs w:val="24"/>
        </w:rPr>
        <w:br/>
        <w:t>Cable length and resistance</w:t>
      </w:r>
      <w:r w:rsidRPr="00BE5201">
        <w:rPr>
          <w:rFonts w:asciiTheme="majorHAnsi" w:hAnsiTheme="majorHAnsi" w:cstheme="majorHAnsi"/>
          <w:sz w:val="24"/>
          <w:szCs w:val="24"/>
        </w:rPr>
        <w:br/>
        <w:t>Required accuracy class</w:t>
      </w:r>
    </w:p>
    <w:p w14:paraId="3A7307F6" w14:textId="10697D55"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The CT ratio is selected slightly above the maximum load current so that the CT operates within its rated range during normal conditions while still measuring fault current accurately.</w:t>
      </w:r>
    </w:p>
    <w:p w14:paraId="6A0532D8" w14:textId="4115D6F5" w:rsidR="00EB72B4" w:rsidRDefault="00000000">
      <w:pPr>
        <w:pStyle w:val="Heading1"/>
        <w:rPr>
          <w:rFonts w:cstheme="majorHAnsi"/>
          <w:sz w:val="24"/>
          <w:szCs w:val="24"/>
        </w:rPr>
      </w:pPr>
      <w:r w:rsidRPr="00BE5201">
        <w:rPr>
          <w:rFonts w:cstheme="majorHAnsi"/>
          <w:sz w:val="24"/>
          <w:szCs w:val="24"/>
        </w:rPr>
        <w:t>Example CT Sizing Calculation</w:t>
      </w:r>
    </w:p>
    <w:p w14:paraId="5D4F6E1A" w14:textId="77777777" w:rsidR="00BE5201" w:rsidRPr="00BE5201" w:rsidRDefault="00BE5201" w:rsidP="00BE5201"/>
    <w:p w14:paraId="647C7770"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Consider a feeder with the following parameters</w:t>
      </w:r>
    </w:p>
    <w:p w14:paraId="15FEDDE7"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Maximum load current = 800 A</w:t>
      </w:r>
      <w:r w:rsidRPr="00BE5201">
        <w:rPr>
          <w:rFonts w:asciiTheme="majorHAnsi" w:hAnsiTheme="majorHAnsi" w:cstheme="majorHAnsi"/>
          <w:sz w:val="24"/>
          <w:szCs w:val="24"/>
        </w:rPr>
        <w:br/>
        <w:t>Maximum fault current = 16 kA</w:t>
      </w:r>
      <w:r w:rsidRPr="00BE5201">
        <w:rPr>
          <w:rFonts w:asciiTheme="majorHAnsi" w:hAnsiTheme="majorHAnsi" w:cstheme="majorHAnsi"/>
          <w:sz w:val="24"/>
          <w:szCs w:val="24"/>
        </w:rPr>
        <w:br/>
        <w:t>Relay burden = 10 VA</w:t>
      </w:r>
      <w:r w:rsidRPr="00BE5201">
        <w:rPr>
          <w:rFonts w:asciiTheme="majorHAnsi" w:hAnsiTheme="majorHAnsi" w:cstheme="majorHAnsi"/>
          <w:sz w:val="24"/>
          <w:szCs w:val="24"/>
        </w:rPr>
        <w:br/>
        <w:t>Secondary current rating = 1 A</w:t>
      </w:r>
    </w:p>
    <w:p w14:paraId="6D93B511"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lastRenderedPageBreak/>
        <w:t>Step 1 Select CT Ratio</w:t>
      </w:r>
      <w:r w:rsidRPr="00BE5201">
        <w:rPr>
          <w:rFonts w:asciiTheme="majorHAnsi" w:hAnsiTheme="majorHAnsi" w:cstheme="majorHAnsi"/>
          <w:sz w:val="24"/>
          <w:szCs w:val="24"/>
        </w:rPr>
        <w:br/>
        <w:t>Since the load current is 800 A a CT ratio of 1000 / 1 A is selected.</w:t>
      </w:r>
    </w:p>
    <w:p w14:paraId="56963852"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Step 2 Check Accuracy Limit Factor</w:t>
      </w:r>
      <w:r w:rsidRPr="00BE5201">
        <w:rPr>
          <w:rFonts w:asciiTheme="majorHAnsi" w:hAnsiTheme="majorHAnsi" w:cstheme="majorHAnsi"/>
          <w:sz w:val="24"/>
          <w:szCs w:val="24"/>
        </w:rPr>
        <w:br/>
        <w:t>If protection class is 5P20 then the CT must remain accurate up to 20 times rated current.</w:t>
      </w:r>
    </w:p>
    <w:p w14:paraId="5BFB9866"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20 × 1000 A = 20000 A</w:t>
      </w:r>
    </w:p>
    <w:p w14:paraId="5E126F7F"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Since system fault current is 16 kA which is less than 20 kA the CT satisfies the protection requirement.</w:t>
      </w:r>
    </w:p>
    <w:p w14:paraId="044C514D"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Step 3 Check Burden</w:t>
      </w:r>
      <w:r w:rsidRPr="00BE5201">
        <w:rPr>
          <w:rFonts w:asciiTheme="majorHAnsi" w:hAnsiTheme="majorHAnsi" w:cstheme="majorHAnsi"/>
          <w:sz w:val="24"/>
          <w:szCs w:val="24"/>
        </w:rPr>
        <w:br/>
        <w:t>Total burden = relay burden + cable burden</w:t>
      </w:r>
      <w:r w:rsidRPr="00BE5201">
        <w:rPr>
          <w:rFonts w:asciiTheme="majorHAnsi" w:hAnsiTheme="majorHAnsi" w:cstheme="majorHAnsi"/>
          <w:sz w:val="24"/>
          <w:szCs w:val="24"/>
        </w:rPr>
        <w:br/>
        <w:t>Assume cable burden = 2 VA</w:t>
      </w:r>
    </w:p>
    <w:p w14:paraId="7ED7BB9A"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Total burden = 12 VA</w:t>
      </w:r>
    </w:p>
    <w:p w14:paraId="354511D6"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The CT must have rated burden greater than this value to maintain accuracy.</w:t>
      </w:r>
    </w:p>
    <w:p w14:paraId="35CA0134" w14:textId="31D691BB" w:rsidR="00EB72B4" w:rsidRDefault="00000000">
      <w:pPr>
        <w:pStyle w:val="Heading1"/>
        <w:rPr>
          <w:rFonts w:cstheme="majorHAnsi"/>
          <w:sz w:val="24"/>
          <w:szCs w:val="24"/>
        </w:rPr>
      </w:pPr>
      <w:r w:rsidRPr="00BE5201">
        <w:rPr>
          <w:rFonts w:cstheme="majorHAnsi"/>
          <w:sz w:val="24"/>
          <w:szCs w:val="24"/>
        </w:rPr>
        <w:t>CT Saturation</w:t>
      </w:r>
    </w:p>
    <w:p w14:paraId="673FB600" w14:textId="77777777" w:rsidR="00BE5201" w:rsidRPr="00BE5201" w:rsidRDefault="00BE5201" w:rsidP="00BE5201"/>
    <w:p w14:paraId="219D0627" w14:textId="239F1D5E"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CT saturation occurs when the magnetic core reaches its maximum flux density. When saturation occurs the secondary current no longer accurately represents the primary current. Saturation may occur during high fault currents or when the burden is excessive.</w:t>
      </w:r>
    </w:p>
    <w:p w14:paraId="2001CCFA" w14:textId="2A367611"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Two main types of saturation occur</w:t>
      </w:r>
      <w:r w:rsidR="009D4200" w:rsidRPr="00BE5201">
        <w:rPr>
          <w:rFonts w:asciiTheme="majorHAnsi" w:hAnsiTheme="majorHAnsi" w:cstheme="majorHAnsi"/>
          <w:sz w:val="24"/>
          <w:szCs w:val="24"/>
        </w:rPr>
        <w:t>:</w:t>
      </w:r>
    </w:p>
    <w:p w14:paraId="00215F40"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Symmetrical saturation caused by high symmetrical fault current</w:t>
      </w:r>
      <w:r w:rsidRPr="00BE5201">
        <w:rPr>
          <w:rFonts w:asciiTheme="majorHAnsi" w:hAnsiTheme="majorHAnsi" w:cstheme="majorHAnsi"/>
          <w:sz w:val="24"/>
          <w:szCs w:val="24"/>
        </w:rPr>
        <w:br/>
        <w:t>Asymmetrical saturation caused by DC offset during the initial cycles of a fault</w:t>
      </w:r>
    </w:p>
    <w:p w14:paraId="1B4FD838" w14:textId="38AC6642" w:rsidR="00EB72B4" w:rsidRDefault="00000000">
      <w:pPr>
        <w:pStyle w:val="Heading1"/>
        <w:rPr>
          <w:rFonts w:cstheme="majorHAnsi"/>
          <w:sz w:val="24"/>
          <w:szCs w:val="24"/>
        </w:rPr>
      </w:pPr>
      <w:r w:rsidRPr="00BE5201">
        <w:rPr>
          <w:rFonts w:cstheme="majorHAnsi"/>
          <w:sz w:val="24"/>
          <w:szCs w:val="24"/>
        </w:rPr>
        <w:t>Important CT Parameters</w:t>
      </w:r>
    </w:p>
    <w:p w14:paraId="3B9FC2B5" w14:textId="77777777" w:rsidR="00BE5201" w:rsidRPr="00BE5201" w:rsidRDefault="00BE5201" w:rsidP="00BE5201"/>
    <w:p w14:paraId="61269823"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Accuracy class</w:t>
      </w:r>
      <w:r w:rsidRPr="00BE5201">
        <w:rPr>
          <w:rFonts w:asciiTheme="majorHAnsi" w:hAnsiTheme="majorHAnsi" w:cstheme="majorHAnsi"/>
          <w:sz w:val="24"/>
          <w:szCs w:val="24"/>
        </w:rPr>
        <w:br/>
        <w:t>Burden</w:t>
      </w:r>
      <w:r w:rsidRPr="00BE5201">
        <w:rPr>
          <w:rFonts w:asciiTheme="majorHAnsi" w:hAnsiTheme="majorHAnsi" w:cstheme="majorHAnsi"/>
          <w:sz w:val="24"/>
          <w:szCs w:val="24"/>
        </w:rPr>
        <w:br/>
        <w:t>Accuracy limit factor</w:t>
      </w:r>
      <w:r w:rsidRPr="00BE5201">
        <w:rPr>
          <w:rFonts w:asciiTheme="majorHAnsi" w:hAnsiTheme="majorHAnsi" w:cstheme="majorHAnsi"/>
          <w:sz w:val="24"/>
          <w:szCs w:val="24"/>
        </w:rPr>
        <w:br/>
        <w:t>Knee point voltage</w:t>
      </w:r>
      <w:r w:rsidRPr="00BE5201">
        <w:rPr>
          <w:rFonts w:asciiTheme="majorHAnsi" w:hAnsiTheme="majorHAnsi" w:cstheme="majorHAnsi"/>
          <w:sz w:val="24"/>
          <w:szCs w:val="24"/>
        </w:rPr>
        <w:br/>
        <w:t>Magnetizing current</w:t>
      </w:r>
      <w:r w:rsidRPr="00BE5201">
        <w:rPr>
          <w:rFonts w:asciiTheme="majorHAnsi" w:hAnsiTheme="majorHAnsi" w:cstheme="majorHAnsi"/>
          <w:sz w:val="24"/>
          <w:szCs w:val="24"/>
        </w:rPr>
        <w:br/>
        <w:t>Rated thermal current</w:t>
      </w:r>
      <w:r w:rsidRPr="00BE5201">
        <w:rPr>
          <w:rFonts w:asciiTheme="majorHAnsi" w:hAnsiTheme="majorHAnsi" w:cstheme="majorHAnsi"/>
          <w:sz w:val="24"/>
          <w:szCs w:val="24"/>
        </w:rPr>
        <w:br/>
      </w:r>
      <w:r w:rsidRPr="00BE5201">
        <w:rPr>
          <w:rFonts w:asciiTheme="majorHAnsi" w:hAnsiTheme="majorHAnsi" w:cstheme="majorHAnsi"/>
          <w:sz w:val="24"/>
          <w:szCs w:val="24"/>
        </w:rPr>
        <w:lastRenderedPageBreak/>
        <w:t>Rated dynamic current</w:t>
      </w:r>
      <w:r w:rsidRPr="00BE5201">
        <w:rPr>
          <w:rFonts w:asciiTheme="majorHAnsi" w:hAnsiTheme="majorHAnsi" w:cstheme="majorHAnsi"/>
          <w:sz w:val="24"/>
          <w:szCs w:val="24"/>
        </w:rPr>
        <w:br/>
        <w:t>Excitation impedance</w:t>
      </w:r>
    </w:p>
    <w:p w14:paraId="20A75CFF" w14:textId="30203228" w:rsidR="00EB72B4" w:rsidRDefault="00000000">
      <w:pPr>
        <w:pStyle w:val="Heading1"/>
        <w:rPr>
          <w:rFonts w:cstheme="majorHAnsi"/>
          <w:sz w:val="24"/>
          <w:szCs w:val="24"/>
        </w:rPr>
      </w:pPr>
      <w:r w:rsidRPr="00BE5201">
        <w:rPr>
          <w:rFonts w:cstheme="majorHAnsi"/>
          <w:sz w:val="24"/>
          <w:szCs w:val="24"/>
        </w:rPr>
        <w:t>Case Study</w:t>
      </w:r>
    </w:p>
    <w:p w14:paraId="152716E0" w14:textId="77777777" w:rsidR="00BE5201" w:rsidRPr="00BE5201" w:rsidRDefault="00BE5201" w:rsidP="00BE5201"/>
    <w:p w14:paraId="4FA753CA" w14:textId="2D1FB578"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 xml:space="preserve">A 220 kV substation feeder protection scheme was analyzed to determine the appropriate CT rating. </w:t>
      </w:r>
      <w:r w:rsidRPr="00BE5201">
        <w:rPr>
          <w:rFonts w:asciiTheme="majorHAnsi" w:hAnsiTheme="majorHAnsi" w:cstheme="majorHAnsi"/>
          <w:sz w:val="24"/>
          <w:szCs w:val="24"/>
        </w:rPr>
        <w:br/>
        <w:t>The feeder maximum load current was 900 A and the calculated short circuit current was 18 kA. A CT ratio of 1200 / 1</w:t>
      </w:r>
      <w:r w:rsidR="009D4200" w:rsidRPr="00BE5201">
        <w:rPr>
          <w:rFonts w:asciiTheme="majorHAnsi" w:hAnsiTheme="majorHAnsi" w:cstheme="majorHAnsi"/>
          <w:sz w:val="24"/>
          <w:szCs w:val="24"/>
        </w:rPr>
        <w:t xml:space="preserve"> A </w:t>
      </w:r>
      <w:r w:rsidRPr="00BE5201">
        <w:rPr>
          <w:rFonts w:asciiTheme="majorHAnsi" w:hAnsiTheme="majorHAnsi" w:cstheme="majorHAnsi"/>
          <w:sz w:val="24"/>
          <w:szCs w:val="24"/>
        </w:rPr>
        <w:t>with protection class 5P20 and rated burden of 15 VA was selected.</w:t>
      </w:r>
    </w:p>
    <w:p w14:paraId="61464C37" w14:textId="34817504"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Simulation results showed that the CT remained unsaturated during fault conditions ensuring correct relay operation. The selected CT therefore satisfies protection and metering requirements for the substation.</w:t>
      </w:r>
    </w:p>
    <w:p w14:paraId="60E6C008" w14:textId="1475EEB7" w:rsidR="00EB72B4" w:rsidRDefault="00000000">
      <w:pPr>
        <w:pStyle w:val="Heading1"/>
        <w:rPr>
          <w:rFonts w:cstheme="majorHAnsi"/>
          <w:sz w:val="24"/>
          <w:szCs w:val="24"/>
        </w:rPr>
      </w:pPr>
      <w:r w:rsidRPr="00BE5201">
        <w:rPr>
          <w:rFonts w:cstheme="majorHAnsi"/>
          <w:sz w:val="24"/>
          <w:szCs w:val="24"/>
        </w:rPr>
        <w:t>Conclusion</w:t>
      </w:r>
    </w:p>
    <w:p w14:paraId="69D50E0B" w14:textId="77777777" w:rsidR="00BE5201" w:rsidRPr="00BE5201" w:rsidRDefault="00BE5201" w:rsidP="00BE5201"/>
    <w:p w14:paraId="0F61DBE2" w14:textId="70172D7E"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 xml:space="preserve">Current transformers are critical components of substation protection and measurement systems. </w:t>
      </w:r>
      <w:r w:rsidRPr="00BE5201">
        <w:rPr>
          <w:rFonts w:asciiTheme="majorHAnsi" w:hAnsiTheme="majorHAnsi" w:cstheme="majorHAnsi"/>
          <w:sz w:val="24"/>
          <w:szCs w:val="24"/>
        </w:rPr>
        <w:br/>
        <w:t>Proper CT sizing ensures accurate measurements and reliable protection performance during both normal and fault conditions. Understanding CT characteristics including accuracy class burden knee point voltage and saturation behavior is essential for secondary engineering design. Future digital substations will further enhance monitoring capabilities through low power instrument transformers and IEC 61850 based</w:t>
      </w:r>
      <w:r w:rsidR="009D4200" w:rsidRPr="00BE5201">
        <w:rPr>
          <w:rFonts w:asciiTheme="majorHAnsi" w:hAnsiTheme="majorHAnsi" w:cstheme="majorHAnsi"/>
          <w:sz w:val="24"/>
          <w:szCs w:val="24"/>
        </w:rPr>
        <w:t xml:space="preserve"> </w:t>
      </w:r>
      <w:r w:rsidRPr="00BE5201">
        <w:rPr>
          <w:rFonts w:asciiTheme="majorHAnsi" w:hAnsiTheme="majorHAnsi" w:cstheme="majorHAnsi"/>
          <w:sz w:val="24"/>
          <w:szCs w:val="24"/>
        </w:rPr>
        <w:t>communication systems.</w:t>
      </w:r>
    </w:p>
    <w:sectPr w:rsidR="00EB72B4" w:rsidRPr="00BE5201" w:rsidSect="00B36C35">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0276126">
    <w:abstractNumId w:val="8"/>
  </w:num>
  <w:num w:numId="2" w16cid:durableId="9794033">
    <w:abstractNumId w:val="6"/>
  </w:num>
  <w:num w:numId="3" w16cid:durableId="565140569">
    <w:abstractNumId w:val="5"/>
  </w:num>
  <w:num w:numId="4" w16cid:durableId="1809277596">
    <w:abstractNumId w:val="4"/>
  </w:num>
  <w:num w:numId="5" w16cid:durableId="1181965199">
    <w:abstractNumId w:val="7"/>
  </w:num>
  <w:num w:numId="6" w16cid:durableId="324556825">
    <w:abstractNumId w:val="3"/>
  </w:num>
  <w:num w:numId="7" w16cid:durableId="433331308">
    <w:abstractNumId w:val="2"/>
  </w:num>
  <w:num w:numId="8" w16cid:durableId="173347892">
    <w:abstractNumId w:val="1"/>
  </w:num>
  <w:num w:numId="9" w16cid:durableId="89924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18E"/>
    <w:rsid w:val="00034616"/>
    <w:rsid w:val="0006063C"/>
    <w:rsid w:val="000D3F6E"/>
    <w:rsid w:val="0015074B"/>
    <w:rsid w:val="00176007"/>
    <w:rsid w:val="0029639D"/>
    <w:rsid w:val="00326F90"/>
    <w:rsid w:val="00477876"/>
    <w:rsid w:val="004E4C7F"/>
    <w:rsid w:val="00570115"/>
    <w:rsid w:val="006F3C9B"/>
    <w:rsid w:val="00736B4D"/>
    <w:rsid w:val="009D4200"/>
    <w:rsid w:val="00A03A80"/>
    <w:rsid w:val="00AA1D8D"/>
    <w:rsid w:val="00B36C35"/>
    <w:rsid w:val="00B47730"/>
    <w:rsid w:val="00BE5201"/>
    <w:rsid w:val="00CB0664"/>
    <w:rsid w:val="00DB7578"/>
    <w:rsid w:val="00DE47CE"/>
    <w:rsid w:val="00EB72B4"/>
    <w:rsid w:val="00F500F5"/>
    <w:rsid w:val="00F6505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D7402C"/>
  <w14:defaultImageDpi w14:val="300"/>
  <w15:docId w15:val="{51E28925-9278-4C61-A498-32ADD157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B75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1333</Words>
  <Characters>7814</Characters>
  <Application>Microsoft Office Word</Application>
  <DocSecurity>0</DocSecurity>
  <Lines>190</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Das, Aprajita (RC-IN SE GT-GS EN)</cp:lastModifiedBy>
  <cp:revision>8</cp:revision>
  <cp:lastPrinted>2026-03-15T02:39:00Z</cp:lastPrinted>
  <dcterms:created xsi:type="dcterms:W3CDTF">2013-12-23T23:15:00Z</dcterms:created>
  <dcterms:modified xsi:type="dcterms:W3CDTF">2026-03-15T03:14:00Z</dcterms:modified>
  <cp:category/>
</cp:coreProperties>
</file>