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0BE" w:rsidRPr="003D3D88" w:rsidRDefault="003D3D88" w:rsidP="009E1448">
      <w:pPr>
        <w:spacing w:line="240" w:lineRule="auto"/>
        <w:jc w:val="center"/>
        <w:rPr>
          <w:rFonts w:asciiTheme="majorBidi" w:hAnsiTheme="majorBidi" w:cstheme="majorBidi"/>
          <w:b/>
          <w:bCs/>
          <w:szCs w:val="24"/>
          <w:lang w:val="en-MY"/>
        </w:rPr>
      </w:pPr>
      <w:r w:rsidRPr="003D3D88">
        <w:rPr>
          <w:b/>
          <w:bCs/>
        </w:rPr>
        <w:t>GLOBAL GOLD PRICE VOLATILITY AND WEALTH ZAKAT NISAB: AN ISLAMIC GOVERNANCE FRAMEWORK FOR TRANSPARENT VALUATION</w:t>
      </w:r>
    </w:p>
    <w:p w:rsidR="00777323" w:rsidRPr="009E1448" w:rsidRDefault="00777323" w:rsidP="009E1448">
      <w:pPr>
        <w:pStyle w:val="NoSpacing"/>
        <w:jc w:val="center"/>
        <w:rPr>
          <w:sz w:val="20"/>
          <w:szCs w:val="20"/>
        </w:rPr>
      </w:pPr>
      <w:r w:rsidRPr="009E1448">
        <w:rPr>
          <w:sz w:val="20"/>
          <w:szCs w:val="20"/>
        </w:rPr>
        <w:t/>
      </w:r>
    </w:p>
    <w:p w:rsidR="009E1448" w:rsidRPr="009E1448" w:rsidRDefault="00295C83" w:rsidP="009E1448">
      <w:pPr>
        <w:pStyle w:val="NoSpacing"/>
        <w:jc w:val="center"/>
        <w:rPr>
          <w:sz w:val="20"/>
          <w:szCs w:val="20"/>
        </w:rPr>
      </w:pPr>
      <w:r>
        <w:rPr>
          <w:sz w:val="20"/>
          <w:szCs w:val="20"/>
        </w:rPr>
        <w:t xml:space="preserve"/>
      </w:r>
      <w:r w:rsidR="009E1448" w:rsidRPr="009E1448">
        <w:rPr>
          <w:sz w:val="20"/>
          <w:szCs w:val="20"/>
        </w:rPr>
        <w:t/>
      </w:r>
      <w:r>
        <w:rPr>
          <w:sz w:val="20"/>
          <w:szCs w:val="20"/>
        </w:rPr>
        <w:t/>
      </w:r>
      <w:r w:rsidR="009E1448" w:rsidRPr="009E1448">
        <w:rPr>
          <w:sz w:val="20"/>
          <w:szCs w:val="20"/>
        </w:rPr>
        <w:t/>
      </w:r>
    </w:p>
    <w:p w:rsidR="005710BE" w:rsidRPr="0097203D" w:rsidRDefault="00DC7EAF" w:rsidP="00500528">
      <w:pPr>
        <w:pStyle w:val="Heading2"/>
        <w:rPr>
          <w:lang w:val="en-MY"/>
        </w:rPr>
      </w:pPr>
      <w:r w:rsidRPr="0097203D">
        <w:rPr>
          <w:lang w:val="en-MY"/>
        </w:rPr>
        <w:t>Abstract</w:t>
      </w:r>
    </w:p>
    <w:p w:rsidR="00777323" w:rsidRPr="0097203D" w:rsidRDefault="00777323" w:rsidP="009E1448">
      <w:pPr>
        <w:spacing w:line="240" w:lineRule="auto"/>
        <w:jc w:val="both"/>
        <w:rPr>
          <w:rFonts w:asciiTheme="majorBidi" w:hAnsiTheme="majorBidi" w:cstheme="majorBidi"/>
          <w:szCs w:val="24"/>
          <w:lang w:val="en-MY"/>
        </w:rPr>
      </w:pPr>
      <w:r w:rsidRPr="0097203D">
        <w:rPr>
          <w:rFonts w:asciiTheme="majorBidi" w:hAnsiTheme="majorBidi" w:cstheme="majorBidi"/>
          <w:szCs w:val="24"/>
          <w:lang w:val="en-MY"/>
        </w:rPr>
        <w:t xml:space="preserve">The fluctuation of the gold price in the international market </w:t>
      </w:r>
      <w:r w:rsidR="003D7B70" w:rsidRPr="0097203D">
        <w:rPr>
          <w:rFonts w:asciiTheme="majorBidi" w:hAnsiTheme="majorBidi" w:cstheme="majorBidi"/>
          <w:szCs w:val="24"/>
          <w:lang w:val="en-MY"/>
        </w:rPr>
        <w:t xml:space="preserve">has a more pronounced impact on the </w:t>
      </w:r>
      <w:proofErr w:type="spellStart"/>
      <w:r w:rsidR="003D7B70" w:rsidRPr="0097203D">
        <w:rPr>
          <w:rFonts w:asciiTheme="majorBidi" w:hAnsiTheme="majorBidi" w:cstheme="majorBidi"/>
          <w:szCs w:val="24"/>
          <w:lang w:val="en-MY"/>
        </w:rPr>
        <w:t>nisab</w:t>
      </w:r>
      <w:proofErr w:type="spellEnd"/>
      <w:r w:rsidR="003D7B70" w:rsidRPr="0097203D">
        <w:rPr>
          <w:rFonts w:asciiTheme="majorBidi" w:hAnsiTheme="majorBidi" w:cstheme="majorBidi"/>
          <w:szCs w:val="24"/>
          <w:lang w:val="en-MY"/>
        </w:rPr>
        <w:t xml:space="preserve"> </w:t>
      </w:r>
      <w:r w:rsidR="0097203D">
        <w:rPr>
          <w:rFonts w:asciiTheme="majorBidi" w:hAnsiTheme="majorBidi" w:cstheme="majorBidi"/>
          <w:szCs w:val="24"/>
          <w:lang w:val="en-MY"/>
        </w:rPr>
        <w:t>(</w:t>
      </w:r>
      <w:r w:rsidR="0097203D" w:rsidRPr="0097203D">
        <w:rPr>
          <w:rFonts w:asciiTheme="majorBidi" w:hAnsiTheme="majorBidi" w:cstheme="majorBidi"/>
          <w:szCs w:val="24"/>
          <w:lang w:val="en-MY"/>
        </w:rPr>
        <w:t>the minimum threshold of wealth</w:t>
      </w:r>
      <w:r w:rsidR="0097203D">
        <w:rPr>
          <w:rFonts w:asciiTheme="majorBidi" w:hAnsiTheme="majorBidi" w:cstheme="majorBidi"/>
          <w:szCs w:val="24"/>
          <w:lang w:val="en-MY"/>
        </w:rPr>
        <w:t xml:space="preserve">) </w:t>
      </w:r>
      <w:r w:rsidR="003D7B70" w:rsidRPr="0097203D">
        <w:rPr>
          <w:rFonts w:asciiTheme="majorBidi" w:hAnsiTheme="majorBidi" w:cstheme="majorBidi"/>
          <w:szCs w:val="24"/>
          <w:lang w:val="en-MY"/>
        </w:rPr>
        <w:t xml:space="preserve">of wealth zakat </w:t>
      </w:r>
      <w:r w:rsidRPr="0097203D">
        <w:rPr>
          <w:rFonts w:asciiTheme="majorBidi" w:hAnsiTheme="majorBidi" w:cstheme="majorBidi"/>
          <w:szCs w:val="24"/>
          <w:lang w:val="en-MY"/>
        </w:rPr>
        <w:t>in today</w:t>
      </w:r>
      <w:r w:rsidR="00A33D64">
        <w:rPr>
          <w:rFonts w:asciiTheme="majorBidi" w:hAnsiTheme="majorBidi" w:cstheme="majorBidi"/>
          <w:szCs w:val="24"/>
          <w:lang w:val="en-MY"/>
        </w:rPr>
        <w:t>’</w:t>
      </w:r>
      <w:r w:rsidRPr="0097203D">
        <w:rPr>
          <w:rFonts w:asciiTheme="majorBidi" w:hAnsiTheme="majorBidi" w:cstheme="majorBidi"/>
          <w:szCs w:val="24"/>
          <w:lang w:val="en-MY"/>
        </w:rPr>
        <w:t>s Muslim jurisdictions. In classical Islamic jurisprudence</w:t>
      </w:r>
      <w:r w:rsidR="003F6A9D" w:rsidRPr="0097203D">
        <w:rPr>
          <w:rFonts w:asciiTheme="majorBidi" w:hAnsiTheme="majorBidi" w:cstheme="majorBidi"/>
          <w:szCs w:val="24"/>
          <w:lang w:val="en-MY"/>
        </w:rPr>
        <w:t>,</w:t>
      </w:r>
      <w:r w:rsidRPr="0097203D">
        <w:rPr>
          <w:rFonts w:asciiTheme="majorBidi" w:hAnsiTheme="majorBidi" w:cstheme="majorBidi"/>
          <w:szCs w:val="24"/>
          <w:lang w:val="en-MY"/>
        </w:rPr>
        <w:t xml:space="preserve"> the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for gold is </w:t>
      </w:r>
      <w:r w:rsidR="003F6A9D" w:rsidRPr="0097203D">
        <w:rPr>
          <w:rFonts w:asciiTheme="majorBidi" w:hAnsiTheme="majorBidi" w:cstheme="majorBidi"/>
          <w:szCs w:val="24"/>
          <w:lang w:val="en-MY"/>
        </w:rPr>
        <w:t>set at twenty dinars, which, in the present context, is equivalent to about 85 grams of pure gold. However,</w:t>
      </w:r>
      <w:r w:rsidRPr="0097203D">
        <w:rPr>
          <w:rFonts w:asciiTheme="majorBidi" w:hAnsiTheme="majorBidi" w:cstheme="majorBidi"/>
          <w:szCs w:val="24"/>
          <w:lang w:val="en-MY"/>
        </w:rPr>
        <w:t xml:space="preserve"> in a rapidly fluctuating commodity and foreign exchange market, modern </w:t>
      </w:r>
      <w:r w:rsidR="008E4335" w:rsidRPr="0097203D">
        <w:rPr>
          <w:rFonts w:asciiTheme="majorBidi" w:hAnsiTheme="majorBidi" w:cstheme="majorBidi"/>
          <w:szCs w:val="24"/>
          <w:lang w:val="en-MY"/>
        </w:rPr>
        <w:t>zakat institutions must</w:t>
      </w:r>
      <w:r w:rsidRPr="0097203D">
        <w:rPr>
          <w:rFonts w:asciiTheme="majorBidi" w:hAnsiTheme="majorBidi" w:cstheme="majorBidi"/>
          <w:szCs w:val="24"/>
          <w:lang w:val="en-MY"/>
        </w:rPr>
        <w:t xml:space="preserve"> determine the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of gold in local currency. This article will </w:t>
      </w:r>
      <w:r w:rsidR="003F6A9D" w:rsidRPr="0097203D">
        <w:rPr>
          <w:rFonts w:asciiTheme="majorBidi" w:hAnsiTheme="majorBidi" w:cstheme="majorBidi"/>
          <w:szCs w:val="24"/>
          <w:lang w:val="en-MY"/>
        </w:rPr>
        <w:t>analyse</w:t>
      </w:r>
      <w:r w:rsidRPr="0097203D">
        <w:rPr>
          <w:rFonts w:asciiTheme="majorBidi" w:hAnsiTheme="majorBidi" w:cstheme="majorBidi"/>
          <w:szCs w:val="24"/>
          <w:lang w:val="en-MY"/>
        </w:rPr>
        <w:t xml:space="preserve"> the implications of </w:t>
      </w:r>
      <w:r w:rsidR="003F6A9D" w:rsidRPr="0097203D">
        <w:rPr>
          <w:rFonts w:asciiTheme="majorBidi" w:hAnsiTheme="majorBidi" w:cstheme="majorBidi"/>
          <w:szCs w:val="24"/>
          <w:lang w:val="en-MY"/>
        </w:rPr>
        <w:t xml:space="preserve">global gold price fluctuations for wealth </w:t>
      </w:r>
      <w:proofErr w:type="spellStart"/>
      <w:r w:rsidR="003F6A9D" w:rsidRPr="0097203D">
        <w:rPr>
          <w:rFonts w:asciiTheme="majorBidi" w:hAnsiTheme="majorBidi" w:cstheme="majorBidi"/>
          <w:szCs w:val="24"/>
          <w:lang w:val="en-MY"/>
        </w:rPr>
        <w:t>nisab</w:t>
      </w:r>
      <w:proofErr w:type="spellEnd"/>
      <w:r w:rsidR="003F6A9D" w:rsidRPr="0097203D">
        <w:rPr>
          <w:rFonts w:asciiTheme="majorBidi" w:hAnsiTheme="majorBidi" w:cstheme="majorBidi"/>
          <w:szCs w:val="24"/>
          <w:lang w:val="en-MY"/>
        </w:rPr>
        <w:t xml:space="preserve"> within the integrative approach of zakat jurisprudence, Islamic economics,</w:t>
      </w:r>
      <w:r w:rsidRPr="0097203D">
        <w:rPr>
          <w:rFonts w:asciiTheme="majorBidi" w:hAnsiTheme="majorBidi" w:cstheme="majorBidi"/>
          <w:szCs w:val="24"/>
          <w:lang w:val="en-MY"/>
        </w:rPr>
        <w:t xml:space="preserve"> and Islamic governance. The method used in the study is qualitative library research, doctrinal legal research, and integrative synthesis of classical fiqh texts and fatwas, as well as references from the gold market and zakat governance literature, and international zakat standards. The article </w:t>
      </w:r>
      <w:r w:rsidR="003F6A9D" w:rsidRPr="0097203D">
        <w:rPr>
          <w:rFonts w:asciiTheme="majorBidi" w:hAnsiTheme="majorBidi" w:cstheme="majorBidi"/>
          <w:szCs w:val="24"/>
          <w:lang w:val="en-MY"/>
        </w:rPr>
        <w:t xml:space="preserve">argues that the weight-based </w:t>
      </w:r>
      <w:proofErr w:type="spellStart"/>
      <w:r w:rsidR="003F6A9D" w:rsidRPr="0097203D">
        <w:rPr>
          <w:rFonts w:asciiTheme="majorBidi" w:hAnsiTheme="majorBidi" w:cstheme="majorBidi"/>
          <w:szCs w:val="24"/>
          <w:lang w:val="en-MY"/>
        </w:rPr>
        <w:t>nisab</w:t>
      </w:r>
      <w:proofErr w:type="spellEnd"/>
      <w:r w:rsidR="003F6A9D" w:rsidRPr="0097203D">
        <w:rPr>
          <w:rFonts w:asciiTheme="majorBidi" w:hAnsiTheme="majorBidi" w:cstheme="majorBidi"/>
          <w:szCs w:val="24"/>
          <w:lang w:val="en-MY"/>
        </w:rPr>
        <w:t xml:space="preserve"> of gold is a juristic threshold that cannot be changed, and that the currency value of the </w:t>
      </w:r>
      <w:proofErr w:type="spellStart"/>
      <w:r w:rsidR="003F6A9D" w:rsidRPr="0097203D">
        <w:rPr>
          <w:rFonts w:asciiTheme="majorBidi" w:hAnsiTheme="majorBidi" w:cstheme="majorBidi"/>
          <w:szCs w:val="24"/>
          <w:lang w:val="en-MY"/>
        </w:rPr>
        <w:t>nisab</w:t>
      </w:r>
      <w:proofErr w:type="spellEnd"/>
      <w:r w:rsidR="003F6A9D" w:rsidRPr="0097203D">
        <w:rPr>
          <w:rFonts w:asciiTheme="majorBidi" w:hAnsiTheme="majorBidi" w:cstheme="majorBidi"/>
          <w:szCs w:val="24"/>
          <w:lang w:val="en-MY"/>
        </w:rPr>
        <w:t xml:space="preserve"> is an administrative ijtihad that should be subject to a transparent methodology, periodic re-evaluation, and public debate</w:t>
      </w:r>
      <w:r w:rsidRPr="0097203D">
        <w:rPr>
          <w:rFonts w:asciiTheme="majorBidi" w:hAnsiTheme="majorBidi" w:cstheme="majorBidi"/>
          <w:szCs w:val="24"/>
          <w:lang w:val="en-MY"/>
        </w:rPr>
        <w:t xml:space="preserve">. The results conclude that the gold price volatilities contain four implications, such as the instability of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based on the currency unit, there may be changes </w:t>
      </w:r>
      <w:r w:rsidR="003F6A9D" w:rsidRPr="0097203D">
        <w:rPr>
          <w:rFonts w:asciiTheme="majorBidi" w:hAnsiTheme="majorBidi" w:cstheme="majorBidi"/>
          <w:szCs w:val="24"/>
          <w:lang w:val="en-MY"/>
        </w:rPr>
        <w:t>in the</w:t>
      </w:r>
      <w:r w:rsidRPr="0097203D">
        <w:rPr>
          <w:rFonts w:asciiTheme="majorBidi" w:hAnsiTheme="majorBidi" w:cstheme="majorBidi"/>
          <w:szCs w:val="24"/>
          <w:lang w:val="en-MY"/>
        </w:rPr>
        <w:t xml:space="preserve"> population of the </w:t>
      </w:r>
      <w:proofErr w:type="spellStart"/>
      <w:r w:rsidRPr="0097203D">
        <w:rPr>
          <w:rFonts w:asciiTheme="majorBidi" w:hAnsiTheme="majorBidi" w:cstheme="majorBidi"/>
          <w:szCs w:val="24"/>
          <w:lang w:val="en-MY"/>
        </w:rPr>
        <w:t>muzakki</w:t>
      </w:r>
      <w:proofErr w:type="spellEnd"/>
      <w:r w:rsidR="007B7E58">
        <w:rPr>
          <w:rFonts w:asciiTheme="majorBidi" w:hAnsiTheme="majorBidi" w:cstheme="majorBidi"/>
          <w:szCs w:val="24"/>
          <w:lang w:val="en-MY"/>
        </w:rPr>
        <w:t xml:space="preserve"> (zakat payer)</w:t>
      </w:r>
      <w:r w:rsidRPr="0097203D">
        <w:rPr>
          <w:rFonts w:asciiTheme="majorBidi" w:hAnsiTheme="majorBidi" w:cstheme="majorBidi"/>
          <w:szCs w:val="24"/>
          <w:lang w:val="en-MY"/>
        </w:rPr>
        <w:t xml:space="preserve">, the revenue of the zakat fluctuates, and if the method of valuing gold is not clearly regulated, there will be risks </w:t>
      </w:r>
      <w:r w:rsidR="003F6A9D" w:rsidRPr="0097203D">
        <w:rPr>
          <w:rFonts w:asciiTheme="majorBidi" w:hAnsiTheme="majorBidi" w:cstheme="majorBidi"/>
          <w:szCs w:val="24"/>
          <w:lang w:val="en-MY"/>
        </w:rPr>
        <w:t>to the</w:t>
      </w:r>
      <w:r w:rsidRPr="0097203D">
        <w:rPr>
          <w:rFonts w:asciiTheme="majorBidi" w:hAnsiTheme="majorBidi" w:cstheme="majorBidi"/>
          <w:szCs w:val="24"/>
          <w:lang w:val="en-MY"/>
        </w:rPr>
        <w:t xml:space="preserve"> legitimacy of the zakat institutions. The article </w:t>
      </w:r>
      <w:r w:rsidR="008E4335" w:rsidRPr="0097203D">
        <w:rPr>
          <w:rFonts w:asciiTheme="majorBidi" w:hAnsiTheme="majorBidi" w:cstheme="majorBidi"/>
          <w:szCs w:val="24"/>
          <w:lang w:val="en-MY"/>
        </w:rPr>
        <w:t>proposes a model of Islamic governance grounded in</w:t>
      </w:r>
      <w:r w:rsidR="003F6A9D" w:rsidRPr="0097203D">
        <w:rPr>
          <w:rFonts w:asciiTheme="majorBidi" w:hAnsiTheme="majorBidi" w:cstheme="majorBidi"/>
          <w:szCs w:val="24"/>
          <w:lang w:val="en-MY"/>
        </w:rPr>
        <w:t xml:space="preserve"> Shariah fidelity, price data reliability, institutional transparency, </w:t>
      </w:r>
      <w:proofErr w:type="spellStart"/>
      <w:r w:rsidR="003F6A9D" w:rsidRPr="0097203D">
        <w:rPr>
          <w:rFonts w:asciiTheme="majorBidi" w:hAnsiTheme="majorBidi" w:cstheme="majorBidi"/>
          <w:szCs w:val="24"/>
          <w:lang w:val="en-MY"/>
        </w:rPr>
        <w:t>maqasid</w:t>
      </w:r>
      <w:proofErr w:type="spellEnd"/>
      <w:r w:rsidR="003F6A9D" w:rsidRPr="0097203D">
        <w:rPr>
          <w:rFonts w:asciiTheme="majorBidi" w:hAnsiTheme="majorBidi" w:cstheme="majorBidi"/>
          <w:szCs w:val="24"/>
          <w:lang w:val="en-MY"/>
        </w:rPr>
        <w:t>-based fairness, auditability,</w:t>
      </w:r>
      <w:r w:rsidRPr="0097203D">
        <w:rPr>
          <w:rFonts w:asciiTheme="majorBidi" w:hAnsiTheme="majorBidi" w:cstheme="majorBidi"/>
          <w:szCs w:val="24"/>
          <w:lang w:val="en-MY"/>
        </w:rPr>
        <w:t xml:space="preserve"> and public communication. It establishes that</w:t>
      </w:r>
      <w:r w:rsidR="008E4335" w:rsidRPr="0097203D">
        <w:rPr>
          <w:rFonts w:asciiTheme="majorBidi" w:hAnsiTheme="majorBidi" w:cstheme="majorBidi"/>
          <w:szCs w:val="24"/>
          <w:lang w:val="en-MY"/>
        </w:rPr>
        <w:t xml:space="preserve">, for the zakat authorities, </w:t>
      </w:r>
      <w:r w:rsidR="00BC1850">
        <w:rPr>
          <w:rFonts w:asciiTheme="majorBidi" w:hAnsiTheme="majorBidi" w:cstheme="majorBidi"/>
          <w:szCs w:val="24"/>
          <w:lang w:val="en-MY"/>
        </w:rPr>
        <w:t xml:space="preserve">selecting the gold price </w:t>
      </w:r>
      <w:r w:rsidR="008E4335" w:rsidRPr="0097203D">
        <w:rPr>
          <w:rFonts w:asciiTheme="majorBidi" w:hAnsiTheme="majorBidi" w:cstheme="majorBidi"/>
          <w:szCs w:val="24"/>
          <w:lang w:val="en-MY"/>
        </w:rPr>
        <w:t xml:space="preserve">is not only a technical matter but also a governance-sensitive ijtihad that should consider legal continuity and </w:t>
      </w:r>
      <w:r w:rsidRPr="0097203D">
        <w:rPr>
          <w:rFonts w:asciiTheme="majorBidi" w:hAnsiTheme="majorBidi" w:cstheme="majorBidi"/>
          <w:szCs w:val="24"/>
          <w:lang w:val="en-MY"/>
        </w:rPr>
        <w:t>social-economic justice.</w:t>
      </w:r>
    </w:p>
    <w:p w:rsidR="005710BE" w:rsidRPr="0097203D" w:rsidRDefault="00DC7EAF" w:rsidP="009E1448">
      <w:pPr>
        <w:spacing w:line="240" w:lineRule="auto"/>
        <w:jc w:val="both"/>
        <w:rPr>
          <w:rFonts w:asciiTheme="majorBidi" w:hAnsiTheme="majorBidi" w:cstheme="majorBidi"/>
          <w:szCs w:val="24"/>
          <w:lang w:val="en-MY"/>
        </w:rPr>
      </w:pPr>
      <w:r w:rsidRPr="0097203D">
        <w:rPr>
          <w:rFonts w:asciiTheme="majorBidi" w:hAnsiTheme="majorBidi" w:cstheme="majorBidi"/>
          <w:szCs w:val="24"/>
          <w:lang w:val="en-MY"/>
        </w:rPr>
        <w:t xml:space="preserve">Keywords: gold price volatility; wealth zakat;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Islamic governance; zakat jurisprudence; </w:t>
      </w:r>
      <w:proofErr w:type="spellStart"/>
      <w:r w:rsidRPr="0097203D">
        <w:rPr>
          <w:rFonts w:asciiTheme="majorBidi" w:hAnsiTheme="majorBidi" w:cstheme="majorBidi"/>
          <w:szCs w:val="24"/>
          <w:lang w:val="en-MY"/>
        </w:rPr>
        <w:t>maqasid</w:t>
      </w:r>
      <w:proofErr w:type="spellEnd"/>
      <w:r w:rsidRPr="0097203D">
        <w:rPr>
          <w:rFonts w:asciiTheme="majorBidi" w:hAnsiTheme="majorBidi" w:cstheme="majorBidi"/>
          <w:szCs w:val="24"/>
          <w:lang w:val="en-MY"/>
        </w:rPr>
        <w:t xml:space="preserve"> al-shariah; institutional ijtihad; gold benchmark</w:t>
      </w:r>
    </w:p>
    <w:p w:rsidR="005710BE" w:rsidRPr="0097203D" w:rsidRDefault="00DC7EAF" w:rsidP="00500528">
      <w:pPr>
        <w:pStyle w:val="Heading2"/>
        <w:rPr>
          <w:lang w:val="en-MY"/>
        </w:rPr>
      </w:pPr>
      <w:r w:rsidRPr="0097203D">
        <w:rPr>
          <w:lang w:val="en-MY"/>
        </w:rPr>
        <w:t>1. Introduction</w:t>
      </w:r>
    </w:p>
    <w:p w:rsidR="00777323" w:rsidRPr="0097203D" w:rsidRDefault="00777323" w:rsidP="009E1448">
      <w:pPr>
        <w:spacing w:line="240" w:lineRule="auto"/>
        <w:ind w:right="4"/>
        <w:jc w:val="both"/>
        <w:rPr>
          <w:rFonts w:asciiTheme="majorBidi" w:hAnsiTheme="majorBidi" w:cstheme="majorBidi"/>
          <w:iCs/>
          <w:szCs w:val="24"/>
          <w:lang w:val="en-MY"/>
        </w:rPr>
      </w:pPr>
      <w:r w:rsidRPr="0097203D">
        <w:rPr>
          <w:rFonts w:asciiTheme="majorBidi" w:hAnsiTheme="majorBidi" w:cstheme="majorBidi"/>
          <w:iCs/>
          <w:szCs w:val="24"/>
          <w:lang w:val="en-MY"/>
        </w:rPr>
        <w:t>Zakat is an act of worship and a wealth-redistribution institution. Its normative basis is grounded in revelation, while there is a need for legal interpretation, administrative ability and public confidence in its effective application in today</w:t>
      </w:r>
      <w:r w:rsidR="00A33D64">
        <w:rPr>
          <w:rFonts w:asciiTheme="majorBidi" w:hAnsiTheme="majorBidi" w:cstheme="majorBidi"/>
          <w:iCs/>
          <w:szCs w:val="24"/>
          <w:lang w:val="en-MY"/>
        </w:rPr>
        <w:t>’</w:t>
      </w:r>
      <w:r w:rsidRPr="0097203D">
        <w:rPr>
          <w:rFonts w:asciiTheme="majorBidi" w:hAnsiTheme="majorBidi" w:cstheme="majorBidi"/>
          <w:iCs/>
          <w:szCs w:val="24"/>
          <w:lang w:val="en-MY"/>
        </w:rPr>
        <w:t>s economies</w:t>
      </w:r>
      <w:r w:rsidR="003F6A9D" w:rsidRPr="0097203D">
        <w:rPr>
          <w:rFonts w:asciiTheme="majorBidi" w:hAnsiTheme="majorBidi" w:cstheme="majorBidi"/>
          <w:iCs/>
          <w:szCs w:val="24"/>
          <w:lang w:val="en-MY"/>
        </w:rPr>
        <w:t xml:space="preserve"> </w:t>
      </w:r>
      <w:r w:rsidR="003F6A9D" w:rsidRPr="0097203D">
        <w:rPr>
          <w:rFonts w:asciiTheme="majorBidi" w:hAnsiTheme="majorBidi" w:cstheme="majorBidi"/>
          <w:iCs/>
          <w:szCs w:val="24"/>
          <w:lang w:val="en-MY"/>
        </w:rPr>
        <w:fldChar w:fldCharType="begin"/>
      </w:r>
      <w:r w:rsidR="003F6A9D" w:rsidRPr="0097203D">
        <w:rPr>
          <w:rFonts w:asciiTheme="majorBidi" w:hAnsiTheme="majorBidi" w:cstheme="majorBidi"/>
          <w:iCs/>
          <w:szCs w:val="24"/>
          <w:lang w:val="en-MY"/>
        </w:rPr>
        <w:instrText xml:space="preserve"> ADDIN ZOTERO_ITEM CSL_CITATION {"citationID":"DSbcdAlt","properties":{"unsorted":false,"formattedCitation":"(Baharudin, 2023)","plainCitation":"(Baharudin, 2023)","noteIndex":0},"citationItems":[{"id":1138,"uris":["http://zotero.org/users/17067337/items/YTY7HUG5"],"itemData":{"id":1138,"type":"thesis","genre":"PhD Thesis","publisher":"Universiti Teknologi MARA (UiTM)","source":"Google Scholar","title":"Exploring the guidelines of zakat on cryptocurrency","URL":"https://ir.uitm.edu.my/id/eprint/88694/","author":[{"family":"Baharudin","given":"Mohammad Hidir"}],"accessed":{"date-parts":[["2025",6,5]]},"issued":{"date-parts":[["2023"]]}}}],"schema":"https://github.com/citation-style-language/schema/raw/master/csl-citation.json"} </w:instrText>
      </w:r>
      <w:r w:rsidR="003F6A9D" w:rsidRPr="0097203D">
        <w:rPr>
          <w:rFonts w:asciiTheme="majorBidi" w:hAnsiTheme="majorBidi" w:cstheme="majorBidi"/>
          <w:iCs/>
          <w:szCs w:val="24"/>
          <w:lang w:val="en-MY"/>
        </w:rPr>
        <w:fldChar w:fldCharType="separate"/>
      </w:r>
      <w:r w:rsidR="003F6A9D" w:rsidRPr="0097203D">
        <w:rPr>
          <w:rFonts w:cs="Times New Roman"/>
          <w:lang w:val="en-MY"/>
        </w:rPr>
        <w:t>(Baharudin, 2023)</w:t>
      </w:r>
      <w:r w:rsidR="003F6A9D" w:rsidRPr="0097203D">
        <w:rPr>
          <w:rFonts w:asciiTheme="majorBidi" w:hAnsiTheme="majorBidi" w:cstheme="majorBidi"/>
          <w:iCs/>
          <w:szCs w:val="24"/>
          <w:lang w:val="en-MY"/>
        </w:rPr>
        <w:fldChar w:fldCharType="end"/>
      </w:r>
      <w:r w:rsidR="003F6A9D" w:rsidRPr="0097203D">
        <w:rPr>
          <w:rFonts w:asciiTheme="majorBidi" w:hAnsiTheme="majorBidi" w:cstheme="majorBidi"/>
          <w:iCs/>
          <w:szCs w:val="24"/>
          <w:lang w:val="en-MY"/>
        </w:rPr>
        <w:t>.</w:t>
      </w:r>
      <w:r w:rsidRPr="0097203D">
        <w:rPr>
          <w:rFonts w:asciiTheme="majorBidi" w:hAnsiTheme="majorBidi" w:cstheme="majorBidi"/>
          <w:iCs/>
          <w:szCs w:val="24"/>
          <w:lang w:val="en-MY"/>
        </w:rPr>
        <w:t xml:space="preserve"> The most crucial condition for the wealth to be subject to </w:t>
      </w:r>
      <w:proofErr w:type="spellStart"/>
      <w:r w:rsidR="003F6A9D" w:rsidRPr="0097203D">
        <w:rPr>
          <w:rFonts w:asciiTheme="majorBidi" w:hAnsiTheme="majorBidi" w:cstheme="majorBidi"/>
          <w:iCs/>
          <w:szCs w:val="24"/>
          <w:lang w:val="en-MY"/>
        </w:rPr>
        <w:t>z</w:t>
      </w:r>
      <w:r w:rsidRPr="0097203D">
        <w:rPr>
          <w:rFonts w:asciiTheme="majorBidi" w:hAnsiTheme="majorBidi" w:cstheme="majorBidi"/>
          <w:iCs/>
          <w:szCs w:val="24"/>
          <w:lang w:val="en-MY"/>
        </w:rPr>
        <w:t>akah</w:t>
      </w:r>
      <w:proofErr w:type="spellEnd"/>
      <w:r w:rsidRPr="0097203D">
        <w:rPr>
          <w:rFonts w:asciiTheme="majorBidi" w:hAnsiTheme="majorBidi" w:cstheme="majorBidi"/>
          <w:iCs/>
          <w:szCs w:val="24"/>
          <w:lang w:val="en-MY"/>
        </w:rPr>
        <w:t xml:space="preserve"> is that the wealth owner reaches the amount of </w:t>
      </w:r>
      <w:proofErr w:type="spellStart"/>
      <w:r w:rsidR="003F6A9D" w:rsidRPr="0097203D">
        <w:rPr>
          <w:rFonts w:asciiTheme="majorBidi" w:hAnsiTheme="majorBidi" w:cstheme="majorBidi"/>
          <w:iCs/>
          <w:szCs w:val="24"/>
          <w:lang w:val="en-MY"/>
        </w:rPr>
        <w:t>n</w:t>
      </w:r>
      <w:r w:rsidRPr="0097203D">
        <w:rPr>
          <w:rFonts w:asciiTheme="majorBidi" w:hAnsiTheme="majorBidi" w:cstheme="majorBidi"/>
          <w:iCs/>
          <w:szCs w:val="24"/>
          <w:lang w:val="en-MY"/>
        </w:rPr>
        <w:t>isab</w:t>
      </w:r>
      <w:proofErr w:type="spellEnd"/>
      <w:r w:rsidR="0097203D">
        <w:rPr>
          <w:rFonts w:asciiTheme="majorBidi" w:hAnsiTheme="majorBidi" w:cstheme="majorBidi"/>
          <w:iCs/>
          <w:szCs w:val="24"/>
          <w:lang w:val="en-MY"/>
        </w:rPr>
        <w:t xml:space="preserve"> (</w:t>
      </w:r>
      <w:r w:rsidR="001D199C" w:rsidRPr="001D199C">
        <w:rPr>
          <w:rFonts w:asciiTheme="majorBidi" w:hAnsiTheme="majorBidi" w:cstheme="majorBidi"/>
          <w:iCs/>
          <w:szCs w:val="24"/>
          <w:lang w:val="en-MY"/>
        </w:rPr>
        <w:t>the minimum threshold of wealth a Muslim must own</w:t>
      </w:r>
      <w:r w:rsidR="0097203D">
        <w:rPr>
          <w:rFonts w:asciiTheme="majorBidi" w:hAnsiTheme="majorBidi" w:cstheme="majorBidi"/>
          <w:iCs/>
          <w:szCs w:val="24"/>
          <w:lang w:val="en-MY"/>
        </w:rPr>
        <w:t>)</w:t>
      </w:r>
      <w:r w:rsidRPr="0097203D">
        <w:rPr>
          <w:rFonts w:asciiTheme="majorBidi" w:hAnsiTheme="majorBidi" w:cstheme="majorBidi"/>
          <w:iCs/>
          <w:szCs w:val="24"/>
          <w:lang w:val="en-MY"/>
        </w:rPr>
        <w:t xml:space="preserve">, which is the minimum amount of wealth that is subject to </w:t>
      </w:r>
      <w:proofErr w:type="spellStart"/>
      <w:r w:rsidR="003F6A9D" w:rsidRPr="0097203D">
        <w:rPr>
          <w:rFonts w:asciiTheme="majorBidi" w:hAnsiTheme="majorBidi" w:cstheme="majorBidi"/>
          <w:iCs/>
          <w:szCs w:val="24"/>
          <w:lang w:val="en-MY"/>
        </w:rPr>
        <w:t>z</w:t>
      </w:r>
      <w:r w:rsidRPr="0097203D">
        <w:rPr>
          <w:rFonts w:asciiTheme="majorBidi" w:hAnsiTheme="majorBidi" w:cstheme="majorBidi"/>
          <w:iCs/>
          <w:szCs w:val="24"/>
          <w:lang w:val="en-MY"/>
        </w:rPr>
        <w:t>akah</w:t>
      </w:r>
      <w:proofErr w:type="spellEnd"/>
      <w:r w:rsidRPr="0097203D">
        <w:rPr>
          <w:rFonts w:asciiTheme="majorBidi" w:hAnsiTheme="majorBidi" w:cstheme="majorBidi"/>
          <w:iCs/>
          <w:szCs w:val="24"/>
          <w:lang w:val="en-MY"/>
        </w:rPr>
        <w:t xml:space="preserve">. According to classical Islamic jurisprudence, gold and silver were considered </w:t>
      </w:r>
      <w:r w:rsidR="003F6A9D" w:rsidRPr="0097203D">
        <w:rPr>
          <w:rFonts w:asciiTheme="majorBidi" w:hAnsiTheme="majorBidi" w:cstheme="majorBidi"/>
          <w:iCs/>
          <w:szCs w:val="24"/>
          <w:lang w:val="en-MY"/>
        </w:rPr>
        <w:t>the core of monetary metals, store-of-value assets, and juristic yardsticks for measuring</w:t>
      </w:r>
      <w:r w:rsidRPr="0097203D">
        <w:rPr>
          <w:rFonts w:asciiTheme="majorBidi" w:hAnsiTheme="majorBidi" w:cstheme="majorBidi"/>
          <w:iCs/>
          <w:szCs w:val="24"/>
          <w:lang w:val="en-MY"/>
        </w:rPr>
        <w:t xml:space="preserve"> wealth. However, in </w:t>
      </w:r>
      <w:r w:rsidR="003F6A9D" w:rsidRPr="0097203D">
        <w:rPr>
          <w:rFonts w:asciiTheme="majorBidi" w:hAnsiTheme="majorBidi" w:cstheme="majorBidi"/>
          <w:iCs/>
          <w:szCs w:val="24"/>
          <w:lang w:val="en-MY"/>
        </w:rPr>
        <w:t xml:space="preserve">modern economies, most </w:t>
      </w:r>
      <w:r w:rsidRPr="0097203D">
        <w:rPr>
          <w:rFonts w:asciiTheme="majorBidi" w:hAnsiTheme="majorBidi" w:cstheme="majorBidi"/>
          <w:iCs/>
          <w:szCs w:val="24"/>
          <w:lang w:val="en-MY"/>
        </w:rPr>
        <w:t>zakat obligations are determined in paper money</w:t>
      </w:r>
      <w:r w:rsidR="003F6A9D" w:rsidRPr="0097203D">
        <w:rPr>
          <w:rFonts w:asciiTheme="majorBidi" w:hAnsiTheme="majorBidi" w:cstheme="majorBidi"/>
          <w:iCs/>
          <w:szCs w:val="24"/>
          <w:lang w:val="en-MY"/>
        </w:rPr>
        <w:t>,</w:t>
      </w:r>
      <w:r w:rsidRPr="0097203D">
        <w:rPr>
          <w:rFonts w:asciiTheme="majorBidi" w:hAnsiTheme="majorBidi" w:cstheme="majorBidi"/>
          <w:iCs/>
          <w:szCs w:val="24"/>
          <w:lang w:val="en-MY"/>
        </w:rPr>
        <w:t xml:space="preserve"> and the </w:t>
      </w:r>
      <w:proofErr w:type="spellStart"/>
      <w:r w:rsidRPr="0097203D">
        <w:rPr>
          <w:rFonts w:asciiTheme="majorBidi" w:hAnsiTheme="majorBidi" w:cstheme="majorBidi"/>
          <w:iCs/>
          <w:szCs w:val="24"/>
          <w:lang w:val="en-MY"/>
        </w:rPr>
        <w:t>nisab</w:t>
      </w:r>
      <w:proofErr w:type="spellEnd"/>
      <w:r w:rsidRPr="0097203D">
        <w:rPr>
          <w:rFonts w:asciiTheme="majorBidi" w:hAnsiTheme="majorBidi" w:cstheme="majorBidi"/>
          <w:iCs/>
          <w:szCs w:val="24"/>
          <w:lang w:val="en-MY"/>
        </w:rPr>
        <w:t xml:space="preserve"> is usually referenced to gold</w:t>
      </w:r>
      <w:r w:rsidR="003F6A9D" w:rsidRPr="0097203D">
        <w:rPr>
          <w:rFonts w:asciiTheme="majorBidi" w:hAnsiTheme="majorBidi" w:cstheme="majorBidi"/>
          <w:iCs/>
          <w:szCs w:val="24"/>
          <w:lang w:val="en-MY"/>
        </w:rPr>
        <w:t xml:space="preserve"> </w:t>
      </w:r>
      <w:r w:rsidR="003F6A9D" w:rsidRPr="0097203D">
        <w:rPr>
          <w:rFonts w:asciiTheme="majorBidi" w:hAnsiTheme="majorBidi" w:cstheme="majorBidi"/>
          <w:iCs/>
          <w:szCs w:val="24"/>
          <w:lang w:val="en-MY"/>
        </w:rPr>
        <w:fldChar w:fldCharType="begin"/>
      </w:r>
      <w:r w:rsidR="003F6A9D" w:rsidRPr="0097203D">
        <w:rPr>
          <w:rFonts w:asciiTheme="majorBidi" w:hAnsiTheme="majorBidi" w:cstheme="majorBidi"/>
          <w:iCs/>
          <w:szCs w:val="24"/>
          <w:lang w:val="en-MY"/>
        </w:rPr>
        <w:instrText xml:space="preserve"> ADDIN ZOTERO_ITEM CSL_CITATION {"citationID":"c9pA7vWD","properties":{"unsorted":false,"formattedCitation":"(Al-Qaradawi, 1973)","plainCitation":"(Al-Qaradawi, 1973)","noteIndex":0},"citationItems":[{"id":1052,"uris":["http://zotero.org/users/17067337/items/G5SMFJ6S"],"itemData":{"id":1052,"type":"book","publisher":"Muassasah al-Risalah","title":"Fiqh al-Zakat","URL":"https://old.shamela.ws/rep.php/book/3075","author":[{"family":"Al-Qaradawi","given":"Y."}],"accessed":{"date-parts":[["2025",6,3]]},"issued":{"date-parts":[["1973"]]}}}],"schema":"https://github.com/citation-style-language/schema/raw/master/csl-citation.json"} </w:instrText>
      </w:r>
      <w:r w:rsidR="003F6A9D" w:rsidRPr="0097203D">
        <w:rPr>
          <w:rFonts w:asciiTheme="majorBidi" w:hAnsiTheme="majorBidi" w:cstheme="majorBidi"/>
          <w:iCs/>
          <w:szCs w:val="24"/>
          <w:lang w:val="en-MY"/>
        </w:rPr>
        <w:fldChar w:fldCharType="separate"/>
      </w:r>
      <w:r w:rsidR="003F6A9D" w:rsidRPr="0097203D">
        <w:rPr>
          <w:rFonts w:cs="Times New Roman"/>
          <w:lang w:val="en-MY"/>
        </w:rPr>
        <w:t>(Al-Qaradawi, 1973)</w:t>
      </w:r>
      <w:r w:rsidR="003F6A9D" w:rsidRPr="0097203D">
        <w:rPr>
          <w:rFonts w:asciiTheme="majorBidi" w:hAnsiTheme="majorBidi" w:cstheme="majorBidi"/>
          <w:iCs/>
          <w:szCs w:val="24"/>
          <w:lang w:val="en-MY"/>
        </w:rPr>
        <w:fldChar w:fldCharType="end"/>
      </w:r>
      <w:r w:rsidR="003F6A9D" w:rsidRPr="0097203D">
        <w:rPr>
          <w:rFonts w:asciiTheme="majorBidi" w:hAnsiTheme="majorBidi" w:cstheme="majorBidi"/>
          <w:iCs/>
          <w:szCs w:val="24"/>
          <w:lang w:val="en-MY"/>
        </w:rPr>
        <w:t>.</w:t>
      </w:r>
      <w:r w:rsidRPr="0097203D">
        <w:rPr>
          <w:rFonts w:asciiTheme="majorBidi" w:hAnsiTheme="majorBidi" w:cstheme="majorBidi"/>
          <w:iCs/>
          <w:szCs w:val="24"/>
          <w:lang w:val="en-MY"/>
        </w:rPr>
        <w:t xml:space="preserve"> </w:t>
      </w:r>
      <w:r w:rsidR="003F6A9D" w:rsidRPr="0097203D">
        <w:rPr>
          <w:rFonts w:asciiTheme="majorBidi" w:hAnsiTheme="majorBidi" w:cstheme="majorBidi"/>
          <w:iCs/>
          <w:szCs w:val="24"/>
          <w:lang w:val="en-MY"/>
        </w:rPr>
        <w:t xml:space="preserve">This creates a methodological link </w:t>
      </w:r>
      <w:r w:rsidRPr="0097203D">
        <w:rPr>
          <w:rFonts w:asciiTheme="majorBidi" w:hAnsiTheme="majorBidi" w:cstheme="majorBidi"/>
          <w:iCs/>
          <w:szCs w:val="24"/>
          <w:lang w:val="en-MY"/>
        </w:rPr>
        <w:t>between a permanent legal value and a floating market price.</w:t>
      </w:r>
    </w:p>
    <w:p w:rsidR="00777323" w:rsidRPr="0097203D" w:rsidRDefault="00777323" w:rsidP="009E1448">
      <w:pPr>
        <w:spacing w:line="240" w:lineRule="auto"/>
        <w:ind w:right="4" w:firstLine="720"/>
        <w:jc w:val="both"/>
        <w:rPr>
          <w:rFonts w:asciiTheme="majorBidi" w:hAnsiTheme="majorBidi" w:cstheme="majorBidi"/>
          <w:iCs/>
          <w:szCs w:val="24"/>
          <w:lang w:val="en-MY"/>
        </w:rPr>
      </w:pPr>
      <w:r w:rsidRPr="0097203D">
        <w:rPr>
          <w:rFonts w:asciiTheme="majorBidi" w:hAnsiTheme="majorBidi" w:cstheme="majorBidi"/>
          <w:iCs/>
          <w:szCs w:val="24"/>
          <w:lang w:val="en-MY"/>
        </w:rPr>
        <w:t xml:space="preserve">The gold </w:t>
      </w:r>
      <w:proofErr w:type="spellStart"/>
      <w:r w:rsidRPr="0097203D">
        <w:rPr>
          <w:rFonts w:asciiTheme="majorBidi" w:hAnsiTheme="majorBidi" w:cstheme="majorBidi"/>
          <w:iCs/>
          <w:szCs w:val="24"/>
          <w:lang w:val="en-MY"/>
        </w:rPr>
        <w:t>nisab</w:t>
      </w:r>
      <w:proofErr w:type="spellEnd"/>
      <w:r w:rsidRPr="0097203D">
        <w:rPr>
          <w:rFonts w:asciiTheme="majorBidi" w:hAnsiTheme="majorBidi" w:cstheme="majorBidi"/>
          <w:iCs/>
          <w:szCs w:val="24"/>
          <w:lang w:val="en-MY"/>
        </w:rPr>
        <w:t xml:space="preserve"> is often associated with 20 </w:t>
      </w:r>
      <w:r w:rsidR="003F6A9D" w:rsidRPr="0097203D">
        <w:rPr>
          <w:rFonts w:asciiTheme="majorBidi" w:hAnsiTheme="majorBidi" w:cstheme="majorBidi"/>
          <w:iCs/>
          <w:szCs w:val="24"/>
          <w:lang w:val="en-MY"/>
        </w:rPr>
        <w:t>dinars</w:t>
      </w:r>
      <w:r w:rsidRPr="0097203D">
        <w:rPr>
          <w:rFonts w:asciiTheme="majorBidi" w:hAnsiTheme="majorBidi" w:cstheme="majorBidi"/>
          <w:iCs/>
          <w:szCs w:val="24"/>
          <w:lang w:val="en-MY"/>
        </w:rPr>
        <w:t xml:space="preserve">, which is roughly equivalent to 85 grams of pure gold. </w:t>
      </w:r>
      <w:r w:rsidR="003F6A9D" w:rsidRPr="0097203D">
        <w:rPr>
          <w:rFonts w:asciiTheme="majorBidi" w:hAnsiTheme="majorBidi" w:cstheme="majorBidi"/>
          <w:iCs/>
          <w:szCs w:val="24"/>
          <w:lang w:val="en-MY"/>
        </w:rPr>
        <w:t>The work of literature</w:t>
      </w:r>
      <w:r w:rsidRPr="0097203D">
        <w:rPr>
          <w:rFonts w:asciiTheme="majorBidi" w:hAnsiTheme="majorBidi" w:cstheme="majorBidi"/>
          <w:iCs/>
          <w:szCs w:val="24"/>
          <w:lang w:val="en-MY"/>
        </w:rPr>
        <w:t xml:space="preserve"> </w:t>
      </w:r>
      <w:r w:rsidR="003F6A9D" w:rsidRPr="0097203D">
        <w:rPr>
          <w:rFonts w:asciiTheme="majorBidi" w:hAnsiTheme="majorBidi" w:cstheme="majorBidi"/>
          <w:iCs/>
          <w:szCs w:val="24"/>
          <w:lang w:val="en-MY"/>
        </w:rPr>
        <w:t>stating</w:t>
      </w:r>
      <w:r w:rsidRPr="0097203D">
        <w:rPr>
          <w:rFonts w:asciiTheme="majorBidi" w:hAnsiTheme="majorBidi" w:cstheme="majorBidi"/>
          <w:iCs/>
          <w:szCs w:val="24"/>
          <w:lang w:val="en-MY"/>
        </w:rPr>
        <w:t xml:space="preserve"> the twenty dinars and the consensus of al-</w:t>
      </w:r>
      <w:r w:rsidR="003F6A9D" w:rsidRPr="0097203D">
        <w:rPr>
          <w:rFonts w:asciiTheme="majorBidi" w:hAnsiTheme="majorBidi" w:cstheme="majorBidi"/>
          <w:iCs/>
          <w:szCs w:val="24"/>
          <w:lang w:val="en-MY"/>
        </w:rPr>
        <w:t>Muslim scholars</w:t>
      </w:r>
      <w:r w:rsidRPr="0097203D">
        <w:rPr>
          <w:rFonts w:asciiTheme="majorBidi" w:hAnsiTheme="majorBidi" w:cstheme="majorBidi"/>
          <w:iCs/>
          <w:szCs w:val="24"/>
          <w:lang w:val="en-MY"/>
        </w:rPr>
        <w:t xml:space="preserve"> that the </w:t>
      </w:r>
      <w:proofErr w:type="spellStart"/>
      <w:r w:rsidRPr="0097203D">
        <w:rPr>
          <w:rFonts w:asciiTheme="majorBidi" w:hAnsiTheme="majorBidi" w:cstheme="majorBidi"/>
          <w:iCs/>
          <w:szCs w:val="24"/>
          <w:lang w:val="en-MY"/>
        </w:rPr>
        <w:t>nisab</w:t>
      </w:r>
      <w:proofErr w:type="spellEnd"/>
      <w:r w:rsidRPr="0097203D">
        <w:rPr>
          <w:rFonts w:asciiTheme="majorBidi" w:hAnsiTheme="majorBidi" w:cstheme="majorBidi"/>
          <w:iCs/>
          <w:szCs w:val="24"/>
          <w:lang w:val="en-MY"/>
        </w:rPr>
        <w:t xml:space="preserve"> in gold is twenty mithqal are the bases on which the juristic </w:t>
      </w:r>
      <w:r w:rsidRPr="0097203D">
        <w:rPr>
          <w:rFonts w:asciiTheme="majorBidi" w:hAnsiTheme="majorBidi" w:cstheme="majorBidi"/>
          <w:iCs/>
          <w:szCs w:val="24"/>
          <w:lang w:val="en-MY"/>
        </w:rPr>
        <w:lastRenderedPageBreak/>
        <w:t xml:space="preserve">rulings regarding the gold </w:t>
      </w:r>
      <w:proofErr w:type="spellStart"/>
      <w:r w:rsidRPr="0097203D">
        <w:rPr>
          <w:rFonts w:asciiTheme="majorBidi" w:hAnsiTheme="majorBidi" w:cstheme="majorBidi"/>
          <w:iCs/>
          <w:szCs w:val="24"/>
          <w:lang w:val="en-MY"/>
        </w:rPr>
        <w:t>nisab</w:t>
      </w:r>
      <w:proofErr w:type="spellEnd"/>
      <w:r w:rsidRPr="0097203D">
        <w:rPr>
          <w:rFonts w:asciiTheme="majorBidi" w:hAnsiTheme="majorBidi" w:cstheme="majorBidi"/>
          <w:iCs/>
          <w:szCs w:val="24"/>
          <w:lang w:val="en-MY"/>
        </w:rPr>
        <w:t xml:space="preserve"> are derived</w:t>
      </w:r>
      <w:r w:rsidR="004C3F58" w:rsidRPr="0097203D">
        <w:rPr>
          <w:rFonts w:asciiTheme="majorBidi" w:hAnsiTheme="majorBidi" w:cstheme="majorBidi"/>
          <w:iCs/>
          <w:szCs w:val="24"/>
          <w:lang w:val="en-MY"/>
        </w:rPr>
        <w:t xml:space="preserve"> </w:t>
      </w:r>
      <w:r w:rsidR="004C3F58" w:rsidRPr="0097203D">
        <w:rPr>
          <w:rFonts w:asciiTheme="majorBidi" w:hAnsiTheme="majorBidi" w:cstheme="majorBidi"/>
          <w:iCs/>
          <w:szCs w:val="24"/>
          <w:lang w:val="en-MY"/>
        </w:rPr>
        <w:fldChar w:fldCharType="begin"/>
      </w:r>
      <w:r w:rsidR="004C3F58" w:rsidRPr="0097203D">
        <w:rPr>
          <w:rFonts w:asciiTheme="majorBidi" w:hAnsiTheme="majorBidi" w:cstheme="majorBidi"/>
          <w:iCs/>
          <w:szCs w:val="24"/>
          <w:lang w:val="en-MY"/>
        </w:rPr>
        <w:instrText xml:space="preserve"> ADDIN ZOTERO_ITEM CSL_CITATION {"citationID":"iLcNs6kd","properties":{"unsorted":false,"formattedCitation":"(Al-Qahtani, n.d.)","plainCitation":"(Al-Qahtani, n.d.)","noteIndex":0},"citationItems":[{"id":3502,"uris":["http://zotero.org/users/17067337/items/IQSVZYJ3"],"itemData":{"id":3502,"type":"book","number-of-pages":"58","publisher":"Muassasah al-Jarisi","publisher-place":"Riyadh","title":"Zakat al-Athman","URL":"https://shamela.ws/book/96485/11","author":[{"family":"Al-Qahtani","given":"Said bin Wahb"}],"accessed":{"date-parts":[["2026",6,2]]}}}],"schema":"https://github.com/citation-style-language/schema/raw/master/csl-citation.json"} </w:instrText>
      </w:r>
      <w:r w:rsidR="004C3F58" w:rsidRPr="0097203D">
        <w:rPr>
          <w:rFonts w:asciiTheme="majorBidi" w:hAnsiTheme="majorBidi" w:cstheme="majorBidi"/>
          <w:iCs/>
          <w:szCs w:val="24"/>
          <w:lang w:val="en-MY"/>
        </w:rPr>
        <w:fldChar w:fldCharType="separate"/>
      </w:r>
      <w:r w:rsidR="004C3F58" w:rsidRPr="0097203D">
        <w:rPr>
          <w:rFonts w:cs="Times New Roman"/>
          <w:lang w:val="en-MY"/>
        </w:rPr>
        <w:t>(Al-Qahtani, n.d.)</w:t>
      </w:r>
      <w:r w:rsidR="004C3F58" w:rsidRPr="0097203D">
        <w:rPr>
          <w:rFonts w:asciiTheme="majorBidi" w:hAnsiTheme="majorBidi" w:cstheme="majorBidi"/>
          <w:iCs/>
          <w:szCs w:val="24"/>
          <w:lang w:val="en-MY"/>
        </w:rPr>
        <w:fldChar w:fldCharType="end"/>
      </w:r>
      <w:r w:rsidR="004C3F58" w:rsidRPr="0097203D">
        <w:rPr>
          <w:rFonts w:asciiTheme="majorBidi" w:hAnsiTheme="majorBidi" w:cstheme="majorBidi"/>
          <w:iCs/>
          <w:szCs w:val="24"/>
          <w:lang w:val="en-MY"/>
        </w:rPr>
        <w:t>.</w:t>
      </w:r>
      <w:r w:rsidRPr="0097203D">
        <w:rPr>
          <w:rFonts w:asciiTheme="majorBidi" w:hAnsiTheme="majorBidi" w:cstheme="majorBidi"/>
          <w:iCs/>
          <w:szCs w:val="24"/>
          <w:lang w:val="en-MY"/>
        </w:rPr>
        <w:t xml:space="preserve"> </w:t>
      </w:r>
      <w:proofErr w:type="spellStart"/>
      <w:r w:rsidRPr="0097203D">
        <w:rPr>
          <w:rFonts w:asciiTheme="majorBidi" w:hAnsiTheme="majorBidi" w:cstheme="majorBidi"/>
          <w:iCs/>
          <w:szCs w:val="24"/>
          <w:lang w:val="en-MY"/>
        </w:rPr>
        <w:t>Dār</w:t>
      </w:r>
      <w:proofErr w:type="spellEnd"/>
      <w:r w:rsidRPr="0097203D">
        <w:rPr>
          <w:rFonts w:asciiTheme="majorBidi" w:hAnsiTheme="majorBidi" w:cstheme="majorBidi"/>
          <w:iCs/>
          <w:szCs w:val="24"/>
          <w:lang w:val="en-MY"/>
        </w:rPr>
        <w:t xml:space="preserve"> al-</w:t>
      </w:r>
      <w:proofErr w:type="spellStart"/>
      <w:r w:rsidRPr="0097203D">
        <w:rPr>
          <w:rFonts w:asciiTheme="majorBidi" w:hAnsiTheme="majorBidi" w:cstheme="majorBidi"/>
          <w:iCs/>
          <w:szCs w:val="24"/>
          <w:lang w:val="en-MY"/>
        </w:rPr>
        <w:t>Iftāʾ</w:t>
      </w:r>
      <w:proofErr w:type="spellEnd"/>
      <w:r w:rsidRPr="0097203D">
        <w:rPr>
          <w:rFonts w:asciiTheme="majorBidi" w:hAnsiTheme="majorBidi" w:cstheme="majorBidi"/>
          <w:iCs/>
          <w:szCs w:val="24"/>
          <w:lang w:val="en-MY"/>
        </w:rPr>
        <w:t xml:space="preserve"> al-</w:t>
      </w:r>
      <w:proofErr w:type="spellStart"/>
      <w:r w:rsidRPr="0097203D">
        <w:rPr>
          <w:rFonts w:asciiTheme="majorBidi" w:hAnsiTheme="majorBidi" w:cstheme="majorBidi"/>
          <w:iCs/>
          <w:szCs w:val="24"/>
          <w:lang w:val="en-MY"/>
        </w:rPr>
        <w:t>ʿĀmmah</w:t>
      </w:r>
      <w:proofErr w:type="spellEnd"/>
      <w:r w:rsidRPr="0097203D">
        <w:rPr>
          <w:rFonts w:asciiTheme="majorBidi" w:hAnsiTheme="majorBidi" w:cstheme="majorBidi"/>
          <w:iCs/>
          <w:szCs w:val="24"/>
          <w:lang w:val="en-MY"/>
        </w:rPr>
        <w:t xml:space="preserve"> al-</w:t>
      </w:r>
      <w:proofErr w:type="spellStart"/>
      <w:r w:rsidRPr="0097203D">
        <w:rPr>
          <w:rFonts w:asciiTheme="majorBidi" w:hAnsiTheme="majorBidi" w:cstheme="majorBidi"/>
          <w:iCs/>
          <w:szCs w:val="24"/>
          <w:lang w:val="en-MY"/>
        </w:rPr>
        <w:t>Urduniyyah</w:t>
      </w:r>
      <w:proofErr w:type="spellEnd"/>
      <w:r w:rsidRPr="0097203D">
        <w:rPr>
          <w:rFonts w:asciiTheme="majorBidi" w:hAnsiTheme="majorBidi" w:cstheme="majorBidi"/>
          <w:iCs/>
          <w:szCs w:val="24"/>
          <w:lang w:val="en-MY"/>
        </w:rPr>
        <w:t xml:space="preserve"> elaborates on this by </w:t>
      </w:r>
      <w:r w:rsidR="003F6A9D" w:rsidRPr="0097203D">
        <w:rPr>
          <w:rFonts w:asciiTheme="majorBidi" w:hAnsiTheme="majorBidi" w:cstheme="majorBidi"/>
          <w:iCs/>
          <w:szCs w:val="24"/>
          <w:lang w:val="en-MY"/>
        </w:rPr>
        <w:t xml:space="preserve">affirming </w:t>
      </w:r>
      <w:r w:rsidR="00246F3A" w:rsidRPr="0097203D">
        <w:rPr>
          <w:rFonts w:asciiTheme="majorBidi" w:hAnsiTheme="majorBidi" w:cstheme="majorBidi"/>
          <w:iCs/>
          <w:szCs w:val="24"/>
          <w:lang w:val="en-MY"/>
        </w:rPr>
        <w:t xml:space="preserve">that </w:t>
      </w:r>
      <w:r w:rsidR="003F6A9D" w:rsidRPr="0097203D">
        <w:rPr>
          <w:rFonts w:asciiTheme="majorBidi" w:hAnsiTheme="majorBidi" w:cstheme="majorBidi"/>
          <w:iCs/>
          <w:szCs w:val="24"/>
          <w:lang w:val="en-MY"/>
        </w:rPr>
        <w:t>t</w:t>
      </w:r>
      <w:r w:rsidRPr="0097203D">
        <w:rPr>
          <w:rFonts w:asciiTheme="majorBidi" w:hAnsiTheme="majorBidi" w:cstheme="majorBidi"/>
          <w:iCs/>
          <w:szCs w:val="24"/>
          <w:lang w:val="en-MY"/>
        </w:rPr>
        <w:t xml:space="preserve">he amount of gold is twenty mithqal, taken from reports that mention twenty dinars and the consensus of the </w:t>
      </w:r>
      <w:r w:rsidR="003F6A9D" w:rsidRPr="0097203D">
        <w:rPr>
          <w:rFonts w:asciiTheme="majorBidi" w:hAnsiTheme="majorBidi" w:cstheme="majorBidi"/>
          <w:iCs/>
          <w:szCs w:val="24"/>
          <w:lang w:val="en-MY"/>
        </w:rPr>
        <w:t>Muslim scholars</w:t>
      </w:r>
      <w:r w:rsidRPr="0097203D">
        <w:rPr>
          <w:rFonts w:asciiTheme="majorBidi" w:hAnsiTheme="majorBidi" w:cstheme="majorBidi"/>
          <w:iCs/>
          <w:szCs w:val="24"/>
          <w:lang w:val="en-MY"/>
        </w:rPr>
        <w:t xml:space="preserve"> that the </w:t>
      </w:r>
      <w:proofErr w:type="spellStart"/>
      <w:r w:rsidRPr="0097203D">
        <w:rPr>
          <w:rFonts w:asciiTheme="majorBidi" w:hAnsiTheme="majorBidi" w:cstheme="majorBidi"/>
          <w:iCs/>
          <w:szCs w:val="24"/>
          <w:lang w:val="en-MY"/>
        </w:rPr>
        <w:t>nisab</w:t>
      </w:r>
      <w:proofErr w:type="spellEnd"/>
      <w:r w:rsidRPr="0097203D">
        <w:rPr>
          <w:rFonts w:asciiTheme="majorBidi" w:hAnsiTheme="majorBidi" w:cstheme="majorBidi"/>
          <w:iCs/>
          <w:szCs w:val="24"/>
          <w:lang w:val="en-MY"/>
        </w:rPr>
        <w:t xml:space="preserve"> in gold is twenty mithqal</w:t>
      </w:r>
      <w:r w:rsidR="004C3F58" w:rsidRPr="0097203D">
        <w:rPr>
          <w:rFonts w:asciiTheme="majorBidi" w:hAnsiTheme="majorBidi" w:cstheme="majorBidi"/>
          <w:iCs/>
          <w:szCs w:val="24"/>
          <w:lang w:val="en-MY"/>
        </w:rPr>
        <w:t xml:space="preserve"> </w:t>
      </w:r>
      <w:r w:rsidR="004C3F58" w:rsidRPr="0097203D">
        <w:rPr>
          <w:rFonts w:asciiTheme="majorBidi" w:hAnsiTheme="majorBidi" w:cstheme="majorBidi"/>
          <w:iCs/>
          <w:szCs w:val="24"/>
          <w:lang w:val="en-MY"/>
        </w:rPr>
        <w:fldChar w:fldCharType="begin"/>
      </w:r>
      <w:r w:rsidR="004C3F58" w:rsidRPr="0097203D">
        <w:rPr>
          <w:rFonts w:asciiTheme="majorBidi" w:hAnsiTheme="majorBidi" w:cstheme="majorBidi"/>
          <w:iCs/>
          <w:szCs w:val="24"/>
          <w:lang w:val="en-MY"/>
        </w:rPr>
        <w:instrText xml:space="preserve"> ADDIN ZOTERO_ITEM CSL_CITATION {"citationID":"NQq0Vc2D","properties":{"unsorted":false,"formattedCitation":"(Lajnah Fatwa, 2010)","plainCitation":"(Lajnah Fatwa, 2010)","noteIndex":0},"citationItems":[{"id":3500,"uris":["http://zotero.org/users/17067337/items/QJRCZP2D"],"itemData":{"id":3500,"type":"webpage","abstract":"School books state that the Nisaab for gold is (85 grams) of pure gold, so the Nisaab of circulated currency is calculated through multiplying (85 grams) by the current price of the gram of gold. However, the book [Al-Fiqh Al-Manhaji Ala Al-Math-hab Al-Shafie],&amp;nbsp;states otherwise, so where did ...","container-title":"Dar al-Ifta al-Am","title":"Sharia Basis for Nissab of Gold and its Assessment in Modern Weights","URL":"https://www.aliftaa.jo/research-fatwa-english/854/School-books-state-that-the-Nisaab-for-gold-is-85-grams-of-pure-gold-so","author":[{"family":"Lajnah Fatwa","given":""}],"accessed":{"date-parts":[["2026",6,2]]},"issued":{"date-parts":[["2010",7,22]]}}}],"schema":"https://github.com/citation-style-language/schema/raw/master/csl-citation.json"} </w:instrText>
      </w:r>
      <w:r w:rsidR="004C3F58" w:rsidRPr="0097203D">
        <w:rPr>
          <w:rFonts w:asciiTheme="majorBidi" w:hAnsiTheme="majorBidi" w:cstheme="majorBidi"/>
          <w:iCs/>
          <w:szCs w:val="24"/>
          <w:lang w:val="en-MY"/>
        </w:rPr>
        <w:fldChar w:fldCharType="separate"/>
      </w:r>
      <w:r w:rsidR="004C3F58" w:rsidRPr="0097203D">
        <w:rPr>
          <w:rFonts w:cs="Times New Roman"/>
          <w:lang w:val="en-MY"/>
        </w:rPr>
        <w:t>(Lajnah Fatwa, 2010)</w:t>
      </w:r>
      <w:r w:rsidR="004C3F58" w:rsidRPr="0097203D">
        <w:rPr>
          <w:rFonts w:asciiTheme="majorBidi" w:hAnsiTheme="majorBidi" w:cstheme="majorBidi"/>
          <w:iCs/>
          <w:szCs w:val="24"/>
          <w:lang w:val="en-MY"/>
        </w:rPr>
        <w:fldChar w:fldCharType="end"/>
      </w:r>
      <w:r w:rsidRPr="0097203D">
        <w:rPr>
          <w:rFonts w:asciiTheme="majorBidi" w:hAnsiTheme="majorBidi" w:cstheme="majorBidi"/>
          <w:iCs/>
          <w:szCs w:val="24"/>
          <w:lang w:val="en-MY"/>
        </w:rPr>
        <w:t>. The International Islamic Fiqh Academy also confirms the monetary value of paper money</w:t>
      </w:r>
      <w:r w:rsidR="00AB4E02">
        <w:rPr>
          <w:rFonts w:asciiTheme="majorBidi" w:hAnsiTheme="majorBidi" w:cstheme="majorBidi"/>
          <w:iCs/>
          <w:szCs w:val="24"/>
          <w:lang w:val="en-MY"/>
        </w:rPr>
        <w:t>. It applies</w:t>
      </w:r>
      <w:r w:rsidRPr="0097203D">
        <w:rPr>
          <w:rFonts w:asciiTheme="majorBidi" w:hAnsiTheme="majorBidi" w:cstheme="majorBidi"/>
          <w:iCs/>
          <w:szCs w:val="24"/>
          <w:lang w:val="en-MY"/>
        </w:rPr>
        <w:t xml:space="preserve"> the legal rulings </w:t>
      </w:r>
      <w:r w:rsidR="00AB4E02">
        <w:rPr>
          <w:rFonts w:asciiTheme="majorBidi" w:hAnsiTheme="majorBidi" w:cstheme="majorBidi"/>
          <w:iCs/>
          <w:szCs w:val="24"/>
          <w:lang w:val="en-MY"/>
        </w:rPr>
        <w:t>on gold and silver regarding zakat, usury (</w:t>
      </w:r>
      <w:proofErr w:type="spellStart"/>
      <w:r w:rsidR="00AB4E02">
        <w:rPr>
          <w:rFonts w:asciiTheme="majorBidi" w:hAnsiTheme="majorBidi" w:cstheme="majorBidi"/>
          <w:iCs/>
          <w:szCs w:val="24"/>
          <w:lang w:val="en-MY"/>
        </w:rPr>
        <w:t>riba</w:t>
      </w:r>
      <w:proofErr w:type="spellEnd"/>
      <w:r w:rsidR="00AB4E02">
        <w:rPr>
          <w:rFonts w:asciiTheme="majorBidi" w:hAnsiTheme="majorBidi" w:cstheme="majorBidi"/>
          <w:iCs/>
          <w:szCs w:val="24"/>
          <w:lang w:val="en-MY"/>
        </w:rPr>
        <w:t>),</w:t>
      </w:r>
      <w:r w:rsidR="004C3F58" w:rsidRPr="0097203D">
        <w:rPr>
          <w:rFonts w:asciiTheme="majorBidi" w:hAnsiTheme="majorBidi" w:cstheme="majorBidi"/>
          <w:iCs/>
          <w:szCs w:val="24"/>
          <w:lang w:val="en-MY"/>
        </w:rPr>
        <w:t xml:space="preserve"> and so on</w:t>
      </w:r>
      <w:r w:rsidRPr="0097203D">
        <w:rPr>
          <w:rFonts w:asciiTheme="majorBidi" w:hAnsiTheme="majorBidi" w:cstheme="majorBidi"/>
          <w:iCs/>
          <w:szCs w:val="24"/>
          <w:lang w:val="en-MY"/>
        </w:rPr>
        <w:t xml:space="preserve"> </w:t>
      </w:r>
      <w:r w:rsidR="00D71366" w:rsidRPr="0097203D">
        <w:rPr>
          <w:rFonts w:asciiTheme="majorBidi" w:hAnsiTheme="majorBidi" w:cstheme="majorBidi"/>
          <w:iCs/>
          <w:szCs w:val="24"/>
          <w:lang w:val="en-MY"/>
        </w:rPr>
        <w:fldChar w:fldCharType="begin"/>
      </w:r>
      <w:r w:rsidR="00585725">
        <w:rPr>
          <w:rFonts w:asciiTheme="majorBidi" w:hAnsiTheme="majorBidi" w:cstheme="majorBidi"/>
          <w:iCs/>
          <w:szCs w:val="24"/>
          <w:lang w:val="en-MY"/>
        </w:rPr>
        <w:instrText xml:space="preserve"> ADDIN ZOTERO_ITEM CSL_CITATION {"citationID":"6MWL2iFu","properties":{"unsorted":false,"formattedCitation":"(International Islamic Fiqh Academy, 1986)","plainCitation":"(International Islamic Fiqh Academy, 1986)","noteIndex":0},"citationItems":[{"id":3504,"uris":["http://zotero.org/users/17067337/items/L4I8QMMP"],"itemData":{"id":3504,"type":"standard","abstract":"</w:instrText>
      </w:r>
      <w:r w:rsidR="00585725">
        <w:rPr>
          <w:rFonts w:asciiTheme="majorBidi" w:hAnsiTheme="majorBidi" w:cstheme="majorBidi"/>
          <w:iCs/>
          <w:szCs w:val="24"/>
          <w:rtl/>
          <w:lang w:val="en-MY"/>
        </w:rPr>
        <w:instrText>بسم الله الرحمن الرحيمالحمد لله رب العالمين، والصلاة والسلام على سيدنا محمد خاتم النبيين، وعلى آله وصحبه أجمعين.قرار رقم: 21 (3/9)بشأن أحكام النقود الورقية وتغيُّر قيمة العملةإن مجلس مجمع الفقه الإسلامي الدولي المنعقد في دورة مؤتمره الثالث بعمان</w:instrText>
      </w:r>
      <w:r w:rsidR="00585725">
        <w:rPr>
          <w:rFonts w:asciiTheme="majorBidi" w:hAnsiTheme="majorBidi" w:cstheme="majorBidi"/>
          <w:iCs/>
          <w:szCs w:val="24"/>
          <w:lang w:val="en-MY"/>
        </w:rPr>
        <w:instrText xml:space="preserve">","language":"ar","number":"Resolution No. 21 (3/9)","publisher":"International Islamic Fiqh Academy","title":"Qarār bi-shaʾn aḥkām al-Nuqūd al-Waraqiyyah wa taghayyur qīmat al-ʿUmlah","URL":"https://iifa-aifi.org/ar/1679.html","author":[{"family":"International Islamic Fiqh Academy","given":""}],"accessed":{"date-parts":[["2026",6,2]]},"issued":{"date-parts":[["1986"]]}}}],"schema":"https://github.com/citation-style-language/schema/raw/master/csl-citation.json"} </w:instrText>
      </w:r>
      <w:r w:rsidR="00D71366" w:rsidRPr="0097203D">
        <w:rPr>
          <w:rFonts w:asciiTheme="majorBidi" w:hAnsiTheme="majorBidi" w:cstheme="majorBidi"/>
          <w:iCs/>
          <w:szCs w:val="24"/>
          <w:lang w:val="en-MY"/>
        </w:rPr>
        <w:fldChar w:fldCharType="separate"/>
      </w:r>
      <w:r w:rsidR="00D71366" w:rsidRPr="0097203D">
        <w:rPr>
          <w:rFonts w:cs="Times New Roman"/>
          <w:lang w:val="en-MY"/>
        </w:rPr>
        <w:t>(International Islamic Fiqh Academy, 1986)</w:t>
      </w:r>
      <w:r w:rsidR="00D71366" w:rsidRPr="0097203D">
        <w:rPr>
          <w:rFonts w:asciiTheme="majorBidi" w:hAnsiTheme="majorBidi" w:cstheme="majorBidi"/>
          <w:iCs/>
          <w:szCs w:val="24"/>
          <w:lang w:val="en-MY"/>
        </w:rPr>
        <w:fldChar w:fldCharType="end"/>
      </w:r>
      <w:r w:rsidR="00D71366" w:rsidRPr="0097203D">
        <w:rPr>
          <w:rFonts w:asciiTheme="majorBidi" w:hAnsiTheme="majorBidi" w:cstheme="majorBidi"/>
          <w:iCs/>
          <w:szCs w:val="24"/>
          <w:lang w:val="en-MY"/>
        </w:rPr>
        <w:t>.</w:t>
      </w:r>
    </w:p>
    <w:p w:rsidR="00D71366" w:rsidRPr="0097203D" w:rsidRDefault="00777323" w:rsidP="009E1448">
      <w:pPr>
        <w:spacing w:line="240" w:lineRule="auto"/>
        <w:ind w:firstLine="720"/>
        <w:jc w:val="both"/>
        <w:rPr>
          <w:lang w:val="en-MY"/>
        </w:rPr>
      </w:pPr>
      <w:r w:rsidRPr="0097203D">
        <w:rPr>
          <w:lang w:val="en-MY"/>
        </w:rPr>
        <w:t xml:space="preserve">The challenge of modern times is not to determine the weight of the </w:t>
      </w:r>
      <w:proofErr w:type="spellStart"/>
      <w:r w:rsidRPr="0097203D">
        <w:rPr>
          <w:lang w:val="en-MY"/>
        </w:rPr>
        <w:t>nisab</w:t>
      </w:r>
      <w:proofErr w:type="spellEnd"/>
      <w:r w:rsidR="00D71366" w:rsidRPr="0097203D">
        <w:rPr>
          <w:lang w:val="en-MY"/>
        </w:rPr>
        <w:t xml:space="preserve">, but to fix the amount of the </w:t>
      </w:r>
      <w:proofErr w:type="spellStart"/>
      <w:r w:rsidR="00D71366" w:rsidRPr="0097203D">
        <w:rPr>
          <w:lang w:val="en-MY"/>
        </w:rPr>
        <w:t>nisab</w:t>
      </w:r>
      <w:proofErr w:type="spellEnd"/>
      <w:r w:rsidR="00D71366" w:rsidRPr="0097203D">
        <w:rPr>
          <w:lang w:val="en-MY"/>
        </w:rPr>
        <w:t xml:space="preserve"> in a particular currency at a given</w:t>
      </w:r>
      <w:r w:rsidRPr="0097203D">
        <w:rPr>
          <w:lang w:val="en-MY"/>
        </w:rPr>
        <w:t xml:space="preserve"> moment. Inflation expectations, interest rates, geopolitical risks, central bank demand, investor sentiment, currency and market liquidity, and macroeconomic uncertainty are the factors that affect gold prices. The World Gold Council </w:t>
      </w:r>
      <w:r w:rsidR="00D71366" w:rsidRPr="0097203D">
        <w:rPr>
          <w:lang w:val="en-MY"/>
        </w:rPr>
        <w:t>provides historical and current gold price data at various frequencies, and the London Bullion Market Association administers the benchmark gold pricing</w:t>
      </w:r>
      <w:r w:rsidRPr="0097203D">
        <w:rPr>
          <w:lang w:val="en-MY"/>
        </w:rPr>
        <w:t xml:space="preserve"> widely used in the bullion industry</w:t>
      </w:r>
      <w:r w:rsidR="00D71366" w:rsidRPr="0097203D">
        <w:rPr>
          <w:lang w:val="en-MY"/>
        </w:rPr>
        <w:t xml:space="preserve"> </w:t>
      </w:r>
      <w:r w:rsidR="00D71366" w:rsidRPr="0097203D">
        <w:rPr>
          <w:lang w:val="en-MY"/>
        </w:rPr>
        <w:fldChar w:fldCharType="begin"/>
      </w:r>
      <w:r w:rsidR="00401F75" w:rsidRPr="0097203D">
        <w:rPr>
          <w:lang w:val="en-MY"/>
        </w:rPr>
        <w:instrText xml:space="preserve"> ADDIN ZOTERO_ITEM CSL_CITATION {"citationID":"yzbU8m1s","properties":{"unsorted":false,"formattedCitation":"(London Bullion Market Association, n.d.; World Gold Council, 2025)","plainCitation":"(London Bullion Market Association, n.d.; World Gold Council, 2025)","noteIndex":0},"citationItems":[{"id":3508,"uris":["http://zotero.org/users/17067337/items/RN8HTW3H"],"itemData":{"id":3508,"type":"webpage","container-title":"LBMA","language":"en-GB","title":"LBMA Gold Price","URL":"https://www.lbma.org.uk/prices-and-data/lbma-gold-price","author":[{"family":"London Bullion Market Association","given":""}],"accessed":{"date-parts":[["2026",6,2]]}}},{"id":3138,"uris":["http://zotero.org/users/17067337/items/AYLRC97G"],"itemData":{"id":3138,"type":"webpage","container-title":"World Gold Council","title":"Gold Demand Trends: Full Year 2024","URL":"https://www.gold.org/goldhub/research/gold-demand-trends/gold-demand-trends-full-year-2024/central-banks","author":[{"family":"World Gold Council","given":""}],"accessed":{"date-parts":[["2026",5,14]]},"issued":{"date-parts":[["2025",5,2]]}}}],"schema":"https://github.com/citation-style-language/schema/raw/master/csl-citation.json"} </w:instrText>
      </w:r>
      <w:r w:rsidR="00D71366" w:rsidRPr="0097203D">
        <w:rPr>
          <w:lang w:val="en-MY"/>
        </w:rPr>
        <w:fldChar w:fldCharType="separate"/>
      </w:r>
      <w:r w:rsidR="00401F75" w:rsidRPr="0097203D">
        <w:rPr>
          <w:rFonts w:cs="Times New Roman"/>
          <w:lang w:val="en-MY"/>
        </w:rPr>
        <w:t>(London Bullion Market Association, n.d.; World Gold Council, 2025)</w:t>
      </w:r>
      <w:r w:rsidR="00D71366" w:rsidRPr="0097203D">
        <w:rPr>
          <w:lang w:val="en-MY"/>
        </w:rPr>
        <w:fldChar w:fldCharType="end"/>
      </w:r>
      <w:r w:rsidR="00D71366" w:rsidRPr="0097203D">
        <w:rPr>
          <w:lang w:val="en-MY"/>
        </w:rPr>
        <w:t>.</w:t>
      </w:r>
      <w:r w:rsidRPr="0097203D">
        <w:rPr>
          <w:lang w:val="en-MY"/>
        </w:rPr>
        <w:t xml:space="preserve"> The commentary </w:t>
      </w:r>
      <w:r w:rsidR="00D71366" w:rsidRPr="0097203D">
        <w:rPr>
          <w:lang w:val="en-MY"/>
        </w:rPr>
        <w:t xml:space="preserve">on the recent gold market also shows that the gold price is not a static valuation benchmark but rather reacts to global risk conditions </w:t>
      </w:r>
      <w:r w:rsidRPr="0097203D">
        <w:rPr>
          <w:lang w:val="en-MY"/>
        </w:rPr>
        <w:t>and monetary policy cycles</w:t>
      </w:r>
      <w:r w:rsidR="00D71366" w:rsidRPr="0097203D">
        <w:rPr>
          <w:lang w:val="en-MY"/>
        </w:rPr>
        <w:t xml:space="preserve"> </w:t>
      </w:r>
      <w:r w:rsidR="00D71366" w:rsidRPr="0097203D">
        <w:rPr>
          <w:lang w:val="en-MY"/>
        </w:rPr>
        <w:fldChar w:fldCharType="begin"/>
      </w:r>
      <w:r w:rsidR="00585725">
        <w:rPr>
          <w:lang w:val="en-MY"/>
        </w:rPr>
        <w:instrText xml:space="preserve"> ADDIN ZOTERO_ITEM CSL_CITATION {"citationID":"7psQnwx9","properties":{"unsorted":false,"formattedCitation":"(World Gold Council, 2024)","plainCitation":"(World Gold Council, 2024)","noteIndex":0},"citationItems":[{"id":3510,"uris":["http://zotero.org/users/17067337/items/4YWG7E7K"],"itemData":{"id":3510,"type":"webpage","container-title":"World Gold Council","language":"en","title":"Gold Outlook 2025: Navigating Rates, Risk and Growth","title-short":"Gold Outlook 2025","URL":"https://www.gold.org/goldhub/research/gold-outlook-2025","author":[{"family":"World Gold Council","given":""}],"accessed":{"date-parts":[["2026",6,2]]},"issued":{"date-parts":[["2024",12,12]]}}}],"schema":"https://github.com/citation-style-language/schema/raw/master/csl-citation.json"} </w:instrText>
      </w:r>
      <w:r w:rsidR="00D71366" w:rsidRPr="0097203D">
        <w:rPr>
          <w:lang w:val="en-MY"/>
        </w:rPr>
        <w:fldChar w:fldCharType="separate"/>
      </w:r>
      <w:r w:rsidR="00D71366" w:rsidRPr="0097203D">
        <w:rPr>
          <w:rFonts w:cs="Times New Roman"/>
          <w:lang w:val="en-MY"/>
        </w:rPr>
        <w:t>(World Gold Council, 2024)</w:t>
      </w:r>
      <w:r w:rsidR="00D71366" w:rsidRPr="0097203D">
        <w:rPr>
          <w:lang w:val="en-MY"/>
        </w:rPr>
        <w:fldChar w:fldCharType="end"/>
      </w:r>
      <w:r w:rsidR="00D71366" w:rsidRPr="0097203D">
        <w:rPr>
          <w:lang w:val="en-MY"/>
        </w:rPr>
        <w:t>.</w:t>
      </w:r>
    </w:p>
    <w:p w:rsidR="00777323" w:rsidRPr="0097203D" w:rsidRDefault="00777323" w:rsidP="009E1448">
      <w:pPr>
        <w:spacing w:line="240" w:lineRule="auto"/>
        <w:ind w:firstLine="720"/>
        <w:jc w:val="both"/>
        <w:rPr>
          <w:lang w:val="en-MY"/>
        </w:rPr>
      </w:pPr>
      <w:r w:rsidRPr="0097203D">
        <w:rPr>
          <w:lang w:val="en-MY"/>
        </w:rPr>
        <w:t xml:space="preserve">This volatility has direct </w:t>
      </w:r>
      <w:r w:rsidR="00D71366" w:rsidRPr="0097203D">
        <w:rPr>
          <w:lang w:val="en-MY"/>
        </w:rPr>
        <w:t>implications for</w:t>
      </w:r>
      <w:r w:rsidRPr="0097203D">
        <w:rPr>
          <w:lang w:val="en-MY"/>
        </w:rPr>
        <w:t xml:space="preserve"> the wealth zakat. If </w:t>
      </w:r>
      <w:r w:rsidR="00D71366" w:rsidRPr="0097203D">
        <w:rPr>
          <w:lang w:val="en-MY"/>
        </w:rPr>
        <w:t>the price of gold suddenly increases, the zakat payers may become less within the country</w:t>
      </w:r>
      <w:r w:rsidR="00A33D64">
        <w:rPr>
          <w:lang w:val="en-MY"/>
        </w:rPr>
        <w:t>’</w:t>
      </w:r>
      <w:r w:rsidR="00D71366" w:rsidRPr="0097203D">
        <w:rPr>
          <w:lang w:val="en-MY"/>
        </w:rPr>
        <w:t xml:space="preserve">s currency due to the </w:t>
      </w:r>
      <w:r w:rsidR="00AB4E02">
        <w:rPr>
          <w:lang w:val="en-MY"/>
        </w:rPr>
        <w:t xml:space="preserve">higher </w:t>
      </w:r>
      <w:proofErr w:type="spellStart"/>
      <w:r w:rsidR="00AB4E02">
        <w:rPr>
          <w:lang w:val="en-MY"/>
        </w:rPr>
        <w:t>nisab</w:t>
      </w:r>
      <w:proofErr w:type="spellEnd"/>
      <w:r w:rsidRPr="0097203D">
        <w:rPr>
          <w:lang w:val="en-MY"/>
        </w:rPr>
        <w:t xml:space="preserve">. If the </w:t>
      </w:r>
      <w:r w:rsidR="00D71366" w:rsidRPr="0097203D">
        <w:rPr>
          <w:lang w:val="en-MY"/>
        </w:rPr>
        <w:t xml:space="preserve">price of gold falls, the local currency value of </w:t>
      </w:r>
      <w:proofErr w:type="spellStart"/>
      <w:r w:rsidR="00D71366" w:rsidRPr="0097203D">
        <w:rPr>
          <w:lang w:val="en-MY"/>
        </w:rPr>
        <w:t>nisab</w:t>
      </w:r>
      <w:proofErr w:type="spellEnd"/>
      <w:r w:rsidR="00D71366" w:rsidRPr="0097203D">
        <w:rPr>
          <w:lang w:val="en-MY"/>
        </w:rPr>
        <w:t xml:space="preserve"> falls, and more may be subject to the duty of payment, even those in a state </w:t>
      </w:r>
      <w:r w:rsidRPr="0097203D">
        <w:rPr>
          <w:lang w:val="en-MY"/>
        </w:rPr>
        <w:t xml:space="preserve">closer to a vulnerable state than to </w:t>
      </w:r>
      <w:r w:rsidR="00D71366" w:rsidRPr="0097203D">
        <w:rPr>
          <w:lang w:val="en-MY"/>
        </w:rPr>
        <w:t xml:space="preserve">a </w:t>
      </w:r>
      <w:r w:rsidRPr="0097203D">
        <w:rPr>
          <w:lang w:val="en-MY"/>
        </w:rPr>
        <w:t xml:space="preserve">surplus. Another recent article, Dynamic calculation of </w:t>
      </w:r>
      <w:proofErr w:type="spellStart"/>
      <w:r w:rsidR="00F76AE9" w:rsidRPr="0097203D">
        <w:rPr>
          <w:lang w:val="en-MY"/>
        </w:rPr>
        <w:t>n</w:t>
      </w:r>
      <w:r w:rsidRPr="0097203D">
        <w:rPr>
          <w:lang w:val="en-MY"/>
        </w:rPr>
        <w:t>isab</w:t>
      </w:r>
      <w:proofErr w:type="spellEnd"/>
      <w:r w:rsidRPr="0097203D">
        <w:rPr>
          <w:lang w:val="en-MY"/>
        </w:rPr>
        <w:t xml:space="preserve"> for </w:t>
      </w:r>
      <w:r w:rsidR="00F76AE9" w:rsidRPr="0097203D">
        <w:rPr>
          <w:lang w:val="en-MY"/>
        </w:rPr>
        <w:t>z</w:t>
      </w:r>
      <w:r w:rsidRPr="0097203D">
        <w:rPr>
          <w:lang w:val="en-MY"/>
        </w:rPr>
        <w:t xml:space="preserve">akat, notes that changes in the prices of gold and silver can </w:t>
      </w:r>
      <w:r w:rsidR="00D71366" w:rsidRPr="0097203D">
        <w:rPr>
          <w:lang w:val="en-MY"/>
        </w:rPr>
        <w:t xml:space="preserve">significantly affect the </w:t>
      </w:r>
      <w:proofErr w:type="spellStart"/>
      <w:r w:rsidR="00F76AE9" w:rsidRPr="0097203D">
        <w:rPr>
          <w:lang w:val="en-MY"/>
        </w:rPr>
        <w:t>nisab</w:t>
      </w:r>
      <w:proofErr w:type="spellEnd"/>
      <w:r w:rsidR="00F76AE9" w:rsidRPr="0097203D">
        <w:rPr>
          <w:lang w:val="en-MY"/>
        </w:rPr>
        <w:t xml:space="preserve"> amount</w:t>
      </w:r>
      <w:r w:rsidR="00D71366" w:rsidRPr="0097203D">
        <w:rPr>
          <w:lang w:val="en-MY"/>
        </w:rPr>
        <w:t xml:space="preserve">, and that some scholars have proposed that the </w:t>
      </w:r>
      <w:proofErr w:type="spellStart"/>
      <w:r w:rsidR="00D71366" w:rsidRPr="0097203D">
        <w:rPr>
          <w:lang w:val="en-MY"/>
        </w:rPr>
        <w:t>nisab</w:t>
      </w:r>
      <w:proofErr w:type="spellEnd"/>
      <w:r w:rsidR="00D71366" w:rsidRPr="0097203D">
        <w:rPr>
          <w:lang w:val="en-MY"/>
        </w:rPr>
        <w:t xml:space="preserve"> be reviewed periodically and calculated using currency conversion and averaging</w:t>
      </w:r>
      <w:r w:rsidRPr="0097203D">
        <w:rPr>
          <w:lang w:val="en-MY"/>
        </w:rPr>
        <w:t xml:space="preserve"> methods</w:t>
      </w:r>
      <w:r w:rsidR="00F76AE9" w:rsidRPr="0097203D">
        <w:rPr>
          <w:lang w:val="en-MY"/>
        </w:rPr>
        <w:t xml:space="preserve"> </w:t>
      </w:r>
      <w:r w:rsidR="00F76AE9" w:rsidRPr="0097203D">
        <w:rPr>
          <w:lang w:val="en-MY"/>
        </w:rPr>
        <w:fldChar w:fldCharType="begin"/>
      </w:r>
      <w:r w:rsidR="00585725">
        <w:rPr>
          <w:lang w:val="en-MY"/>
        </w:rPr>
        <w:instrText xml:space="preserve"> ADDIN ZOTERO_ITEM CSL_CITATION {"citationID":"ozMhEAOG","properties":{"unsorted":false,"formattedCitation":"(Judijanto, 2026)","plainCitation":"(Judijanto, 2026)","noteIndex":0},"citationItems":[{"id":3512,"uris":["http://zotero.org/users/17067337/items/G4Y9ES82"],"itemData":{"id":3512,"type":"article-journal","abstract":"This study examines the implications of global gold price volatility on nisab determination and zakat calculation methods from a contemporary fiqh mu'amalah perspective. Gold price fluctuations have created significant challenges in maintaining equitable zakat obligations, as traditional fixed-gram nisab thresholds may inadvertently burden lower-income Muslims during price spikes or reduce zakat collection during price drops. Using a qualitative approach with library research methodology, this study analyzes classical and contemporary fiqh literature, fatwas from various Islamic jurisprudence councils, and historical gold price data from 2015 to 2024. The research synthesizes scholarly opinions across different madhhabs regarding appropriate calculation methodologies in dynamic market conditions. Findings reveal three primary approaches emerged from contemporary ijtihad: first, maintaining fixed gram-based nisab with periodic review mechanisms; second, implementing currency conversion methods with regular benchmark adjustments; and third, utilizing averaged gold prices over specific timeframes to smooth volatility impacts. The study demonstrates that the Hanafi school's interpretation offers greater flexibility for contemporary application, while Shafi'i and Maliki positions emphasize wealth preservation principles. Results indicate that volatile gold markets between 2020-2024 caused nisab values to fluctuate between forty-three to seventy-eight percent, significantly affecting muzakki populations and zakat revenue streams in Muslim-majority countries. The research concludes that contemporary nisab determination requires balancing three foundational Islamic principles: justice in obligation distribution, ease in compliance, and maximization of social welfare. \n \n\n\n\n\nKeywords: Gold Zakat, Nisab Threshold, Price Volatility, Contemporary Fiqh, Islamic Economics, Wealth Redistribution, Ijtihad","container-title":"International Journal of Economics Management and Social Science","ISSN":"2614-3828","issue":"1","language":"en","license":"Copyright (c) 2026 Loso Judijanto (Author)","page":"39-57","source":"journal.salewangang.net","title":"Dynamic Nisab Calculation in Gold Zakat: A Contemporary Fiqh Analysis of Global Gold Price Volatility","volume":"9","author":[{"family":"Judijanto","given":"Loso"}],"issued":{"date-parts":[["2026",1,19]]}}}],"schema":"https://github.com/citation-style-language/schema/raw/master/csl-citation.json"} </w:instrText>
      </w:r>
      <w:r w:rsidR="00F76AE9" w:rsidRPr="0097203D">
        <w:rPr>
          <w:lang w:val="en-MY"/>
        </w:rPr>
        <w:fldChar w:fldCharType="separate"/>
      </w:r>
      <w:r w:rsidR="00F76AE9" w:rsidRPr="0097203D">
        <w:rPr>
          <w:rFonts w:cs="Times New Roman"/>
          <w:lang w:val="en-MY"/>
        </w:rPr>
        <w:t>(Judijanto, 2026)</w:t>
      </w:r>
      <w:r w:rsidR="00F76AE9" w:rsidRPr="0097203D">
        <w:rPr>
          <w:lang w:val="en-MY"/>
        </w:rPr>
        <w:fldChar w:fldCharType="end"/>
      </w:r>
      <w:r w:rsidR="00F76AE9" w:rsidRPr="0097203D">
        <w:rPr>
          <w:lang w:val="en-MY"/>
        </w:rPr>
        <w:t>.</w:t>
      </w:r>
      <w:r w:rsidRPr="0097203D">
        <w:rPr>
          <w:lang w:val="en-MY"/>
        </w:rPr>
        <w:t xml:space="preserve"> A conceptual study on </w:t>
      </w:r>
      <w:proofErr w:type="spellStart"/>
      <w:r w:rsidR="00F76AE9" w:rsidRPr="0097203D">
        <w:rPr>
          <w:lang w:val="en-MY"/>
        </w:rPr>
        <w:t>n</w:t>
      </w:r>
      <w:r w:rsidRPr="0097203D">
        <w:rPr>
          <w:lang w:val="en-MY"/>
        </w:rPr>
        <w:t>isab</w:t>
      </w:r>
      <w:proofErr w:type="spellEnd"/>
      <w:r w:rsidRPr="0097203D">
        <w:rPr>
          <w:lang w:val="en-MY"/>
        </w:rPr>
        <w:t xml:space="preserve"> and </w:t>
      </w:r>
      <w:r w:rsidR="00F76AE9" w:rsidRPr="0097203D">
        <w:rPr>
          <w:lang w:val="en-MY"/>
        </w:rPr>
        <w:t>z</w:t>
      </w:r>
      <w:r w:rsidRPr="0097203D">
        <w:rPr>
          <w:lang w:val="en-MY"/>
        </w:rPr>
        <w:t xml:space="preserve">akat </w:t>
      </w:r>
      <w:r w:rsidR="00F76AE9" w:rsidRPr="0097203D">
        <w:rPr>
          <w:lang w:val="en-MY"/>
        </w:rPr>
        <w:t>c</w:t>
      </w:r>
      <w:r w:rsidRPr="0097203D">
        <w:rPr>
          <w:lang w:val="en-MY"/>
        </w:rPr>
        <w:t>ontribution notes that the fluctuations in the prices of gold and silver can have a significant impact and may indirectly affect the collection and distribution of zakat</w:t>
      </w:r>
      <w:r w:rsidR="00F76AE9" w:rsidRPr="0097203D">
        <w:rPr>
          <w:lang w:val="en-MY"/>
        </w:rPr>
        <w:t xml:space="preserve"> </w:t>
      </w:r>
      <w:r w:rsidR="00F76AE9" w:rsidRPr="0097203D">
        <w:rPr>
          <w:lang w:val="en-MY"/>
        </w:rPr>
        <w:fldChar w:fldCharType="begin"/>
      </w:r>
      <w:r w:rsidR="00585725">
        <w:rPr>
          <w:lang w:val="en-MY"/>
        </w:rPr>
        <w:instrText xml:space="preserve"> ADDIN ZOTERO_ITEM CSL_CITATION {"citationID":"9PLouCiB","properties":{"unsorted":false,"formattedCitation":"(Senawi et al., 2023)","plainCitation":"(Senawi et al., 2023)","noteIndex":0},"citationItems":[{"id":3514,"uris":["http://zotero.org/users/17067337/items/XGJX9INB"],"itemData":{"id":3514,"type":"article-journal","abstract":"Zakat distribution has a positive correlation with its collection. Thus, a higher collection of zakat will positively impact the distribution amount and reach a bigger pool of zakat recipients. However, some external constraints in its collection could likely have an adverse impact on its collection, especially the effect of the macroeconomic factors. It becomes crucial when the increase in the price of gold (one of the primary commodities used as a nisab benchmark for zakat in Islam) is claimed to negatively influence the collection and allocation of zakat to the respective recipients. Therefore, this study aims to investigate whether the high and low value of nisab due to the fluctuating price of gold in the world market could negatively influence the zakat collection and indirectly affect all the recipients, especially the poor and needy. In achieving this aim, this study will utilize a structured self-administered questionnaire to study the awareness of Muslims on the nisab of zakat and its influence on their zakat payments. It is still relatively rare to find any research on the awareness of the nisab of zakat and its relation to the zakat contribution. One past econometric study concluded that a higher nisab leads to a lower zakat collection. The findings of this proposed study could complement that previous study and hence be justifiable due to its significant impact on the recipients of zakat (asnaf) as the main stakeholders.","container-title":"Information Management and Business Review","DOI":"10.22610/imbr.v15i4(SI)I.3607","ISSN":"2220-3796","issue":"4(SI)I","language":"en","page":"331-336","source":"ojs.amhinternational.com","title":"Nisab of Zakat and Zakat Contribution: A Conceptual Model","volume":"15","author":[{"family":"Senawi","given":"Azhan Rashid"},{"family":"Omar","given":"Heizal Hezry"},{"family":"Muhamat","given":"Amirul Afif"},{"family":"Harun","given":"Shariff"},{"family":"Husain","given":"Husna"},{"family":"Widiastuti","given":"Tika"},{"family":"Chik","given":"Nazri"}],"issued":{"date-parts":[["2023",11,12]]}}}],"schema":"https://github.com/citation-style-language/schema/raw/master/csl-citation.json"} </w:instrText>
      </w:r>
      <w:r w:rsidR="00F76AE9" w:rsidRPr="0097203D">
        <w:rPr>
          <w:lang w:val="en-MY"/>
        </w:rPr>
        <w:fldChar w:fldCharType="separate"/>
      </w:r>
      <w:r w:rsidR="00F76AE9" w:rsidRPr="0097203D">
        <w:rPr>
          <w:rFonts w:cs="Times New Roman"/>
          <w:lang w:val="en-MY"/>
        </w:rPr>
        <w:t>(Senawi et al., 2023)</w:t>
      </w:r>
      <w:r w:rsidR="00F76AE9" w:rsidRPr="0097203D">
        <w:rPr>
          <w:lang w:val="en-MY"/>
        </w:rPr>
        <w:fldChar w:fldCharType="end"/>
      </w:r>
      <w:r w:rsidR="00F76AE9" w:rsidRPr="0097203D">
        <w:rPr>
          <w:lang w:val="en-MY"/>
        </w:rPr>
        <w:t xml:space="preserve">. </w:t>
      </w:r>
      <w:r w:rsidRPr="0097203D">
        <w:rPr>
          <w:lang w:val="en-MY"/>
        </w:rPr>
        <w:t xml:space="preserve">The main </w:t>
      </w:r>
      <w:r w:rsidR="00F76AE9" w:rsidRPr="0097203D">
        <w:rPr>
          <w:lang w:val="en-MY"/>
        </w:rPr>
        <w:t xml:space="preserve">point of this article is that the gold price </w:t>
      </w:r>
      <w:proofErr w:type="spellStart"/>
      <w:r w:rsidR="00F76AE9" w:rsidRPr="0097203D">
        <w:rPr>
          <w:lang w:val="en-MY"/>
        </w:rPr>
        <w:t>nisab</w:t>
      </w:r>
      <w:proofErr w:type="spellEnd"/>
      <w:r w:rsidR="00F76AE9" w:rsidRPr="0097203D">
        <w:rPr>
          <w:lang w:val="en-MY"/>
        </w:rPr>
        <w:t xml:space="preserve">, </w:t>
      </w:r>
      <w:r w:rsidRPr="0097203D">
        <w:rPr>
          <w:lang w:val="en-MY"/>
        </w:rPr>
        <w:t>denominated in the currency of exchange, is an administrative issue of ijtihad and Islamic governance</w:t>
      </w:r>
      <w:r w:rsidR="00AB4E02">
        <w:rPr>
          <w:lang w:val="en-MY"/>
        </w:rPr>
        <w:t>, given</w:t>
      </w:r>
      <w:r w:rsidRPr="0097203D">
        <w:rPr>
          <w:lang w:val="en-MY"/>
        </w:rPr>
        <w:t xml:space="preserve"> the volatility of the gold price. While the Shariah establishes the basic price of gold (</w:t>
      </w:r>
      <w:proofErr w:type="spellStart"/>
      <w:r w:rsidRPr="0097203D">
        <w:rPr>
          <w:lang w:val="en-MY"/>
        </w:rPr>
        <w:t>nisab</w:t>
      </w:r>
      <w:proofErr w:type="spellEnd"/>
      <w:r w:rsidRPr="0097203D">
        <w:rPr>
          <w:lang w:val="en-MY"/>
        </w:rPr>
        <w:t>), it leaves it to institutions</w:t>
      </w:r>
      <w:r w:rsidR="00A33D64">
        <w:rPr>
          <w:lang w:val="en-MY"/>
        </w:rPr>
        <w:t>’</w:t>
      </w:r>
      <w:r w:rsidRPr="0097203D">
        <w:rPr>
          <w:lang w:val="en-MY"/>
        </w:rPr>
        <w:t xml:space="preserve"> discretion to use </w:t>
      </w:r>
      <w:r w:rsidR="00F76AE9" w:rsidRPr="0097203D">
        <w:rPr>
          <w:lang w:val="en-MY"/>
        </w:rPr>
        <w:t xml:space="preserve">either the spot price or the </w:t>
      </w:r>
      <w:proofErr w:type="spellStart"/>
      <w:r w:rsidR="00F76AE9" w:rsidRPr="0097203D">
        <w:rPr>
          <w:lang w:val="en-MY"/>
        </w:rPr>
        <w:t>averaged</w:t>
      </w:r>
      <w:proofErr w:type="spellEnd"/>
      <w:r w:rsidR="00F76AE9" w:rsidRPr="0097203D">
        <w:rPr>
          <w:lang w:val="en-MY"/>
        </w:rPr>
        <w:t xml:space="preserve"> price, to use pure gold or market gold, and to communicate this </w:t>
      </w:r>
      <w:r w:rsidRPr="0097203D">
        <w:rPr>
          <w:lang w:val="en-MY"/>
        </w:rPr>
        <w:t>to the people. These decisions are not mere technicalities</w:t>
      </w:r>
      <w:r w:rsidR="00F76AE9" w:rsidRPr="0097203D">
        <w:rPr>
          <w:lang w:val="en-MY"/>
        </w:rPr>
        <w:t xml:space="preserve"> as they will impact </w:t>
      </w:r>
      <w:r w:rsidRPr="0097203D">
        <w:rPr>
          <w:lang w:val="en-MY"/>
        </w:rPr>
        <w:t xml:space="preserve">the fairness, compliance, </w:t>
      </w:r>
      <w:r w:rsidR="00F76AE9" w:rsidRPr="0097203D">
        <w:rPr>
          <w:lang w:val="en-MY"/>
        </w:rPr>
        <w:t xml:space="preserve">and </w:t>
      </w:r>
      <w:r w:rsidRPr="0097203D">
        <w:rPr>
          <w:lang w:val="en-MY"/>
        </w:rPr>
        <w:t>legitimacy of the institution and the socioeconomic scope of zakat.</w:t>
      </w:r>
    </w:p>
    <w:p w:rsidR="00777323" w:rsidRPr="0097203D" w:rsidRDefault="00F76AE9" w:rsidP="009E1448">
      <w:pPr>
        <w:spacing w:line="240" w:lineRule="auto"/>
        <w:ind w:firstLine="720"/>
        <w:jc w:val="both"/>
        <w:rPr>
          <w:lang w:val="en-MY"/>
        </w:rPr>
      </w:pPr>
      <w:r w:rsidRPr="0097203D">
        <w:rPr>
          <w:lang w:val="en-MY"/>
        </w:rPr>
        <w:t>This article addresses three research questions</w:t>
      </w:r>
      <w:r w:rsidR="00777323" w:rsidRPr="0097203D">
        <w:rPr>
          <w:lang w:val="en-MY"/>
        </w:rPr>
        <w:t xml:space="preserve">. Firstly, </w:t>
      </w:r>
      <w:r w:rsidRPr="0097203D">
        <w:rPr>
          <w:lang w:val="en-MY"/>
        </w:rPr>
        <w:t>what</w:t>
      </w:r>
      <w:r w:rsidR="00777323" w:rsidRPr="0097203D">
        <w:rPr>
          <w:lang w:val="en-MY"/>
        </w:rPr>
        <w:t xml:space="preserve"> is the difference between the </w:t>
      </w:r>
      <w:proofErr w:type="spellStart"/>
      <w:r w:rsidR="00777323" w:rsidRPr="0097203D">
        <w:rPr>
          <w:lang w:val="en-MY"/>
        </w:rPr>
        <w:t>nisab</w:t>
      </w:r>
      <w:proofErr w:type="spellEnd"/>
      <w:r w:rsidR="00777323" w:rsidRPr="0097203D">
        <w:rPr>
          <w:lang w:val="en-MY"/>
        </w:rPr>
        <w:t xml:space="preserve"> fixed in the jurisprudence and the </w:t>
      </w:r>
      <w:proofErr w:type="spellStart"/>
      <w:r w:rsidR="00777323" w:rsidRPr="0097203D">
        <w:rPr>
          <w:lang w:val="en-MY"/>
        </w:rPr>
        <w:t>nisab</w:t>
      </w:r>
      <w:proofErr w:type="spellEnd"/>
      <w:r w:rsidR="00777323" w:rsidRPr="0097203D">
        <w:rPr>
          <w:lang w:val="en-MY"/>
        </w:rPr>
        <w:t xml:space="preserve"> fixed in the administrative currency? Secondly, what are the consequences of </w:t>
      </w:r>
      <w:r w:rsidRPr="0097203D">
        <w:rPr>
          <w:lang w:val="en-MY"/>
        </w:rPr>
        <w:t xml:space="preserve">international volatility in gold prices for the liability for wealth zakat, for collection, and for confidence in </w:t>
      </w:r>
      <w:r w:rsidR="00777323" w:rsidRPr="0097203D">
        <w:rPr>
          <w:lang w:val="en-MY"/>
        </w:rPr>
        <w:t xml:space="preserve">zakat institutions? Thirdly, which Islamic governance model should be used to determine, </w:t>
      </w:r>
      <w:r w:rsidRPr="0097203D">
        <w:rPr>
          <w:lang w:val="en-MY"/>
        </w:rPr>
        <w:t xml:space="preserve">verify, and announce the </w:t>
      </w:r>
      <w:proofErr w:type="spellStart"/>
      <w:r w:rsidRPr="0097203D">
        <w:rPr>
          <w:lang w:val="en-MY"/>
        </w:rPr>
        <w:t>nisab</w:t>
      </w:r>
      <w:proofErr w:type="spellEnd"/>
      <w:r w:rsidRPr="0097203D">
        <w:rPr>
          <w:lang w:val="en-MY"/>
        </w:rPr>
        <w:t xml:space="preserve"> values for gold for the authorities responsible for</w:t>
      </w:r>
      <w:r w:rsidR="00777323" w:rsidRPr="0097203D">
        <w:rPr>
          <w:lang w:val="en-MY"/>
        </w:rPr>
        <w:t xml:space="preserve"> zakat? This article adds value </w:t>
      </w:r>
      <w:r w:rsidRPr="0097203D">
        <w:rPr>
          <w:lang w:val="en-MY"/>
        </w:rPr>
        <w:t xml:space="preserve">to the literature by combining classical fiqh, modern fatwa, gold market data, and </w:t>
      </w:r>
      <w:r w:rsidR="00AB4E02">
        <w:rPr>
          <w:lang w:val="en-MY"/>
        </w:rPr>
        <w:t xml:space="preserve">governance theory </w:t>
      </w:r>
      <w:r w:rsidRPr="0097203D">
        <w:rPr>
          <w:lang w:val="en-MY"/>
        </w:rPr>
        <w:t>into</w:t>
      </w:r>
      <w:r w:rsidR="00777323" w:rsidRPr="0097203D">
        <w:rPr>
          <w:lang w:val="en-MY"/>
        </w:rPr>
        <w:t xml:space="preserve"> a single conceptual framework for the institution of zakat.</w:t>
      </w:r>
    </w:p>
    <w:p w:rsidR="005710BE" w:rsidRPr="0097203D" w:rsidRDefault="00DC7EAF" w:rsidP="00500528">
      <w:pPr>
        <w:pStyle w:val="Heading2"/>
        <w:rPr>
          <w:lang w:val="en-MY"/>
        </w:rPr>
      </w:pPr>
      <w:r w:rsidRPr="0097203D">
        <w:rPr>
          <w:lang w:val="en-MY"/>
        </w:rPr>
        <w:t>2. Literature Review</w:t>
      </w:r>
    </w:p>
    <w:p w:rsidR="000D7AB0" w:rsidRPr="0097203D" w:rsidRDefault="00DC7EAF" w:rsidP="009E1448">
      <w:pPr>
        <w:spacing w:line="240" w:lineRule="auto"/>
        <w:jc w:val="both"/>
        <w:rPr>
          <w:rFonts w:asciiTheme="majorBidi" w:hAnsiTheme="majorBidi" w:cstheme="majorBidi"/>
          <w:szCs w:val="24"/>
          <w:lang w:val="en-MY"/>
        </w:rPr>
      </w:pPr>
      <w:r w:rsidRPr="0097203D">
        <w:rPr>
          <w:rFonts w:asciiTheme="majorBidi" w:hAnsiTheme="majorBidi" w:cstheme="majorBidi"/>
          <w:szCs w:val="24"/>
          <w:lang w:val="en-MY"/>
        </w:rPr>
        <w:t xml:space="preserve">The literature on zakat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can be grouped into four streams. The first stream consists of classical juristic works on gold, silver, zakatable wealth and monetary thresholds. In the </w:t>
      </w:r>
      <w:proofErr w:type="spellStart"/>
      <w:r w:rsidRPr="0097203D">
        <w:rPr>
          <w:rFonts w:asciiTheme="majorBidi" w:hAnsiTheme="majorBidi" w:cstheme="majorBidi"/>
          <w:szCs w:val="24"/>
          <w:lang w:val="en-MY"/>
        </w:rPr>
        <w:t>Shāfiʿī</w:t>
      </w:r>
      <w:proofErr w:type="spellEnd"/>
      <w:r w:rsidRPr="0097203D">
        <w:rPr>
          <w:rFonts w:asciiTheme="majorBidi" w:hAnsiTheme="majorBidi" w:cstheme="majorBidi"/>
          <w:szCs w:val="24"/>
          <w:lang w:val="en-MY"/>
        </w:rPr>
        <w:t xml:space="preserve"> tradition, works such as al-</w:t>
      </w:r>
      <w:proofErr w:type="spellStart"/>
      <w:r w:rsidRPr="0097203D">
        <w:rPr>
          <w:rFonts w:asciiTheme="majorBidi" w:hAnsiTheme="majorBidi" w:cstheme="majorBidi"/>
          <w:szCs w:val="24"/>
          <w:lang w:val="en-MY"/>
        </w:rPr>
        <w:t>Majmūʿ</w:t>
      </w:r>
      <w:proofErr w:type="spellEnd"/>
      <w:r w:rsidRPr="0097203D">
        <w:rPr>
          <w:rFonts w:asciiTheme="majorBidi" w:hAnsiTheme="majorBidi" w:cstheme="majorBidi"/>
          <w:szCs w:val="24"/>
          <w:lang w:val="en-MY"/>
        </w:rPr>
        <w:t>, al-</w:t>
      </w:r>
      <w:proofErr w:type="spellStart"/>
      <w:r w:rsidRPr="0097203D">
        <w:rPr>
          <w:rFonts w:asciiTheme="majorBidi" w:hAnsiTheme="majorBidi" w:cstheme="majorBidi"/>
          <w:szCs w:val="24"/>
          <w:lang w:val="en-MY"/>
        </w:rPr>
        <w:t>Muhadhdhab</w:t>
      </w:r>
      <w:proofErr w:type="spellEnd"/>
      <w:r w:rsidRPr="0097203D">
        <w:rPr>
          <w:rFonts w:asciiTheme="majorBidi" w:hAnsiTheme="majorBidi" w:cstheme="majorBidi"/>
          <w:szCs w:val="24"/>
          <w:lang w:val="en-MY"/>
        </w:rPr>
        <w:t>, al-</w:t>
      </w:r>
      <w:proofErr w:type="spellStart"/>
      <w:r w:rsidRPr="0097203D">
        <w:rPr>
          <w:rFonts w:asciiTheme="majorBidi" w:hAnsiTheme="majorBidi" w:cstheme="majorBidi"/>
          <w:szCs w:val="24"/>
          <w:lang w:val="en-MY"/>
        </w:rPr>
        <w:t>Ḥāwī</w:t>
      </w:r>
      <w:proofErr w:type="spellEnd"/>
      <w:r w:rsidRPr="0097203D">
        <w:rPr>
          <w:rFonts w:asciiTheme="majorBidi" w:hAnsiTheme="majorBidi" w:cstheme="majorBidi"/>
          <w:szCs w:val="24"/>
          <w:lang w:val="en-MY"/>
        </w:rPr>
        <w:t xml:space="preserve"> al-</w:t>
      </w:r>
      <w:proofErr w:type="spellStart"/>
      <w:r w:rsidRPr="0097203D">
        <w:rPr>
          <w:rFonts w:asciiTheme="majorBidi" w:hAnsiTheme="majorBidi" w:cstheme="majorBidi"/>
          <w:szCs w:val="24"/>
          <w:lang w:val="en-MY"/>
        </w:rPr>
        <w:t>Kabīr</w:t>
      </w:r>
      <w:proofErr w:type="spellEnd"/>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Mughnī</w:t>
      </w:r>
      <w:proofErr w:type="spellEnd"/>
      <w:r w:rsidRPr="0097203D">
        <w:rPr>
          <w:rFonts w:asciiTheme="majorBidi" w:hAnsiTheme="majorBidi" w:cstheme="majorBidi"/>
          <w:szCs w:val="24"/>
          <w:lang w:val="en-MY"/>
        </w:rPr>
        <w:t xml:space="preserve"> al-</w:t>
      </w:r>
      <w:proofErr w:type="spellStart"/>
      <w:r w:rsidRPr="0097203D">
        <w:rPr>
          <w:rFonts w:asciiTheme="majorBidi" w:hAnsiTheme="majorBidi" w:cstheme="majorBidi"/>
          <w:szCs w:val="24"/>
          <w:lang w:val="en-MY"/>
        </w:rPr>
        <w:t>Muḥtāj</w:t>
      </w:r>
      <w:proofErr w:type="spellEnd"/>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Tuḥfat</w:t>
      </w:r>
      <w:proofErr w:type="spellEnd"/>
      <w:r w:rsidRPr="0097203D">
        <w:rPr>
          <w:rFonts w:asciiTheme="majorBidi" w:hAnsiTheme="majorBidi" w:cstheme="majorBidi"/>
          <w:szCs w:val="24"/>
          <w:lang w:val="en-MY"/>
        </w:rPr>
        <w:t xml:space="preserve"> al-</w:t>
      </w:r>
      <w:proofErr w:type="spellStart"/>
      <w:r w:rsidRPr="0097203D">
        <w:rPr>
          <w:rFonts w:asciiTheme="majorBidi" w:hAnsiTheme="majorBidi" w:cstheme="majorBidi"/>
          <w:szCs w:val="24"/>
          <w:lang w:val="en-MY"/>
        </w:rPr>
        <w:t>Muḥtāj</w:t>
      </w:r>
      <w:proofErr w:type="spellEnd"/>
      <w:r w:rsidR="008E4335" w:rsidRPr="0097203D">
        <w:rPr>
          <w:rFonts w:asciiTheme="majorBidi" w:hAnsiTheme="majorBidi" w:cstheme="majorBidi"/>
          <w:szCs w:val="24"/>
          <w:lang w:val="en-MY"/>
        </w:rPr>
        <w:t xml:space="preserve">, and </w:t>
      </w:r>
      <w:proofErr w:type="spellStart"/>
      <w:r w:rsidR="008E4335" w:rsidRPr="0097203D">
        <w:rPr>
          <w:rFonts w:asciiTheme="majorBidi" w:hAnsiTheme="majorBidi" w:cstheme="majorBidi"/>
          <w:szCs w:val="24"/>
          <w:lang w:val="en-MY"/>
        </w:rPr>
        <w:t>Nihāyat</w:t>
      </w:r>
      <w:proofErr w:type="spellEnd"/>
      <w:r w:rsidR="008E4335" w:rsidRPr="0097203D">
        <w:rPr>
          <w:rFonts w:asciiTheme="majorBidi" w:hAnsiTheme="majorBidi" w:cstheme="majorBidi"/>
          <w:szCs w:val="24"/>
          <w:lang w:val="en-MY"/>
        </w:rPr>
        <w:t xml:space="preserve"> al-</w:t>
      </w:r>
      <w:proofErr w:type="spellStart"/>
      <w:r w:rsidR="008E4335" w:rsidRPr="0097203D">
        <w:rPr>
          <w:rFonts w:asciiTheme="majorBidi" w:hAnsiTheme="majorBidi" w:cstheme="majorBidi"/>
          <w:szCs w:val="24"/>
          <w:lang w:val="en-MY"/>
        </w:rPr>
        <w:t>Muḥtāj</w:t>
      </w:r>
      <w:proofErr w:type="spellEnd"/>
      <w:r w:rsidR="008E4335" w:rsidRPr="0097203D">
        <w:rPr>
          <w:rFonts w:asciiTheme="majorBidi" w:hAnsiTheme="majorBidi" w:cstheme="majorBidi"/>
          <w:szCs w:val="24"/>
          <w:lang w:val="en-MY"/>
        </w:rPr>
        <w:t xml:space="preserve"> provide detailed discussions of the </w:t>
      </w:r>
      <w:proofErr w:type="spellStart"/>
      <w:r w:rsidR="008E4335" w:rsidRPr="0097203D">
        <w:rPr>
          <w:rFonts w:asciiTheme="majorBidi" w:hAnsiTheme="majorBidi" w:cstheme="majorBidi"/>
          <w:szCs w:val="24"/>
          <w:lang w:val="en-MY"/>
        </w:rPr>
        <w:t>nisab</w:t>
      </w:r>
      <w:proofErr w:type="spellEnd"/>
      <w:r w:rsidR="008E4335" w:rsidRPr="0097203D">
        <w:rPr>
          <w:rFonts w:asciiTheme="majorBidi" w:hAnsiTheme="majorBidi" w:cstheme="majorBidi"/>
          <w:szCs w:val="24"/>
          <w:lang w:val="en-MY"/>
        </w:rPr>
        <w:t xml:space="preserve"> of gold and </w:t>
      </w:r>
      <w:r w:rsidR="008E4335" w:rsidRPr="0097203D">
        <w:rPr>
          <w:rFonts w:asciiTheme="majorBidi" w:hAnsiTheme="majorBidi" w:cstheme="majorBidi"/>
          <w:szCs w:val="24"/>
          <w:lang w:val="en-MY"/>
        </w:rPr>
        <w:lastRenderedPageBreak/>
        <w:t>silver, the conditions of zakat liability, ownership, growth,</w:t>
      </w:r>
      <w:r w:rsidRPr="0097203D">
        <w:rPr>
          <w:rFonts w:asciiTheme="majorBidi" w:hAnsiTheme="majorBidi" w:cstheme="majorBidi"/>
          <w:szCs w:val="24"/>
          <w:lang w:val="en-MY"/>
        </w:rPr>
        <w:t xml:space="preserve"> and haul</w:t>
      </w:r>
      <w:r w:rsidR="001D199C">
        <w:rPr>
          <w:rFonts w:asciiTheme="majorBidi" w:hAnsiTheme="majorBidi" w:cstheme="majorBidi"/>
          <w:szCs w:val="24"/>
          <w:lang w:val="en-MY"/>
        </w:rPr>
        <w:t xml:space="preserve"> (</w:t>
      </w:r>
      <w:r w:rsidR="001D199C" w:rsidRPr="001D199C">
        <w:rPr>
          <w:rFonts w:asciiTheme="majorBidi" w:hAnsiTheme="majorBidi" w:cstheme="majorBidi"/>
          <w:szCs w:val="24"/>
          <w:lang w:val="en-MY"/>
        </w:rPr>
        <w:t>the minimum period of one lunar (Hijri) year</w:t>
      </w:r>
      <w:r w:rsidR="001D199C">
        <w:rPr>
          <w:rFonts w:asciiTheme="majorBidi" w:hAnsiTheme="majorBidi" w:cstheme="majorBidi"/>
          <w:szCs w:val="24"/>
          <w:lang w:val="en-MY"/>
        </w:rPr>
        <w:t xml:space="preserve">) </w:t>
      </w:r>
      <w:r w:rsidR="00D47DBD"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{"citationID":"i7U0KaK7","properties":{"unsorted":false,"formattedCitation":"(Al-Kha\\uc0\\u7789{}\\uc0\\u299{}b al-Shirb\\uc0\\u299{}n\\uc0\\u299{}, 1994; Al-Mawardi, 1999; Al-Nawawi, 1344; Al-Raml\\uc0\\u299{}, 1984; Al-Sh\\uc0\\u299{}r\\uc0\\u257{}z\\uc0\\u299{}, n.d.; Ibn \\uc0\\u7716{}ajar al-Haytam\\uc0\\u299{}, 1983)","plainCitation":"(Al-Khaṭīb al-Shirbīnī, 1994; Al-Mawardi, 1999; Al-Nawawi, 1344; Al-Ramlī, 1984; Al-Shīrāzī, n.d.; Ibn Ḥajar al-Haytamī, 1983)","noteIndex":0},"citationItems":[{"id":3522,"uris":["http://zotero.org/users/17067337/items/39T8WBAK"],"itemData":{"id":3522,"type":"book","title":"Mughnī al-Muḥtāj ilā maʿrifat maʿānī alfāẓ al-Minhāj","URL":"https://shamela.ws/book/11444","volume":"6","author":[{"family":"Al-Khaṭīb al-Shirbīnī","given":"M. A."}],"accessed":{"date-parts":[["2026",6,3]]},"issued":{"date-parts":[["1994"]]}}},{"id":3089,"uris":["http://zotero.org/users/17067337/items/86GCM8CD"],"itemData":{"id":3089,"type":"book","publisher":"Dar al-Kutub al-'Ilmiyyah","title":"Al-Hawi al-Kabir fi Fiqh Madhhab al-Imam al-Shafi'i","author":[{"family":"Al-Mawardi","given":"'Ali bin Muhammad"}],"issued":{"date-parts":[["1999"]]}}},{"id":1118,"uris":["http://zotero.org/users/17067337/items/8F78AHJ4"],"itemData":{"id":1118,"type":"book","publisher":"Idarah al-Tabaah al-Munirah","publisher-place":"Cairo","title":"Al-Majmu' Sharh al-Muhazzab","URL":"https://shamela.ws/book/2186","volume":"9","author":[{"family":"Al-Nawawi","given":"M."}],"accessed":{"date-parts":[["2025",6,5]]},"issued":{"date-parts":[["1344"]]}}},{"id":3526,"uris":["http://zotero.org/users/17067337/items/NRIHBFGV"],"itemData":{"id":3526,"type":"book","publisher":"Dār al-Fikr","publisher-place":"Bayrut","title":"Nihāyat al-Muḥtāj ilā sharḥ al-Minhāj","URL":"https://shamela.ws/book/3565","volume":"8","author":[{"family":"Al-Ramlī","given":"M. A."}],"accessed":{"date-parts":[["2026",6,3]]},"issued":{"date-parts":[["1984"]]}}},{"id":3518,"uris":["http://zotero.org/users/17067337/items/LL6QJWFY"],"itemData":{"id":3518,"type":"book","publisher":"Dār al-Kutub al-ʿIlmiyyah","title":"Al-Muhadhdhab","URL":"https://shamela.ws/book/11813","author":[{"family":"Al-Shīrāzī","given":"I. A."}],"accessed":{"date-parts":[["2026",6,3]]}}},{"id":3524,"uris":["http://zotero.org/users/17067337/items/JD6YV9AA"],"itemData":{"id":3524,"type":"book","publisher":"Dār Iḥyāʾ al-Turāth al-ʿArabī","publisher-place":"Bayrut","title":"Tuḥfat al-Muḥtāj bi-sharḥ al-Minhāj","URL":"https://shamela.ws/book/9059","volume":"10","author":[{"family":"Ibn Ḥajar al-Haytamī","given":"A. M."}],"accessed":{"date-parts":[["2026",6,3]]},"issued":{"date-parts":[["1983"]]}}}],"schema":"https://github.com/citation-style-language/schema/raw/master/csl-citation.json"} </w:instrText>
      </w:r>
      <w:r w:rsidR="00D47DBD" w:rsidRPr="0097203D">
        <w:rPr>
          <w:rFonts w:asciiTheme="majorBidi" w:hAnsiTheme="majorBidi" w:cstheme="majorBidi"/>
          <w:szCs w:val="24"/>
          <w:lang w:val="en-MY"/>
        </w:rPr>
        <w:fldChar w:fldCharType="separate"/>
      </w:r>
      <w:r w:rsidR="00D47DBD" w:rsidRPr="0097203D">
        <w:rPr>
          <w:rFonts w:cs="Times New Roman"/>
          <w:szCs w:val="24"/>
          <w:lang w:val="en-MY"/>
        </w:rPr>
        <w:t>(Al-Khaṭīb al-Shirbīnī, 1994; Al-Mawardi, 1999; Al-Nawawi, 1344; Al-Ramlī, 1984; Al-Shīrāzī, n.d.; Ibn Ḥajar al-Haytamī, 1983)</w:t>
      </w:r>
      <w:r w:rsidR="00D47DBD" w:rsidRPr="0097203D">
        <w:rPr>
          <w:rFonts w:asciiTheme="majorBidi" w:hAnsiTheme="majorBidi" w:cstheme="majorBidi"/>
          <w:szCs w:val="24"/>
          <w:lang w:val="en-MY"/>
        </w:rPr>
        <w:fldChar w:fldCharType="end"/>
      </w:r>
      <w:r w:rsidR="00D47DBD" w:rsidRPr="0097203D">
        <w:rPr>
          <w:rFonts w:asciiTheme="majorBidi" w:hAnsiTheme="majorBidi" w:cstheme="majorBidi"/>
          <w:szCs w:val="24"/>
          <w:lang w:val="en-MY"/>
        </w:rPr>
        <w:t>.</w:t>
      </w:r>
      <w:r w:rsidRPr="0097203D">
        <w:rPr>
          <w:rFonts w:asciiTheme="majorBidi" w:hAnsiTheme="majorBidi" w:cstheme="majorBidi"/>
          <w:szCs w:val="24"/>
          <w:lang w:val="en-MY"/>
        </w:rPr>
        <w:t xml:space="preserve"> Ibn al-</w:t>
      </w:r>
      <w:proofErr w:type="spellStart"/>
      <w:r w:rsidRPr="0097203D">
        <w:rPr>
          <w:rFonts w:asciiTheme="majorBidi" w:hAnsiTheme="majorBidi" w:cstheme="majorBidi"/>
          <w:szCs w:val="24"/>
          <w:lang w:val="en-MY"/>
        </w:rPr>
        <w:t>Mundhir</w:t>
      </w:r>
      <w:r w:rsidR="00A33D64">
        <w:rPr>
          <w:rFonts w:asciiTheme="majorBidi" w:hAnsiTheme="majorBidi" w:cstheme="majorBidi"/>
          <w:szCs w:val="24"/>
          <w:lang w:val="en-MY"/>
        </w:rPr>
        <w:t>’</w:t>
      </w:r>
      <w:r w:rsidRPr="0097203D">
        <w:rPr>
          <w:rFonts w:asciiTheme="majorBidi" w:hAnsiTheme="majorBidi" w:cstheme="majorBidi"/>
          <w:szCs w:val="24"/>
          <w:lang w:val="en-MY"/>
        </w:rPr>
        <w:t>s</w:t>
      </w:r>
      <w:proofErr w:type="spellEnd"/>
      <w:r w:rsidRPr="0097203D">
        <w:rPr>
          <w:rFonts w:asciiTheme="majorBidi" w:hAnsiTheme="majorBidi" w:cstheme="majorBidi"/>
          <w:szCs w:val="24"/>
          <w:lang w:val="en-MY"/>
        </w:rPr>
        <w:t xml:space="preserve"> work on </w:t>
      </w:r>
      <w:proofErr w:type="spellStart"/>
      <w:r w:rsidRPr="0097203D">
        <w:rPr>
          <w:rFonts w:asciiTheme="majorBidi" w:hAnsiTheme="majorBidi" w:cstheme="majorBidi"/>
          <w:szCs w:val="24"/>
          <w:lang w:val="en-MY"/>
        </w:rPr>
        <w:t>ijmaʿ</w:t>
      </w:r>
      <w:proofErr w:type="spellEnd"/>
      <w:r w:rsidRPr="0097203D">
        <w:rPr>
          <w:rFonts w:asciiTheme="majorBidi" w:hAnsiTheme="majorBidi" w:cstheme="majorBidi"/>
          <w:szCs w:val="24"/>
          <w:lang w:val="en-MY"/>
        </w:rPr>
        <w:t xml:space="preserve"> is relevant because it records areas of juristic agreement, including issues connected to zakat obligations</w:t>
      </w:r>
      <w:r w:rsidR="00D47DBD" w:rsidRPr="0097203D">
        <w:rPr>
          <w:rFonts w:asciiTheme="majorBidi" w:hAnsiTheme="majorBidi" w:cstheme="majorBidi"/>
          <w:szCs w:val="24"/>
          <w:lang w:val="en-MY"/>
        </w:rPr>
        <w:t xml:space="preserve"> </w:t>
      </w:r>
      <w:r w:rsidR="00D47DBD" w:rsidRPr="0097203D">
        <w:rPr>
          <w:rFonts w:asciiTheme="majorBidi" w:hAnsiTheme="majorBidi" w:cstheme="majorBidi"/>
          <w:szCs w:val="24"/>
          <w:lang w:val="en-MY"/>
        </w:rPr>
        <w:fldChar w:fldCharType="begin"/>
      </w:r>
      <w:r w:rsidR="00401F75" w:rsidRPr="0097203D">
        <w:rPr>
          <w:rFonts w:asciiTheme="majorBidi" w:hAnsiTheme="majorBidi" w:cstheme="majorBidi"/>
          <w:szCs w:val="24"/>
          <w:lang w:val="en-MY"/>
        </w:rPr>
        <w:instrText xml:space="preserve"> ADDIN ZOTERO_ITEM CSL_CITATION {"citationID":"PNoH9HVW","properties":{"unsorted":false,"formattedCitation":"(Ibn al-Mundhir, 2004)","plainCitation":"(Ibn al-Mundhir, 2004)","noteIndex":0},"citationItems":[{"id":3528,"uris":["http://zotero.org/users/17067337/items/SJ2LX344"],"itemData":{"id":3528,"type":"book","publisher":"Dār al-Muslim","title":"Al-Ijmāʿ","author":[{"family":"Ibn al-Mundhir","given":"M. I."}],"issued":{"date-parts":[["2004"]]}}}],"schema":"https://github.com/citation-style-language/schema/raw/master/csl-citation.json"} </w:instrText>
      </w:r>
      <w:r w:rsidR="00D47DBD" w:rsidRPr="0097203D">
        <w:rPr>
          <w:rFonts w:asciiTheme="majorBidi" w:hAnsiTheme="majorBidi" w:cstheme="majorBidi"/>
          <w:szCs w:val="24"/>
          <w:lang w:val="en-MY"/>
        </w:rPr>
        <w:fldChar w:fldCharType="separate"/>
      </w:r>
      <w:r w:rsidR="00D47DBD" w:rsidRPr="0097203D">
        <w:rPr>
          <w:rFonts w:cs="Times New Roman"/>
          <w:lang w:val="en-MY"/>
        </w:rPr>
        <w:t>(Ibn al-Mundhir, 2004)</w:t>
      </w:r>
      <w:r w:rsidR="00D47DBD" w:rsidRPr="0097203D">
        <w:rPr>
          <w:rFonts w:asciiTheme="majorBidi" w:hAnsiTheme="majorBidi" w:cstheme="majorBidi"/>
          <w:szCs w:val="24"/>
          <w:lang w:val="en-MY"/>
        </w:rPr>
        <w:fldChar w:fldCharType="end"/>
      </w:r>
      <w:r w:rsidR="00D47DBD" w:rsidRPr="0097203D">
        <w:rPr>
          <w:rFonts w:asciiTheme="majorBidi" w:hAnsiTheme="majorBidi" w:cstheme="majorBidi"/>
          <w:szCs w:val="24"/>
          <w:lang w:val="en-MY"/>
        </w:rPr>
        <w:t>.</w:t>
      </w:r>
      <w:r w:rsidRPr="0097203D">
        <w:rPr>
          <w:rFonts w:asciiTheme="majorBidi" w:hAnsiTheme="majorBidi" w:cstheme="majorBidi"/>
          <w:szCs w:val="24"/>
          <w:lang w:val="en-MY"/>
        </w:rPr>
        <w:t xml:space="preserve"> These sources show that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is not a modern administrative invention but a long-established juristic instrument for identifying zakatable surplus.</w:t>
      </w:r>
    </w:p>
    <w:p w:rsidR="005710BE" w:rsidRPr="0097203D" w:rsidRDefault="00DC7EAF" w:rsidP="009E1448">
      <w:pPr>
        <w:spacing w:line="240" w:lineRule="auto"/>
        <w:ind w:firstLine="720"/>
        <w:jc w:val="both"/>
        <w:rPr>
          <w:rFonts w:asciiTheme="majorBidi" w:hAnsiTheme="majorBidi" w:cstheme="majorBidi"/>
          <w:szCs w:val="24"/>
          <w:lang w:val="en-MY"/>
        </w:rPr>
      </w:pPr>
      <w:r w:rsidRPr="0097203D">
        <w:rPr>
          <w:rFonts w:asciiTheme="majorBidi" w:hAnsiTheme="majorBidi" w:cstheme="majorBidi"/>
          <w:szCs w:val="24"/>
          <w:lang w:val="en-MY"/>
        </w:rPr>
        <w:t xml:space="preserve">The second stream concerns </w:t>
      </w:r>
      <w:proofErr w:type="spellStart"/>
      <w:r w:rsidRPr="0097203D">
        <w:rPr>
          <w:rFonts w:asciiTheme="majorBidi" w:hAnsiTheme="majorBidi" w:cstheme="majorBidi"/>
          <w:szCs w:val="24"/>
          <w:lang w:val="en-MY"/>
        </w:rPr>
        <w:t>qawaʿid</w:t>
      </w:r>
      <w:proofErr w:type="spellEnd"/>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fiqhiyyah</w:t>
      </w:r>
      <w:proofErr w:type="spellEnd"/>
      <w:r w:rsidRPr="0097203D">
        <w:rPr>
          <w:rFonts w:asciiTheme="majorBidi" w:hAnsiTheme="majorBidi" w:cstheme="majorBidi"/>
          <w:szCs w:val="24"/>
          <w:lang w:val="en-MY"/>
        </w:rPr>
        <w:t xml:space="preserve"> and </w:t>
      </w:r>
      <w:proofErr w:type="spellStart"/>
      <w:r w:rsidRPr="0097203D">
        <w:rPr>
          <w:rFonts w:asciiTheme="majorBidi" w:hAnsiTheme="majorBidi" w:cstheme="majorBidi"/>
          <w:szCs w:val="24"/>
          <w:lang w:val="en-MY"/>
        </w:rPr>
        <w:t>maqasid</w:t>
      </w:r>
      <w:proofErr w:type="spellEnd"/>
      <w:r w:rsidRPr="0097203D">
        <w:rPr>
          <w:rFonts w:asciiTheme="majorBidi" w:hAnsiTheme="majorBidi" w:cstheme="majorBidi"/>
          <w:szCs w:val="24"/>
          <w:lang w:val="en-MY"/>
        </w:rPr>
        <w:t xml:space="preserve"> al-shariah. Al-</w:t>
      </w:r>
      <w:proofErr w:type="spellStart"/>
      <w:r w:rsidRPr="0097203D">
        <w:rPr>
          <w:rFonts w:asciiTheme="majorBidi" w:hAnsiTheme="majorBidi" w:cstheme="majorBidi"/>
          <w:szCs w:val="24"/>
          <w:lang w:val="en-MY"/>
        </w:rPr>
        <w:t>Suyūṭī</w:t>
      </w:r>
      <w:proofErr w:type="spellEnd"/>
      <w:r w:rsidRPr="0097203D">
        <w:rPr>
          <w:rFonts w:asciiTheme="majorBidi" w:hAnsiTheme="majorBidi" w:cstheme="majorBidi"/>
          <w:szCs w:val="24"/>
          <w:lang w:val="en-MY"/>
        </w:rPr>
        <w:t>, al-</w:t>
      </w:r>
      <w:proofErr w:type="spellStart"/>
      <w:r w:rsidRPr="0097203D">
        <w:rPr>
          <w:rFonts w:asciiTheme="majorBidi" w:hAnsiTheme="majorBidi" w:cstheme="majorBidi"/>
          <w:szCs w:val="24"/>
          <w:lang w:val="en-MY"/>
        </w:rPr>
        <w:t>Zarkashī</w:t>
      </w:r>
      <w:proofErr w:type="spellEnd"/>
      <w:r w:rsidRPr="0097203D">
        <w:rPr>
          <w:rFonts w:asciiTheme="majorBidi" w:hAnsiTheme="majorBidi" w:cstheme="majorBidi"/>
          <w:szCs w:val="24"/>
          <w:lang w:val="en-MY"/>
        </w:rPr>
        <w:t xml:space="preserve">, Ibn </w:t>
      </w:r>
      <w:proofErr w:type="spellStart"/>
      <w:r w:rsidRPr="0097203D">
        <w:rPr>
          <w:rFonts w:asciiTheme="majorBidi" w:hAnsiTheme="majorBidi" w:cstheme="majorBidi"/>
          <w:szCs w:val="24"/>
          <w:lang w:val="en-MY"/>
        </w:rPr>
        <w:t>Nujaym</w:t>
      </w:r>
      <w:proofErr w:type="spellEnd"/>
      <w:r w:rsidRPr="0097203D">
        <w:rPr>
          <w:rFonts w:asciiTheme="majorBidi" w:hAnsiTheme="majorBidi" w:cstheme="majorBidi"/>
          <w:szCs w:val="24"/>
          <w:lang w:val="en-MY"/>
        </w:rPr>
        <w:t xml:space="preserve"> and al-</w:t>
      </w:r>
      <w:proofErr w:type="spellStart"/>
      <w:r w:rsidRPr="0097203D">
        <w:rPr>
          <w:rFonts w:asciiTheme="majorBidi" w:hAnsiTheme="majorBidi" w:cstheme="majorBidi"/>
          <w:szCs w:val="24"/>
          <w:lang w:val="en-MY"/>
        </w:rPr>
        <w:t>Qarāfī</w:t>
      </w:r>
      <w:proofErr w:type="spellEnd"/>
      <w:r w:rsidRPr="0097203D">
        <w:rPr>
          <w:rFonts w:asciiTheme="majorBidi" w:hAnsiTheme="majorBidi" w:cstheme="majorBidi"/>
          <w:szCs w:val="24"/>
          <w:lang w:val="en-MY"/>
        </w:rPr>
        <w:t xml:space="preserve"> provide legal maxims </w:t>
      </w:r>
      <w:r w:rsidR="00AB4E02">
        <w:rPr>
          <w:rFonts w:asciiTheme="majorBidi" w:hAnsiTheme="majorBidi" w:cstheme="majorBidi"/>
          <w:szCs w:val="24"/>
          <w:lang w:val="en-MY"/>
        </w:rPr>
        <w:t>highly relevant to contemporary governance, especially those related to hardship removal, public interest, custom, certainty,</w:t>
      </w:r>
      <w:r w:rsidRPr="0097203D">
        <w:rPr>
          <w:rFonts w:asciiTheme="majorBidi" w:hAnsiTheme="majorBidi" w:cstheme="majorBidi"/>
          <w:szCs w:val="24"/>
          <w:lang w:val="en-MY"/>
        </w:rPr>
        <w:t xml:space="preserve"> and discretionary authority</w:t>
      </w:r>
      <w:r w:rsidR="000D7AB0" w:rsidRPr="0097203D">
        <w:rPr>
          <w:rFonts w:asciiTheme="majorBidi" w:hAnsiTheme="majorBidi" w:cstheme="majorBidi"/>
          <w:szCs w:val="24"/>
          <w:lang w:val="en-MY"/>
        </w:rPr>
        <w:t xml:space="preserve"> </w:t>
      </w:r>
      <w:r w:rsidR="000D7AB0"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{"citationID":"56WqidvQ","properties":{"unsorted":false,"formattedCitation":"(Al-Qar\\uc0\\u257{}f\\uc0\\u299{}, n.d.; Al-Sh\\uc0\\u257{}\\uc0\\u7789{}ib\\uc0\\u299{}, 1997; Al-Suy\\uc0\\u363{}\\uc0\\u7789{}\\uc0\\u299{}, 1990; Al-Zarkash\\uc0\\u299{}, 1985; Ibn Nujaym, 1999)","plainCitation":"(Al-Qarāfī, n.d.; Al-Shāṭibī, 1997; Al-Suyūṭī, 1990; Al-Zarkashī, 1985; Ibn Nujaym, 1999)","noteIndex":0},"citationItems":[{"id":3532,"uris":["http://zotero.org/users/17067337/items/L94SA5QT"],"itemData":{"id":3532,"type":"book","publisher":"ʿĀlam al-Kutub","title":"Al-Furūq: Anwār al-Burūq fī anwāʿ al-Furūq","author":[{"family":"Al-Qarāfī","given":"A. I."}]}},{"id":3533,"uris":["http://zotero.org/users/17067337/items/EWNQQHAP"],"itemData":{"id":3533,"type":"book","publisher":"Dār Ibn ʿAffān","title":"Al-Muwāfaqāt","author":[{"family":"Al-Shāṭibī","given":"I. M."}],"issued":{"date-parts":[["1997"]]}}},{"id":3529,"uris":["http://zotero.org/users/17067337/items/54VS245H"],"itemData":{"id":3529,"type":"book","publisher":"Dār al-Kutub al-ʿIlmiyyah","title":"Al-Ashbāh wa al-Naẓāʾir","author":[{"family":"Al-Suyūṭī","given":"J."}],"issued":{"date-parts":[["1990"]]}}},{"id":3530,"uris":["http://zotero.org/users/17067337/items/V32ZR6LB"],"itemData":{"id":3530,"type":"book","publisher":"Wizārat al-Awqāf wa al-Shuʾūn al-Islāmiyyah","title":"Al-Manthūr fī al-Qawāʿid al-Fiqhiyyah","author":[{"family":"Al-Zarkashī","given":"B."}],"issued":{"date-parts":[["1985"]]}}},{"id":3531,"uris":["http://zotero.org/users/17067337/items/T4J28BNE"],"itemData":{"id":3531,"type":"book","publisher":"Dār al-Kutub al-ʿIlmiyyah","title":"Al-Ashbāh wa al-Naẓāʾir","author":[{"family":"Ibn Nujaym","given":"Z."}],"issued":{"date-parts":[["1999"]]}}}],"schema":"https://github.com/citation-style-language/schema/raw/master/csl-citation.json"} </w:instrText>
      </w:r>
      <w:r w:rsidR="000D7AB0" w:rsidRPr="0097203D">
        <w:rPr>
          <w:rFonts w:asciiTheme="majorBidi" w:hAnsiTheme="majorBidi" w:cstheme="majorBidi"/>
          <w:szCs w:val="24"/>
          <w:lang w:val="en-MY"/>
        </w:rPr>
        <w:fldChar w:fldCharType="separate"/>
      </w:r>
      <w:r w:rsidR="000D7AB0" w:rsidRPr="0097203D">
        <w:rPr>
          <w:rFonts w:cs="Times New Roman"/>
          <w:szCs w:val="24"/>
          <w:lang w:val="en-MY"/>
        </w:rPr>
        <w:t>(Al-Qarāfī, n.d.; Al-Shāṭibī, 1997; Al-Suyūṭī, 1990; Al-Zarkashī, 1985; Ibn Nujaym, 1999)</w:t>
      </w:r>
      <w:r w:rsidR="000D7AB0" w:rsidRPr="0097203D">
        <w:rPr>
          <w:rFonts w:asciiTheme="majorBidi" w:hAnsiTheme="majorBidi" w:cstheme="majorBidi"/>
          <w:szCs w:val="24"/>
          <w:lang w:val="en-MY"/>
        </w:rPr>
        <w:fldChar w:fldCharType="end"/>
      </w:r>
      <w:r w:rsidR="000D7AB0" w:rsidRPr="0097203D">
        <w:rPr>
          <w:rFonts w:asciiTheme="majorBidi" w:hAnsiTheme="majorBidi" w:cstheme="majorBidi"/>
          <w:szCs w:val="24"/>
          <w:lang w:val="en-MY"/>
        </w:rPr>
        <w:t>.</w:t>
      </w:r>
      <w:r w:rsidRPr="0097203D">
        <w:rPr>
          <w:rFonts w:asciiTheme="majorBidi" w:hAnsiTheme="majorBidi" w:cstheme="majorBidi"/>
          <w:szCs w:val="24"/>
          <w:lang w:val="en-MY"/>
        </w:rPr>
        <w:t xml:space="preserve"> Al-</w:t>
      </w:r>
      <w:proofErr w:type="spellStart"/>
      <w:r w:rsidRPr="0097203D">
        <w:rPr>
          <w:rFonts w:asciiTheme="majorBidi" w:hAnsiTheme="majorBidi" w:cstheme="majorBidi"/>
          <w:szCs w:val="24"/>
          <w:lang w:val="en-MY"/>
        </w:rPr>
        <w:t>Shāṭibī</w:t>
      </w:r>
      <w:proofErr w:type="spellEnd"/>
      <w:r w:rsidRPr="0097203D">
        <w:rPr>
          <w:rFonts w:asciiTheme="majorBidi" w:hAnsiTheme="majorBidi" w:cstheme="majorBidi"/>
          <w:szCs w:val="24"/>
          <w:lang w:val="en-MY"/>
        </w:rPr>
        <w:t xml:space="preserve"> and Ibn </w:t>
      </w:r>
      <w:proofErr w:type="spellStart"/>
      <w:r w:rsidRPr="0097203D">
        <w:rPr>
          <w:rFonts w:asciiTheme="majorBidi" w:hAnsiTheme="majorBidi" w:cstheme="majorBidi"/>
          <w:szCs w:val="24"/>
          <w:lang w:val="en-MY"/>
        </w:rPr>
        <w:t>ʿĀshūr</w:t>
      </w:r>
      <w:proofErr w:type="spellEnd"/>
      <w:r w:rsidRPr="0097203D">
        <w:rPr>
          <w:rFonts w:asciiTheme="majorBidi" w:hAnsiTheme="majorBidi" w:cstheme="majorBidi"/>
          <w:szCs w:val="24"/>
          <w:lang w:val="en-MY"/>
        </w:rPr>
        <w:t xml:space="preserve"> develop </w:t>
      </w:r>
      <w:proofErr w:type="spellStart"/>
      <w:r w:rsidRPr="0097203D">
        <w:rPr>
          <w:rFonts w:asciiTheme="majorBidi" w:hAnsiTheme="majorBidi" w:cstheme="majorBidi"/>
          <w:szCs w:val="24"/>
          <w:lang w:val="en-MY"/>
        </w:rPr>
        <w:t>maqasid</w:t>
      </w:r>
      <w:proofErr w:type="spellEnd"/>
      <w:r w:rsidRPr="0097203D">
        <w:rPr>
          <w:rFonts w:asciiTheme="majorBidi" w:hAnsiTheme="majorBidi" w:cstheme="majorBidi"/>
          <w:szCs w:val="24"/>
          <w:lang w:val="en-MY"/>
        </w:rPr>
        <w:t>-based reasoning, emphasising that legal application should preserve religion, life, intellect, lineage and wealth while promoting justice and removing harm</w:t>
      </w:r>
      <w:r w:rsidR="000D7AB0" w:rsidRPr="0097203D">
        <w:rPr>
          <w:rFonts w:asciiTheme="majorBidi" w:hAnsiTheme="majorBidi" w:cstheme="majorBidi"/>
          <w:szCs w:val="24"/>
          <w:lang w:val="en-MY"/>
        </w:rPr>
        <w:t xml:space="preserve"> </w:t>
      </w:r>
      <w:r w:rsidR="000D7AB0"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{"citationID":"BkdpG7Ev","properties":{"unsorted":false,"formattedCitation":"(Al-Shatibi, 1997; Ibn \\uc0\\u703{}\\uc0\\u256{}sh\\uc0\\u363{}r, 2001)","plainCitation":"(Al-Shatibi, 1997; Ibn ʿĀshūr, 2001)","noteIndex":0},"citationItems":[{"id":3008,"uris":["http://zotero.org/users/17067337/items/JMN2FPPV"],"itemData":{"id":3008,"type":"book","publisher":"Dar Ibn 'Affan","title":"AL-Muwafaqat","volume":"7","author":[{"family":"Al-Shatibi","given":"Ibrahim bin Musa"}],"issued":{"date-parts":[["1997"]]}}},{"id":3534,"uris":["http://zotero.org/users/17067337/items/WBFBPA6B"],"itemData":{"id":3534,"type":"book","publisher":"Dār al-Nafāʾis","title":"Maqāṣid al-Sharīʿah al-Islāmiyyah","author":[{"family":"Ibn ʿĀshūr","given":"M. T."}],"issued":{"date-parts":[["2001"]]}}}],"schema":"https://github.com/citation-style-language/schema/raw/master/csl-citation.json"} </w:instrText>
      </w:r>
      <w:r w:rsidR="000D7AB0" w:rsidRPr="0097203D">
        <w:rPr>
          <w:rFonts w:asciiTheme="majorBidi" w:hAnsiTheme="majorBidi" w:cstheme="majorBidi"/>
          <w:szCs w:val="24"/>
          <w:lang w:val="en-MY"/>
        </w:rPr>
        <w:fldChar w:fldCharType="separate"/>
      </w:r>
      <w:r w:rsidR="00401F75" w:rsidRPr="0097203D">
        <w:rPr>
          <w:rFonts w:cs="Times New Roman"/>
          <w:szCs w:val="24"/>
          <w:lang w:val="en-MY"/>
        </w:rPr>
        <w:t>(Al-Shatibi, 1997; Ibn ʿĀshūr, 2001)</w:t>
      </w:r>
      <w:r w:rsidR="000D7AB0" w:rsidRPr="0097203D">
        <w:rPr>
          <w:rFonts w:asciiTheme="majorBidi" w:hAnsiTheme="majorBidi" w:cstheme="majorBidi"/>
          <w:szCs w:val="24"/>
          <w:lang w:val="en-MY"/>
        </w:rPr>
        <w:fldChar w:fldCharType="end"/>
      </w:r>
      <w:r w:rsidR="000D7AB0" w:rsidRPr="0097203D">
        <w:rPr>
          <w:rFonts w:asciiTheme="majorBidi" w:hAnsiTheme="majorBidi" w:cstheme="majorBidi"/>
          <w:szCs w:val="24"/>
          <w:lang w:val="en-MY"/>
        </w:rPr>
        <w:t>.</w:t>
      </w:r>
      <w:r w:rsidRPr="0097203D">
        <w:rPr>
          <w:rFonts w:asciiTheme="majorBidi" w:hAnsiTheme="majorBidi" w:cstheme="majorBidi"/>
          <w:szCs w:val="24"/>
          <w:lang w:val="en-MY"/>
        </w:rPr>
        <w:t xml:space="preserve"> These principles support the view that zakat administration must remain faithful to textual foundations while also considering socioeconomic effects.</w:t>
      </w:r>
    </w:p>
    <w:p w:rsidR="000D7AB0" w:rsidRPr="0097203D" w:rsidRDefault="000D7AB0" w:rsidP="009E1448">
      <w:pPr>
        <w:spacing w:line="240" w:lineRule="auto"/>
        <w:ind w:firstLine="720"/>
        <w:jc w:val="both"/>
        <w:rPr>
          <w:rFonts w:asciiTheme="majorBidi" w:hAnsiTheme="majorBidi" w:cstheme="majorBidi"/>
          <w:szCs w:val="24"/>
          <w:lang w:val="en-MY"/>
        </w:rPr>
      </w:pPr>
      <w:r w:rsidRPr="0097203D">
        <w:rPr>
          <w:rFonts w:asciiTheme="majorBidi" w:hAnsiTheme="majorBidi" w:cstheme="majorBidi"/>
          <w:szCs w:val="24"/>
          <w:lang w:val="en-MY"/>
        </w:rPr>
        <w:t>The third stream is contemporary zakat economics and governance. Al-</w:t>
      </w:r>
      <w:proofErr w:type="spellStart"/>
      <w:r w:rsidRPr="0097203D">
        <w:rPr>
          <w:rFonts w:asciiTheme="majorBidi" w:hAnsiTheme="majorBidi" w:cstheme="majorBidi"/>
          <w:szCs w:val="24"/>
          <w:lang w:val="en-MY"/>
        </w:rPr>
        <w:t>Qaraḍāwī</w:t>
      </w:r>
      <w:r w:rsidR="00A33D64">
        <w:rPr>
          <w:rFonts w:asciiTheme="majorBidi" w:hAnsiTheme="majorBidi" w:cstheme="majorBidi"/>
          <w:szCs w:val="24"/>
          <w:lang w:val="en-MY"/>
        </w:rPr>
        <w:t>’</w:t>
      </w:r>
      <w:r w:rsidRPr="0097203D">
        <w:rPr>
          <w:rFonts w:asciiTheme="majorBidi" w:hAnsiTheme="majorBidi" w:cstheme="majorBidi"/>
          <w:szCs w:val="24"/>
          <w:lang w:val="en-MY"/>
        </w:rPr>
        <w:t>s</w:t>
      </w:r>
      <w:proofErr w:type="spellEnd"/>
      <w:r w:rsidRPr="0097203D">
        <w:rPr>
          <w:rFonts w:asciiTheme="majorBidi" w:hAnsiTheme="majorBidi" w:cstheme="majorBidi"/>
          <w:szCs w:val="24"/>
          <w:lang w:val="en-MY"/>
        </w:rPr>
        <w:t xml:space="preserve"> Fiqh al-</w:t>
      </w:r>
      <w:proofErr w:type="spellStart"/>
      <w:r w:rsidRPr="0097203D">
        <w:rPr>
          <w:rFonts w:asciiTheme="majorBidi" w:hAnsiTheme="majorBidi" w:cstheme="majorBidi"/>
          <w:szCs w:val="24"/>
          <w:lang w:val="en-MY"/>
        </w:rPr>
        <w:t>Zakāh</w:t>
      </w:r>
      <w:proofErr w:type="spellEnd"/>
      <w:r w:rsidRPr="0097203D">
        <w:rPr>
          <w:rFonts w:asciiTheme="majorBidi" w:hAnsiTheme="majorBidi" w:cstheme="majorBidi"/>
          <w:szCs w:val="24"/>
          <w:lang w:val="en-MY"/>
        </w:rPr>
        <w:t xml:space="preserve"> remains foundational for understanding zakat as both worship and socioeconomic policy</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D74E4F" w:rsidRPr="0097203D">
        <w:rPr>
          <w:rFonts w:asciiTheme="majorBidi" w:hAnsiTheme="majorBidi" w:cstheme="majorBidi"/>
          <w:szCs w:val="24"/>
          <w:lang w:val="en-MY"/>
        </w:rPr>
        <w:instrText xml:space="preserve"> ADDIN ZOTERO_ITEM CSL_CITATION {"citationID":"j9FNG8Ir","properties":{"unsorted":false,"formattedCitation":"(Al-Qaradawi, 1973)","plainCitation":"(Al-Qaradawi, 1973)","noteIndex":0},"citationItems":[{"id":1052,"uris":["http://zotero.org/users/17067337/items/G5SMFJ6S"],"itemData":{"id":1052,"type":"book","publisher":"Muassasah al-Risalah","title":"Fiqh al-Zakat","URL":"https://old.shamela.ws/rep.php/book/3075","author":[{"family":"Al-Qaradawi","given":"Y."}],"accessed":{"date-parts":[["2025",6,3]]},"issued":{"date-parts":[["1973"]]}}}],"schema":"https://github.com/citation-style-language/schema/raw/master/csl-citation.json"}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(Al-Qaradawi, 1973)</w:t>
      </w:r>
      <w:r w:rsidR="00D74E4F" w:rsidRPr="0097203D">
        <w:rPr>
          <w:rFonts w:asciiTheme="majorBidi" w:hAnsiTheme="majorBidi" w:cstheme="majorBidi"/>
          <w:szCs w:val="24"/>
          <w:lang w:val="en-MY"/>
        </w:rPr>
        <w:fldChar w:fldCharType="end"/>
      </w:r>
      <w:r w:rsidR="00D74E4F" w:rsidRPr="0097203D">
        <w:rPr>
          <w:rFonts w:asciiTheme="majorBidi" w:hAnsiTheme="majorBidi" w:cstheme="majorBidi"/>
          <w:szCs w:val="24"/>
          <w:lang w:val="en-MY"/>
        </w:rPr>
        <w:t>.</w:t>
      </w:r>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Kahf</w:t>
      </w:r>
      <w:proofErr w:type="spellEnd"/>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Chapra</w:t>
      </w:r>
      <w:proofErr w:type="spellEnd"/>
      <w:r w:rsidRPr="0097203D">
        <w:rPr>
          <w:rFonts w:asciiTheme="majorBidi" w:hAnsiTheme="majorBidi" w:cstheme="majorBidi"/>
          <w:szCs w:val="24"/>
          <w:lang w:val="en-MY"/>
        </w:rPr>
        <w:t>, Obaidullah and Ahmed analyse zakat within wider frameworks of Islamic economics, poverty alleviation, redistribution and financial inclusion</w:t>
      </w:r>
      <w:r w:rsidR="009A4C0F" w:rsidRPr="0097203D">
        <w:rPr>
          <w:rFonts w:asciiTheme="majorBidi" w:hAnsiTheme="majorBidi" w:cstheme="majorBidi"/>
          <w:szCs w:val="24"/>
          <w:lang w:val="en-MY"/>
        </w:rPr>
        <w:t xml:space="preserve"> </w:t>
      </w:r>
      <w:r w:rsidR="009A4C0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{"citationID":"QqW8faq9","properties":{"unsorted":false,"formattedCitation":"(Ahmad, 1992; Ahmed, 2004; Kahf, 1989; Obaidullah, 2008)","plainCitation":"(Ahmad, 1992; Ahmed, 2004; Kahf, 1989; Obaidullah, 2008)","noteIndex":0},"citationItems":[{"id":3545,"uris":["http://zotero.org/users/17067337/items/I8IR8RZD"],"itemData":{"id":3545,"type":"article-journal","abstract":"I consider the task of reviewing this book an honor as well as a challenge.My task is made even more difficult and the challenge moE significantwhen I read excellent reviews from both intellectual spectra,Western as well as Islamic. From the West, Kenneth Boulding, an eminentbehavioral scientist and social economist, expresses his admirationboth for the author’s readable style as well as the depth and the maturityof his knowledge when he writes:This is an excellent work . . . His understanding is quitesophisticated. At the same time his style is clear and he writeswith humanity and a very deep concern for the welfare of thehuman race.From the East, the book has already received and incorporated commentsand suggestions from a number of economists at the forefront ofresearch in Islamic economics, among them Dr. Nejatullah Siddiqui andProfessor Khurshid Ahmad. The latter economist has very succinctly summarizednot only his own views but also thm of other Islamic scholarswhen, in the foreword, he writes:Dr. Chapra has dealt with the subject as a trained social scientistand objective Islamic scholar. His grasp of the contemporarysystems and their problems is thorough and incisive, his presentationof Islamic economic order is concise and convincing. Hisbalanced critique of the western systems as well as that of thecontemporary Islamic society is presented in a style that isscholarly yet simple, clear and prescriptive. . . . Dr. Chapra hasclearly demonstrated that well being can not be attained throughthe pursuit of material possessions alone and that efficiency andequity can become operational concepts only if they are redefinedin the context of their linkage to moral values and socioeconomicstructures.”","container-title":"American Journal of Islam and Society","DOI":"10.35632/ajis.v9i4.2540","issue":"4","language":"en","page":"546–555","source":"scite.ai","title":"Islam and the Economic Challenge","volume":"9","author":[{"family":"Ahmad","given":"Imtiaz Uddin"}],"issued":{"date-parts":[["1992"]]}}},{"id":3551,"uris":["http://zotero.org/users/17067337/items/CBAABZR9"],"itemData":{"id":3551,"type":"article-journal","abstract":"The occasional paper studies the role of zakat and awqaf in mitigating poverty in Muslim communities. The study addresses the issue by studying the institutional set-up and mechanisms of using zakat and awqaf for poverty alleviation. It discusses how these institutions can be implemented successfully to achieve the results in contemporary times using theoretical arguments and empirical support.","collection-title":"Occasional Papers","container-title":"Occasional Papers","language":"en","note":"number: 201","publisher":"The Islamic Research and Teaching Institute (IRTI)","source":"ideas.repec.org","title":"Role of Zakah and Awqaf in Poverty Alleviation","URL":"https://ideas.repec.org//p/ris/irtiop/0201.html","author":[{"family":"Ahmed","given":"Habib"}],"accessed":{"date-parts":[["2026",6,3]]},"issued":{"date-parts":[["2004"]]}}},{"id":3541,"uris":["http://zotero.org/users/17067337/items/DWRZDMFS"],"itemData":{"id":3541,"type":"article-journal","abstract":"By Monzer Kahf; ZAKAT: UNRESOLVED ISSUES IN THE CONTEMPORARY FIQH","container-title":"IIUM Journal of Economics and Management","issue":"1","page":"1-22","publisher":"IIUM Journal of Economis and Management","source":"EconPapers","title":"Zakat: Unresolved Issues in The Contemporary Fiqh","title-short":"ZAKAT","volume":"2","author":[{"family":"Kahf","given":"Monzer"}],"issued":{"date-parts":[["1989"]]}}},{"id":3548,"uris":["http://zotero.org/users/17067337/items/WAD6D25Z"],"itemData":{"id":3548,"type":"article","abstract":"This paper explains the building blocks of a microfinance program targeted at Islamic societies, which are characterized by high and rising levels of poverty and financial exclusion.","genre":"SSRN Scholarly Paper","language":"en","number":"1506072","publisher":"Social Science Research Network","publisher-place":"Rochester, NY","source":"papers.ssrn.com","title":"Introduction to Islamic Microfinance","URL":"https://papers.ssrn.com/abstract=1506072","author":[{"family":"Obaidullah","given":"Mohammed"}],"accessed":{"date-parts":[["2026",6,3]]},"issued":{"date-parts":[["2008",8,1]]}}}],"schema":"https://github.com/citation-style-language/schema/raw/master/csl-citation.json"} </w:instrText>
      </w:r>
      <w:r w:rsidR="009A4C0F" w:rsidRPr="0097203D">
        <w:rPr>
          <w:rFonts w:asciiTheme="majorBidi" w:hAnsiTheme="majorBidi" w:cstheme="majorBidi"/>
          <w:szCs w:val="24"/>
          <w:lang w:val="en-MY"/>
        </w:rPr>
        <w:fldChar w:fldCharType="separate"/>
      </w:r>
      <w:r w:rsidR="009A4C0F" w:rsidRPr="0097203D">
        <w:rPr>
          <w:rFonts w:cs="Times New Roman"/>
          <w:lang w:val="en-MY"/>
        </w:rPr>
        <w:t>(Ahmad, 1992; Ahmed, 2004; Kahf, 1989; Obaidullah, 2008)</w:t>
      </w:r>
      <w:r w:rsidR="009A4C0F" w:rsidRPr="0097203D">
        <w:rPr>
          <w:rFonts w:asciiTheme="majorBidi" w:hAnsiTheme="majorBidi" w:cstheme="majorBidi"/>
          <w:szCs w:val="24"/>
          <w:lang w:val="en-MY"/>
        </w:rPr>
        <w:fldChar w:fldCharType="end"/>
      </w:r>
      <w:r w:rsidR="009A4C0F" w:rsidRPr="0097203D">
        <w:rPr>
          <w:rFonts w:asciiTheme="majorBidi" w:hAnsiTheme="majorBidi" w:cstheme="majorBidi"/>
          <w:szCs w:val="24"/>
          <w:lang w:val="en-MY"/>
        </w:rPr>
        <w:t>.</w:t>
      </w:r>
      <w:r w:rsidRPr="0097203D">
        <w:rPr>
          <w:rFonts w:asciiTheme="majorBidi" w:hAnsiTheme="majorBidi" w:cstheme="majorBidi"/>
          <w:szCs w:val="24"/>
          <w:lang w:val="en-MY"/>
        </w:rPr>
        <w:t xml:space="preserve"> Studies on zakat institutions in Malaysia examine efficiency, productivity, trust, service quality and governance. Wahab and Rahman propose a framework for analysing efficiency and governance of zakat institutions, and their subsequent work applies data envelopment analysis to productivity growth</w:t>
      </w:r>
      <w:r w:rsidR="00504ED4" w:rsidRPr="0097203D">
        <w:rPr>
          <w:rFonts w:asciiTheme="majorBidi" w:hAnsiTheme="majorBidi" w:cstheme="majorBidi"/>
          <w:szCs w:val="24"/>
          <w:lang w:val="en-MY"/>
        </w:rPr>
        <w:t xml:space="preserve"> </w:t>
      </w:r>
      <w:r w:rsidR="00504ED4"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{"citationID":"3RPmniNR","properties":{"unsorted":false,"formattedCitation":"(Wahab &amp; Rahim Abdul Rahman, 2011, 2012)","plainCitation":"(Wahab &amp; Rahim Abdul Rahman, 2011, 2012)","noteIndex":0},"citationItems":[{"id":3553,"uris":["http://zotero.org/users/17067337/items/UCP47BHC"],"itemData":{"id":3553,"type":"article-journal","abstract":"This paper aims to present a conceptual model on the efficiency and governance of zakat institutions that are responsible in collecting, ma</w:instrText>
      </w:r>
      <w:r w:rsidR="00585725">
        <w:rPr>
          <w:rFonts w:asciiTheme="majorBidi" w:hAnsiTheme="majorBidi" w:cstheme="majorBidi" w:hint="eastAsia"/>
          <w:szCs w:val="24"/>
          <w:lang w:val="en-MY"/>
        </w:rPr>
        <w:instrText xml:space="preserve">naging and distributing zakat in Malaysia. Zakat is an Islamic religious </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tax</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 xml:space="preserve"> charged on the rich and well</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to</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do members of the community for distribution to the poor and the needy as well as other beneficiaries based on certain established criteria according to the Qur'an. The main aim of zakat is to protect the socio</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economic welfare of the poor and the needy.The paper reviews and synthesises the relevant literature on efficiency, governance and zakat. The paper then developed and proposed a conceptual</w:instrText>
      </w:r>
      <w:r w:rsidR="00585725">
        <w:rPr>
          <w:rFonts w:asciiTheme="majorBidi" w:hAnsiTheme="majorBidi" w:cstheme="majorBidi"/>
          <w:szCs w:val="24"/>
          <w:lang w:val="en-MY"/>
        </w:rPr>
        <w:instrText xml:space="preserve"> model to study the efficiency and governance of zakat institutions.The paper identifies the appropriate methods to evaluate efficiency and governance of zakat institutions. Such evaluations are crucial for the Islamic financial system to function effecti</w:instrText>
      </w:r>
      <w:r w:rsidR="00585725">
        <w:rPr>
          <w:rFonts w:asciiTheme="majorBidi" w:hAnsiTheme="majorBidi" w:cstheme="majorBidi" w:hint="eastAsia"/>
          <w:szCs w:val="24"/>
          <w:lang w:val="en-MY"/>
        </w:rPr>
        <w:instrText>vely in order to achieve the noble objectives of socio</w:instrText>
      </w:r>
      <w:r w:rsidR="00585725">
        <w:rPr>
          <w:rFonts w:asciiTheme="majorBidi" w:hAnsiTheme="majorBidi" w:cstheme="majorBidi" w:hint="eastAsia"/>
          <w:szCs w:val="24"/>
          <w:lang w:val="en-MY"/>
        </w:rPr>
        <w:instrText>‐</w:instrText>
      </w:r>
      <w:r w:rsidR="00585725">
        <w:rPr>
          <w:rFonts w:asciiTheme="majorBidi" w:hAnsiTheme="majorBidi" w:cstheme="majorBidi" w:hint="eastAsia"/>
          <w:szCs w:val="24"/>
          <w:lang w:val="en-MY"/>
        </w:rPr>
        <w:instrText>economic justice through proper distribution of wealth.This paper presents a conceptual model of efficiency and governance of zakat institutions which would be useful for further empirical research in</w:instrText>
      </w:r>
      <w:r w:rsidR="00585725">
        <w:rPr>
          <w:rFonts w:asciiTheme="majorBidi" w:hAnsiTheme="majorBidi" w:cstheme="majorBidi"/>
          <w:szCs w:val="24"/>
          <w:lang w:val="en-MY"/>
        </w:rPr>
        <w:instrText xml:space="preserve"> this area. The findings are not only relevant and applicable to Malaysia but also to other Muslim countries.","container-title":"Journal of Islamic Accounting and Business Research","DOI":"10.1108/17590811111129508","ISSN":"1759-0817","issue":"1","journalAbbreviation":"Journal of Islamic Accounting and Business Research","page":"43-62","source":"Silverchair","title":"A Framework to Analyse the Efficiency and Governance of Zakat Institutions","volume":"2","author":[{"family":"Wahab","given":"Norazlina Abd."},{"family":"Rahim Abdul Rahman","given":"Abdul"}],"issued":{"date-parts":[["2011",4,19]]}}},{"id":3555,"uris":["http://zotero.org/users/17067337/items/QKBMBUB6"],"itemData":{"id":3555,"type":"article-journal","abstract":"The purpose of this paper is to analyze the changes in productivity of zakat institutions in Malaysia from 2003 to 2007. The data consist of a panel of 14 State Islamic Religious Councils (SIRCs) in Malaysia. Efficiency is measured by the Malmquist Index, using a data envelopment analysis (DEA) technique.This paper uses Malmquist Productivity Index, using a DEA technique. The Malmquist productivity measures are decomposed into two components: efficiency change and technical change index.The results showed that total factor productivity (TFP) has increased slightly for the whole industry, which is mainly due to the technical change rather than the efficiency change. Further decomposition of the efficiency change into its pure technical and scale efficiency components suggest that the pure efficiency is found to be a more important source of efficiency change than scale efficiency component.This paper investigates the productivity and efficiency of zakat institutions in Malaysia. It will be of value to provide evidence to the policy makers to improve the efficiency of the institutions.","container-title":"Studies in Economics and Finance","DOI":"10.1108/10867371211246876","ISSN":"1086-7376","issue":"3","journalAbbreviation":"Studies in Economics and Finance","page":"197-210","source":"Silverchair","title":"Productivity Growth of Zakat Institutions in Malaysia: An Application of Data Envelopment Analysis","volume":"29","author":[{"family":"Wahab","given":"Norazlina Abd."},{"family":"Rahim Abdul Rahman","given":"Abdul"}],"issued":{"date-parts":[["2012",7,27]]}}}],"schema":"https://github.com/citation-style-language/schema/raw/master/csl-citation.json"} </w:instrText>
      </w:r>
      <w:r w:rsidR="00504ED4" w:rsidRPr="0097203D">
        <w:rPr>
          <w:rFonts w:asciiTheme="majorBidi" w:hAnsiTheme="majorBidi" w:cstheme="majorBidi"/>
          <w:szCs w:val="24"/>
          <w:lang w:val="en-MY"/>
        </w:rPr>
        <w:fldChar w:fldCharType="separate"/>
      </w:r>
      <w:r w:rsidR="00504ED4" w:rsidRPr="0097203D">
        <w:rPr>
          <w:rFonts w:cs="Times New Roman"/>
          <w:lang w:val="en-MY"/>
        </w:rPr>
        <w:t>(Wahab &amp; Rahim Abdul Rahman, 2011, 2012)</w:t>
      </w:r>
      <w:r w:rsidR="00504ED4" w:rsidRPr="0097203D">
        <w:rPr>
          <w:rFonts w:asciiTheme="majorBidi" w:hAnsiTheme="majorBidi" w:cstheme="majorBidi"/>
          <w:szCs w:val="24"/>
          <w:lang w:val="en-MY"/>
        </w:rPr>
        <w:fldChar w:fldCharType="end"/>
      </w:r>
      <w:r w:rsidR="00504ED4" w:rsidRPr="0097203D">
        <w:rPr>
          <w:rFonts w:asciiTheme="majorBidi" w:hAnsiTheme="majorBidi" w:cstheme="majorBidi"/>
          <w:szCs w:val="24"/>
          <w:lang w:val="en-MY"/>
        </w:rPr>
        <w:t>.</w:t>
      </w:r>
      <w:r w:rsidRPr="0097203D">
        <w:rPr>
          <w:rFonts w:asciiTheme="majorBidi" w:hAnsiTheme="majorBidi" w:cstheme="majorBidi"/>
          <w:szCs w:val="24"/>
          <w:lang w:val="en-MY"/>
        </w:rPr>
        <w:t xml:space="preserve"> Mustafa, Muslim and Adnan identify antecedents of zakat payers</w:t>
      </w:r>
      <w:r w:rsidR="00A33D64">
        <w:rPr>
          <w:rFonts w:asciiTheme="majorBidi" w:hAnsiTheme="majorBidi" w:cstheme="majorBidi"/>
          <w:szCs w:val="24"/>
          <w:lang w:val="en-MY"/>
        </w:rPr>
        <w:t>’</w:t>
      </w:r>
      <w:r w:rsidRPr="0097203D">
        <w:rPr>
          <w:rFonts w:asciiTheme="majorBidi" w:hAnsiTheme="majorBidi" w:cstheme="majorBidi"/>
          <w:szCs w:val="24"/>
          <w:lang w:val="en-MY"/>
        </w:rPr>
        <w:t xml:space="preserve"> trust, while Wahab, </w:t>
      </w:r>
      <w:proofErr w:type="spellStart"/>
      <w:r w:rsidRPr="0097203D">
        <w:rPr>
          <w:rFonts w:asciiTheme="majorBidi" w:hAnsiTheme="majorBidi" w:cstheme="majorBidi"/>
          <w:szCs w:val="24"/>
          <w:lang w:val="en-MY"/>
        </w:rPr>
        <w:t>Zainol</w:t>
      </w:r>
      <w:proofErr w:type="spellEnd"/>
      <w:r w:rsidRPr="0097203D">
        <w:rPr>
          <w:rFonts w:asciiTheme="majorBidi" w:hAnsiTheme="majorBidi" w:cstheme="majorBidi"/>
          <w:szCs w:val="24"/>
          <w:lang w:val="en-MY"/>
        </w:rPr>
        <w:t xml:space="preserve"> and Bakar discuss service quality indices for zakat institutions</w:t>
      </w:r>
      <w:r w:rsidR="00D561DA" w:rsidRPr="0097203D">
        <w:rPr>
          <w:rFonts w:asciiTheme="majorBidi" w:hAnsiTheme="majorBidi" w:cstheme="majorBidi"/>
          <w:szCs w:val="24"/>
          <w:lang w:val="en-MY"/>
        </w:rPr>
        <w:t xml:space="preserve"> </w:t>
      </w:r>
      <w:r w:rsidR="00D561DA"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{"citationID":"u5pgnVIv","properties":{"unsorted":false,"formattedCitation":"(Mustafa et al., 2013; Wahab et al., 2016)","plainCitation":"(Mustafa et al., 2013; Wahab et al., 2016)","noteIndex":0},"citationItems":[{"id":3561,"uris":["http://zotero.org/users/17067337/items/BD4Y7EMP"],"itemData":{"id":3561,"type":"article-journal","abstract":"Purpose - The purpose of this paper is to investigate and explain the factors underlying the inclination ofzakatpayers to trust a particularzakatinstitution. Design/methodology/approach - Based on the literature review and experience survey, a context specific questionnaire was developed as the main method of quantitative data collection. The instrument was administered to a sample of Muslim professionals who observe religious seclusion in the last ten days of the Islamic fasting month (itqaf) in 12 purposely selected mosques across four states and the federal capital territory. Findings - Drawn from the resource dependence and legitimacy theories, the study finds that board capital, disclosure practices, governmental model ofzakatinstitution, and stakeholder management were identified through the use of structural equation modeling as being the antecedents ofzakatpayers' trust. Originality/value - This paper is the first to report an empirically based model ofzakatpayers' trust.","container-title":"Journal of Islamic Accounting and Business Research","issue":"1","language":"en","page":"4-25","publisher":"Emerald Group Publishing Limited","source":"ideas.repec.org","title":"Antecedents of Zakat Payers' Trust in An Emerging Zakat Sector: An Exploratory Study","volume":"4","author":[{"family":"Mustafa","given":"Murtala Oladimeji Abioye"},{"family":"Mohamad","given":"Muslim Har Sani"},{"family":"Adnan","given":"Muhammad Akhyar"}],"issued":{"date-parts":[["2013"]]}}},{"id":3563,"uris":["http://zotero.org/users/17067337/items/F8RYFPH8"],"itemData":{"id":3563,"type":"article-journal","abstract":"The aim of this paper is to examine service quality of zakat institutions in Malaysia using an enhanced model appropriate for zakat institution. We use a new and enhanced model (combination of SERVQUAL and CARTER) to examine the extent of service quality of zakat institutions from the perspective of zakat stakeholders. Data were collected from 799 respondents including both zakat payers and zakat recipients. The paper utilizes the Structural Equation Modelling (SEM) in examining the extent of service quality given by zakat institution and further develops Service Quality Index (SQI) for both Zakat Payers and Zakat Recipients using a Customer Satisfaction Index. The results reveal that Responsiveness &amp;amp; Compliance was found to be the strongest indicator to influence satisfaction of the zakat payers while Reliability was found to be the strongest indicator to influence satisfaction of the zakat recipients. The SQI for zakat payers and zakat recipients of Malaysian zakat institutions are 76.3 and 76.4 respectively. This study is one of the first to examine the service quality of zakat institutions using an extended SERVQUAL and CARTER models with both zakat payers and zakat recipients as respondents. The model is not only relevant and applicable to Malaysia but also to other Muslim countries.Keywords: SERVQUAL, Service quality, Structural Equation Modelling (SEM), Zakat institution, Service Quality Index (SQI)JEL Classification: D63","container-title":"International Journal of Economics and Financial Issues","ISSN":"2146-4138","issue":"7S","language":"en","license":"Copyright (c) 2016 International Journal of Economics and Financial Issues","page":"249-258","source":"econjournals.com","title":"Developing Service Quality Index for Zakat Institutions","volume":"6","author":[{"family":"Wahab","given":"Norazlina Abd"},{"family":"Zainol","given":"Zairy"},{"family":"Bakar","given":"Mahyuddin Abu"},{"family":"Ibrahim","given":"Ahmad Zubir"},{"family":"Minhaj","given":"Norida"}],"issued":{"date-parts":[["2016",11,20]]}}}],"schema":"https://github.com/citation-style-language/schema/raw/master/csl-citation.json"} </w:instrText>
      </w:r>
      <w:r w:rsidR="00D561DA" w:rsidRPr="0097203D">
        <w:rPr>
          <w:rFonts w:asciiTheme="majorBidi" w:hAnsiTheme="majorBidi" w:cstheme="majorBidi"/>
          <w:szCs w:val="24"/>
          <w:lang w:val="en-MY"/>
        </w:rPr>
        <w:fldChar w:fldCharType="separate"/>
      </w:r>
      <w:r w:rsidR="00D561DA" w:rsidRPr="0097203D">
        <w:rPr>
          <w:rFonts w:cs="Times New Roman"/>
          <w:lang w:val="en-MY"/>
        </w:rPr>
        <w:t>(Mustafa et al., 2013; Wahab et al., 2016)</w:t>
      </w:r>
      <w:r w:rsidR="00D561DA" w:rsidRPr="0097203D">
        <w:rPr>
          <w:rFonts w:asciiTheme="majorBidi" w:hAnsiTheme="majorBidi" w:cstheme="majorBidi"/>
          <w:szCs w:val="24"/>
          <w:lang w:val="en-MY"/>
        </w:rPr>
        <w:fldChar w:fldCharType="end"/>
      </w:r>
      <w:r w:rsidRPr="0097203D">
        <w:rPr>
          <w:rFonts w:asciiTheme="majorBidi" w:hAnsiTheme="majorBidi" w:cstheme="majorBidi"/>
          <w:szCs w:val="24"/>
          <w:lang w:val="en-MY"/>
        </w:rPr>
        <w:t>. These studies indicate that zakat outcomes depend not only on legal obligation but also on institutional performance.</w:t>
      </w:r>
    </w:p>
    <w:p w:rsidR="005710BE" w:rsidRDefault="00DC7EAF" w:rsidP="009E1448">
      <w:pPr>
        <w:spacing w:line="240" w:lineRule="auto"/>
        <w:ind w:firstLine="720"/>
        <w:jc w:val="both"/>
        <w:rPr>
          <w:rFonts w:asciiTheme="majorBidi" w:hAnsiTheme="majorBidi" w:cstheme="majorBidi"/>
          <w:szCs w:val="24"/>
          <w:lang w:val="en-MY"/>
        </w:rPr>
      </w:pPr>
      <w:r w:rsidRPr="0097203D">
        <w:rPr>
          <w:rFonts w:asciiTheme="majorBidi" w:hAnsiTheme="majorBidi" w:cstheme="majorBidi"/>
          <w:szCs w:val="24"/>
          <w:lang w:val="en-MY"/>
        </w:rPr>
        <w:t xml:space="preserve">The fourth stream concerns gold price volatility,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calculation and contemporary financial instruments. Studies on zakat, gold and silver highlight the continuing importance of precious metals as wealth benchmarks, but also note the challenges posed by digital gold, online storage, gold-backed cryptocurrencies, liquidity constraints and the absence of standardised valuation methods</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{"citationID":"qrOkjbTn","properties":{"unsorted":false,"formattedCitation":"(Shamsuddin et al., 2024)","plainCitation":"(Shamsuddin et al., 2024)","noteIndex":0},"citationItems":[{"id":3540,"uris":["http://zotero.org/users/17067337/items/4RPPVP76"],"itemData":{"id":3540,"type":"article-journal","abstract":"Zakat plays a fundamental role in wealth redistribution and social equity, with gold and silver holding central significance as benchmarks of wealth across Islamic history. This study explores both traditional and contemporary interpretations of zakat, focusing on how these metals have functioned as stable currencies, ensuring economic stability and serving as wealth purifiers. While classical scholarship emphasizes their importance, this research addresses the evolving challenges posed by modern financial innovations, such as digital gold, online gold storage, and gold-backed cryptocurrencies. These emerging assets introduce complexities like volatility, liquidity constraints, and the absence of standardized valuation frameworks, which challenge the application of traditional zakat principles. Through a comprehensive literature review, this study uncovers gaps in research related to zakat on digital financial assets, highlighting the need for clearer guidelines and updated jurisprudential rulings. It synthesizes both qualitative juristic analyses and quantitative insights into asset volatility to evaluate the applicability of zakat to these modern instruments. A comprehensive literature review identifies existing scholarly discussions on zakat for traditional wealth forms like gold and silver and examines the gap in research concerning digital financial assets. The review highlights divergent views within the Islamic scholarly community on the permissibility of cryptocurrencies for zakat, with calls for new fatwas and clearer regulations. This research underscores the importance of aligning zakat frameworks with modern financial realities to ensure their continued relevance. It suggests that Islamic finance institutions should develop secure platforms tailored for digital asset zakat collection, alongside formulating standardized valuation guidelines and engaging in public awareness campaigns. This study contributes to the evolving discourse on Islamic finance by addressing the regulatory and methodological gaps in zakat application to digital assets. Addressing these challenges could provides valuable insights for scholars, policymakers, and practitioners navigating the complexities of applying zakat in an increasingly digitized economy.","container-title":"International Journal of Research and Innovation in Social Science","DOI":"10.47772/IJRISS.2024.8100203","ISSN":"24546186","issue":"X","journalAbbreviation":"IJRISS","page":"2454-2464","source":"DOI.org (Crossref)","title":"Exploring the Nexus between Zakat, Gold, and Silver: A Review of Scholarly Contributions","volume":"VIII","author":[{"family":"Shamsuddin","given":"Norin Rahayu"},{"family":"Ahmad","given":"Khairul Adilah"},{"family":"Tajuddin","given":"Taniza Binti"},{"family":"Asyhari","given":"Moch Yusuf"},{"family":"Susanti","given":"Pratiwi"},{"family":"Juwari","given":"Juwari"}],"issued":{"date-parts":[["2024"]]}}}],"schema":"https://github.com/citation-style-language/schema/raw/master/csl-citation.json"}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(Shamsuddin et al., 2024)</w:t>
      </w:r>
      <w:r w:rsidR="00D74E4F" w:rsidRPr="0097203D">
        <w:rPr>
          <w:rFonts w:asciiTheme="majorBidi" w:hAnsiTheme="majorBidi" w:cstheme="majorBidi"/>
          <w:szCs w:val="24"/>
          <w:lang w:val="en-MY"/>
        </w:rPr>
        <w:fldChar w:fldCharType="end"/>
      </w:r>
      <w:r w:rsidRPr="0097203D">
        <w:rPr>
          <w:rFonts w:asciiTheme="majorBidi" w:hAnsiTheme="majorBidi" w:cstheme="majorBidi"/>
          <w:szCs w:val="24"/>
          <w:lang w:val="en-MY"/>
        </w:rPr>
        <w:t xml:space="preserve">. The study on dynamic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calculation identifies three possible approaches: retaining a fixed gram-based threshold with periodic review, using currency conversion with benchmark adjustment, and smoothing volatility through averaged gold prices</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{"citationID":"aXQFIQgZ","properties":{"unsorted":false,"formattedCitation":"(Judijanto, 2026)","plainCitation":"(Judijanto, 2026)","noteIndex":0},"citationItems":[{"id":3512,"uris":["http://zotero.org/users/17067337/items/G4Y9ES82"],"itemData":{"id":3512,"type":"article-journal","abstract":"This study examines the implications of global gold price volatility on nisab determination and zakat calculation methods from a contemporary fiqh mu'amalah perspective. Gold price fluctuations have created significant challenges in maintaining equitable zakat obligations, as traditional fixed-gram nisab thresholds may inadvertently burden lower-income Muslims during price spikes or reduce zakat collection during price drops. Using a qualitative approach with library research methodology, this study analyzes classical and contemporary fiqh literature, fatwas from various Islamic jurisprudence councils, and historical gold price data from 2015 to 2024. The research synthesizes scholarly opinions across different madhhabs regarding appropriate calculation methodologies in dynamic market conditions. Findings reveal three primary approaches emerged from contemporary ijtihad: first, maintaining fixed gram-based nisab with periodic review mechanisms; second, implementing currency conversion methods with regular benchmark adjustments; and third, utilizing averaged gold prices over specific timeframes to smooth volatility impacts. The study demonstrates that the Hanafi school's interpretation offers greater flexibility for contemporary application, while Shafi'i and Maliki positions emphasize wealth preservation principles. Results indicate that volatile gold markets between 2020-2024 caused nisab values to fluctuate between forty-three to seventy-eight percent, significantly affecting muzakki populations and zakat revenue streams in Muslim-majority countries. The research concludes that contemporary nisab determination requires balancing three foundational Islamic principles: justice in obligation distribution, ease in compliance, and maximization of social welfare. \n \n\n\n\n\nKeywords: Gold Zakat, Nisab Threshold, Price Volatility, Contemporary Fiqh, Islamic Economics, Wealth Redistribution, Ijtihad","container-title":"International Journal of Economics Management and Social Science","ISSN":"2614-3828","issue":"1","language":"en","license":"Copyright (c) 2026 Loso Judijanto (Author)","page":"39-57","source":"journal.salewangang.net","title":"Dynamic Nisab Calculation in Gold Zakat: A Contemporary Fiqh Analysis of Global Gold Price Volatility","volume":"9","author":[{"family":"Judijanto","given":"Loso"}],"issued":{"date-parts":[["2026",1,19]]}}}],"schema":"https://github.com/citation-style-language/schema/raw/master/csl-citation.json"}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(Judijanto, 2026)</w:t>
      </w:r>
      <w:r w:rsidR="00D74E4F" w:rsidRPr="0097203D">
        <w:rPr>
          <w:rFonts w:asciiTheme="majorBidi" w:hAnsiTheme="majorBidi" w:cstheme="majorBidi"/>
          <w:szCs w:val="24"/>
          <w:lang w:val="en-MY"/>
        </w:rPr>
        <w:fldChar w:fldCharType="end"/>
      </w:r>
      <w:r w:rsidR="00D74E4F" w:rsidRPr="0097203D">
        <w:rPr>
          <w:rFonts w:asciiTheme="majorBidi" w:hAnsiTheme="majorBidi" w:cstheme="majorBidi"/>
          <w:szCs w:val="24"/>
          <w:lang w:val="en-MY"/>
        </w:rPr>
        <w:t>.</w:t>
      </w:r>
      <w:r w:rsidRPr="0097203D">
        <w:rPr>
          <w:rFonts w:asciiTheme="majorBidi" w:hAnsiTheme="majorBidi" w:cstheme="majorBidi"/>
          <w:szCs w:val="24"/>
          <w:lang w:val="en-MY"/>
        </w:rPr>
        <w:t xml:space="preserve"> </w:t>
      </w:r>
      <w:proofErr w:type="spellStart"/>
      <w:r w:rsidRPr="0097203D">
        <w:rPr>
          <w:rFonts w:asciiTheme="majorBidi" w:hAnsiTheme="majorBidi" w:cstheme="majorBidi"/>
          <w:szCs w:val="24"/>
          <w:lang w:val="en-MY"/>
        </w:rPr>
        <w:t>Senawi</w:t>
      </w:r>
      <w:proofErr w:type="spellEnd"/>
      <w:r w:rsidRPr="0097203D">
        <w:rPr>
          <w:rFonts w:asciiTheme="majorBidi" w:hAnsiTheme="majorBidi" w:cstheme="majorBidi"/>
          <w:szCs w:val="24"/>
          <w:lang w:val="en-MY"/>
        </w:rPr>
        <w:t xml:space="preserve"> and colleagues argue that changes in the gold price may affect zakat collection and the classification of individuals as payers or recipients</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{"citationID":"ULwXSjOX","properties":{"unsorted":false,"formattedCitation":"(Senawi et al., 2023)","plainCitation":"(Senawi et al., 2023)","noteIndex":0},"citationItems":[{"id":3514,"uris":["http://zotero.org/users/17067337/items/XGJX9INB"],"itemData":{"id":3514,"type":"article-journal","abstract":"Zakat distribution has a positive correlation with its collection. Thus, a higher collection of zakat will positively impact the distribution amount and reach a bigger pool of zakat recipients. However, some external constraints in its collection could likely have an adverse impact on its collection, especially the effect of the macroeconomic factors. It becomes crucial when the increase in the price of gold (one of the primary commodities used as a nisab benchmark for zakat in Islam) is claimed to negatively influence the collection and allocation of zakat to the respective recipients. Therefore, this study aims to investigate whether the high and low value of nisab due to the fluctuating price of gold in the world market could negatively influence the zakat collection and indirectly affect all the recipients, especially the poor and needy. In achieving this aim, this study will utilize a structured self-administered questionnaire to study the awareness of Muslims on the nisab of zakat and its influence on their zakat payments. It is still relatively rare to find any research on the awareness of the nisab of zakat and its relation to the zakat contribution. One past econometric study concluded that a higher nisab leads to a lower zakat collection. The findings of this proposed study could complement that previous study and hence be justifiable due to its significant impact on the recipients of zakat (asnaf) as the main stakeholders.","container-title":"Information Management and Business Review","DOI":"10.22610/imbr.v15i4(SI)I.3607","ISSN":"2220-3796","issue":"4(SI)I","language":"en","page":"331-336","source":"ojs.amhinternational.com","title":"Nisab of Zakat and Zakat Contribution: A Conceptual Model","volume":"15","author":[{"family":"Senawi","given":"Azhan Rashid"},{"family":"Omar","given":"Heizal Hezry"},{"family":"Muhamat","given":"Amirul Afif"},{"family":"Harun","given":"Shariff"},{"family":"Husain","given":"Husna"},{"family":"Widiastuti","given":"Tika"},{"family":"Chik","given":"Nazri"}],"issued":{"date-parts":[["2023",11,12]]}}}],"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(Senawi et al., 2023)</w:t>
      </w:r>
      <w:r w:rsidR="00D74E4F" w:rsidRPr="0097203D">
        <w:rPr>
          <w:rFonts w:asciiTheme="majorBidi" w:hAnsiTheme="majorBidi" w:cstheme="majorBidi"/>
          <w:szCs w:val="24"/>
          <w:lang w:val="en-MY"/>
        </w:rPr>
        <w:fldChar w:fldCharType="end"/>
      </w:r>
      <w:r w:rsidR="00D74E4F" w:rsidRPr="0097203D">
        <w:rPr>
          <w:rFonts w:asciiTheme="majorBidi" w:hAnsiTheme="majorBidi" w:cstheme="majorBidi"/>
          <w:szCs w:val="24"/>
          <w:lang w:val="en-MY"/>
        </w:rPr>
        <w:t>.</w:t>
      </w:r>
      <w:r w:rsidRPr="0097203D">
        <w:rPr>
          <w:rFonts w:asciiTheme="majorBidi" w:hAnsiTheme="majorBidi" w:cstheme="majorBidi"/>
          <w:szCs w:val="24"/>
          <w:lang w:val="en-MY"/>
        </w:rPr>
        <w:t xml:space="preserve"> In </w:t>
      </w:r>
      <w:r w:rsidR="00AB4E02">
        <w:rPr>
          <w:rFonts w:asciiTheme="majorBidi" w:hAnsiTheme="majorBidi" w:cstheme="majorBidi"/>
          <w:szCs w:val="24"/>
          <w:lang w:val="en-MY"/>
        </w:rPr>
        <w:t xml:space="preserve">the broader financial literature, gold is also analysed as a commodity affected by risk </w:t>
      </w:r>
      <w:proofErr w:type="spellStart"/>
      <w:r w:rsidR="00AB4E02">
        <w:rPr>
          <w:rFonts w:asciiTheme="majorBidi" w:hAnsiTheme="majorBidi" w:cstheme="majorBidi"/>
          <w:szCs w:val="24"/>
          <w:lang w:val="en-MY"/>
        </w:rPr>
        <w:t>spillovers</w:t>
      </w:r>
      <w:proofErr w:type="spellEnd"/>
      <w:r w:rsidR="00AB4E02">
        <w:rPr>
          <w:rFonts w:asciiTheme="majorBidi" w:hAnsiTheme="majorBidi" w:cstheme="majorBidi"/>
          <w:szCs w:val="24"/>
          <w:lang w:val="en-MY"/>
        </w:rPr>
        <w:t>, Islamic financial market dynamics, and portfolio behaviour</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{"citationID":"KQvwd5R9","properties":{"unsorted":false,"formattedCitation":"(Aloui et al., 2021; Mensi et al., 2017)","plainCitation":"(Aloui et al., 2021; Mensi et al., 2017)","noteIndex":0},"citationItems":[{"id":3537,"uris":["http://zotero.org/users/17067337/items/2IE8ZI3F"],"itemData":{"id":3537,"type":"article-journal","abstract":"We assess the differential impact of geopolitical risk on Islamic and conventional gold backed cryptocurrencies using a multivariate Generalized Autoregressive Conditional Heteroscedasticity (M-GARCH) modeling. We unveil that Islamic gold-backed cryptocurrencies behave differently from their conventional counterparts. Sharia compliant cryptocurrencies are positively correlated to the yellow metal, while the conventional ones are weakly and negatively associated to gold. We find that the geopolitical risk intensifies the dependency of GBC to gold returns and volatility. Our results are of great interest for policy makers, Islamic portfolio managers and digital currency traders when undertaken their investment and hedging strategies during periods of high uncertainty and worsen geopolitical circumstances.","container-title":"Finance Research Letters","DOI":"10.1016/j.frl.2020.101615","ISSN":"1544-6123","journalAbbreviation":"Finance Research Letters","page":"101615","source":"ScienceDirect","title":"Are Islamic Gold-Backed Cryptocurrencies Different?","volume":"39","author":[{"family":"Aloui","given":"Chaker"},{"family":"Hamida","given":"Hela","dropping-particle":"ben"},{"family":"Yarovaya","given":"Larisa"}],"issued":{"date-parts":[["2021",3,1]]}}},{"id":3535,"uris":["http://zotero.org/users/17067337/items/JJ96M2Z4"],"itemData":{"id":3535,"type":"article-journal","abstract":"This paper investigates the time-varying equicorrelations and risk spillovers between crude oil, gold and the Dow Jones conventional, sustainability and Islamic stock index aggregates and 10 associated disaggregated Islamic sector stock indexes (basic materials, consumer services, consumer goods, energy, financials, health care, technology, industrials, telecommunications and utilities), using the multivariate DECO-FIAPARCH model and the spillover index of Diebold and Yilmaz (2012). We also conduct a risk management analysis at the sector level for commodity-Islamic stock sector index portfolios, using different risk exposure measures. For comparison purposes, we add the aggregate conventional Dow Jones global index and the Dow Jones sustainability world index. The results show evidence of time-varying risk spillovers between these markets. Moreover, there are increases in the correlations among the markets in the aftermath of the 2008–2009 GFC. Further, the oil, gold, energy, financial, technology and telecommunications sectors are net receivers of risk spillovers, while the sustainability and conventional aggregate DJIM indexes as well as the remaining Islamic stock sectors are net contributors of risk spillovers. Finally, we provide evidence that gold offers better portfolio diversification benefits and downside risk reductions than oil.","container-title":"Energy Economics","DOI":"10.1016/j.eneco.2017.08.031","ISSN":"0140-9883","journalAbbreviation":"Energy Economics","page":"454-475","source":"ScienceDirect","title":"Dynamic Risk Spillovers Between Gold, Oil Prices and Conventional, Sustainability and Islamic Equity Aggregates and Sectors With Portfolio Implications","volume":"67","author":[{"family":"Mensi","given":"Walid"},{"family":"Hammoudeh","given":"Shawkat"},{"family":"Al-Jarrah","given":"Idries Mohammad Wanas"},{"family":"Sensoy","given":"Ahmet"},{"family":"Kang","given":"Sang Hoon"}],"issued":{"date-parts":[["2017",9,1]]}}}],"schema":"https://github.com/citation-style-language/schema/raw/master/csl-citation.json"}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(Aloui et al., 2021; Mensi et al., 2017)</w:t>
      </w:r>
      <w:r w:rsidR="00D74E4F" w:rsidRPr="0097203D">
        <w:rPr>
          <w:rFonts w:asciiTheme="majorBidi" w:hAnsiTheme="majorBidi" w:cstheme="majorBidi"/>
          <w:szCs w:val="24"/>
          <w:lang w:val="en-MY"/>
        </w:rPr>
        <w:fldChar w:fldCharType="end"/>
      </w:r>
      <w:r w:rsidR="00D74E4F" w:rsidRPr="0097203D">
        <w:rPr>
          <w:rFonts w:asciiTheme="majorBidi" w:hAnsiTheme="majorBidi" w:cstheme="majorBidi"/>
          <w:szCs w:val="24"/>
          <w:lang w:val="en-MY"/>
        </w:rPr>
        <w:t>.</w:t>
      </w:r>
    </w:p>
    <w:p w:rsidR="005710BE" w:rsidRPr="0097203D" w:rsidRDefault="00DC7EAF" w:rsidP="00500528">
      <w:pPr>
        <w:pStyle w:val="Heading2"/>
        <w:rPr>
          <w:lang w:val="en-MY"/>
        </w:rPr>
      </w:pPr>
      <w:r w:rsidRPr="0097203D">
        <w:rPr>
          <w:lang w:val="en-MY"/>
        </w:rPr>
        <w:t>3. Methodology</w:t>
      </w:r>
    </w:p>
    <w:p w:rsidR="00401F75" w:rsidRPr="0097203D" w:rsidRDefault="00401F75" w:rsidP="009E1448">
      <w:pPr>
        <w:spacing w:line="240" w:lineRule="auto"/>
        <w:jc w:val="both"/>
        <w:rPr>
          <w:lang w:val="en-MY"/>
        </w:rPr>
      </w:pPr>
      <w:r w:rsidRPr="0097203D">
        <w:rPr>
          <w:lang w:val="en-MY"/>
        </w:rPr>
        <w:t xml:space="preserve">This article is methodologically qualitative and adopts an integrative and doctrinal approach. It is qualitative because it does not model statistically, but rather analyses texts, concepts and institutional practices. It is doctrinal in its meaning because it gives a meaning to the legal </w:t>
      </w:r>
      <w:r w:rsidRPr="0097203D">
        <w:rPr>
          <w:lang w:val="en-MY"/>
        </w:rPr>
        <w:lastRenderedPageBreak/>
        <w:t xml:space="preserve">meaning of </w:t>
      </w:r>
      <w:proofErr w:type="spellStart"/>
      <w:r w:rsidRPr="0097203D">
        <w:rPr>
          <w:lang w:val="en-MY"/>
        </w:rPr>
        <w:t>nisab</w:t>
      </w:r>
      <w:proofErr w:type="spellEnd"/>
      <w:r w:rsidRPr="0097203D">
        <w:rPr>
          <w:lang w:val="en-MY"/>
        </w:rPr>
        <w:t xml:space="preserve"> from classical fiqh, hadith, through the existing fatwa and standard-setting documents. It is integrative, bringing together juristic thinking, the realities of the gold markets, and the principles of governance.</w:t>
      </w:r>
    </w:p>
    <w:p w:rsidR="00401F75" w:rsidRPr="0097203D" w:rsidRDefault="00401F75" w:rsidP="009E1448">
      <w:pPr>
        <w:spacing w:line="240" w:lineRule="auto"/>
        <w:ind w:firstLine="720"/>
        <w:jc w:val="both"/>
        <w:rPr>
          <w:lang w:val="en-MY"/>
        </w:rPr>
      </w:pPr>
      <w:r w:rsidRPr="0097203D">
        <w:rPr>
          <w:lang w:val="en-MY"/>
        </w:rPr>
        <w:t xml:space="preserve">The main sources of jurisprudence are hadiths on the twenty dinars, classical </w:t>
      </w:r>
      <w:proofErr w:type="spellStart"/>
      <w:r w:rsidRPr="0097203D">
        <w:rPr>
          <w:lang w:val="en-MY"/>
        </w:rPr>
        <w:t>Shāfiʿī</w:t>
      </w:r>
      <w:proofErr w:type="spellEnd"/>
      <w:r w:rsidRPr="0097203D">
        <w:rPr>
          <w:lang w:val="en-MY"/>
        </w:rPr>
        <w:t xml:space="preserve"> fiqh references, books on legal maxims and </w:t>
      </w:r>
      <w:proofErr w:type="spellStart"/>
      <w:r w:rsidRPr="0097203D">
        <w:rPr>
          <w:lang w:val="en-MY"/>
        </w:rPr>
        <w:t>maqasid</w:t>
      </w:r>
      <w:proofErr w:type="spellEnd"/>
      <w:r w:rsidRPr="0097203D">
        <w:rPr>
          <w:lang w:val="en-MY"/>
        </w:rPr>
        <w:t xml:space="preserve">, and contemporary fatwas issued by recognised Islamic authorities. The contemporary institutional materials comprise the resolution of the International Islamic Fiqh Academy on paper money, a Shariah Standard on zakat issued by AAOIFI, public sources in Malaysia on zakat, and official public explanations by religious authorities on the price of gold </w:t>
      </w:r>
      <w:r w:rsidRPr="0097203D">
        <w:rPr>
          <w:lang w:val="en-MY"/>
        </w:rPr>
        <w:fldChar w:fldCharType="begin"/>
      </w:r>
      <w:r w:rsidR="00585725">
        <w:rPr>
          <w:lang w:val="en-MY"/>
        </w:rPr>
        <w:instrText xml:space="preserve"> ADDIN ZOTERO_ITEM CSL_CITATION {"citationID":"hnZvkCc4","properties":{"unsorted":false,"formattedCitation":"(Accounting and Auditing Organization for Islamic Financial Institutions, n.d.; International Islamic Fiqh Academy, 1986; Jabatan Mufti Wilayah Persekutuan, 2021; JAWHAR, n.d.)","plainCitation":"(Accounting and Auditing Organization for Islamic Financial Institutions, n.d.; International Islamic Fiqh Academy, 1986; Jabatan Mufti Wilayah Persekutuan, 2021; JAWHAR, n.d.)","noteIndex":0},"citationItems":[{"id":3543,"uris":["http://zotero.org/users/17067337/items/B28PBL6T"],"itemData":{"id":3543,"type":"standard","language":"en-US","number":"Shari’ah Standard No. 35","publisher":"AAOFI","title":"Zakah","URL":"https://aaoifi.com/ss-35-zakah/?lang=en","author":[{"family":"Accounting and Auditing Organization for Islamic Financial Institutions","given":""}],"accessed":{"date-parts":[["2026",6,3]]}}},{"id":3504,"uris":["http://zotero.org/users/17067337/items/L4I8QMMP"],"itemData":{"id":3504,"type":"standard","abstract":"</w:instrText>
      </w:r>
      <w:r w:rsidR="00585725">
        <w:rPr>
          <w:rtl/>
          <w:lang w:val="en-MY"/>
        </w:rPr>
        <w:instrText>بسم الله الرحمن الرحيمالحمد لله رب العالمين، والصلاة والسلام على سيدنا محمد خاتم النبيين، وعلى آله وصحبه أجمعين.قرار رقم: 21 (3/9)بشأن أحكام النقود الورقية وتغيُّر قيمة العملةإن مجلس مجمع الفقه الإسلامي الدولي المنعقد في دورة مؤتمره الثالث</w:instrText>
      </w:r>
      <w:r w:rsidR="00585725">
        <w:rPr>
          <w:lang w:val="en-MY"/>
        </w:rPr>
        <w:instrText xml:space="preserve"> </w:instrText>
      </w:r>
      <w:r w:rsidR="00585725">
        <w:rPr>
          <w:rtl/>
          <w:lang w:val="en-MY"/>
        </w:rPr>
        <w:instrText>بعمان</w:instrText>
      </w:r>
      <w:r w:rsidR="00585725">
        <w:rPr>
          <w:lang w:val="en-MY"/>
        </w:rPr>
        <w:instrText xml:space="preserve">","language":"ar","number":"Resolution No. 21 (3/9)","publisher":"International Islamic Fiqh Academy","title":"Qarār bi-shaʾn aḥkām al-Nuqūd al-Waraqiyyah wa taghayyur qīmat al-ʿUmlah","URL":"https://iifa-aifi.org/ar/1679.html","author":[{"family":"International Islamic Fiqh Academy","given":""}],"accessed":{"date-parts":[["2026",6,2]]},"issued":{"date-parts":[["1986"]]}}},{"id":3097,"uris":["http://zotero.org/users/17067337/items/DB3AA8V5"],"itemData":{"id":3097,"type":"webpage","title":"Nisab Zakat Emas: Pusat Zakat Atau Nilai Semasa?","URL":"https://muftiwp.gov.my/ms/artikel/al-kafi-li-al-fatawi/4850-al-kafi-1811-nisab-zakat-emas-pusat-zakat-atau-nilai-semasa","author":[{"family":"Jabatan Mufti Wilayah Persekutuan","given":""}],"accessed":{"date-parts":[["2026",5,14]]},"issued":{"date-parts":[["2021",6,30]]}}},{"id":3121,"uris":["http://zotero.org/users/17067337/items/JZKT3IZG"],"itemData":{"id":3121,"type":"webpage","abstract":"Portal Pengurusan Maklumat Zakat dan Baitulmal Malaysia merupakan satu portal yang memaparkan statistik am berkaitan zakat dan baitulmal di Malaysia. Statistik yang dipaparkan dari laman ini diperoleh dari Majlis Agama Islam Negeri (MAIN) di Malaysia dan akan dikemaskini dari masa ke semasa bagi memudahkan orang awam membuat rujukan mengenai statistik zakat dan baitulmal di Malaysia. Antara maklumat yang dipaparkan ialah Statistik Kutipan Zakat Harta dan Fitrah, Statistik Agihan Zakat, Kadar Nisab Zakat Harta dan Fitrah serta Statistik Kadar Fidyah","container-title":"Portal Baitulmal JAWHAR","language":"en-US","title":"Statistik Kadar Nisab Zakat Harta","URL":"https://baitulmal.jawhar.gov.my/statistik-kadar-nisab-zakat-harta/","author":[{"family":"JAWHAR","given":""}],"accessed":{"date-parts":[["2026",5,14]]}}}],"schema":"https://github.com/citation-style-language/schema/raw/master/csl-citation.json"} </w:instrText>
      </w:r>
      <w:r w:rsidRPr="0097203D">
        <w:rPr>
          <w:lang w:val="en-MY"/>
        </w:rPr>
        <w:fldChar w:fldCharType="separate"/>
      </w:r>
      <w:r w:rsidRPr="0097203D">
        <w:rPr>
          <w:rFonts w:cs="Times New Roman"/>
          <w:lang w:val="en-MY"/>
        </w:rPr>
        <w:t>(Accounting and Auditing Organization for Islamic Financial Institutions, n.d.; International Islamic Fiqh Academy, 1986; Jabatan Mufti Wilayah Persekutuan, 2021; JAWHAR, n.d.)</w:t>
      </w:r>
      <w:r w:rsidRPr="0097203D">
        <w:rPr>
          <w:lang w:val="en-MY"/>
        </w:rPr>
        <w:fldChar w:fldCharType="end"/>
      </w:r>
      <w:r w:rsidRPr="0097203D">
        <w:rPr>
          <w:lang w:val="en-MY"/>
        </w:rPr>
        <w:t xml:space="preserve">. The economic materials consist of public sources concerning the price of gold, such as the World Gold Council and the London Bullion Market Association (LBMA), as well as contemporary studies on the volatility of the gold price and the calculation of </w:t>
      </w:r>
      <w:proofErr w:type="spellStart"/>
      <w:r w:rsidRPr="0097203D">
        <w:rPr>
          <w:lang w:val="en-MY"/>
        </w:rPr>
        <w:t>nisab</w:t>
      </w:r>
      <w:proofErr w:type="spellEnd"/>
      <w:r w:rsidRPr="0097203D">
        <w:rPr>
          <w:lang w:val="en-MY"/>
        </w:rPr>
        <w:t xml:space="preserve"> </w:t>
      </w:r>
      <w:r w:rsidRPr="0097203D">
        <w:rPr>
          <w:lang w:val="en-MY"/>
        </w:rPr>
        <w:fldChar w:fldCharType="begin"/>
      </w:r>
      <w:r w:rsidR="00585725">
        <w:rPr>
          <w:lang w:val="en-MY"/>
        </w:rPr>
        <w:instrText xml:space="preserve"> ADDIN ZOTERO_ITEM CSL_CITATION {"citationID":"R1zJl7VP","properties":{"unsorted":false,"formattedCitation":"(Judijanto, 2026; London Bullion Market Association, n.d.; Senawi et al., 2023; World Gold Council, 2024, 2025)","plainCitation":"(Judijanto, 2026; London Bullion Market Association, n.d.; Senawi et al., 2023; World Gold Council, 2024, 2025)","noteIndex":0},"citationItems":[{"id":3512,"uris":["http://zotero.org/users/17067337/items/G4Y9ES82"],"itemData":{"id":3512,"type":"article-journal","abstract":"This study examines the implications of global gold price volatility on nisab determination and zakat calculation methods from a contemporary fiqh mu'amalah perspective. Gold price fluctuations have created significant challenges in maintaining equitable zakat obligations, as traditional fixed-gram nisab thresholds may inadvertently burden lower-income Muslims during price spikes or reduce zakat collection during price drops. Using a qualitative approach with library research methodology, this study analyzes classical and contemporary fiqh literature, fatwas from various Islamic jurisprudence councils, and historical gold price data from 2015 to 2024. The research synthesizes scholarly opinions across different madhhabs regarding appropriate calculation methodologies in dynamic market conditions. Findings reveal three primary approaches emerged from contemporary ijtihad: first, maintaining fixed gram-based nisab with periodic review mechanisms; second, implementing currency conversion methods with regular benchmark adjustments; and third, utilizing averaged gold prices over specific timeframes to smooth volatility impacts. The study demonstrates that the Hanafi school's interpretation offers greater flexibility for contemporary application, while Shafi'i and Maliki positions emphasize wealth preservation principles. Results indicate that volatile gold markets between 2020-2024 caused nisab values to fluctuate between forty-three to seventy-eight percent, significantly affecting muzakki populations and zakat revenue streams in Muslim-majority countries. The research concludes that contemporary nisab determination requires balancing three foundational Islamic principles: justice in obligation distribution, ease in compliance, and maximization of social welfare. \n \n\n\n\n\nKeywords: Gold Zakat, Nisab Threshold, Price Volatility, Contemporary Fiqh, Islamic Economics, Wealth Redistribution, Ijtihad","container-title":"International Journal of Economics Management and Social Science","ISSN":"2614-3828","issue":"1","language":"en","license":"Copyright (c) 2026 Loso Judijanto (Author)","page":"39-57","source":"journal.salewangang.net","title":"Dynamic Nisab Calculation in Gold Zakat: A Contemporary Fiqh Analysis of Global Gold Price Volatility","volume":"9","author":[{"family":"Judijanto","given":"Loso"}],"issued":{"date-parts":[["2026",1,19]]}}},{"id":3508,"uris":["http://zotero.org/users/17067337/items/RN8HTW3H"],"itemData":{"id":3508,"type":"webpage","container-title":"LBMA","language":"en-GB","title":"LBMA Gold Price","URL":"https://www.lbma.org.uk/prices-and-data/lbma-gold-price","author":[{"family":"London Bullion Market Association","given":""}],"accessed":{"date-parts":[["2026",6,2]]}}},{"id":3514,"uris":["http://zotero.org/users/17067337/items/XGJX9INB"],"itemData":{"id":3514,"type":"article-journal","abstract":"Zakat distribution has a positive correlation with its collection. Thus, a higher collection of zakat will positively impact the distribution amount and reach a bigger pool of zakat recipients. However, some external constraints in its collection could likely have an adverse impact on its collection, especially the effect of the macroeconomic factors. It becomes crucial when the increase in the price of gold (one of the primary commodities used as a nisab benchmark for zakat in Islam) is claimed to negatively influence the collection and allocation of zakat to the respective recipients. Therefore, this study aims to investigate whether the high and low value of nisab due to the fluctuating price of gold in the world market could negatively influence the zakat collection and indirectly affect all the recipients, especially the poor and needy. In achieving this aim, this study will utilize a structured self-administered questionnaire to study the awareness of Muslims on the nisab of zakat and its influence on their zakat payments. It is still relatively rare to find any research on the awareness of the nisab of zakat and its relation to the zakat contribution. One past econometric study concluded that a higher nisab leads to a lower zakat collection. The findings of this proposed study could complement that previous study and hence be justifiable due to its significant impact on the recipients of zakat (asnaf) as the main stakeholders.","container-title":"Information Management and Business Review","DOI":"10.22610/imbr.v15i4(SI)I.3607","ISSN":"2220-3796","issue":"4(SI)I","language":"en","page":"331-336","source":"ojs.amhinternational.com","title":"Nisab of Zakat and Zakat Contribution: A Conceptual Model","volume":"15","author":[{"family":"Senawi","given":"Azhan Rashid"},{"family":"Omar","given":"Heizal Hezry"},{"family":"Muhamat","given":"Amirul Afif"},{"family":"Harun","given":"Shariff"},{"family":"Husain","given":"Husna"},{"family":"Widiastuti","given":"Tika"},{"family":"Chik","given":"Nazri"}],"issued":{"date-parts":[["2023",11,12]]}}},{"id":3510,"uris":["http://zotero.org/users/17067337/items/4YWG7E7K"],"itemData":{"id":3510,"type":"webpage","container-title":"World Gold Council","language":"en","title":"Gold Outlook 2025: Navigating Rates, Risk and Growth","title-short":"Gold Outlook 2025","URL":"https://www.gold.org/goldhub/research/gold-outlook-2025","author":[{"family":"World Gold Council","given":""}],"accessed":{"date-parts":[["2026",6,2]]},"issued":{"date-parts":[["2024",12,12]]}}},{"id":3138,"uris":["http://zotero.org/users/17067337/items/AYLRC97G"],"itemData":{"id":3138,"type":"webpage","container-title":"World Gold Council","title":"Gold Demand Trends: Full Year 2024","URL":"https://www.gold.org/goldhub/research/gold-demand-trends/gold-demand-trends-full-year-2024/central-banks","author":[{"family":"World Gold Council","given":""}],"accessed":{"date-parts":[["2026",5,14]]},"issued":{"date-parts":[["2025",5,2]]}}}],"schema":"https://github.com/citation-style-language/schema/raw/master/csl-citation.json"} </w:instrText>
      </w:r>
      <w:r w:rsidRPr="0097203D">
        <w:rPr>
          <w:lang w:val="en-MY"/>
        </w:rPr>
        <w:fldChar w:fldCharType="separate"/>
      </w:r>
      <w:r w:rsidRPr="0097203D">
        <w:rPr>
          <w:rFonts w:cs="Times New Roman"/>
          <w:lang w:val="en-MY"/>
        </w:rPr>
        <w:t>(Judijanto, 2026; London Bullion Market Association, n.d.; Senawi et al., 2023; World Gold Council, 2024, 2025)</w:t>
      </w:r>
      <w:r w:rsidRPr="0097203D">
        <w:rPr>
          <w:lang w:val="en-MY"/>
        </w:rPr>
        <w:fldChar w:fldCharType="end"/>
      </w:r>
      <w:r w:rsidRPr="0097203D">
        <w:rPr>
          <w:lang w:val="en-MY"/>
        </w:rPr>
        <w:t>.</w:t>
      </w:r>
    </w:p>
    <w:p w:rsidR="00401F75" w:rsidRPr="0097203D" w:rsidRDefault="0097203D" w:rsidP="009E1448">
      <w:pPr>
        <w:spacing w:line="240" w:lineRule="auto"/>
        <w:ind w:firstLine="720"/>
        <w:jc w:val="both"/>
        <w:rPr>
          <w:lang w:val="en-MY"/>
        </w:rPr>
      </w:pPr>
      <w:r w:rsidRPr="0097203D">
        <w:rPr>
          <w:lang w:val="en-MY"/>
        </w:rPr>
        <w:t>The analytical</w:t>
      </w:r>
      <w:r w:rsidR="00401F75" w:rsidRPr="0097203D">
        <w:rPr>
          <w:lang w:val="en-MY"/>
        </w:rPr>
        <w:t xml:space="preserve"> process has three steps. The first is the </w:t>
      </w:r>
      <w:proofErr w:type="spellStart"/>
      <w:r w:rsidR="00401F75" w:rsidRPr="0097203D">
        <w:rPr>
          <w:lang w:val="en-MY"/>
        </w:rPr>
        <w:t>nisab</w:t>
      </w:r>
      <w:proofErr w:type="spellEnd"/>
      <w:r w:rsidR="00401F75" w:rsidRPr="0097203D">
        <w:rPr>
          <w:lang w:val="en-MY"/>
        </w:rPr>
        <w:t xml:space="preserve"> as a normative value, and the second is the administrative valuation of </w:t>
      </w:r>
      <w:proofErr w:type="spellStart"/>
      <w:r w:rsidR="00401F75" w:rsidRPr="0097203D">
        <w:rPr>
          <w:lang w:val="en-MY"/>
        </w:rPr>
        <w:t>nisab</w:t>
      </w:r>
      <w:proofErr w:type="spellEnd"/>
      <w:r w:rsidR="00401F75" w:rsidRPr="0097203D">
        <w:rPr>
          <w:lang w:val="en-MY"/>
        </w:rPr>
        <w:t xml:space="preserve"> in currency. Secondly, it </w:t>
      </w:r>
      <w:r w:rsidRPr="0097203D">
        <w:rPr>
          <w:lang w:val="en-MY"/>
        </w:rPr>
        <w:t>analyses</w:t>
      </w:r>
      <w:r w:rsidR="00401F75" w:rsidRPr="0097203D">
        <w:rPr>
          <w:lang w:val="en-MY"/>
        </w:rPr>
        <w:t xml:space="preserve"> the </w:t>
      </w:r>
      <w:r w:rsidR="001D199C">
        <w:rPr>
          <w:lang w:val="en-MY"/>
        </w:rPr>
        <w:t>impact of volatility on wealth zakat, focusing on its fairness and effectiveness</w:t>
      </w:r>
      <w:r w:rsidR="00401F75" w:rsidRPr="0097203D">
        <w:rPr>
          <w:lang w:val="en-MY"/>
        </w:rPr>
        <w:t xml:space="preserve">. Third, it suggests a governance structure for the zakat institutions </w:t>
      </w:r>
      <w:r w:rsidR="00AB4E02">
        <w:rPr>
          <w:lang w:val="en-MY"/>
        </w:rPr>
        <w:t>that is</w:t>
      </w:r>
      <w:r w:rsidR="00401F75" w:rsidRPr="0097203D">
        <w:rPr>
          <w:lang w:val="en-MY"/>
        </w:rPr>
        <w:t xml:space="preserve"> consistent with the fidelity of fiqh and public accountability. This is the right way to go, as the issue is not just legal, or economic or administrative, but all three.</w:t>
      </w:r>
    </w:p>
    <w:p w:rsidR="005710BE" w:rsidRPr="001D199C" w:rsidRDefault="00DC7EAF" w:rsidP="00500528">
      <w:pPr>
        <w:pStyle w:val="Heading2"/>
        <w:rPr>
          <w:lang w:val="en-MY"/>
        </w:rPr>
      </w:pPr>
      <w:r w:rsidRPr="001D199C">
        <w:rPr>
          <w:lang w:val="en-MY"/>
        </w:rPr>
        <w:t xml:space="preserve">4. Jurisprudential Foundations of Gold-Based Wealth Zakat </w:t>
      </w:r>
      <w:proofErr w:type="spellStart"/>
      <w:r w:rsidRPr="001D199C">
        <w:rPr>
          <w:lang w:val="en-MY"/>
        </w:rPr>
        <w:t>Nisab</w:t>
      </w:r>
      <w:proofErr w:type="spellEnd"/>
    </w:p>
    <w:p w:rsidR="00777323" w:rsidRPr="0097203D" w:rsidRDefault="00777323" w:rsidP="009E1448">
      <w:pPr>
        <w:spacing w:line="240" w:lineRule="auto"/>
        <w:jc w:val="both"/>
        <w:rPr>
          <w:lang w:val="en-MY"/>
        </w:rPr>
      </w:pPr>
      <w:r w:rsidRPr="0097203D">
        <w:rPr>
          <w:lang w:val="en-MY"/>
        </w:rPr>
        <w:t xml:space="preserve">There is a basis in jurisprudence for </w:t>
      </w:r>
      <w:r w:rsidR="001D199C">
        <w:rPr>
          <w:lang w:val="en-MY"/>
        </w:rPr>
        <w:t xml:space="preserve">the gold </w:t>
      </w:r>
      <w:proofErr w:type="spellStart"/>
      <w:r w:rsidR="001D199C">
        <w:rPr>
          <w:lang w:val="en-MY"/>
        </w:rPr>
        <w:t>nisab</w:t>
      </w:r>
      <w:proofErr w:type="spellEnd"/>
      <w:r w:rsidR="001D199C">
        <w:rPr>
          <w:lang w:val="en-MY"/>
        </w:rPr>
        <w:t xml:space="preserve">: gold is one of the assets </w:t>
      </w:r>
      <w:proofErr w:type="gramStart"/>
      <w:r w:rsidR="001D199C">
        <w:rPr>
          <w:lang w:val="en-MY"/>
        </w:rPr>
        <w:t>subject</w:t>
      </w:r>
      <w:proofErr w:type="gramEnd"/>
      <w:r w:rsidR="001D199C">
        <w:rPr>
          <w:lang w:val="en-MY"/>
        </w:rPr>
        <w:t xml:space="preserve"> to </w:t>
      </w:r>
      <w:proofErr w:type="spellStart"/>
      <w:r w:rsidR="001D199C">
        <w:rPr>
          <w:lang w:val="en-MY"/>
        </w:rPr>
        <w:t>zakah</w:t>
      </w:r>
      <w:proofErr w:type="spellEnd"/>
      <w:r w:rsidR="001D199C">
        <w:rPr>
          <w:lang w:val="en-MY"/>
        </w:rPr>
        <w:t>, and it is one of the criteria for</w:t>
      </w:r>
      <w:r w:rsidRPr="0097203D">
        <w:rPr>
          <w:lang w:val="en-MY"/>
        </w:rPr>
        <w:t xml:space="preserve"> wealth. </w:t>
      </w:r>
      <w:r w:rsidR="001D199C">
        <w:rPr>
          <w:lang w:val="en-MY"/>
        </w:rPr>
        <w:t>In the classical monetary environment, gold dinars and silver dirhams served</w:t>
      </w:r>
      <w:r w:rsidRPr="0097203D">
        <w:rPr>
          <w:lang w:val="en-MY"/>
        </w:rPr>
        <w:t xml:space="preserve"> as money. Thus, the </w:t>
      </w:r>
      <w:proofErr w:type="spellStart"/>
      <w:r w:rsidRPr="0097203D">
        <w:rPr>
          <w:lang w:val="en-MY"/>
        </w:rPr>
        <w:t>nisab</w:t>
      </w:r>
      <w:proofErr w:type="spellEnd"/>
      <w:r w:rsidRPr="0097203D">
        <w:rPr>
          <w:lang w:val="en-MY"/>
        </w:rPr>
        <w:t xml:space="preserve"> was linked to the physical weight in the juristic debates. </w:t>
      </w:r>
      <w:r w:rsidR="00AB4E02">
        <w:rPr>
          <w:lang w:val="en-MY"/>
        </w:rPr>
        <w:t>However,</w:t>
      </w:r>
      <w:r w:rsidRPr="0097203D">
        <w:rPr>
          <w:lang w:val="en-MY"/>
        </w:rPr>
        <w:t xml:space="preserve"> in the modern concept of zakat, people tend to use </w:t>
      </w:r>
      <w:r w:rsidR="001D199C">
        <w:rPr>
          <w:lang w:val="en-MY"/>
        </w:rPr>
        <w:t xml:space="preserve">the gold </w:t>
      </w:r>
      <w:proofErr w:type="spellStart"/>
      <w:r w:rsidR="001D199C">
        <w:rPr>
          <w:lang w:val="en-MY"/>
        </w:rPr>
        <w:t>nisab</w:t>
      </w:r>
      <w:proofErr w:type="spellEnd"/>
      <w:r w:rsidR="001D199C">
        <w:rPr>
          <w:lang w:val="en-MY"/>
        </w:rPr>
        <w:t xml:space="preserve"> for currency, wages, savings, commercial stocks, investment portfolios,</w:t>
      </w:r>
      <w:r w:rsidRPr="0097203D">
        <w:rPr>
          <w:lang w:val="en-MY"/>
        </w:rPr>
        <w:t xml:space="preserve"> and other monetary assets</w:t>
      </w:r>
      <w:r w:rsidR="001D199C">
        <w:rPr>
          <w:lang w:val="en-MY"/>
        </w:rPr>
        <w:t xml:space="preserve"> </w:t>
      </w:r>
      <w:r w:rsidR="001D199C">
        <w:rPr>
          <w:lang w:val="en-MY"/>
        </w:rPr>
        <w:fldChar w:fldCharType="begin"/>
      </w:r>
      <w:r w:rsidR="001D199C">
        <w:rPr>
          <w:lang w:val="en-MY"/>
        </w:rPr>
        <w:instrText xml:space="preserve"> ADDIN ZOTERO_ITEM CSL_CITATION {"citationID":"fJl6c1Lm","properties":{"unsorted":false,"formattedCitation":"(Al-Qaradawi, 1973)","plainCitation":"(Al-Qaradawi, 1973)","noteIndex":0},"citationItems":[{"id":1052,"uris":["http://zotero.org/users/17067337/items/G5SMFJ6S"],"itemData":{"id":1052,"type":"book","publisher":"Muassasah al-Risalah","title":"Fiqh al-Zakat","URL":"https://old.shamela.ws/rep.php/book/3075","author":[{"family":"Al-Qaradawi","given":"Y."}],"accessed":{"date-parts":[["2025",6,3]]},"issued":{"date-parts":[["1973"]]}}}],"schema":"https://github.com/citation-style-language/schema/raw/master/csl-citation.json"} </w:instrText>
      </w:r>
      <w:r w:rsidR="001D199C">
        <w:rPr>
          <w:lang w:val="en-MY"/>
        </w:rPr>
        <w:fldChar w:fldCharType="separate"/>
      </w:r>
      <w:r w:rsidR="001D199C" w:rsidRPr="001D199C">
        <w:rPr>
          <w:rFonts w:cs="Times New Roman"/>
        </w:rPr>
        <w:t>(Al-Qaradawi, 1973)</w:t>
      </w:r>
      <w:r w:rsidR="001D199C">
        <w:rPr>
          <w:lang w:val="en-MY"/>
        </w:rPr>
        <w:fldChar w:fldCharType="end"/>
      </w:r>
      <w:r w:rsidRPr="0097203D">
        <w:rPr>
          <w:lang w:val="en-MY"/>
        </w:rPr>
        <w:t xml:space="preserve">. This is </w:t>
      </w:r>
      <w:r w:rsidR="001D199C">
        <w:rPr>
          <w:lang w:val="en-MY"/>
        </w:rPr>
        <w:t>supported by modern interpretations of fiqh, which hold that paper money has monetary value by</w:t>
      </w:r>
      <w:r w:rsidRPr="0097203D">
        <w:rPr>
          <w:lang w:val="en-MY"/>
        </w:rPr>
        <w:t xml:space="preserve"> convention.</w:t>
      </w:r>
      <w:r w:rsidR="00554826">
        <w:rPr>
          <w:lang w:val="en-MY"/>
        </w:rPr>
        <w:t xml:space="preserve"> Hence, t</w:t>
      </w:r>
      <w:r w:rsidRPr="0097203D">
        <w:rPr>
          <w:lang w:val="en-MY"/>
        </w:rPr>
        <w:t xml:space="preserve">he resolution of the International Islamic Fiqh Academy </w:t>
      </w:r>
      <w:r w:rsidR="001D199C">
        <w:rPr>
          <w:lang w:val="en-MY"/>
        </w:rPr>
        <w:t xml:space="preserve">(1986) </w:t>
      </w:r>
      <w:r w:rsidRPr="0097203D">
        <w:rPr>
          <w:lang w:val="en-MY"/>
        </w:rPr>
        <w:t xml:space="preserve">regarding paper money is very important because </w:t>
      </w:r>
      <w:r w:rsidR="001D199C">
        <w:rPr>
          <w:lang w:val="en-MY"/>
        </w:rPr>
        <w:t xml:space="preserve">it declares it to be a monetary unit with full value by convention and subject to the rulings </w:t>
      </w:r>
      <w:r w:rsidR="00554826">
        <w:rPr>
          <w:lang w:val="en-MY"/>
        </w:rPr>
        <w:t>on zakat and other financial matters for gold and silver. It is said that:</w:t>
      </w:r>
    </w:p>
    <w:p w:rsidR="005710BE" w:rsidRPr="0097203D" w:rsidRDefault="00A33D64" w:rsidP="009E1448">
      <w:pPr>
        <w:spacing w:line="240" w:lineRule="auto"/>
        <w:ind w:left="720" w:right="855"/>
        <w:jc w:val="both"/>
        <w:rPr>
          <w:rFonts w:asciiTheme="majorBidi" w:hAnsiTheme="majorBidi" w:cstheme="majorBidi"/>
          <w:szCs w:val="24"/>
          <w:lang w:val="en-MY"/>
        </w:rPr>
      </w:pPr>
      <w:r>
        <w:rPr>
          <w:rFonts w:asciiTheme="majorBidi" w:hAnsiTheme="majorBidi" w:cstheme="majorBidi"/>
          <w:iCs/>
          <w:szCs w:val="24"/>
          <w:lang w:val="en-MY"/>
        </w:rPr>
        <w:t>“</w:t>
      </w:r>
      <w:r w:rsidR="00DC7EAF" w:rsidRPr="003F1447">
        <w:rPr>
          <w:rFonts w:asciiTheme="majorBidi" w:hAnsiTheme="majorBidi" w:cstheme="majorBidi"/>
          <w:i/>
          <w:szCs w:val="24"/>
          <w:lang w:val="en-MY"/>
        </w:rPr>
        <w:t xml:space="preserve">Paper money is conventional money possessing full monetary character, and it has the legal rulings established for gold and silver with respect to </w:t>
      </w:r>
      <w:proofErr w:type="spellStart"/>
      <w:r w:rsidR="00DC7EAF" w:rsidRPr="003F1447">
        <w:rPr>
          <w:rFonts w:asciiTheme="majorBidi" w:hAnsiTheme="majorBidi" w:cstheme="majorBidi"/>
          <w:i/>
          <w:szCs w:val="24"/>
          <w:lang w:val="en-MY"/>
        </w:rPr>
        <w:t>riba</w:t>
      </w:r>
      <w:proofErr w:type="spellEnd"/>
      <w:r w:rsidR="00DC7EAF" w:rsidRPr="003F1447">
        <w:rPr>
          <w:rFonts w:asciiTheme="majorBidi" w:hAnsiTheme="majorBidi" w:cstheme="majorBidi"/>
          <w:i/>
          <w:szCs w:val="24"/>
          <w:lang w:val="en-MY"/>
        </w:rPr>
        <w:t xml:space="preserve">, zakat, </w:t>
      </w:r>
      <w:proofErr w:type="spellStart"/>
      <w:r w:rsidR="00DC7EAF" w:rsidRPr="003F1447">
        <w:rPr>
          <w:rFonts w:asciiTheme="majorBidi" w:hAnsiTheme="majorBidi" w:cstheme="majorBidi"/>
          <w:i/>
          <w:szCs w:val="24"/>
          <w:lang w:val="en-MY"/>
        </w:rPr>
        <w:t>salam</w:t>
      </w:r>
      <w:proofErr w:type="spellEnd"/>
      <w:r w:rsidR="00DC7EAF" w:rsidRPr="003F1447">
        <w:rPr>
          <w:rFonts w:asciiTheme="majorBidi" w:hAnsiTheme="majorBidi" w:cstheme="majorBidi"/>
          <w:i/>
          <w:szCs w:val="24"/>
          <w:lang w:val="en-MY"/>
        </w:rPr>
        <w:t xml:space="preserve"> and the rest of their rulings</w:t>
      </w:r>
      <w:r w:rsidR="00DC7EAF" w:rsidRPr="00554826">
        <w:rPr>
          <w:rFonts w:asciiTheme="majorBidi" w:hAnsiTheme="majorBidi" w:cstheme="majorBidi"/>
          <w:iCs/>
          <w:szCs w:val="24"/>
          <w:lang w:val="en-MY"/>
        </w:rPr>
        <w:t>.</w:t>
      </w:r>
      <w:r>
        <w:rPr>
          <w:rFonts w:asciiTheme="majorBidi" w:hAnsiTheme="majorBidi" w:cstheme="majorBidi"/>
          <w:iCs/>
          <w:szCs w:val="24"/>
          <w:lang w:val="en-MY"/>
        </w:rPr>
        <w:t>”</w:t>
      </w:r>
      <w:r w:rsidR="00D71366" w:rsidRPr="0097203D">
        <w:rPr>
          <w:rFonts w:asciiTheme="majorBidi" w:hAnsiTheme="majorBidi" w:cstheme="majorBidi"/>
          <w:i/>
          <w:szCs w:val="24"/>
          <w:lang w:val="en-MY"/>
        </w:rPr>
        <w:t xml:space="preserve"> </w:t>
      </w:r>
      <w:r w:rsidR="00D71366" w:rsidRPr="0097203D">
        <w:rPr>
          <w:rFonts w:asciiTheme="majorBidi" w:hAnsiTheme="majorBidi" w:cstheme="majorBidi"/>
          <w:i/>
          <w:szCs w:val="24"/>
          <w:lang w:val="en-MY"/>
        </w:rPr>
        <w:fldChar w:fldCharType="begin"/>
      </w:r>
      <w:r w:rsidR="00585725">
        <w:rPr>
          <w:rFonts w:asciiTheme="majorBidi" w:hAnsiTheme="majorBidi" w:cstheme="majorBidi"/>
          <w:i/>
          <w:szCs w:val="24"/>
          <w:lang w:val="en-MY"/>
        </w:rPr>
        <w:instrText xml:space="preserve"> ADDIN ZOTERO_ITEM CSL_CITATION {"citationID":"vH2n84DZ","properties":{"unsorted":false,"formattedCitation":"(International Islamic Fiqh Academy, 1986)","plainCitation":"(International Islamic Fiqh Academy, 1986)","noteIndex":0},"citationItems":[{"id":3504,"uris":["http://zotero.org/users/17067337/items/L4I8QMMP"],"itemData":{"id":3504,"type":"standard","abstract":"</w:instrText>
      </w:r>
      <w:r w:rsidR="00585725">
        <w:rPr>
          <w:rFonts w:asciiTheme="majorBidi" w:hAnsiTheme="majorBidi" w:cstheme="majorBidi"/>
          <w:i/>
          <w:szCs w:val="24"/>
          <w:rtl/>
          <w:lang w:val="en-MY"/>
        </w:rPr>
        <w:instrText>بسم الله الرحمن الرحيمالحمد لله رب العالمين، والصلاة والسلام على سيدنا محمد خاتم النبيين، وعلى آله وصحبه أجمعين.قرار رقم: 21 (3/9)بشأن أحكام النقود الورقية وتغيُّر قيمة العملةإن مجلس مجمع الفقه الإسلامي الدولي المنعقد في دورة مؤتمره الثالث بعمان</w:instrText>
      </w:r>
      <w:r w:rsidR="00585725">
        <w:rPr>
          <w:rFonts w:asciiTheme="majorBidi" w:hAnsiTheme="majorBidi" w:cstheme="majorBidi"/>
          <w:i/>
          <w:szCs w:val="24"/>
          <w:lang w:val="en-MY"/>
        </w:rPr>
        <w:instrText xml:space="preserve">","language":"ar","number":"Resolution No. 21 (3/9)","publisher":"International Islamic Fiqh Academy","title":"Qarār bi-shaʾn aḥkām al-Nuqūd al-Waraqiyyah wa taghayyur qīmat al-ʿUmlah","URL":"https://iifa-aifi.org/ar/1679.html","author":[{"family":"International Islamic Fiqh Academy","given":""}],"accessed":{"date-parts":[["2026",6,2]]},"issued":{"date-parts":[["1986"]]}}}],"schema":"https://github.com/citation-style-language/schema/raw/master/csl-citation.json"} </w:instrText>
      </w:r>
      <w:r w:rsidR="00D71366" w:rsidRPr="0097203D">
        <w:rPr>
          <w:rFonts w:asciiTheme="majorBidi" w:hAnsiTheme="majorBidi" w:cstheme="majorBidi"/>
          <w:i/>
          <w:szCs w:val="24"/>
          <w:lang w:val="en-MY"/>
        </w:rPr>
        <w:fldChar w:fldCharType="separate"/>
      </w:r>
      <w:r w:rsidR="00D71366" w:rsidRPr="0097203D">
        <w:rPr>
          <w:rFonts w:cs="Times New Roman"/>
          <w:lang w:val="en-MY"/>
        </w:rPr>
        <w:t>(International Islamic Fiqh Academy, 1986)</w:t>
      </w:r>
      <w:r w:rsidR="00D71366" w:rsidRPr="0097203D">
        <w:rPr>
          <w:rFonts w:asciiTheme="majorBidi" w:hAnsiTheme="majorBidi" w:cstheme="majorBidi"/>
          <w:i/>
          <w:szCs w:val="24"/>
          <w:lang w:val="en-MY"/>
        </w:rPr>
        <w:fldChar w:fldCharType="end"/>
      </w:r>
    </w:p>
    <w:p w:rsidR="003F1447" w:rsidRPr="0097203D" w:rsidRDefault="003F1447" w:rsidP="009E1448">
      <w:pPr>
        <w:spacing w:line="240" w:lineRule="auto"/>
        <w:ind w:firstLine="720"/>
        <w:jc w:val="both"/>
        <w:rPr>
          <w:lang w:val="en-MY"/>
        </w:rPr>
      </w:pPr>
      <w:r w:rsidRPr="0097203D">
        <w:rPr>
          <w:lang w:val="en-MY"/>
        </w:rPr>
        <w:t>This resolution explains why</w:t>
      </w:r>
      <w:r>
        <w:rPr>
          <w:lang w:val="en-MY"/>
        </w:rPr>
        <w:t>, even today,</w:t>
      </w:r>
      <w:r w:rsidRPr="0097203D">
        <w:rPr>
          <w:lang w:val="en-MY"/>
        </w:rPr>
        <w:t xml:space="preserve"> it is possible to evaluate </w:t>
      </w:r>
      <w:r>
        <w:rPr>
          <w:lang w:val="en-MY"/>
        </w:rPr>
        <w:t>wealth</w:t>
      </w:r>
      <w:r w:rsidRPr="0097203D">
        <w:rPr>
          <w:lang w:val="en-MY"/>
        </w:rPr>
        <w:t xml:space="preserve"> by the standards of gold or silver. It, however, does not resolve the administrative issue of price selection. </w:t>
      </w:r>
      <w:r w:rsidR="00AB4E02">
        <w:rPr>
          <w:lang w:val="en-MY"/>
        </w:rPr>
        <w:t>The juristic rule provides the analogy</w:t>
      </w:r>
      <w:r>
        <w:rPr>
          <w:lang w:val="en-MY"/>
        </w:rPr>
        <w:t>; the institution must</w:t>
      </w:r>
      <w:r w:rsidRPr="0097203D">
        <w:rPr>
          <w:lang w:val="en-MY"/>
        </w:rPr>
        <w:t xml:space="preserve"> </w:t>
      </w:r>
      <w:r w:rsidR="00AB4E02">
        <w:rPr>
          <w:lang w:val="en-MY"/>
        </w:rPr>
        <w:t>operationalise it</w:t>
      </w:r>
      <w:r w:rsidRPr="0097203D">
        <w:rPr>
          <w:lang w:val="en-MY"/>
        </w:rPr>
        <w:t xml:space="preserve">. Subsequently, if 20 dinars are converted to 85 grams of pure gold, then a zakat authority has to determine the price from one of the following: from a local jeweller, from a gold trader in the country, from a bullion exchange, from the benchmark of the LBMA (London Bullion Market Association), from an average price in one month or from an average price in one year, or from </w:t>
      </w:r>
      <w:r w:rsidRPr="0097203D">
        <w:rPr>
          <w:lang w:val="en-MY"/>
        </w:rPr>
        <w:lastRenderedPageBreak/>
        <w:t xml:space="preserve">another recognised source. It should also determine whether to apply premiums and spreads to </w:t>
      </w:r>
      <w:r>
        <w:rPr>
          <w:lang w:val="en-MY"/>
        </w:rPr>
        <w:t>24-karat</w:t>
      </w:r>
      <w:r w:rsidRPr="0097203D">
        <w:rPr>
          <w:lang w:val="en-MY"/>
        </w:rPr>
        <w:t xml:space="preserve"> gold or </w:t>
      </w:r>
      <w:r>
        <w:rPr>
          <w:lang w:val="en-MY"/>
        </w:rPr>
        <w:t>to retail gold products</w:t>
      </w:r>
      <w:r w:rsidRPr="0097203D">
        <w:rPr>
          <w:lang w:val="en-MY"/>
        </w:rPr>
        <w:t>.</w:t>
      </w:r>
    </w:p>
    <w:p w:rsidR="003F1447" w:rsidRPr="0097203D" w:rsidRDefault="003F1447" w:rsidP="009E1448">
      <w:pPr>
        <w:spacing w:line="240" w:lineRule="auto"/>
        <w:ind w:firstLine="720"/>
        <w:jc w:val="both"/>
        <w:rPr>
          <w:lang w:val="en-MY"/>
        </w:rPr>
      </w:pPr>
      <w:r w:rsidRPr="0097203D">
        <w:rPr>
          <w:lang w:val="en-MY"/>
        </w:rPr>
        <w:t xml:space="preserve">In the light of fiqh, the operational decisions are part of </w:t>
      </w:r>
      <w:proofErr w:type="spellStart"/>
      <w:r w:rsidRPr="0097203D">
        <w:rPr>
          <w:lang w:val="en-MY"/>
        </w:rPr>
        <w:t>siyasah</w:t>
      </w:r>
      <w:proofErr w:type="spellEnd"/>
      <w:r w:rsidRPr="0097203D">
        <w:rPr>
          <w:lang w:val="en-MY"/>
        </w:rPr>
        <w:t xml:space="preserve"> </w:t>
      </w:r>
      <w:proofErr w:type="spellStart"/>
      <w:r w:rsidRPr="0097203D">
        <w:rPr>
          <w:lang w:val="en-MY"/>
        </w:rPr>
        <w:t>sharʾiyyah</w:t>
      </w:r>
      <w:proofErr w:type="spellEnd"/>
      <w:r w:rsidRPr="0097203D">
        <w:rPr>
          <w:lang w:val="en-MY"/>
        </w:rPr>
        <w:t xml:space="preserve"> and institutional ijtihad. They must be evaluated based on consistency with legal evidence, fairness, public interest and avoidance of hardship. The principle of government action</w:t>
      </w:r>
      <w:r>
        <w:rPr>
          <w:lang w:val="en-MY"/>
        </w:rPr>
        <w:t>, which can be linked to public interest,</w:t>
      </w:r>
      <w:r w:rsidRPr="0097203D">
        <w:rPr>
          <w:lang w:val="en-MY"/>
        </w:rPr>
        <w:t xml:space="preserve"> is also applicable here</w:t>
      </w:r>
      <w:r>
        <w:rPr>
          <w:lang w:val="en-MY"/>
        </w:rPr>
        <w:t xml:space="preserve">, since the authorities of zakat administer a religious obligation of the public on behalf of the Muslim community </w:t>
      </w:r>
      <w:r>
        <w:rPr>
          <w:lang w:val="en-MY"/>
        </w:rPr>
        <w:fldChar w:fldCharType="begin"/>
      </w:r>
      <w:r w:rsidR="00585725">
        <w:rPr>
          <w:lang w:val="en-MY"/>
        </w:rPr>
        <w:instrText xml:space="preserve"> ADDIN ZOTERO_ITEM CSL_CITATION {"citationID":"1K4v2SCz","properties":{"unsorted":false,"formattedCitation":"(Al-Suy\\uc0\\u363{}\\uc0\\u7789{}\\uc0\\u299{}, 1990)","plainCitation":"(Al-Suyūṭī, 1990)","noteIndex":0},"citationItems":[{"id":3529,"uris":["http://zotero.org/users/17067337/items/54VS245H"],"itemData":{"id":3529,"type":"book","publisher":"Dār al-Kutub al-ʿIlmiyyah","title":"Al-Ashbāh wa al-Naẓāʾir","author":[{"family":"Al-Suyūṭī","given":"J."}],"issued":{"date-parts":[["1990"]]}}}],"schema":"https://github.com/citation-style-language/schema/raw/master/csl-citation.json"} </w:instrText>
      </w:r>
      <w:r>
        <w:rPr>
          <w:lang w:val="en-MY"/>
        </w:rPr>
        <w:fldChar w:fldCharType="separate"/>
      </w:r>
      <w:r w:rsidRPr="003F1447">
        <w:rPr>
          <w:rFonts w:cs="Times New Roman"/>
          <w:szCs w:val="24"/>
        </w:rPr>
        <w:t>(Al-Suyūṭī, 1990)</w:t>
      </w:r>
      <w:r>
        <w:rPr>
          <w:lang w:val="en-MY"/>
        </w:rPr>
        <w:fldChar w:fldCharType="end"/>
      </w:r>
      <w:r w:rsidRPr="0097203D">
        <w:rPr>
          <w:lang w:val="en-MY"/>
        </w:rPr>
        <w:t xml:space="preserve">. Also, the principle of </w:t>
      </w:r>
      <w:proofErr w:type="spellStart"/>
      <w:r w:rsidRPr="0097203D">
        <w:rPr>
          <w:lang w:val="en-MY"/>
        </w:rPr>
        <w:t>maqasid</w:t>
      </w:r>
      <w:proofErr w:type="spellEnd"/>
      <w:r w:rsidRPr="0097203D">
        <w:rPr>
          <w:lang w:val="en-MY"/>
        </w:rPr>
        <w:t xml:space="preserve"> requires that the </w:t>
      </w:r>
      <w:proofErr w:type="spellStart"/>
      <w:r w:rsidRPr="0097203D">
        <w:rPr>
          <w:lang w:val="en-MY"/>
        </w:rPr>
        <w:t>nisab</w:t>
      </w:r>
      <w:proofErr w:type="spellEnd"/>
      <w:r w:rsidRPr="0097203D">
        <w:rPr>
          <w:lang w:val="en-MY"/>
        </w:rPr>
        <w:t xml:space="preserve"> </w:t>
      </w:r>
      <w:r>
        <w:rPr>
          <w:lang w:val="en-MY"/>
        </w:rPr>
        <w:t>be capable of protecting wealth and promoting distributive justice, rather than</w:t>
      </w:r>
      <w:r w:rsidRPr="0097203D">
        <w:rPr>
          <w:lang w:val="en-MY"/>
        </w:rPr>
        <w:t xml:space="preserve"> merely </w:t>
      </w:r>
      <w:r w:rsidR="00735F94">
        <w:rPr>
          <w:lang w:val="en-MY"/>
        </w:rPr>
        <w:t>serving as</w:t>
      </w:r>
      <w:r w:rsidRPr="0097203D">
        <w:rPr>
          <w:lang w:val="en-MY"/>
        </w:rPr>
        <w:t xml:space="preserve"> an arithmetical number devoid of social implications</w:t>
      </w:r>
      <w:r>
        <w:rPr>
          <w:lang w:val="en-MY"/>
        </w:rPr>
        <w:t xml:space="preserve"> </w:t>
      </w:r>
      <w:r>
        <w:rPr>
          <w:lang w:val="en-MY"/>
        </w:rPr>
        <w:fldChar w:fldCharType="begin"/>
      </w:r>
      <w:r w:rsidR="00585725">
        <w:rPr>
          <w:lang w:val="en-MY"/>
        </w:rPr>
        <w:instrText xml:space="preserve"> ADDIN ZOTERO_ITEM CSL_CITATION {"citationID":"z1rbjwRF","properties":{"unsorted":false,"formattedCitation":"(Al-Shatibi, 1997; Ibn \\uc0\\u703{}\\uc0\\u256{}sh\\uc0\\u363{}r, 2001)","plainCitation":"(Al-Shatibi, 1997; Ibn ʿĀshūr, 2001)","noteIndex":0},"citationItems":[{"id":3008,"uris":["http://zotero.org/users/17067337/items/JMN2FPPV"],"itemData":{"id":3008,"type":"book","publisher":"Dar Ibn 'Affan","title":"AL-Muwafaqat","volume":"7","author":[{"family":"Al-Shatibi","given":"Ibrahim bin Musa"}],"issued":{"date-parts":[["1997"]]}}},{"id":3534,"uris":["http://zotero.org/users/17067337/items/WBFBPA6B"],"itemData":{"id":3534,"type":"book","publisher":"Dār al-Nafāʾis","title":"Maqāṣid al-Sharīʿah al-Islāmiyyah","author":[{"family":"Ibn ʿĀshūr","given":"M. T."}],"issued":{"date-parts":[["2001"]]}}}],"schema":"https://github.com/citation-style-language/schema/raw/master/csl-citation.json"} </w:instrText>
      </w:r>
      <w:r>
        <w:rPr>
          <w:lang w:val="en-MY"/>
        </w:rPr>
        <w:fldChar w:fldCharType="separate"/>
      </w:r>
      <w:r w:rsidRPr="003F1447">
        <w:rPr>
          <w:rFonts w:cs="Times New Roman"/>
          <w:szCs w:val="24"/>
        </w:rPr>
        <w:t>(Al-Shatibi, 1997; Ibn ʿĀshūr, 2001)</w:t>
      </w:r>
      <w:r>
        <w:rPr>
          <w:lang w:val="en-MY"/>
        </w:rPr>
        <w:fldChar w:fldCharType="end"/>
      </w:r>
      <w:r>
        <w:rPr>
          <w:lang w:val="en-MY"/>
        </w:rPr>
        <w:t>.</w:t>
      </w:r>
    </w:p>
    <w:p w:rsidR="005710BE" w:rsidRPr="00735F94" w:rsidRDefault="00DC7EAF" w:rsidP="00500528">
      <w:pPr>
        <w:pStyle w:val="Heading2"/>
        <w:rPr>
          <w:lang w:val="en-MY"/>
        </w:rPr>
      </w:pPr>
      <w:r w:rsidRPr="00735F94">
        <w:rPr>
          <w:lang w:val="en-MY"/>
        </w:rPr>
        <w:t>5. Global Gold Price Volatility as a Zakat Governance Problem</w:t>
      </w:r>
    </w:p>
    <w:p w:rsidR="00735F94" w:rsidRPr="0097203D" w:rsidRDefault="00735F94" w:rsidP="009E1448">
      <w:pPr>
        <w:spacing w:line="240" w:lineRule="auto"/>
        <w:jc w:val="both"/>
        <w:rPr>
          <w:lang w:val="en-MY"/>
        </w:rPr>
      </w:pPr>
      <w:r w:rsidRPr="0097203D">
        <w:rPr>
          <w:lang w:val="en-MY"/>
        </w:rPr>
        <w:t xml:space="preserve">Although gold is considered a haven, </w:t>
      </w:r>
      <w:r>
        <w:rPr>
          <w:lang w:val="en-MY"/>
        </w:rPr>
        <w:t xml:space="preserve">its price </w:t>
      </w:r>
      <w:r w:rsidRPr="0097203D">
        <w:rPr>
          <w:lang w:val="en-MY"/>
        </w:rPr>
        <w:t>can change significantly. On a global marketplace, gold prices are driven by the US dollar, inflation expectations, real yields, central bank buying, financial uncertainty, geopolitical tensions, jewellery demand</w:t>
      </w:r>
      <w:r>
        <w:rPr>
          <w:lang w:val="en-MY"/>
        </w:rPr>
        <w:t>,</w:t>
      </w:r>
      <w:r w:rsidRPr="0097203D">
        <w:rPr>
          <w:lang w:val="en-MY"/>
        </w:rPr>
        <w:t xml:space="preserve"> exchange-traded funds and speculative positions. Benchmark prices are published, governed and audited</w:t>
      </w:r>
      <w:r>
        <w:rPr>
          <w:lang w:val="en-MY"/>
        </w:rPr>
        <w:t>, but this does not mean that volatility has been removed;</w:t>
      </w:r>
      <w:r w:rsidRPr="0097203D">
        <w:rPr>
          <w:lang w:val="en-MY"/>
        </w:rPr>
        <w:t xml:space="preserve"> it merely makes it visible and measurable, and the data infrastructure of the World Gold Council and the price benchmark of the LBMA are testament to that</w:t>
      </w:r>
      <w:r>
        <w:rPr>
          <w:lang w:val="en-MY"/>
        </w:rPr>
        <w:t xml:space="preserve"> </w:t>
      </w:r>
      <w:r>
        <w:rPr>
          <w:lang w:val="en-MY"/>
        </w:rPr>
        <w:fldChar w:fldCharType="begin"/>
      </w:r>
      <w:r>
        <w:rPr>
          <w:lang w:val="en-MY"/>
        </w:rPr>
        <w:instrText xml:space="preserve"> ADDIN ZOTERO_ITEM CSL_CITATION {"citationID":"5BXa4nJY","properties":{"unsorted":false,"formattedCitation":"(London Bullion Market Association, n.d.; World Gold Council, 2026)","plainCitation":"(London Bullion Market Association, n.d.; World Gold Council, 2026)","noteIndex":0},"citationItems":[{"id":3508,"uris":["http://zotero.org/users/17067337/items/RN8HTW3H"],"itemData":{"id":3508,"type":"webpage","container-title":"LBMA","language":"en-GB","title":"LBMA Gold Price","URL":"https://www.lbma.org.uk/prices-and-data/lbma-gold-price","author":[{"family":"London Bullion Market Association","given":""}],"accessed":{"date-parts":[["2026",6,2]]}}},{"id":3506,"uris":["http://zotero.org/users/17067337/items/WVMBKPET"],"itemData":{"id":3506,"type":"webpage","abstract":"Price discovery is crucial for any market. Gold not only has a spot price, but it also has the LBMA Gold Price. Download our gold price historical data.","container-title":"World Gold Council","language":"en","title":"Gold Spot Price and Cost of Gold","URL":"https://www.gold.org/goldhub/data/gold-prices","author":[{"family":"World Gold Council","given":""}],"accessed":{"date-parts":[["2026",6,2]]},"issued":{"date-parts":[["2026",6,1]]}}}],"schema":"https://github.com/citation-style-language/schema/raw/master/csl-citation.json"} </w:instrText>
      </w:r>
      <w:r>
        <w:rPr>
          <w:lang w:val="en-MY"/>
        </w:rPr>
        <w:fldChar w:fldCharType="separate"/>
      </w:r>
      <w:r w:rsidRPr="00735F94">
        <w:rPr>
          <w:rFonts w:cs="Times New Roman"/>
        </w:rPr>
        <w:t>(London Bullion Market Association, n.d.; World Gold Council, 2026)</w:t>
      </w:r>
      <w:r>
        <w:rPr>
          <w:lang w:val="en-MY"/>
        </w:rPr>
        <w:fldChar w:fldCharType="end"/>
      </w:r>
      <w:r w:rsidRPr="0097203D">
        <w:rPr>
          <w:lang w:val="en-MY"/>
        </w:rPr>
        <w:t>.</w:t>
      </w:r>
    </w:p>
    <w:p w:rsidR="00735F94" w:rsidRDefault="003A27E1" w:rsidP="009E1448">
      <w:pPr>
        <w:spacing w:line="240" w:lineRule="auto"/>
        <w:ind w:firstLine="720"/>
        <w:jc w:val="both"/>
        <w:rPr>
          <w:lang w:val="en-MY"/>
        </w:rPr>
      </w:pPr>
      <w:r w:rsidRPr="003A27E1">
        <w:rPr>
          <w:lang w:val="en-MY"/>
        </w:rPr>
        <w:t xml:space="preserve">Zakat institutions </w:t>
      </w:r>
      <w:r>
        <w:rPr>
          <w:lang w:val="en-MY"/>
        </w:rPr>
        <w:t>face at least four governance challenges due to</w:t>
      </w:r>
      <w:r w:rsidRPr="003A27E1">
        <w:rPr>
          <w:lang w:val="en-MY"/>
        </w:rPr>
        <w:t xml:space="preserve"> volatility. The first risk is the risk of timing: many zakat administrators operationalise the </w:t>
      </w:r>
      <w:proofErr w:type="spellStart"/>
      <w:r w:rsidRPr="003A27E1">
        <w:rPr>
          <w:lang w:val="en-MY"/>
        </w:rPr>
        <w:t>nisab</w:t>
      </w:r>
      <w:proofErr w:type="spellEnd"/>
      <w:r w:rsidRPr="003A27E1">
        <w:rPr>
          <w:lang w:val="en-MY"/>
        </w:rPr>
        <w:t xml:space="preserve"> by converting the weight of 85 grams of gold into local currency; hence, the </w:t>
      </w:r>
      <w:proofErr w:type="spellStart"/>
      <w:r w:rsidRPr="003A27E1">
        <w:rPr>
          <w:lang w:val="en-MY"/>
        </w:rPr>
        <w:t>nisab</w:t>
      </w:r>
      <w:proofErr w:type="spellEnd"/>
      <w:r w:rsidRPr="003A27E1">
        <w:rPr>
          <w:lang w:val="en-MY"/>
        </w:rPr>
        <w:t xml:space="preserve"> is subject to mechanical changes depending on changes in gold prices, such as the half-yearly changes in </w:t>
      </w:r>
      <w:proofErr w:type="spellStart"/>
      <w:r w:rsidRPr="003A27E1">
        <w:rPr>
          <w:lang w:val="en-MY"/>
        </w:rPr>
        <w:t>nisab</w:t>
      </w:r>
      <w:proofErr w:type="spellEnd"/>
      <w:r w:rsidRPr="003A27E1">
        <w:rPr>
          <w:lang w:val="en-MY"/>
        </w:rPr>
        <w:t xml:space="preserve"> from RM24,007 in January–June 2024 to RM35,449 in July–December 2025</w:t>
      </w:r>
      <w:r>
        <w:rPr>
          <w:lang w:val="en-MY"/>
        </w:rPr>
        <w:t>,</w:t>
      </w:r>
      <w:r w:rsidRPr="003A27E1">
        <w:rPr>
          <w:lang w:val="en-MY"/>
        </w:rPr>
        <w:t xml:space="preserve"> as stated by the Lembaga Zakat Selangor</w:t>
      </w:r>
      <w:r>
        <w:rPr>
          <w:lang w:val="en-MY"/>
        </w:rPr>
        <w:t xml:space="preserve"> </w:t>
      </w:r>
      <w:r>
        <w:rPr>
          <w:lang w:val="en-MY"/>
        </w:rPr>
        <w:fldChar w:fldCharType="begin"/>
      </w:r>
      <w:r>
        <w:rPr>
          <w:lang w:val="en-MY"/>
        </w:rPr>
        <w:instrText xml:space="preserve"> ADDIN ZOTERO_ITEM CSL_CITATION {"citationID":"e2zIALt9","properties":{"unsorted":false,"formattedCitation":"(Lembaga Zakat Selangor, n.d.)","plainCitation":"(Lembaga Zakat Selangor, n.d.)","noteIndex":0},"citationItems":[{"id":3574,"uris":["http://zotero.org/users/17067337/items/N7BY4LWC"],"itemData":{"id":3574,"type":"webpage","language":"ms-MY","title":"Info Semasa Nisab, Emas &amp; Perak","URL":"https://www.zakatselangor.com.my/info-semasa-nisab-emas-perak/","author":[{"family":"Lembaga Zakat Selangor","given":""}],"accessed":{"date-parts":[["2026",6,4]]}}}],"schema":"https://github.com/citation-style-language/schema/raw/master/csl-citation.json"} </w:instrText>
      </w:r>
      <w:r>
        <w:rPr>
          <w:lang w:val="en-MY"/>
        </w:rPr>
        <w:fldChar w:fldCharType="separate"/>
      </w:r>
      <w:r w:rsidRPr="003A27E1">
        <w:rPr>
          <w:rFonts w:cs="Times New Roman"/>
        </w:rPr>
        <w:t>(Lembaga Zakat Selangor, n.d.)</w:t>
      </w:r>
      <w:r>
        <w:rPr>
          <w:lang w:val="en-MY"/>
        </w:rPr>
        <w:fldChar w:fldCharType="end"/>
      </w:r>
      <w:r w:rsidRPr="003A27E1">
        <w:rPr>
          <w:lang w:val="en-MY"/>
        </w:rPr>
        <w:t>. Thus, a single day</w:t>
      </w:r>
      <w:r w:rsidR="00A33D64">
        <w:rPr>
          <w:lang w:val="en-MY"/>
        </w:rPr>
        <w:t>’</w:t>
      </w:r>
      <w:r w:rsidRPr="003A27E1">
        <w:rPr>
          <w:lang w:val="en-MY"/>
        </w:rPr>
        <w:t xml:space="preserve">s price hike can </w:t>
      </w:r>
      <w:r w:rsidR="001C7E48">
        <w:rPr>
          <w:lang w:val="en-MY"/>
        </w:rPr>
        <w:t xml:space="preserve">raise the </w:t>
      </w:r>
      <w:proofErr w:type="spellStart"/>
      <w:r w:rsidR="001C7E48">
        <w:rPr>
          <w:lang w:val="en-MY"/>
        </w:rPr>
        <w:t>nisab</w:t>
      </w:r>
      <w:proofErr w:type="spellEnd"/>
      <w:r w:rsidR="001C7E48">
        <w:rPr>
          <w:lang w:val="en-MY"/>
        </w:rPr>
        <w:t xml:space="preserve"> and exclude some paying persons, while a single day</w:t>
      </w:r>
      <w:r w:rsidR="00A33D64">
        <w:rPr>
          <w:lang w:val="en-MY"/>
        </w:rPr>
        <w:t>’</w:t>
      </w:r>
      <w:r w:rsidR="001C7E48">
        <w:rPr>
          <w:lang w:val="en-MY"/>
        </w:rPr>
        <w:t xml:space="preserve">s price reduction can lower the </w:t>
      </w:r>
      <w:proofErr w:type="spellStart"/>
      <w:r w:rsidR="001C7E48">
        <w:rPr>
          <w:lang w:val="en-MY"/>
        </w:rPr>
        <w:t>nisab</w:t>
      </w:r>
      <w:proofErr w:type="spellEnd"/>
      <w:r w:rsidR="001C7E48">
        <w:rPr>
          <w:lang w:val="en-MY"/>
        </w:rPr>
        <w:t xml:space="preserve"> and make the economically weak </w:t>
      </w:r>
      <w:r w:rsidRPr="003A27E1">
        <w:rPr>
          <w:lang w:val="en-MY"/>
        </w:rPr>
        <w:t>pay it. The second is source risk</w:t>
      </w:r>
      <w:r w:rsidR="001C7E48">
        <w:rPr>
          <w:lang w:val="en-MY"/>
        </w:rPr>
        <w:t>. G</w:t>
      </w:r>
      <w:r w:rsidRPr="003A27E1">
        <w:rPr>
          <w:lang w:val="en-MY"/>
        </w:rPr>
        <w:t xml:space="preserve">old price sources may not </w:t>
      </w:r>
      <w:r w:rsidR="001C7E48">
        <w:rPr>
          <w:lang w:val="en-MY"/>
        </w:rPr>
        <w:t>be the same in local currency, as benchmark, spot, and regional or retail prices differ.</w:t>
      </w:r>
      <w:r w:rsidRPr="003A27E1">
        <w:rPr>
          <w:lang w:val="en-MY"/>
        </w:rPr>
        <w:t xml:space="preserve"> World Gold Council explains that Gold has a SPOT Price</w:t>
      </w:r>
      <w:r w:rsidR="001C7E48">
        <w:rPr>
          <w:lang w:val="en-MY"/>
        </w:rPr>
        <w:t>,</w:t>
      </w:r>
      <w:r w:rsidRPr="003A27E1">
        <w:rPr>
          <w:lang w:val="en-MY"/>
        </w:rPr>
        <w:t xml:space="preserve"> and the LBMA sets a Benchmark twice a day in </w:t>
      </w:r>
      <w:r w:rsidR="001C7E48">
        <w:rPr>
          <w:lang w:val="en-MY"/>
        </w:rPr>
        <w:t>USD. Indicative</w:t>
      </w:r>
      <w:r w:rsidRPr="003A27E1">
        <w:rPr>
          <w:lang w:val="en-MY"/>
        </w:rPr>
        <w:t xml:space="preserve"> prices are given in local currencies such as Malaysian Ringgit; LBMA explains that the Benchmark is set twice a day in US</w:t>
      </w:r>
      <w:r w:rsidR="001C7E48">
        <w:rPr>
          <w:lang w:val="en-MY"/>
        </w:rPr>
        <w:t xml:space="preserve"> dollars</w:t>
      </w:r>
      <w:r w:rsidRPr="003A27E1">
        <w:rPr>
          <w:lang w:val="en-MY"/>
        </w:rPr>
        <w:t xml:space="preserve">, and indicative prices are published in </w:t>
      </w:r>
      <w:r w:rsidR="001C7E48">
        <w:rPr>
          <w:lang w:val="en-MY"/>
        </w:rPr>
        <w:t>Malaysian Ringgit a</w:t>
      </w:r>
      <w:r w:rsidRPr="003A27E1">
        <w:rPr>
          <w:lang w:val="en-MY"/>
        </w:rPr>
        <w:t>nd other currencies</w:t>
      </w:r>
      <w:r w:rsidR="001C7E48">
        <w:rPr>
          <w:lang w:val="en-MY"/>
        </w:rPr>
        <w:t xml:space="preserve"> </w:t>
      </w:r>
      <w:r w:rsidR="001C7E48">
        <w:rPr>
          <w:lang w:val="en-MY"/>
        </w:rPr>
        <w:fldChar w:fldCharType="begin"/>
      </w:r>
      <w:r w:rsidR="001C7E48">
        <w:rPr>
          <w:lang w:val="en-MY"/>
        </w:rPr>
        <w:instrText xml:space="preserve"> ADDIN ZOTERO_ITEM CSL_CITATION {"citationID":"7AEjKGJy","properties":{"unsorted":false,"formattedCitation":"(London Bullion Market Association, n.d.; World Gold Council, 2026)","plainCitation":"(London Bullion Market Association, n.d.; World Gold Council, 2026)","noteIndex":0},"citationItems":[{"id":3508,"uris":["http://zotero.org/users/17067337/items/RN8HTW3H"],"itemData":{"id":3508,"type":"webpage","container-title":"LBMA","language":"en-GB","title":"LBMA Gold Price","URL":"https://www.lbma.org.uk/prices-and-data/lbma-gold-price","author":[{"family":"London Bullion Market Association","given":""}],"accessed":{"date-parts":[["2026",6,2]]}}},{"id":3506,"uris":["http://zotero.org/users/17067337/items/WVMBKPET"],"itemData":{"id":3506,"type":"webpage","abstract":"Price discovery is crucial for any market. Gold not only has a spot price, but it also has the LBMA Gold Price. Download our gold price historical data.","container-title":"World Gold Council","language":"en","title":"Gold Spot Price and Cost of Gold","URL":"https://www.gold.org/goldhub/data/gold-prices","author":[{"family":"World Gold Council","given":""}],"accessed":{"date-parts":[["2026",6,2]]},"issued":{"date-parts":[["2026",6,1]]}}}],"schema":"https://github.com/citation-style-language/schema/raw/master/csl-citation.json"} </w:instrText>
      </w:r>
      <w:r w:rsidR="001C7E48">
        <w:rPr>
          <w:lang w:val="en-MY"/>
        </w:rPr>
        <w:fldChar w:fldCharType="separate"/>
      </w:r>
      <w:r w:rsidR="001C7E48" w:rsidRPr="001C7E48">
        <w:rPr>
          <w:rFonts w:cs="Times New Roman"/>
        </w:rPr>
        <w:t>(London Bullion Market Association, n.d.; World Gold Council, 2026)</w:t>
      </w:r>
      <w:r w:rsidR="001C7E48">
        <w:rPr>
          <w:lang w:val="en-MY"/>
        </w:rPr>
        <w:fldChar w:fldCharType="end"/>
      </w:r>
      <w:r w:rsidRPr="003A27E1">
        <w:rPr>
          <w:lang w:val="en-MY"/>
        </w:rPr>
        <w:t>. This adds even more variation when factoring in local currency conversion, retail premiums or discounts, taxes and exchange rates, and purity adjustments</w:t>
      </w:r>
      <w:r w:rsidR="001C7E48">
        <w:rPr>
          <w:lang w:val="en-MY"/>
        </w:rPr>
        <w:t>.</w:t>
      </w:r>
      <w:r w:rsidRPr="003A27E1">
        <w:rPr>
          <w:lang w:val="en-MY"/>
        </w:rPr>
        <w:t xml:space="preserve"> </w:t>
      </w:r>
      <w:r w:rsidR="001C7E48">
        <w:rPr>
          <w:lang w:val="en-MY"/>
        </w:rPr>
        <w:t>T</w:t>
      </w:r>
      <w:r w:rsidRPr="003A27E1">
        <w:rPr>
          <w:lang w:val="en-MY"/>
        </w:rPr>
        <w:t xml:space="preserve">he methodology used by the World Gold Council to convert USD gold prices into local currencies </w:t>
      </w:r>
      <w:r w:rsidR="0006753B">
        <w:rPr>
          <w:lang w:val="en-MY"/>
        </w:rPr>
        <w:t>relies on foreign exchange rates, and the WGC</w:t>
      </w:r>
      <w:r w:rsidR="00A33D64">
        <w:rPr>
          <w:lang w:val="en-MY"/>
        </w:rPr>
        <w:t>’</w:t>
      </w:r>
      <w:r w:rsidR="0006753B">
        <w:rPr>
          <w:lang w:val="en-MY"/>
        </w:rPr>
        <w:t>s premium/discount data indicate</w:t>
      </w:r>
      <w:r w:rsidR="00AB4E02">
        <w:rPr>
          <w:lang w:val="en-MY"/>
        </w:rPr>
        <w:t xml:space="preserve"> that local consumer prices may differ from international prices due to</w:t>
      </w:r>
      <w:r w:rsidRPr="003A27E1">
        <w:rPr>
          <w:lang w:val="en-MY"/>
        </w:rPr>
        <w:t xml:space="preserve"> local market dynamics</w:t>
      </w:r>
      <w:r w:rsidR="001C7E48">
        <w:rPr>
          <w:lang w:val="en-MY"/>
        </w:rPr>
        <w:t xml:space="preserve"> </w:t>
      </w:r>
      <w:r w:rsidR="001C7E48">
        <w:rPr>
          <w:lang w:val="en-MY"/>
        </w:rPr>
        <w:fldChar w:fldCharType="begin"/>
      </w:r>
      <w:r w:rsidR="001C7E48">
        <w:rPr>
          <w:lang w:val="en-MY"/>
        </w:rPr>
        <w:instrText xml:space="preserve"> ADDIN ZOTERO_ITEM CSL_CITATION {"citationID":"gf242W3d","properties":{"unsorted":false,"formattedCitation":"(World Gold Council, n.d.)","plainCitation":"(World Gold Council, n.d.)","noteIndex":0},"citationItems":[{"id":3576,"uris":["http://zotero.org/users/17067337/items/45BWASMG"],"itemData":{"id":3576,"type":"webpage","abstract":"Understand how we validate and verify the accuracy of our gold price data.","container-title":"World Gold Council","language":"en","title":"Methodology Note","URL":"https://www.gold.org/data/gold-price/methodology","author":[{"family":"World Gold Council","given":""}],"accessed":{"date-parts":[["2026",6,4]]}}}],"schema":"https://github.com/citation-style-language/schema/raw/master/csl-citation.json"} </w:instrText>
      </w:r>
      <w:r w:rsidR="001C7E48">
        <w:rPr>
          <w:lang w:val="en-MY"/>
        </w:rPr>
        <w:fldChar w:fldCharType="separate"/>
      </w:r>
      <w:r w:rsidR="001C7E48" w:rsidRPr="001C7E48">
        <w:rPr>
          <w:rFonts w:cs="Times New Roman"/>
        </w:rPr>
        <w:t>(World Gold Council, n.d.)</w:t>
      </w:r>
      <w:r w:rsidR="001C7E48">
        <w:rPr>
          <w:lang w:val="en-MY"/>
        </w:rPr>
        <w:fldChar w:fldCharType="end"/>
      </w:r>
      <w:r w:rsidRPr="003A27E1">
        <w:rPr>
          <w:lang w:val="en-MY"/>
        </w:rPr>
        <w:t xml:space="preserve">. The third is the risk of communication. Zakat payers may also perceive the changes in the </w:t>
      </w:r>
      <w:proofErr w:type="spellStart"/>
      <w:r w:rsidRPr="003A27E1">
        <w:rPr>
          <w:lang w:val="en-MY"/>
        </w:rPr>
        <w:t>nisab</w:t>
      </w:r>
      <w:proofErr w:type="spellEnd"/>
      <w:r w:rsidRPr="003A27E1">
        <w:rPr>
          <w:lang w:val="en-MY"/>
        </w:rPr>
        <w:t xml:space="preserve"> as arbitrary</w:t>
      </w:r>
      <w:r w:rsidR="00AB4E02">
        <w:rPr>
          <w:lang w:val="en-MY"/>
        </w:rPr>
        <w:t>. In</w:t>
      </w:r>
      <w:r w:rsidRPr="003A27E1">
        <w:rPr>
          <w:lang w:val="en-MY"/>
        </w:rPr>
        <w:t xml:space="preserve"> turn</w:t>
      </w:r>
      <w:r w:rsidR="001C7E48">
        <w:rPr>
          <w:lang w:val="en-MY"/>
        </w:rPr>
        <w:t xml:space="preserve">, the public may </w:t>
      </w:r>
      <w:r w:rsidR="00AB4E02">
        <w:rPr>
          <w:lang w:val="en-MY"/>
        </w:rPr>
        <w:t>form an incorrect understanding of it, since studies of zakat institutions have already shown that trust is correlated with disclosure, transparency, the reputation of zakat, the quality of zakat services, and satisfaction with</w:t>
      </w:r>
      <w:r w:rsidRPr="003A27E1">
        <w:rPr>
          <w:lang w:val="en-MY"/>
        </w:rPr>
        <w:t xml:space="preserve"> zakat distribution</w:t>
      </w:r>
      <w:r w:rsidR="001C7E48">
        <w:rPr>
          <w:lang w:val="en-MY"/>
        </w:rPr>
        <w:t xml:space="preserve"> </w:t>
      </w:r>
      <w:r w:rsidR="001C7E48">
        <w:rPr>
          <w:lang w:val="en-MY"/>
        </w:rPr>
        <w:fldChar w:fldCharType="begin"/>
      </w:r>
      <w:r w:rsidR="001C7E48">
        <w:rPr>
          <w:lang w:val="en-MY"/>
        </w:rPr>
        <w:instrText xml:space="preserve"> ADDIN ZOTERO_ITEM CSL_CITATION {"citationID":"cDMzqx5P","properties":{"unsorted":false,"formattedCitation":"(Zulfikri et al., 2023)","plainCitation":"(Zulfikri et al., 2023)","noteIndex":0},"citationItems":[{"id":3578,"uris":["http://zotero.org/users/17067337/items/RMJ3A5FS"],"itemData":{"id":3578,"type":"article-journal","abstract":"This paper aims to explore the zakat payer determinants on intention to trust zakat institutions. This study is qualitative in nature. It utilized an extensive literature review to analyze the relevant studies to explore the factors. This study proposed a framework based on the theory of planned behaviour. The results indicate that reputation, satisfaction with zakat distribution, service quality, and disclosure practice are the zakat payer attitude determinants influencing trust in zakat institutions","container-title":"Journal of Islamic Social Finance","DOI":"10.31436/jislamicsocfin.v1i2.15","ISSN":"3009-0687","issue":"2","language":"en","license":"Copyright (c) 2023 Journal of Islamic Social Finance","source":"journals.iium.edu.my","title":"Exploring Zakat Payers’ Attitudes Determinants on Trust in Zakat Institutions","URL":"https://journals.iium.edu.my/jisf/index.php/iiibf","volume":"1","author":[{"family":"Zulfikri","given":""},{"family":"Kassim","given":"Salina"},{"family":"Othman","given":"Anwar Hasan Abdullah"}],"accessed":{"date-parts":[["2026",6,4]]},"issued":{"date-parts":[["2023",12,19]]}}}],"schema":"https://github.com/citation-style-language/schema/raw/master/csl-citation.json"} </w:instrText>
      </w:r>
      <w:r w:rsidR="001C7E48">
        <w:rPr>
          <w:lang w:val="en-MY"/>
        </w:rPr>
        <w:fldChar w:fldCharType="separate"/>
      </w:r>
      <w:r w:rsidR="001C7E48" w:rsidRPr="001C7E48">
        <w:rPr>
          <w:rFonts w:cs="Times New Roman"/>
        </w:rPr>
        <w:t>(Zulfikri et al., 2023)</w:t>
      </w:r>
      <w:r w:rsidR="001C7E48">
        <w:rPr>
          <w:lang w:val="en-MY"/>
        </w:rPr>
        <w:fldChar w:fldCharType="end"/>
      </w:r>
      <w:r w:rsidRPr="003A27E1">
        <w:rPr>
          <w:lang w:val="en-MY"/>
        </w:rPr>
        <w:t xml:space="preserve">. The fourth is the risk of equity. Although a methodology may be legally valid, it could also cause hardship, if it does not take into account the </w:t>
      </w:r>
      <w:proofErr w:type="spellStart"/>
      <w:r w:rsidRPr="003A27E1">
        <w:rPr>
          <w:lang w:val="en-MY"/>
        </w:rPr>
        <w:t>maqasid</w:t>
      </w:r>
      <w:proofErr w:type="spellEnd"/>
      <w:r w:rsidRPr="003A27E1">
        <w:rPr>
          <w:lang w:val="en-MY"/>
        </w:rPr>
        <w:t xml:space="preserve"> and socioeconomic characteristics, especially that recent studies on the poverty of </w:t>
      </w:r>
      <w:proofErr w:type="spellStart"/>
      <w:r w:rsidRPr="003A27E1">
        <w:rPr>
          <w:lang w:val="en-MY"/>
        </w:rPr>
        <w:t>asnaf</w:t>
      </w:r>
      <w:proofErr w:type="spellEnd"/>
      <w:r w:rsidRPr="003A27E1">
        <w:rPr>
          <w:lang w:val="en-MY"/>
        </w:rPr>
        <w:t xml:space="preserve"> in Kuala Lumpur reveal that the poor and destitute households are faced with multidimensional poverty which was not fully </w:t>
      </w:r>
      <w:r w:rsidRPr="003A27E1">
        <w:rPr>
          <w:lang w:val="en-MY"/>
        </w:rPr>
        <w:lastRenderedPageBreak/>
        <w:t xml:space="preserve">captured by earlier poverty assessments, and that recent literature concerning the distribution of zakat states that </w:t>
      </w:r>
      <w:proofErr w:type="spellStart"/>
      <w:r w:rsidRPr="003A27E1">
        <w:rPr>
          <w:lang w:val="en-MY"/>
        </w:rPr>
        <w:t>asnaf</w:t>
      </w:r>
      <w:proofErr w:type="spellEnd"/>
      <w:r w:rsidRPr="003A27E1">
        <w:rPr>
          <w:lang w:val="en-MY"/>
        </w:rPr>
        <w:t xml:space="preserve"> continue to face the constraints of basic needs, digital and entrepreneurial poverty</w:t>
      </w:r>
      <w:r w:rsidR="001C7E48">
        <w:rPr>
          <w:lang w:val="en-MY"/>
        </w:rPr>
        <w:t xml:space="preserve"> </w:t>
      </w:r>
      <w:r w:rsidR="001C7E48">
        <w:rPr>
          <w:lang w:val="en-MY"/>
        </w:rPr>
        <w:fldChar w:fldCharType="begin"/>
      </w:r>
      <w:r w:rsidR="00585725">
        <w:rPr>
          <w:lang w:val="en-MY"/>
        </w:rPr>
        <w:instrText xml:space="preserve"> ADDIN ZOTERO_ITEM CSL_CITATION {"citationID":"DbLWsjDi","properties":{"unsorted":false,"formattedCitation":"(Muhammad Nooraiman Zailani et al., 2024)","plainCitation":"(Muhammad Nooraiman Zailani et al., 2024)","noteIndex":0},"citationItems":[{"id":3580,"uris":["http://zotero.org/users/17067337/items/3GPQ6TBQ"],"itemData":{"id":3580,"type":"article-journal","abstract":"From an adapted method originally developed as the Multidimensional Poverty Index by Alkire and Foster, this paper examined the multidimensional poverty characteristics of the poor and destitute asnaf in Kuala Lumpur with a sample of 380 poor and destitute asnaf households. The survey was conducted from March 2022 until January 2023, still very much affected by the COVID-19 pandemic. The findings of the study reveal significant dimensions of deprivation experienced by the poor and destitute asnaf in Kuala Lumpur, which were not sufficiently captured by previous assessments. In addition to the headcount and intensity of the poverty experienced, the study captures the dimensions and indicators that contribute to the poverty scenario of the poor and destitute asnaf in Kuala Lumpur. Consequently, zakat institutions are recommended to integrate non-monetary poverty indicators into their assessments to obtain a rigorous framework to address poverty-related issues and the factors that affect the well-being of the poor and destitute asnaf households in Malaysia. The results bring wide ramifications for casting the poverty net more exhaustively than before but also for identifying the indicators that the poor and destitute are most vulnerable to. In light of the findings, it is critical that future programmes that are designed address the non-pecuniary dimensions of poverty so that zakat resources are allocated effectively.","container-title":"International Journal of Business and Society","DOI":"10.33736/ijbs.8205.2024","ISSN":"1511-6670","issue":"Special_Issue","journalAbbreviation":"IJBS","license":"http://creativecommons.org/licenses/by-nc-sa/4.0","page":"91-112","source":"DOI.org (Crossref)","title":"The Multidimensional Poverty Characteristics of The Poor and Destitute Asnaf in Kuala Lumpur","volume":"25","author":[{"literal":"Muhammad Nooraiman Zailani"},{"literal":"Nurul Huda Mohd Satar"},{"literal":"Roza Hazli Zakaria"},{"literal":"Rajah Rasiah"}],"issued":{"date-parts":[["2024",11,11]]}}}],"schema":"https://github.com/citation-style-language/schema/raw/master/csl-citation.json"} </w:instrText>
      </w:r>
      <w:r w:rsidR="001C7E48">
        <w:rPr>
          <w:lang w:val="en-MY"/>
        </w:rPr>
        <w:fldChar w:fldCharType="separate"/>
      </w:r>
      <w:r w:rsidR="001C7E48" w:rsidRPr="001C7E48">
        <w:rPr>
          <w:rFonts w:cs="Times New Roman"/>
        </w:rPr>
        <w:t>(Muhammad Nooraiman Zailani et al., 2024)</w:t>
      </w:r>
      <w:r w:rsidR="001C7E48">
        <w:rPr>
          <w:lang w:val="en-MY"/>
        </w:rPr>
        <w:fldChar w:fldCharType="end"/>
      </w:r>
      <w:r w:rsidRPr="003A27E1">
        <w:rPr>
          <w:lang w:val="en-MY"/>
        </w:rPr>
        <w:t>.</w:t>
      </w:r>
    </w:p>
    <w:p w:rsidR="00666836" w:rsidRDefault="00666836" w:rsidP="009E1448">
      <w:pPr>
        <w:spacing w:line="240" w:lineRule="auto"/>
        <w:ind w:firstLine="720"/>
        <w:jc w:val="both"/>
        <w:rPr>
          <w:lang w:val="en-MY"/>
        </w:rPr>
      </w:pPr>
      <w:r w:rsidRPr="00666836">
        <w:rPr>
          <w:lang w:val="en-MY"/>
        </w:rPr>
        <w:t xml:space="preserve">The implications of volatility in gold prices can be </w:t>
      </w:r>
      <w:r w:rsidR="00AB4E02">
        <w:rPr>
          <w:lang w:val="en-MY"/>
        </w:rPr>
        <w:t xml:space="preserve">better understood by examining the primary channels through which </w:t>
      </w:r>
      <w:r w:rsidRPr="00666836">
        <w:rPr>
          <w:lang w:val="en-MY"/>
        </w:rPr>
        <w:t xml:space="preserve">price variation would influence the determination of </w:t>
      </w:r>
      <w:proofErr w:type="spellStart"/>
      <w:r w:rsidRPr="00666836">
        <w:rPr>
          <w:lang w:val="en-MY"/>
        </w:rPr>
        <w:t>nisab</w:t>
      </w:r>
      <w:proofErr w:type="spellEnd"/>
      <w:r w:rsidRPr="00666836">
        <w:rPr>
          <w:lang w:val="en-MY"/>
        </w:rPr>
        <w:t xml:space="preserve">. As Table </w:t>
      </w:r>
      <w:r w:rsidR="00660964">
        <w:rPr>
          <w:lang w:val="en-MY"/>
        </w:rPr>
        <w:t>1.1</w:t>
      </w:r>
      <w:r w:rsidRPr="00666836">
        <w:rPr>
          <w:lang w:val="en-MY"/>
        </w:rPr>
        <w:t xml:space="preserve"> illustrates, the volatility of the </w:t>
      </w:r>
      <w:proofErr w:type="spellStart"/>
      <w:r w:rsidRPr="00666836">
        <w:rPr>
          <w:lang w:val="en-MY"/>
        </w:rPr>
        <w:t>nisab</w:t>
      </w:r>
      <w:proofErr w:type="spellEnd"/>
      <w:r w:rsidRPr="00666836">
        <w:rPr>
          <w:lang w:val="en-MY"/>
        </w:rPr>
        <w:t xml:space="preserve"> is not only a quantitative matter</w:t>
      </w:r>
      <w:r w:rsidR="00660964">
        <w:rPr>
          <w:lang w:val="en-MY"/>
        </w:rPr>
        <w:t xml:space="preserve"> but also raises significant governance issues around payer inclusion, collection stability, methodological consistency,</w:t>
      </w:r>
      <w:r w:rsidRPr="00666836">
        <w:rPr>
          <w:lang w:val="en-MY"/>
        </w:rPr>
        <w:t xml:space="preserve"> and public confidence.</w:t>
      </w:r>
    </w:p>
    <w:p w:rsidR="00660964" w:rsidRPr="0097203D" w:rsidRDefault="00660964" w:rsidP="009E1448">
      <w:pPr>
        <w:spacing w:line="240" w:lineRule="auto"/>
        <w:jc w:val="center"/>
        <w:rPr>
          <w:lang w:val="en-MY"/>
        </w:rPr>
      </w:pPr>
      <w:r>
        <w:rPr>
          <w:lang w:val="en-MY"/>
        </w:rPr>
        <w:t xml:space="preserve">Table 1.1: </w:t>
      </w:r>
      <w:r w:rsidRPr="00660964">
        <w:rPr>
          <w:lang w:val="en-MY"/>
        </w:rPr>
        <w:t xml:space="preserve">Volatility Channels and Governance Implications for </w:t>
      </w:r>
      <w:proofErr w:type="spellStart"/>
      <w:r w:rsidRPr="00660964">
        <w:rPr>
          <w:lang w:val="en-MY"/>
        </w:rPr>
        <w:t>Nisab</w:t>
      </w:r>
      <w:proofErr w:type="spellEnd"/>
      <w:r w:rsidRPr="00660964">
        <w:rPr>
          <w:lang w:val="en-MY"/>
        </w:rPr>
        <w:t xml:space="preserve"> Determination</w:t>
      </w:r>
    </w:p>
    <w:tbl>
      <w:tblPr>
        <w:tblStyle w:val="TableGrid"/>
        <w:tblW w:w="8505" w:type="dxa"/>
        <w:jc w:val="center"/>
        <w:tblLook w:val="04A0" w:firstRow="1" w:lastRow="0" w:firstColumn="1" w:lastColumn="0" w:noHBand="0" w:noVBand="1"/>
      </w:tblPr>
      <w:tblGrid>
        <w:gridCol w:w="2550"/>
        <w:gridCol w:w="3120"/>
        <w:gridCol w:w="2835"/>
      </w:tblGrid>
      <w:tr w:rsidR="00DC7EAF" w:rsidRPr="0097203D" w:rsidTr="00660964">
        <w:trPr>
          <w:trHeight w:val="567"/>
          <w:jc w:val="center"/>
        </w:trPr>
        <w:tc>
          <w:tcPr>
            <w:tcW w:w="2550"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Volatility Channel</w:t>
            </w:r>
          </w:p>
        </w:tc>
        <w:tc>
          <w:tcPr>
            <w:tcW w:w="3120"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 xml:space="preserve">Potential Impact on </w:t>
            </w:r>
            <w:proofErr w:type="spellStart"/>
            <w:r w:rsidRPr="0097203D">
              <w:rPr>
                <w:rFonts w:asciiTheme="majorBidi" w:hAnsiTheme="majorBidi" w:cstheme="majorBidi"/>
                <w:b/>
                <w:szCs w:val="24"/>
                <w:lang w:val="en-MY"/>
              </w:rPr>
              <w:t>Nisab</w:t>
            </w:r>
            <w:proofErr w:type="spellEnd"/>
          </w:p>
        </w:tc>
        <w:tc>
          <w:tcPr>
            <w:tcW w:w="2835"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Governance Concern</w:t>
            </w:r>
          </w:p>
        </w:tc>
      </w:tr>
      <w:tr w:rsidR="00DC7EAF" w:rsidRPr="0097203D" w:rsidTr="00660964">
        <w:trPr>
          <w:trHeight w:val="567"/>
          <w:jc w:val="center"/>
        </w:trPr>
        <w:tc>
          <w:tcPr>
            <w:tcW w:w="255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Global gold price increase</w:t>
            </w:r>
          </w:p>
        </w:tc>
        <w:tc>
          <w:tcPr>
            <w:tcW w:w="312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Raises local-currency </w:t>
            </w:r>
            <w:proofErr w:type="spellStart"/>
            <w:r w:rsidRPr="0097203D">
              <w:rPr>
                <w:rFonts w:asciiTheme="majorBidi" w:hAnsiTheme="majorBidi" w:cstheme="majorBidi"/>
                <w:szCs w:val="24"/>
                <w:lang w:val="en-MY"/>
              </w:rPr>
              <w:t>nisab</w:t>
            </w:r>
            <w:proofErr w:type="spellEnd"/>
          </w:p>
        </w:tc>
        <w:tc>
          <w:tcPr>
            <w:tcW w:w="283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May reduce </w:t>
            </w:r>
            <w:r w:rsidR="00666836">
              <w:rPr>
                <w:rFonts w:asciiTheme="majorBidi" w:hAnsiTheme="majorBidi" w:cstheme="majorBidi"/>
                <w:szCs w:val="24"/>
                <w:lang w:val="en-MY"/>
              </w:rPr>
              <w:t xml:space="preserve">the </w:t>
            </w:r>
            <w:r w:rsidRPr="0097203D">
              <w:rPr>
                <w:rFonts w:asciiTheme="majorBidi" w:hAnsiTheme="majorBidi" w:cstheme="majorBidi"/>
                <w:szCs w:val="24"/>
                <w:lang w:val="en-MY"/>
              </w:rPr>
              <w:t>number of zakat payers and collection</w:t>
            </w:r>
          </w:p>
        </w:tc>
      </w:tr>
      <w:tr w:rsidR="00DC7EAF" w:rsidRPr="0097203D" w:rsidTr="00660964">
        <w:trPr>
          <w:trHeight w:val="567"/>
          <w:jc w:val="center"/>
        </w:trPr>
        <w:tc>
          <w:tcPr>
            <w:tcW w:w="255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Global gold price decline</w:t>
            </w:r>
          </w:p>
        </w:tc>
        <w:tc>
          <w:tcPr>
            <w:tcW w:w="312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Lowers local-currency </w:t>
            </w:r>
            <w:proofErr w:type="spellStart"/>
            <w:r w:rsidRPr="0097203D">
              <w:rPr>
                <w:rFonts w:asciiTheme="majorBidi" w:hAnsiTheme="majorBidi" w:cstheme="majorBidi"/>
                <w:szCs w:val="24"/>
                <w:lang w:val="en-MY"/>
              </w:rPr>
              <w:t>nisab</w:t>
            </w:r>
            <w:proofErr w:type="spellEnd"/>
          </w:p>
        </w:tc>
        <w:tc>
          <w:tcPr>
            <w:tcW w:w="283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May include lower-income individuals as payers</w:t>
            </w:r>
          </w:p>
        </w:tc>
      </w:tr>
      <w:tr w:rsidR="00DC7EAF" w:rsidRPr="0097203D" w:rsidTr="00660964">
        <w:trPr>
          <w:trHeight w:val="567"/>
          <w:jc w:val="center"/>
        </w:trPr>
        <w:tc>
          <w:tcPr>
            <w:tcW w:w="255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Exchange rate depreciation</w:t>
            </w:r>
          </w:p>
        </w:tc>
        <w:tc>
          <w:tcPr>
            <w:tcW w:w="312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Raises domestic gold value</w:t>
            </w:r>
          </w:p>
        </w:tc>
        <w:tc>
          <w:tcPr>
            <w:tcW w:w="283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May make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less stable in local currency</w:t>
            </w:r>
          </w:p>
        </w:tc>
      </w:tr>
      <w:tr w:rsidR="00DC7EAF" w:rsidRPr="0097203D" w:rsidTr="00660964">
        <w:trPr>
          <w:trHeight w:val="567"/>
          <w:jc w:val="center"/>
        </w:trPr>
        <w:tc>
          <w:tcPr>
            <w:tcW w:w="255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Single-day pricing</w:t>
            </w:r>
          </w:p>
        </w:tc>
        <w:tc>
          <w:tcPr>
            <w:tcW w:w="312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Exposes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to temporary market shocks</w:t>
            </w:r>
          </w:p>
        </w:tc>
        <w:tc>
          <w:tcPr>
            <w:tcW w:w="283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Creates uncertainty and possible arbitrariness</w:t>
            </w:r>
          </w:p>
        </w:tc>
      </w:tr>
      <w:tr w:rsidR="00DC7EAF" w:rsidRPr="0097203D" w:rsidTr="00660964">
        <w:trPr>
          <w:trHeight w:val="567"/>
          <w:jc w:val="center"/>
        </w:trPr>
        <w:tc>
          <w:tcPr>
            <w:tcW w:w="255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Multiple price sources</w:t>
            </w:r>
          </w:p>
        </w:tc>
        <w:tc>
          <w:tcPr>
            <w:tcW w:w="3120"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Produces inconsistent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values</w:t>
            </w:r>
          </w:p>
        </w:tc>
        <w:tc>
          <w:tcPr>
            <w:tcW w:w="283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Requires </w:t>
            </w:r>
            <w:r w:rsidR="00660964">
              <w:rPr>
                <w:rFonts w:asciiTheme="majorBidi" w:hAnsiTheme="majorBidi" w:cstheme="majorBidi"/>
                <w:szCs w:val="24"/>
                <w:lang w:val="en-MY"/>
              </w:rPr>
              <w:t xml:space="preserve">a </w:t>
            </w:r>
            <w:r w:rsidRPr="0097203D">
              <w:rPr>
                <w:rFonts w:asciiTheme="majorBidi" w:hAnsiTheme="majorBidi" w:cstheme="majorBidi"/>
                <w:szCs w:val="24"/>
                <w:lang w:val="en-MY"/>
              </w:rPr>
              <w:t>transparent source hierarchy</w:t>
            </w:r>
          </w:p>
        </w:tc>
      </w:tr>
    </w:tbl>
    <w:p w:rsidR="00666836" w:rsidRDefault="00666836" w:rsidP="009E1448">
      <w:pPr>
        <w:spacing w:line="240" w:lineRule="auto"/>
        <w:jc w:val="both"/>
        <w:rPr>
          <w:rFonts w:asciiTheme="majorBidi" w:hAnsiTheme="majorBidi" w:cstheme="majorBidi"/>
          <w:szCs w:val="24"/>
          <w:lang w:val="en-MY"/>
        </w:rPr>
      </w:pPr>
    </w:p>
    <w:p w:rsidR="00660964" w:rsidRPr="0097203D" w:rsidRDefault="00660964" w:rsidP="009E1448">
      <w:pPr>
        <w:spacing w:line="240" w:lineRule="auto"/>
        <w:jc w:val="both"/>
        <w:rPr>
          <w:lang w:val="en-MY"/>
        </w:rPr>
      </w:pPr>
      <w:r>
        <w:rPr>
          <w:rFonts w:asciiTheme="majorBidi" w:hAnsiTheme="majorBidi" w:cstheme="majorBidi"/>
          <w:szCs w:val="24"/>
          <w:lang w:val="en-MY"/>
        </w:rPr>
        <w:tab/>
      </w:r>
      <w:r w:rsidRPr="00660964">
        <w:rPr>
          <w:rFonts w:asciiTheme="majorBidi" w:hAnsiTheme="majorBidi" w:cstheme="majorBidi"/>
          <w:szCs w:val="24"/>
          <w:lang w:val="en-MY"/>
        </w:rPr>
        <w:t xml:space="preserve">Consequently, it should not be considered </w:t>
      </w:r>
      <w:r>
        <w:rPr>
          <w:rFonts w:asciiTheme="majorBidi" w:hAnsiTheme="majorBidi" w:cstheme="majorBidi"/>
          <w:szCs w:val="24"/>
          <w:lang w:val="en-MY"/>
        </w:rPr>
        <w:t xml:space="preserve">solely </w:t>
      </w:r>
      <w:r w:rsidR="002607AF">
        <w:rPr>
          <w:rFonts w:asciiTheme="majorBidi" w:hAnsiTheme="majorBidi" w:cstheme="majorBidi"/>
          <w:szCs w:val="24"/>
          <w:lang w:val="en-MY"/>
        </w:rPr>
        <w:t xml:space="preserve">a </w:t>
      </w:r>
      <w:r w:rsidR="00AB4E02">
        <w:rPr>
          <w:rFonts w:asciiTheme="majorBidi" w:hAnsiTheme="majorBidi" w:cstheme="majorBidi"/>
          <w:szCs w:val="24"/>
          <w:lang w:val="en-MY"/>
        </w:rPr>
        <w:t>technical pricing issue</w:t>
      </w:r>
      <w:r w:rsidRPr="00660964">
        <w:rPr>
          <w:rFonts w:asciiTheme="majorBidi" w:hAnsiTheme="majorBidi" w:cstheme="majorBidi"/>
          <w:szCs w:val="24"/>
          <w:lang w:val="en-MY"/>
        </w:rPr>
        <w:t xml:space="preserve">. Instead, it needs </w:t>
      </w:r>
      <w:r>
        <w:rPr>
          <w:rFonts w:asciiTheme="majorBidi" w:hAnsiTheme="majorBidi" w:cstheme="majorBidi"/>
          <w:szCs w:val="24"/>
          <w:lang w:val="en-MY"/>
        </w:rPr>
        <w:t xml:space="preserve">clear, regular governance: who will </w:t>
      </w:r>
      <w:r w:rsidR="002607AF">
        <w:rPr>
          <w:rFonts w:asciiTheme="majorBidi" w:hAnsiTheme="majorBidi" w:cstheme="majorBidi"/>
          <w:szCs w:val="24"/>
          <w:lang w:val="en-MY"/>
        </w:rPr>
        <w:t>set the price and when it will be valued; how the exchange rate is applied;</w:t>
      </w:r>
      <w:r>
        <w:rPr>
          <w:rFonts w:asciiTheme="majorBidi" w:hAnsiTheme="majorBidi" w:cstheme="majorBidi"/>
          <w:szCs w:val="24"/>
          <w:lang w:val="en-MY"/>
        </w:rPr>
        <w:t xml:space="preserve"> and how it will be communicated,</w:t>
      </w:r>
      <w:r w:rsidRPr="00660964">
        <w:rPr>
          <w:rFonts w:asciiTheme="majorBidi" w:hAnsiTheme="majorBidi" w:cstheme="majorBidi"/>
          <w:szCs w:val="24"/>
          <w:lang w:val="en-MY"/>
        </w:rPr>
        <w:t xml:space="preserve"> to determine the </w:t>
      </w:r>
      <w:proofErr w:type="spellStart"/>
      <w:r w:rsidRPr="00660964">
        <w:rPr>
          <w:rFonts w:asciiTheme="majorBidi" w:hAnsiTheme="majorBidi" w:cstheme="majorBidi"/>
          <w:szCs w:val="24"/>
          <w:lang w:val="en-MY"/>
        </w:rPr>
        <w:t>nisab</w:t>
      </w:r>
      <w:proofErr w:type="spellEnd"/>
      <w:r w:rsidRPr="00660964">
        <w:rPr>
          <w:rFonts w:asciiTheme="majorBidi" w:hAnsiTheme="majorBidi" w:cstheme="majorBidi"/>
          <w:szCs w:val="24"/>
          <w:lang w:val="en-MY"/>
        </w:rPr>
        <w:t>.</w:t>
      </w:r>
      <w:r>
        <w:rPr>
          <w:rFonts w:asciiTheme="majorBidi" w:hAnsiTheme="majorBidi" w:cstheme="majorBidi"/>
          <w:szCs w:val="24"/>
          <w:lang w:val="en-MY"/>
        </w:rPr>
        <w:t xml:space="preserve"> The </w:t>
      </w:r>
      <w:r w:rsidR="00DC7EAF" w:rsidRPr="0097203D">
        <w:rPr>
          <w:rFonts w:asciiTheme="majorBidi" w:hAnsiTheme="majorBidi" w:cstheme="majorBidi"/>
          <w:szCs w:val="24"/>
          <w:lang w:val="en-MY"/>
        </w:rPr>
        <w:t xml:space="preserve">Malaysian context illustrates the governance relevance of these issues. JAWHAR provides statistical information on </w:t>
      </w:r>
      <w:proofErr w:type="spellStart"/>
      <w:r w:rsidR="00DC7EAF" w:rsidRPr="0097203D">
        <w:rPr>
          <w:rFonts w:asciiTheme="majorBidi" w:hAnsiTheme="majorBidi" w:cstheme="majorBidi"/>
          <w:szCs w:val="24"/>
          <w:lang w:val="en-MY"/>
        </w:rPr>
        <w:t>nisab</w:t>
      </w:r>
      <w:proofErr w:type="spellEnd"/>
      <w:r w:rsidR="00DC7EAF" w:rsidRPr="0097203D">
        <w:rPr>
          <w:rFonts w:asciiTheme="majorBidi" w:hAnsiTheme="majorBidi" w:cstheme="majorBidi"/>
          <w:szCs w:val="24"/>
          <w:lang w:val="en-MY"/>
        </w:rPr>
        <w:t xml:space="preserve"> rates from state Islamic religious authorities, showing that </w:t>
      </w:r>
      <w:proofErr w:type="spellStart"/>
      <w:r w:rsidR="00DC7EAF" w:rsidRPr="0097203D">
        <w:rPr>
          <w:rFonts w:asciiTheme="majorBidi" w:hAnsiTheme="majorBidi" w:cstheme="majorBidi"/>
          <w:szCs w:val="24"/>
          <w:lang w:val="en-MY"/>
        </w:rPr>
        <w:t>nisab</w:t>
      </w:r>
      <w:proofErr w:type="spellEnd"/>
      <w:r w:rsidR="00DC7EAF" w:rsidRPr="0097203D">
        <w:rPr>
          <w:rFonts w:asciiTheme="majorBidi" w:hAnsiTheme="majorBidi" w:cstheme="majorBidi"/>
          <w:szCs w:val="24"/>
          <w:lang w:val="en-MY"/>
        </w:rPr>
        <w:t xml:space="preserve"> is expressed in Ringgit Malaysia and varies </w:t>
      </w:r>
      <w:r>
        <w:rPr>
          <w:rFonts w:asciiTheme="majorBidi" w:hAnsiTheme="majorBidi" w:cstheme="majorBidi"/>
          <w:szCs w:val="24"/>
          <w:lang w:val="en-MY"/>
        </w:rPr>
        <w:t>over time and across jurisdictions</w:t>
      </w:r>
      <w:r w:rsidR="00401F75" w:rsidRPr="0097203D">
        <w:rPr>
          <w:rFonts w:asciiTheme="majorBidi" w:hAnsiTheme="majorBidi" w:cstheme="majorBidi"/>
          <w:szCs w:val="24"/>
          <w:lang w:val="en-MY"/>
        </w:rPr>
        <w:t xml:space="preserve"> </w:t>
      </w:r>
      <w:r w:rsidR="00401F75" w:rsidRPr="0097203D">
        <w:rPr>
          <w:rFonts w:asciiTheme="majorBidi" w:hAnsiTheme="majorBidi" w:cstheme="majorBidi"/>
          <w:szCs w:val="24"/>
          <w:lang w:val="en-MY"/>
        </w:rPr>
        <w:fldChar w:fldCharType="begin"/>
      </w:r>
      <w:r w:rsidR="00401F75" w:rsidRPr="0097203D">
        <w:rPr>
          <w:rFonts w:asciiTheme="majorBidi" w:hAnsiTheme="majorBidi" w:cstheme="majorBidi"/>
          <w:szCs w:val="24"/>
          <w:lang w:val="en-MY"/>
        </w:rPr>
        <w:instrText xml:space="preserve"> ADDIN ZOTERO_ITEM CSL_CITATION {"citationID":"PSj4VlMM","properties":{"unsorted":false,"formattedCitation":"(JAWHAR, n.d.)","plainCitation":"(JAWHAR, n.d.)","noteIndex":0},"citationItems":[{"id":3121,"uris":["http://zotero.org/users/17067337/items/JZKT3IZG"],"itemData":{"id":3121,"type":"webpage","abstract":"Portal Pengurusan Maklumat Zakat dan Baitulmal Malaysia merupakan satu portal yang memaparkan statistik am berkaitan zakat dan baitulmal di Malaysia. Statistik yang dipaparkan dari laman ini diperoleh dari Majlis Agama Islam Negeri (MAIN) di Malaysia dan akan dikemaskini dari masa ke semasa bagi memudahkan orang awam membuat rujukan mengenai statistik zakat dan baitulmal di Malaysia. Antara maklumat yang dipaparkan ialah Statistik Kutipan Zakat Harta dan Fitrah, Statistik Agihan Zakat, Kadar Nisab Zakat Harta dan Fitrah serta Statistik Kadar Fidyah","container-title":"Portal Baitulmal JAWHAR","language":"en-US","title":"Statistik Kadar Nisab Zakat Harta","URL":"https://baitulmal.jawhar.gov.my/statistik-kadar-nisab-zakat-harta/","author":[{"family":"JAWHAR","given":""}],"accessed":{"date-parts":[["2026",5,14]]}}}],"schema":"https://github.com/citation-style-language/schema/raw/master/csl-citation.json"} </w:instrText>
      </w:r>
      <w:r w:rsidR="00401F75" w:rsidRPr="0097203D">
        <w:rPr>
          <w:rFonts w:asciiTheme="majorBidi" w:hAnsiTheme="majorBidi" w:cstheme="majorBidi"/>
          <w:szCs w:val="24"/>
          <w:lang w:val="en-MY"/>
        </w:rPr>
        <w:fldChar w:fldCharType="separate"/>
      </w:r>
      <w:r w:rsidR="00401F75" w:rsidRPr="0097203D">
        <w:rPr>
          <w:rFonts w:cs="Times New Roman"/>
          <w:lang w:val="en-MY"/>
        </w:rPr>
        <w:t>(JAWHAR, n.d.)</w:t>
      </w:r>
      <w:r w:rsidR="00401F75" w:rsidRPr="0097203D">
        <w:rPr>
          <w:rFonts w:asciiTheme="majorBidi" w:hAnsiTheme="majorBidi" w:cstheme="majorBidi"/>
          <w:szCs w:val="24"/>
          <w:lang w:val="en-MY"/>
        </w:rPr>
        <w:fldChar w:fldCharType="end"/>
      </w:r>
      <w:r w:rsidR="00401F75" w:rsidRPr="0097203D">
        <w:rPr>
          <w:rFonts w:asciiTheme="majorBidi" w:hAnsiTheme="majorBidi" w:cstheme="majorBidi"/>
          <w:szCs w:val="24"/>
          <w:lang w:val="en-MY"/>
        </w:rPr>
        <w:t>.</w:t>
      </w:r>
      <w:r w:rsidR="00DC7EAF" w:rsidRPr="0097203D">
        <w:rPr>
          <w:rFonts w:asciiTheme="majorBidi" w:hAnsiTheme="majorBidi" w:cstheme="majorBidi"/>
          <w:szCs w:val="24"/>
          <w:lang w:val="en-MY"/>
        </w:rPr>
        <w:t xml:space="preserve"> The Federal Territories Mufti Office explains that zakat authorities may use the average gold price of the previous year as a standard for the following year to maintain administrative consistency</w:t>
      </w:r>
      <w:r w:rsidR="00D74E4F" w:rsidRPr="0097203D">
        <w:rPr>
          <w:rFonts w:asciiTheme="majorBidi" w:hAnsiTheme="majorBidi" w:cstheme="majorBidi"/>
          <w:szCs w:val="24"/>
          <w:lang w:val="en-MY"/>
        </w:rPr>
        <w:t xml:space="preserve"> </w:t>
      </w:r>
      <w:r w:rsidR="00D74E4F" w:rsidRPr="0097203D">
        <w:rPr>
          <w:rFonts w:asciiTheme="majorBidi" w:hAnsiTheme="majorBidi" w:cstheme="majorBidi"/>
          <w:szCs w:val="24"/>
          <w:lang w:val="en-MY"/>
        </w:rPr>
        <w:fldChar w:fldCharType="begin"/>
      </w:r>
      <w:r w:rsidR="00585725">
        <w:rPr>
          <w:rFonts w:asciiTheme="majorBidi" w:hAnsiTheme="majorBidi" w:cstheme="majorBidi"/>
          <w:szCs w:val="24"/>
          <w:lang w:val="en-MY"/>
        </w:rPr>
        <w:instrText xml:space="preserve"> ADDIN ZOTERO_ITEM CSL_CITATION {"citationID":"Vc2EXGPx","properties":{"unsorted":false,"formattedCitation":"(Jabatan Mufti Wilayah Persekutuan, 2021)","plainCitation":"(Jabatan Mufti Wilayah Persekutuan, 2021)","noteIndex":0},"citationItems":[{"id":3097,"uris":["http://zotero.org/users/17067337/items/DB3AA8V5"],"itemData":{"id":3097,"type":"webpage","title":"Nisab Zakat Emas: Pusat Zakat Atau Nilai Semasa?","URL":"https://muftiwp.gov.my/ms/artikel/al-kafi-li-al-fatawi/4850-al-kafi-1811-nisab-zakat-emas-pusat-zakat-atau-nilai-semasa","author":[{"family":"Jabatan Mufti Wilayah Persekutuan","given":""}],"accessed":{"date-parts":[["2026",5,14]]},"issued":{"date-parts":[["2021",6,30]]}}}],"schema":"https://github.com/citation-style-language/schema/raw/master/csl-citation.json"} </w:instrText>
      </w:r>
      <w:r w:rsidR="00D74E4F" w:rsidRPr="0097203D">
        <w:rPr>
          <w:rFonts w:asciiTheme="majorBidi" w:hAnsiTheme="majorBidi" w:cstheme="majorBidi"/>
          <w:szCs w:val="24"/>
          <w:lang w:val="en-MY"/>
        </w:rPr>
        <w:fldChar w:fldCharType="separate"/>
      </w:r>
      <w:r w:rsidR="00D74E4F" w:rsidRPr="0097203D">
        <w:rPr>
          <w:rFonts w:cs="Times New Roman"/>
          <w:lang w:val="en-MY"/>
        </w:rPr>
        <w:t>(Jabatan Mufti Wilayah Persekutuan, 2021)</w:t>
      </w:r>
      <w:r w:rsidR="00D74E4F" w:rsidRPr="0097203D">
        <w:rPr>
          <w:rFonts w:asciiTheme="majorBidi" w:hAnsiTheme="majorBidi" w:cstheme="majorBidi"/>
          <w:szCs w:val="24"/>
          <w:lang w:val="en-MY"/>
        </w:rPr>
        <w:fldChar w:fldCharType="end"/>
      </w:r>
      <w:r w:rsidR="00D74E4F" w:rsidRPr="0097203D">
        <w:rPr>
          <w:rFonts w:asciiTheme="majorBidi" w:hAnsiTheme="majorBidi" w:cstheme="majorBidi"/>
          <w:szCs w:val="24"/>
          <w:lang w:val="en-MY"/>
        </w:rPr>
        <w:t>.</w:t>
      </w:r>
      <w:r w:rsidR="00DC7EAF" w:rsidRPr="0097203D">
        <w:rPr>
          <w:rFonts w:asciiTheme="majorBidi" w:hAnsiTheme="majorBidi" w:cstheme="majorBidi"/>
          <w:szCs w:val="24"/>
          <w:lang w:val="en-MY"/>
        </w:rPr>
        <w:t xml:space="preserve"> Such an approach demonstrates that averaged pricing can be understood as an administrative mechanism rather than a departure from Shariah.</w:t>
      </w:r>
      <w:r>
        <w:rPr>
          <w:rFonts w:asciiTheme="majorBidi" w:hAnsiTheme="majorBidi" w:cstheme="majorBidi"/>
          <w:szCs w:val="24"/>
          <w:lang w:val="en-MY"/>
        </w:rPr>
        <w:t xml:space="preserve"> </w:t>
      </w:r>
      <w:r w:rsidRPr="0097203D">
        <w:rPr>
          <w:lang w:val="en-MY"/>
        </w:rPr>
        <w:t xml:space="preserve">The principle </w:t>
      </w:r>
      <w:r>
        <w:rPr>
          <w:lang w:val="en-MY"/>
        </w:rPr>
        <w:t xml:space="preserve">of </w:t>
      </w:r>
      <w:r w:rsidR="00A33D64">
        <w:rPr>
          <w:lang w:val="en-MY"/>
        </w:rPr>
        <w:t>‘</w:t>
      </w:r>
      <w:r>
        <w:rPr>
          <w:rFonts w:asciiTheme="majorBidi" w:hAnsiTheme="majorBidi" w:cstheme="majorBidi"/>
          <w:iCs/>
          <w:szCs w:val="24"/>
          <w:lang w:val="en-MY"/>
        </w:rPr>
        <w:t>h</w:t>
      </w:r>
      <w:r w:rsidRPr="00660964">
        <w:rPr>
          <w:rFonts w:asciiTheme="majorBidi" w:hAnsiTheme="majorBidi" w:cstheme="majorBidi"/>
          <w:iCs/>
          <w:szCs w:val="24"/>
          <w:lang w:val="en-MY"/>
        </w:rPr>
        <w:t>ardship brings facilitation</w:t>
      </w:r>
      <w:r w:rsidR="00A33D64">
        <w:rPr>
          <w:lang w:val="en-MY"/>
        </w:rPr>
        <w:t>’</w:t>
      </w:r>
      <w:r>
        <w:rPr>
          <w:lang w:val="en-MY"/>
        </w:rPr>
        <w:t xml:space="preserve"> has been used to advocate a simple system for administering zakat that avoids confusion or hardship for those</w:t>
      </w:r>
      <w:r w:rsidRPr="0097203D">
        <w:rPr>
          <w:lang w:val="en-MY"/>
        </w:rPr>
        <w:t xml:space="preserve"> liable to pay</w:t>
      </w:r>
      <w:r>
        <w:rPr>
          <w:lang w:val="en-MY"/>
        </w:rPr>
        <w:t xml:space="preserve"> </w:t>
      </w:r>
      <w:r>
        <w:rPr>
          <w:lang w:val="en-MY"/>
        </w:rPr>
        <w:fldChar w:fldCharType="begin"/>
      </w:r>
      <w:r w:rsidR="00585725">
        <w:rPr>
          <w:lang w:val="en-MY"/>
        </w:rPr>
        <w:instrText xml:space="preserve"> ADDIN ZOTERO_ITEM CSL_CITATION {"citationID":"h1umAiJA","properties":{"unsorted":false,"formattedCitation":"(Al-Suy\\uc0\\u363{}\\uc0\\u7789{}\\uc0\\u299{}, 1990; Ibn Nujaym, 1999)","plainCitation":"(Al-Suyūṭī, 1990; Ibn Nujaym, 1999)","noteIndex":0},"citationItems":[{"id":3529,"uris":["http://zotero.org/users/17067337/items/54VS245H"],"itemData":{"id":3529,"type":"book","publisher":"Dār al-Kutub al-ʿIlmiyyah","title":"Al-Ashbāh wa al-Naẓāʾir","author":[{"family":"Al-Suyūṭī","given":"J."}],"issued":{"date-parts":[["1990"]]}}},{"id":3531,"uris":["http://zotero.org/users/17067337/items/T4J28BNE"],"itemData":{"id":3531,"type":"book","publisher":"Dār al-Kutub al-ʿIlmiyyah","title":"Al-Ashbāh wa al-Naẓāʾir","author":[{"family":"Ibn Nujaym","given":"Z."}],"issued":{"date-parts":[["1999"]]}}}],"schema":"https://github.com/citation-style-language/schema/raw/master/csl-citation.json"} </w:instrText>
      </w:r>
      <w:r>
        <w:rPr>
          <w:lang w:val="en-MY"/>
        </w:rPr>
        <w:fldChar w:fldCharType="separate"/>
      </w:r>
      <w:r w:rsidRPr="00660964">
        <w:rPr>
          <w:rFonts w:cs="Times New Roman"/>
          <w:szCs w:val="24"/>
        </w:rPr>
        <w:t>(Al-Suyūṭī, 1990; Ibn Nujaym, 1999)</w:t>
      </w:r>
      <w:r>
        <w:rPr>
          <w:lang w:val="en-MY"/>
        </w:rPr>
        <w:fldChar w:fldCharType="end"/>
      </w:r>
      <w:r w:rsidRPr="0097203D">
        <w:rPr>
          <w:lang w:val="en-MY"/>
        </w:rPr>
        <w:t xml:space="preserve">. It does not allow for </w:t>
      </w:r>
      <w:r w:rsidR="002607AF">
        <w:rPr>
          <w:lang w:val="en-MY"/>
        </w:rPr>
        <w:t>waiving</w:t>
      </w:r>
      <w:r>
        <w:rPr>
          <w:lang w:val="en-MY"/>
        </w:rPr>
        <w:t xml:space="preserve"> zakat responsibilities, but it does require institutions to develop processes that are understandable, stable,</w:t>
      </w:r>
      <w:r w:rsidRPr="0097203D">
        <w:rPr>
          <w:lang w:val="en-MY"/>
        </w:rPr>
        <w:t xml:space="preserve"> and fair. Methods of averaging, therefore, may be valid if they lower the level of uncertainty without altering the fixed juristic </w:t>
      </w:r>
      <w:proofErr w:type="spellStart"/>
      <w:r w:rsidRPr="0097203D">
        <w:rPr>
          <w:lang w:val="en-MY"/>
        </w:rPr>
        <w:t>nisab</w:t>
      </w:r>
      <w:proofErr w:type="spellEnd"/>
      <w:r w:rsidRPr="0097203D">
        <w:rPr>
          <w:lang w:val="en-MY"/>
        </w:rPr>
        <w:t>, which are published methodologies and scheduled reviews.</w:t>
      </w:r>
    </w:p>
    <w:p w:rsidR="005710BE" w:rsidRPr="00660964" w:rsidRDefault="00DC7EAF" w:rsidP="00500528">
      <w:pPr>
        <w:pStyle w:val="Heading2"/>
        <w:rPr>
          <w:lang w:val="en-MY"/>
        </w:rPr>
      </w:pPr>
      <w:r w:rsidRPr="00660964">
        <w:rPr>
          <w:lang w:val="en-MY"/>
        </w:rPr>
        <w:t xml:space="preserve">6. Implications for Wealth Zakat </w:t>
      </w:r>
      <w:proofErr w:type="spellStart"/>
      <w:r w:rsidRPr="00660964">
        <w:rPr>
          <w:lang w:val="en-MY"/>
        </w:rPr>
        <w:t>Nisab</w:t>
      </w:r>
      <w:proofErr w:type="spellEnd"/>
    </w:p>
    <w:p w:rsidR="00C26C88" w:rsidRDefault="007B7E58" w:rsidP="009E1448">
      <w:pPr>
        <w:spacing w:line="240" w:lineRule="auto"/>
        <w:jc w:val="both"/>
        <w:rPr>
          <w:lang w:val="en-MY"/>
        </w:rPr>
      </w:pPr>
      <w:r w:rsidRPr="0097203D">
        <w:rPr>
          <w:lang w:val="en-MY"/>
        </w:rPr>
        <w:t xml:space="preserve">The first implication </w:t>
      </w:r>
      <w:r>
        <w:rPr>
          <w:lang w:val="en-MY"/>
        </w:rPr>
        <w:t xml:space="preserve">concerns the </w:t>
      </w:r>
      <w:r w:rsidR="00AB4E02">
        <w:rPr>
          <w:lang w:val="en-MY"/>
        </w:rPr>
        <w:t>monetary threshold</w:t>
      </w:r>
      <w:r w:rsidRPr="0097203D">
        <w:rPr>
          <w:lang w:val="en-MY"/>
        </w:rPr>
        <w:t xml:space="preserve">. The gold </w:t>
      </w:r>
      <w:proofErr w:type="spellStart"/>
      <w:r w:rsidRPr="0097203D">
        <w:rPr>
          <w:lang w:val="en-MY"/>
        </w:rPr>
        <w:t>nisab</w:t>
      </w:r>
      <w:proofErr w:type="spellEnd"/>
      <w:r w:rsidRPr="0097203D">
        <w:rPr>
          <w:lang w:val="en-MY"/>
        </w:rPr>
        <w:t xml:space="preserve"> </w:t>
      </w:r>
      <w:r>
        <w:rPr>
          <w:lang w:val="en-MY"/>
        </w:rPr>
        <w:t>does not depend on the amount of currency, but rather</w:t>
      </w:r>
      <w:r w:rsidRPr="0097203D">
        <w:rPr>
          <w:lang w:val="en-MY"/>
        </w:rPr>
        <w:t xml:space="preserve"> on </w:t>
      </w:r>
      <w:r>
        <w:rPr>
          <w:lang w:val="en-MY"/>
        </w:rPr>
        <w:t>changes in gold</w:t>
      </w:r>
      <w:r w:rsidR="00A33D64">
        <w:rPr>
          <w:lang w:val="en-MY"/>
        </w:rPr>
        <w:t>’</w:t>
      </w:r>
      <w:r>
        <w:rPr>
          <w:lang w:val="en-MY"/>
        </w:rPr>
        <w:t>s price</w:t>
      </w:r>
      <w:r w:rsidRPr="0097203D">
        <w:rPr>
          <w:lang w:val="en-MY"/>
        </w:rPr>
        <w:t xml:space="preserve"> and exchange rates</w:t>
      </w:r>
      <w:r w:rsidR="00C26C88">
        <w:rPr>
          <w:lang w:val="en-MY"/>
        </w:rPr>
        <w:t xml:space="preserve"> </w:t>
      </w:r>
      <w:r w:rsidR="00C26C88">
        <w:rPr>
          <w:lang w:val="en-MY"/>
        </w:rPr>
        <w:fldChar w:fldCharType="begin"/>
      </w:r>
      <w:r w:rsidR="00C26C88">
        <w:rPr>
          <w:lang w:val="en-MY"/>
        </w:rPr>
        <w:instrText xml:space="preserve"> ADDIN ZOTERO_ITEM CSL_CITATION {"citationID":"rrCcm9ft","properties":{"unsorted":false,"formattedCitation":"(World Gold Council, n.d.)","plainCitation":"(World Gold Council, n.d.)","noteIndex":0},"citationItems":[{"id":3576,"uris":["http://zotero.org/users/17067337/items/45BWASMG"],"itemData":{"id":3576,"type":"webpage","abstract":"Understand how we validate and verify the accuracy of our gold price data.","container-title":"World Gold Council","language":"en","title":"Methodology Note","URL":"https://www.gold.org/data/gold-price/methodology","author":[{"family":"World Gold Council","given":""}],"accessed":{"date-parts":[["2026",6,4]]}}}],"schema":"https://github.com/citation-style-language/schema/raw/master/csl-citation.json"} </w:instrText>
      </w:r>
      <w:r w:rsidR="00C26C88">
        <w:rPr>
          <w:lang w:val="en-MY"/>
        </w:rPr>
        <w:fldChar w:fldCharType="separate"/>
      </w:r>
      <w:r w:rsidR="00C26C88" w:rsidRPr="00C26C88">
        <w:rPr>
          <w:rFonts w:cs="Times New Roman"/>
        </w:rPr>
        <w:t>(World Gold Council, n.d.)</w:t>
      </w:r>
      <w:r w:rsidR="00C26C88">
        <w:rPr>
          <w:lang w:val="en-MY"/>
        </w:rPr>
        <w:fldChar w:fldCharType="end"/>
      </w:r>
      <w:r w:rsidRPr="0097203D">
        <w:rPr>
          <w:lang w:val="en-MY"/>
        </w:rPr>
        <w:t xml:space="preserve">. It does not mean, therefore, that the </w:t>
      </w:r>
      <w:proofErr w:type="spellStart"/>
      <w:r w:rsidRPr="0097203D">
        <w:rPr>
          <w:lang w:val="en-MY"/>
        </w:rPr>
        <w:t>nisab</w:t>
      </w:r>
      <w:proofErr w:type="spellEnd"/>
      <w:r w:rsidRPr="0097203D">
        <w:rPr>
          <w:lang w:val="en-MY"/>
        </w:rPr>
        <w:t xml:space="preserve"> which is presented to the public is </w:t>
      </w:r>
      <w:r>
        <w:rPr>
          <w:lang w:val="en-MY"/>
        </w:rPr>
        <w:lastRenderedPageBreak/>
        <w:t xml:space="preserve">purely of a </w:t>
      </w:r>
      <w:r w:rsidRPr="0097203D">
        <w:rPr>
          <w:lang w:val="en-MY"/>
        </w:rPr>
        <w:t xml:space="preserve">theological nature, but the outcome of a method of valuation. </w:t>
      </w:r>
      <w:r w:rsidR="00C26C88" w:rsidRPr="00C26C88">
        <w:rPr>
          <w:lang w:val="en-MY"/>
        </w:rPr>
        <w:t xml:space="preserve">Therefore, the </w:t>
      </w:r>
      <w:proofErr w:type="spellStart"/>
      <w:r w:rsidR="00C26C88" w:rsidRPr="00C26C88">
        <w:rPr>
          <w:lang w:val="en-MY"/>
        </w:rPr>
        <w:t>nisab</w:t>
      </w:r>
      <w:proofErr w:type="spellEnd"/>
      <w:r w:rsidR="00C26C88" w:rsidRPr="00C26C88">
        <w:rPr>
          <w:lang w:val="en-MY"/>
        </w:rPr>
        <w:t xml:space="preserve"> offered to the public should not be interpreted as a purely theological amount fixed, but is the product of a method of valuation that uses contemporary methods of pricing and complies with the Shariah. In the absence of that clear disclosure, </w:t>
      </w:r>
      <w:r w:rsidR="00C26C88">
        <w:rPr>
          <w:lang w:val="en-MY"/>
        </w:rPr>
        <w:t>people may be misled into believing that Shariah is based on a monetary limit, rather than</w:t>
      </w:r>
      <w:r w:rsidR="00C26C88" w:rsidRPr="00C26C88">
        <w:rPr>
          <w:lang w:val="en-MY"/>
        </w:rPr>
        <w:t xml:space="preserve"> a gold valuation limit, if that is the method used to determine the limit in </w:t>
      </w:r>
      <w:r w:rsidR="00C26C88">
        <w:rPr>
          <w:lang w:val="en-MY"/>
        </w:rPr>
        <w:t>z</w:t>
      </w:r>
      <w:r w:rsidR="00C26C88" w:rsidRPr="00C26C88">
        <w:rPr>
          <w:lang w:val="en-MY"/>
        </w:rPr>
        <w:t xml:space="preserve">akat institutions. This </w:t>
      </w:r>
      <w:r w:rsidR="00C26C88">
        <w:rPr>
          <w:lang w:val="en-MY"/>
        </w:rPr>
        <w:t xml:space="preserve">aligns with research on zakat governance, which finds that disclosure and transparency affect the trust of zakat subjects as payers </w:t>
      </w:r>
      <w:r w:rsidR="00C26C88">
        <w:rPr>
          <w:lang w:val="en-MY"/>
        </w:rPr>
        <w:fldChar w:fldCharType="begin"/>
      </w:r>
      <w:r w:rsidR="00585725">
        <w:rPr>
          <w:lang w:val="en-MY"/>
        </w:rPr>
        <w:instrText xml:space="preserve"> ADDIN ZOTERO_ITEM CSL_CITATION {"citationID":"rVnZnk8n","properties":{"unsorted":false,"formattedCitation":"(Samargandi et al., 2018)","plainCitation":"(Samargandi et al., 2018)","noteIndex":0},"citationItems":[{"id":3582,"uris":["http://zotero.org/users/17067337/items/AGHA9ZFK"],"itemData":{"id":3582,"type":"article-journal","abstract":"This study examines whether disclosure practices and stakeholder management play an important role in influencing the zakat payers' trust in the zakat institutions in Malaysia. A regression analysis was performed to examine the relationship between disclosure practices and stakeholder management of the zakat institutions on zakat payers' trust. Using questionnaire survey on 184 zakat payers, this study shows that the disclosure practices do influence the zakat payers' trust in the zakat institutions. However, it is revealed that stakeholder management does not influence the zakat payers' trust in zakat institutions. The findings in this study imply that the zakat institutions should focus on the transparency of disclosure practices. The findings in this research could assist the zakat institutions to increase the trust level of the zakat taxpayers towards them and assist the policy makers in establishing zakat institutions which would be perceived by the public as legitimate.","container-title":"Business and Economic Horizons (BEH)","DOI":"10.22004/ag.econ.287235","issue":"4","page":"882-893","publisher":"Prague Development Center (PRADEC)","source":"EconPapers","title":"Can Disclosure Practices And Stakeholder Management Influence Zakat Payers' Trust? A Malaysian Evidence","volume":"14","author":[{"family":"Samargandi","given":"Nahla"},{"family":"Tajularifin","given":"Sakinha Mohamed"},{"family":"Ghani","given":"Erlane K."},{"family":"Aziz","given":"Asmah Abdul"},{"family":"Gunardi","given":"Ardi"}],"issued":{"date-parts":[["2018"]]}}}],"schema":"https://github.com/citation-style-language/schema/raw/master/csl-citation.json"} </w:instrText>
      </w:r>
      <w:r w:rsidR="00C26C88">
        <w:rPr>
          <w:lang w:val="en-MY"/>
        </w:rPr>
        <w:fldChar w:fldCharType="separate"/>
      </w:r>
      <w:r w:rsidR="00C26C88" w:rsidRPr="00C26C88">
        <w:rPr>
          <w:rFonts w:cs="Times New Roman"/>
        </w:rPr>
        <w:t>(Samargandi et al., 2018)</w:t>
      </w:r>
      <w:r w:rsidR="00C26C88">
        <w:rPr>
          <w:lang w:val="en-MY"/>
        </w:rPr>
        <w:fldChar w:fldCharType="end"/>
      </w:r>
      <w:r w:rsidR="00C26C88" w:rsidRPr="00C26C88">
        <w:rPr>
          <w:lang w:val="en-MY"/>
        </w:rPr>
        <w:t>.</w:t>
      </w:r>
    </w:p>
    <w:p w:rsidR="00C26C88" w:rsidRDefault="007B7E58" w:rsidP="009E1448">
      <w:pPr>
        <w:spacing w:line="240" w:lineRule="auto"/>
        <w:ind w:firstLine="720"/>
        <w:jc w:val="both"/>
        <w:rPr>
          <w:lang w:val="en-MY"/>
        </w:rPr>
      </w:pPr>
      <w:r w:rsidRPr="0097203D">
        <w:rPr>
          <w:lang w:val="en-MY"/>
        </w:rPr>
        <w:t xml:space="preserve">The second implication </w:t>
      </w:r>
      <w:r>
        <w:rPr>
          <w:lang w:val="en-MY"/>
        </w:rPr>
        <w:t xml:space="preserve">concerns the population of </w:t>
      </w:r>
      <w:proofErr w:type="spellStart"/>
      <w:r>
        <w:rPr>
          <w:lang w:val="en-MY"/>
        </w:rPr>
        <w:t>muzakki</w:t>
      </w:r>
      <w:proofErr w:type="spellEnd"/>
      <w:r>
        <w:rPr>
          <w:lang w:val="en-MY"/>
        </w:rPr>
        <w:t xml:space="preserve"> (zakat payers)</w:t>
      </w:r>
      <w:r w:rsidRPr="0097203D">
        <w:rPr>
          <w:lang w:val="en-MY"/>
        </w:rPr>
        <w:t xml:space="preserve">. An increase in </w:t>
      </w:r>
      <w:r>
        <w:rPr>
          <w:lang w:val="en-MY"/>
        </w:rPr>
        <w:t xml:space="preserve">gold prices raises the currency value of </w:t>
      </w:r>
      <w:proofErr w:type="spellStart"/>
      <w:r>
        <w:rPr>
          <w:lang w:val="en-MY"/>
        </w:rPr>
        <w:t>nisab</w:t>
      </w:r>
      <w:proofErr w:type="spellEnd"/>
      <w:r>
        <w:rPr>
          <w:lang w:val="en-MY"/>
        </w:rPr>
        <w:t xml:space="preserve"> and could reduce</w:t>
      </w:r>
      <w:r w:rsidRPr="0097203D">
        <w:rPr>
          <w:lang w:val="en-MY"/>
        </w:rPr>
        <w:t xml:space="preserve"> the number of people who must pay zakat. The lower the price of gold, the lower the threshold and potentially the more payers. It is not only a revenue matter, as </w:t>
      </w:r>
      <w:proofErr w:type="spellStart"/>
      <w:r w:rsidR="003B1A2E">
        <w:rPr>
          <w:lang w:val="en-MY"/>
        </w:rPr>
        <w:t>Senawi</w:t>
      </w:r>
      <w:proofErr w:type="spellEnd"/>
      <w:r w:rsidR="003B1A2E">
        <w:rPr>
          <w:lang w:val="en-MY"/>
        </w:rPr>
        <w:t xml:space="preserve"> et al. (2023) highlighted</w:t>
      </w:r>
      <w:r w:rsidR="00C26C88">
        <w:rPr>
          <w:lang w:val="en-MY"/>
        </w:rPr>
        <w:t xml:space="preserve">. High and low </w:t>
      </w:r>
      <w:proofErr w:type="spellStart"/>
      <w:r w:rsidR="00C26C88">
        <w:rPr>
          <w:lang w:val="en-MY"/>
        </w:rPr>
        <w:t>nisab</w:t>
      </w:r>
      <w:proofErr w:type="spellEnd"/>
      <w:r w:rsidR="00C26C88">
        <w:rPr>
          <w:lang w:val="en-MY"/>
        </w:rPr>
        <w:t xml:space="preserve"> values may affect zakat contributions and, in turn, the recipients, particularly the poor and needy</w:t>
      </w:r>
      <w:r w:rsidRPr="0097203D">
        <w:rPr>
          <w:lang w:val="en-MY"/>
        </w:rPr>
        <w:t>. It is a moral issue about an excess of wealth and economic vulnerability</w:t>
      </w:r>
      <w:r>
        <w:rPr>
          <w:lang w:val="en-MY"/>
        </w:rPr>
        <w:t>.</w:t>
      </w:r>
    </w:p>
    <w:p w:rsidR="00C26C88" w:rsidRDefault="007B7E58" w:rsidP="009E1448">
      <w:pPr>
        <w:spacing w:line="240" w:lineRule="auto"/>
        <w:ind w:firstLine="720"/>
        <w:jc w:val="both"/>
        <w:rPr>
          <w:lang w:val="en-MY"/>
        </w:rPr>
      </w:pPr>
      <w:r w:rsidRPr="0097203D">
        <w:rPr>
          <w:lang w:val="en-MY"/>
        </w:rPr>
        <w:t xml:space="preserve">The third implication </w:t>
      </w:r>
      <w:r w:rsidR="00C26C88">
        <w:rPr>
          <w:lang w:val="en-MY"/>
        </w:rPr>
        <w:t>concerns the plan for Zakat income and distribution</w:t>
      </w:r>
      <w:r w:rsidRPr="0097203D">
        <w:rPr>
          <w:lang w:val="en-MY"/>
        </w:rPr>
        <w:t xml:space="preserve">. The zakat institutions must have a regular flow of collections </w:t>
      </w:r>
      <w:r w:rsidR="00C26C88">
        <w:rPr>
          <w:lang w:val="en-MY"/>
        </w:rPr>
        <w:t>to support distribution programmes, poverty alleviation, education, healthcare,</w:t>
      </w:r>
      <w:r w:rsidRPr="0097203D">
        <w:rPr>
          <w:lang w:val="en-MY"/>
        </w:rPr>
        <w:t xml:space="preserve"> and welfare interventions. The </w:t>
      </w:r>
      <w:proofErr w:type="spellStart"/>
      <w:r w:rsidRPr="0097203D">
        <w:rPr>
          <w:lang w:val="en-MY"/>
        </w:rPr>
        <w:t>nisab</w:t>
      </w:r>
      <w:proofErr w:type="spellEnd"/>
      <w:r w:rsidRPr="0097203D">
        <w:rPr>
          <w:lang w:val="en-MY"/>
        </w:rPr>
        <w:t xml:space="preserve"> can vary greatly, which may make collection projections less reliable. The results of previous studies show that </w:t>
      </w:r>
      <w:r w:rsidR="00C26C88">
        <w:rPr>
          <w:lang w:val="en-MY"/>
        </w:rPr>
        <w:t xml:space="preserve">zakat spending can affect economic and social outcomes, and that zakat governance can enhance the efficiency and productivity of </w:t>
      </w:r>
      <w:r w:rsidRPr="0097203D">
        <w:rPr>
          <w:lang w:val="en-MY"/>
        </w:rPr>
        <w:t xml:space="preserve">zakat institutions </w:t>
      </w:r>
      <w:r w:rsidRPr="0097203D">
        <w:rPr>
          <w:lang w:val="en-MY"/>
        </w:rPr>
        <w:fldChar w:fldCharType="begin"/>
      </w:r>
      <w:r w:rsidR="00585725">
        <w:rPr>
          <w:lang w:val="en-MY"/>
        </w:rPr>
        <w:instrText xml:space="preserve"> ADDIN ZOTERO_ITEM CSL_CITATION {"citationID":"ZlElGyE1","properties":{"unsorted":false,"formattedCitation":"(Wahab &amp; Rahim Abdul Rahman, 2011, 2012; Yusoff, 2011)","plainCitation":"(Wahab &amp; Rahim Abdul Rahman, 2011, 2012; Yusoff, 2011)","noteIndex":0},"citationItems":[{"id":3553,"uris":["http://zotero.org/users/17067337/items/UCP47BHC"],"itemData":{"id":3553,"type":"article-journal","abstract":"This paper aims to present a conceptual model on the efficiency and governance of zakat institutions that are r</w:instrText>
      </w:r>
      <w:r w:rsidR="00585725">
        <w:rPr>
          <w:rFonts w:hint="eastAsia"/>
          <w:lang w:val="en-MY"/>
        </w:rPr>
        <w:instrText xml:space="preserve">esponsible in collecting, managing and distributing zakat in Malaysia. Zakat is an Islamic religious </w:instrText>
      </w:r>
      <w:r w:rsidR="00585725">
        <w:rPr>
          <w:rFonts w:hint="eastAsia"/>
          <w:lang w:val="en-MY"/>
        </w:rPr>
        <w:instrText>“</w:instrText>
      </w:r>
      <w:r w:rsidR="00585725">
        <w:rPr>
          <w:rFonts w:hint="eastAsia"/>
          <w:lang w:val="en-MY"/>
        </w:rPr>
        <w:instrText>tax</w:instrText>
      </w:r>
      <w:r w:rsidR="00585725">
        <w:rPr>
          <w:rFonts w:hint="eastAsia"/>
          <w:lang w:val="en-MY"/>
        </w:rPr>
        <w:instrText>”</w:instrText>
      </w:r>
      <w:r w:rsidR="00585725">
        <w:rPr>
          <w:rFonts w:hint="eastAsia"/>
          <w:lang w:val="en-MY"/>
        </w:rPr>
        <w:instrText xml:space="preserve"> charged on the rich and well</w:instrText>
      </w:r>
      <w:r w:rsidR="00585725">
        <w:rPr>
          <w:rFonts w:hint="eastAsia"/>
          <w:lang w:val="en-MY"/>
        </w:rPr>
        <w:instrText>‐</w:instrText>
      </w:r>
      <w:r w:rsidR="00585725">
        <w:rPr>
          <w:rFonts w:hint="eastAsia"/>
          <w:lang w:val="en-MY"/>
        </w:rPr>
        <w:instrText>to</w:instrText>
      </w:r>
      <w:r w:rsidR="00585725">
        <w:rPr>
          <w:rFonts w:hint="eastAsia"/>
          <w:lang w:val="en-MY"/>
        </w:rPr>
        <w:instrText>‐</w:instrText>
      </w:r>
      <w:r w:rsidR="00585725">
        <w:rPr>
          <w:rFonts w:hint="eastAsia"/>
          <w:lang w:val="en-MY"/>
        </w:rPr>
        <w:instrText>do members of the community for distribution to the poor and the needy as well as other beneficiaries based on certain established criteria according to the Qur'an. The main aim of zakat is to protect the socio</w:instrText>
      </w:r>
      <w:r w:rsidR="00585725">
        <w:rPr>
          <w:rFonts w:hint="eastAsia"/>
          <w:lang w:val="en-MY"/>
        </w:rPr>
        <w:instrText>‐</w:instrText>
      </w:r>
      <w:r w:rsidR="00585725">
        <w:rPr>
          <w:rFonts w:hint="eastAsia"/>
          <w:lang w:val="en-MY"/>
        </w:rPr>
        <w:instrText>economic welfare of the poor and the needy.The paper reviews and synthesises the relevant literature on efficiency, governance and zakat. The paper then develop</w:instrText>
      </w:r>
      <w:r w:rsidR="00585725">
        <w:rPr>
          <w:lang w:val="en-MY"/>
        </w:rPr>
        <w:instrText>ed and proposed a conceptual model to study the efficiency and governance of zakat institutions.The paper identifies the appropriate methods to evaluate efficiency and governance of zakat institutions. Such evaluations are crucial for the Islamic financia</w:instrText>
      </w:r>
      <w:r w:rsidR="00585725">
        <w:rPr>
          <w:rFonts w:hint="eastAsia"/>
          <w:lang w:val="en-MY"/>
        </w:rPr>
        <w:instrText>l system to function effectively in order to achieve the noble objectives of socio</w:instrText>
      </w:r>
      <w:r w:rsidR="00585725">
        <w:rPr>
          <w:rFonts w:hint="eastAsia"/>
          <w:lang w:val="en-MY"/>
        </w:rPr>
        <w:instrText>‐</w:instrText>
      </w:r>
      <w:r w:rsidR="00585725">
        <w:rPr>
          <w:rFonts w:hint="eastAsia"/>
          <w:lang w:val="en-MY"/>
        </w:rPr>
        <w:instrText>economic justice through proper distribution of wealth.This paper presents a conceptual model of efficiency and governance of zakat institutions which would be useful for f</w:instrText>
      </w:r>
      <w:r w:rsidR="00585725">
        <w:rPr>
          <w:lang w:val="en-MY"/>
        </w:rPr>
        <w:instrText xml:space="preserve">urther empirical research in this area. The findings are not only relevant and applicable to Malaysia but also to other Muslim countries.","container-title":"Journal of Islamic Accounting and Business Research","DOI":"10.1108/17590811111129508","ISSN":"1759-0817","issue":"1","journalAbbreviation":"Journal of Islamic Accounting and Business Research","page":"43-62","source":"Silverchair","title":"A Framework to Analyse the Efficiency and Governance of Zakat Institutions","volume":"2","author":[{"family":"Wahab","given":"Norazlina Abd."},{"family":"Rahim Abdul Rahman","given":"Abdul"}],"issued":{"date-parts":[["2011",4,19]]}}},{"id":3555,"uris":["http://zotero.org/users/17067337/items/QKBMBUB6"],"itemData":{"id":3555,"type":"article-journal","abstract":"The purpose of this paper is to analyze the changes in productivity of zakat institutions in Malaysia from 2003 to 2007. The data consist of a panel of 14 State Islamic Religious Councils (SIRCs) in Malaysia. Efficiency is measured by the Malmquist Index, using a data envelopment analysis (DEA) technique.This paper uses Malmquist Productivity Index, using a DEA technique. The Malmquist productivity measures are decomposed into two components: efficiency change and technical change index.The results showed that total factor productivity (TFP) has increased slightly for the whole industry, which is mainly due to the technical change rather than the efficiency change. Further decomposition of the efficiency change into its pure technical and scale efficiency components suggest that the pure efficiency is found to be a more important source of efficiency change than scale efficiency component.This paper investigates the productivity and efficiency of zakat institutions in Malaysia. It will be of value to provide evidence to the policy makers to improve the efficiency of the institutions.","container-title":"Studies in Economics and Finance","DOI":"10.1108/10867371211246876","ISSN":"1086-7376","issue":"3","journalAbbreviation":"Studies in Economics and Finance","page":"197-210","source":"Silverchair","title":"Productivity Growth of Zakat Institutions in Malaysia: An Application of Data Envelopment Analysis","volume":"29","author":[{"family":"Wahab","given":"Norazlina Abd."},{"family":"Rahim Abdul Rahman","given":"Abdul"}],"issued":{"date-parts":[["2012",7,27]]}}},{"id":3567,"uris":["http://zotero.org/users/17067337/items/7GWDE5CG"],"itemData":{"id":3567,"type":"article-journal","abstract":"The main objective of this study is to determine the impact of zakat spending and school enrollment on economic growth using panel data represented by the fourteen states of Malaysia. Zakat is collected and disbursed to the eight groups of eligible recipients by each state in Malaysia. Malaysia also has been one of the developing countries that has given a special attention on education to provide the man-power and skills needed by the various sectors of the economy. As a result, there has been a large increase in the enrollment of students in both primary and secondary schools as well as in tertiary education. The results of this study support the hypothesis that zakat spending and school enrollment are important determinants of economic growth in Malaysia. The zakat spending and student enrollment could significantly explain the variation in the growth of real output represented by the growth in real GDP. Therefore, it is suggested that all Muslim countries must improve the efficiency of zakat collection and spend it prudently. A more serious effort has to be made to formulate better strategies, planning, and effective policy actions to provide the needed infrastructure and to increase the stock of human capital in accordance to the need of the nations to generate growth and sustain the development of Muslim society.\n  \nKeywords: zakat, school enrollment, growth, panel data, Malaysia","container-title":"International Journal of Business and Social Science","ISSN":"2219-6021 (O), 2219-1933 (P)","issue":"6","language":"en","page":"175-181","publisher":"Center for Promoting Ideas (CPI)","source":"irep.iium.edu.my","title":"Zakat Expenditure, School Enrollment, and Economic Growth in Malaysia","volume":"2","author":[{"family":"Yusoff","given":"Mohammed"}],"issued":{"date-parts":[["2011",4]]}}}],"schema":"https://github.com/citation-style-language/schema/raw/master/csl-citation.json"} </w:instrText>
      </w:r>
      <w:r w:rsidRPr="0097203D">
        <w:rPr>
          <w:lang w:val="en-MY"/>
        </w:rPr>
        <w:fldChar w:fldCharType="separate"/>
      </w:r>
      <w:r w:rsidRPr="0097203D">
        <w:rPr>
          <w:rFonts w:cs="Times New Roman"/>
          <w:lang w:val="en-MY"/>
        </w:rPr>
        <w:t>(Wahab &amp; Rahim Abdul Rahman, 2011, 2012; Yusoff, 2011)</w:t>
      </w:r>
      <w:r w:rsidRPr="0097203D">
        <w:rPr>
          <w:lang w:val="en-MY"/>
        </w:rPr>
        <w:fldChar w:fldCharType="end"/>
      </w:r>
      <w:r w:rsidRPr="0097203D">
        <w:rPr>
          <w:lang w:val="en-MY"/>
        </w:rPr>
        <w:t xml:space="preserve">. Therefore, the volatility of </w:t>
      </w:r>
      <w:proofErr w:type="spellStart"/>
      <w:r w:rsidRPr="0097203D">
        <w:rPr>
          <w:lang w:val="en-MY"/>
        </w:rPr>
        <w:t>nisab</w:t>
      </w:r>
      <w:proofErr w:type="spellEnd"/>
      <w:r w:rsidRPr="0097203D">
        <w:rPr>
          <w:lang w:val="en-MY"/>
        </w:rPr>
        <w:t xml:space="preserve"> can indirectly </w:t>
      </w:r>
      <w:r w:rsidR="00C26C88">
        <w:rPr>
          <w:lang w:val="en-MY"/>
        </w:rPr>
        <w:t xml:space="preserve">affect </w:t>
      </w:r>
      <w:r w:rsidR="00AB4E02">
        <w:rPr>
          <w:lang w:val="en-MY"/>
        </w:rPr>
        <w:t>zakat institutions</w:t>
      </w:r>
      <w:r w:rsidR="00A33D64">
        <w:rPr>
          <w:lang w:val="en-MY"/>
        </w:rPr>
        <w:t>’</w:t>
      </w:r>
      <w:r w:rsidR="00AB4E02">
        <w:rPr>
          <w:lang w:val="en-MY"/>
        </w:rPr>
        <w:t xml:space="preserve"> planning capacity</w:t>
      </w:r>
      <w:r w:rsidRPr="0097203D">
        <w:rPr>
          <w:lang w:val="en-MY"/>
        </w:rPr>
        <w:t>.</w:t>
      </w:r>
    </w:p>
    <w:p w:rsidR="007B7E58" w:rsidRPr="0097203D" w:rsidRDefault="007B7E58" w:rsidP="009E1448">
      <w:pPr>
        <w:spacing w:line="240" w:lineRule="auto"/>
        <w:ind w:firstLine="720"/>
        <w:jc w:val="both"/>
        <w:rPr>
          <w:lang w:val="en-MY"/>
        </w:rPr>
      </w:pPr>
      <w:r w:rsidRPr="0097203D">
        <w:rPr>
          <w:lang w:val="en-MY"/>
        </w:rPr>
        <w:t xml:space="preserve">The fourth implication </w:t>
      </w:r>
      <w:r w:rsidR="00C26C88">
        <w:rPr>
          <w:lang w:val="en-MY"/>
        </w:rPr>
        <w:t>concerns</w:t>
      </w:r>
      <w:r w:rsidRPr="0097203D">
        <w:rPr>
          <w:lang w:val="en-MY"/>
        </w:rPr>
        <w:t xml:space="preserve"> institutional trust. One </w:t>
      </w:r>
      <w:r w:rsidR="00C26C88">
        <w:rPr>
          <w:lang w:val="en-MY"/>
        </w:rPr>
        <w:t>factor influencing</w:t>
      </w:r>
      <w:r w:rsidRPr="0097203D">
        <w:rPr>
          <w:lang w:val="en-MY"/>
        </w:rPr>
        <w:t xml:space="preserve"> compliance with zakat is trust. </w:t>
      </w:r>
      <w:r w:rsidR="00C26C88">
        <w:rPr>
          <w:lang w:val="en-MY"/>
        </w:rPr>
        <w:t xml:space="preserve">Some researchers </w:t>
      </w:r>
      <w:r w:rsidRPr="0097203D">
        <w:rPr>
          <w:lang w:val="en-MY"/>
        </w:rPr>
        <w:t>have identified that antecedents of zakat payers</w:t>
      </w:r>
      <w:r w:rsidR="00A33D64">
        <w:rPr>
          <w:lang w:val="en-MY"/>
        </w:rPr>
        <w:t>’</w:t>
      </w:r>
      <w:r w:rsidRPr="0097203D">
        <w:rPr>
          <w:lang w:val="en-MY"/>
        </w:rPr>
        <w:t xml:space="preserve"> trust are important in emerging zakat sectors </w:t>
      </w:r>
      <w:r w:rsidRPr="0097203D">
        <w:rPr>
          <w:lang w:val="en-MY"/>
        </w:rPr>
        <w:fldChar w:fldCharType="begin"/>
      </w:r>
      <w:r w:rsidR="00585725">
        <w:rPr>
          <w:lang w:val="en-MY"/>
        </w:rPr>
        <w:instrText xml:space="preserve"> ADDIN ZOTERO_ITEM CSL_CITATION {"citationID":"kPIIeCe7","properties":{"unsorted":false,"formattedCitation":"(Mustafa et al., 2013)","plainCitation":"(Mustafa et al., 2013)","noteIndex":0},"citationItems":[{"id":3561,"uris":["http://zotero.org/users/17067337/items/BD4Y7EMP"],"itemData":{"id":3561,"type":"article-journal","abstract":"Purpose - The purpose of this paper is to investigate and explain the factors underlying the inclination ofzakatpayers to trust a particularzakatinstitution. Design/methodology/approach - Based on the literature review and experience survey, a context specific questionnaire was developed as the main method of quantitative data collection. The instrument was administered to a sample of Muslim professionals who observe religious seclusion in the last ten days of the Islamic fasting month (itqaf) in 12 purposely selected mosques across four states and the federal capital territory. Findings - Drawn from the resource dependence and legitimacy theories, the study finds that board capital, disclosure practices, governmental model ofzakatinstitution, and stakeholder management were identified through the use of structural equation modeling as being the antecedents ofzakatpayers' trust. Originality/value - This paper is the first to report an empirically based model ofzakatpayers' trust.","container-title":"Journal of Islamic Accounting and Business Research","issue":"1","language":"en","page":"4-25","publisher":"Emerald Group Publishing Limited","source":"ideas.repec.org","title":"Antecedents of Zakat Payers' Trust in An Emerging Zakat Sector: An Exploratory Study","volume":"4","author":[{"family":"Mustafa","given":"Murtala Oladimeji Abioye"},{"family":"Mohamad","given":"Muslim Har Sani"},{"family":"Adnan","given":"Muhammad Akhyar"}],"issued":{"date-parts":[["2013"]]}}}],"schema":"https://github.com/citation-style-language/schema/raw/master/csl-citation.json"} </w:instrText>
      </w:r>
      <w:r w:rsidRPr="0097203D">
        <w:rPr>
          <w:lang w:val="en-MY"/>
        </w:rPr>
        <w:fldChar w:fldCharType="separate"/>
      </w:r>
      <w:r w:rsidRPr="0097203D">
        <w:rPr>
          <w:rFonts w:cs="Times New Roman"/>
          <w:lang w:val="en-MY"/>
        </w:rPr>
        <w:t>(Mustafa et al., 2013)</w:t>
      </w:r>
      <w:r w:rsidRPr="0097203D">
        <w:rPr>
          <w:lang w:val="en-MY"/>
        </w:rPr>
        <w:fldChar w:fldCharType="end"/>
      </w:r>
      <w:r w:rsidRPr="0097203D">
        <w:rPr>
          <w:lang w:val="en-MY"/>
        </w:rPr>
        <w:t>. Wahab</w:t>
      </w:r>
      <w:r w:rsidR="00C26C88">
        <w:rPr>
          <w:lang w:val="en-MY"/>
        </w:rPr>
        <w:t xml:space="preserve"> et al. (2017) </w:t>
      </w:r>
      <w:r w:rsidRPr="0097203D">
        <w:rPr>
          <w:lang w:val="en-MY"/>
        </w:rPr>
        <w:t xml:space="preserve">have </w:t>
      </w:r>
      <w:r w:rsidR="00C26C88">
        <w:rPr>
          <w:lang w:val="en-MY"/>
        </w:rPr>
        <w:t xml:space="preserve">highlighted the importance of service quality, while other governance studies have linked good governance with institutional performance </w:t>
      </w:r>
      <w:r w:rsidRPr="0097203D">
        <w:rPr>
          <w:lang w:val="en-MY"/>
        </w:rPr>
        <w:t xml:space="preserve">and </w:t>
      </w:r>
      <w:r w:rsidR="00C26C88">
        <w:rPr>
          <w:lang w:val="en-MY"/>
        </w:rPr>
        <w:t xml:space="preserve">fraud prevention </w:t>
      </w:r>
      <w:r w:rsidRPr="0097203D">
        <w:rPr>
          <w:lang w:val="en-MY"/>
        </w:rPr>
        <w:fldChar w:fldCharType="begin"/>
      </w:r>
      <w:r w:rsidR="00585725">
        <w:rPr>
          <w:lang w:val="en-MY"/>
        </w:rPr>
        <w:instrText xml:space="preserve"> ADDIN ZOTERO_ITEM CSL_CITATION {"citationID":"M0M7Vvsi","properties":{"unsorted":false,"formattedCitation":"(Senawi et al., 2018; Wahab et al., 2016)","plainCitation":"(Senawi et al., 2018; Wahab et al., 2016)","noteIndex":0},"citationItems":[{"id":3570,"uris":["http://zotero.org/users/17067337/items/8KHUJ843"],"itemData":{"id":3570,"type":"article-journal","abstract":"Zakāt collection determines zakāt distribution. A huge zakāt collection benefits zakāt recipients. Undeniably, some macroeconomic factors can post a challenge to the zakat collection. It was critical when the gold price (utilized as a niṣāb benchmark in Malaysia) negatively influenced the collection of zakāt. This study looked into the effects of macroeconomic variables, particularly inflation, exchange rate, gross domestic product per capita and gold price. By adopting the VAR/VEC model, this study relied on a quarterly time series approach from 1993 until 2015. A long-term equilibrium relationship and the Granger causality result highlighted that zakāt collection responded effectively to the macroeconomic factors, especially the gold price. The finding also stressed that the gold price had a unique feature in the zakāt collection that reduced poverty distribution. This study can benefit zakāt institutions to implement necessary measures in order to address the issues of zakat collection","container-title":"European Proceedings of Social and Behavioural Sciences","DOI":"10.15405/epsbs.2018.05.49","ISSN":"2357-1330","language":"en","page":"607-614","publisher":"Future Academy","source":"www.europeanproceedings.com","title":"Zakāt Collection and The Effects Of The Macroeconomic Factors: Malaysia Evidence","volume":"Technology &amp; Society: A Multidisciplinary Pathway for Sustainable Development","author":[{"family":"Senawi","given":"Azhan Rashid"},{"family":"Isa","given":"Muhammad Pisol Mat"},{"family":"Harun","given":"Azhar"}],"issued":{"date-parts":[["2018",1,5]]}}},{"id":3563,"uris":["http://zotero.org/users/17067337/items/F8RYFPH8"],"itemData":{"id":3563,"type":"article-journal","abstract":"The aim of this paper is to examine service quality of zakat institutions in Malaysia using an enhanced model appropriate for zakat institution. We use a new and enhanced model (combination of SERVQUAL and CARTER) to examine the extent of service quality of zakat institutions from the perspective of zakat stakeholders. Data were collected from 799 respondents including both zakat payers and zakat recipients. The paper utilizes the Structural Equation Modelling (SEM) in examining the extent of service quality given by zakat institution and further develops Service Quality Index (SQI) for both Zakat Payers and Zakat Recipients using a Customer Satisfaction Index. The results reveal that Responsiveness &amp;amp; Compliance was found to be the strongest indicator to influence satisfaction of the zakat payers while Reliability was found to be the strongest indicator to influence satisfaction of the zakat recipients. The SQI for zakat payers and zakat recipients of Malaysian zakat institutions are 76.3 and 76.4 respectively. This study is one of the first to examine the service quality of zakat institutions using an extended SERVQUAL and CARTER models with both zakat payers and zakat recipients as respondents. The model is not only relevant and applicable to Malaysia but also to other Muslim countries.Keywords: SERVQUAL, Service quality, Structural Equation Modelling (SEM), Zakat institution, Service Quality Index (SQI)JEL Classification: D63","container-title":"International Journal of Economics and Financial Issues","ISSN":"2146-4138","issue":"7S","language":"en","license":"Copyright (c) 2016 International Journal of Economics and Financial Issues","page":"249-258","source":"econjournals.com","title":"Developing Service Quality Index for Zakat Institutions","volume":"6","author":[{"family":"Wahab","given":"Norazlina Abd"},{"family":"Zainol","given":"Zairy"},{"family":"Bakar","given":"Mahyuddin Abu"},{"family":"Ibrahim","given":"Ahmad Zubir"},{"family":"Minhaj","given":"Norida"}],"issued":{"date-parts":[["2016",11,20]]}}}],"schema":"https://github.com/citation-style-language/schema/raw/master/csl-citation.json"} </w:instrText>
      </w:r>
      <w:r w:rsidRPr="0097203D">
        <w:rPr>
          <w:lang w:val="en-MY"/>
        </w:rPr>
        <w:fldChar w:fldCharType="separate"/>
      </w:r>
      <w:r w:rsidRPr="0097203D">
        <w:rPr>
          <w:rFonts w:cs="Times New Roman"/>
          <w:lang w:val="en-MY"/>
        </w:rPr>
        <w:t>(Senawi et al., 2018; Wahab et al., 2016)</w:t>
      </w:r>
      <w:r w:rsidRPr="0097203D">
        <w:rPr>
          <w:lang w:val="en-MY"/>
        </w:rPr>
        <w:fldChar w:fldCharType="end"/>
      </w:r>
      <w:r w:rsidRPr="0097203D">
        <w:rPr>
          <w:lang w:val="en-MY"/>
        </w:rPr>
        <w:t xml:space="preserve">. When </w:t>
      </w:r>
      <w:proofErr w:type="spellStart"/>
      <w:r w:rsidRPr="0097203D">
        <w:rPr>
          <w:lang w:val="en-MY"/>
        </w:rPr>
        <w:t>nisab</w:t>
      </w:r>
      <w:proofErr w:type="spellEnd"/>
      <w:r w:rsidRPr="0097203D">
        <w:rPr>
          <w:lang w:val="en-MY"/>
        </w:rPr>
        <w:t xml:space="preserve"> values are </w:t>
      </w:r>
      <w:r w:rsidR="00C26C88">
        <w:rPr>
          <w:lang w:val="en-MY"/>
        </w:rPr>
        <w:t xml:space="preserve">inconsistent or poorly explained, this can lead to a </w:t>
      </w:r>
      <w:r w:rsidRPr="0097203D">
        <w:rPr>
          <w:lang w:val="en-MY"/>
        </w:rPr>
        <w:t>loss of trust despite a legally sound calculation.</w:t>
      </w:r>
    </w:p>
    <w:p w:rsidR="007B7E58" w:rsidRPr="0097203D" w:rsidRDefault="007B7E58" w:rsidP="009E1448">
      <w:pPr>
        <w:spacing w:line="240" w:lineRule="auto"/>
        <w:ind w:firstLine="720"/>
        <w:jc w:val="both"/>
        <w:rPr>
          <w:lang w:val="en-MY"/>
        </w:rPr>
      </w:pPr>
      <w:r w:rsidRPr="0097203D">
        <w:rPr>
          <w:lang w:val="en-MY"/>
        </w:rPr>
        <w:t xml:space="preserve">The fifth implication </w:t>
      </w:r>
      <w:r w:rsidR="00C26C88">
        <w:rPr>
          <w:lang w:val="en-MY"/>
        </w:rPr>
        <w:t>concerns</w:t>
      </w:r>
      <w:r w:rsidRPr="0097203D">
        <w:rPr>
          <w:lang w:val="en-MY"/>
        </w:rPr>
        <w:t xml:space="preserve"> standardisation and pluralism. In the sphere of administrative practice, as long as it is legitimate and </w:t>
      </w:r>
      <w:r w:rsidR="00C26C88">
        <w:rPr>
          <w:lang w:val="en-MY"/>
        </w:rPr>
        <w:t>carried out with diversity, there can be differences in extent</w:t>
      </w:r>
      <w:r w:rsidR="00AB4E02">
        <w:rPr>
          <w:lang w:val="en-MY"/>
        </w:rPr>
        <w:t>. However, there</w:t>
      </w:r>
      <w:r w:rsidR="00C26C88">
        <w:rPr>
          <w:lang w:val="en-MY"/>
        </w:rPr>
        <w:t xml:space="preserve"> must be some standardisation within</w:t>
      </w:r>
      <w:r w:rsidRPr="0097203D">
        <w:rPr>
          <w:lang w:val="en-MY"/>
        </w:rPr>
        <w:t xml:space="preserve"> public institutions to prevent confusion. The general effort to standardise the application of zakat in modern Islamic finance, including AAOIFI Shariah Standard No. 35, must be sufficiently flexible to accommodate local market conditions, institutional mandates and national currency conditions</w:t>
      </w:r>
      <w:r w:rsidR="00C26C88">
        <w:rPr>
          <w:lang w:val="en-MY"/>
        </w:rPr>
        <w:t xml:space="preserve"> </w:t>
      </w:r>
      <w:r w:rsidR="00C26C88">
        <w:rPr>
          <w:lang w:val="en-MY"/>
        </w:rPr>
        <w:fldChar w:fldCharType="begin"/>
      </w:r>
      <w:r w:rsidR="00C26C88">
        <w:rPr>
          <w:lang w:val="en-MY"/>
        </w:rPr>
        <w:instrText xml:space="preserve"> ADDIN ZOTERO_ITEM CSL_CITATION {"citationID":"kpIyFW5E","properties":{"unsorted":false,"formattedCitation":"(Accounting and Auditing Organization for Islamic Financial Institutions, n.d.)","plainCitation":"(Accounting and Auditing Organization for Islamic Financial Institutions, n.d.)","noteIndex":0},"citationItems":[{"id":3543,"uris":["http://zotero.org/users/17067337/items/B28PBL6T"],"itemData":{"id":3543,"type":"standard","language":"en-US","number":"Shari’ah Standard No. 35","publisher":"AAOFI","title":"Zakah","URL":"https://aaoifi.com/ss-35-zakah/?lang=en","author":[{"family":"Accounting and Auditing Organization for Islamic Financial Institutions","given":""}],"accessed":{"date-parts":[["2026",6,3]]}}}],"schema":"https://github.com/citation-style-language/schema/raw/master/csl-citation.json"} </w:instrText>
      </w:r>
      <w:r w:rsidR="00C26C88">
        <w:rPr>
          <w:lang w:val="en-MY"/>
        </w:rPr>
        <w:fldChar w:fldCharType="separate"/>
      </w:r>
      <w:r w:rsidR="00C26C88" w:rsidRPr="00C26C88">
        <w:rPr>
          <w:rFonts w:cs="Times New Roman"/>
        </w:rPr>
        <w:t>(Accounting and Auditing Organization for Islamic Financial Institutions, n.d.)</w:t>
      </w:r>
      <w:r w:rsidR="00C26C88">
        <w:rPr>
          <w:lang w:val="en-MY"/>
        </w:rPr>
        <w:fldChar w:fldCharType="end"/>
      </w:r>
      <w:r w:rsidRPr="0097203D">
        <w:rPr>
          <w:lang w:val="en-MY"/>
        </w:rPr>
        <w:t>.</w:t>
      </w:r>
    </w:p>
    <w:p w:rsidR="005710BE" w:rsidRPr="00C26C88" w:rsidRDefault="00DC7EAF" w:rsidP="00500528">
      <w:pPr>
        <w:pStyle w:val="Heading2"/>
        <w:rPr>
          <w:lang w:val="en-MY"/>
        </w:rPr>
      </w:pPr>
      <w:r w:rsidRPr="00C26C88">
        <w:rPr>
          <w:lang w:val="en-MY"/>
        </w:rPr>
        <w:t xml:space="preserve">7. Islamic Governance Framework for Gold-Based </w:t>
      </w:r>
      <w:proofErr w:type="spellStart"/>
      <w:r w:rsidRPr="00C26C88">
        <w:rPr>
          <w:lang w:val="en-MY"/>
        </w:rPr>
        <w:t>Nisab</w:t>
      </w:r>
      <w:proofErr w:type="spellEnd"/>
    </w:p>
    <w:p w:rsidR="00777323" w:rsidRPr="0097203D" w:rsidRDefault="00777323" w:rsidP="009E1448">
      <w:pPr>
        <w:spacing w:line="240" w:lineRule="auto"/>
        <w:jc w:val="both"/>
        <w:rPr>
          <w:lang w:val="en-MY"/>
        </w:rPr>
      </w:pPr>
      <w:r w:rsidRPr="0097203D">
        <w:rPr>
          <w:lang w:val="en-MY"/>
        </w:rPr>
        <w:t xml:space="preserve">The distinction between </w:t>
      </w:r>
      <w:r w:rsidR="00C26C88">
        <w:rPr>
          <w:lang w:val="en-MY"/>
        </w:rPr>
        <w:t>Shariah constants and administrative variables marks the beginning of an Islamic framework for</w:t>
      </w:r>
      <w:r w:rsidRPr="0097203D">
        <w:rPr>
          <w:lang w:val="en-MY"/>
        </w:rPr>
        <w:t xml:space="preserve"> </w:t>
      </w:r>
      <w:r w:rsidR="00AB4E02">
        <w:rPr>
          <w:lang w:val="en-MY"/>
        </w:rPr>
        <w:t>collecting zakat on gold-based wealth</w:t>
      </w:r>
      <w:r w:rsidRPr="0097203D">
        <w:rPr>
          <w:lang w:val="en-MY"/>
        </w:rPr>
        <w:t xml:space="preserve">. The </w:t>
      </w:r>
      <w:proofErr w:type="spellStart"/>
      <w:r w:rsidRPr="0097203D">
        <w:rPr>
          <w:lang w:val="en-MY"/>
        </w:rPr>
        <w:t>nisab</w:t>
      </w:r>
      <w:proofErr w:type="spellEnd"/>
      <w:r w:rsidRPr="0097203D">
        <w:rPr>
          <w:lang w:val="en-MY"/>
        </w:rPr>
        <w:t xml:space="preserve"> value is determined </w:t>
      </w:r>
      <w:r w:rsidR="00E414D8">
        <w:rPr>
          <w:lang w:val="en-MY"/>
        </w:rPr>
        <w:t>by</w:t>
      </w:r>
      <w:r w:rsidRPr="0097203D">
        <w:rPr>
          <w:lang w:val="en-MY"/>
        </w:rPr>
        <w:t xml:space="preserve"> weight and is considered a Shariah constant. Administrative variables include the price source, averaging period, review frequency, purity assumption and mode of communication. Mixing these up can </w:t>
      </w:r>
      <w:r w:rsidR="00AB4E02">
        <w:rPr>
          <w:lang w:val="en-MY"/>
        </w:rPr>
        <w:t xml:space="preserve">lead to rigidity in governance and excessive slack in </w:t>
      </w:r>
      <w:r w:rsidRPr="0097203D">
        <w:rPr>
          <w:lang w:val="en-MY"/>
        </w:rPr>
        <w:t>legal fidelity.</w:t>
      </w:r>
    </w:p>
    <w:p w:rsidR="00777323" w:rsidRDefault="00777323" w:rsidP="009E1448">
      <w:pPr>
        <w:spacing w:line="240" w:lineRule="auto"/>
        <w:ind w:firstLine="720"/>
        <w:rPr>
          <w:lang w:val="en-MY"/>
        </w:rPr>
      </w:pPr>
      <w:r w:rsidRPr="0097203D">
        <w:rPr>
          <w:lang w:val="en-MY"/>
        </w:rPr>
        <w:lastRenderedPageBreak/>
        <w:t>In this article, a six-dimensional governance is proposed.</w:t>
      </w:r>
      <w:r w:rsidR="00B43584">
        <w:rPr>
          <w:lang w:val="en-MY"/>
        </w:rPr>
        <w:t xml:space="preserve"> The summary of the proposal is tabulated in Table 1.2:</w:t>
      </w:r>
    </w:p>
    <w:p w:rsidR="00B43584" w:rsidRPr="0097203D" w:rsidRDefault="00B43584" w:rsidP="009E1448">
      <w:pPr>
        <w:spacing w:line="240" w:lineRule="auto"/>
        <w:jc w:val="center"/>
        <w:rPr>
          <w:lang w:val="en-MY"/>
        </w:rPr>
      </w:pPr>
      <w:r>
        <w:rPr>
          <w:lang w:val="en-MY"/>
        </w:rPr>
        <w:t xml:space="preserve">Table 1.2: </w:t>
      </w:r>
      <w:r w:rsidRPr="00B43584">
        <w:rPr>
          <w:lang w:val="en-MY"/>
        </w:rPr>
        <w:t xml:space="preserve">Governance Framework for Gold-Based </w:t>
      </w:r>
      <w:proofErr w:type="spellStart"/>
      <w:r w:rsidRPr="00B43584">
        <w:rPr>
          <w:lang w:val="en-MY"/>
        </w:rPr>
        <w:t>Nisab</w:t>
      </w:r>
      <w:proofErr w:type="spellEnd"/>
      <w:r w:rsidRPr="00B43584">
        <w:rPr>
          <w:lang w:val="en-MY"/>
        </w:rPr>
        <w:t xml:space="preserve"> Determination</w:t>
      </w:r>
    </w:p>
    <w:tbl>
      <w:tblPr>
        <w:tblStyle w:val="TableGrid"/>
        <w:tblW w:w="0" w:type="auto"/>
        <w:jc w:val="center"/>
        <w:tblLook w:val="04A0" w:firstRow="1" w:lastRow="0" w:firstColumn="1" w:lastColumn="0" w:noHBand="0" w:noVBand="1"/>
      </w:tblPr>
      <w:tblGrid>
        <w:gridCol w:w="2552"/>
        <w:gridCol w:w="2693"/>
        <w:gridCol w:w="4115"/>
      </w:tblGrid>
      <w:tr w:rsidR="00DC7EAF" w:rsidRPr="0097203D" w:rsidTr="00B43584">
        <w:trPr>
          <w:trHeight w:val="567"/>
          <w:jc w:val="center"/>
        </w:trPr>
        <w:tc>
          <w:tcPr>
            <w:tcW w:w="2552"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Governance Dimension</w:t>
            </w:r>
          </w:p>
        </w:tc>
        <w:tc>
          <w:tcPr>
            <w:tcW w:w="2693"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Guiding Principle</w:t>
            </w:r>
          </w:p>
        </w:tc>
        <w:tc>
          <w:tcPr>
            <w:tcW w:w="4115" w:type="dxa"/>
            <w:shd w:val="clear" w:color="auto" w:fill="D9EAF7"/>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b/>
                <w:szCs w:val="24"/>
                <w:lang w:val="en-MY"/>
              </w:rPr>
              <w:t>Practical Requirement</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Shariah fidelity</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Preserve the juristic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of gold</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Recognise 20 dinars/approximately 85g pure gold as the core threshold</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Price-data reliability</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Use credible, auditable sources</w:t>
            </w:r>
            <w:r w:rsidR="00AB4E02">
              <w:rPr>
                <w:rFonts w:asciiTheme="majorBidi" w:hAnsiTheme="majorBidi" w:cstheme="majorBidi"/>
                <w:szCs w:val="24"/>
                <w:lang w:val="en-MY"/>
              </w:rPr>
              <w:t>.</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Adopt recognised sources such as LBMA, World Gold Council data</w:t>
            </w:r>
            <w:r w:rsidR="00B43584">
              <w:rPr>
                <w:rFonts w:asciiTheme="majorBidi" w:hAnsiTheme="majorBidi" w:cstheme="majorBidi"/>
                <w:szCs w:val="24"/>
                <w:lang w:val="en-MY"/>
              </w:rPr>
              <w:t>,</w:t>
            </w:r>
            <w:r w:rsidRPr="0097203D">
              <w:rPr>
                <w:rFonts w:asciiTheme="majorBidi" w:hAnsiTheme="majorBidi" w:cstheme="majorBidi"/>
                <w:szCs w:val="24"/>
                <w:lang w:val="en-MY"/>
              </w:rPr>
              <w:t xml:space="preserve"> or regulated domestic references</w:t>
            </w:r>
            <w:r w:rsidR="00AB4E02">
              <w:rPr>
                <w:rFonts w:asciiTheme="majorBidi" w:hAnsiTheme="majorBidi" w:cstheme="majorBidi"/>
                <w:szCs w:val="24"/>
                <w:lang w:val="en-MY"/>
              </w:rPr>
              <w:t>.</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Methodological transparency</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Make </w:t>
            </w:r>
            <w:r w:rsidR="00B43584">
              <w:rPr>
                <w:rFonts w:asciiTheme="majorBidi" w:hAnsiTheme="majorBidi" w:cstheme="majorBidi"/>
                <w:szCs w:val="24"/>
                <w:lang w:val="en-MY"/>
              </w:rPr>
              <w:t xml:space="preserve">the </w:t>
            </w:r>
            <w:r w:rsidRPr="0097203D">
              <w:rPr>
                <w:rFonts w:asciiTheme="majorBidi" w:hAnsiTheme="majorBidi" w:cstheme="majorBidi"/>
                <w:szCs w:val="24"/>
                <w:lang w:val="en-MY"/>
              </w:rPr>
              <w:t>calculation understandable</w:t>
            </w:r>
            <w:r w:rsidR="00AB4E02">
              <w:rPr>
                <w:rFonts w:asciiTheme="majorBidi" w:hAnsiTheme="majorBidi" w:cstheme="majorBidi"/>
                <w:szCs w:val="24"/>
                <w:lang w:val="en-MY"/>
              </w:rPr>
              <w:t>.</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Publish formula, purity assumption, exchange rate source and review schedule</w:t>
            </w:r>
            <w:r w:rsidR="00AB4E02">
              <w:rPr>
                <w:rFonts w:asciiTheme="majorBidi" w:hAnsiTheme="majorBidi" w:cstheme="majorBidi"/>
                <w:szCs w:val="24"/>
                <w:lang w:val="en-MY"/>
              </w:rPr>
              <w:t>.</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proofErr w:type="spellStart"/>
            <w:r w:rsidRPr="0097203D">
              <w:rPr>
                <w:rFonts w:asciiTheme="majorBidi" w:hAnsiTheme="majorBidi" w:cstheme="majorBidi"/>
                <w:szCs w:val="24"/>
                <w:lang w:val="en-MY"/>
              </w:rPr>
              <w:t>Maqasid</w:t>
            </w:r>
            <w:proofErr w:type="spellEnd"/>
            <w:r w:rsidRPr="0097203D">
              <w:rPr>
                <w:rFonts w:asciiTheme="majorBidi" w:hAnsiTheme="majorBidi" w:cstheme="majorBidi"/>
                <w:szCs w:val="24"/>
                <w:lang w:val="en-MY"/>
              </w:rPr>
              <w:t>-based fairness</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Avoid undue hardship and arbitrary inclusion</w:t>
            </w:r>
            <w:r w:rsidR="00E414D8">
              <w:rPr>
                <w:rFonts w:asciiTheme="majorBidi" w:hAnsiTheme="majorBidi" w:cstheme="majorBidi"/>
                <w:szCs w:val="24"/>
                <w:lang w:val="en-MY"/>
              </w:rPr>
              <w:t xml:space="preserve"> or </w:t>
            </w:r>
            <w:r w:rsidRPr="0097203D">
              <w:rPr>
                <w:rFonts w:asciiTheme="majorBidi" w:hAnsiTheme="majorBidi" w:cstheme="majorBidi"/>
                <w:szCs w:val="24"/>
                <w:lang w:val="en-MY"/>
              </w:rPr>
              <w:t>exclusion</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Consider averaging mechanisms and socioeconomic effects</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Institutional accountability</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Ensure review and audit</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Subject to Shariah committee and governance board approval</w:t>
            </w:r>
          </w:p>
        </w:tc>
      </w:tr>
      <w:tr w:rsidR="00DC7EAF" w:rsidRPr="0097203D" w:rsidTr="00B43584">
        <w:trPr>
          <w:trHeight w:val="567"/>
          <w:jc w:val="center"/>
        </w:trPr>
        <w:tc>
          <w:tcPr>
            <w:tcW w:w="2552"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Public communication</w:t>
            </w:r>
          </w:p>
        </w:tc>
        <w:tc>
          <w:tcPr>
            <w:tcW w:w="2693"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Strengthen trust and compliance</w:t>
            </w:r>
          </w:p>
        </w:tc>
        <w:tc>
          <w:tcPr>
            <w:tcW w:w="4115" w:type="dxa"/>
            <w:vAlign w:val="center"/>
          </w:tcPr>
          <w:p w:rsidR="005710BE" w:rsidRPr="0097203D" w:rsidRDefault="00DC7EAF" w:rsidP="009E1448">
            <w:pPr>
              <w:rPr>
                <w:rFonts w:asciiTheme="majorBidi" w:hAnsiTheme="majorBidi" w:cstheme="majorBidi"/>
                <w:szCs w:val="24"/>
                <w:lang w:val="en-MY"/>
              </w:rPr>
            </w:pPr>
            <w:r w:rsidRPr="0097203D">
              <w:rPr>
                <w:rFonts w:asciiTheme="majorBidi" w:hAnsiTheme="majorBidi" w:cstheme="majorBidi"/>
                <w:szCs w:val="24"/>
                <w:lang w:val="en-MY"/>
              </w:rPr>
              <w:t xml:space="preserve">Explain why </w:t>
            </w:r>
            <w:proofErr w:type="spellStart"/>
            <w:r w:rsidRPr="0097203D">
              <w:rPr>
                <w:rFonts w:asciiTheme="majorBidi" w:hAnsiTheme="majorBidi" w:cstheme="majorBidi"/>
                <w:szCs w:val="24"/>
                <w:lang w:val="en-MY"/>
              </w:rPr>
              <w:t>nisab</w:t>
            </w:r>
            <w:proofErr w:type="spellEnd"/>
            <w:r w:rsidRPr="0097203D">
              <w:rPr>
                <w:rFonts w:asciiTheme="majorBidi" w:hAnsiTheme="majorBidi" w:cstheme="majorBidi"/>
                <w:szCs w:val="24"/>
                <w:lang w:val="en-MY"/>
              </w:rPr>
              <w:t xml:space="preserve"> changes and how payers should apply it</w:t>
            </w:r>
          </w:p>
        </w:tc>
      </w:tr>
    </w:tbl>
    <w:p w:rsidR="00777323" w:rsidRDefault="00777323" w:rsidP="009E1448">
      <w:pPr>
        <w:spacing w:line="240" w:lineRule="auto"/>
        <w:jc w:val="both"/>
        <w:rPr>
          <w:rFonts w:asciiTheme="majorBidi" w:hAnsiTheme="majorBidi" w:cstheme="majorBidi"/>
          <w:szCs w:val="24"/>
          <w:lang w:val="en-MY"/>
        </w:rPr>
      </w:pPr>
    </w:p>
    <w:p w:rsidR="00B43584" w:rsidRDefault="00B43584" w:rsidP="009E1448">
      <w:pPr>
        <w:spacing w:line="240" w:lineRule="auto"/>
        <w:ind w:firstLine="720"/>
        <w:jc w:val="both"/>
        <w:rPr>
          <w:rFonts w:asciiTheme="majorBidi" w:hAnsiTheme="majorBidi" w:cstheme="majorBidi"/>
          <w:szCs w:val="24"/>
          <w:lang w:val="en-MY"/>
        </w:rPr>
      </w:pPr>
      <w:r w:rsidRPr="00B43584">
        <w:rPr>
          <w:rFonts w:asciiTheme="majorBidi" w:hAnsiTheme="majorBidi" w:cstheme="majorBidi"/>
          <w:szCs w:val="24"/>
          <w:lang w:val="en-MY"/>
        </w:rPr>
        <w:t xml:space="preserve">Table </w:t>
      </w:r>
      <w:r>
        <w:rPr>
          <w:rFonts w:asciiTheme="majorBidi" w:hAnsiTheme="majorBidi" w:cstheme="majorBidi"/>
          <w:szCs w:val="24"/>
          <w:lang w:val="en-MY"/>
        </w:rPr>
        <w:t>1.2</w:t>
      </w:r>
      <w:r w:rsidRPr="00B43584">
        <w:rPr>
          <w:rFonts w:asciiTheme="majorBidi" w:hAnsiTheme="majorBidi" w:cstheme="majorBidi"/>
          <w:szCs w:val="24"/>
          <w:lang w:val="en-MY"/>
        </w:rPr>
        <w:t xml:space="preserve"> sets out a governance mechanism for </w:t>
      </w:r>
      <w:r>
        <w:rPr>
          <w:rFonts w:asciiTheme="majorBidi" w:hAnsiTheme="majorBidi" w:cstheme="majorBidi"/>
          <w:szCs w:val="24"/>
          <w:lang w:val="en-MY"/>
        </w:rPr>
        <w:t xml:space="preserve">determining the gold-based </w:t>
      </w:r>
      <w:proofErr w:type="spellStart"/>
      <w:r>
        <w:rPr>
          <w:rFonts w:asciiTheme="majorBidi" w:hAnsiTheme="majorBidi" w:cstheme="majorBidi"/>
          <w:szCs w:val="24"/>
          <w:lang w:val="en-MY"/>
        </w:rPr>
        <w:t>nisab</w:t>
      </w:r>
      <w:proofErr w:type="spellEnd"/>
      <w:r>
        <w:rPr>
          <w:rFonts w:asciiTheme="majorBidi" w:hAnsiTheme="majorBidi" w:cstheme="majorBidi"/>
          <w:szCs w:val="24"/>
          <w:lang w:val="en-MY"/>
        </w:rPr>
        <w:t xml:space="preserve"> that is Shariah-compliant, technically accurate, institutionally accountable,</w:t>
      </w:r>
      <w:r w:rsidRPr="00B43584">
        <w:rPr>
          <w:rFonts w:asciiTheme="majorBidi" w:hAnsiTheme="majorBidi" w:cstheme="majorBidi"/>
          <w:szCs w:val="24"/>
          <w:lang w:val="en-MY"/>
        </w:rPr>
        <w:t xml:space="preserve"> and publicly trusted. The first dimension is Sharia</w:t>
      </w:r>
      <w:r>
        <w:rPr>
          <w:rFonts w:asciiTheme="majorBidi" w:hAnsiTheme="majorBidi" w:cstheme="majorBidi"/>
          <w:szCs w:val="24"/>
          <w:lang w:val="en-MY"/>
        </w:rPr>
        <w:t>h</w:t>
      </w:r>
      <w:r w:rsidRPr="00B43584">
        <w:rPr>
          <w:rFonts w:asciiTheme="majorBidi" w:hAnsiTheme="majorBidi" w:cstheme="majorBidi"/>
          <w:szCs w:val="24"/>
          <w:lang w:val="en-MY"/>
        </w:rPr>
        <w:t xml:space="preserve"> fidelity, which calls on zakat institutions to uphold the juristic basis of the </w:t>
      </w:r>
      <w:proofErr w:type="spellStart"/>
      <w:r w:rsidRPr="00B43584">
        <w:rPr>
          <w:rFonts w:asciiTheme="majorBidi" w:hAnsiTheme="majorBidi" w:cstheme="majorBidi"/>
          <w:szCs w:val="24"/>
          <w:lang w:val="en-MY"/>
        </w:rPr>
        <w:t>nisab</w:t>
      </w:r>
      <w:proofErr w:type="spellEnd"/>
      <w:r w:rsidRPr="00B43584">
        <w:rPr>
          <w:rFonts w:asciiTheme="majorBidi" w:hAnsiTheme="majorBidi" w:cstheme="majorBidi"/>
          <w:szCs w:val="24"/>
          <w:lang w:val="en-MY"/>
        </w:rPr>
        <w:t xml:space="preserve"> in its essence</w:t>
      </w:r>
      <w:r>
        <w:rPr>
          <w:rFonts w:asciiTheme="majorBidi" w:hAnsiTheme="majorBidi" w:cstheme="majorBidi"/>
          <w:szCs w:val="24"/>
          <w:lang w:val="en-MY"/>
        </w:rPr>
        <w:t xml:space="preserve"> by accepting 20 dinars, equivalent to</w:t>
      </w:r>
      <w:r w:rsidRPr="00B43584">
        <w:rPr>
          <w:rFonts w:asciiTheme="majorBidi" w:hAnsiTheme="majorBidi" w:cstheme="majorBidi"/>
          <w:szCs w:val="24"/>
          <w:lang w:val="en-MY"/>
        </w:rPr>
        <w:t xml:space="preserve"> about 85 grams of pure gold. </w:t>
      </w:r>
      <w:r w:rsidR="00AB4E02">
        <w:rPr>
          <w:rFonts w:asciiTheme="majorBidi" w:hAnsiTheme="majorBidi" w:cstheme="majorBidi"/>
          <w:szCs w:val="24"/>
          <w:lang w:val="en-MY"/>
        </w:rPr>
        <w:t>Nevertheless</w:t>
      </w:r>
      <w:r w:rsidRPr="00B43584">
        <w:rPr>
          <w:rFonts w:asciiTheme="majorBidi" w:hAnsiTheme="majorBidi" w:cstheme="majorBidi"/>
          <w:szCs w:val="24"/>
          <w:lang w:val="en-MY"/>
        </w:rPr>
        <w:t xml:space="preserve">, as the </w:t>
      </w:r>
      <w:proofErr w:type="spellStart"/>
      <w:r w:rsidRPr="00B43584">
        <w:rPr>
          <w:rFonts w:asciiTheme="majorBidi" w:hAnsiTheme="majorBidi" w:cstheme="majorBidi"/>
          <w:szCs w:val="24"/>
          <w:lang w:val="en-MY"/>
        </w:rPr>
        <w:t>nisab</w:t>
      </w:r>
      <w:proofErr w:type="spellEnd"/>
      <w:r w:rsidRPr="00B43584">
        <w:rPr>
          <w:rFonts w:asciiTheme="majorBidi" w:hAnsiTheme="majorBidi" w:cstheme="majorBidi"/>
          <w:szCs w:val="24"/>
          <w:lang w:val="en-MY"/>
        </w:rPr>
        <w:t xml:space="preserve"> is usually communicated in terms of money, there is a need for careful management of the exchange process from gold to money. This </w:t>
      </w:r>
      <w:r>
        <w:rPr>
          <w:rFonts w:asciiTheme="majorBidi" w:hAnsiTheme="majorBidi" w:cstheme="majorBidi"/>
          <w:szCs w:val="24"/>
          <w:lang w:val="en-MY"/>
        </w:rPr>
        <w:t xml:space="preserve">underscores the importance of the </w:t>
      </w:r>
      <w:r w:rsidR="0006753B">
        <w:rPr>
          <w:rFonts w:asciiTheme="majorBidi" w:hAnsiTheme="majorBidi" w:cstheme="majorBidi"/>
          <w:szCs w:val="24"/>
          <w:lang w:val="en-MY"/>
        </w:rPr>
        <w:t>reliability of the price data</w:t>
      </w:r>
      <w:r w:rsidRPr="00B43584">
        <w:rPr>
          <w:rFonts w:asciiTheme="majorBidi" w:hAnsiTheme="majorBidi" w:cstheme="majorBidi"/>
          <w:szCs w:val="24"/>
          <w:lang w:val="en-MY"/>
        </w:rPr>
        <w:t xml:space="preserve">. Audible price sources, in general, should be relied upon by </w:t>
      </w:r>
      <w:r>
        <w:rPr>
          <w:rFonts w:asciiTheme="majorBidi" w:hAnsiTheme="majorBidi" w:cstheme="majorBidi"/>
          <w:szCs w:val="24"/>
          <w:lang w:val="en-MY"/>
        </w:rPr>
        <w:t xml:space="preserve">zakat institutions, whether from the LBMA or the World Gold Council, or from a </w:t>
      </w:r>
      <w:r w:rsidR="002607AF">
        <w:rPr>
          <w:rFonts w:asciiTheme="majorBidi" w:hAnsiTheme="majorBidi" w:cstheme="majorBidi"/>
          <w:szCs w:val="24"/>
          <w:lang w:val="en-MY"/>
        </w:rPr>
        <w:t>domestically regulated reference</w:t>
      </w:r>
      <w:r>
        <w:rPr>
          <w:rFonts w:asciiTheme="majorBidi" w:hAnsiTheme="majorBidi" w:cstheme="majorBidi"/>
          <w:szCs w:val="24"/>
          <w:lang w:val="en-MY"/>
        </w:rPr>
        <w:t>, to prevent disparities</w:t>
      </w:r>
      <w:r w:rsidRPr="00B43584">
        <w:rPr>
          <w:rFonts w:asciiTheme="majorBidi" w:hAnsiTheme="majorBidi" w:cstheme="majorBidi"/>
          <w:szCs w:val="24"/>
          <w:lang w:val="en-MY"/>
        </w:rPr>
        <w:t xml:space="preserve"> in calculating the </w:t>
      </w:r>
      <w:proofErr w:type="spellStart"/>
      <w:r w:rsidRPr="00B43584">
        <w:rPr>
          <w:rFonts w:asciiTheme="majorBidi" w:hAnsiTheme="majorBidi" w:cstheme="majorBidi"/>
          <w:szCs w:val="24"/>
          <w:lang w:val="en-MY"/>
        </w:rPr>
        <w:t>Nisab</w:t>
      </w:r>
      <w:proofErr w:type="spellEnd"/>
      <w:r w:rsidRPr="00B43584">
        <w:rPr>
          <w:rFonts w:asciiTheme="majorBidi" w:hAnsiTheme="majorBidi" w:cstheme="majorBidi"/>
          <w:szCs w:val="24"/>
          <w:lang w:val="en-MY"/>
        </w:rPr>
        <w:t xml:space="preserve"> amount.</w:t>
      </w:r>
    </w:p>
    <w:p w:rsidR="00B16B41" w:rsidRPr="006C5A87" w:rsidRDefault="00D12ACC" w:rsidP="00B16B41">
      <w:pPr>
        <w:spacing w:line="240" w:lineRule="auto"/>
        <w:ind w:firstLine="720"/>
        <w:jc w:val="both"/>
        <w:rPr>
          <w:rFonts w:asciiTheme="majorBidi" w:hAnsiTheme="majorBidi" w:cstheme="majorBidi"/>
          <w:szCs w:val="24"/>
          <w:lang w:val="en-MY"/>
        </w:rPr>
      </w:pPr>
      <w:r>
        <w:rPr>
          <w:rFonts w:asciiTheme="majorBidi" w:hAnsiTheme="majorBidi" w:cstheme="majorBidi"/>
          <w:szCs w:val="24"/>
          <w:lang w:val="en-MY"/>
        </w:rPr>
        <w:t>Methodological</w:t>
      </w:r>
      <w:r w:rsidR="00B16B41" w:rsidRPr="006C5A87">
        <w:rPr>
          <w:rFonts w:asciiTheme="majorBidi" w:hAnsiTheme="majorBidi" w:cstheme="majorBidi"/>
          <w:szCs w:val="24"/>
          <w:lang w:val="en-MY"/>
        </w:rPr>
        <w:t xml:space="preserve"> transparency is also a governance requirement, as the table illustrates. </w:t>
      </w:r>
      <w:r w:rsidR="00FD78F4">
        <w:rPr>
          <w:rFonts w:asciiTheme="majorBidi" w:hAnsiTheme="majorBidi" w:cstheme="majorBidi"/>
          <w:szCs w:val="24"/>
          <w:lang w:val="en-MY"/>
        </w:rPr>
        <w:t xml:space="preserve">To help the public understand the calculation of the </w:t>
      </w:r>
      <w:proofErr w:type="spellStart"/>
      <w:r w:rsidR="00FD78F4">
        <w:rPr>
          <w:rFonts w:asciiTheme="majorBidi" w:hAnsiTheme="majorBidi" w:cstheme="majorBidi"/>
          <w:szCs w:val="24"/>
          <w:lang w:val="en-MY"/>
        </w:rPr>
        <w:t>nisab</w:t>
      </w:r>
      <w:proofErr w:type="spellEnd"/>
      <w:r w:rsidR="00FD78F4">
        <w:rPr>
          <w:rFonts w:asciiTheme="majorBidi" w:hAnsiTheme="majorBidi" w:cstheme="majorBidi"/>
          <w:szCs w:val="24"/>
          <w:lang w:val="en-MY"/>
        </w:rPr>
        <w:t>, institutions should explicitly state the formula used, specify the purity assumed, indicate</w:t>
      </w:r>
      <w:r w:rsidR="003D7EAE">
        <w:rPr>
          <w:rFonts w:asciiTheme="majorBidi" w:hAnsiTheme="majorBidi" w:cstheme="majorBidi"/>
          <w:szCs w:val="24"/>
          <w:lang w:val="en-MY"/>
        </w:rPr>
        <w:t xml:space="preserve"> </w:t>
      </w:r>
      <w:r w:rsidR="004B5D3E">
        <w:rPr>
          <w:rFonts w:asciiTheme="majorBidi" w:hAnsiTheme="majorBidi" w:cstheme="majorBidi"/>
          <w:szCs w:val="24"/>
          <w:lang w:val="en-MY"/>
        </w:rPr>
        <w:t>the source of the exchange rate, and specify</w:t>
      </w:r>
      <w:r w:rsidR="003D7EAE">
        <w:rPr>
          <w:rFonts w:asciiTheme="majorBidi" w:hAnsiTheme="majorBidi" w:cstheme="majorBidi"/>
          <w:szCs w:val="24"/>
          <w:lang w:val="en-MY"/>
        </w:rPr>
        <w:t xml:space="preserve"> </w:t>
      </w:r>
      <w:r w:rsidR="00B16B41" w:rsidRPr="006C5A87">
        <w:rPr>
          <w:rFonts w:asciiTheme="majorBidi" w:hAnsiTheme="majorBidi" w:cstheme="majorBidi"/>
          <w:szCs w:val="24"/>
          <w:lang w:val="en-MY"/>
        </w:rPr>
        <w:t xml:space="preserve">when the </w:t>
      </w:r>
      <w:proofErr w:type="spellStart"/>
      <w:r w:rsidR="00B16B41" w:rsidRPr="006C5A87">
        <w:rPr>
          <w:rFonts w:asciiTheme="majorBidi" w:hAnsiTheme="majorBidi" w:cstheme="majorBidi"/>
          <w:szCs w:val="24"/>
          <w:lang w:val="en-MY"/>
        </w:rPr>
        <w:t>nisab</w:t>
      </w:r>
      <w:proofErr w:type="spellEnd"/>
      <w:r w:rsidR="00B16B41" w:rsidRPr="006C5A87">
        <w:rPr>
          <w:rFonts w:asciiTheme="majorBidi" w:hAnsiTheme="majorBidi" w:cstheme="majorBidi"/>
          <w:szCs w:val="24"/>
          <w:lang w:val="en-MY"/>
        </w:rPr>
        <w:t xml:space="preserve"> needs to be reviewed. This is very significant as otherwise changes in the monetary value of </w:t>
      </w:r>
      <w:proofErr w:type="spellStart"/>
      <w:r w:rsidR="00B16B41" w:rsidRPr="006C5A87">
        <w:rPr>
          <w:rFonts w:asciiTheme="majorBidi" w:hAnsiTheme="majorBidi" w:cstheme="majorBidi"/>
          <w:szCs w:val="24"/>
          <w:lang w:val="en-MY"/>
        </w:rPr>
        <w:t>nisab</w:t>
      </w:r>
      <w:proofErr w:type="spellEnd"/>
      <w:r w:rsidR="00B16B41" w:rsidRPr="006C5A87">
        <w:rPr>
          <w:rFonts w:asciiTheme="majorBidi" w:hAnsiTheme="majorBidi" w:cstheme="majorBidi"/>
          <w:szCs w:val="24"/>
          <w:lang w:val="en-MY"/>
        </w:rPr>
        <w:t xml:space="preserve"> could be taken as arbitrary. At the same time, the aspect of fairness in the execution of zakat from the </w:t>
      </w:r>
      <w:proofErr w:type="spellStart"/>
      <w:r w:rsidR="00B16B41" w:rsidRPr="006C5A87">
        <w:rPr>
          <w:rFonts w:asciiTheme="majorBidi" w:hAnsiTheme="majorBidi" w:cstheme="majorBidi"/>
          <w:szCs w:val="24"/>
          <w:lang w:val="en-MY"/>
        </w:rPr>
        <w:t>maqasid</w:t>
      </w:r>
      <w:proofErr w:type="spellEnd"/>
      <w:r w:rsidR="00B16B41" w:rsidRPr="006C5A87">
        <w:rPr>
          <w:rFonts w:asciiTheme="majorBidi" w:hAnsiTheme="majorBidi" w:cstheme="majorBidi"/>
          <w:szCs w:val="24"/>
          <w:lang w:val="en-MY"/>
        </w:rPr>
        <w:t xml:space="preserve"> needs to be studied by the competent authorities </w:t>
      </w:r>
      <w:r>
        <w:rPr>
          <w:rFonts w:asciiTheme="majorBidi" w:hAnsiTheme="majorBidi" w:cstheme="majorBidi"/>
          <w:szCs w:val="24"/>
          <w:lang w:val="en-MY"/>
        </w:rPr>
        <w:t>responsible for its implementation, examining the extent of inclusion/exclusion and whether the implementation causes harm in pursuit of</w:t>
      </w:r>
      <w:r w:rsidR="00B16B41" w:rsidRPr="006C5A87">
        <w:rPr>
          <w:rFonts w:asciiTheme="majorBidi" w:hAnsiTheme="majorBidi" w:cstheme="majorBidi"/>
          <w:szCs w:val="24"/>
          <w:lang w:val="en-MY"/>
        </w:rPr>
        <w:t xml:space="preserve"> the </w:t>
      </w:r>
      <w:proofErr w:type="spellStart"/>
      <w:r w:rsidR="00B16B41" w:rsidRPr="006C5A87">
        <w:rPr>
          <w:rFonts w:asciiTheme="majorBidi" w:hAnsiTheme="majorBidi" w:cstheme="majorBidi"/>
          <w:szCs w:val="24"/>
          <w:lang w:val="en-MY"/>
        </w:rPr>
        <w:t>maqasid</w:t>
      </w:r>
      <w:proofErr w:type="spellEnd"/>
      <w:r w:rsidR="00B16B41" w:rsidRPr="006C5A87">
        <w:rPr>
          <w:rFonts w:asciiTheme="majorBidi" w:hAnsiTheme="majorBidi" w:cstheme="majorBidi"/>
          <w:szCs w:val="24"/>
          <w:lang w:val="en-MY"/>
        </w:rPr>
        <w:t xml:space="preserve">. </w:t>
      </w:r>
      <w:r>
        <w:rPr>
          <w:rFonts w:asciiTheme="majorBidi" w:hAnsiTheme="majorBidi" w:cstheme="majorBidi"/>
          <w:szCs w:val="24"/>
          <w:lang w:val="en-MY"/>
        </w:rPr>
        <w:t>Short-term</w:t>
      </w:r>
      <w:r w:rsidR="00B16B41" w:rsidRPr="006C5A87">
        <w:rPr>
          <w:rFonts w:asciiTheme="majorBidi" w:hAnsiTheme="majorBidi" w:cstheme="majorBidi"/>
          <w:szCs w:val="24"/>
          <w:lang w:val="en-MY"/>
        </w:rPr>
        <w:t xml:space="preserve"> market volatility can be smoothed out </w:t>
      </w:r>
      <w:r w:rsidR="003D7EAE">
        <w:rPr>
          <w:rFonts w:asciiTheme="majorBidi" w:hAnsiTheme="majorBidi" w:cstheme="majorBidi"/>
          <w:szCs w:val="24"/>
          <w:lang w:val="en-MY"/>
        </w:rPr>
        <w:t>through processes such as</w:t>
      </w:r>
      <w:r w:rsidR="00B16B41" w:rsidRPr="006C5A87">
        <w:rPr>
          <w:rFonts w:asciiTheme="majorBidi" w:hAnsiTheme="majorBidi" w:cstheme="majorBidi"/>
          <w:szCs w:val="24"/>
          <w:lang w:val="en-MY"/>
        </w:rPr>
        <w:t xml:space="preserve"> averaging. Lastly, institutions and public communication are needed to enhance legitimacy. The previous </w:t>
      </w:r>
      <w:r w:rsidR="003D7EAE">
        <w:rPr>
          <w:rFonts w:asciiTheme="majorBidi" w:hAnsiTheme="majorBidi" w:cstheme="majorBidi"/>
          <w:szCs w:val="24"/>
          <w:lang w:val="en-MY"/>
        </w:rPr>
        <w:t>approval by the Shariah committee and the Shariah governance board, as well as adequately explaining the acceptance process to the public, can help build trust, reduce the risk of misunderstandings, and increase people</w:t>
      </w:r>
      <w:r w:rsidR="00A33D64">
        <w:rPr>
          <w:rFonts w:asciiTheme="majorBidi" w:hAnsiTheme="majorBidi" w:cstheme="majorBidi"/>
          <w:szCs w:val="24"/>
          <w:lang w:val="en-MY"/>
        </w:rPr>
        <w:t>’</w:t>
      </w:r>
      <w:r w:rsidR="003D7EAE">
        <w:rPr>
          <w:rFonts w:asciiTheme="majorBidi" w:hAnsiTheme="majorBidi" w:cstheme="majorBidi"/>
          <w:szCs w:val="24"/>
          <w:lang w:val="en-MY"/>
        </w:rPr>
        <w:t xml:space="preserve">s willingness </w:t>
      </w:r>
      <w:r>
        <w:rPr>
          <w:rFonts w:asciiTheme="majorBidi" w:hAnsiTheme="majorBidi" w:cstheme="majorBidi"/>
          <w:szCs w:val="24"/>
          <w:lang w:val="en-MY"/>
        </w:rPr>
        <w:t>to</w:t>
      </w:r>
      <w:r w:rsidR="00B16B41" w:rsidRPr="006C5A87">
        <w:rPr>
          <w:rFonts w:asciiTheme="majorBidi" w:hAnsiTheme="majorBidi" w:cstheme="majorBidi"/>
          <w:szCs w:val="24"/>
          <w:lang w:val="en-MY"/>
        </w:rPr>
        <w:t xml:space="preserve"> give zakat. </w:t>
      </w:r>
    </w:p>
    <w:p w:rsidR="002607AF" w:rsidRDefault="002607AF" w:rsidP="00B16B41">
      <w:pPr>
        <w:spacing w:line="240" w:lineRule="auto"/>
        <w:ind w:firstLine="720"/>
        <w:jc w:val="both"/>
      </w:pPr>
      <w:r>
        <w:rPr>
          <w:lang w:val="en-MY"/>
        </w:rPr>
        <w:lastRenderedPageBreak/>
        <w:t xml:space="preserve">For example, </w:t>
      </w:r>
      <w:proofErr w:type="spellStart"/>
      <w:r>
        <w:rPr>
          <w:lang w:val="en-MY"/>
        </w:rPr>
        <w:t>i</w:t>
      </w:r>
      <w:proofErr w:type="spellEnd"/>
      <w:r w:rsidR="00A00546">
        <w:t xml:space="preserve">n 2024, JAWHAR recorded different state </w:t>
      </w:r>
      <w:proofErr w:type="spellStart"/>
      <w:r w:rsidR="00A00546">
        <w:t>nisab</w:t>
      </w:r>
      <w:proofErr w:type="spellEnd"/>
      <w:r w:rsidR="00A00546">
        <w:t xml:space="preserve"> rates, ranging from RM22,669.53 in Negeri Sembilan to RM26,369.91 in Perak, representing a gap of more than RM3,700 within the same year. On the same page, JAWHAR also recorded selected methodological notes, such as </w:t>
      </w:r>
      <w:r w:rsidR="00A33D64">
        <w:t>“</w:t>
      </w:r>
      <w:r w:rsidR="00A00546">
        <w:t xml:space="preserve">current </w:t>
      </w:r>
      <w:proofErr w:type="spellStart"/>
      <w:r w:rsidR="00A00546">
        <w:t>nisab</w:t>
      </w:r>
      <w:proofErr w:type="spellEnd"/>
      <w:r w:rsidR="00A00546">
        <w:t xml:space="preserve"> rate (February)</w:t>
      </w:r>
      <w:r w:rsidR="00A33D64">
        <w:t>”</w:t>
      </w:r>
      <w:r w:rsidR="00A00546">
        <w:t xml:space="preserve"> for Perak, </w:t>
      </w:r>
      <w:r w:rsidR="00A33D64">
        <w:t>“</w:t>
      </w:r>
      <w:r w:rsidR="00A00546">
        <w:t>last rate of 2023 (December)</w:t>
      </w:r>
      <w:r w:rsidR="00A33D64">
        <w:t>”</w:t>
      </w:r>
      <w:r w:rsidR="00A00546">
        <w:t xml:space="preserve"> for Pahang and Perak, and periodic review through </w:t>
      </w:r>
      <w:r w:rsidR="00A33D64">
        <w:t>“</w:t>
      </w:r>
      <w:r w:rsidR="00A00546">
        <w:t xml:space="preserve">Selangor </w:t>
      </w:r>
      <w:proofErr w:type="spellStart"/>
      <w:r w:rsidR="00A00546">
        <w:t>nisab</w:t>
      </w:r>
      <w:proofErr w:type="spellEnd"/>
      <w:r w:rsidR="00A00546">
        <w:t xml:space="preserve"> twice a year</w:t>
      </w:r>
      <w:r w:rsidR="00A33D64">
        <w:t>”</w:t>
      </w:r>
      <w:r w:rsidR="00A00546">
        <w:t xml:space="preserve"> for Selangor in the 2022 data</w:t>
      </w:r>
      <w:r>
        <w:t xml:space="preserve"> </w:t>
      </w:r>
      <w:r>
        <w:fldChar w:fldCharType="begin"/>
      </w:r>
      <w:r>
        <w:instrText xml:space="preserve"> ADDIN ZOTERO_ITEM CSL_CITATION {"citationID":"h3DMOmDy","properties":{"unsorted":false,"formattedCitation":"(JAWHAR, n.d.; Lembaga Zakat Selangor, 2024)","plainCitation":"(JAWHAR, n.d.; Lembaga Zakat Selangor, 2024)","noteIndex":0},"citationItems":[{"id":3121,"uris":["http://zotero.org/users/17067337/items/JZKT3IZG"],"itemData":{"id":3121,"type":"webpage","abstract":"Portal Pengurusan Maklumat Zakat dan Baitulmal Malaysia merupakan satu portal yang memaparkan statistik am berkaitan zakat dan baitulmal di Malaysia. Statistik yang dipaparkan dari laman ini diperoleh dari Majlis Agama Islam Negeri (MAIN) di Malaysia dan akan dikemaskini dari masa ke semasa bagi memudahkan orang awam membuat rujukan mengenai statistik zakat dan baitulmal di Malaysia. Antara maklumat yang dipaparkan ialah Statistik Kutipan Zakat Harta dan Fitrah, Statistik Agihan Zakat, Kadar Nisab Zakat Harta dan Fitrah serta Statistik Kadar Fidyah","container-title":"Portal Baitulmal JAWHAR","language":"en-US","title":"Statistik Kadar Nisab Zakat Harta","URL":"https://baitulmal.jawhar.gov.my/statistik-kadar-nisab-zakat-harta/","author":[{"family":"JAWHAR","given":""}],"accessed":{"date-parts":[["2026",5,14]]}}},{"id":268,"uris":["http://zotero.org/users/17067337/items/EQX6D8DP"],"itemData":{"id":268,"type":"motion_picture","abstract":"Tunaikan Zakat Anda, Nikmati Kelebihan “WOW!” di Lembaga Zakat Selangor (LZS)!\n\nBayar zakat anda sebelum 31 Disember 2024 dan raih KELEBIHAN EKSKLUSIF hanya di LZS:\n\n</w:instrText>
      </w:r>
      <w:r>
        <w:rPr>
          <w:rFonts w:ascii="Segoe UI Emoji" w:hAnsi="Segoe UI Emoji" w:cs="Segoe UI Emoji"/>
        </w:rPr>
        <w:instrText>👉</w:instrText>
      </w:r>
      <w:r>
        <w:instrText xml:space="preserve"> Individu (RM500 - RM5,000)\n</w:instrText>
      </w:r>
      <w:r>
        <w:rPr>
          <w:rFonts w:ascii="Segoe UI Emoji" w:hAnsi="Segoe UI Emoji" w:cs="Segoe UI Emoji"/>
        </w:rPr>
        <w:instrText>✅</w:instrText>
      </w:r>
      <w:r>
        <w:instrText xml:space="preserve">...","language":"en","source":"www.facebook.com","title":"Lembaga Zakat Selangor","URL":"https://www.facebook.com/zakatselangor/posts/tunaikan-zakat-anda-nikmati-kelebihan-wow-di-lembaga-zakat-selangor-lzsbayar-zak/1012241194279658/","director":[{"family":"Lembaga Zakat Selangor","given":""}],"accessed":{"date-parts":[["2025",5,14]]},"issued":{"date-parts":[["2024",11,29]]}}}],"schema":"https://github.com/citation-style-language/schema/raw/master/csl-citation.json"} </w:instrText>
      </w:r>
      <w:r>
        <w:fldChar w:fldCharType="separate"/>
      </w:r>
      <w:r w:rsidRPr="002607AF">
        <w:rPr>
          <w:rFonts w:cs="Times New Roman"/>
        </w:rPr>
        <w:t>(JAWHAR, n.d.; Lembaga Zakat Selangor, 2024)</w:t>
      </w:r>
      <w:r>
        <w:fldChar w:fldCharType="end"/>
      </w:r>
      <w:r>
        <w:t>.</w:t>
      </w:r>
      <w:r w:rsidR="00A00546">
        <w:t xml:space="preserve"> There is also an approach known as </w:t>
      </w:r>
      <w:r w:rsidR="00A33D64">
        <w:t>“</w:t>
      </w:r>
      <w:proofErr w:type="spellStart"/>
      <w:r w:rsidR="00A00546">
        <w:t>nisab</w:t>
      </w:r>
      <w:proofErr w:type="spellEnd"/>
      <w:r w:rsidR="00A00546">
        <w:t xml:space="preserve"> </w:t>
      </w:r>
      <w:proofErr w:type="spellStart"/>
      <w:r w:rsidR="00A00546">
        <w:t>taqdiri</w:t>
      </w:r>
      <w:proofErr w:type="spellEnd"/>
      <w:r w:rsidR="00A33D64">
        <w:t>”</w:t>
      </w:r>
      <w:r w:rsidR="00A00546">
        <w:t>, as displayed on Kedah</w:t>
      </w:r>
      <w:r w:rsidR="00A33D64">
        <w:t>’</w:t>
      </w:r>
      <w:r w:rsidR="00A00546">
        <w:t>s official portal</w:t>
      </w:r>
      <w:r>
        <w:t xml:space="preserve"> </w:t>
      </w:r>
      <w:r>
        <w:fldChar w:fldCharType="begin"/>
      </w:r>
      <w:r w:rsidR="007944F8">
        <w:instrText xml:space="preserve"> ADDIN ZOTERO_ITEM CSL_CITATION {"citationID":"idOTr8da","properties":{"unsorted":false,"formattedCitation":"(Lembaga Zakat Kedah, n.d.)","plainCitation":"(Lembaga Zakat Kedah, n.d.)","noteIndex":0},"citationItems":[{"id":3195,"uris":["http://zotero.org/users/17067337/items/57GU36J7"],"itemData":{"id":3195,"type":"webpage","title":"JomZakat: Sistem Pembayaran Zakat Online","URL":"https://jom.zakatkedah.com.my/","author":[{"family":"Lembaga Zakat Kedah","given":""}],"accessed":{"date-parts":[["2026",5,19]]}}}],"schema":"https://github.com/citation-style-language/schema/raw/master/csl-citation.json"} </w:instrText>
      </w:r>
      <w:r>
        <w:fldChar w:fldCharType="separate"/>
      </w:r>
      <w:r w:rsidR="007944F8" w:rsidRPr="007944F8">
        <w:rPr>
          <w:rFonts w:cs="Times New Roman"/>
        </w:rPr>
        <w:t>(Lembaga Zakat Kedah, n.d.)</w:t>
      </w:r>
      <w:r>
        <w:fldChar w:fldCharType="end"/>
      </w:r>
      <w:r w:rsidR="00A00546">
        <w:t>.</w:t>
      </w:r>
      <w:r>
        <w:t xml:space="preserve"> Moreover, </w:t>
      </w:r>
      <w:r w:rsidR="00A00546">
        <w:t xml:space="preserve">the Mufti Department of the Federal Territories clearly explained that zakat </w:t>
      </w:r>
      <w:proofErr w:type="spellStart"/>
      <w:r w:rsidR="00A00546">
        <w:t>centres</w:t>
      </w:r>
      <w:proofErr w:type="spellEnd"/>
      <w:r w:rsidR="00A00546">
        <w:t xml:space="preserve"> determine the </w:t>
      </w:r>
      <w:proofErr w:type="spellStart"/>
      <w:r w:rsidR="00A00546">
        <w:t>nisab</w:t>
      </w:r>
      <w:proofErr w:type="spellEnd"/>
      <w:r w:rsidR="00A00546">
        <w:t xml:space="preserve"> by </w:t>
      </w:r>
      <w:r>
        <w:t>using the average gold price of the previous year as the standard for</w:t>
      </w:r>
      <w:r w:rsidR="00A00546">
        <w:t xml:space="preserve"> the following year, with uniformity as the rationale. At the same time, it </w:t>
      </w:r>
      <w:r>
        <w:t xml:space="preserve">tends to </w:t>
      </w:r>
      <w:proofErr w:type="spellStart"/>
      <w:r>
        <w:t>favour</w:t>
      </w:r>
      <w:proofErr w:type="spellEnd"/>
      <w:r>
        <w:t xml:space="preserve"> the lower of the standard and current values</w:t>
      </w:r>
      <w:r w:rsidR="00A00546">
        <w:t xml:space="preserve"> to broaden </w:t>
      </w:r>
      <w:proofErr w:type="spellStart"/>
      <w:r w:rsidR="00A00546">
        <w:t>muzakki</w:t>
      </w:r>
      <w:proofErr w:type="spellEnd"/>
      <w:r w:rsidR="00A00546">
        <w:t xml:space="preserve"> participation and safeguard the welfare of </w:t>
      </w:r>
      <w:proofErr w:type="spellStart"/>
      <w:r w:rsidR="00A00546">
        <w:t>asnaf</w:t>
      </w:r>
      <w:proofErr w:type="spellEnd"/>
      <w:r w:rsidR="00A00546">
        <w:t xml:space="preserve">. From </w:t>
      </w:r>
      <w:r w:rsidR="00FD78F4">
        <w:t>this study</w:t>
      </w:r>
      <w:r w:rsidR="00A33D64">
        <w:t>’</w:t>
      </w:r>
      <w:r w:rsidR="00FD78F4">
        <w:t>s perspective</w:t>
      </w:r>
      <w:r w:rsidR="00A00546">
        <w:t xml:space="preserve">, this position is highly significant because it provides a clear fiqh and institutional basis for a more stable, </w:t>
      </w:r>
      <w:proofErr w:type="spellStart"/>
      <w:r w:rsidR="00A00546">
        <w:t>standardised</w:t>
      </w:r>
      <w:proofErr w:type="spellEnd"/>
      <w:r w:rsidR="00A00546">
        <w:t xml:space="preserve">, and </w:t>
      </w:r>
      <w:proofErr w:type="spellStart"/>
      <w:r w:rsidR="00A00546">
        <w:t>maslahah</w:t>
      </w:r>
      <w:proofErr w:type="spellEnd"/>
      <w:r w:rsidR="00A00546">
        <w:t xml:space="preserve">-oriented model of </w:t>
      </w:r>
      <w:proofErr w:type="spellStart"/>
      <w:r w:rsidR="00A00546">
        <w:t>nisab</w:t>
      </w:r>
      <w:proofErr w:type="spellEnd"/>
      <w:r w:rsidR="00A00546">
        <w:t xml:space="preserve"> determination</w:t>
      </w:r>
      <w:r w:rsidR="007944F8">
        <w:t xml:space="preserve"> </w:t>
      </w:r>
      <w:r w:rsidR="007944F8">
        <w:fldChar w:fldCharType="begin"/>
      </w:r>
      <w:r w:rsidR="00585725">
        <w:instrText xml:space="preserve"> ADDIN ZOTERO_ITEM CSL_CITATION {"citationID":"3ZhuEZSt","properties":{"unsorted":false,"formattedCitation":"(Jabatan Mufti Wilayah Persekutuan, 2021)","plainCitation":"(Jabatan Mufti Wilayah Persekutuan, 2021)","noteIndex":0},"citationItems":[{"id":3097,"uris":["http://zotero.org/users/17067337/items/DB3AA8V5"],"itemData":{"id":3097,"type":"webpage","title":"Nisab Zakat Emas: Pusat Zakat Atau Nilai Semasa?","URL":"https://muftiwp.gov.my/ms/artikel/al-kafi-li-al-fatawi/4850-al-kafi-1811-nisab-zakat-emas-pusat-zakat-atau-nilai-semasa","author":[{"family":"Jabatan Mufti Wilayah Persekutuan","given":""}],"accessed":{"date-parts":[["2026",5,14]]},"issued":{"date-parts":[["2021",6,30]]}}}],"schema":"https://github.com/citation-style-language/schema/raw/master/csl-citation.json"} </w:instrText>
      </w:r>
      <w:r w:rsidR="007944F8">
        <w:fldChar w:fldCharType="separate"/>
      </w:r>
      <w:r w:rsidR="007944F8" w:rsidRPr="007944F8">
        <w:rPr>
          <w:rFonts w:cs="Times New Roman"/>
        </w:rPr>
        <w:t>(Jabatan Mufti Wilayah Persekutuan, 2021)</w:t>
      </w:r>
      <w:r w:rsidR="007944F8">
        <w:fldChar w:fldCharType="end"/>
      </w:r>
      <w:r w:rsidR="00A00546">
        <w:t>.</w:t>
      </w:r>
    </w:p>
    <w:p w:rsidR="00A00546" w:rsidRDefault="00B16B41" w:rsidP="009E1448">
      <w:pPr>
        <w:spacing w:line="240" w:lineRule="auto"/>
        <w:ind w:firstLine="720"/>
        <w:jc w:val="both"/>
      </w:pPr>
      <w:r w:rsidRPr="006C5A87">
        <w:t xml:space="preserve">In the case of Pahang, although this review did not </w:t>
      </w:r>
      <w:r w:rsidR="003D7EAE">
        <w:t xml:space="preserve">uncover a state fatwa that establishes a general mathematical model for </w:t>
      </w:r>
      <w:proofErr w:type="spellStart"/>
      <w:r w:rsidR="003D7EAE">
        <w:t>nisab</w:t>
      </w:r>
      <w:proofErr w:type="spellEnd"/>
      <w:r w:rsidR="003D7EAE">
        <w:t xml:space="preserve"> across all zakat instruments, on</w:t>
      </w:r>
      <w:r w:rsidRPr="006C5A87">
        <w:t xml:space="preserve"> the official portal of Pahang, two important indications can be seen. Firstly, it </w:t>
      </w:r>
      <w:r w:rsidR="003D7EAE">
        <w:t>used the 85-gram zakat formula, based on the current price of gold, for money, shares,</w:t>
      </w:r>
      <w:r w:rsidRPr="006C5A87">
        <w:t xml:space="preserve"> and income. Second, regarding the calculation for ASB/ASN investment, it </w:t>
      </w:r>
      <w:r w:rsidR="003D7EAE">
        <w:t>states that the new calculation method is based on the lowest balance that meets or exceeds</w:t>
      </w:r>
      <w:r w:rsidRPr="006C5A87">
        <w:t xml:space="preserve"> the </w:t>
      </w:r>
      <w:proofErr w:type="spellStart"/>
      <w:r w:rsidRPr="006C5A87">
        <w:t>nisab</w:t>
      </w:r>
      <w:proofErr w:type="spellEnd"/>
      <w:r w:rsidRPr="006C5A87">
        <w:t xml:space="preserve"> during the haul, in line with the determination made by the Special Meeting of the Pahang State Shariah Law Consultative Committee in 2014. This is not a specific fatwa on the </w:t>
      </w:r>
      <w:proofErr w:type="spellStart"/>
      <w:r w:rsidRPr="006C5A87">
        <w:t>nisab</w:t>
      </w:r>
      <w:proofErr w:type="spellEnd"/>
      <w:r w:rsidRPr="006C5A87">
        <w:t xml:space="preserve"> rate to determine the official rate of the state, but it is very important because it is an administrative analogy; we have agreed to a more stable method of </w:t>
      </w:r>
      <w:r w:rsidR="003D7EAE">
        <w:t>valuation that does not rely entirely on the peak rate or on fluctuations that</w:t>
      </w:r>
      <w:r w:rsidRPr="006C5A87">
        <w:t xml:space="preserve"> occurred</w:t>
      </w:r>
      <w:r w:rsidR="00A00546" w:rsidRPr="006C5A87">
        <w:t xml:space="preserve">. </w:t>
      </w:r>
      <w:r w:rsidR="00A00546">
        <w:t xml:space="preserve">This strengthens the argument that </w:t>
      </w:r>
      <w:r w:rsidR="002607AF">
        <w:t>developing a model does not depart from the spirit of contemporary zakat management, so</w:t>
      </w:r>
      <w:r w:rsidR="00A00546">
        <w:t xml:space="preserve"> long as it remains bound by </w:t>
      </w:r>
      <w:proofErr w:type="spellStart"/>
      <w:r w:rsidR="00A00546">
        <w:t>maslahah</w:t>
      </w:r>
      <w:proofErr w:type="spellEnd"/>
      <w:r w:rsidR="00A00546">
        <w:t xml:space="preserve"> and legal clarity</w:t>
      </w:r>
      <w:r w:rsidR="007944F8">
        <w:t xml:space="preserve"> </w:t>
      </w:r>
      <w:r w:rsidR="007944F8">
        <w:fldChar w:fldCharType="begin"/>
      </w:r>
      <w:r w:rsidR="007944F8">
        <w:instrText xml:space="preserve"> ADDIN ZOTERO_ITEM CSL_CITATION {"citationID":"CZRig1bM","properties":{"unsorted":false,"formattedCitation":"(MUIP, 2022)","plainCitation":"(MUIP, 2022)","noteIndex":0},"citationItems":[{"id":3125,"uris":["http://zotero.org/users/17067337/items/8PJBMEU9"],"itemData":{"id":3125,"type":"webpage","abstract":"Zakat Bersih, suci, subur, berkat dan berkembang. Sejumlah harta tertentu yang diwajibkan oleh Allah s.w.t. supaya diserahkan kepada orang-orang yang berhak menerimanya dengan syarat-syarat yang tertentu. Ketahui Lebih Lanjut </w:instrText>
      </w:r>
      <w:r w:rsidR="007944F8">
        <w:rPr>
          <w:rtl/>
        </w:rPr>
        <w:instrText xml:space="preserve">وَأَقِيمُوا۟ </w:instrText>
      </w:r>
      <w:r w:rsidR="007944F8">
        <w:rPr>
          <w:rFonts w:hint="cs"/>
          <w:rtl/>
        </w:rPr>
        <w:instrText>ٱلصَّلَوٰةَ</w:instrText>
      </w:r>
      <w:r w:rsidR="007944F8">
        <w:rPr>
          <w:rtl/>
        </w:rPr>
        <w:instrText xml:space="preserve"> وَءَاتُوا۟ </w:instrText>
      </w:r>
      <w:r w:rsidR="007944F8">
        <w:rPr>
          <w:rFonts w:hint="cs"/>
          <w:rtl/>
        </w:rPr>
        <w:instrText>ٱلزَّكَوٰةَ</w:instrText>
      </w:r>
      <w:r w:rsidR="007944F8">
        <w:rPr>
          <w:rtl/>
        </w:rPr>
        <w:instrText xml:space="preserve"> وَأَطِيعُوا۟ </w:instrText>
      </w:r>
      <w:r w:rsidR="007944F8">
        <w:rPr>
          <w:rFonts w:hint="cs"/>
          <w:rtl/>
        </w:rPr>
        <w:instrText>ٱلرَّسُولَ</w:instrText>
      </w:r>
      <w:r w:rsidR="007944F8">
        <w:rPr>
          <w:rtl/>
        </w:rPr>
        <w:instrText xml:space="preserve"> لَعَلَّكُمْ تُرْحَمُونَ ۝٥٦</w:instrText>
      </w:r>
      <w:r w:rsidR="007944F8">
        <w:instrText xml:space="preserve"> \"Dan dirikanlah kamu akan sembahyang serta keluarkanlah zakat dan taatlah kepada Rasul supaya kamu beroleh rahmat\" Surah","container-title":"Laman Utama","language":"en-US","title":"Majlis Ugama Islam dan Adat Resam Melayu Pahang","URL":"https://muip.gov.my/zakat/","author":[{"family":"MUIP","given":""}],"accessed":{"date-parts":[["2026",5,14]]},"issued":{"date-parts":[["2022",11,14]]}}}],"schema":"https://github.com/citation-style-language/schema/raw/master/csl-citation.json"} </w:instrText>
      </w:r>
      <w:r w:rsidR="007944F8">
        <w:fldChar w:fldCharType="separate"/>
      </w:r>
      <w:r w:rsidR="007944F8" w:rsidRPr="007944F8">
        <w:rPr>
          <w:rFonts w:cs="Times New Roman"/>
        </w:rPr>
        <w:t>(MUIP, 2022)</w:t>
      </w:r>
      <w:r w:rsidR="007944F8">
        <w:fldChar w:fldCharType="end"/>
      </w:r>
      <w:r w:rsidR="00A00546">
        <w:t xml:space="preserve">. The current-price approach is also displayed on the official </w:t>
      </w:r>
      <w:r w:rsidR="007944F8">
        <w:t>portal of the Johor Islamic Religious Council</w:t>
      </w:r>
      <w:r w:rsidR="00A00546">
        <w:t xml:space="preserve">, which states the </w:t>
      </w:r>
      <w:r w:rsidR="00A33D64">
        <w:t>“</w:t>
      </w:r>
      <w:r w:rsidR="00A00546">
        <w:t xml:space="preserve">latest current zakat </w:t>
      </w:r>
      <w:proofErr w:type="spellStart"/>
      <w:r w:rsidR="00A00546">
        <w:t>nisab</w:t>
      </w:r>
      <w:proofErr w:type="spellEnd"/>
      <w:r w:rsidR="00A00546">
        <w:t xml:space="preserve"> rate of RM54,256.23</w:t>
      </w:r>
      <w:r w:rsidR="00A33D64">
        <w:t>”</w:t>
      </w:r>
      <w:r w:rsidR="00AB4E02">
        <w:t>. It explains</w:t>
      </w:r>
      <w:r w:rsidR="00A00546">
        <w:t xml:space="preserve"> that the rate is based on the value of 85 grams of gold</w:t>
      </w:r>
      <w:r w:rsidR="007944F8">
        <w:t xml:space="preserve"> </w:t>
      </w:r>
      <w:r w:rsidR="007944F8">
        <w:fldChar w:fldCharType="begin"/>
      </w:r>
      <w:r w:rsidR="007944F8">
        <w:instrText xml:space="preserve"> ADDIN ZOTERO_ITEM CSL_CITATION {"citationID":"x79cNGtj","properties":{"unsorted":false,"formattedCitation":"(MAINJ, n.d.)","plainCitation":"(MAINJ, n.d.)","noteIndex":0},"citationItems":[{"id":3123,"uris":["http://zotero.org/users/17067337/items/DLIMSUIZ"],"itemData":{"id":3123,"type":"webpage","container-title":"Laman Utama","language":"ms","title":"Majlis Agama Islam Negeri Johor (MAINJ)","URL":"https://www.maij.gov.my/","author":[{"family":"MAINJ","given":""}],"accessed":{"date-parts":[["2026",5,14]]}}}],"schema":"https://github.com/citation-style-language/schema/raw/master/csl-citation.json"} </w:instrText>
      </w:r>
      <w:r w:rsidR="007944F8">
        <w:fldChar w:fldCharType="separate"/>
      </w:r>
      <w:r w:rsidR="007944F8" w:rsidRPr="007944F8">
        <w:rPr>
          <w:rFonts w:cs="Times New Roman"/>
        </w:rPr>
        <w:t>(MAINJ, n.d.)</w:t>
      </w:r>
      <w:r w:rsidR="007944F8">
        <w:fldChar w:fldCharType="end"/>
      </w:r>
      <w:r w:rsidR="00A00546">
        <w:t>.</w:t>
      </w:r>
      <w:r w:rsidR="002607AF">
        <w:t xml:space="preserve"> </w:t>
      </w:r>
    </w:p>
    <w:p w:rsidR="002607AF" w:rsidRPr="002607AF" w:rsidRDefault="002607AF" w:rsidP="009E1448">
      <w:pPr>
        <w:spacing w:line="240" w:lineRule="auto"/>
        <w:ind w:firstLine="720"/>
        <w:jc w:val="both"/>
        <w:rPr>
          <w:lang w:val="en-MY"/>
        </w:rPr>
      </w:pPr>
      <w:r>
        <w:rPr>
          <w:lang w:val="en-MY"/>
        </w:rPr>
        <w:t xml:space="preserve">Table 1.3 </w:t>
      </w:r>
      <w:r w:rsidR="003B1A2E">
        <w:rPr>
          <w:lang w:val="en-MY"/>
        </w:rPr>
        <w:t>summarises</w:t>
      </w:r>
      <w:r>
        <w:rPr>
          <w:lang w:val="en-MY"/>
        </w:rPr>
        <w:t xml:space="preserve"> approaches for determining </w:t>
      </w:r>
      <w:proofErr w:type="spellStart"/>
      <w:r>
        <w:rPr>
          <w:lang w:val="en-MY"/>
        </w:rPr>
        <w:t>nisab</w:t>
      </w:r>
      <w:proofErr w:type="spellEnd"/>
      <w:r>
        <w:rPr>
          <w:lang w:val="en-MY"/>
        </w:rPr>
        <w:t xml:space="preserve"> for zakat.</w:t>
      </w:r>
    </w:p>
    <w:p w:rsidR="002607AF" w:rsidRPr="002607AF" w:rsidRDefault="002607AF" w:rsidP="009E1448">
      <w:pPr>
        <w:spacing w:before="100" w:beforeAutospacing="1" w:after="100" w:afterAutospacing="1" w:line="240" w:lineRule="auto"/>
        <w:jc w:val="center"/>
        <w:rPr>
          <w:rFonts w:eastAsia="Times New Roman" w:cs="Times New Roman"/>
          <w:szCs w:val="24"/>
          <w:lang w:val="en-MY" w:eastAsia="en-MY"/>
        </w:rPr>
      </w:pPr>
      <w:r w:rsidRPr="002607AF">
        <w:rPr>
          <w:rFonts w:eastAsia="Times New Roman" w:cs="Times New Roman"/>
          <w:szCs w:val="24"/>
          <w:lang w:val="en-MY" w:eastAsia="en-MY"/>
        </w:rPr>
        <w:t>Table</w:t>
      </w:r>
      <w:r>
        <w:rPr>
          <w:rFonts w:eastAsia="Times New Roman" w:cs="Times New Roman"/>
          <w:szCs w:val="24"/>
          <w:lang w:val="en-MY" w:eastAsia="en-MY"/>
        </w:rPr>
        <w:t xml:space="preserve"> 1.3</w:t>
      </w:r>
      <w:r w:rsidRPr="002607AF">
        <w:rPr>
          <w:rFonts w:eastAsia="Times New Roman" w:cs="Times New Roman"/>
          <w:szCs w:val="24"/>
          <w:lang w:val="en-MY" w:eastAsia="en-MY"/>
        </w:rPr>
        <w:t xml:space="preserve">: Approaches to Determining </w:t>
      </w: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for Zakat on Wealth</w:t>
      </w:r>
    </w:p>
    <w:tbl>
      <w:tblPr>
        <w:tblStyle w:val="TableGrid"/>
        <w:tblW w:w="0" w:type="auto"/>
        <w:tblLook w:val="04A0" w:firstRow="1" w:lastRow="0" w:firstColumn="1" w:lastColumn="0" w:noHBand="0" w:noVBand="1"/>
      </w:tblPr>
      <w:tblGrid>
        <w:gridCol w:w="570"/>
        <w:gridCol w:w="2120"/>
        <w:gridCol w:w="4886"/>
        <w:gridCol w:w="2000"/>
      </w:tblGrid>
      <w:tr w:rsidR="002607AF" w:rsidRPr="002607AF" w:rsidTr="002607AF">
        <w:tc>
          <w:tcPr>
            <w:tcW w:w="0" w:type="auto"/>
            <w:hideMark/>
          </w:tcPr>
          <w:p w:rsidR="002607AF" w:rsidRPr="002607AF" w:rsidRDefault="002607AF" w:rsidP="009E1448">
            <w:pPr>
              <w:jc w:val="center"/>
              <w:rPr>
                <w:rFonts w:eastAsia="Times New Roman" w:cs="Times New Roman"/>
                <w:b/>
                <w:bCs/>
                <w:szCs w:val="24"/>
                <w:lang w:val="en-MY" w:eastAsia="en-MY"/>
              </w:rPr>
            </w:pPr>
            <w:r w:rsidRPr="002607AF">
              <w:rPr>
                <w:rFonts w:eastAsia="Times New Roman" w:cs="Times New Roman"/>
                <w:b/>
                <w:bCs/>
                <w:szCs w:val="24"/>
                <w:lang w:val="en-MY" w:eastAsia="en-MY"/>
              </w:rPr>
              <w:t>No.</w:t>
            </w:r>
          </w:p>
        </w:tc>
        <w:tc>
          <w:tcPr>
            <w:tcW w:w="0" w:type="auto"/>
            <w:hideMark/>
          </w:tcPr>
          <w:p w:rsidR="002607AF" w:rsidRPr="002607AF" w:rsidRDefault="002607AF" w:rsidP="009E1448">
            <w:pPr>
              <w:rPr>
                <w:rFonts w:eastAsia="Times New Roman" w:cs="Times New Roman"/>
                <w:b/>
                <w:bCs/>
                <w:szCs w:val="24"/>
                <w:lang w:val="en-MY" w:eastAsia="en-MY"/>
              </w:rPr>
            </w:pPr>
            <w:r w:rsidRPr="002607AF">
              <w:rPr>
                <w:rFonts w:eastAsia="Times New Roman" w:cs="Times New Roman"/>
                <w:b/>
                <w:bCs/>
                <w:szCs w:val="24"/>
                <w:lang w:val="en-MY" w:eastAsia="en-MY"/>
              </w:rPr>
              <w:t>Approach</w:t>
            </w:r>
          </w:p>
        </w:tc>
        <w:tc>
          <w:tcPr>
            <w:tcW w:w="0" w:type="auto"/>
            <w:hideMark/>
          </w:tcPr>
          <w:p w:rsidR="002607AF" w:rsidRDefault="002607AF" w:rsidP="009E1448">
            <w:pPr>
              <w:rPr>
                <w:rFonts w:eastAsia="Times New Roman" w:cs="Times New Roman"/>
                <w:b/>
                <w:bCs/>
                <w:szCs w:val="24"/>
                <w:lang w:val="en-MY" w:eastAsia="en-MY"/>
              </w:rPr>
            </w:pPr>
            <w:r w:rsidRPr="002607AF">
              <w:rPr>
                <w:rFonts w:eastAsia="Times New Roman" w:cs="Times New Roman"/>
                <w:b/>
                <w:bCs/>
                <w:szCs w:val="24"/>
                <w:lang w:val="en-MY" w:eastAsia="en-MY"/>
              </w:rPr>
              <w:t>Main Features</w:t>
            </w:r>
          </w:p>
          <w:p w:rsidR="002607AF" w:rsidRPr="002607AF" w:rsidRDefault="002607AF" w:rsidP="009E1448">
            <w:pPr>
              <w:rPr>
                <w:rFonts w:eastAsia="Times New Roman" w:cs="Times New Roman"/>
                <w:b/>
                <w:bCs/>
                <w:szCs w:val="24"/>
                <w:lang w:val="en-MY" w:eastAsia="en-MY"/>
              </w:rPr>
            </w:pPr>
          </w:p>
        </w:tc>
        <w:tc>
          <w:tcPr>
            <w:tcW w:w="2000" w:type="dxa"/>
            <w:hideMark/>
          </w:tcPr>
          <w:p w:rsidR="002607AF" w:rsidRDefault="002607AF" w:rsidP="009E1448">
            <w:pPr>
              <w:rPr>
                <w:rFonts w:eastAsia="Times New Roman" w:cs="Times New Roman"/>
                <w:b/>
                <w:bCs/>
                <w:szCs w:val="24"/>
                <w:lang w:val="en-MY" w:eastAsia="en-MY"/>
              </w:rPr>
            </w:pPr>
            <w:r w:rsidRPr="002607AF">
              <w:rPr>
                <w:rFonts w:eastAsia="Times New Roman" w:cs="Times New Roman"/>
                <w:b/>
                <w:bCs/>
                <w:szCs w:val="24"/>
                <w:lang w:val="en-MY" w:eastAsia="en-MY"/>
              </w:rPr>
              <w:t>Stat</w:t>
            </w:r>
            <w:r>
              <w:rPr>
                <w:rFonts w:eastAsia="Times New Roman" w:cs="Times New Roman"/>
                <w:b/>
                <w:bCs/>
                <w:szCs w:val="24"/>
                <w:lang w:val="en-MY" w:eastAsia="en-MY"/>
              </w:rPr>
              <w:t>e</w:t>
            </w:r>
          </w:p>
          <w:p w:rsidR="002607AF" w:rsidRPr="002607AF" w:rsidRDefault="002607AF" w:rsidP="009E1448">
            <w:pPr>
              <w:rPr>
                <w:rFonts w:eastAsia="Times New Roman" w:cs="Times New Roman"/>
                <w:b/>
                <w:bCs/>
                <w:szCs w:val="24"/>
                <w:lang w:val="en-MY" w:eastAsia="en-MY"/>
              </w:rPr>
            </w:pP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1</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Current Price Model of 85 Grams of Gold</w:t>
            </w:r>
          </w:p>
        </w:tc>
        <w:tc>
          <w:tcPr>
            <w:tcW w:w="0" w:type="auto"/>
            <w:hideMark/>
          </w:tcPr>
          <w:p w:rsidR="002607AF" w:rsidRPr="002607AF" w:rsidRDefault="002607AF" w:rsidP="009E1448">
            <w:pPr>
              <w:rPr>
                <w:rFonts w:eastAsia="Times New Roman" w:cs="Times New Roman"/>
                <w:szCs w:val="24"/>
                <w:lang w:val="en-MY" w:eastAsia="en-MY"/>
              </w:rPr>
            </w:pP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is determined based on the current value of 85 grams of gold</w:t>
            </w:r>
            <w:r w:rsidR="00AB4E02">
              <w:rPr>
                <w:rFonts w:eastAsia="Times New Roman" w:cs="Times New Roman"/>
                <w:szCs w:val="24"/>
                <w:lang w:val="en-MY" w:eastAsia="en-MY"/>
              </w:rPr>
              <w:t>—the</w:t>
            </w:r>
            <w:r w:rsidRPr="002607AF">
              <w:rPr>
                <w:rFonts w:eastAsia="Times New Roman" w:cs="Times New Roman"/>
                <w:szCs w:val="24"/>
                <w:lang w:val="en-MY" w:eastAsia="en-MY"/>
              </w:rPr>
              <w:t xml:space="preserve"> rate changes according to the current gold price.</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Johor, Pahang</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2</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Previous-Year Average Gold Price Model</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 xml:space="preserve">The </w:t>
            </w:r>
            <w:r>
              <w:rPr>
                <w:rFonts w:eastAsia="Times New Roman" w:cs="Times New Roman"/>
                <w:szCs w:val="24"/>
                <w:lang w:val="en-MY" w:eastAsia="en-MY"/>
              </w:rPr>
              <w:t>previous year</w:t>
            </w:r>
            <w:r w:rsidR="00A33D64">
              <w:rPr>
                <w:rFonts w:eastAsia="Times New Roman" w:cs="Times New Roman"/>
                <w:szCs w:val="24"/>
                <w:lang w:val="en-MY" w:eastAsia="en-MY"/>
              </w:rPr>
              <w:t>’</w:t>
            </w:r>
            <w:r>
              <w:rPr>
                <w:rFonts w:eastAsia="Times New Roman" w:cs="Times New Roman"/>
                <w:szCs w:val="24"/>
                <w:lang w:val="en-MY" w:eastAsia="en-MY"/>
              </w:rPr>
              <w:t>s gold price</w:t>
            </w:r>
            <w:r w:rsidRPr="002607AF">
              <w:rPr>
                <w:rFonts w:eastAsia="Times New Roman" w:cs="Times New Roman"/>
                <w:szCs w:val="24"/>
                <w:lang w:val="en-MY" w:eastAsia="en-MY"/>
              </w:rPr>
              <w:t xml:space="preserve"> is averaged and used as the standard </w:t>
            </w: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throughout the following year.</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Federal Territories / Mufti Department of the Federal Territories</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3</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 xml:space="preserve">Monthly Current </w:t>
            </w: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Rate Model</w:t>
            </w:r>
          </w:p>
        </w:tc>
        <w:tc>
          <w:tcPr>
            <w:tcW w:w="0" w:type="auto"/>
            <w:hideMark/>
          </w:tcPr>
          <w:p w:rsidR="002607AF" w:rsidRPr="002607AF" w:rsidRDefault="002607AF" w:rsidP="009E1448">
            <w:pPr>
              <w:rPr>
                <w:rFonts w:eastAsia="Times New Roman" w:cs="Times New Roman"/>
                <w:szCs w:val="24"/>
                <w:lang w:val="en-MY" w:eastAsia="en-MY"/>
              </w:rPr>
            </w:pP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is taken based on the current price in a particular month, such as February.</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Perak</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4</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 xml:space="preserve">Previous-Year </w:t>
            </w:r>
            <w:r w:rsidRPr="002607AF">
              <w:rPr>
                <w:rFonts w:eastAsia="Times New Roman" w:cs="Times New Roman"/>
                <w:szCs w:val="24"/>
                <w:lang w:val="en-MY" w:eastAsia="en-MY"/>
              </w:rPr>
              <w:lastRenderedPageBreak/>
              <w:t>Final Rate Model</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lastRenderedPageBreak/>
              <w:t>The current year</w:t>
            </w:r>
            <w:r w:rsidR="00A33D64">
              <w:rPr>
                <w:rFonts w:eastAsia="Times New Roman" w:cs="Times New Roman"/>
                <w:szCs w:val="24"/>
                <w:lang w:val="en-MY" w:eastAsia="en-MY"/>
              </w:rPr>
              <w:t>’</w:t>
            </w:r>
            <w:r w:rsidRPr="002607AF">
              <w:rPr>
                <w:rFonts w:eastAsia="Times New Roman" w:cs="Times New Roman"/>
                <w:szCs w:val="24"/>
                <w:lang w:val="en-MY" w:eastAsia="en-MY"/>
              </w:rPr>
              <w:t xml:space="preserve">s </w:t>
            </w: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uses the final rate of </w:t>
            </w:r>
            <w:r w:rsidRPr="002607AF">
              <w:rPr>
                <w:rFonts w:eastAsia="Times New Roman" w:cs="Times New Roman"/>
                <w:szCs w:val="24"/>
                <w:lang w:val="en-MY" w:eastAsia="en-MY"/>
              </w:rPr>
              <w:lastRenderedPageBreak/>
              <w:t>the previous year, such as the December 2023 rate.</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lastRenderedPageBreak/>
              <w:t>Pahang, Perak</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5</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Biannual Periodic Review Model</w:t>
            </w:r>
          </w:p>
        </w:tc>
        <w:tc>
          <w:tcPr>
            <w:tcW w:w="0" w:type="auto"/>
            <w:hideMark/>
          </w:tcPr>
          <w:p w:rsidR="002607AF" w:rsidRPr="002607AF" w:rsidRDefault="002607AF" w:rsidP="009E1448">
            <w:pPr>
              <w:rPr>
                <w:rFonts w:eastAsia="Times New Roman" w:cs="Times New Roman"/>
                <w:szCs w:val="24"/>
                <w:lang w:val="en-MY" w:eastAsia="en-MY"/>
              </w:rPr>
            </w:pP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is reviewed more than once a year to adjust to changes in gold prices.</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Selangor</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6</w:t>
            </w:r>
          </w:p>
        </w:tc>
        <w:tc>
          <w:tcPr>
            <w:tcW w:w="0" w:type="auto"/>
            <w:hideMark/>
          </w:tcPr>
          <w:p w:rsidR="002607AF" w:rsidRPr="002607AF" w:rsidRDefault="002607AF" w:rsidP="009E1448">
            <w:pPr>
              <w:rPr>
                <w:rFonts w:eastAsia="Times New Roman" w:cs="Times New Roman"/>
                <w:szCs w:val="24"/>
                <w:lang w:val="en-MY" w:eastAsia="en-MY"/>
              </w:rPr>
            </w:pP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w:t>
            </w:r>
            <w:proofErr w:type="spellStart"/>
            <w:r w:rsidRPr="002607AF">
              <w:rPr>
                <w:rFonts w:eastAsia="Times New Roman" w:cs="Times New Roman"/>
                <w:szCs w:val="24"/>
                <w:lang w:val="en-MY" w:eastAsia="en-MY"/>
              </w:rPr>
              <w:t>Taqdiri</w:t>
            </w:r>
            <w:proofErr w:type="spellEnd"/>
            <w:r w:rsidRPr="002607AF">
              <w:rPr>
                <w:rFonts w:eastAsia="Times New Roman" w:cs="Times New Roman"/>
                <w:szCs w:val="24"/>
                <w:lang w:val="en-MY" w:eastAsia="en-MY"/>
              </w:rPr>
              <w:t xml:space="preserve"> Model</w:t>
            </w:r>
          </w:p>
        </w:tc>
        <w:tc>
          <w:tcPr>
            <w:tcW w:w="0" w:type="auto"/>
            <w:hideMark/>
          </w:tcPr>
          <w:p w:rsidR="002607AF" w:rsidRPr="002607AF" w:rsidRDefault="002607AF" w:rsidP="009E1448">
            <w:pPr>
              <w:rPr>
                <w:rFonts w:eastAsia="Times New Roman" w:cs="Times New Roman"/>
                <w:szCs w:val="24"/>
                <w:lang w:val="en-MY" w:eastAsia="en-MY"/>
              </w:rPr>
            </w:pPr>
            <w:proofErr w:type="spellStart"/>
            <w:r w:rsidRPr="002607AF">
              <w:rPr>
                <w:rFonts w:eastAsia="Times New Roman" w:cs="Times New Roman"/>
                <w:szCs w:val="24"/>
                <w:lang w:val="en-MY" w:eastAsia="en-MY"/>
              </w:rPr>
              <w:t>Nisab</w:t>
            </w:r>
            <w:proofErr w:type="spellEnd"/>
            <w:r w:rsidRPr="002607AF">
              <w:rPr>
                <w:rFonts w:eastAsia="Times New Roman" w:cs="Times New Roman"/>
                <w:szCs w:val="24"/>
                <w:lang w:val="en-MY" w:eastAsia="en-MY"/>
              </w:rPr>
              <w:t xml:space="preserve"> is determined on an estimated/</w:t>
            </w:r>
            <w:proofErr w:type="spellStart"/>
            <w:r w:rsidRPr="002607AF">
              <w:rPr>
                <w:rFonts w:eastAsia="Times New Roman" w:cs="Times New Roman"/>
                <w:szCs w:val="24"/>
                <w:lang w:val="en-MY" w:eastAsia="en-MY"/>
              </w:rPr>
              <w:t>taqdiri</w:t>
            </w:r>
            <w:proofErr w:type="spellEnd"/>
            <w:r w:rsidRPr="002607AF">
              <w:rPr>
                <w:rFonts w:eastAsia="Times New Roman" w:cs="Times New Roman"/>
                <w:szCs w:val="24"/>
                <w:lang w:val="en-MY" w:eastAsia="en-MY"/>
              </w:rPr>
              <w:t xml:space="preserve"> basis for administrative stability and uniformity.</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Kedah</w:t>
            </w:r>
          </w:p>
        </w:tc>
      </w:tr>
      <w:tr w:rsidR="002607AF" w:rsidRPr="002607AF" w:rsidTr="002607AF">
        <w:tc>
          <w:tcPr>
            <w:tcW w:w="0" w:type="auto"/>
            <w:hideMark/>
          </w:tcPr>
          <w:p w:rsidR="002607AF" w:rsidRPr="002607AF" w:rsidRDefault="002607AF" w:rsidP="009E1448">
            <w:pPr>
              <w:jc w:val="center"/>
              <w:rPr>
                <w:rFonts w:eastAsia="Times New Roman" w:cs="Times New Roman"/>
                <w:szCs w:val="24"/>
                <w:lang w:val="en-MY" w:eastAsia="en-MY"/>
              </w:rPr>
            </w:pPr>
            <w:r w:rsidRPr="002607AF">
              <w:rPr>
                <w:rFonts w:eastAsia="Times New Roman" w:cs="Times New Roman"/>
                <w:szCs w:val="24"/>
                <w:lang w:val="en-MY" w:eastAsia="en-MY"/>
              </w:rPr>
              <w:t>7</w:t>
            </w:r>
          </w:p>
        </w:tc>
        <w:tc>
          <w:tcPr>
            <w:tcW w:w="0" w:type="auto"/>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Lowest Balance Throughout the Haul Model</w:t>
            </w:r>
          </w:p>
        </w:tc>
        <w:tc>
          <w:tcPr>
            <w:tcW w:w="0" w:type="auto"/>
            <w:hideMark/>
          </w:tcPr>
          <w:p w:rsidR="002607AF" w:rsidRPr="002607AF" w:rsidRDefault="00AB4E02" w:rsidP="009E1448">
            <w:pPr>
              <w:rPr>
                <w:rFonts w:eastAsia="Times New Roman" w:cs="Times New Roman"/>
                <w:szCs w:val="24"/>
                <w:lang w:val="en-MY" w:eastAsia="en-MY"/>
              </w:rPr>
            </w:pPr>
            <w:r>
              <w:rPr>
                <w:rFonts w:eastAsia="Times New Roman" w:cs="Times New Roman"/>
                <w:szCs w:val="24"/>
                <w:lang w:val="en-MY" w:eastAsia="en-MY"/>
              </w:rPr>
              <w:t xml:space="preserve">In the context of ASB/ASN investments, the lowest balance that equals or exceeds the </w:t>
            </w:r>
            <w:proofErr w:type="spellStart"/>
            <w:r>
              <w:rPr>
                <w:rFonts w:eastAsia="Times New Roman" w:cs="Times New Roman"/>
                <w:szCs w:val="24"/>
                <w:lang w:val="en-MY" w:eastAsia="en-MY"/>
              </w:rPr>
              <w:t>nisab</w:t>
            </w:r>
            <w:proofErr w:type="spellEnd"/>
            <w:r>
              <w:rPr>
                <w:rFonts w:eastAsia="Times New Roman" w:cs="Times New Roman"/>
                <w:szCs w:val="24"/>
                <w:lang w:val="en-MY" w:eastAsia="en-MY"/>
              </w:rPr>
              <w:t xml:space="preserve"> throughout the haul is used as the basis for</w:t>
            </w:r>
            <w:r w:rsidR="002607AF" w:rsidRPr="002607AF">
              <w:rPr>
                <w:rFonts w:eastAsia="Times New Roman" w:cs="Times New Roman"/>
                <w:szCs w:val="24"/>
                <w:lang w:val="en-MY" w:eastAsia="en-MY"/>
              </w:rPr>
              <w:t xml:space="preserve"> calculation.</w:t>
            </w:r>
          </w:p>
        </w:tc>
        <w:tc>
          <w:tcPr>
            <w:tcW w:w="2000" w:type="dxa"/>
            <w:hideMark/>
          </w:tcPr>
          <w:p w:rsidR="002607AF" w:rsidRPr="002607AF" w:rsidRDefault="002607AF" w:rsidP="009E1448">
            <w:pPr>
              <w:rPr>
                <w:rFonts w:eastAsia="Times New Roman" w:cs="Times New Roman"/>
                <w:szCs w:val="24"/>
                <w:lang w:val="en-MY" w:eastAsia="en-MY"/>
              </w:rPr>
            </w:pPr>
            <w:r w:rsidRPr="002607AF">
              <w:rPr>
                <w:rFonts w:eastAsia="Times New Roman" w:cs="Times New Roman"/>
                <w:szCs w:val="24"/>
                <w:lang w:val="en-MY" w:eastAsia="en-MY"/>
              </w:rPr>
              <w:t>Pahang</w:t>
            </w:r>
          </w:p>
        </w:tc>
      </w:tr>
    </w:tbl>
    <w:p w:rsidR="002607AF" w:rsidRDefault="002607AF" w:rsidP="009E1448">
      <w:pPr>
        <w:spacing w:line="240" w:lineRule="auto"/>
        <w:ind w:firstLine="720"/>
        <w:jc w:val="both"/>
        <w:rPr>
          <w:lang w:val="en-MY"/>
        </w:rPr>
      </w:pPr>
    </w:p>
    <w:p w:rsidR="00E414D8" w:rsidRPr="0097203D" w:rsidRDefault="00E414D8" w:rsidP="009E1448">
      <w:pPr>
        <w:spacing w:line="240" w:lineRule="auto"/>
        <w:ind w:firstLine="720"/>
        <w:jc w:val="both"/>
        <w:rPr>
          <w:lang w:val="en-MY"/>
        </w:rPr>
      </w:pPr>
      <w:r w:rsidRPr="0097203D">
        <w:rPr>
          <w:lang w:val="en-MY"/>
        </w:rPr>
        <w:t xml:space="preserve">The differences between jurisdictions are not eliminated in this model. Rather, it makes differences governable. Different methods of averaging over a year may be acceptable, such as using daily prices in one state and annual averages in another, as long as the methods are explained and the results are applied uniformly. The issue </w:t>
      </w:r>
      <w:r w:rsidR="00AB4E02">
        <w:rPr>
          <w:lang w:val="en-MY"/>
        </w:rPr>
        <w:t>is not</w:t>
      </w:r>
      <w:r w:rsidRPr="0097203D">
        <w:rPr>
          <w:lang w:val="en-MY"/>
        </w:rPr>
        <w:t xml:space="preserve"> diversity in and of itself</w:t>
      </w:r>
      <w:r w:rsidR="00A00546">
        <w:rPr>
          <w:lang w:val="en-MY"/>
        </w:rPr>
        <w:t xml:space="preserve">; it is the </w:t>
      </w:r>
      <w:r w:rsidR="00AB4E02">
        <w:rPr>
          <w:lang w:val="en-MY"/>
        </w:rPr>
        <w:t>lack of explanation for it that</w:t>
      </w:r>
      <w:r w:rsidRPr="0097203D">
        <w:rPr>
          <w:lang w:val="en-MY"/>
        </w:rPr>
        <w:t xml:space="preserve"> causes the public to lose confidence.</w:t>
      </w:r>
    </w:p>
    <w:p w:rsidR="005710BE" w:rsidRPr="002607AF" w:rsidRDefault="00DC7EAF" w:rsidP="00500528">
      <w:pPr>
        <w:pStyle w:val="Heading2"/>
        <w:rPr>
          <w:lang w:val="en-MY"/>
        </w:rPr>
      </w:pPr>
      <w:r w:rsidRPr="002607AF">
        <w:rPr>
          <w:lang w:val="en-MY"/>
        </w:rPr>
        <w:t>8. Discussion: Integrating Fiqh, Economics and Governance</w:t>
      </w:r>
    </w:p>
    <w:p w:rsidR="00BC1850" w:rsidRDefault="00AB4E02" w:rsidP="00BC1850">
      <w:pPr>
        <w:spacing w:line="240" w:lineRule="auto"/>
        <w:jc w:val="both"/>
        <w:rPr>
          <w:rFonts w:asciiTheme="majorBidi" w:hAnsiTheme="majorBidi" w:cstheme="majorBidi"/>
          <w:szCs w:val="24"/>
          <w:lang w:val="en-MY"/>
        </w:rPr>
      </w:pPr>
      <w:r>
        <w:rPr>
          <w:rFonts w:asciiTheme="majorBidi" w:hAnsiTheme="majorBidi" w:cstheme="majorBidi"/>
          <w:szCs w:val="24"/>
          <w:lang w:val="en-MY"/>
        </w:rPr>
        <w:t xml:space="preserve">Summarising the above analysis, it can be concluded that the question of gold-based </w:t>
      </w:r>
      <w:proofErr w:type="spellStart"/>
      <w:r>
        <w:rPr>
          <w:rFonts w:asciiTheme="majorBidi" w:hAnsiTheme="majorBidi" w:cstheme="majorBidi"/>
          <w:szCs w:val="24"/>
          <w:lang w:val="en-MY"/>
        </w:rPr>
        <w:t>nisab</w:t>
      </w:r>
      <w:proofErr w:type="spellEnd"/>
      <w:r>
        <w:rPr>
          <w:rFonts w:asciiTheme="majorBidi" w:hAnsiTheme="majorBidi" w:cstheme="majorBidi"/>
          <w:szCs w:val="24"/>
          <w:lang w:val="en-MY"/>
        </w:rPr>
        <w:t xml:space="preserve"> is not a narrow issue of fiqh, nor can it</w:t>
      </w:r>
      <w:r w:rsidR="00B54372" w:rsidRPr="00B54372">
        <w:rPr>
          <w:rFonts w:asciiTheme="majorBidi" w:hAnsiTheme="majorBidi" w:cstheme="majorBidi"/>
          <w:szCs w:val="24"/>
          <w:lang w:val="en-MY"/>
        </w:rPr>
        <w:t xml:space="preserve"> only be viewed as an economic pricing technique. It is an opening question of integration which crosses the boundaries of Islamic jurisprudence, market valuation, institutional governance and public accountability. In classical jurisprudence,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of gold </w:t>
      </w:r>
      <w:r>
        <w:rPr>
          <w:rFonts w:asciiTheme="majorBidi" w:hAnsiTheme="majorBidi" w:cstheme="majorBidi"/>
          <w:szCs w:val="24"/>
          <w:lang w:val="en-MY"/>
        </w:rPr>
        <w:t>is defined as 20 dinars, which, in administration, is currently translated as about 85 grams</w:t>
      </w:r>
      <w:r w:rsidR="00B54372" w:rsidRPr="00B54372">
        <w:rPr>
          <w:rFonts w:asciiTheme="majorBidi" w:hAnsiTheme="majorBidi" w:cstheme="majorBidi"/>
          <w:szCs w:val="24"/>
          <w:lang w:val="en-MY"/>
        </w:rPr>
        <w:t xml:space="preserve"> of pure gold. The reference of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in jurisprudence in this way constitutes the continuity of the Shariah of the </w:t>
      </w:r>
      <w:proofErr w:type="spellStart"/>
      <w:r w:rsidR="00B54372" w:rsidRPr="00B54372">
        <w:rPr>
          <w:rFonts w:asciiTheme="majorBidi" w:hAnsiTheme="majorBidi" w:cstheme="majorBidi"/>
          <w:szCs w:val="24"/>
          <w:lang w:val="en-MY"/>
        </w:rPr>
        <w:t>nisab</w:t>
      </w:r>
      <w:proofErr w:type="spellEnd"/>
      <w:r>
        <w:rPr>
          <w:rFonts w:asciiTheme="majorBidi" w:hAnsiTheme="majorBidi" w:cstheme="majorBidi"/>
          <w:szCs w:val="24"/>
          <w:lang w:val="en-MY"/>
        </w:rPr>
        <w:t>. It will</w:t>
      </w:r>
      <w:r w:rsidR="00B54372" w:rsidRPr="00B54372">
        <w:rPr>
          <w:rFonts w:asciiTheme="majorBidi" w:hAnsiTheme="majorBidi" w:cstheme="majorBidi"/>
          <w:szCs w:val="24"/>
          <w:lang w:val="en-MY"/>
        </w:rPr>
        <w:t xml:space="preserve"> make it impossible to </w:t>
      </w:r>
      <w:r>
        <w:rPr>
          <w:rFonts w:asciiTheme="majorBidi" w:hAnsiTheme="majorBidi" w:cstheme="majorBidi"/>
          <w:szCs w:val="24"/>
          <w:lang w:val="en-MY"/>
        </w:rPr>
        <w:t xml:space="preserve">raise or lower the substantive limit of the obligation to pay zakat at the whims of </w:t>
      </w:r>
      <w:r w:rsidR="00B54372" w:rsidRPr="00B54372">
        <w:rPr>
          <w:rFonts w:asciiTheme="majorBidi" w:hAnsiTheme="majorBidi" w:cstheme="majorBidi"/>
          <w:szCs w:val="24"/>
          <w:lang w:val="en-MY"/>
        </w:rPr>
        <w:t>zakat institutions.</w:t>
      </w:r>
    </w:p>
    <w:p w:rsidR="00BC1850" w:rsidRDefault="00BC1850" w:rsidP="00BC1850">
      <w:pPr>
        <w:spacing w:line="240" w:lineRule="auto"/>
        <w:ind w:firstLine="720"/>
        <w:jc w:val="both"/>
        <w:rPr>
          <w:rFonts w:asciiTheme="majorBidi" w:hAnsiTheme="majorBidi" w:cstheme="majorBidi"/>
          <w:szCs w:val="24"/>
          <w:lang w:val="en-MY"/>
        </w:rPr>
      </w:pPr>
      <w:r w:rsidRPr="00B54372">
        <w:rPr>
          <w:rFonts w:asciiTheme="majorBidi" w:hAnsiTheme="majorBidi" w:cstheme="majorBidi"/>
          <w:szCs w:val="24"/>
          <w:lang w:val="en-MY"/>
        </w:rPr>
        <w:t>Nevertheless</w:t>
      </w:r>
      <w:r w:rsidR="00B54372" w:rsidRPr="00B54372">
        <w:rPr>
          <w:rFonts w:asciiTheme="majorBidi" w:hAnsiTheme="majorBidi" w:cstheme="majorBidi"/>
          <w:szCs w:val="24"/>
          <w:lang w:val="en-MY"/>
        </w:rPr>
        <w:t xml:space="preserve">, the problem today </w:t>
      </w:r>
      <w:r w:rsidR="00AB4E02">
        <w:rPr>
          <w:rFonts w:asciiTheme="majorBidi" w:hAnsiTheme="majorBidi" w:cstheme="majorBidi"/>
          <w:szCs w:val="24"/>
          <w:lang w:val="en-MY"/>
        </w:rPr>
        <w:t xml:space="preserve">begins with the need to convert this fixed gold standard into a monetary value to facilitate the administration of </w:t>
      </w:r>
      <w:r w:rsidR="00B54372" w:rsidRPr="00B54372">
        <w:rPr>
          <w:rFonts w:asciiTheme="majorBidi" w:hAnsiTheme="majorBidi" w:cstheme="majorBidi"/>
          <w:szCs w:val="24"/>
          <w:lang w:val="en-MY"/>
        </w:rPr>
        <w:t xml:space="preserve">modern </w:t>
      </w:r>
      <w:proofErr w:type="spellStart"/>
      <w:r w:rsidR="00B54372" w:rsidRPr="00B54372">
        <w:rPr>
          <w:rFonts w:asciiTheme="majorBidi" w:hAnsiTheme="majorBidi" w:cstheme="majorBidi"/>
          <w:szCs w:val="24"/>
          <w:lang w:val="en-MY"/>
        </w:rPr>
        <w:t>Zakah</w:t>
      </w:r>
      <w:proofErr w:type="spellEnd"/>
      <w:r w:rsidR="00B54372" w:rsidRPr="00B54372">
        <w:rPr>
          <w:rFonts w:asciiTheme="majorBidi" w:hAnsiTheme="majorBidi" w:cstheme="majorBidi"/>
          <w:szCs w:val="24"/>
          <w:lang w:val="en-MY"/>
        </w:rPr>
        <w:t xml:space="preserve">. Zakat is generally </w:t>
      </w:r>
      <w:r w:rsidR="00AB4E02">
        <w:rPr>
          <w:rFonts w:asciiTheme="majorBidi" w:hAnsiTheme="majorBidi" w:cstheme="majorBidi"/>
          <w:szCs w:val="24"/>
          <w:lang w:val="en-MY"/>
        </w:rPr>
        <w:t xml:space="preserve">derived from </w:t>
      </w:r>
      <w:r w:rsidR="003B1A2E">
        <w:rPr>
          <w:rFonts w:asciiTheme="majorBidi" w:hAnsiTheme="majorBidi" w:cstheme="majorBidi"/>
          <w:szCs w:val="24"/>
          <w:lang w:val="en-MY"/>
        </w:rPr>
        <w:t xml:space="preserve">paper money assets such as savings, income, shares, business assets, and other forms of wealth in the current </w:t>
      </w:r>
      <w:r w:rsidR="00B54372" w:rsidRPr="00B54372">
        <w:rPr>
          <w:rFonts w:asciiTheme="majorBidi" w:hAnsiTheme="majorBidi" w:cstheme="majorBidi"/>
          <w:szCs w:val="24"/>
          <w:lang w:val="en-MY"/>
        </w:rPr>
        <w:t xml:space="preserve">economy. Thus, although the gold weight standard of Shariah remains constant, its value in Ringgit Malaysia or any other currency is adjusted based on the gold price, </w:t>
      </w:r>
      <w:r w:rsidR="00AB4E02">
        <w:rPr>
          <w:rFonts w:asciiTheme="majorBidi" w:hAnsiTheme="majorBidi" w:cstheme="majorBidi"/>
          <w:szCs w:val="24"/>
          <w:lang w:val="en-MY"/>
        </w:rPr>
        <w:t xml:space="preserve">the type of gold used, exchange rates, the assumed gold purity, and the </w:t>
      </w:r>
      <w:r w:rsidR="00B54372" w:rsidRPr="00B54372">
        <w:rPr>
          <w:rFonts w:asciiTheme="majorBidi" w:hAnsiTheme="majorBidi" w:cstheme="majorBidi"/>
          <w:szCs w:val="24"/>
          <w:lang w:val="en-MY"/>
        </w:rPr>
        <w:t xml:space="preserve">timing and averaging methods adopted by the institution. This is fundamental.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as a juristic value is one</w:t>
      </w:r>
      <w:r w:rsidR="00AB4E02">
        <w:rPr>
          <w:rFonts w:asciiTheme="majorBidi" w:hAnsiTheme="majorBidi" w:cstheme="majorBidi"/>
          <w:szCs w:val="24"/>
          <w:lang w:val="en-MY"/>
        </w:rPr>
        <w:t>,</w:t>
      </w:r>
      <w:r w:rsidR="00B54372" w:rsidRPr="00B54372">
        <w:rPr>
          <w:rFonts w:asciiTheme="majorBidi" w:hAnsiTheme="majorBidi" w:cstheme="majorBidi"/>
          <w:szCs w:val="24"/>
          <w:lang w:val="en-MY"/>
        </w:rPr>
        <w:t xml:space="preserve"> and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as an administrative value of the currency is another.</w:t>
      </w:r>
      <w:r>
        <w:rPr>
          <w:rFonts w:asciiTheme="majorBidi" w:hAnsiTheme="majorBidi" w:cstheme="majorBidi"/>
          <w:szCs w:val="24"/>
          <w:lang w:val="en-MY"/>
        </w:rPr>
        <w:t xml:space="preserve"> </w:t>
      </w:r>
      <w:r w:rsidR="00B54372" w:rsidRPr="00B54372">
        <w:rPr>
          <w:rFonts w:asciiTheme="majorBidi" w:hAnsiTheme="majorBidi" w:cstheme="majorBidi"/>
          <w:szCs w:val="24"/>
          <w:lang w:val="en-MY"/>
        </w:rPr>
        <w:t xml:space="preserve">That is why it is not enough to cite the issue </w:t>
      </w:r>
      <w:r w:rsidR="00AB4E02">
        <w:rPr>
          <w:rFonts w:asciiTheme="majorBidi" w:hAnsiTheme="majorBidi" w:cstheme="majorBidi"/>
          <w:szCs w:val="24"/>
          <w:lang w:val="en-MY"/>
        </w:rPr>
        <w:t>solely by words</w:t>
      </w:r>
      <w:r w:rsidR="00B54372" w:rsidRPr="00B54372">
        <w:rPr>
          <w:rFonts w:asciiTheme="majorBidi" w:hAnsiTheme="majorBidi" w:cstheme="majorBidi"/>
          <w:szCs w:val="24"/>
          <w:lang w:val="en-MY"/>
        </w:rPr>
        <w:t xml:space="preserve">. Fiqh </w:t>
      </w:r>
      <w:r w:rsidR="00AB4E02">
        <w:rPr>
          <w:rFonts w:asciiTheme="majorBidi" w:hAnsiTheme="majorBidi" w:cstheme="majorBidi"/>
          <w:szCs w:val="24"/>
          <w:lang w:val="en-MY"/>
        </w:rPr>
        <w:t>provides the general framework but does not decide on the choice of price, whether a spot price, a monthly average, an annual average, the previous year</w:t>
      </w:r>
      <w:r w:rsidR="00A33D64">
        <w:rPr>
          <w:rFonts w:asciiTheme="majorBidi" w:hAnsiTheme="majorBidi" w:cstheme="majorBidi"/>
          <w:szCs w:val="24"/>
          <w:lang w:val="en-MY"/>
        </w:rPr>
        <w:t>’</w:t>
      </w:r>
      <w:r w:rsidR="00AB4E02">
        <w:rPr>
          <w:rFonts w:asciiTheme="majorBidi" w:hAnsiTheme="majorBidi" w:cstheme="majorBidi"/>
          <w:szCs w:val="24"/>
          <w:lang w:val="en-MY"/>
        </w:rPr>
        <w:t>s rate,</w:t>
      </w:r>
      <w:r w:rsidR="00B54372" w:rsidRPr="00B54372">
        <w:rPr>
          <w:rFonts w:asciiTheme="majorBidi" w:hAnsiTheme="majorBidi" w:cstheme="majorBidi"/>
          <w:szCs w:val="24"/>
          <w:lang w:val="en-MY"/>
        </w:rPr>
        <w:t xml:space="preserve"> or a </w:t>
      </w:r>
      <w:proofErr w:type="spellStart"/>
      <w:r w:rsidR="00B54372" w:rsidRPr="00B54372">
        <w:rPr>
          <w:rFonts w:asciiTheme="majorBidi" w:hAnsiTheme="majorBidi" w:cstheme="majorBidi"/>
          <w:szCs w:val="24"/>
          <w:lang w:val="en-MY"/>
        </w:rPr>
        <w:t>taqdiri</w:t>
      </w:r>
      <w:proofErr w:type="spellEnd"/>
      <w:r w:rsidR="00B54372" w:rsidRPr="00B54372">
        <w:rPr>
          <w:rFonts w:asciiTheme="majorBidi" w:hAnsiTheme="majorBidi" w:cstheme="majorBidi"/>
          <w:szCs w:val="24"/>
          <w:lang w:val="en-MY"/>
        </w:rPr>
        <w:t xml:space="preserve"> administrative rate. Likewise, while the market forces of the world and the fluctuations of currencies, inflation expectations, interest rates, and geopolitical uncertainty may explain the price trends for gold, only economics can make such a determination, not what is religiously legitimate, socially fair, or institutionally trustworthy. The main problem is not whether fiqh is more important than economics, but how they </w:t>
      </w:r>
      <w:r w:rsidR="00AB4E02">
        <w:rPr>
          <w:rFonts w:asciiTheme="majorBidi" w:hAnsiTheme="majorBidi" w:cstheme="majorBidi"/>
          <w:szCs w:val="24"/>
          <w:lang w:val="en-MY"/>
        </w:rPr>
        <w:t xml:space="preserve">should be combined </w:t>
      </w:r>
      <w:r w:rsidR="00B54372" w:rsidRPr="00B54372">
        <w:rPr>
          <w:rFonts w:asciiTheme="majorBidi" w:hAnsiTheme="majorBidi" w:cstheme="majorBidi"/>
          <w:szCs w:val="24"/>
          <w:lang w:val="en-MY"/>
        </w:rPr>
        <w:t>through good Islamic governance.</w:t>
      </w:r>
    </w:p>
    <w:p w:rsidR="00BC1850" w:rsidRDefault="00B54372" w:rsidP="00BC1850">
      <w:pPr>
        <w:spacing w:line="240" w:lineRule="auto"/>
        <w:ind w:firstLine="720"/>
        <w:jc w:val="both"/>
        <w:rPr>
          <w:rFonts w:asciiTheme="majorBidi" w:hAnsiTheme="majorBidi" w:cstheme="majorBidi"/>
          <w:szCs w:val="24"/>
          <w:lang w:val="en-MY"/>
        </w:rPr>
      </w:pPr>
      <w:r w:rsidRPr="00B54372">
        <w:rPr>
          <w:rFonts w:asciiTheme="majorBidi" w:hAnsiTheme="majorBidi" w:cstheme="majorBidi"/>
          <w:szCs w:val="24"/>
          <w:lang w:val="en-MY"/>
        </w:rPr>
        <w:t>At this moment</w:t>
      </w:r>
      <w:r w:rsidR="00AB4E02">
        <w:rPr>
          <w:rFonts w:asciiTheme="majorBidi" w:hAnsiTheme="majorBidi" w:cstheme="majorBidi"/>
          <w:szCs w:val="24"/>
          <w:lang w:val="en-MY"/>
        </w:rPr>
        <w:t>,</w:t>
      </w:r>
      <w:r w:rsidRPr="00B54372">
        <w:rPr>
          <w:rFonts w:asciiTheme="majorBidi" w:hAnsiTheme="majorBidi" w:cstheme="majorBidi"/>
          <w:szCs w:val="24"/>
          <w:lang w:val="en-MY"/>
        </w:rPr>
        <w:t xml:space="preserve"> administrative ijtihad is a requirement. Administrative ijtihad does not contradict the benchmark of the Shariah. Instead, it </w:t>
      </w:r>
      <w:r w:rsidR="00AB4E02">
        <w:rPr>
          <w:rFonts w:asciiTheme="majorBidi" w:hAnsiTheme="majorBidi" w:cstheme="majorBidi"/>
          <w:szCs w:val="24"/>
          <w:lang w:val="en-MY"/>
        </w:rPr>
        <w:t>calculates the Shariah benchmark across</w:t>
      </w:r>
      <w:r w:rsidRPr="00B54372">
        <w:rPr>
          <w:rFonts w:asciiTheme="majorBidi" w:hAnsiTheme="majorBidi" w:cstheme="majorBidi"/>
          <w:szCs w:val="24"/>
          <w:lang w:val="en-MY"/>
        </w:rPr>
        <w:t xml:space="preserve"> </w:t>
      </w:r>
      <w:r w:rsidRPr="00B54372">
        <w:rPr>
          <w:rFonts w:asciiTheme="majorBidi" w:hAnsiTheme="majorBidi" w:cstheme="majorBidi"/>
          <w:szCs w:val="24"/>
          <w:lang w:val="en-MY"/>
        </w:rPr>
        <w:lastRenderedPageBreak/>
        <w:t xml:space="preserve">different contexts. This is similar to the institutional calculation of </w:t>
      </w:r>
      <w:r w:rsidR="00AB4E02">
        <w:rPr>
          <w:rFonts w:asciiTheme="majorBidi" w:hAnsiTheme="majorBidi" w:cstheme="majorBidi"/>
          <w:szCs w:val="24"/>
          <w:lang w:val="en-MY"/>
        </w:rPr>
        <w:t>prayer times, the direction of the qibla, the regulations governing the distribution of zakat,</w:t>
      </w:r>
      <w:r w:rsidRPr="00B54372">
        <w:rPr>
          <w:rFonts w:asciiTheme="majorBidi" w:hAnsiTheme="majorBidi" w:cstheme="majorBidi"/>
          <w:szCs w:val="24"/>
          <w:lang w:val="en-MY"/>
        </w:rPr>
        <w:t xml:space="preserve"> and the evaluation of eligibility for the </w:t>
      </w:r>
      <w:proofErr w:type="spellStart"/>
      <w:r w:rsidRPr="00B54372">
        <w:rPr>
          <w:rFonts w:asciiTheme="majorBidi" w:hAnsiTheme="majorBidi" w:cstheme="majorBidi"/>
          <w:szCs w:val="24"/>
          <w:lang w:val="en-MY"/>
        </w:rPr>
        <w:t>asnaf</w:t>
      </w:r>
      <w:proofErr w:type="spellEnd"/>
      <w:r w:rsidRPr="00B54372">
        <w:rPr>
          <w:rFonts w:asciiTheme="majorBidi" w:hAnsiTheme="majorBidi" w:cstheme="majorBidi"/>
          <w:szCs w:val="24"/>
          <w:lang w:val="en-MY"/>
        </w:rPr>
        <w:t xml:space="preserve">. While the religious obligation is constant, its implementation is based on calculation, expertise, data, institutional procedure and public explanation. Administering this ijtihad in the case of the gold-based </w:t>
      </w:r>
      <w:proofErr w:type="spellStart"/>
      <w:r w:rsidRPr="00B54372">
        <w:rPr>
          <w:rFonts w:asciiTheme="majorBidi" w:hAnsiTheme="majorBidi" w:cstheme="majorBidi"/>
          <w:szCs w:val="24"/>
          <w:lang w:val="en-MY"/>
        </w:rPr>
        <w:t>nisab</w:t>
      </w:r>
      <w:proofErr w:type="spellEnd"/>
      <w:r w:rsidRPr="00B54372">
        <w:rPr>
          <w:rFonts w:asciiTheme="majorBidi" w:hAnsiTheme="majorBidi" w:cstheme="majorBidi"/>
          <w:szCs w:val="24"/>
          <w:lang w:val="en-MY"/>
        </w:rPr>
        <w:t xml:space="preserve"> must not be </w:t>
      </w:r>
      <w:r w:rsidR="003B1A2E">
        <w:rPr>
          <w:rFonts w:asciiTheme="majorBidi" w:hAnsiTheme="majorBidi" w:cstheme="majorBidi"/>
          <w:szCs w:val="24"/>
          <w:lang w:val="en-MY"/>
        </w:rPr>
        <w:t xml:space="preserve">left to </w:t>
      </w:r>
      <w:r w:rsidR="003D7EAE">
        <w:rPr>
          <w:rFonts w:asciiTheme="majorBidi" w:hAnsiTheme="majorBidi" w:cstheme="majorBidi"/>
          <w:szCs w:val="24"/>
          <w:lang w:val="en-MY"/>
        </w:rPr>
        <w:t>the individual</w:t>
      </w:r>
      <w:r w:rsidR="00A33D64">
        <w:rPr>
          <w:rFonts w:asciiTheme="majorBidi" w:hAnsiTheme="majorBidi" w:cstheme="majorBidi"/>
          <w:szCs w:val="24"/>
          <w:lang w:val="en-MY"/>
        </w:rPr>
        <w:t>’</w:t>
      </w:r>
      <w:r w:rsidR="003D7EAE">
        <w:rPr>
          <w:rFonts w:asciiTheme="majorBidi" w:hAnsiTheme="majorBidi" w:cstheme="majorBidi"/>
          <w:szCs w:val="24"/>
          <w:lang w:val="en-MY"/>
        </w:rPr>
        <w:t>s discretion</w:t>
      </w:r>
      <w:r w:rsidRPr="00B54372">
        <w:rPr>
          <w:rFonts w:asciiTheme="majorBidi" w:hAnsiTheme="majorBidi" w:cstheme="majorBidi"/>
          <w:szCs w:val="24"/>
          <w:lang w:val="en-MY"/>
        </w:rPr>
        <w:t>. It should be guided by jurists</w:t>
      </w:r>
      <w:r w:rsidR="00AB4E02">
        <w:rPr>
          <w:rFonts w:asciiTheme="majorBidi" w:hAnsiTheme="majorBidi" w:cstheme="majorBidi"/>
          <w:szCs w:val="24"/>
          <w:lang w:val="en-MY"/>
        </w:rPr>
        <w:t xml:space="preserve">, economists, </w:t>
      </w:r>
      <w:r w:rsidRPr="00B54372">
        <w:rPr>
          <w:rFonts w:asciiTheme="majorBidi" w:hAnsiTheme="majorBidi" w:cstheme="majorBidi"/>
          <w:szCs w:val="24"/>
          <w:lang w:val="en-MY"/>
        </w:rPr>
        <w:t>data experts, as well as Shariah committees and governance boards. Thus, the methodology has a religious basis and is defensible in administration.</w:t>
      </w:r>
      <w:r w:rsidR="00BC1850">
        <w:rPr>
          <w:rFonts w:asciiTheme="majorBidi" w:hAnsiTheme="majorBidi" w:cstheme="majorBidi"/>
          <w:szCs w:val="24"/>
          <w:lang w:val="en-MY"/>
        </w:rPr>
        <w:t xml:space="preserve"> </w:t>
      </w:r>
      <w:r w:rsidRPr="00B54372">
        <w:rPr>
          <w:rFonts w:asciiTheme="majorBidi" w:hAnsiTheme="majorBidi" w:cstheme="majorBidi"/>
          <w:szCs w:val="24"/>
          <w:lang w:val="en-MY"/>
        </w:rPr>
        <w:t xml:space="preserve">This argument can be substantiated by the Malaysian evidence presented earlier. There are various approaches to calculating the </w:t>
      </w:r>
      <w:proofErr w:type="spellStart"/>
      <w:r w:rsidRPr="00B54372">
        <w:rPr>
          <w:rFonts w:asciiTheme="majorBidi" w:hAnsiTheme="majorBidi" w:cstheme="majorBidi"/>
          <w:szCs w:val="24"/>
          <w:lang w:val="en-MY"/>
        </w:rPr>
        <w:t>nisab</w:t>
      </w:r>
      <w:proofErr w:type="spellEnd"/>
      <w:r w:rsidRPr="00B54372">
        <w:rPr>
          <w:rFonts w:asciiTheme="majorBidi" w:hAnsiTheme="majorBidi" w:cstheme="majorBidi"/>
          <w:szCs w:val="24"/>
          <w:lang w:val="en-MY"/>
        </w:rPr>
        <w:t xml:space="preserve"> amount in monetary terms. Some people use the current price of gold (85 grams), some people use the average gold price of the previous year, some people use the review system in a manner of months</w:t>
      </w:r>
      <w:r w:rsidR="00AB4E02">
        <w:rPr>
          <w:rFonts w:asciiTheme="majorBidi" w:hAnsiTheme="majorBidi" w:cstheme="majorBidi"/>
          <w:szCs w:val="24"/>
          <w:lang w:val="en-MY"/>
        </w:rPr>
        <w:t>, and some utilise</w:t>
      </w:r>
      <w:r w:rsidRPr="00B54372">
        <w:rPr>
          <w:rFonts w:asciiTheme="majorBidi" w:hAnsiTheme="majorBidi" w:cstheme="majorBidi"/>
          <w:szCs w:val="24"/>
          <w:lang w:val="en-MY"/>
        </w:rPr>
        <w:t xml:space="preserve"> the administrative system of </w:t>
      </w:r>
      <w:proofErr w:type="spellStart"/>
      <w:r w:rsidRPr="00B54372">
        <w:rPr>
          <w:rFonts w:asciiTheme="majorBidi" w:hAnsiTheme="majorBidi" w:cstheme="majorBidi"/>
          <w:szCs w:val="24"/>
          <w:lang w:val="en-MY"/>
        </w:rPr>
        <w:t>nisab</w:t>
      </w:r>
      <w:proofErr w:type="spellEnd"/>
      <w:r w:rsidRPr="00B54372">
        <w:rPr>
          <w:rFonts w:asciiTheme="majorBidi" w:hAnsiTheme="majorBidi" w:cstheme="majorBidi"/>
          <w:szCs w:val="24"/>
          <w:lang w:val="en-MY"/>
        </w:rPr>
        <w:t xml:space="preserve"> </w:t>
      </w:r>
      <w:proofErr w:type="spellStart"/>
      <w:r w:rsidRPr="00B54372">
        <w:rPr>
          <w:rFonts w:asciiTheme="majorBidi" w:hAnsiTheme="majorBidi" w:cstheme="majorBidi"/>
          <w:szCs w:val="24"/>
          <w:lang w:val="en-MY"/>
        </w:rPr>
        <w:t>taqdiri</w:t>
      </w:r>
      <w:proofErr w:type="spellEnd"/>
      <w:r w:rsidRPr="00B54372">
        <w:rPr>
          <w:rFonts w:asciiTheme="majorBidi" w:hAnsiTheme="majorBidi" w:cstheme="majorBidi"/>
          <w:szCs w:val="24"/>
          <w:lang w:val="en-MY"/>
        </w:rPr>
        <w:t xml:space="preserve"> and the lowest price in the particular year in the particular instrument of zakat. The numerical disparities indicate that there was no simple formula </w:t>
      </w:r>
      <w:r w:rsidR="00AB4E02">
        <w:rPr>
          <w:rFonts w:asciiTheme="majorBidi" w:hAnsiTheme="majorBidi" w:cstheme="majorBidi"/>
          <w:szCs w:val="24"/>
          <w:lang w:val="en-MY"/>
        </w:rPr>
        <w:t>for multiplying 85 grams by the</w:t>
      </w:r>
      <w:r w:rsidRPr="00B54372">
        <w:rPr>
          <w:rFonts w:asciiTheme="majorBidi" w:hAnsiTheme="majorBidi" w:cstheme="majorBidi"/>
          <w:szCs w:val="24"/>
          <w:lang w:val="en-MY"/>
        </w:rPr>
        <w:t xml:space="preserve"> price of gold to establish the </w:t>
      </w:r>
      <w:proofErr w:type="spellStart"/>
      <w:r w:rsidRPr="00B54372">
        <w:rPr>
          <w:rFonts w:asciiTheme="majorBidi" w:hAnsiTheme="majorBidi" w:cstheme="majorBidi"/>
          <w:szCs w:val="24"/>
          <w:lang w:val="en-MY"/>
        </w:rPr>
        <w:t>nisab</w:t>
      </w:r>
      <w:proofErr w:type="spellEnd"/>
      <w:r w:rsidRPr="00B54372">
        <w:rPr>
          <w:rFonts w:asciiTheme="majorBidi" w:hAnsiTheme="majorBidi" w:cstheme="majorBidi"/>
          <w:szCs w:val="24"/>
          <w:lang w:val="en-MY"/>
        </w:rPr>
        <w:t xml:space="preserve">. This is because it is based on institutional decisions </w:t>
      </w:r>
      <w:r w:rsidR="00AB4E02">
        <w:rPr>
          <w:rFonts w:asciiTheme="majorBidi" w:hAnsiTheme="majorBidi" w:cstheme="majorBidi"/>
          <w:szCs w:val="24"/>
          <w:lang w:val="en-MY"/>
        </w:rPr>
        <w:t>about the source of the price, when the price should be assessed, how often the price should be reviewed, and the purpose</w:t>
      </w:r>
      <w:r w:rsidRPr="00B54372">
        <w:rPr>
          <w:rFonts w:asciiTheme="majorBidi" w:hAnsiTheme="majorBidi" w:cstheme="majorBidi"/>
          <w:szCs w:val="24"/>
          <w:lang w:val="en-MY"/>
        </w:rPr>
        <w:t xml:space="preserve"> of stability. However, the diversity of approaches does not necessarily mean that it is manipulative or not in accordance with Shariah. Instead</w:t>
      </w:r>
      <w:r w:rsidR="00AB4E02">
        <w:rPr>
          <w:rFonts w:asciiTheme="majorBidi" w:hAnsiTheme="majorBidi" w:cstheme="majorBidi"/>
          <w:szCs w:val="24"/>
          <w:lang w:val="en-MY"/>
        </w:rPr>
        <w:t>, it reveals that the administration of zakat has always involved a measure of policy judgement,</w:t>
      </w:r>
      <w:r w:rsidRPr="00B54372">
        <w:rPr>
          <w:rFonts w:asciiTheme="majorBidi" w:hAnsiTheme="majorBidi" w:cstheme="majorBidi"/>
          <w:szCs w:val="24"/>
          <w:lang w:val="en-MY"/>
        </w:rPr>
        <w:t xml:space="preserve"> </w:t>
      </w:r>
      <w:r w:rsidR="00AB4E02">
        <w:rPr>
          <w:rFonts w:asciiTheme="majorBidi" w:hAnsiTheme="majorBidi" w:cstheme="majorBidi"/>
          <w:szCs w:val="24"/>
          <w:lang w:val="en-MY"/>
        </w:rPr>
        <w:t>provided</w:t>
      </w:r>
      <w:r w:rsidRPr="00B54372">
        <w:rPr>
          <w:rFonts w:asciiTheme="majorBidi" w:hAnsiTheme="majorBidi" w:cstheme="majorBidi"/>
          <w:szCs w:val="24"/>
          <w:lang w:val="en-MY"/>
        </w:rPr>
        <w:t xml:space="preserve"> the juristic standard is not breached</w:t>
      </w:r>
      <w:r w:rsidR="00AB4E02">
        <w:rPr>
          <w:rFonts w:asciiTheme="majorBidi" w:hAnsiTheme="majorBidi" w:cstheme="majorBidi"/>
          <w:szCs w:val="24"/>
          <w:lang w:val="en-MY"/>
        </w:rPr>
        <w:t>,</w:t>
      </w:r>
      <w:r w:rsidRPr="00B54372">
        <w:rPr>
          <w:rFonts w:asciiTheme="majorBidi" w:hAnsiTheme="majorBidi" w:cstheme="majorBidi"/>
          <w:szCs w:val="24"/>
          <w:lang w:val="en-MY"/>
        </w:rPr>
        <w:t xml:space="preserve"> and the methodology is transparent.</w:t>
      </w:r>
    </w:p>
    <w:p w:rsidR="00B16B41" w:rsidRPr="00B16B41" w:rsidRDefault="00BC1850" w:rsidP="006C5A87">
      <w:pPr>
        <w:spacing w:line="240" w:lineRule="auto"/>
        <w:ind w:firstLine="720"/>
        <w:jc w:val="both"/>
        <w:rPr>
          <w:rFonts w:asciiTheme="majorBidi" w:hAnsiTheme="majorBidi" w:cstheme="majorBidi"/>
          <w:szCs w:val="24"/>
          <w:lang w:val="en-MY"/>
        </w:rPr>
      </w:pPr>
      <w:r w:rsidRPr="00B54372">
        <w:rPr>
          <w:rFonts w:asciiTheme="majorBidi" w:hAnsiTheme="majorBidi" w:cstheme="majorBidi"/>
          <w:szCs w:val="24"/>
          <w:lang w:val="en-MY"/>
        </w:rPr>
        <w:t>Consequently,</w:t>
      </w:r>
      <w:r w:rsidR="00B54372" w:rsidRPr="00B54372">
        <w:rPr>
          <w:rFonts w:asciiTheme="majorBidi" w:hAnsiTheme="majorBidi" w:cstheme="majorBidi"/>
          <w:szCs w:val="24"/>
          <w:lang w:val="en-MY"/>
        </w:rPr>
        <w:t xml:space="preserve"> the ethical direction for this integration is </w:t>
      </w:r>
      <w:proofErr w:type="spellStart"/>
      <w:r w:rsidR="00B54372" w:rsidRPr="00B54372">
        <w:rPr>
          <w:rFonts w:asciiTheme="majorBidi" w:hAnsiTheme="majorBidi" w:cstheme="majorBidi"/>
          <w:szCs w:val="24"/>
          <w:lang w:val="en-MY"/>
        </w:rPr>
        <w:t>maqasid</w:t>
      </w:r>
      <w:proofErr w:type="spellEnd"/>
      <w:r w:rsidR="00B54372" w:rsidRPr="00B54372">
        <w:rPr>
          <w:rFonts w:asciiTheme="majorBidi" w:hAnsiTheme="majorBidi" w:cstheme="majorBidi"/>
          <w:szCs w:val="24"/>
          <w:lang w:val="en-MY"/>
        </w:rPr>
        <w:t xml:space="preserve"> al-shariah. Zakat, </w:t>
      </w:r>
      <w:r w:rsidR="0006753B">
        <w:rPr>
          <w:rFonts w:asciiTheme="majorBidi" w:hAnsiTheme="majorBidi" w:cstheme="majorBidi"/>
          <w:szCs w:val="24"/>
          <w:lang w:val="en-MY"/>
        </w:rPr>
        <w:t>in addition to being obligatory, is an institution that purifies wealth, aids people experiencing poverty, reduces hoarding, distributes wealth,</w:t>
      </w:r>
      <w:r w:rsidR="00B54372" w:rsidRPr="00B54372">
        <w:rPr>
          <w:rFonts w:asciiTheme="majorBidi" w:hAnsiTheme="majorBidi" w:cstheme="majorBidi"/>
          <w:szCs w:val="24"/>
          <w:lang w:val="en-MY"/>
        </w:rPr>
        <w:t xml:space="preserve"> and cements social bonds. A technically sound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methodology</w:t>
      </w:r>
      <w:r w:rsidR="00AB4E02">
        <w:rPr>
          <w:rFonts w:asciiTheme="majorBidi" w:hAnsiTheme="majorBidi" w:cstheme="majorBidi"/>
          <w:szCs w:val="24"/>
          <w:lang w:val="en-MY"/>
        </w:rPr>
        <w:t xml:space="preserve"> that results in undue instability, confusion, or apparent injustice can undermine</w:t>
      </w:r>
      <w:r w:rsidR="00B54372" w:rsidRPr="00B54372">
        <w:rPr>
          <w:rFonts w:asciiTheme="majorBidi" w:hAnsiTheme="majorBidi" w:cstheme="majorBidi"/>
          <w:szCs w:val="24"/>
          <w:lang w:val="en-MY"/>
        </w:rPr>
        <w:t xml:space="preserve"> these purposes. For instance, if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increases significantly due to a sudden </w:t>
      </w:r>
      <w:r w:rsidR="00AB4E02">
        <w:rPr>
          <w:rFonts w:asciiTheme="majorBidi" w:hAnsiTheme="majorBidi" w:cstheme="majorBidi"/>
          <w:szCs w:val="24"/>
          <w:lang w:val="en-MY"/>
        </w:rPr>
        <w:t>worldwide surge in gold prices, those who have wealth but cannot pay it may not be</w:t>
      </w:r>
      <w:r w:rsidR="00B54372" w:rsidRPr="00B54372">
        <w:rPr>
          <w:rFonts w:asciiTheme="majorBidi" w:hAnsiTheme="majorBidi" w:cstheme="majorBidi"/>
          <w:szCs w:val="24"/>
          <w:lang w:val="en-MY"/>
        </w:rPr>
        <w:t xml:space="preserve"> liable for zakat. On the other hand, if the </w:t>
      </w:r>
      <w:proofErr w:type="spellStart"/>
      <w:r w:rsidR="00B54372" w:rsidRPr="00B54372">
        <w:rPr>
          <w:rFonts w:asciiTheme="majorBidi" w:hAnsiTheme="majorBidi" w:cstheme="majorBidi"/>
          <w:szCs w:val="24"/>
          <w:lang w:val="en-MY"/>
        </w:rPr>
        <w:t>nisab</w:t>
      </w:r>
      <w:proofErr w:type="spellEnd"/>
      <w:r w:rsidR="00B54372" w:rsidRPr="00B54372">
        <w:rPr>
          <w:rFonts w:asciiTheme="majorBidi" w:hAnsiTheme="majorBidi" w:cstheme="majorBidi"/>
          <w:szCs w:val="24"/>
          <w:lang w:val="en-MY"/>
        </w:rPr>
        <w:t xml:space="preserve"> is lowered </w:t>
      </w:r>
      <w:r w:rsidR="00AB4E02">
        <w:rPr>
          <w:rFonts w:asciiTheme="majorBidi" w:hAnsiTheme="majorBidi" w:cstheme="majorBidi"/>
          <w:szCs w:val="24"/>
          <w:lang w:val="en-MY"/>
        </w:rPr>
        <w:t>due to a temporary drop in gold prices, some people who are not far from the middle class may be added to</w:t>
      </w:r>
      <w:r w:rsidR="00B54372" w:rsidRPr="00B54372">
        <w:rPr>
          <w:rFonts w:asciiTheme="majorBidi" w:hAnsiTheme="majorBidi" w:cstheme="majorBidi"/>
          <w:szCs w:val="24"/>
          <w:lang w:val="en-MY"/>
        </w:rPr>
        <w:t xml:space="preserve"> those who have to pay zakat. </w:t>
      </w:r>
      <w:r w:rsidR="00B16B41" w:rsidRPr="00B16B41">
        <w:rPr>
          <w:rFonts w:asciiTheme="majorBidi" w:hAnsiTheme="majorBidi" w:cstheme="majorBidi"/>
          <w:szCs w:val="24"/>
          <w:lang w:val="en-MY"/>
        </w:rPr>
        <w:t>In both instances</w:t>
      </w:r>
      <w:r w:rsidR="003D7EAE">
        <w:rPr>
          <w:rFonts w:asciiTheme="majorBidi" w:hAnsiTheme="majorBidi" w:cstheme="majorBidi"/>
          <w:szCs w:val="24"/>
          <w:lang w:val="en-MY"/>
        </w:rPr>
        <w:t>, the mathematical addition of the numbers may be correct, but if it is carried out in an unfair or obscure manner</w:t>
      </w:r>
      <w:r w:rsidR="00B16B41" w:rsidRPr="00B16B41">
        <w:rPr>
          <w:rFonts w:asciiTheme="majorBidi" w:hAnsiTheme="majorBidi" w:cstheme="majorBidi"/>
          <w:szCs w:val="24"/>
          <w:lang w:val="en-MY"/>
        </w:rPr>
        <w:t xml:space="preserve">, the social results may be disturbing. The policy conundrum of precision versus stability applies here. There may be a more accurate spot-price approach, as this is closer to a point in time in the market. </w:t>
      </w:r>
      <w:r w:rsidR="003D7EAE">
        <w:rPr>
          <w:rFonts w:asciiTheme="majorBidi" w:hAnsiTheme="majorBidi" w:cstheme="majorBidi"/>
          <w:szCs w:val="24"/>
          <w:lang w:val="en-MY"/>
        </w:rPr>
        <w:t>Nevertheless,</w:t>
      </w:r>
      <w:r w:rsidR="00B16B41" w:rsidRPr="00B16B41">
        <w:rPr>
          <w:rFonts w:asciiTheme="majorBidi" w:hAnsiTheme="majorBidi" w:cstheme="majorBidi"/>
          <w:szCs w:val="24"/>
          <w:lang w:val="en-MY"/>
        </w:rPr>
        <w:t xml:space="preserve"> relying on too many prices on a </w:t>
      </w:r>
      <w:r w:rsidR="003D7EAE">
        <w:rPr>
          <w:rFonts w:asciiTheme="majorBidi" w:hAnsiTheme="majorBidi" w:cstheme="majorBidi"/>
          <w:szCs w:val="24"/>
          <w:lang w:val="en-MY"/>
        </w:rPr>
        <w:t xml:space="preserve">given day or on a single price can determine the </w:t>
      </w:r>
      <w:proofErr w:type="spellStart"/>
      <w:r w:rsidR="003D7EAE">
        <w:rPr>
          <w:rFonts w:asciiTheme="majorBidi" w:hAnsiTheme="majorBidi" w:cstheme="majorBidi"/>
          <w:szCs w:val="24"/>
          <w:lang w:val="en-MY"/>
        </w:rPr>
        <w:t>nisab</w:t>
      </w:r>
      <w:proofErr w:type="spellEnd"/>
      <w:r w:rsidR="003D7EAE">
        <w:rPr>
          <w:rFonts w:asciiTheme="majorBidi" w:hAnsiTheme="majorBidi" w:cstheme="majorBidi"/>
          <w:szCs w:val="24"/>
          <w:lang w:val="en-MY"/>
        </w:rPr>
        <w:t xml:space="preserve">, and this is dependent on market shocks on that </w:t>
      </w:r>
      <w:r w:rsidR="00B16B41" w:rsidRPr="00B16B41">
        <w:rPr>
          <w:rFonts w:asciiTheme="majorBidi" w:hAnsiTheme="majorBidi" w:cstheme="majorBidi"/>
          <w:szCs w:val="24"/>
          <w:lang w:val="en-MY"/>
        </w:rPr>
        <w:t>day. This approach may be easy to implement, but there are also questions about institutions and payers. On the other hand, an averaging method (monthly average, quarterly average</w:t>
      </w:r>
      <w:r w:rsidR="003D7EAE">
        <w:rPr>
          <w:rFonts w:asciiTheme="majorBidi" w:hAnsiTheme="majorBidi" w:cstheme="majorBidi"/>
          <w:szCs w:val="24"/>
          <w:lang w:val="en-MY"/>
        </w:rPr>
        <w:t>, or average of the previous year) may not be as accurate in a smaller market but would offer greater</w:t>
      </w:r>
      <w:r w:rsidR="00B16B41" w:rsidRPr="00B16B41">
        <w:rPr>
          <w:rFonts w:asciiTheme="majorBidi" w:hAnsiTheme="majorBidi" w:cstheme="majorBidi"/>
          <w:szCs w:val="24"/>
          <w:lang w:val="en-MY"/>
        </w:rPr>
        <w:t xml:space="preserve"> stability and predictability. This stability is more conducive to institutional planning, public communication, and fairness based on </w:t>
      </w:r>
      <w:proofErr w:type="spellStart"/>
      <w:r w:rsidR="00B16B41" w:rsidRPr="00B16B41">
        <w:rPr>
          <w:rFonts w:asciiTheme="majorBidi" w:hAnsiTheme="majorBidi" w:cstheme="majorBidi"/>
          <w:szCs w:val="24"/>
          <w:lang w:val="en-MY"/>
        </w:rPr>
        <w:t>maqasid</w:t>
      </w:r>
      <w:proofErr w:type="spellEnd"/>
      <w:r w:rsidR="00B16B41" w:rsidRPr="00B16B41">
        <w:rPr>
          <w:rFonts w:asciiTheme="majorBidi" w:hAnsiTheme="majorBidi" w:cstheme="majorBidi"/>
          <w:szCs w:val="24"/>
          <w:lang w:val="en-MY"/>
        </w:rPr>
        <w:t xml:space="preserve">, especially in an unstable gold market. </w:t>
      </w:r>
    </w:p>
    <w:p w:rsidR="00B16B41" w:rsidRPr="006C5A87" w:rsidRDefault="00B16B41" w:rsidP="006C5A87">
      <w:pPr>
        <w:spacing w:line="240" w:lineRule="auto"/>
        <w:ind w:firstLine="720"/>
        <w:jc w:val="both"/>
        <w:rPr>
          <w:rFonts w:asciiTheme="majorBidi" w:hAnsiTheme="majorBidi" w:cstheme="majorBidi"/>
          <w:szCs w:val="24"/>
          <w:lang w:val="en-MY"/>
        </w:rPr>
      </w:pPr>
      <w:proofErr w:type="gramStart"/>
      <w:r w:rsidRPr="00B16B41">
        <w:rPr>
          <w:rFonts w:asciiTheme="majorBidi" w:hAnsiTheme="majorBidi" w:cstheme="majorBidi"/>
          <w:szCs w:val="24"/>
          <w:lang w:val="en-MY"/>
        </w:rPr>
        <w:t>So</w:t>
      </w:r>
      <w:proofErr w:type="gramEnd"/>
      <w:r w:rsidRPr="00B16B41">
        <w:rPr>
          <w:rFonts w:asciiTheme="majorBidi" w:hAnsiTheme="majorBidi" w:cstheme="majorBidi"/>
          <w:szCs w:val="24"/>
          <w:lang w:val="en-MY"/>
        </w:rPr>
        <w:t xml:space="preserve"> the precision and stability should not be interpreted as </w:t>
      </w:r>
      <w:r w:rsidR="00A33D64">
        <w:rPr>
          <w:rFonts w:asciiTheme="majorBidi" w:hAnsiTheme="majorBidi" w:cstheme="majorBidi"/>
          <w:szCs w:val="24"/>
          <w:lang w:val="en-MY"/>
        </w:rPr>
        <w:t>“</w:t>
      </w:r>
      <w:r w:rsidRPr="00B16B41">
        <w:rPr>
          <w:rFonts w:asciiTheme="majorBidi" w:hAnsiTheme="majorBidi" w:cstheme="majorBidi"/>
          <w:szCs w:val="24"/>
          <w:lang w:val="en-MY"/>
        </w:rPr>
        <w:t>shariah</w:t>
      </w:r>
      <w:r w:rsidR="00A33D64">
        <w:rPr>
          <w:rFonts w:asciiTheme="majorBidi" w:hAnsiTheme="majorBidi" w:cstheme="majorBidi"/>
          <w:szCs w:val="24"/>
          <w:lang w:val="en-MY"/>
        </w:rPr>
        <w:t>”</w:t>
      </w:r>
      <w:r w:rsidRPr="00B16B41">
        <w:rPr>
          <w:rFonts w:asciiTheme="majorBidi" w:hAnsiTheme="majorBidi" w:cstheme="majorBidi"/>
          <w:szCs w:val="24"/>
          <w:lang w:val="en-MY"/>
        </w:rPr>
        <w:t xml:space="preserve"> and </w:t>
      </w:r>
      <w:r w:rsidR="00A33D64">
        <w:rPr>
          <w:rFonts w:asciiTheme="majorBidi" w:hAnsiTheme="majorBidi" w:cstheme="majorBidi"/>
          <w:szCs w:val="24"/>
          <w:lang w:val="en-MY"/>
        </w:rPr>
        <w:t>“</w:t>
      </w:r>
      <w:r w:rsidRPr="00B16B41">
        <w:rPr>
          <w:rFonts w:asciiTheme="majorBidi" w:hAnsiTheme="majorBidi" w:cstheme="majorBidi"/>
          <w:szCs w:val="24"/>
          <w:lang w:val="en-MY"/>
        </w:rPr>
        <w:t>kufr</w:t>
      </w:r>
      <w:r w:rsidR="00A33D64">
        <w:rPr>
          <w:rFonts w:asciiTheme="majorBidi" w:hAnsiTheme="majorBidi" w:cstheme="majorBidi"/>
          <w:szCs w:val="24"/>
          <w:lang w:val="en-MY"/>
        </w:rPr>
        <w:t>”</w:t>
      </w:r>
      <w:r w:rsidRPr="00B16B41">
        <w:rPr>
          <w:rFonts w:asciiTheme="majorBidi" w:hAnsiTheme="majorBidi" w:cstheme="majorBidi"/>
          <w:szCs w:val="24"/>
          <w:lang w:val="en-MY"/>
        </w:rPr>
        <w:t xml:space="preserve"> (infidelity). </w:t>
      </w:r>
      <w:r w:rsidR="003D7EAE">
        <w:rPr>
          <w:rFonts w:asciiTheme="majorBidi" w:hAnsiTheme="majorBidi" w:cstheme="majorBidi"/>
          <w:szCs w:val="24"/>
          <w:lang w:val="en-MY"/>
        </w:rPr>
        <w:t xml:space="preserve">Either of these two can be considered, provided they preserve the juristic </w:t>
      </w:r>
      <w:proofErr w:type="spellStart"/>
      <w:r w:rsidR="003D7EAE">
        <w:rPr>
          <w:rFonts w:asciiTheme="majorBidi" w:hAnsiTheme="majorBidi" w:cstheme="majorBidi"/>
          <w:szCs w:val="24"/>
          <w:lang w:val="en-MY"/>
        </w:rPr>
        <w:t>nisab</w:t>
      </w:r>
      <w:proofErr w:type="spellEnd"/>
      <w:r w:rsidR="003D7EAE">
        <w:rPr>
          <w:rFonts w:asciiTheme="majorBidi" w:hAnsiTheme="majorBidi" w:cstheme="majorBidi"/>
          <w:szCs w:val="24"/>
          <w:lang w:val="en-MY"/>
        </w:rPr>
        <w:t xml:space="preserve"> and are supported by</w:t>
      </w:r>
      <w:r w:rsidRPr="00B16B41">
        <w:rPr>
          <w:rFonts w:asciiTheme="majorBidi" w:hAnsiTheme="majorBidi" w:cstheme="majorBidi"/>
          <w:szCs w:val="24"/>
          <w:lang w:val="en-MY"/>
        </w:rPr>
        <w:t xml:space="preserve"> proper reasoning. </w:t>
      </w:r>
      <w:r w:rsidR="003D7EAE">
        <w:rPr>
          <w:rFonts w:asciiTheme="majorBidi" w:hAnsiTheme="majorBidi" w:cstheme="majorBidi"/>
          <w:szCs w:val="24"/>
          <w:lang w:val="en-MY"/>
        </w:rPr>
        <w:t>It is</w:t>
      </w:r>
      <w:r w:rsidRPr="00B16B41">
        <w:rPr>
          <w:rFonts w:asciiTheme="majorBidi" w:hAnsiTheme="majorBidi" w:cstheme="majorBidi"/>
          <w:szCs w:val="24"/>
          <w:lang w:val="en-MY"/>
        </w:rPr>
        <w:t xml:space="preserve"> about consistency, transparency, audibility and justifiability of the selected approach. If the zakat institution chooses the current price method, </w:t>
      </w:r>
      <w:r w:rsidR="003D7EAE">
        <w:rPr>
          <w:rFonts w:asciiTheme="majorBidi" w:hAnsiTheme="majorBidi" w:cstheme="majorBidi"/>
          <w:szCs w:val="24"/>
          <w:lang w:val="en-MY"/>
        </w:rPr>
        <w:t>the source of the price, the purity of the gold, and the basis of the exchange rate must be specified</w:t>
      </w:r>
      <w:r w:rsidRPr="00B16B41">
        <w:rPr>
          <w:rFonts w:asciiTheme="majorBidi" w:hAnsiTheme="majorBidi" w:cstheme="majorBidi"/>
          <w:szCs w:val="24"/>
          <w:lang w:val="en-MY"/>
        </w:rPr>
        <w:t>. If choosing an averaging method, it shall provide information on the averaging period, the justification for smoothing and the review frequency. Without such disclosure, there could be public misunderstandings</w:t>
      </w:r>
      <w:r w:rsidR="003D7EAE">
        <w:rPr>
          <w:rFonts w:asciiTheme="majorBidi" w:hAnsiTheme="majorBidi" w:cstheme="majorBidi"/>
          <w:szCs w:val="24"/>
          <w:lang w:val="en-MY"/>
        </w:rPr>
        <w:t>,</w:t>
      </w:r>
      <w:r w:rsidRPr="00B16B41">
        <w:rPr>
          <w:rFonts w:asciiTheme="majorBidi" w:hAnsiTheme="majorBidi" w:cstheme="majorBidi"/>
          <w:szCs w:val="24"/>
          <w:lang w:val="en-MY"/>
        </w:rPr>
        <w:t xml:space="preserve"> and zakat payers may </w:t>
      </w:r>
      <w:r w:rsidR="003D7EAE">
        <w:rPr>
          <w:rFonts w:asciiTheme="majorBidi" w:hAnsiTheme="majorBidi" w:cstheme="majorBidi"/>
          <w:szCs w:val="24"/>
          <w:lang w:val="en-MY"/>
        </w:rPr>
        <w:t xml:space="preserve">view the changes to the </w:t>
      </w:r>
      <w:proofErr w:type="spellStart"/>
      <w:r w:rsidR="003D7EAE">
        <w:rPr>
          <w:rFonts w:asciiTheme="majorBidi" w:hAnsiTheme="majorBidi" w:cstheme="majorBidi"/>
          <w:szCs w:val="24"/>
          <w:lang w:val="en-MY"/>
        </w:rPr>
        <w:t>nisab</w:t>
      </w:r>
      <w:proofErr w:type="spellEnd"/>
      <w:r w:rsidR="003D7EAE">
        <w:rPr>
          <w:rFonts w:asciiTheme="majorBidi" w:hAnsiTheme="majorBidi" w:cstheme="majorBidi"/>
          <w:szCs w:val="24"/>
          <w:lang w:val="en-MY"/>
        </w:rPr>
        <w:t xml:space="preserve"> as</w:t>
      </w:r>
      <w:r w:rsidRPr="00B16B41">
        <w:rPr>
          <w:rFonts w:asciiTheme="majorBidi" w:hAnsiTheme="majorBidi" w:cstheme="majorBidi"/>
          <w:szCs w:val="24"/>
          <w:lang w:val="en-MY"/>
        </w:rPr>
        <w:t xml:space="preserve"> arbitrary. It is </w:t>
      </w:r>
      <w:r w:rsidRPr="00B16B41">
        <w:rPr>
          <w:rFonts w:asciiTheme="majorBidi" w:hAnsiTheme="majorBidi" w:cstheme="majorBidi"/>
          <w:szCs w:val="24"/>
          <w:lang w:val="en-MY"/>
        </w:rPr>
        <w:lastRenderedPageBreak/>
        <w:t xml:space="preserve">also </w:t>
      </w:r>
      <w:r w:rsidR="003D7EAE">
        <w:rPr>
          <w:rFonts w:asciiTheme="majorBidi" w:hAnsiTheme="majorBidi" w:cstheme="majorBidi"/>
          <w:szCs w:val="24"/>
          <w:lang w:val="en-MY"/>
        </w:rPr>
        <w:t xml:space="preserve">evident from the discussion that </w:t>
      </w:r>
      <w:r w:rsidRPr="00B16B41">
        <w:rPr>
          <w:rFonts w:asciiTheme="majorBidi" w:hAnsiTheme="majorBidi" w:cstheme="majorBidi"/>
          <w:szCs w:val="24"/>
          <w:lang w:val="en-MY"/>
        </w:rPr>
        <w:t>the institution</w:t>
      </w:r>
      <w:r w:rsidR="00A33D64">
        <w:rPr>
          <w:rFonts w:asciiTheme="majorBidi" w:hAnsiTheme="majorBidi" w:cstheme="majorBidi"/>
          <w:szCs w:val="24"/>
          <w:lang w:val="en-MY"/>
        </w:rPr>
        <w:t>’</w:t>
      </w:r>
      <w:r w:rsidRPr="00B16B41">
        <w:rPr>
          <w:rFonts w:asciiTheme="majorBidi" w:hAnsiTheme="majorBidi" w:cstheme="majorBidi"/>
          <w:szCs w:val="24"/>
          <w:lang w:val="en-MY"/>
        </w:rPr>
        <w:t xml:space="preserve">s legitimacy is an important factor in </w:t>
      </w:r>
      <w:r w:rsidR="00FD78F4">
        <w:rPr>
          <w:rFonts w:asciiTheme="majorBidi" w:hAnsiTheme="majorBidi" w:cstheme="majorBidi"/>
          <w:szCs w:val="24"/>
          <w:lang w:val="en-MY"/>
        </w:rPr>
        <w:t>administering</w:t>
      </w:r>
      <w:r w:rsidRPr="00B16B41">
        <w:rPr>
          <w:rFonts w:asciiTheme="majorBidi" w:hAnsiTheme="majorBidi" w:cstheme="majorBidi"/>
          <w:szCs w:val="24"/>
          <w:lang w:val="en-MY"/>
        </w:rPr>
        <w:t xml:space="preserve"> </w:t>
      </w:r>
      <w:proofErr w:type="spellStart"/>
      <w:r w:rsidRPr="00B16B41">
        <w:rPr>
          <w:rFonts w:asciiTheme="majorBidi" w:hAnsiTheme="majorBidi" w:cstheme="majorBidi"/>
          <w:szCs w:val="24"/>
          <w:lang w:val="en-MY"/>
        </w:rPr>
        <w:t>nisab</w:t>
      </w:r>
      <w:proofErr w:type="spellEnd"/>
      <w:r w:rsidRPr="00B16B41">
        <w:rPr>
          <w:rFonts w:asciiTheme="majorBidi" w:hAnsiTheme="majorBidi" w:cstheme="majorBidi"/>
          <w:szCs w:val="24"/>
          <w:lang w:val="en-MY"/>
        </w:rPr>
        <w:t xml:space="preserve">. The </w:t>
      </w:r>
      <w:r w:rsidR="00FD78F4">
        <w:rPr>
          <w:rFonts w:asciiTheme="majorBidi" w:hAnsiTheme="majorBidi" w:cstheme="majorBidi"/>
          <w:szCs w:val="24"/>
          <w:lang w:val="en-MY"/>
        </w:rPr>
        <w:t>Zakat authorities do not just use a calculator for their own convenience</w:t>
      </w:r>
      <w:r w:rsidRPr="00B16B41">
        <w:rPr>
          <w:rFonts w:asciiTheme="majorBidi" w:hAnsiTheme="majorBidi" w:cstheme="majorBidi"/>
          <w:szCs w:val="24"/>
          <w:lang w:val="en-MY"/>
        </w:rPr>
        <w:t xml:space="preserve">. They are public religious </w:t>
      </w:r>
      <w:r w:rsidR="003D7EAE">
        <w:rPr>
          <w:rFonts w:asciiTheme="majorBidi" w:hAnsiTheme="majorBidi" w:cstheme="majorBidi"/>
          <w:szCs w:val="24"/>
          <w:lang w:val="en-MY"/>
        </w:rPr>
        <w:t xml:space="preserve">institutions </w:t>
      </w:r>
      <w:r w:rsidR="00FD78F4">
        <w:rPr>
          <w:rFonts w:asciiTheme="majorBidi" w:hAnsiTheme="majorBidi" w:cstheme="majorBidi"/>
          <w:szCs w:val="24"/>
          <w:lang w:val="en-MY"/>
        </w:rPr>
        <w:t xml:space="preserve">to which responsibility for </w:t>
      </w:r>
      <w:proofErr w:type="spellStart"/>
      <w:r w:rsidR="00FD78F4">
        <w:rPr>
          <w:rFonts w:asciiTheme="majorBidi" w:hAnsiTheme="majorBidi" w:cstheme="majorBidi"/>
          <w:szCs w:val="24"/>
          <w:lang w:val="en-MY"/>
        </w:rPr>
        <w:t>muzakki</w:t>
      </w:r>
      <w:proofErr w:type="spellEnd"/>
      <w:r w:rsidR="00FD78F4">
        <w:rPr>
          <w:rFonts w:asciiTheme="majorBidi" w:hAnsiTheme="majorBidi" w:cstheme="majorBidi"/>
          <w:szCs w:val="24"/>
          <w:lang w:val="en-MY"/>
        </w:rPr>
        <w:t xml:space="preserve"> and </w:t>
      </w:r>
      <w:proofErr w:type="spellStart"/>
      <w:r w:rsidR="00FD78F4">
        <w:rPr>
          <w:rFonts w:asciiTheme="majorBidi" w:hAnsiTheme="majorBidi" w:cstheme="majorBidi"/>
          <w:szCs w:val="24"/>
          <w:lang w:val="en-MY"/>
        </w:rPr>
        <w:t>asnaf</w:t>
      </w:r>
      <w:proofErr w:type="spellEnd"/>
      <w:r w:rsidR="00FD78F4">
        <w:rPr>
          <w:rFonts w:asciiTheme="majorBidi" w:hAnsiTheme="majorBidi" w:cstheme="majorBidi"/>
          <w:szCs w:val="24"/>
          <w:lang w:val="en-MY"/>
        </w:rPr>
        <w:t xml:space="preserve"> is assigned</w:t>
      </w:r>
      <w:r w:rsidRPr="00B16B41">
        <w:rPr>
          <w:rFonts w:asciiTheme="majorBidi" w:hAnsiTheme="majorBidi" w:cstheme="majorBidi"/>
          <w:szCs w:val="24"/>
          <w:lang w:val="en-MY"/>
        </w:rPr>
        <w:t xml:space="preserve">. Thus, </w:t>
      </w:r>
      <w:r w:rsidR="003D7EAE">
        <w:rPr>
          <w:rFonts w:asciiTheme="majorBidi" w:hAnsiTheme="majorBidi" w:cstheme="majorBidi"/>
          <w:szCs w:val="24"/>
          <w:lang w:val="en-MY"/>
        </w:rPr>
        <w:t>their decisions must be</w:t>
      </w:r>
      <w:r w:rsidRPr="00B16B41">
        <w:rPr>
          <w:rFonts w:asciiTheme="majorBidi" w:hAnsiTheme="majorBidi" w:cstheme="majorBidi"/>
          <w:szCs w:val="24"/>
          <w:lang w:val="en-MY"/>
        </w:rPr>
        <w:t xml:space="preserve"> justifiable to </w:t>
      </w:r>
      <w:r w:rsidR="003D7EAE">
        <w:rPr>
          <w:rFonts w:asciiTheme="majorBidi" w:hAnsiTheme="majorBidi" w:cstheme="majorBidi"/>
          <w:szCs w:val="24"/>
          <w:lang w:val="en-MY"/>
        </w:rPr>
        <w:t xml:space="preserve">scholars, auditors, payment recipients, the public, particularly </w:t>
      </w:r>
      <w:r w:rsidRPr="00B16B41">
        <w:rPr>
          <w:rFonts w:asciiTheme="majorBidi" w:hAnsiTheme="majorBidi" w:cstheme="majorBidi"/>
          <w:szCs w:val="24"/>
          <w:lang w:val="en-MY"/>
        </w:rPr>
        <w:t xml:space="preserve">Muslims. The governance system that is needed must </w:t>
      </w:r>
      <w:r w:rsidR="003D7EAE">
        <w:rPr>
          <w:rFonts w:asciiTheme="majorBidi" w:hAnsiTheme="majorBidi" w:cstheme="majorBidi"/>
          <w:szCs w:val="24"/>
          <w:lang w:val="en-MY"/>
        </w:rPr>
        <w:t xml:space="preserve">include shariah fidelity, sound data, transparency of methods, fairness in the application </w:t>
      </w:r>
      <w:r w:rsidRPr="00B16B41">
        <w:rPr>
          <w:rFonts w:asciiTheme="majorBidi" w:hAnsiTheme="majorBidi" w:cstheme="majorBidi"/>
          <w:szCs w:val="24"/>
          <w:lang w:val="en-MY"/>
        </w:rPr>
        <w:t xml:space="preserve">of </w:t>
      </w:r>
      <w:proofErr w:type="spellStart"/>
      <w:r w:rsidRPr="00B16B41">
        <w:rPr>
          <w:rFonts w:asciiTheme="majorBidi" w:hAnsiTheme="majorBidi" w:cstheme="majorBidi"/>
          <w:szCs w:val="24"/>
          <w:lang w:val="en-MY"/>
        </w:rPr>
        <w:t>maqasid</w:t>
      </w:r>
      <w:proofErr w:type="spellEnd"/>
      <w:r w:rsidRPr="00B16B41">
        <w:rPr>
          <w:rFonts w:asciiTheme="majorBidi" w:hAnsiTheme="majorBidi" w:cstheme="majorBidi"/>
          <w:szCs w:val="24"/>
          <w:lang w:val="en-MY"/>
        </w:rPr>
        <w:t>, accountability of institutions, and public communication. Each dimension speaks to a specific risk</w:t>
      </w:r>
      <w:r w:rsidR="003D7EAE">
        <w:rPr>
          <w:rFonts w:asciiTheme="majorBidi" w:hAnsiTheme="majorBidi" w:cstheme="majorBidi"/>
          <w:szCs w:val="24"/>
          <w:lang w:val="en-MY"/>
        </w:rPr>
        <w:t>: legal</w:t>
      </w:r>
      <w:r w:rsidRPr="00B16B41">
        <w:rPr>
          <w:rFonts w:asciiTheme="majorBidi" w:hAnsiTheme="majorBidi" w:cstheme="majorBidi"/>
          <w:szCs w:val="24"/>
          <w:lang w:val="en-MY"/>
        </w:rPr>
        <w:t xml:space="preserve"> deviation, inaccurate pricing, public confusion, unfair inclusion/exclusion, poor oversight, and loss of trust. Thus, </w:t>
      </w:r>
      <w:r w:rsidR="003D7EAE">
        <w:rPr>
          <w:rFonts w:asciiTheme="majorBidi" w:hAnsiTheme="majorBidi" w:cstheme="majorBidi"/>
          <w:szCs w:val="24"/>
          <w:lang w:val="en-MY"/>
        </w:rPr>
        <w:t xml:space="preserve">regarding </w:t>
      </w:r>
      <w:proofErr w:type="spellStart"/>
      <w:r w:rsidR="003D7EAE">
        <w:rPr>
          <w:rFonts w:asciiTheme="majorBidi" w:hAnsiTheme="majorBidi" w:cstheme="majorBidi"/>
          <w:szCs w:val="24"/>
          <w:lang w:val="en-MY"/>
        </w:rPr>
        <w:t>nisab</w:t>
      </w:r>
      <w:proofErr w:type="spellEnd"/>
      <w:r w:rsidR="003D7EAE">
        <w:rPr>
          <w:rFonts w:asciiTheme="majorBidi" w:hAnsiTheme="majorBidi" w:cstheme="majorBidi"/>
          <w:szCs w:val="24"/>
          <w:lang w:val="en-MY"/>
        </w:rPr>
        <w:t>, it is governance-sensitive</w:t>
      </w:r>
      <w:r w:rsidRPr="00B16B41">
        <w:rPr>
          <w:rFonts w:asciiTheme="majorBidi" w:hAnsiTheme="majorBidi" w:cstheme="majorBidi"/>
          <w:szCs w:val="24"/>
          <w:lang w:val="en-MY"/>
        </w:rPr>
        <w:t xml:space="preserve"> ijtihad. </w:t>
      </w:r>
      <w:r w:rsidR="003D7EAE">
        <w:rPr>
          <w:rFonts w:asciiTheme="majorBidi" w:hAnsiTheme="majorBidi" w:cstheme="majorBidi"/>
          <w:szCs w:val="24"/>
          <w:lang w:val="en-MY"/>
        </w:rPr>
        <w:t>Articulating a monetary value alone is insufficient</w:t>
      </w:r>
      <w:r w:rsidRPr="00B16B41">
        <w:rPr>
          <w:rFonts w:asciiTheme="majorBidi" w:hAnsiTheme="majorBidi" w:cstheme="majorBidi"/>
          <w:szCs w:val="24"/>
          <w:lang w:val="en-MY"/>
        </w:rPr>
        <w:t xml:space="preserve"> for an institution. It should also display the </w:t>
      </w:r>
      <w:r w:rsidR="00FD78F4">
        <w:rPr>
          <w:rFonts w:asciiTheme="majorBidi" w:hAnsiTheme="majorBidi" w:cstheme="majorBidi"/>
          <w:szCs w:val="24"/>
          <w:lang w:val="en-MY"/>
        </w:rPr>
        <w:t>calculation result</w:t>
      </w:r>
      <w:r w:rsidRPr="006C5A87">
        <w:rPr>
          <w:rFonts w:asciiTheme="majorBidi" w:hAnsiTheme="majorBidi" w:cstheme="majorBidi"/>
          <w:szCs w:val="24"/>
          <w:lang w:val="en-MY"/>
        </w:rPr>
        <w:t xml:space="preserve">. The public </w:t>
      </w:r>
      <w:r w:rsidR="00FD78F4">
        <w:rPr>
          <w:rFonts w:asciiTheme="majorBidi" w:hAnsiTheme="majorBidi" w:cstheme="majorBidi"/>
          <w:szCs w:val="24"/>
          <w:lang w:val="en-MY"/>
        </w:rPr>
        <w:t xml:space="preserve">must be informed of the </w:t>
      </w:r>
      <w:proofErr w:type="spellStart"/>
      <w:r w:rsidR="00FD78F4">
        <w:rPr>
          <w:rFonts w:asciiTheme="majorBidi" w:hAnsiTheme="majorBidi" w:cstheme="majorBidi"/>
          <w:szCs w:val="24"/>
          <w:lang w:val="en-MY"/>
        </w:rPr>
        <w:t>Nisab</w:t>
      </w:r>
      <w:proofErr w:type="spellEnd"/>
      <w:r w:rsidR="00FD78F4">
        <w:rPr>
          <w:rFonts w:asciiTheme="majorBidi" w:hAnsiTheme="majorBidi" w:cstheme="majorBidi"/>
          <w:szCs w:val="24"/>
          <w:lang w:val="en-MY"/>
        </w:rPr>
        <w:t xml:space="preserve"> rate</w:t>
      </w:r>
      <w:r w:rsidRPr="006C5A87">
        <w:rPr>
          <w:rFonts w:asciiTheme="majorBidi" w:hAnsiTheme="majorBidi" w:cstheme="majorBidi"/>
          <w:szCs w:val="24"/>
          <w:lang w:val="en-MY"/>
        </w:rPr>
        <w:t xml:space="preserve"> to be used (24-carat gold, LBMA, World Gold Council data, </w:t>
      </w:r>
      <w:r w:rsidR="003D7EAE">
        <w:rPr>
          <w:rFonts w:asciiTheme="majorBidi" w:hAnsiTheme="majorBidi" w:cstheme="majorBidi"/>
          <w:szCs w:val="24"/>
          <w:lang w:val="en-MY"/>
        </w:rPr>
        <w:t>a regulated domestic reference, or another recognised source). The</w:t>
      </w:r>
      <w:r w:rsidRPr="006C5A87">
        <w:rPr>
          <w:rFonts w:asciiTheme="majorBidi" w:hAnsiTheme="majorBidi" w:cstheme="majorBidi"/>
          <w:szCs w:val="24"/>
          <w:lang w:val="en-MY"/>
        </w:rPr>
        <w:t xml:space="preserve"> </w:t>
      </w:r>
      <w:r w:rsidR="003D7EAE">
        <w:rPr>
          <w:rFonts w:asciiTheme="majorBidi" w:hAnsiTheme="majorBidi" w:cstheme="majorBidi"/>
          <w:szCs w:val="24"/>
          <w:lang w:val="en-MY"/>
        </w:rPr>
        <w:t xml:space="preserve">rate is used either daily, monthly, yearly, or as the average of all </w:t>
      </w:r>
      <w:r w:rsidR="00FD78F4">
        <w:rPr>
          <w:rFonts w:asciiTheme="majorBidi" w:hAnsiTheme="majorBidi" w:cstheme="majorBidi"/>
          <w:szCs w:val="24"/>
          <w:lang w:val="en-MY"/>
        </w:rPr>
        <w:t xml:space="preserve">of them, and the same </w:t>
      </w:r>
      <w:proofErr w:type="spellStart"/>
      <w:r w:rsidR="00FD78F4">
        <w:rPr>
          <w:rFonts w:asciiTheme="majorBidi" w:hAnsiTheme="majorBidi" w:cstheme="majorBidi"/>
          <w:szCs w:val="24"/>
          <w:lang w:val="en-MY"/>
        </w:rPr>
        <w:t>Nisab</w:t>
      </w:r>
      <w:proofErr w:type="spellEnd"/>
      <w:r w:rsidR="00FD78F4">
        <w:rPr>
          <w:rFonts w:asciiTheme="majorBidi" w:hAnsiTheme="majorBidi" w:cstheme="majorBidi"/>
          <w:szCs w:val="24"/>
          <w:lang w:val="en-MY"/>
        </w:rPr>
        <w:t xml:space="preserve"> rate</w:t>
      </w:r>
      <w:r w:rsidRPr="006C5A87">
        <w:rPr>
          <w:rFonts w:asciiTheme="majorBidi" w:hAnsiTheme="majorBidi" w:cstheme="majorBidi"/>
          <w:szCs w:val="24"/>
          <w:lang w:val="en-MY"/>
        </w:rPr>
        <w:t xml:space="preserve"> </w:t>
      </w:r>
      <w:r w:rsidR="004B5D3E">
        <w:rPr>
          <w:rFonts w:asciiTheme="majorBidi" w:hAnsiTheme="majorBidi" w:cstheme="majorBidi"/>
          <w:szCs w:val="24"/>
          <w:lang w:val="en-MY"/>
        </w:rPr>
        <w:t>applies to</w:t>
      </w:r>
      <w:r w:rsidRPr="006C5A87">
        <w:rPr>
          <w:rFonts w:asciiTheme="majorBidi" w:hAnsiTheme="majorBidi" w:cstheme="majorBidi"/>
          <w:szCs w:val="24"/>
          <w:lang w:val="en-MY"/>
        </w:rPr>
        <w:t xml:space="preserve"> all levels of wealth. This </w:t>
      </w:r>
      <w:r w:rsidR="003D7EAE">
        <w:rPr>
          <w:rFonts w:asciiTheme="majorBidi" w:hAnsiTheme="majorBidi" w:cstheme="majorBidi"/>
          <w:szCs w:val="24"/>
          <w:lang w:val="en-MY"/>
        </w:rPr>
        <w:t>does not</w:t>
      </w:r>
      <w:r w:rsidRPr="006C5A87">
        <w:rPr>
          <w:rFonts w:asciiTheme="majorBidi" w:hAnsiTheme="majorBidi" w:cstheme="majorBidi"/>
          <w:szCs w:val="24"/>
          <w:lang w:val="en-MY"/>
        </w:rPr>
        <w:t xml:space="preserve"> devitalize religious power. On the other hand, it </w:t>
      </w:r>
      <w:r w:rsidR="003D7EAE">
        <w:rPr>
          <w:rFonts w:asciiTheme="majorBidi" w:hAnsiTheme="majorBidi" w:cstheme="majorBidi"/>
          <w:szCs w:val="24"/>
          <w:lang w:val="en-MY"/>
        </w:rPr>
        <w:t>enhances institutional legitimacy by demonstrating that</w:t>
      </w:r>
      <w:r w:rsidRPr="006C5A87">
        <w:rPr>
          <w:rFonts w:asciiTheme="majorBidi" w:hAnsiTheme="majorBidi" w:cstheme="majorBidi"/>
          <w:szCs w:val="24"/>
          <w:lang w:val="en-MY"/>
        </w:rPr>
        <w:t xml:space="preserve"> Sharia is applied in a disciplined and accountable manner.</w:t>
      </w:r>
    </w:p>
    <w:p w:rsidR="00B16B41" w:rsidRPr="006C5A87" w:rsidRDefault="00B16B41" w:rsidP="006C5A87">
      <w:pPr>
        <w:spacing w:line="240" w:lineRule="auto"/>
        <w:ind w:firstLine="720"/>
        <w:jc w:val="both"/>
        <w:rPr>
          <w:rFonts w:asciiTheme="majorBidi" w:hAnsiTheme="majorBidi" w:cstheme="majorBidi"/>
          <w:szCs w:val="24"/>
          <w:lang w:val="en-MY"/>
        </w:rPr>
      </w:pPr>
      <w:r w:rsidRPr="006C5A87">
        <w:rPr>
          <w:rFonts w:asciiTheme="majorBidi" w:hAnsiTheme="majorBidi" w:cstheme="majorBidi"/>
          <w:szCs w:val="24"/>
          <w:lang w:val="en-MY"/>
        </w:rPr>
        <w:t xml:space="preserve">In conclusion, </w:t>
      </w:r>
      <w:r w:rsidR="003D7EAE">
        <w:rPr>
          <w:rFonts w:asciiTheme="majorBidi" w:hAnsiTheme="majorBidi" w:cstheme="majorBidi"/>
          <w:szCs w:val="24"/>
          <w:lang w:val="en-MY"/>
        </w:rPr>
        <w:t>integrating fiqh, economics, and governance provides a deeper understanding of gold-based</w:t>
      </w:r>
      <w:r w:rsidRPr="006C5A87">
        <w:rPr>
          <w:rFonts w:asciiTheme="majorBidi" w:hAnsiTheme="majorBidi" w:cstheme="majorBidi"/>
          <w:szCs w:val="24"/>
          <w:lang w:val="en-MY"/>
        </w:rPr>
        <w:t xml:space="preserve"> </w:t>
      </w:r>
      <w:proofErr w:type="spellStart"/>
      <w:r w:rsidRPr="006C5A87">
        <w:rPr>
          <w:rFonts w:asciiTheme="majorBidi" w:hAnsiTheme="majorBidi" w:cstheme="majorBidi"/>
          <w:szCs w:val="24"/>
          <w:lang w:val="en-MY"/>
        </w:rPr>
        <w:t>nisab</w:t>
      </w:r>
      <w:proofErr w:type="spellEnd"/>
      <w:r w:rsidRPr="006C5A87">
        <w:rPr>
          <w:rFonts w:asciiTheme="majorBidi" w:hAnsiTheme="majorBidi" w:cstheme="majorBidi"/>
          <w:szCs w:val="24"/>
          <w:lang w:val="en-MY"/>
        </w:rPr>
        <w:t xml:space="preserve"> in the modern era of zakat management. Fixed normative base from fiqh, volatility of valuation environment from economics, and governance of how </w:t>
      </w:r>
      <w:r w:rsidR="003D7EAE">
        <w:rPr>
          <w:rFonts w:asciiTheme="majorBidi" w:hAnsiTheme="majorBidi" w:cstheme="majorBidi"/>
          <w:szCs w:val="24"/>
          <w:lang w:val="en-MY"/>
        </w:rPr>
        <w:t>institutions should</w:t>
      </w:r>
      <w:r w:rsidRPr="006C5A87">
        <w:rPr>
          <w:rFonts w:asciiTheme="majorBidi" w:hAnsiTheme="majorBidi" w:cstheme="majorBidi"/>
          <w:szCs w:val="24"/>
          <w:lang w:val="en-MY"/>
        </w:rPr>
        <w:t xml:space="preserve"> respond to the volatility </w:t>
      </w:r>
      <w:r w:rsidR="003D7EAE">
        <w:rPr>
          <w:rFonts w:asciiTheme="majorBidi" w:hAnsiTheme="majorBidi" w:cstheme="majorBidi"/>
          <w:szCs w:val="24"/>
          <w:lang w:val="en-MY"/>
        </w:rPr>
        <w:t>are</w:t>
      </w:r>
      <w:r w:rsidRPr="006C5A87">
        <w:rPr>
          <w:rFonts w:asciiTheme="majorBidi" w:hAnsiTheme="majorBidi" w:cstheme="majorBidi"/>
          <w:szCs w:val="24"/>
          <w:lang w:val="en-MY"/>
        </w:rPr>
        <w:t xml:space="preserve"> determined. It will not be the </w:t>
      </w:r>
      <w:r w:rsidR="00A33D64" w:rsidRPr="006C5A87">
        <w:rPr>
          <w:rFonts w:asciiTheme="majorBidi" w:hAnsiTheme="majorBidi" w:cstheme="majorBidi"/>
          <w:szCs w:val="24"/>
          <w:lang w:val="en-MY"/>
        </w:rPr>
        <w:t>costliest</w:t>
      </w:r>
      <w:r w:rsidRPr="006C5A87">
        <w:rPr>
          <w:rFonts w:asciiTheme="majorBidi" w:hAnsiTheme="majorBidi" w:cstheme="majorBidi"/>
          <w:szCs w:val="24"/>
          <w:lang w:val="en-MY"/>
        </w:rPr>
        <w:t xml:space="preserve"> measure </w:t>
      </w:r>
      <w:r w:rsidR="003D7EAE">
        <w:rPr>
          <w:rFonts w:asciiTheme="majorBidi" w:hAnsiTheme="majorBidi" w:cstheme="majorBidi"/>
          <w:szCs w:val="24"/>
          <w:lang w:val="en-MY"/>
        </w:rPr>
        <w:t>at the market price that will be most defensible, but the one that ensures the preservation of the juristic threshold, the limitation of unnecessary hardship, the prevention of the destabilisation of the administration of the measure,</w:t>
      </w:r>
      <w:r w:rsidRPr="006C5A87">
        <w:rPr>
          <w:rFonts w:asciiTheme="majorBidi" w:hAnsiTheme="majorBidi" w:cstheme="majorBidi"/>
          <w:szCs w:val="24"/>
          <w:lang w:val="en-MY"/>
        </w:rPr>
        <w:t xml:space="preserve"> and the absence of any obscurity as to the method of its application. Therefore, administrative ijtihad is not </w:t>
      </w:r>
      <w:r w:rsidR="003D7EAE">
        <w:rPr>
          <w:rFonts w:asciiTheme="majorBidi" w:hAnsiTheme="majorBidi" w:cstheme="majorBidi"/>
          <w:szCs w:val="24"/>
          <w:lang w:val="en-MY"/>
        </w:rPr>
        <w:t xml:space="preserve">optional in the Shariah but is a method for implementing it appropriately in light of </w:t>
      </w:r>
      <w:r w:rsidRPr="006C5A87">
        <w:rPr>
          <w:rFonts w:asciiTheme="majorBidi" w:hAnsiTheme="majorBidi" w:cstheme="majorBidi"/>
          <w:szCs w:val="24"/>
          <w:lang w:val="en-MY"/>
        </w:rPr>
        <w:t>changing economic conditions.</w:t>
      </w:r>
    </w:p>
    <w:p w:rsidR="005710BE" w:rsidRPr="00A92278" w:rsidRDefault="00DC7EAF" w:rsidP="00500528">
      <w:pPr>
        <w:pStyle w:val="Heading2"/>
        <w:rPr>
          <w:lang w:val="en-MY"/>
        </w:rPr>
      </w:pPr>
      <w:r w:rsidRPr="00A92278">
        <w:rPr>
          <w:lang w:val="en-MY"/>
        </w:rPr>
        <w:t>9. Policy Recommendations</w:t>
      </w:r>
    </w:p>
    <w:p w:rsidR="00884321" w:rsidRDefault="00884321" w:rsidP="00884321">
      <w:pPr>
        <w:spacing w:line="240" w:lineRule="auto"/>
        <w:jc w:val="both"/>
        <w:rPr>
          <w:lang w:val="en-MY"/>
        </w:rPr>
      </w:pPr>
      <w:r w:rsidRPr="00884321">
        <w:rPr>
          <w:lang w:val="en-MY"/>
        </w:rPr>
        <w:t xml:space="preserve">Based on the foregoing, it is suggested that the </w:t>
      </w:r>
      <w:r w:rsidR="003D7EAE">
        <w:rPr>
          <w:lang w:val="en-MY"/>
        </w:rPr>
        <w:t xml:space="preserve">gold-based </w:t>
      </w:r>
      <w:proofErr w:type="spellStart"/>
      <w:r w:rsidR="003D7EAE">
        <w:rPr>
          <w:lang w:val="en-MY"/>
        </w:rPr>
        <w:t>nisab</w:t>
      </w:r>
      <w:proofErr w:type="spellEnd"/>
      <w:r w:rsidR="003D7EAE">
        <w:rPr>
          <w:lang w:val="en-MY"/>
        </w:rPr>
        <w:t xml:space="preserve"> and its announcement </w:t>
      </w:r>
      <w:r w:rsidRPr="00884321">
        <w:rPr>
          <w:lang w:val="en-MY"/>
        </w:rPr>
        <w:t xml:space="preserve">be determined as a formal policy in the field of Zakat. The aim of such a framework is not </w:t>
      </w:r>
      <w:r w:rsidR="003D7EAE">
        <w:rPr>
          <w:lang w:val="en-MY"/>
        </w:rPr>
        <w:t>to change the juristic indicator (</w:t>
      </w:r>
      <w:proofErr w:type="spellStart"/>
      <w:r w:rsidR="003D7EAE">
        <w:rPr>
          <w:lang w:val="en-MY"/>
        </w:rPr>
        <w:t>nisab</w:t>
      </w:r>
      <w:proofErr w:type="spellEnd"/>
      <w:r w:rsidR="003D7EAE">
        <w:rPr>
          <w:lang w:val="en-MY"/>
        </w:rPr>
        <w:t>), but to provide a guideline for</w:t>
      </w:r>
      <w:r w:rsidRPr="00884321">
        <w:rPr>
          <w:lang w:val="en-MY"/>
        </w:rPr>
        <w:t xml:space="preserve"> calculating the monetary indicator in an economic system </w:t>
      </w:r>
      <w:r w:rsidR="00FD78F4">
        <w:rPr>
          <w:lang w:val="en-MY"/>
        </w:rPr>
        <w:t>characterised by fluctuations</w:t>
      </w:r>
      <w:r w:rsidRPr="00884321">
        <w:rPr>
          <w:lang w:val="en-MY"/>
        </w:rPr>
        <w:t xml:space="preserve">. I think that the basis of gold </w:t>
      </w:r>
      <w:proofErr w:type="spellStart"/>
      <w:r w:rsidRPr="00884321">
        <w:rPr>
          <w:lang w:val="en-MY"/>
        </w:rPr>
        <w:t>nisab</w:t>
      </w:r>
      <w:proofErr w:type="spellEnd"/>
      <w:r w:rsidRPr="00884321">
        <w:rPr>
          <w:lang w:val="en-MY"/>
        </w:rPr>
        <w:t xml:space="preserve"> should be maintained as the legal basis of the Policy, which is gold </w:t>
      </w:r>
      <w:proofErr w:type="spellStart"/>
      <w:r w:rsidRPr="00884321">
        <w:rPr>
          <w:lang w:val="en-MY"/>
        </w:rPr>
        <w:t>nisab</w:t>
      </w:r>
      <w:proofErr w:type="spellEnd"/>
      <w:r w:rsidRPr="00884321">
        <w:rPr>
          <w:lang w:val="en-MY"/>
        </w:rPr>
        <w:t xml:space="preserve"> with </w:t>
      </w:r>
      <w:proofErr w:type="gramStart"/>
      <w:r w:rsidRPr="00884321">
        <w:rPr>
          <w:lang w:val="en-MY"/>
        </w:rPr>
        <w:t>20 dinar</w:t>
      </w:r>
      <w:proofErr w:type="gramEnd"/>
      <w:r w:rsidRPr="00884321">
        <w:rPr>
          <w:lang w:val="en-MY"/>
        </w:rPr>
        <w:t xml:space="preserve">, 22 karat or 85 grams. The measurement of that benchmark must be instructed by clear rules, data reliability, institutional approval and public disclosure to be translated into local currency, </w:t>
      </w:r>
      <w:proofErr w:type="spellStart"/>
      <w:r w:rsidRPr="00884321">
        <w:rPr>
          <w:lang w:val="en-MY"/>
        </w:rPr>
        <w:t>however.</w:t>
      </w:r>
    </w:p>
    <w:p w:rsidR="00BC1850" w:rsidRDefault="00884321" w:rsidP="0006753B">
      <w:pPr>
        <w:spacing w:line="240" w:lineRule="auto"/>
        <w:ind w:firstLine="720"/>
        <w:jc w:val="both"/>
        <w:rPr>
          <w:lang w:val="en-MY"/>
        </w:rPr>
      </w:pPr>
      <w:proofErr w:type="spellEnd"/>
      <w:r w:rsidRPr="00884321">
        <w:rPr>
          <w:lang w:val="en-MY"/>
        </w:rPr>
        <w:t xml:space="preserve">Firstly, </w:t>
      </w:r>
      <w:r w:rsidR="003D7EAE">
        <w:rPr>
          <w:lang w:val="en-MY"/>
        </w:rPr>
        <w:t>the persons</w:t>
      </w:r>
      <w:r w:rsidRPr="00884321">
        <w:rPr>
          <w:lang w:val="en-MY"/>
        </w:rPr>
        <w:t xml:space="preserve"> executing the zakat must distinguish between what is </w:t>
      </w:r>
      <w:r w:rsidR="003D7EAE">
        <w:rPr>
          <w:lang w:val="en-MY"/>
        </w:rPr>
        <w:t>constant in the Shariah and what is variable at the administrative level</w:t>
      </w:r>
      <w:r w:rsidRPr="00884321">
        <w:rPr>
          <w:lang w:val="en-MY"/>
        </w:rPr>
        <w:t>. In Shariah</w:t>
      </w:r>
      <w:r w:rsidR="003D7EAE">
        <w:rPr>
          <w:lang w:val="en-MY"/>
        </w:rPr>
        <w:t xml:space="preserve">, the weight and the </w:t>
      </w:r>
      <w:proofErr w:type="spellStart"/>
      <w:r w:rsidR="003D7EAE">
        <w:rPr>
          <w:lang w:val="en-MY"/>
        </w:rPr>
        <w:t>nisab</w:t>
      </w:r>
      <w:proofErr w:type="spellEnd"/>
      <w:r w:rsidR="003D7EAE">
        <w:rPr>
          <w:lang w:val="en-MY"/>
        </w:rPr>
        <w:t xml:space="preserve"> </w:t>
      </w:r>
      <w:proofErr w:type="spellStart"/>
      <w:r w:rsidR="003D7EAE">
        <w:rPr>
          <w:lang w:val="en-MY"/>
        </w:rPr>
        <w:t>hatnit</w:t>
      </w:r>
      <w:proofErr w:type="spellEnd"/>
      <w:r w:rsidR="003D7EAE">
        <w:rPr>
          <w:lang w:val="en-MY"/>
        </w:rPr>
        <w:t xml:space="preserve"> are fixed values; they cannot</w:t>
      </w:r>
      <w:r w:rsidRPr="00884321">
        <w:rPr>
          <w:lang w:val="en-MY"/>
        </w:rPr>
        <w:t xml:space="preserve"> be changed at will.</w:t>
      </w:r>
      <w:r>
        <w:rPr>
          <w:lang w:val="en-MY"/>
        </w:rPr>
        <w:t xml:space="preserve"> </w:t>
      </w:r>
      <w:r w:rsidR="00A92278" w:rsidRPr="00A92278">
        <w:rPr>
          <w:lang w:val="en-MY"/>
        </w:rPr>
        <w:t xml:space="preserve">The variables of administration are: </w:t>
      </w:r>
      <w:r w:rsidR="00AB4E02">
        <w:rPr>
          <w:lang w:val="en-MY"/>
        </w:rPr>
        <w:t xml:space="preserve">gold price source, purity assumption, exchange rate basis, valuation date, averaging period, and </w:t>
      </w:r>
      <w:r w:rsidR="00A92278" w:rsidRPr="00A92278">
        <w:rPr>
          <w:lang w:val="en-MY"/>
        </w:rPr>
        <w:t xml:space="preserve">review frequency. It is important to clarify that the value of the </w:t>
      </w:r>
      <w:proofErr w:type="spellStart"/>
      <w:r w:rsidR="00A92278" w:rsidRPr="00A92278">
        <w:rPr>
          <w:lang w:val="en-MY"/>
        </w:rPr>
        <w:t>nisab</w:t>
      </w:r>
      <w:proofErr w:type="spellEnd"/>
      <w:r w:rsidR="00A92278" w:rsidRPr="00A92278">
        <w:rPr>
          <w:lang w:val="en-MY"/>
        </w:rPr>
        <w:t xml:space="preserve"> in monetary terms does not imply a change in the </w:t>
      </w:r>
      <w:r w:rsidR="00AB4E02">
        <w:rPr>
          <w:lang w:val="en-MY"/>
        </w:rPr>
        <w:t>Shariah</w:t>
      </w:r>
      <w:r w:rsidR="00A33D64">
        <w:rPr>
          <w:lang w:val="en-MY"/>
        </w:rPr>
        <w:t>’</w:t>
      </w:r>
      <w:r w:rsidR="00AB4E02">
        <w:rPr>
          <w:lang w:val="en-MY"/>
        </w:rPr>
        <w:t xml:space="preserve">s guidelines regarding zakat, and that it </w:t>
      </w:r>
      <w:r w:rsidR="00A92278" w:rsidRPr="00A92278">
        <w:rPr>
          <w:lang w:val="en-MY"/>
        </w:rPr>
        <w:t xml:space="preserve">should be mentioned in such guidelines to avoid confusion among the public. Instead, they </w:t>
      </w:r>
      <w:r w:rsidR="00AB4E02">
        <w:rPr>
          <w:lang w:val="en-MY"/>
        </w:rPr>
        <w:t>reflect</w:t>
      </w:r>
      <w:r w:rsidR="00A92278" w:rsidRPr="00A92278">
        <w:rPr>
          <w:lang w:val="en-MY"/>
        </w:rPr>
        <w:t xml:space="preserve"> the modern-day assessment of a fixed juristic norm.</w:t>
      </w:r>
      <w:r w:rsidR="0006753B">
        <w:rPr>
          <w:lang w:val="en-MY"/>
        </w:rPr>
        <w:t xml:space="preserve"> </w:t>
      </w:r>
      <w:r w:rsidR="00A92278" w:rsidRPr="00A92278">
        <w:rPr>
          <w:lang w:val="en-MY"/>
        </w:rPr>
        <w:t xml:space="preserve">Second, there needs to be a hierarchy of </w:t>
      </w:r>
      <w:r w:rsidR="00AB4E02">
        <w:rPr>
          <w:lang w:val="en-MY"/>
        </w:rPr>
        <w:t>price sources that are credible and auditable within</w:t>
      </w:r>
      <w:r w:rsidR="00A92278" w:rsidRPr="00A92278">
        <w:rPr>
          <w:lang w:val="en-MY"/>
        </w:rPr>
        <w:t xml:space="preserve"> zakat institutions. International benchmarks recognised and acknowledged, </w:t>
      </w:r>
      <w:r w:rsidR="00AB4E02">
        <w:rPr>
          <w:lang w:val="en-MY"/>
        </w:rPr>
        <w:t>such as the LBMA, World Gold Council data, or a regulated domestic market, may be used, provided they are public and verifiable, with no changes to</w:t>
      </w:r>
      <w:r w:rsidR="00A92278" w:rsidRPr="00A92278">
        <w:rPr>
          <w:lang w:val="en-MY"/>
        </w:rPr>
        <w:t xml:space="preserve"> the benchmark applied. Unless there </w:t>
      </w:r>
      <w:r w:rsidR="00AB4E02">
        <w:rPr>
          <w:lang w:val="en-MY"/>
        </w:rPr>
        <w:t>has</w:t>
      </w:r>
      <w:r w:rsidR="00A92278" w:rsidRPr="00A92278">
        <w:rPr>
          <w:lang w:val="en-MY"/>
        </w:rPr>
        <w:t xml:space="preserve"> been a clear and appropriate explanation of the rationale for doing so, </w:t>
      </w:r>
      <w:r w:rsidR="00A92278" w:rsidRPr="00A92278">
        <w:rPr>
          <w:lang w:val="en-MY"/>
        </w:rPr>
        <w:lastRenderedPageBreak/>
        <w:t xml:space="preserve">institutions should be leery of using informal or unclear retail prices. If gold prices at the local level are applied, the retail premiums, taxes, spreads and purity of the gold should be disclosed. This is necessary </w:t>
      </w:r>
      <w:r w:rsidR="00AB4E02">
        <w:rPr>
          <w:lang w:val="en-MY"/>
        </w:rPr>
        <w:t xml:space="preserve">to avoid using different </w:t>
      </w:r>
      <w:proofErr w:type="spellStart"/>
      <w:r w:rsidR="00AB4E02">
        <w:rPr>
          <w:lang w:val="en-MY"/>
        </w:rPr>
        <w:t>Nisab</w:t>
      </w:r>
      <w:proofErr w:type="spellEnd"/>
      <w:r w:rsidR="00AB4E02">
        <w:rPr>
          <w:lang w:val="en-MY"/>
        </w:rPr>
        <w:t xml:space="preserve"> rates and </w:t>
      </w:r>
      <w:r w:rsidR="00A92278" w:rsidRPr="00A92278">
        <w:rPr>
          <w:lang w:val="en-MY"/>
        </w:rPr>
        <w:t xml:space="preserve">to ensure the </w:t>
      </w:r>
      <w:r w:rsidR="00AB4E02">
        <w:rPr>
          <w:lang w:val="en-MY"/>
        </w:rPr>
        <w:t>zakat authority</w:t>
      </w:r>
      <w:r w:rsidR="00A33D64">
        <w:rPr>
          <w:lang w:val="en-MY"/>
        </w:rPr>
        <w:t>’</w:t>
      </w:r>
      <w:r w:rsidR="00AB4E02">
        <w:rPr>
          <w:lang w:val="en-MY"/>
        </w:rPr>
        <w:t>s credibility</w:t>
      </w:r>
      <w:r w:rsidR="00A92278" w:rsidRPr="00A92278">
        <w:rPr>
          <w:lang w:val="en-MY"/>
        </w:rPr>
        <w:t>.</w:t>
      </w:r>
    </w:p>
    <w:p w:rsidR="006C5A87" w:rsidRDefault="00A92278" w:rsidP="006C5A87">
      <w:pPr>
        <w:spacing w:line="240" w:lineRule="auto"/>
        <w:ind w:firstLine="720"/>
        <w:jc w:val="both"/>
        <w:rPr>
          <w:lang w:val="en-MY"/>
        </w:rPr>
      </w:pPr>
      <w:r w:rsidRPr="00A92278">
        <w:rPr>
          <w:lang w:val="en-MY"/>
        </w:rPr>
        <w:t xml:space="preserve">Third, the authorities </w:t>
      </w:r>
      <w:r w:rsidR="00AB4E02">
        <w:rPr>
          <w:lang w:val="en-MY"/>
        </w:rPr>
        <w:t>responsible for collecting zakat may also elect to apply averaging if volatility needs to be smoothed</w:t>
      </w:r>
      <w:r w:rsidRPr="00A92278">
        <w:rPr>
          <w:lang w:val="en-MY"/>
        </w:rPr>
        <w:t xml:space="preserve"> for administrative stability. The spot price of one day is technically current, but could be at risk from short-term market fluctuations. </w:t>
      </w:r>
      <w:r w:rsidR="006C5A87" w:rsidRPr="006C5A87">
        <w:rPr>
          <w:lang w:val="en-MY"/>
        </w:rPr>
        <w:t>In this case</w:t>
      </w:r>
      <w:r w:rsidR="00FD78F4">
        <w:rPr>
          <w:lang w:val="en-MY"/>
        </w:rPr>
        <w:t>, it might be appropriate to use monthly, quarterly, or previous-year</w:t>
      </w:r>
      <w:r w:rsidR="006C5A87" w:rsidRPr="006C5A87">
        <w:rPr>
          <w:lang w:val="en-MY"/>
        </w:rPr>
        <w:t xml:space="preserve"> average prices to achieve a more stable and predictable threshold. This way has nothing to do with altering the value of the gold </w:t>
      </w:r>
      <w:proofErr w:type="spellStart"/>
      <w:r w:rsidR="006C5A87" w:rsidRPr="006C5A87">
        <w:rPr>
          <w:lang w:val="en-MY"/>
        </w:rPr>
        <w:t>nisab</w:t>
      </w:r>
      <w:proofErr w:type="spellEnd"/>
      <w:r w:rsidR="006C5A87" w:rsidRPr="006C5A87">
        <w:rPr>
          <w:lang w:val="en-MY"/>
        </w:rPr>
        <w:t xml:space="preserve">, but merely establishes a system </w:t>
      </w:r>
      <w:r w:rsidR="00FD78F4">
        <w:rPr>
          <w:lang w:val="en-MY"/>
        </w:rPr>
        <w:t xml:space="preserve">for exchanging gold </w:t>
      </w:r>
      <w:r w:rsidR="006C5A87" w:rsidRPr="006C5A87">
        <w:rPr>
          <w:lang w:val="en-MY"/>
        </w:rPr>
        <w:t xml:space="preserve">into the local currency. </w:t>
      </w:r>
      <w:r w:rsidR="00FD78F4">
        <w:rPr>
          <w:lang w:val="en-MY"/>
        </w:rPr>
        <w:t xml:space="preserve">Nevertheless, to use the averaging method, it must be determined and ratified by the Shariah committee and applied to all those subject to </w:t>
      </w:r>
      <w:r w:rsidR="006C5A87" w:rsidRPr="006C5A87">
        <w:rPr>
          <w:lang w:val="en-MY"/>
        </w:rPr>
        <w:t xml:space="preserve">zakat. Fourthly, the </w:t>
      </w:r>
      <w:proofErr w:type="spellStart"/>
      <w:r w:rsidR="006C5A87" w:rsidRPr="006C5A87">
        <w:rPr>
          <w:lang w:val="en-MY"/>
        </w:rPr>
        <w:t>nisab</w:t>
      </w:r>
      <w:proofErr w:type="spellEnd"/>
      <w:r w:rsidR="006C5A87" w:rsidRPr="006C5A87">
        <w:rPr>
          <w:lang w:val="en-MY"/>
        </w:rPr>
        <w:t xml:space="preserve"> calculation methodology </w:t>
      </w:r>
      <w:r w:rsidR="00FD78F4">
        <w:rPr>
          <w:lang w:val="en-MY"/>
        </w:rPr>
        <w:t xml:space="preserve">adopted by all </w:t>
      </w:r>
      <w:r w:rsidR="006C5A87" w:rsidRPr="006C5A87">
        <w:rPr>
          <w:lang w:val="en-MY"/>
        </w:rPr>
        <w:t xml:space="preserve">zakat institutions must be easy to understand and readily available. At least the following information shall be disclosed: gold weight, assumed purity, source of price, source of exchange rate, date/period of valuation, review dates and the types of zakat that the </w:t>
      </w:r>
      <w:proofErr w:type="spellStart"/>
      <w:r w:rsidR="006C5A87" w:rsidRPr="006C5A87">
        <w:rPr>
          <w:lang w:val="en-MY"/>
        </w:rPr>
        <w:t>nisab</w:t>
      </w:r>
      <w:proofErr w:type="spellEnd"/>
      <w:r w:rsidR="006C5A87" w:rsidRPr="006C5A87">
        <w:rPr>
          <w:lang w:val="en-MY"/>
        </w:rPr>
        <w:t xml:space="preserve"> applies to. This can be posted on official websites, zakat computation devices, public brochures and annual reports. Transparency is also an institutional </w:t>
      </w:r>
      <w:proofErr w:type="spellStart"/>
      <w:r w:rsidR="006C5A87" w:rsidRPr="006C5A87">
        <w:rPr>
          <w:lang w:val="en-MY"/>
        </w:rPr>
        <w:t>amanah</w:t>
      </w:r>
      <w:proofErr w:type="spellEnd"/>
      <w:r w:rsidR="00FD78F4">
        <w:rPr>
          <w:lang w:val="en-MY"/>
        </w:rPr>
        <w:t xml:space="preserve"> because it concerns the </w:t>
      </w:r>
      <w:proofErr w:type="spellStart"/>
      <w:r w:rsidR="00FD78F4">
        <w:rPr>
          <w:lang w:val="en-MY"/>
        </w:rPr>
        <w:t>nisab</w:t>
      </w:r>
      <w:proofErr w:type="spellEnd"/>
      <w:r w:rsidR="00FD78F4">
        <w:rPr>
          <w:lang w:val="en-MY"/>
        </w:rPr>
        <w:t>, benefiting both those</w:t>
      </w:r>
      <w:r w:rsidR="006C5A87" w:rsidRPr="006C5A87">
        <w:rPr>
          <w:lang w:val="en-MY"/>
        </w:rPr>
        <w:t xml:space="preserve"> who pay zakat and those who receive it.</w:t>
      </w:r>
    </w:p>
    <w:p w:rsidR="006C5A87" w:rsidRDefault="006C5A87" w:rsidP="006C5A87">
      <w:pPr>
        <w:spacing w:line="240" w:lineRule="auto"/>
        <w:ind w:firstLine="720"/>
        <w:jc w:val="both"/>
        <w:rPr>
          <w:lang w:val="en-MY"/>
        </w:rPr>
      </w:pPr>
      <w:r w:rsidRPr="006C5A87">
        <w:rPr>
          <w:lang w:val="en-MY"/>
        </w:rPr>
        <w:t xml:space="preserve">Five, the fairness should be applied in </w:t>
      </w:r>
      <w:proofErr w:type="spellStart"/>
      <w:r w:rsidRPr="006C5A87">
        <w:rPr>
          <w:lang w:val="en-MY"/>
        </w:rPr>
        <w:t>nisab</w:t>
      </w:r>
      <w:proofErr w:type="spellEnd"/>
      <w:r w:rsidRPr="006C5A87">
        <w:rPr>
          <w:lang w:val="en-MY"/>
        </w:rPr>
        <w:t xml:space="preserve"> governance based on </w:t>
      </w:r>
      <w:proofErr w:type="spellStart"/>
      <w:r w:rsidR="003D7EAE">
        <w:rPr>
          <w:lang w:val="en-MY"/>
        </w:rPr>
        <w:t>Maqasid</w:t>
      </w:r>
      <w:proofErr w:type="spellEnd"/>
      <w:r w:rsidRPr="006C5A87">
        <w:rPr>
          <w:lang w:val="en-MY"/>
        </w:rPr>
        <w:t xml:space="preserve">. Zakat authorities should check their methodology for potential causes of unnecessary hardship, arbitrary inclusion/exclusion or instability in the planning of collection and distribution. Periodic impact reviews should be </w:t>
      </w:r>
      <w:r w:rsidR="003D7EAE">
        <w:rPr>
          <w:lang w:val="en-MY"/>
        </w:rPr>
        <w:t xml:space="preserve">conducted when there are significant changes in the amount of </w:t>
      </w:r>
      <w:proofErr w:type="spellStart"/>
      <w:r w:rsidR="003D7EAE">
        <w:rPr>
          <w:lang w:val="en-MY"/>
        </w:rPr>
        <w:t>muzakki</w:t>
      </w:r>
      <w:proofErr w:type="spellEnd"/>
      <w:r w:rsidR="003D7EAE">
        <w:rPr>
          <w:lang w:val="en-MY"/>
        </w:rPr>
        <w:t xml:space="preserve"> or the amount of expected zakat due to fluctuations in gold prices</w:t>
      </w:r>
      <w:r w:rsidRPr="006C5A87">
        <w:rPr>
          <w:lang w:val="en-MY"/>
        </w:rPr>
        <w:t>. Payers</w:t>
      </w:r>
      <w:r w:rsidR="00A33D64">
        <w:rPr>
          <w:lang w:val="en-MY"/>
        </w:rPr>
        <w:t>’</w:t>
      </w:r>
      <w:r w:rsidRPr="006C5A87">
        <w:rPr>
          <w:lang w:val="en-MY"/>
        </w:rPr>
        <w:t xml:space="preserve"> ability and the welfare needs of </w:t>
      </w:r>
      <w:proofErr w:type="spellStart"/>
      <w:r w:rsidRPr="006C5A87">
        <w:rPr>
          <w:lang w:val="en-MY"/>
        </w:rPr>
        <w:t>asnaf</w:t>
      </w:r>
      <w:proofErr w:type="spellEnd"/>
      <w:r w:rsidRPr="006C5A87">
        <w:rPr>
          <w:lang w:val="en-MY"/>
        </w:rPr>
        <w:t xml:space="preserve"> should be considered in these reviews. The </w:t>
      </w:r>
      <w:r w:rsidR="00A33D64">
        <w:rPr>
          <w:lang w:val="en-MY"/>
        </w:rPr>
        <w:t>‘</w:t>
      </w:r>
      <w:proofErr w:type="spellStart"/>
      <w:r w:rsidRPr="006C5A87">
        <w:rPr>
          <w:lang w:val="en-MY"/>
        </w:rPr>
        <w:t>nisab</w:t>
      </w:r>
      <w:proofErr w:type="spellEnd"/>
      <w:r w:rsidRPr="006C5A87">
        <w:rPr>
          <w:lang w:val="en-MY"/>
        </w:rPr>
        <w:t>-policy</w:t>
      </w:r>
      <w:r w:rsidR="00A33D64">
        <w:rPr>
          <w:lang w:val="en-MY"/>
        </w:rPr>
        <w:t>’</w:t>
      </w:r>
      <w:r w:rsidR="003D7EAE">
        <w:rPr>
          <w:lang w:val="en-MY"/>
        </w:rPr>
        <w:t xml:space="preserve"> should not only have legal validity</w:t>
      </w:r>
      <w:r w:rsidRPr="006C5A87">
        <w:rPr>
          <w:lang w:val="en-MY"/>
        </w:rPr>
        <w:t xml:space="preserve"> but also be socially responsible. Sixth, the determination of </w:t>
      </w:r>
      <w:proofErr w:type="spellStart"/>
      <w:r w:rsidRPr="006C5A87">
        <w:rPr>
          <w:lang w:val="en-MY"/>
        </w:rPr>
        <w:t>nisab</w:t>
      </w:r>
      <w:proofErr w:type="spellEnd"/>
      <w:r w:rsidRPr="006C5A87">
        <w:rPr>
          <w:lang w:val="en-MY"/>
        </w:rPr>
        <w:t xml:space="preserve"> should be institutionalised. Regular audits and checks must be carried out on the methodology implemented</w:t>
      </w:r>
      <w:r w:rsidR="003D7EAE">
        <w:rPr>
          <w:lang w:val="en-MY"/>
        </w:rPr>
        <w:t>,</w:t>
      </w:r>
      <w:r w:rsidRPr="006C5A87">
        <w:rPr>
          <w:lang w:val="en-MY"/>
        </w:rPr>
        <w:t xml:space="preserve"> and </w:t>
      </w:r>
      <w:r w:rsidR="003D7EAE">
        <w:rPr>
          <w:lang w:val="en-MY"/>
        </w:rPr>
        <w:t>the methodology must</w:t>
      </w:r>
      <w:r w:rsidRPr="006C5A87">
        <w:rPr>
          <w:lang w:val="en-MY"/>
        </w:rPr>
        <w:t xml:space="preserve"> be examined and approved by the Shariah committee and the appropriate governance board. This will </w:t>
      </w:r>
      <w:r w:rsidR="00FD78F4">
        <w:rPr>
          <w:lang w:val="en-MY"/>
        </w:rPr>
        <w:t>ensure uniformity</w:t>
      </w:r>
      <w:r w:rsidRPr="006C5A87">
        <w:rPr>
          <w:lang w:val="en-MY"/>
        </w:rPr>
        <w:t xml:space="preserve"> </w:t>
      </w:r>
      <w:r w:rsidR="003D7EAE">
        <w:rPr>
          <w:lang w:val="en-MY"/>
        </w:rPr>
        <w:t>across fiqh, data security, administration, and</w:t>
      </w:r>
      <w:r w:rsidRPr="006C5A87">
        <w:rPr>
          <w:lang w:val="en-MY"/>
        </w:rPr>
        <w:t xml:space="preserve"> public interest. This should be stated if there is a difference </w:t>
      </w:r>
      <w:r w:rsidR="003D7EAE">
        <w:rPr>
          <w:lang w:val="en-MY"/>
        </w:rPr>
        <w:t>in</w:t>
      </w:r>
      <w:r w:rsidRPr="006C5A87">
        <w:rPr>
          <w:lang w:val="en-MY"/>
        </w:rPr>
        <w:t xml:space="preserve"> method between states/institutions. Multiple approaches are OK provided that they are understandable, endorsed, and </w:t>
      </w:r>
      <w:proofErr w:type="spellStart"/>
      <w:r w:rsidRPr="006C5A87">
        <w:rPr>
          <w:lang w:val="en-MY"/>
        </w:rPr>
        <w:t>consistent.</w:t>
      </w:r>
    </w:p>
    <w:p w:rsidR="00B54372" w:rsidRDefault="006C5A87" w:rsidP="00BC1850">
      <w:pPr>
        <w:spacing w:line="240" w:lineRule="auto"/>
        <w:ind w:firstLine="720"/>
        <w:jc w:val="both"/>
        <w:rPr>
          <w:lang w:val="en-MY"/>
        </w:rPr>
      </w:pPr>
      <w:r w:rsidRPr="006C5A87">
        <w:rPr>
          <w:lang w:val="en-MY"/>
        </w:rPr>
        <w:t>Lastl</w:t>
      </w:r>
      <w:proofErr w:type="spellEnd"/>
      <w:r w:rsidRPr="006C5A87">
        <w:rPr>
          <w:lang w:val="en-MY"/>
        </w:rPr>
        <w:t xml:space="preserve">y, the zakat authorities must boost public communication about the reasons for changing the </w:t>
      </w:r>
      <w:proofErr w:type="spellStart"/>
      <w:r w:rsidRPr="006C5A87">
        <w:rPr>
          <w:lang w:val="en-MY"/>
        </w:rPr>
        <w:t>nisab</w:t>
      </w:r>
      <w:proofErr w:type="spellEnd"/>
      <w:r w:rsidRPr="006C5A87">
        <w:rPr>
          <w:lang w:val="en-MY"/>
        </w:rPr>
        <w:t xml:space="preserve"> and its proper application</w:t>
      </w:r>
      <w:r>
        <w:rPr>
          <w:lang w:val="en-MY"/>
        </w:rPr>
        <w:t>.</w:t>
      </w:r>
      <w:r w:rsidR="00A92278" w:rsidRPr="00A92278">
        <w:rPr>
          <w:lang w:val="en-MY"/>
        </w:rPr>
        <w:t xml:space="preserve"> When </w:t>
      </w:r>
      <w:r w:rsidR="00AB4E02">
        <w:rPr>
          <w:lang w:val="en-MY"/>
        </w:rPr>
        <w:t xml:space="preserve">the monetary </w:t>
      </w:r>
      <w:proofErr w:type="spellStart"/>
      <w:r w:rsidR="00AB4E02">
        <w:rPr>
          <w:lang w:val="en-MY"/>
        </w:rPr>
        <w:t>nisab</w:t>
      </w:r>
      <w:proofErr w:type="spellEnd"/>
      <w:r w:rsidR="00AB4E02">
        <w:rPr>
          <w:lang w:val="en-MY"/>
        </w:rPr>
        <w:t xml:space="preserve"> is announced,</w:t>
      </w:r>
      <w:r w:rsidR="00A92278" w:rsidRPr="00A92278">
        <w:rPr>
          <w:lang w:val="en-MY"/>
        </w:rPr>
        <w:t xml:space="preserve"> a </w:t>
      </w:r>
      <w:r w:rsidR="00AB4E02">
        <w:rPr>
          <w:lang w:val="en-MY"/>
        </w:rPr>
        <w:t>brief explanation of its basis and calculation should accompany it</w:t>
      </w:r>
      <w:r w:rsidR="00A92278" w:rsidRPr="00A92278">
        <w:rPr>
          <w:lang w:val="en-MY"/>
        </w:rPr>
        <w:t xml:space="preserve">. This will help alleviate the false impression of arbitrary changes in </w:t>
      </w:r>
      <w:proofErr w:type="spellStart"/>
      <w:r w:rsidR="00A92278" w:rsidRPr="00A92278">
        <w:rPr>
          <w:lang w:val="en-MY"/>
        </w:rPr>
        <w:t>nisab</w:t>
      </w:r>
      <w:proofErr w:type="spellEnd"/>
      <w:r w:rsidR="00A92278" w:rsidRPr="00A92278">
        <w:rPr>
          <w:lang w:val="en-MY"/>
        </w:rPr>
        <w:t xml:space="preserve"> and enhance the public trust, understanding and voluntary compliance. In sum, it is recommended that </w:t>
      </w:r>
      <w:proofErr w:type="spellStart"/>
      <w:r w:rsidR="00A92278" w:rsidRPr="00A92278">
        <w:rPr>
          <w:lang w:val="en-MY"/>
        </w:rPr>
        <w:t>nisab</w:t>
      </w:r>
      <w:proofErr w:type="spellEnd"/>
      <w:r w:rsidR="00A92278" w:rsidRPr="00A92278">
        <w:rPr>
          <w:lang w:val="en-MY"/>
        </w:rPr>
        <w:t xml:space="preserve"> be </w:t>
      </w:r>
      <w:r w:rsidR="00AB4E02">
        <w:rPr>
          <w:lang w:val="en-MY"/>
        </w:rPr>
        <w:t xml:space="preserve">determined according to a model of governance that maintains Sharia authenticity, utilises reliable market data, and applies </w:t>
      </w:r>
      <w:proofErr w:type="spellStart"/>
      <w:r w:rsidR="00AB4E02">
        <w:rPr>
          <w:lang w:val="en-MY"/>
        </w:rPr>
        <w:t>maqasid</w:t>
      </w:r>
      <w:proofErr w:type="spellEnd"/>
      <w:r w:rsidR="00AB4E02">
        <w:rPr>
          <w:lang w:val="en-MY"/>
        </w:rPr>
        <w:t>-based fairness and public communication with people</w:t>
      </w:r>
      <w:r w:rsidR="00A92278" w:rsidRPr="00A92278">
        <w:rPr>
          <w:lang w:val="en-MY"/>
        </w:rPr>
        <w:t>.</w:t>
      </w:r>
    </w:p>
    <w:p w:rsidR="005710BE" w:rsidRPr="00A92278" w:rsidRDefault="00DC7EAF" w:rsidP="00500528">
      <w:pPr>
        <w:pStyle w:val="Heading2"/>
        <w:rPr>
          <w:lang w:val="en-MY"/>
        </w:rPr>
      </w:pPr>
      <w:r w:rsidRPr="00A92278">
        <w:rPr>
          <w:lang w:val="en-MY"/>
        </w:rPr>
        <w:t>10. Conclusion</w:t>
      </w:r>
    </w:p>
    <w:p w:rsidR="00BC1850" w:rsidRDefault="00A92278" w:rsidP="00BC1850">
      <w:pPr>
        <w:spacing w:line="240" w:lineRule="auto"/>
        <w:jc w:val="both"/>
        <w:rPr>
          <w:rFonts w:asciiTheme="majorBidi" w:hAnsiTheme="majorBidi" w:cstheme="majorBidi"/>
          <w:szCs w:val="24"/>
          <w:lang w:val="en-MY"/>
        </w:rPr>
      </w:pPr>
      <w:r w:rsidRPr="00A92278">
        <w:rPr>
          <w:rFonts w:asciiTheme="majorBidi" w:hAnsiTheme="majorBidi" w:cstheme="majorBidi"/>
          <w:szCs w:val="24"/>
          <w:lang w:val="en-MY"/>
        </w:rPr>
        <w:t xml:space="preserve">Based on this article, it can be concluded that fluctuations in the </w:t>
      </w:r>
      <w:r w:rsidR="00AB4E02">
        <w:rPr>
          <w:rFonts w:asciiTheme="majorBidi" w:hAnsiTheme="majorBidi" w:cstheme="majorBidi"/>
          <w:szCs w:val="24"/>
          <w:lang w:val="en-MY"/>
        </w:rPr>
        <w:t xml:space="preserve">global gold price significantly influence the determination of the </w:t>
      </w:r>
      <w:proofErr w:type="spellStart"/>
      <w:r w:rsidR="00AB4E02">
        <w:rPr>
          <w:rFonts w:asciiTheme="majorBidi" w:hAnsiTheme="majorBidi" w:cstheme="majorBidi"/>
          <w:szCs w:val="24"/>
          <w:lang w:val="en-MY"/>
        </w:rPr>
        <w:t>nisab</w:t>
      </w:r>
      <w:proofErr w:type="spellEnd"/>
      <w:r w:rsidR="00AB4E02">
        <w:rPr>
          <w:rFonts w:asciiTheme="majorBidi" w:hAnsiTheme="majorBidi" w:cstheme="majorBidi"/>
          <w:szCs w:val="24"/>
          <w:lang w:val="en-MY"/>
        </w:rPr>
        <w:t xml:space="preserve"> for</w:t>
      </w:r>
      <w:r w:rsidRPr="00A92278">
        <w:rPr>
          <w:rFonts w:asciiTheme="majorBidi" w:hAnsiTheme="majorBidi" w:cstheme="majorBidi"/>
          <w:szCs w:val="24"/>
          <w:lang w:val="en-MY"/>
        </w:rPr>
        <w:t xml:space="preserve"> wealth zakat. The basic </w:t>
      </w:r>
      <w:proofErr w:type="spellStart"/>
      <w:r w:rsidRPr="00A92278">
        <w:rPr>
          <w:rFonts w:asciiTheme="majorBidi" w:hAnsiTheme="majorBidi" w:cstheme="majorBidi"/>
          <w:szCs w:val="24"/>
          <w:lang w:val="en-MY"/>
        </w:rPr>
        <w:t>nisab</w:t>
      </w:r>
      <w:proofErr w:type="spellEnd"/>
      <w:r w:rsidRPr="00A92278">
        <w:rPr>
          <w:rFonts w:asciiTheme="majorBidi" w:hAnsiTheme="majorBidi" w:cstheme="majorBidi"/>
          <w:szCs w:val="24"/>
          <w:lang w:val="en-MY"/>
        </w:rPr>
        <w:t xml:space="preserve"> of gold</w:t>
      </w:r>
      <w:r w:rsidR="00AB4E02">
        <w:rPr>
          <w:rFonts w:asciiTheme="majorBidi" w:hAnsiTheme="majorBidi" w:cstheme="majorBidi"/>
          <w:szCs w:val="24"/>
          <w:lang w:val="en-MY"/>
        </w:rPr>
        <w:t xml:space="preserve">, as stated in the Shariah, is 20 dinars, </w:t>
      </w:r>
      <w:r w:rsidRPr="00A92278">
        <w:rPr>
          <w:rFonts w:asciiTheme="majorBidi" w:hAnsiTheme="majorBidi" w:cstheme="majorBidi"/>
          <w:szCs w:val="24"/>
          <w:lang w:val="en-MY"/>
        </w:rPr>
        <w:t xml:space="preserve">equivalent to 85 grams of pure gold. However, if such a standard is translated into the local currency, the monetary value of </w:t>
      </w:r>
      <w:proofErr w:type="spellStart"/>
      <w:r w:rsidRPr="00A92278">
        <w:rPr>
          <w:rFonts w:asciiTheme="majorBidi" w:hAnsiTheme="majorBidi" w:cstheme="majorBidi"/>
          <w:szCs w:val="24"/>
          <w:lang w:val="en-MY"/>
        </w:rPr>
        <w:t>nisab</w:t>
      </w:r>
      <w:proofErr w:type="spellEnd"/>
      <w:r w:rsidRPr="00A92278">
        <w:rPr>
          <w:rFonts w:asciiTheme="majorBidi" w:hAnsiTheme="majorBidi" w:cstheme="majorBidi"/>
          <w:szCs w:val="24"/>
          <w:lang w:val="en-MY"/>
        </w:rPr>
        <w:t xml:space="preserve"> becomes subject to fluctuations in </w:t>
      </w:r>
      <w:r w:rsidR="0006753B">
        <w:rPr>
          <w:rFonts w:asciiTheme="majorBidi" w:hAnsiTheme="majorBidi" w:cstheme="majorBidi"/>
          <w:szCs w:val="24"/>
          <w:lang w:val="en-MY"/>
        </w:rPr>
        <w:t>gold prices</w:t>
      </w:r>
      <w:r w:rsidR="00AB4E02">
        <w:rPr>
          <w:rFonts w:asciiTheme="majorBidi" w:hAnsiTheme="majorBidi" w:cstheme="majorBidi"/>
          <w:szCs w:val="24"/>
          <w:lang w:val="en-MY"/>
        </w:rPr>
        <w:t>, currency rates, supplier/location, valuation date</w:t>
      </w:r>
      <w:r w:rsidRPr="00A92278">
        <w:rPr>
          <w:rFonts w:asciiTheme="majorBidi" w:hAnsiTheme="majorBidi" w:cstheme="majorBidi"/>
          <w:szCs w:val="24"/>
          <w:lang w:val="en-MY"/>
        </w:rPr>
        <w:t xml:space="preserve">, and institutional methods. </w:t>
      </w:r>
      <w:r w:rsidR="003B1A2E" w:rsidRPr="00A92278">
        <w:rPr>
          <w:rFonts w:asciiTheme="majorBidi" w:hAnsiTheme="majorBidi" w:cstheme="majorBidi"/>
          <w:szCs w:val="24"/>
          <w:lang w:val="en-MY"/>
        </w:rPr>
        <w:lastRenderedPageBreak/>
        <w:t>Consequently</w:t>
      </w:r>
      <w:r w:rsidRPr="00A92278">
        <w:rPr>
          <w:rFonts w:asciiTheme="majorBidi" w:hAnsiTheme="majorBidi" w:cstheme="majorBidi"/>
          <w:szCs w:val="24"/>
          <w:lang w:val="en-MY"/>
        </w:rPr>
        <w:t xml:space="preserve">, the current problem is not </w:t>
      </w:r>
      <w:r w:rsidR="00AB4E02">
        <w:rPr>
          <w:rFonts w:asciiTheme="majorBidi" w:hAnsiTheme="majorBidi" w:cstheme="majorBidi"/>
          <w:szCs w:val="24"/>
          <w:lang w:val="en-MY"/>
        </w:rPr>
        <w:t xml:space="preserve">whether </w:t>
      </w:r>
      <w:r w:rsidR="004B5D3E">
        <w:rPr>
          <w:rFonts w:asciiTheme="majorBidi" w:hAnsiTheme="majorBidi" w:cstheme="majorBidi"/>
          <w:szCs w:val="24"/>
          <w:lang w:val="en-MY"/>
        </w:rPr>
        <w:t xml:space="preserve">the gold </w:t>
      </w:r>
      <w:proofErr w:type="spellStart"/>
      <w:r w:rsidR="004B5D3E">
        <w:rPr>
          <w:rFonts w:asciiTheme="majorBidi" w:hAnsiTheme="majorBidi" w:cstheme="majorBidi"/>
          <w:szCs w:val="24"/>
          <w:lang w:val="en-MY"/>
        </w:rPr>
        <w:t>nisab</w:t>
      </w:r>
      <w:proofErr w:type="spellEnd"/>
      <w:r w:rsidR="004B5D3E">
        <w:rPr>
          <w:rFonts w:asciiTheme="majorBidi" w:hAnsiTheme="majorBidi" w:cstheme="majorBidi"/>
          <w:szCs w:val="24"/>
          <w:lang w:val="en-MY"/>
        </w:rPr>
        <w:t xml:space="preserve"> should be changed</w:t>
      </w:r>
      <w:bookmarkStart w:id="0" w:name="_GoBack"/>
      <w:bookmarkEnd w:id="0"/>
      <w:r w:rsidR="00AB4E02">
        <w:rPr>
          <w:rFonts w:asciiTheme="majorBidi" w:hAnsiTheme="majorBidi" w:cstheme="majorBidi"/>
          <w:szCs w:val="24"/>
          <w:lang w:val="en-MY"/>
        </w:rPr>
        <w:t xml:space="preserve">, but </w:t>
      </w:r>
      <w:r w:rsidR="003B1A2E">
        <w:rPr>
          <w:rFonts w:asciiTheme="majorBidi" w:hAnsiTheme="majorBidi" w:cstheme="majorBidi"/>
          <w:szCs w:val="24"/>
          <w:lang w:val="en-MY"/>
        </w:rPr>
        <w:t>rather how it is to be valued, reviewed, approved, and communicated by the authorities responsible for</w:t>
      </w:r>
      <w:r w:rsidRPr="00A92278">
        <w:rPr>
          <w:rFonts w:asciiTheme="majorBidi" w:hAnsiTheme="majorBidi" w:cstheme="majorBidi"/>
          <w:szCs w:val="24"/>
          <w:lang w:val="en-MY"/>
        </w:rPr>
        <w:t xml:space="preserve"> zakat.</w:t>
      </w:r>
    </w:p>
    <w:p w:rsidR="00884321" w:rsidRPr="006C5A87" w:rsidRDefault="00884321" w:rsidP="006C5A87">
      <w:pPr>
        <w:spacing w:line="240" w:lineRule="auto"/>
        <w:ind w:firstLine="720"/>
        <w:jc w:val="both"/>
        <w:rPr>
          <w:rFonts w:asciiTheme="majorBidi" w:hAnsiTheme="majorBidi" w:cstheme="majorBidi"/>
          <w:szCs w:val="24"/>
          <w:lang w:val="en-MY"/>
        </w:rPr>
      </w:pPr>
      <w:r w:rsidRPr="006C5A87">
        <w:rPr>
          <w:rFonts w:asciiTheme="majorBidi" w:hAnsiTheme="majorBidi" w:cstheme="majorBidi"/>
          <w:szCs w:val="24"/>
          <w:lang w:val="en-MY"/>
        </w:rPr>
        <w:t xml:space="preserve">The study shows that the calculation of </w:t>
      </w:r>
      <w:proofErr w:type="spellStart"/>
      <w:r w:rsidRPr="006C5A87">
        <w:rPr>
          <w:rFonts w:asciiTheme="majorBidi" w:hAnsiTheme="majorBidi" w:cstheme="majorBidi"/>
          <w:szCs w:val="24"/>
          <w:lang w:val="en-MY"/>
        </w:rPr>
        <w:t>nisab</w:t>
      </w:r>
      <w:proofErr w:type="spellEnd"/>
      <w:r w:rsidRPr="006C5A87">
        <w:rPr>
          <w:rFonts w:asciiTheme="majorBidi" w:hAnsiTheme="majorBidi" w:cstheme="majorBidi"/>
          <w:szCs w:val="24"/>
          <w:lang w:val="en-MY"/>
        </w:rPr>
        <w:t xml:space="preserve"> is not </w:t>
      </w:r>
      <w:r w:rsidR="006C5A87">
        <w:rPr>
          <w:rFonts w:asciiTheme="majorBidi" w:hAnsiTheme="majorBidi" w:cstheme="majorBidi"/>
          <w:szCs w:val="24"/>
          <w:lang w:val="en-MY"/>
        </w:rPr>
        <w:t xml:space="preserve">merely </w:t>
      </w:r>
      <w:r w:rsidR="003D7EAE">
        <w:rPr>
          <w:rFonts w:asciiTheme="majorBidi" w:hAnsiTheme="majorBidi" w:cstheme="majorBidi"/>
          <w:szCs w:val="24"/>
          <w:lang w:val="en-MY"/>
        </w:rPr>
        <w:t>technical</w:t>
      </w:r>
      <w:r w:rsidR="006C5A87">
        <w:rPr>
          <w:rFonts w:asciiTheme="majorBidi" w:hAnsiTheme="majorBidi" w:cstheme="majorBidi"/>
          <w:szCs w:val="24"/>
          <w:lang w:val="en-MY"/>
        </w:rPr>
        <w:t>, nor is it a matter of fiqh in the</w:t>
      </w:r>
      <w:r w:rsidRPr="006C5A87">
        <w:rPr>
          <w:rFonts w:asciiTheme="majorBidi" w:hAnsiTheme="majorBidi" w:cstheme="majorBidi"/>
          <w:szCs w:val="24"/>
          <w:lang w:val="en-MY"/>
        </w:rPr>
        <w:t xml:space="preserve"> narrow sense of the word. Should be dealt with </w:t>
      </w:r>
      <w:r w:rsidR="003D7EAE">
        <w:rPr>
          <w:rFonts w:asciiTheme="majorBidi" w:hAnsiTheme="majorBidi" w:cstheme="majorBidi"/>
          <w:szCs w:val="24"/>
          <w:lang w:val="en-MY"/>
        </w:rPr>
        <w:t>holistically</w:t>
      </w:r>
      <w:r w:rsidRPr="006C5A87">
        <w:rPr>
          <w:rFonts w:asciiTheme="majorBidi" w:hAnsiTheme="majorBidi" w:cstheme="majorBidi"/>
          <w:szCs w:val="24"/>
          <w:lang w:val="en-MY"/>
        </w:rPr>
        <w:t xml:space="preserve"> by keeping in mind all four stages of jurisprudential loyalty, economic consciousness, consciousness of </w:t>
      </w:r>
      <w:proofErr w:type="spellStart"/>
      <w:r w:rsidRPr="006C5A87">
        <w:rPr>
          <w:rFonts w:asciiTheme="majorBidi" w:hAnsiTheme="majorBidi" w:cstheme="majorBidi"/>
          <w:szCs w:val="24"/>
          <w:lang w:val="en-MY"/>
        </w:rPr>
        <w:t>maqasid</w:t>
      </w:r>
      <w:proofErr w:type="spellEnd"/>
      <w:r w:rsidRPr="006C5A87">
        <w:rPr>
          <w:rFonts w:asciiTheme="majorBidi" w:hAnsiTheme="majorBidi" w:cstheme="majorBidi"/>
          <w:szCs w:val="24"/>
          <w:lang w:val="en-MY"/>
        </w:rPr>
        <w:t xml:space="preserve"> regarding fairness and governance in an Islamic way. Fluctuations in gold prices may </w:t>
      </w:r>
      <w:r w:rsidR="006C5A87">
        <w:rPr>
          <w:rFonts w:asciiTheme="majorBidi" w:hAnsiTheme="majorBidi" w:cstheme="majorBidi"/>
          <w:szCs w:val="24"/>
          <w:lang w:val="en-MY"/>
        </w:rPr>
        <w:t xml:space="preserve">affect </w:t>
      </w:r>
      <w:proofErr w:type="spellStart"/>
      <w:r w:rsidR="006C5A87">
        <w:rPr>
          <w:rFonts w:asciiTheme="majorBidi" w:hAnsiTheme="majorBidi" w:cstheme="majorBidi"/>
          <w:szCs w:val="24"/>
          <w:lang w:val="en-MY"/>
        </w:rPr>
        <w:t>muzakki</w:t>
      </w:r>
      <w:proofErr w:type="spellEnd"/>
      <w:r w:rsidR="006C5A87">
        <w:rPr>
          <w:rFonts w:asciiTheme="majorBidi" w:hAnsiTheme="majorBidi" w:cstheme="majorBidi"/>
          <w:szCs w:val="24"/>
          <w:lang w:val="en-MY"/>
        </w:rPr>
        <w:t>, the security of zakat collection, the programming of zakat distribution, and people</w:t>
      </w:r>
      <w:r w:rsidR="00A33D64">
        <w:rPr>
          <w:rFonts w:asciiTheme="majorBidi" w:hAnsiTheme="majorBidi" w:cstheme="majorBidi"/>
          <w:szCs w:val="24"/>
          <w:lang w:val="en-MY"/>
        </w:rPr>
        <w:t>’</w:t>
      </w:r>
      <w:r w:rsidR="006C5A87">
        <w:rPr>
          <w:rFonts w:asciiTheme="majorBidi" w:hAnsiTheme="majorBidi" w:cstheme="majorBidi"/>
          <w:szCs w:val="24"/>
          <w:lang w:val="en-MY"/>
        </w:rPr>
        <w:t xml:space="preserve">s trust in the </w:t>
      </w:r>
      <w:r w:rsidRPr="006C5A87">
        <w:rPr>
          <w:rFonts w:asciiTheme="majorBidi" w:hAnsiTheme="majorBidi" w:cstheme="majorBidi"/>
          <w:szCs w:val="24"/>
          <w:lang w:val="en-MY"/>
        </w:rPr>
        <w:t xml:space="preserve">zakat institution. If the methodology </w:t>
      </w:r>
      <w:r w:rsidR="003D7EAE">
        <w:rPr>
          <w:rFonts w:asciiTheme="majorBidi" w:hAnsiTheme="majorBidi" w:cstheme="majorBidi"/>
          <w:szCs w:val="24"/>
          <w:lang w:val="en-MY"/>
        </w:rPr>
        <w:t>is not</w:t>
      </w:r>
      <w:r w:rsidRPr="006C5A87">
        <w:rPr>
          <w:rFonts w:asciiTheme="majorBidi" w:hAnsiTheme="majorBidi" w:cstheme="majorBidi"/>
          <w:szCs w:val="24"/>
          <w:lang w:val="en-MY"/>
        </w:rPr>
        <w:t xml:space="preserve"> provided, even </w:t>
      </w:r>
      <w:r w:rsidR="006C5A87">
        <w:rPr>
          <w:rFonts w:asciiTheme="majorBidi" w:hAnsiTheme="majorBidi" w:cstheme="majorBidi"/>
          <w:szCs w:val="24"/>
          <w:lang w:val="en-MY"/>
        </w:rPr>
        <w:t xml:space="preserve">if the </w:t>
      </w:r>
      <w:proofErr w:type="spellStart"/>
      <w:r w:rsidR="006C5A87">
        <w:rPr>
          <w:rFonts w:asciiTheme="majorBidi" w:hAnsiTheme="majorBidi" w:cstheme="majorBidi"/>
          <w:szCs w:val="24"/>
          <w:lang w:val="en-MY"/>
        </w:rPr>
        <w:t>nisab</w:t>
      </w:r>
      <w:proofErr w:type="spellEnd"/>
      <w:r w:rsidR="006C5A87">
        <w:rPr>
          <w:rFonts w:asciiTheme="majorBidi" w:hAnsiTheme="majorBidi" w:cstheme="majorBidi"/>
          <w:szCs w:val="24"/>
          <w:lang w:val="en-MY"/>
        </w:rPr>
        <w:t xml:space="preserve"> calculation is legitimate under the</w:t>
      </w:r>
      <w:r w:rsidRPr="006C5A87">
        <w:rPr>
          <w:rFonts w:asciiTheme="majorBidi" w:hAnsiTheme="majorBidi" w:cstheme="majorBidi"/>
          <w:szCs w:val="24"/>
          <w:lang w:val="en-MY"/>
        </w:rPr>
        <w:t xml:space="preserve"> law, it may be seen as arbitrary. In light of this, this article </w:t>
      </w:r>
      <w:r w:rsidR="006C5A87">
        <w:rPr>
          <w:rFonts w:asciiTheme="majorBidi" w:hAnsiTheme="majorBidi" w:cstheme="majorBidi"/>
          <w:szCs w:val="24"/>
          <w:lang w:val="en-MY"/>
        </w:rPr>
        <w:t>argues</w:t>
      </w:r>
      <w:r w:rsidRPr="006C5A87">
        <w:rPr>
          <w:rFonts w:asciiTheme="majorBidi" w:hAnsiTheme="majorBidi" w:cstheme="majorBidi"/>
          <w:szCs w:val="24"/>
          <w:lang w:val="en-MY"/>
        </w:rPr>
        <w:t xml:space="preserve"> that the monetary </w:t>
      </w:r>
      <w:proofErr w:type="spellStart"/>
      <w:r w:rsidRPr="006C5A87">
        <w:rPr>
          <w:rFonts w:asciiTheme="majorBidi" w:hAnsiTheme="majorBidi" w:cstheme="majorBidi"/>
          <w:szCs w:val="24"/>
          <w:lang w:val="en-MY"/>
        </w:rPr>
        <w:t>nisab</w:t>
      </w:r>
      <w:proofErr w:type="spellEnd"/>
      <w:r w:rsidRPr="006C5A87">
        <w:rPr>
          <w:rFonts w:asciiTheme="majorBidi" w:hAnsiTheme="majorBidi" w:cstheme="majorBidi"/>
          <w:szCs w:val="24"/>
          <w:lang w:val="en-MY"/>
        </w:rPr>
        <w:t xml:space="preserve"> </w:t>
      </w:r>
      <w:r w:rsidR="00FD78F4">
        <w:rPr>
          <w:rFonts w:asciiTheme="majorBidi" w:hAnsiTheme="majorBidi" w:cstheme="majorBidi"/>
          <w:szCs w:val="24"/>
          <w:lang w:val="en-MY"/>
        </w:rPr>
        <w:t>constitutes</w:t>
      </w:r>
      <w:r w:rsidRPr="006C5A87">
        <w:rPr>
          <w:rFonts w:asciiTheme="majorBidi" w:hAnsiTheme="majorBidi" w:cstheme="majorBidi"/>
          <w:szCs w:val="24"/>
          <w:lang w:val="en-MY"/>
        </w:rPr>
        <w:t xml:space="preserve"> administrative ijtihad. That is, institutions must use valuation methods that </w:t>
      </w:r>
      <w:r w:rsidR="006C5A87">
        <w:rPr>
          <w:rFonts w:asciiTheme="majorBidi" w:hAnsiTheme="majorBidi" w:cstheme="majorBidi"/>
          <w:szCs w:val="24"/>
          <w:lang w:val="en-MY"/>
        </w:rPr>
        <w:t xml:space="preserve">ensure the juristic inviolability of </w:t>
      </w:r>
      <w:proofErr w:type="spellStart"/>
      <w:r w:rsidR="006C5A87">
        <w:rPr>
          <w:rFonts w:asciiTheme="majorBidi" w:hAnsiTheme="majorBidi" w:cstheme="majorBidi"/>
          <w:szCs w:val="24"/>
          <w:lang w:val="en-MY"/>
        </w:rPr>
        <w:t>nisab</w:t>
      </w:r>
      <w:proofErr w:type="spellEnd"/>
      <w:r w:rsidR="006C5A87">
        <w:rPr>
          <w:rFonts w:asciiTheme="majorBidi" w:hAnsiTheme="majorBidi" w:cstheme="majorBidi"/>
          <w:szCs w:val="24"/>
          <w:lang w:val="en-MY"/>
        </w:rPr>
        <w:t xml:space="preserve"> and proper valuation, such as recognised price benchmarks, explicit assumptions about purity, proper consideration of exchange rates, and averaging,</w:t>
      </w:r>
      <w:r w:rsidRPr="006C5A87">
        <w:rPr>
          <w:rFonts w:asciiTheme="majorBidi" w:hAnsiTheme="majorBidi" w:cstheme="majorBidi"/>
          <w:szCs w:val="24"/>
          <w:lang w:val="en-MY"/>
        </w:rPr>
        <w:t xml:space="preserve"> if applicable. Other elements of Shariah committee approval, auditability, periodicity of review, and effective communication </w:t>
      </w:r>
      <w:r w:rsidR="006C5A87">
        <w:rPr>
          <w:rFonts w:asciiTheme="majorBidi" w:hAnsiTheme="majorBidi" w:cstheme="majorBidi"/>
          <w:szCs w:val="24"/>
          <w:lang w:val="en-MY"/>
        </w:rPr>
        <w:t>to the</w:t>
      </w:r>
      <w:r w:rsidRPr="006C5A87">
        <w:rPr>
          <w:rFonts w:asciiTheme="majorBidi" w:hAnsiTheme="majorBidi" w:cstheme="majorBidi"/>
          <w:szCs w:val="24"/>
          <w:lang w:val="en-MY"/>
        </w:rPr>
        <w:t xml:space="preserve"> public should be part of a sound governance framework.</w:t>
      </w:r>
    </w:p>
    <w:p w:rsidR="00884321" w:rsidRPr="006C5A87" w:rsidRDefault="00884321" w:rsidP="006C5A87">
      <w:pPr>
        <w:spacing w:line="240" w:lineRule="auto"/>
        <w:ind w:firstLine="720"/>
        <w:jc w:val="both"/>
        <w:rPr>
          <w:rFonts w:asciiTheme="majorBidi" w:hAnsiTheme="majorBidi" w:cstheme="majorBidi"/>
          <w:szCs w:val="24"/>
          <w:lang w:val="en-MY"/>
        </w:rPr>
      </w:pPr>
      <w:r w:rsidRPr="006C5A87">
        <w:rPr>
          <w:rFonts w:asciiTheme="majorBidi" w:hAnsiTheme="majorBidi" w:cstheme="majorBidi"/>
          <w:szCs w:val="24"/>
          <w:lang w:val="en-MY"/>
        </w:rPr>
        <w:t xml:space="preserve">Finally, the most appropriate model is the continuity of </w:t>
      </w:r>
      <w:r w:rsidR="006C5A87">
        <w:rPr>
          <w:rFonts w:asciiTheme="majorBidi" w:hAnsiTheme="majorBidi" w:cstheme="majorBidi"/>
          <w:szCs w:val="24"/>
          <w:lang w:val="en-MY"/>
        </w:rPr>
        <w:t>Shariah that can respond to</w:t>
      </w:r>
      <w:r w:rsidRPr="006C5A87">
        <w:rPr>
          <w:rFonts w:asciiTheme="majorBidi" w:hAnsiTheme="majorBidi" w:cstheme="majorBidi"/>
          <w:szCs w:val="24"/>
          <w:lang w:val="en-MY"/>
        </w:rPr>
        <w:t xml:space="preserve"> market volatility with an entry response. The implementation of a methodology that is transparent, stable and focused on achieving the </w:t>
      </w:r>
      <w:proofErr w:type="spellStart"/>
      <w:r w:rsidRPr="006C5A87">
        <w:rPr>
          <w:rFonts w:asciiTheme="majorBidi" w:hAnsiTheme="majorBidi" w:cstheme="majorBidi"/>
          <w:szCs w:val="24"/>
          <w:lang w:val="en-MY"/>
        </w:rPr>
        <w:t>maqasid</w:t>
      </w:r>
      <w:proofErr w:type="spellEnd"/>
      <w:r w:rsidRPr="006C5A87">
        <w:rPr>
          <w:rFonts w:asciiTheme="majorBidi" w:hAnsiTheme="majorBidi" w:cstheme="majorBidi"/>
          <w:szCs w:val="24"/>
          <w:lang w:val="en-MY"/>
        </w:rPr>
        <w:t xml:space="preserve"> of zakat can boost the people</w:t>
      </w:r>
      <w:r w:rsidR="00A33D64">
        <w:rPr>
          <w:rFonts w:asciiTheme="majorBidi" w:hAnsiTheme="majorBidi" w:cstheme="majorBidi"/>
          <w:szCs w:val="24"/>
          <w:lang w:val="en-MY"/>
        </w:rPr>
        <w:t>’</w:t>
      </w:r>
      <w:r w:rsidRPr="006C5A87">
        <w:rPr>
          <w:rFonts w:asciiTheme="majorBidi" w:hAnsiTheme="majorBidi" w:cstheme="majorBidi"/>
          <w:szCs w:val="24"/>
          <w:lang w:val="en-MY"/>
        </w:rPr>
        <w:t>s trust in the zakat system, minimise confusion and dispute, safeguard justice among the claimants and the payers, and improve the overall legitimacy of the governance of the zakat system in modern financial conditions.</w:t>
      </w:r>
    </w:p>
    <w:p w:rsidR="00A92278" w:rsidRDefault="00A92278" w:rsidP="00500528">
      <w:pPr>
        <w:pStyle w:val="Heading2"/>
        <w:rPr>
          <w:lang w:val="en-MY"/>
        </w:rPr>
      </w:pPr>
      <w:r>
        <w:rPr>
          <w:lang w:val="en-MY"/>
        </w:rPr>
        <w:t>11. References</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lang w:val="en-MY"/>
        </w:rPr>
        <w:fldChar w:fldCharType="begin"/>
      </w:r>
      <w:r w:rsidRPr="003B1047">
        <w:rPr>
          <w:rFonts w:asciiTheme="majorBidi" w:hAnsiTheme="majorBidi" w:cstheme="majorBidi"/>
          <w:szCs w:val="24"/>
          <w:lang w:val="en-MY"/>
        </w:rPr>
        <w:instrText xml:space="preserve"> ADDIN ZOTERO_BIBL {"uncited":[],"omitted":[],"custom":[]} CSL_BIBLIOGRAPHY </w:instrText>
      </w:r>
      <w:r w:rsidRPr="003B1047">
        <w:rPr>
          <w:rFonts w:asciiTheme="majorBidi" w:hAnsiTheme="majorBidi" w:cstheme="majorBidi"/>
          <w:szCs w:val="24"/>
          <w:lang w:val="en-MY"/>
        </w:rPr>
        <w:fldChar w:fldCharType="separate"/>
      </w:r>
      <w:r w:rsidRPr="003B1047">
        <w:rPr>
          <w:rFonts w:asciiTheme="majorBidi" w:hAnsiTheme="majorBidi" w:cstheme="majorBidi"/>
          <w:szCs w:val="24"/>
        </w:rPr>
        <w:t xml:space="preserve">Accounting and Auditing Organization for Islamic Financial Institutions. (n.d.). </w:t>
      </w:r>
      <w:proofErr w:type="spellStart"/>
      <w:r w:rsidRPr="003B1047">
        <w:rPr>
          <w:rFonts w:asciiTheme="majorBidi" w:hAnsiTheme="majorBidi" w:cstheme="majorBidi"/>
          <w:i/>
          <w:iCs/>
          <w:szCs w:val="24"/>
        </w:rPr>
        <w:t>Zakah</w:t>
      </w:r>
      <w:proofErr w:type="spellEnd"/>
      <w:r w:rsidRPr="003B1047">
        <w:rPr>
          <w:rFonts w:asciiTheme="majorBidi" w:hAnsiTheme="majorBidi" w:cstheme="majorBidi"/>
          <w:szCs w:val="24"/>
        </w:rPr>
        <w:t xml:space="preserve"> (</w:t>
      </w:r>
      <w:proofErr w:type="spellStart"/>
      <w:r w:rsidRPr="003B1047">
        <w:rPr>
          <w:rFonts w:asciiTheme="majorBidi" w:hAnsiTheme="majorBidi" w:cstheme="majorBidi"/>
          <w:szCs w:val="24"/>
        </w:rPr>
        <w:t>Shari</w:t>
      </w:r>
      <w:r w:rsidR="00A33D64">
        <w:rPr>
          <w:rFonts w:asciiTheme="majorBidi" w:hAnsiTheme="majorBidi" w:cstheme="majorBidi"/>
          <w:szCs w:val="24"/>
        </w:rPr>
        <w:t>’</w:t>
      </w:r>
      <w:r w:rsidRPr="003B1047">
        <w:rPr>
          <w:rFonts w:asciiTheme="majorBidi" w:hAnsiTheme="majorBidi" w:cstheme="majorBidi"/>
          <w:szCs w:val="24"/>
        </w:rPr>
        <w:t>ah</w:t>
      </w:r>
      <w:proofErr w:type="spellEnd"/>
      <w:r w:rsidRPr="003B1047">
        <w:rPr>
          <w:rFonts w:asciiTheme="majorBidi" w:hAnsiTheme="majorBidi" w:cstheme="majorBidi"/>
          <w:szCs w:val="24"/>
        </w:rPr>
        <w:t xml:space="preserve"> Standard No. 35). AAOFI. Retrieved 3 June 2026, from https://aaoifi.com/ss-35-zakah/?lang=en</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Ahmad, I. U. (1992). Islam and the Economic Challenge. </w:t>
      </w:r>
      <w:r w:rsidRPr="003B1047">
        <w:rPr>
          <w:rFonts w:asciiTheme="majorBidi" w:hAnsiTheme="majorBidi" w:cstheme="majorBidi"/>
          <w:i/>
          <w:iCs/>
          <w:szCs w:val="24"/>
        </w:rPr>
        <w:t>American Journal of Islam and Society</w:t>
      </w:r>
      <w:r w:rsidRPr="003B1047">
        <w:rPr>
          <w:rFonts w:asciiTheme="majorBidi" w:hAnsiTheme="majorBidi" w:cstheme="majorBidi"/>
          <w:szCs w:val="24"/>
        </w:rPr>
        <w:t xml:space="preserve">, </w:t>
      </w:r>
      <w:r w:rsidRPr="003B1047">
        <w:rPr>
          <w:rFonts w:asciiTheme="majorBidi" w:hAnsiTheme="majorBidi" w:cstheme="majorBidi"/>
          <w:i/>
          <w:iCs/>
          <w:szCs w:val="24"/>
        </w:rPr>
        <w:t>9</w:t>
      </w:r>
      <w:r w:rsidRPr="003B1047">
        <w:rPr>
          <w:rFonts w:asciiTheme="majorBidi" w:hAnsiTheme="majorBidi" w:cstheme="majorBidi"/>
          <w:szCs w:val="24"/>
        </w:rPr>
        <w:t>(4), 546–555. https://doi.org/10.35632/ajis.v9i4.2540</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Ahmed, H. (2004). Role of Zakah and Awqaf in Poverty Alleviation. </w:t>
      </w:r>
      <w:r w:rsidRPr="003B1047">
        <w:rPr>
          <w:rFonts w:asciiTheme="majorBidi" w:hAnsiTheme="majorBidi" w:cstheme="majorBidi"/>
          <w:i/>
          <w:iCs/>
          <w:szCs w:val="24"/>
        </w:rPr>
        <w:t>Occasional Papers, Occasional Papers</w:t>
      </w:r>
      <w:r w:rsidRPr="003B1047">
        <w:rPr>
          <w:rFonts w:asciiTheme="majorBidi" w:hAnsiTheme="majorBidi" w:cstheme="majorBidi"/>
          <w:szCs w:val="24"/>
        </w:rPr>
        <w:t>, Article 201. https://ideas.repec.org//p/ris/irtiop/0201.html</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Al-Khaṭīb al-Shirbīnī, M. A. (1994). </w:t>
      </w:r>
      <w:r w:rsidRPr="003B1047">
        <w:rPr>
          <w:rFonts w:asciiTheme="majorBidi" w:hAnsiTheme="majorBidi" w:cstheme="majorBidi"/>
          <w:i/>
          <w:iCs/>
          <w:szCs w:val="24"/>
        </w:rPr>
        <w:t>Mughnī al-Muḥtāj ilā maʿrifat maʿānī alfāẓ al-Minhāj</w:t>
      </w:r>
      <w:r w:rsidRPr="003B1047">
        <w:rPr>
          <w:rFonts w:asciiTheme="majorBidi" w:hAnsiTheme="majorBidi" w:cstheme="majorBidi"/>
          <w:szCs w:val="24"/>
        </w:rPr>
        <w:t xml:space="preserve"> (Vol. 6). https://shamela.ws/book/11444</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Al-</w:t>
      </w:r>
      <w:proofErr w:type="spellStart"/>
      <w:r w:rsidRPr="003B1047">
        <w:rPr>
          <w:rFonts w:asciiTheme="majorBidi" w:hAnsiTheme="majorBidi" w:cstheme="majorBidi"/>
          <w:szCs w:val="24"/>
        </w:rPr>
        <w:t>Mawardi</w:t>
      </w:r>
      <w:proofErr w:type="spellEnd"/>
      <w:r w:rsidRPr="003B1047">
        <w:rPr>
          <w:rFonts w:asciiTheme="majorBidi" w:hAnsiTheme="majorBidi" w:cstheme="majorBidi"/>
          <w:szCs w:val="24"/>
        </w:rPr>
        <w:t xml:space="preserve">, </w:t>
      </w:r>
      <w:r w:rsidR="00A33D64">
        <w:rPr>
          <w:rFonts w:asciiTheme="majorBidi" w:hAnsiTheme="majorBidi" w:cstheme="majorBidi"/>
          <w:szCs w:val="24"/>
        </w:rPr>
        <w:t>‘</w:t>
      </w:r>
      <w:r w:rsidRPr="003B1047">
        <w:rPr>
          <w:rFonts w:asciiTheme="majorBidi" w:hAnsiTheme="majorBidi" w:cstheme="majorBidi"/>
          <w:szCs w:val="24"/>
        </w:rPr>
        <w:t xml:space="preserve">Ali bin Muhammad. (1999). </w:t>
      </w:r>
      <w:r w:rsidRPr="003B1047">
        <w:rPr>
          <w:rFonts w:asciiTheme="majorBidi" w:hAnsiTheme="majorBidi" w:cstheme="majorBidi"/>
          <w:i/>
          <w:iCs/>
          <w:szCs w:val="24"/>
        </w:rPr>
        <w:t>Al-Hawi al-Kabir fi Fiqh Madhhab al-Imam al-Shafi</w:t>
      </w:r>
      <w:r w:rsidR="00A33D64">
        <w:rPr>
          <w:rFonts w:asciiTheme="majorBidi" w:hAnsiTheme="majorBidi" w:cstheme="majorBidi"/>
          <w:i/>
          <w:iCs/>
          <w:szCs w:val="24"/>
        </w:rPr>
        <w:t>’</w:t>
      </w:r>
      <w:r w:rsidRPr="003B1047">
        <w:rPr>
          <w:rFonts w:asciiTheme="majorBidi" w:hAnsiTheme="majorBidi" w:cstheme="majorBidi"/>
          <w:i/>
          <w:iCs/>
          <w:szCs w:val="24"/>
        </w:rPr>
        <w:t>i</w:t>
      </w:r>
      <w:r w:rsidRPr="003B1047">
        <w:rPr>
          <w:rFonts w:asciiTheme="majorBidi" w:hAnsiTheme="majorBidi" w:cstheme="majorBidi"/>
          <w:szCs w:val="24"/>
        </w:rPr>
        <w:t>. Dar al-</w:t>
      </w:r>
      <w:proofErr w:type="spellStart"/>
      <w:r w:rsidRPr="003B1047">
        <w:rPr>
          <w:rFonts w:asciiTheme="majorBidi" w:hAnsiTheme="majorBidi" w:cstheme="majorBidi"/>
          <w:szCs w:val="24"/>
        </w:rPr>
        <w:t>Kutub</w:t>
      </w:r>
      <w:proofErr w:type="spellEnd"/>
      <w:r w:rsidRPr="003B1047">
        <w:rPr>
          <w:rFonts w:asciiTheme="majorBidi" w:hAnsiTheme="majorBidi" w:cstheme="majorBidi"/>
          <w:szCs w:val="24"/>
        </w:rPr>
        <w:t xml:space="preserve"> al-</w:t>
      </w:r>
      <w:r w:rsidR="00A33D64">
        <w:rPr>
          <w:rFonts w:asciiTheme="majorBidi" w:hAnsiTheme="majorBidi" w:cstheme="majorBidi"/>
          <w:szCs w:val="24"/>
        </w:rPr>
        <w:t>’</w:t>
      </w:r>
      <w:proofErr w:type="spellStart"/>
      <w:r w:rsidRPr="003B1047">
        <w:rPr>
          <w:rFonts w:asciiTheme="majorBidi" w:hAnsiTheme="majorBidi" w:cstheme="majorBidi"/>
          <w:szCs w:val="24"/>
        </w:rPr>
        <w:t>Ilmiyyah</w:t>
      </w:r>
      <w:proofErr w:type="spellEnd"/>
      <w:r w:rsidRPr="003B1047">
        <w:rPr>
          <w:rFonts w:asciiTheme="majorBidi" w:hAnsiTheme="majorBidi" w:cstheme="majorBidi"/>
          <w:szCs w:val="24"/>
        </w:rPr>
        <w:t>.</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Al-Nawawi, M. (1344). </w:t>
      </w:r>
      <w:r w:rsidRPr="003B1047">
        <w:rPr>
          <w:rFonts w:asciiTheme="majorBidi" w:hAnsiTheme="majorBidi" w:cstheme="majorBidi"/>
          <w:i/>
          <w:iCs/>
          <w:szCs w:val="24"/>
        </w:rPr>
        <w:t>Al-</w:t>
      </w:r>
      <w:proofErr w:type="spellStart"/>
      <w:r w:rsidRPr="003B1047">
        <w:rPr>
          <w:rFonts w:asciiTheme="majorBidi" w:hAnsiTheme="majorBidi" w:cstheme="majorBidi"/>
          <w:i/>
          <w:iCs/>
          <w:szCs w:val="24"/>
        </w:rPr>
        <w:t>Majmu</w:t>
      </w:r>
      <w:proofErr w:type="spellEnd"/>
      <w:r w:rsidR="00A33D64">
        <w:rPr>
          <w:rFonts w:asciiTheme="majorBidi" w:hAnsiTheme="majorBidi" w:cstheme="majorBidi"/>
          <w:i/>
          <w:iCs/>
          <w:szCs w:val="24"/>
        </w:rPr>
        <w:t>’</w:t>
      </w:r>
      <w:r w:rsidRPr="003B1047">
        <w:rPr>
          <w:rFonts w:asciiTheme="majorBidi" w:hAnsiTheme="majorBidi" w:cstheme="majorBidi"/>
          <w:i/>
          <w:iCs/>
          <w:szCs w:val="24"/>
        </w:rPr>
        <w:t xml:space="preserve"> </w:t>
      </w:r>
      <w:proofErr w:type="spellStart"/>
      <w:r w:rsidRPr="003B1047">
        <w:rPr>
          <w:rFonts w:asciiTheme="majorBidi" w:hAnsiTheme="majorBidi" w:cstheme="majorBidi"/>
          <w:i/>
          <w:iCs/>
          <w:szCs w:val="24"/>
        </w:rPr>
        <w:t>Sharh</w:t>
      </w:r>
      <w:proofErr w:type="spellEnd"/>
      <w:r w:rsidRPr="003B1047">
        <w:rPr>
          <w:rFonts w:asciiTheme="majorBidi" w:hAnsiTheme="majorBidi" w:cstheme="majorBidi"/>
          <w:i/>
          <w:iCs/>
          <w:szCs w:val="24"/>
        </w:rPr>
        <w:t xml:space="preserve"> al-</w:t>
      </w:r>
      <w:proofErr w:type="spellStart"/>
      <w:r w:rsidRPr="003B1047">
        <w:rPr>
          <w:rFonts w:asciiTheme="majorBidi" w:hAnsiTheme="majorBidi" w:cstheme="majorBidi"/>
          <w:i/>
          <w:iCs/>
          <w:szCs w:val="24"/>
        </w:rPr>
        <w:t>Muhazzab</w:t>
      </w:r>
      <w:proofErr w:type="spellEnd"/>
      <w:r w:rsidRPr="003B1047">
        <w:rPr>
          <w:rFonts w:asciiTheme="majorBidi" w:hAnsiTheme="majorBidi" w:cstheme="majorBidi"/>
          <w:szCs w:val="24"/>
        </w:rPr>
        <w:t xml:space="preserve"> (Vol. 9). Idarah al-Tabaah al-Munirah. https://shamela.ws/book/2186</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Aloui, C., Hamida, H. ben, &amp; Yarovaya, L. (2021). Are Islamic Gold-Backed Cryptocurrencies Different? </w:t>
      </w:r>
      <w:r w:rsidRPr="003B1047">
        <w:rPr>
          <w:rFonts w:asciiTheme="majorBidi" w:hAnsiTheme="majorBidi" w:cstheme="majorBidi"/>
          <w:i/>
          <w:iCs/>
          <w:szCs w:val="24"/>
        </w:rPr>
        <w:t>Finance Research Letters</w:t>
      </w:r>
      <w:r w:rsidRPr="003B1047">
        <w:rPr>
          <w:rFonts w:asciiTheme="majorBidi" w:hAnsiTheme="majorBidi" w:cstheme="majorBidi"/>
          <w:szCs w:val="24"/>
        </w:rPr>
        <w:t xml:space="preserve">, </w:t>
      </w:r>
      <w:r w:rsidRPr="003B1047">
        <w:rPr>
          <w:rFonts w:asciiTheme="majorBidi" w:hAnsiTheme="majorBidi" w:cstheme="majorBidi"/>
          <w:i/>
          <w:iCs/>
          <w:szCs w:val="24"/>
        </w:rPr>
        <w:t>39</w:t>
      </w:r>
      <w:r w:rsidRPr="003B1047">
        <w:rPr>
          <w:rFonts w:asciiTheme="majorBidi" w:hAnsiTheme="majorBidi" w:cstheme="majorBidi"/>
          <w:szCs w:val="24"/>
        </w:rPr>
        <w:t>, 101615. https://doi.org/10.1016/j.frl.2020.101615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lastRenderedPageBreak/>
        <w:t xml:space="preserve">Al-Qahtani, S. bin W. (n.d.). </w:t>
      </w:r>
      <w:r w:rsidRPr="003B1047">
        <w:rPr>
          <w:rFonts w:asciiTheme="majorBidi" w:hAnsiTheme="majorBidi" w:cstheme="majorBidi"/>
          <w:i/>
          <w:iCs/>
          <w:szCs w:val="24"/>
        </w:rPr>
        <w:t>Zakat al-Athman</w:t>
      </w:r>
      <w:r w:rsidRPr="003B1047">
        <w:rPr>
          <w:rFonts w:asciiTheme="majorBidi" w:hAnsiTheme="majorBidi" w:cstheme="majorBidi"/>
          <w:szCs w:val="24"/>
        </w:rPr>
        <w:t>. Muassasah al-Jarisi. Retrieved 2 June 2026, from https://shamela.ws/book/96485/11</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Al-Qaradawi, Y. (1973). </w:t>
      </w:r>
      <w:r w:rsidRPr="003B1047">
        <w:rPr>
          <w:rFonts w:asciiTheme="majorBidi" w:hAnsiTheme="majorBidi" w:cstheme="majorBidi"/>
          <w:i/>
          <w:iCs/>
          <w:szCs w:val="24"/>
        </w:rPr>
        <w:t>Fiqh al-Zakat</w:t>
      </w:r>
      <w:r w:rsidRPr="003B1047">
        <w:rPr>
          <w:rFonts w:asciiTheme="majorBidi" w:hAnsiTheme="majorBidi" w:cstheme="majorBidi"/>
          <w:szCs w:val="24"/>
        </w:rPr>
        <w:t>. Muassasah al-Risalah. https://old.shamela.ws/rep.php/book/3075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Al-Qarāfī, A. I. (n.d.). </w:t>
      </w:r>
      <w:r w:rsidRPr="003B1047">
        <w:rPr>
          <w:rFonts w:asciiTheme="majorBidi" w:hAnsiTheme="majorBidi" w:cstheme="majorBidi"/>
          <w:i/>
          <w:iCs/>
          <w:szCs w:val="24"/>
        </w:rPr>
        <w:t>Al-Furūq: Anwār al-Burūq fī anwāʿ al-Furūq</w:t>
      </w:r>
      <w:r w:rsidRPr="003B1047">
        <w:rPr>
          <w:rFonts w:asciiTheme="majorBidi" w:hAnsiTheme="majorBidi" w:cstheme="majorBidi"/>
          <w:szCs w:val="24"/>
        </w:rPr>
        <w:t>. ʿĀlam al-Kutub.</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Al-Ramlī, M. A. (1984). </w:t>
      </w:r>
      <w:r w:rsidRPr="003B1047">
        <w:rPr>
          <w:rFonts w:asciiTheme="majorBidi" w:hAnsiTheme="majorBidi" w:cstheme="majorBidi"/>
          <w:i/>
          <w:iCs/>
          <w:szCs w:val="24"/>
        </w:rPr>
        <w:t>Nihāyat al-Muḥtāj ilā sharḥ al-Minhāj</w:t>
      </w:r>
      <w:r w:rsidRPr="003B1047">
        <w:rPr>
          <w:rFonts w:asciiTheme="majorBidi" w:hAnsiTheme="majorBidi" w:cstheme="majorBidi"/>
          <w:szCs w:val="24"/>
        </w:rPr>
        <w:t xml:space="preserve"> (Vol. 8). Dār al-Fikr. https://shamela.ws/book/3565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Al-Shatibi, I. bin M. (1997). </w:t>
      </w:r>
      <w:r w:rsidRPr="003B1047">
        <w:rPr>
          <w:rFonts w:asciiTheme="majorBidi" w:hAnsiTheme="majorBidi" w:cstheme="majorBidi"/>
          <w:i/>
          <w:iCs/>
          <w:szCs w:val="24"/>
        </w:rPr>
        <w:t>AL-Muwafaqat</w:t>
      </w:r>
      <w:r w:rsidRPr="003B1047">
        <w:rPr>
          <w:rFonts w:asciiTheme="majorBidi" w:hAnsiTheme="majorBidi" w:cstheme="majorBidi"/>
          <w:szCs w:val="24"/>
        </w:rPr>
        <w:t xml:space="preserve"> (Vol. 7). Dar Ibn </w:t>
      </w:r>
      <w:r w:rsidR="00A33D64">
        <w:rPr>
          <w:rFonts w:asciiTheme="majorBidi" w:hAnsiTheme="majorBidi" w:cstheme="majorBidi"/>
          <w:szCs w:val="24"/>
        </w:rPr>
        <w:t>‘</w:t>
      </w:r>
      <w:proofErr w:type="spellStart"/>
      <w:r w:rsidRPr="003B1047">
        <w:rPr>
          <w:rFonts w:asciiTheme="majorBidi" w:hAnsiTheme="majorBidi" w:cstheme="majorBidi"/>
          <w:szCs w:val="24"/>
        </w:rPr>
        <w:t>Affan</w:t>
      </w:r>
      <w:proofErr w:type="spellEnd"/>
      <w:r w:rsidRPr="003B1047">
        <w:rPr>
          <w:rFonts w:asciiTheme="majorBidi" w:hAnsiTheme="majorBidi" w:cstheme="majorBidi"/>
          <w:szCs w:val="24"/>
        </w:rPr>
        <w:t>.</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Al-Shāṭibī, I. M. (1997). </w:t>
      </w:r>
      <w:r w:rsidRPr="003B1047">
        <w:rPr>
          <w:rFonts w:asciiTheme="majorBidi" w:hAnsiTheme="majorBidi" w:cstheme="majorBidi"/>
          <w:i/>
          <w:iCs/>
          <w:szCs w:val="24"/>
        </w:rPr>
        <w:t>Al-Muwāfaqāt</w:t>
      </w:r>
      <w:r w:rsidRPr="003B1047">
        <w:rPr>
          <w:rFonts w:asciiTheme="majorBidi" w:hAnsiTheme="majorBidi" w:cstheme="majorBidi"/>
          <w:szCs w:val="24"/>
        </w:rPr>
        <w:t>. Dār Ibn ʿAffān.</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Al-Shīrāzī, I. A. (n.d.). </w:t>
      </w:r>
      <w:r w:rsidRPr="003B1047">
        <w:rPr>
          <w:rFonts w:asciiTheme="majorBidi" w:hAnsiTheme="majorBidi" w:cstheme="majorBidi"/>
          <w:i/>
          <w:iCs/>
          <w:szCs w:val="24"/>
        </w:rPr>
        <w:t>Al-Muhadhdhab</w:t>
      </w:r>
      <w:r w:rsidRPr="003B1047">
        <w:rPr>
          <w:rFonts w:asciiTheme="majorBidi" w:hAnsiTheme="majorBidi" w:cstheme="majorBidi"/>
          <w:szCs w:val="24"/>
        </w:rPr>
        <w:t>. Dār al-Kutub al-ʿIlmiyyah. Retrieved 3 June 2026, from https://shamela.ws/book/11813</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Al-Suyūṭī, J. (1990). </w:t>
      </w:r>
      <w:r w:rsidRPr="003B1047">
        <w:rPr>
          <w:rFonts w:asciiTheme="majorBidi" w:hAnsiTheme="majorBidi" w:cstheme="majorBidi"/>
          <w:i/>
          <w:iCs/>
          <w:szCs w:val="24"/>
        </w:rPr>
        <w:t>Al-Ashbāh wa al-Naẓāʾir</w:t>
      </w:r>
      <w:r w:rsidRPr="003B1047">
        <w:rPr>
          <w:rFonts w:asciiTheme="majorBidi" w:hAnsiTheme="majorBidi" w:cstheme="majorBidi"/>
          <w:szCs w:val="24"/>
        </w:rPr>
        <w:t>. Dār al-Kutub al-ʿIlmiyyah.</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Al-Zarkashī, B. (1985). </w:t>
      </w:r>
      <w:r w:rsidRPr="003B1047">
        <w:rPr>
          <w:rFonts w:asciiTheme="majorBidi" w:hAnsiTheme="majorBidi" w:cstheme="majorBidi"/>
          <w:i/>
          <w:iCs/>
          <w:szCs w:val="24"/>
        </w:rPr>
        <w:t>Al-Manthūr fī al-Qawāʿid al-Fiqhiyyah</w:t>
      </w:r>
      <w:r w:rsidRPr="003B1047">
        <w:rPr>
          <w:rFonts w:asciiTheme="majorBidi" w:hAnsiTheme="majorBidi" w:cstheme="majorBidi"/>
          <w:szCs w:val="24"/>
        </w:rPr>
        <w:t>. Wizārat al-Awqāf wa al-Shuʾūn al-Islāmiyyah.</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Baharudin, M. H. (2023). </w:t>
      </w:r>
      <w:r w:rsidRPr="003B1047">
        <w:rPr>
          <w:rFonts w:asciiTheme="majorBidi" w:hAnsiTheme="majorBidi" w:cstheme="majorBidi"/>
          <w:i/>
          <w:iCs/>
          <w:szCs w:val="24"/>
        </w:rPr>
        <w:t>Exploring the guidelines of zakat on cryptocurrency</w:t>
      </w:r>
      <w:r w:rsidRPr="003B1047">
        <w:rPr>
          <w:rFonts w:asciiTheme="majorBidi" w:hAnsiTheme="majorBidi" w:cstheme="majorBidi"/>
          <w:szCs w:val="24"/>
        </w:rPr>
        <w:t xml:space="preserve"> [PhD Thesis, Universiti Teknologi MARA (UiTM)]. https://ir.uitm.edu.my/id/eprint/88694/</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Ibn al-Mundhir, M. I. (2004). </w:t>
      </w:r>
      <w:r w:rsidRPr="003B1047">
        <w:rPr>
          <w:rFonts w:asciiTheme="majorBidi" w:hAnsiTheme="majorBidi" w:cstheme="majorBidi"/>
          <w:i/>
          <w:iCs/>
          <w:szCs w:val="24"/>
        </w:rPr>
        <w:t>Al-Ijmāʿ</w:t>
      </w:r>
      <w:r w:rsidRPr="003B1047">
        <w:rPr>
          <w:rFonts w:asciiTheme="majorBidi" w:hAnsiTheme="majorBidi" w:cstheme="majorBidi"/>
          <w:szCs w:val="24"/>
        </w:rPr>
        <w:t>. Dār al-Muslim.</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Ibn Ḥajar al-Haytamī, A. M. (1983). </w:t>
      </w:r>
      <w:r w:rsidRPr="003B1047">
        <w:rPr>
          <w:rFonts w:asciiTheme="majorBidi" w:hAnsiTheme="majorBidi" w:cstheme="majorBidi"/>
          <w:i/>
          <w:iCs/>
          <w:szCs w:val="24"/>
        </w:rPr>
        <w:t>Tuḥfat al-Muḥtāj bi-sharḥ al-Minhāj</w:t>
      </w:r>
      <w:r w:rsidRPr="003B1047">
        <w:rPr>
          <w:rFonts w:asciiTheme="majorBidi" w:hAnsiTheme="majorBidi" w:cstheme="majorBidi"/>
          <w:szCs w:val="24"/>
        </w:rPr>
        <w:t xml:space="preserve"> (Vol. 10). Dār Iḥyāʾ al-Turāth al-ʿArabī. https://shamela.ws/book/9059</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Ibn Nujaym, Z. (1999). </w:t>
      </w:r>
      <w:r w:rsidRPr="003B1047">
        <w:rPr>
          <w:rFonts w:asciiTheme="majorBidi" w:hAnsiTheme="majorBidi" w:cstheme="majorBidi"/>
          <w:i/>
          <w:iCs/>
          <w:szCs w:val="24"/>
        </w:rPr>
        <w:t>Al-Ashbāh wa al-Naẓāʾir</w:t>
      </w:r>
      <w:r w:rsidRPr="003B1047">
        <w:rPr>
          <w:rFonts w:asciiTheme="majorBidi" w:hAnsiTheme="majorBidi" w:cstheme="majorBidi"/>
          <w:szCs w:val="24"/>
        </w:rPr>
        <w:t>. Dār al-Kutub al-ʿIlmiyyah.</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Ibn ʿĀshūr, M. T. (2001). </w:t>
      </w:r>
      <w:r w:rsidRPr="003B1047">
        <w:rPr>
          <w:rFonts w:asciiTheme="majorBidi" w:hAnsiTheme="majorBidi" w:cstheme="majorBidi"/>
          <w:i/>
          <w:iCs/>
          <w:szCs w:val="24"/>
        </w:rPr>
        <w:t>Maqāṣid al-Sharīʿah al-Islāmiyyah</w:t>
      </w:r>
      <w:r w:rsidRPr="003B1047">
        <w:rPr>
          <w:rFonts w:asciiTheme="majorBidi" w:hAnsiTheme="majorBidi" w:cstheme="majorBidi"/>
          <w:szCs w:val="24"/>
        </w:rPr>
        <w:t>. Dār al-Nafāʾis.</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International Islamic Fiqh Academy. (1986). </w:t>
      </w:r>
      <w:r w:rsidRPr="003B1047">
        <w:rPr>
          <w:rFonts w:asciiTheme="majorBidi" w:hAnsiTheme="majorBidi" w:cstheme="majorBidi"/>
          <w:i/>
          <w:iCs/>
          <w:szCs w:val="24"/>
        </w:rPr>
        <w:t>Qarār bi-shaʾn aḥkām al-Nuqūd al-Waraqiyyah wa taghayyur qīmat al-ʿUmlah</w:t>
      </w:r>
      <w:r w:rsidRPr="003B1047">
        <w:rPr>
          <w:rFonts w:asciiTheme="majorBidi" w:hAnsiTheme="majorBidi" w:cstheme="majorBidi"/>
          <w:szCs w:val="24"/>
        </w:rPr>
        <w:t xml:space="preserve"> (Resolution No. 21 (3/9)). International Islamic Fiqh Academy. https://iifa-aifi.org/ar/1679.html</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Jabatan Mufti Wilayah Persekutuan. (2021, June 30). </w:t>
      </w:r>
      <w:r w:rsidRPr="003B1047">
        <w:rPr>
          <w:rFonts w:asciiTheme="majorBidi" w:hAnsiTheme="majorBidi" w:cstheme="majorBidi"/>
          <w:i/>
          <w:iCs/>
          <w:szCs w:val="24"/>
        </w:rPr>
        <w:t>Nisab Zakat Emas: Pusat Zakat Atau Nilai Semasa?</w:t>
      </w:r>
      <w:r w:rsidRPr="003B1047">
        <w:rPr>
          <w:rFonts w:asciiTheme="majorBidi" w:hAnsiTheme="majorBidi" w:cstheme="majorBidi"/>
          <w:szCs w:val="24"/>
        </w:rPr>
        <w:t xml:space="preserve"> https://muftiwp.gov.my/ms/artikel/al-kafi-li-al-fatawi/4850-al-kafi-1811-nisab-zakat-emas-pusat-zakat-atau-nilai-semasa</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JAWHAR. (n.d.). </w:t>
      </w:r>
      <w:r w:rsidRPr="003B1047">
        <w:rPr>
          <w:rFonts w:asciiTheme="majorBidi" w:hAnsiTheme="majorBidi" w:cstheme="majorBidi"/>
          <w:i/>
          <w:iCs/>
          <w:szCs w:val="24"/>
        </w:rPr>
        <w:t>Statistik Kadar Nisab Zakat Harta</w:t>
      </w:r>
      <w:r w:rsidRPr="003B1047">
        <w:rPr>
          <w:rFonts w:asciiTheme="majorBidi" w:hAnsiTheme="majorBidi" w:cstheme="majorBidi"/>
          <w:szCs w:val="24"/>
        </w:rPr>
        <w:t>. Portal Baitulmal JAWHAR. Retrieved 14 May 2026, from https://baitulmal.jawhar.gov.my/statistik-kadar-nisab-zakat-harta/</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Judijanto, L. (2026). Dynamic Nisab Calculation in Gold Zakat: A Contemporary Fiqh Analysis of Global Gold Price Volatility. </w:t>
      </w:r>
      <w:r w:rsidRPr="003B1047">
        <w:rPr>
          <w:rFonts w:asciiTheme="majorBidi" w:hAnsiTheme="majorBidi" w:cstheme="majorBidi"/>
          <w:i/>
          <w:iCs/>
          <w:szCs w:val="24"/>
        </w:rPr>
        <w:t>International Journal of Economics Management and Social Science</w:t>
      </w:r>
      <w:r w:rsidRPr="003B1047">
        <w:rPr>
          <w:rFonts w:asciiTheme="majorBidi" w:hAnsiTheme="majorBidi" w:cstheme="majorBidi"/>
          <w:szCs w:val="24"/>
        </w:rPr>
        <w:t xml:space="preserve">, </w:t>
      </w:r>
      <w:r w:rsidRPr="003B1047">
        <w:rPr>
          <w:rFonts w:asciiTheme="majorBidi" w:hAnsiTheme="majorBidi" w:cstheme="majorBidi"/>
          <w:i/>
          <w:iCs/>
          <w:szCs w:val="24"/>
        </w:rPr>
        <w:t>9</w:t>
      </w:r>
      <w:r w:rsidRPr="003B1047">
        <w:rPr>
          <w:rFonts w:asciiTheme="majorBidi" w:hAnsiTheme="majorBidi" w:cstheme="majorBidi"/>
          <w:szCs w:val="24"/>
        </w:rPr>
        <w:t>(1), 39–57.</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lastRenderedPageBreak/>
        <w:t xml:space="preserve">Kahf, M. (1989). Zakat: Unresolved Issues in The Contemporary Fiqh. </w:t>
      </w:r>
      <w:r w:rsidRPr="003B1047">
        <w:rPr>
          <w:rFonts w:asciiTheme="majorBidi" w:hAnsiTheme="majorBidi" w:cstheme="majorBidi"/>
          <w:i/>
          <w:iCs/>
          <w:szCs w:val="24"/>
        </w:rPr>
        <w:t>IIUM Journal of Economics and Management</w:t>
      </w:r>
      <w:r w:rsidRPr="003B1047">
        <w:rPr>
          <w:rFonts w:asciiTheme="majorBidi" w:hAnsiTheme="majorBidi" w:cstheme="majorBidi"/>
          <w:szCs w:val="24"/>
        </w:rPr>
        <w:t xml:space="preserve">, </w:t>
      </w:r>
      <w:r w:rsidRPr="003B1047">
        <w:rPr>
          <w:rFonts w:asciiTheme="majorBidi" w:hAnsiTheme="majorBidi" w:cstheme="majorBidi"/>
          <w:i/>
          <w:iCs/>
          <w:szCs w:val="24"/>
        </w:rPr>
        <w:t>2</w:t>
      </w:r>
      <w:r w:rsidRPr="003B1047">
        <w:rPr>
          <w:rFonts w:asciiTheme="majorBidi" w:hAnsiTheme="majorBidi" w:cstheme="majorBidi"/>
          <w:szCs w:val="24"/>
        </w:rPr>
        <w:t>(1), 1–22.</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Lajnah Fatwa. (2010, July 22). </w:t>
      </w:r>
      <w:r w:rsidRPr="003B1047">
        <w:rPr>
          <w:rFonts w:asciiTheme="majorBidi" w:hAnsiTheme="majorBidi" w:cstheme="majorBidi"/>
          <w:i/>
          <w:iCs/>
          <w:szCs w:val="24"/>
        </w:rPr>
        <w:t>Sharia Basis for Nissab of Gold and its Assessment in Modern Weights</w:t>
      </w:r>
      <w:r w:rsidRPr="003B1047">
        <w:rPr>
          <w:rFonts w:asciiTheme="majorBidi" w:hAnsiTheme="majorBidi" w:cstheme="majorBidi"/>
          <w:szCs w:val="24"/>
        </w:rPr>
        <w:t>. Dar Al-Ifta al-Am. https://www.aliftaa.jo/research-fatwa-english/854/School-books-state-that-the-Nisaab-for-gold-is-85-grams-of-pure-gold-so</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Lembaga Zakat Kedah. (n.d.). </w:t>
      </w:r>
      <w:r w:rsidRPr="003B1047">
        <w:rPr>
          <w:rFonts w:asciiTheme="majorBidi" w:hAnsiTheme="majorBidi" w:cstheme="majorBidi"/>
          <w:i/>
          <w:iCs/>
          <w:szCs w:val="24"/>
        </w:rPr>
        <w:t>JomZakat: Sistem Pembayaran Zakat Online</w:t>
      </w:r>
      <w:r w:rsidRPr="003B1047">
        <w:rPr>
          <w:rFonts w:asciiTheme="majorBidi" w:hAnsiTheme="majorBidi" w:cstheme="majorBidi"/>
          <w:szCs w:val="24"/>
        </w:rPr>
        <w:t>. Retrieved 19 May 2026, from https://jom.zakatkedah.com.my/</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Lembaga Zakat Selangor. (n.d.). </w:t>
      </w:r>
      <w:r w:rsidRPr="003B1047">
        <w:rPr>
          <w:rFonts w:asciiTheme="majorBidi" w:hAnsiTheme="majorBidi" w:cstheme="majorBidi"/>
          <w:i/>
          <w:iCs/>
          <w:szCs w:val="24"/>
        </w:rPr>
        <w:t>Info Semasa Nisab, Emas &amp; Perak</w:t>
      </w:r>
      <w:r w:rsidRPr="003B1047">
        <w:rPr>
          <w:rFonts w:asciiTheme="majorBidi" w:hAnsiTheme="majorBidi" w:cstheme="majorBidi"/>
          <w:szCs w:val="24"/>
        </w:rPr>
        <w:t>. Retrieved 4 June 2026, from https://www.zakatselangor.com.my/info-semasa-nisab-emas-perak/</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Lembaga Zakat Selangor (Director). (2024, November 29). </w:t>
      </w:r>
      <w:r w:rsidRPr="003B1047">
        <w:rPr>
          <w:rFonts w:asciiTheme="majorBidi" w:hAnsiTheme="majorBidi" w:cstheme="majorBidi"/>
          <w:i/>
          <w:iCs/>
          <w:szCs w:val="24"/>
        </w:rPr>
        <w:t>Lembaga Zakat Selangor</w:t>
      </w:r>
      <w:r w:rsidRPr="003B1047">
        <w:rPr>
          <w:rFonts w:asciiTheme="majorBidi" w:hAnsiTheme="majorBidi" w:cstheme="majorBidi"/>
          <w:szCs w:val="24"/>
        </w:rPr>
        <w:t xml:space="preserve"> [Video recording]. https://www.facebook.com/zakatselangor/posts/tunaikan-zakat-anda-nikmati-kelebihan-wow-di-lembaga-zakat-selangor-lzsbayar-zak/1012241194279658/</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London Bullion Market Association. (n.d.). </w:t>
      </w:r>
      <w:r w:rsidRPr="003B1047">
        <w:rPr>
          <w:rFonts w:asciiTheme="majorBidi" w:hAnsiTheme="majorBidi" w:cstheme="majorBidi"/>
          <w:i/>
          <w:iCs/>
          <w:szCs w:val="24"/>
        </w:rPr>
        <w:t>LBMA Gold Price</w:t>
      </w:r>
      <w:r w:rsidRPr="003B1047">
        <w:rPr>
          <w:rFonts w:asciiTheme="majorBidi" w:hAnsiTheme="majorBidi" w:cstheme="majorBidi"/>
          <w:szCs w:val="24"/>
        </w:rPr>
        <w:t>. LBMA. Retrieved 2 June 2026, from https://www.lbma.org.uk/prices-and-data/lbma-gold-price</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MAINJ. (n.d.). </w:t>
      </w:r>
      <w:r w:rsidRPr="003B1047">
        <w:rPr>
          <w:rFonts w:asciiTheme="majorBidi" w:hAnsiTheme="majorBidi" w:cstheme="majorBidi"/>
          <w:i/>
          <w:iCs/>
          <w:szCs w:val="24"/>
        </w:rPr>
        <w:t>Majlis Agama Islam Negeri Johor (MAINJ)</w:t>
      </w:r>
      <w:r w:rsidRPr="003B1047">
        <w:rPr>
          <w:rFonts w:asciiTheme="majorBidi" w:hAnsiTheme="majorBidi" w:cstheme="majorBidi"/>
          <w:szCs w:val="24"/>
        </w:rPr>
        <w:t>. Laman Utama. Retrieved 14 May 2026, from https://www.maij.gov.my/</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Mensi, W., Hammoudeh, S., Al-Jarrah, I. M. W., Sensoy, A., &amp; Kang, S. H. (2017). Dynamic Risk Spillovers Between Gold, Oil Prices and Conventional, Sustainability and Islamic Equity Aggregates and Sectors With Portfolio Implications. </w:t>
      </w:r>
      <w:r w:rsidRPr="003B1047">
        <w:rPr>
          <w:rFonts w:asciiTheme="majorBidi" w:hAnsiTheme="majorBidi" w:cstheme="majorBidi"/>
          <w:i/>
          <w:iCs/>
          <w:szCs w:val="24"/>
        </w:rPr>
        <w:t>Energy Economics</w:t>
      </w:r>
      <w:r w:rsidRPr="003B1047">
        <w:rPr>
          <w:rFonts w:asciiTheme="majorBidi" w:hAnsiTheme="majorBidi" w:cstheme="majorBidi"/>
          <w:szCs w:val="24"/>
        </w:rPr>
        <w:t xml:space="preserve">, </w:t>
      </w:r>
      <w:r w:rsidRPr="003B1047">
        <w:rPr>
          <w:rFonts w:asciiTheme="majorBidi" w:hAnsiTheme="majorBidi" w:cstheme="majorBidi"/>
          <w:i/>
          <w:iCs/>
          <w:szCs w:val="24"/>
        </w:rPr>
        <w:t>67</w:t>
      </w:r>
      <w:r w:rsidRPr="003B1047">
        <w:rPr>
          <w:rFonts w:asciiTheme="majorBidi" w:hAnsiTheme="majorBidi" w:cstheme="majorBidi"/>
          <w:szCs w:val="24"/>
        </w:rPr>
        <w:t>, 454–475. https://doi.org/10.1016/j.eneco.2017.08.031</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Muhammad Nooraiman Zailani, Nurul Huda Mohd Satar, Roza Hazli Zakaria, &amp; Rajah Rasiah. (2024). The Multidimensional Poverty Characteristics of The Poor and Destitute Asnaf in Kuala Lumpur. </w:t>
      </w:r>
      <w:r w:rsidRPr="003B1047">
        <w:rPr>
          <w:rFonts w:asciiTheme="majorBidi" w:hAnsiTheme="majorBidi" w:cstheme="majorBidi"/>
          <w:i/>
          <w:iCs/>
          <w:szCs w:val="24"/>
        </w:rPr>
        <w:t>International Journal of Business and Society</w:t>
      </w:r>
      <w:r w:rsidRPr="003B1047">
        <w:rPr>
          <w:rFonts w:asciiTheme="majorBidi" w:hAnsiTheme="majorBidi" w:cstheme="majorBidi"/>
          <w:szCs w:val="24"/>
        </w:rPr>
        <w:t xml:space="preserve">, </w:t>
      </w:r>
      <w:r w:rsidRPr="003B1047">
        <w:rPr>
          <w:rFonts w:asciiTheme="majorBidi" w:hAnsiTheme="majorBidi" w:cstheme="majorBidi"/>
          <w:i/>
          <w:iCs/>
          <w:szCs w:val="24"/>
        </w:rPr>
        <w:t>25</w:t>
      </w:r>
      <w:r w:rsidRPr="003B1047">
        <w:rPr>
          <w:rFonts w:asciiTheme="majorBidi" w:hAnsiTheme="majorBidi" w:cstheme="majorBidi"/>
          <w:szCs w:val="24"/>
        </w:rPr>
        <w:t>(Special_Issue), 91–112. https://doi.org/10.33736/ijbs.8205.2024</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MUIP. (2022, November 14). </w:t>
      </w:r>
      <w:r w:rsidRPr="003B1047">
        <w:rPr>
          <w:rFonts w:asciiTheme="majorBidi" w:hAnsiTheme="majorBidi" w:cstheme="majorBidi"/>
          <w:i/>
          <w:iCs/>
          <w:szCs w:val="24"/>
        </w:rPr>
        <w:t>Majlis Ugama Islam dan Adat Resam Melayu Pahang</w:t>
      </w:r>
      <w:r w:rsidRPr="003B1047">
        <w:rPr>
          <w:rFonts w:asciiTheme="majorBidi" w:hAnsiTheme="majorBidi" w:cstheme="majorBidi"/>
          <w:szCs w:val="24"/>
        </w:rPr>
        <w:t>. Laman Utama. https://muip.gov.my/zakat/</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Mustafa, M. O. A., Mohamad, M. H. S., &amp; Adnan, M. A. (2013). Antecedents of Zakat Payers</w:t>
      </w:r>
      <w:r w:rsidR="00A33D64">
        <w:rPr>
          <w:rFonts w:asciiTheme="majorBidi" w:hAnsiTheme="majorBidi" w:cstheme="majorBidi"/>
          <w:szCs w:val="24"/>
        </w:rPr>
        <w:t>’</w:t>
      </w:r>
      <w:r w:rsidRPr="003B1047">
        <w:rPr>
          <w:rFonts w:asciiTheme="majorBidi" w:hAnsiTheme="majorBidi" w:cstheme="majorBidi"/>
          <w:szCs w:val="24"/>
        </w:rPr>
        <w:t xml:space="preserve"> Trust in An Emerging Zakat Sector: An Exploratory Study. </w:t>
      </w:r>
      <w:r w:rsidRPr="003B1047">
        <w:rPr>
          <w:rFonts w:asciiTheme="majorBidi" w:hAnsiTheme="majorBidi" w:cstheme="majorBidi"/>
          <w:i/>
          <w:iCs/>
          <w:szCs w:val="24"/>
        </w:rPr>
        <w:t>Journal of Islamic Accounting and Business Research</w:t>
      </w:r>
      <w:r w:rsidRPr="003B1047">
        <w:rPr>
          <w:rFonts w:asciiTheme="majorBidi" w:hAnsiTheme="majorBidi" w:cstheme="majorBidi"/>
          <w:szCs w:val="24"/>
        </w:rPr>
        <w:t xml:space="preserve">, </w:t>
      </w:r>
      <w:r w:rsidRPr="003B1047">
        <w:rPr>
          <w:rFonts w:asciiTheme="majorBidi" w:hAnsiTheme="majorBidi" w:cstheme="majorBidi"/>
          <w:i/>
          <w:iCs/>
          <w:szCs w:val="24"/>
        </w:rPr>
        <w:t>4</w:t>
      </w:r>
      <w:r w:rsidRPr="003B1047">
        <w:rPr>
          <w:rFonts w:asciiTheme="majorBidi" w:hAnsiTheme="majorBidi" w:cstheme="majorBidi"/>
          <w:szCs w:val="24"/>
        </w:rPr>
        <w:t>(1), 4–25.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Obaidullah, M. (2008). </w:t>
      </w:r>
      <w:r w:rsidRPr="003B1047">
        <w:rPr>
          <w:rFonts w:asciiTheme="majorBidi" w:hAnsiTheme="majorBidi" w:cstheme="majorBidi"/>
          <w:i/>
          <w:iCs/>
          <w:szCs w:val="24"/>
        </w:rPr>
        <w:t>Introduction to Islamic Microfinance</w:t>
      </w:r>
      <w:r w:rsidRPr="003B1047">
        <w:rPr>
          <w:rFonts w:asciiTheme="majorBidi" w:hAnsiTheme="majorBidi" w:cstheme="majorBidi"/>
          <w:szCs w:val="24"/>
        </w:rPr>
        <w:t xml:space="preserve"> (SSRN Scholarly Paper No. 1506072). Social Science Research Network. https://papers.ssrn.com/abstract=1506072</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Samargandi, N., Tajularifin, S. M., Ghani, E. K., Aziz, A. A., &amp; Gunardi, A. (2018). Can Disclosure Practices </w:t>
      </w:r>
      <w:proofErr w:type="gramStart"/>
      <w:r w:rsidRPr="003B1047">
        <w:rPr>
          <w:rFonts w:asciiTheme="majorBidi" w:hAnsiTheme="majorBidi" w:cstheme="majorBidi"/>
          <w:szCs w:val="24"/>
        </w:rPr>
        <w:t>And</w:t>
      </w:r>
      <w:proofErr w:type="gramEnd"/>
      <w:r w:rsidRPr="003B1047">
        <w:rPr>
          <w:rFonts w:asciiTheme="majorBidi" w:hAnsiTheme="majorBidi" w:cstheme="majorBidi"/>
          <w:szCs w:val="24"/>
        </w:rPr>
        <w:t xml:space="preserve"> Stakeholder Management Influence Zakat Payers</w:t>
      </w:r>
      <w:r w:rsidR="00A33D64">
        <w:rPr>
          <w:rFonts w:asciiTheme="majorBidi" w:hAnsiTheme="majorBidi" w:cstheme="majorBidi"/>
          <w:szCs w:val="24"/>
        </w:rPr>
        <w:t>’</w:t>
      </w:r>
      <w:r w:rsidRPr="003B1047">
        <w:rPr>
          <w:rFonts w:asciiTheme="majorBidi" w:hAnsiTheme="majorBidi" w:cstheme="majorBidi"/>
          <w:szCs w:val="24"/>
        </w:rPr>
        <w:t xml:space="preserve"> Trust? A Malaysian Evidence. </w:t>
      </w:r>
      <w:r w:rsidRPr="003B1047">
        <w:rPr>
          <w:rFonts w:asciiTheme="majorBidi" w:hAnsiTheme="majorBidi" w:cstheme="majorBidi"/>
          <w:i/>
          <w:iCs/>
          <w:szCs w:val="24"/>
        </w:rPr>
        <w:t>Business and Economic Horizons (BEH)</w:t>
      </w:r>
      <w:r w:rsidRPr="003B1047">
        <w:rPr>
          <w:rFonts w:asciiTheme="majorBidi" w:hAnsiTheme="majorBidi" w:cstheme="majorBidi"/>
          <w:szCs w:val="24"/>
        </w:rPr>
        <w:t xml:space="preserve">, </w:t>
      </w:r>
      <w:r w:rsidRPr="003B1047">
        <w:rPr>
          <w:rFonts w:asciiTheme="majorBidi" w:hAnsiTheme="majorBidi" w:cstheme="majorBidi"/>
          <w:i/>
          <w:iCs/>
          <w:szCs w:val="24"/>
        </w:rPr>
        <w:t>14</w:t>
      </w:r>
      <w:r w:rsidRPr="003B1047">
        <w:rPr>
          <w:rFonts w:asciiTheme="majorBidi" w:hAnsiTheme="majorBidi" w:cstheme="majorBidi"/>
          <w:szCs w:val="24"/>
        </w:rPr>
        <w:t>(4), 882–893. https://doi.org/10.22004/ag.econ.287235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Senawi, A. R., Isa, M. P. M., &amp; Harun, A. (2018). Zakāt Collection and The Effects Of The Macroeconomic Factors: Malaysia Evidence. </w:t>
      </w:r>
      <w:r w:rsidRPr="003B1047">
        <w:rPr>
          <w:rFonts w:asciiTheme="majorBidi" w:hAnsiTheme="majorBidi" w:cstheme="majorBidi"/>
          <w:i/>
          <w:iCs/>
          <w:szCs w:val="24"/>
        </w:rPr>
        <w:t xml:space="preserve">European Proceedings of Social and </w:t>
      </w:r>
      <w:r w:rsidRPr="003B1047">
        <w:rPr>
          <w:rFonts w:asciiTheme="majorBidi" w:hAnsiTheme="majorBidi" w:cstheme="majorBidi"/>
          <w:i/>
          <w:iCs/>
          <w:szCs w:val="24"/>
        </w:rPr>
        <w:lastRenderedPageBreak/>
        <w:t>Behavioural Sciences</w:t>
      </w:r>
      <w:r w:rsidRPr="003B1047">
        <w:rPr>
          <w:rFonts w:asciiTheme="majorBidi" w:hAnsiTheme="majorBidi" w:cstheme="majorBidi"/>
          <w:szCs w:val="24"/>
        </w:rPr>
        <w:t xml:space="preserve">, </w:t>
      </w:r>
      <w:r w:rsidRPr="003B1047">
        <w:rPr>
          <w:rFonts w:asciiTheme="majorBidi" w:hAnsiTheme="majorBidi" w:cstheme="majorBidi"/>
          <w:i/>
          <w:iCs/>
          <w:szCs w:val="24"/>
        </w:rPr>
        <w:t>Technology&amp;Society: A Multidisciplinary Pathway for Sustainable Development</w:t>
      </w:r>
      <w:r w:rsidRPr="003B1047">
        <w:rPr>
          <w:rFonts w:asciiTheme="majorBidi" w:hAnsiTheme="majorBidi" w:cstheme="majorBidi"/>
          <w:szCs w:val="24"/>
        </w:rPr>
        <w:t>, 607–614. https://doi.org/10.15405/epsbs.2018.05.49</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Senawi, A. R., Omar, H. H., Muhamat, A. A., Harun, S., Husain, H., Widiastuti, T., &amp; Chik, N. (2023). Nisab of Zakat and Zakat Contribution: A Conceptual Model. </w:t>
      </w:r>
      <w:r w:rsidRPr="003B1047">
        <w:rPr>
          <w:rFonts w:asciiTheme="majorBidi" w:hAnsiTheme="majorBidi" w:cstheme="majorBidi"/>
          <w:i/>
          <w:iCs/>
          <w:szCs w:val="24"/>
        </w:rPr>
        <w:t>Information Management and Business Review</w:t>
      </w:r>
      <w:r w:rsidRPr="003B1047">
        <w:rPr>
          <w:rFonts w:asciiTheme="majorBidi" w:hAnsiTheme="majorBidi" w:cstheme="majorBidi"/>
          <w:szCs w:val="24"/>
        </w:rPr>
        <w:t xml:space="preserve">, </w:t>
      </w:r>
      <w:r w:rsidRPr="003B1047">
        <w:rPr>
          <w:rFonts w:asciiTheme="majorBidi" w:hAnsiTheme="majorBidi" w:cstheme="majorBidi"/>
          <w:i/>
          <w:iCs/>
          <w:szCs w:val="24"/>
        </w:rPr>
        <w:t>15</w:t>
      </w:r>
      <w:r w:rsidRPr="003B1047">
        <w:rPr>
          <w:rFonts w:asciiTheme="majorBidi" w:hAnsiTheme="majorBidi" w:cstheme="majorBidi"/>
          <w:szCs w:val="24"/>
        </w:rPr>
        <w:t>(4(SI)I), 331–336. https://doi.org/10.22610/imbr.v15i4(SI)I.3607</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Shamsuddin, N. R., Ahmad, K. A., Tajuddin, T. B., Asyhari, M. Y., Susanti, P., &amp; Juwari, J. (2024). Exploring the Nexus between Zakat, Gold, and Silver: A Review of Scholarly Contributions. </w:t>
      </w:r>
      <w:r w:rsidRPr="003B1047">
        <w:rPr>
          <w:rFonts w:asciiTheme="majorBidi" w:hAnsiTheme="majorBidi" w:cstheme="majorBidi"/>
          <w:i/>
          <w:iCs/>
          <w:szCs w:val="24"/>
        </w:rPr>
        <w:t>International Journal of Research and Innovation in Social Science</w:t>
      </w:r>
      <w:r w:rsidRPr="003B1047">
        <w:rPr>
          <w:rFonts w:asciiTheme="majorBidi" w:hAnsiTheme="majorBidi" w:cstheme="majorBidi"/>
          <w:szCs w:val="24"/>
        </w:rPr>
        <w:t xml:space="preserve">, </w:t>
      </w:r>
      <w:r w:rsidRPr="003B1047">
        <w:rPr>
          <w:rFonts w:asciiTheme="majorBidi" w:hAnsiTheme="majorBidi" w:cstheme="majorBidi"/>
          <w:i/>
          <w:iCs/>
          <w:szCs w:val="24"/>
        </w:rPr>
        <w:t>VIII</w:t>
      </w:r>
      <w:r w:rsidRPr="003B1047">
        <w:rPr>
          <w:rFonts w:asciiTheme="majorBidi" w:hAnsiTheme="majorBidi" w:cstheme="majorBidi"/>
          <w:szCs w:val="24"/>
        </w:rPr>
        <w:t>(X), 2454–2464. https://doi.org/10.47772/IJRISS.2024.8100203</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Wahab, N. A., Zainol, Z., Bakar, M. A., Ibrahim, A. Z., &amp; Minhaj, N. (2016). Developing Service Quality Index for Zakat Institutions. </w:t>
      </w:r>
      <w:r w:rsidRPr="003B1047">
        <w:rPr>
          <w:rFonts w:asciiTheme="majorBidi" w:hAnsiTheme="majorBidi" w:cstheme="majorBidi"/>
          <w:i/>
          <w:iCs/>
          <w:szCs w:val="24"/>
        </w:rPr>
        <w:t>International Journal of Economics and Financial Issues</w:t>
      </w:r>
      <w:r w:rsidRPr="003B1047">
        <w:rPr>
          <w:rFonts w:asciiTheme="majorBidi" w:hAnsiTheme="majorBidi" w:cstheme="majorBidi"/>
          <w:szCs w:val="24"/>
        </w:rPr>
        <w:t xml:space="preserve">, </w:t>
      </w:r>
      <w:r w:rsidRPr="003B1047">
        <w:rPr>
          <w:rFonts w:asciiTheme="majorBidi" w:hAnsiTheme="majorBidi" w:cstheme="majorBidi"/>
          <w:i/>
          <w:iCs/>
          <w:szCs w:val="24"/>
        </w:rPr>
        <w:t>6</w:t>
      </w:r>
      <w:r w:rsidRPr="003B1047">
        <w:rPr>
          <w:rFonts w:asciiTheme="majorBidi" w:hAnsiTheme="majorBidi" w:cstheme="majorBidi"/>
          <w:szCs w:val="24"/>
        </w:rPr>
        <w:t>(7S), 249–258.</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Wahab, N. Abd., &amp; Rahim Abdul Rahman, A. (2011). A Framework to Analyse the Efficiency and Governance of Zakat Institutions. </w:t>
      </w:r>
      <w:r w:rsidRPr="003B1047">
        <w:rPr>
          <w:rFonts w:asciiTheme="majorBidi" w:hAnsiTheme="majorBidi" w:cstheme="majorBidi"/>
          <w:i/>
          <w:iCs/>
          <w:szCs w:val="24"/>
        </w:rPr>
        <w:t>Journal of Islamic Accounting and Business Research</w:t>
      </w:r>
      <w:r w:rsidRPr="003B1047">
        <w:rPr>
          <w:rFonts w:asciiTheme="majorBidi" w:hAnsiTheme="majorBidi" w:cstheme="majorBidi"/>
          <w:szCs w:val="24"/>
        </w:rPr>
        <w:t xml:space="preserve">, </w:t>
      </w:r>
      <w:r w:rsidRPr="003B1047">
        <w:rPr>
          <w:rFonts w:asciiTheme="majorBidi" w:hAnsiTheme="majorBidi" w:cstheme="majorBidi"/>
          <w:i/>
          <w:iCs/>
          <w:szCs w:val="24"/>
        </w:rPr>
        <w:t>2</w:t>
      </w:r>
      <w:r w:rsidRPr="003B1047">
        <w:rPr>
          <w:rFonts w:asciiTheme="majorBidi" w:hAnsiTheme="majorBidi" w:cstheme="majorBidi"/>
          <w:szCs w:val="24"/>
        </w:rPr>
        <w:t>(1), 43–62. https://doi.org/10.1108/17590811111129508</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Wahab, N. Abd., &amp; Rahim Abdul Rahman, A. (2012). Productivity Growth of Zakat Institutions in Malaysia: An Application of Data Envelopment Analysis. </w:t>
      </w:r>
      <w:r w:rsidRPr="003B1047">
        <w:rPr>
          <w:rFonts w:asciiTheme="majorBidi" w:hAnsiTheme="majorBidi" w:cstheme="majorBidi"/>
          <w:i/>
          <w:iCs/>
          <w:szCs w:val="24"/>
        </w:rPr>
        <w:t>Studies in Economics and Finance</w:t>
      </w:r>
      <w:r w:rsidRPr="003B1047">
        <w:rPr>
          <w:rFonts w:asciiTheme="majorBidi" w:hAnsiTheme="majorBidi" w:cstheme="majorBidi"/>
          <w:szCs w:val="24"/>
        </w:rPr>
        <w:t xml:space="preserve">, </w:t>
      </w:r>
      <w:r w:rsidRPr="003B1047">
        <w:rPr>
          <w:rFonts w:asciiTheme="majorBidi" w:hAnsiTheme="majorBidi" w:cstheme="majorBidi"/>
          <w:i/>
          <w:iCs/>
          <w:szCs w:val="24"/>
        </w:rPr>
        <w:t>29</w:t>
      </w:r>
      <w:r w:rsidRPr="003B1047">
        <w:rPr>
          <w:rFonts w:asciiTheme="majorBidi" w:hAnsiTheme="majorBidi" w:cstheme="majorBidi"/>
          <w:szCs w:val="24"/>
        </w:rPr>
        <w:t>(3), 197–210. https://doi.org/10.1108/10867371211246876</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World Gold Council. (n.d.). </w:t>
      </w:r>
      <w:r w:rsidRPr="003B1047">
        <w:rPr>
          <w:rFonts w:asciiTheme="majorBidi" w:hAnsiTheme="majorBidi" w:cstheme="majorBidi"/>
          <w:i/>
          <w:iCs/>
          <w:szCs w:val="24"/>
        </w:rPr>
        <w:t>Methodology Note</w:t>
      </w:r>
      <w:r w:rsidRPr="003B1047">
        <w:rPr>
          <w:rFonts w:asciiTheme="majorBidi" w:hAnsiTheme="majorBidi" w:cstheme="majorBidi"/>
          <w:szCs w:val="24"/>
        </w:rPr>
        <w:t>. World Gold Council. Retrieved 4 June 2026, from https://www.gold.org/data/gold-price/methodology</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World Gold Council. (2024, December 12). </w:t>
      </w:r>
      <w:r w:rsidRPr="003B1047">
        <w:rPr>
          <w:rFonts w:asciiTheme="majorBidi" w:hAnsiTheme="majorBidi" w:cstheme="majorBidi"/>
          <w:i/>
          <w:iCs/>
          <w:szCs w:val="24"/>
        </w:rPr>
        <w:t>Gold Outlook 2025: Navigating Rates, Risk and Growth</w:t>
      </w:r>
      <w:r w:rsidRPr="003B1047">
        <w:rPr>
          <w:rFonts w:asciiTheme="majorBidi" w:hAnsiTheme="majorBidi" w:cstheme="majorBidi"/>
          <w:szCs w:val="24"/>
        </w:rPr>
        <w:t>. World Gold Council. https://www.gold.org/goldhub/research/gold-outlook-2025</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World Gold Council. (2025, May 2). </w:t>
      </w:r>
      <w:r w:rsidRPr="003B1047">
        <w:rPr>
          <w:rFonts w:asciiTheme="majorBidi" w:hAnsiTheme="majorBidi" w:cstheme="majorBidi"/>
          <w:i/>
          <w:iCs/>
          <w:szCs w:val="24"/>
        </w:rPr>
        <w:t>Gold Demand Trends: Full Year 2024</w:t>
      </w:r>
      <w:r w:rsidRPr="003B1047">
        <w:rPr>
          <w:rFonts w:asciiTheme="majorBidi" w:hAnsiTheme="majorBidi" w:cstheme="majorBidi"/>
          <w:szCs w:val="24"/>
        </w:rPr>
        <w:t>. World Gold Council. https://www.gold.org/goldhub/research/gold-demand-trends/gold-demand-trends-full-year-2024/central-banks</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World Gold Council. (2026, June 1). </w:t>
      </w:r>
      <w:r w:rsidRPr="003B1047">
        <w:rPr>
          <w:rFonts w:asciiTheme="majorBidi" w:hAnsiTheme="majorBidi" w:cstheme="majorBidi"/>
          <w:i/>
          <w:iCs/>
          <w:szCs w:val="24"/>
        </w:rPr>
        <w:t>Gold Spot Price and Cost of Gold</w:t>
      </w:r>
      <w:r w:rsidRPr="003B1047">
        <w:rPr>
          <w:rFonts w:asciiTheme="majorBidi" w:hAnsiTheme="majorBidi" w:cstheme="majorBidi"/>
          <w:szCs w:val="24"/>
        </w:rPr>
        <w:t>. World Gold Council. https://www.gold.org/goldhub/data/gold-prices</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 xml:space="preserve">Yusoff, M. (2011). Zakat Expenditure, School Enrollment, and Economic Growth in Malaysia. </w:t>
      </w:r>
      <w:r w:rsidRPr="003B1047">
        <w:rPr>
          <w:rFonts w:asciiTheme="majorBidi" w:hAnsiTheme="majorBidi" w:cstheme="majorBidi"/>
          <w:i/>
          <w:iCs/>
          <w:szCs w:val="24"/>
        </w:rPr>
        <w:t>International Journal of Business and Social Science</w:t>
      </w:r>
      <w:r w:rsidRPr="003B1047">
        <w:rPr>
          <w:rFonts w:asciiTheme="majorBidi" w:hAnsiTheme="majorBidi" w:cstheme="majorBidi"/>
          <w:szCs w:val="24"/>
        </w:rPr>
        <w:t xml:space="preserve">, </w:t>
      </w:r>
      <w:r w:rsidRPr="003B1047">
        <w:rPr>
          <w:rFonts w:asciiTheme="majorBidi" w:hAnsiTheme="majorBidi" w:cstheme="majorBidi"/>
          <w:i/>
          <w:iCs/>
          <w:szCs w:val="24"/>
        </w:rPr>
        <w:t>2</w:t>
      </w:r>
      <w:r w:rsidRPr="003B1047">
        <w:rPr>
          <w:rFonts w:asciiTheme="majorBidi" w:hAnsiTheme="majorBidi" w:cstheme="majorBidi"/>
          <w:szCs w:val="24"/>
        </w:rPr>
        <w:t>(6), 175–181.</w:t>
      </w:r>
    </w:p>
    <w:p w:rsidR="00585725" w:rsidRPr="003B1047" w:rsidRDefault="00585725" w:rsidP="00585725">
      <w:pPr>
        <w:pStyle w:val="Bibliography"/>
        <w:spacing w:line="240" w:lineRule="auto"/>
        <w:ind w:left="720" w:hanging="720"/>
        <w:jc w:val="both"/>
        <w:rPr>
          <w:rFonts w:asciiTheme="majorBidi" w:hAnsiTheme="majorBidi" w:cstheme="majorBidi"/>
          <w:szCs w:val="24"/>
        </w:rPr>
      </w:pPr>
      <w:r w:rsidRPr="003B1047">
        <w:rPr>
          <w:rFonts w:asciiTheme="majorBidi" w:hAnsiTheme="majorBidi" w:cstheme="majorBidi"/>
          <w:szCs w:val="24"/>
        </w:rPr>
        <w:t>Zulfikri, Kassim, S., &amp; Othman, A. H. A. (2023). Exploring Zakat Payers</w:t>
      </w:r>
      <w:r w:rsidR="00A33D64">
        <w:rPr>
          <w:rFonts w:asciiTheme="majorBidi" w:hAnsiTheme="majorBidi" w:cstheme="majorBidi"/>
          <w:szCs w:val="24"/>
        </w:rPr>
        <w:t>’</w:t>
      </w:r>
      <w:r w:rsidRPr="003B1047">
        <w:rPr>
          <w:rFonts w:asciiTheme="majorBidi" w:hAnsiTheme="majorBidi" w:cstheme="majorBidi"/>
          <w:szCs w:val="24"/>
        </w:rPr>
        <w:t xml:space="preserve"> Attitudes Determinants on Trust in Zakat Institutions. </w:t>
      </w:r>
      <w:r w:rsidRPr="003B1047">
        <w:rPr>
          <w:rFonts w:asciiTheme="majorBidi" w:hAnsiTheme="majorBidi" w:cstheme="majorBidi"/>
          <w:i/>
          <w:iCs/>
          <w:szCs w:val="24"/>
        </w:rPr>
        <w:t>Journal of Islamic Social Finance</w:t>
      </w:r>
      <w:r w:rsidRPr="003B1047">
        <w:rPr>
          <w:rFonts w:asciiTheme="majorBidi" w:hAnsiTheme="majorBidi" w:cstheme="majorBidi"/>
          <w:szCs w:val="24"/>
        </w:rPr>
        <w:t xml:space="preserve">, </w:t>
      </w:r>
      <w:r w:rsidRPr="003B1047">
        <w:rPr>
          <w:rFonts w:asciiTheme="majorBidi" w:hAnsiTheme="majorBidi" w:cstheme="majorBidi"/>
          <w:i/>
          <w:iCs/>
          <w:szCs w:val="24"/>
        </w:rPr>
        <w:t>1</w:t>
      </w:r>
      <w:r w:rsidRPr="003B1047">
        <w:rPr>
          <w:rFonts w:asciiTheme="majorBidi" w:hAnsiTheme="majorBidi" w:cstheme="majorBidi"/>
          <w:szCs w:val="24"/>
        </w:rPr>
        <w:t>(2). https://doi.org/10.31436/jislamicsocfin.v1i2.15</w:t>
      </w:r>
    </w:p>
    <w:p w:rsidR="00A92278" w:rsidRPr="0097203D" w:rsidRDefault="00585725" w:rsidP="00585725">
      <w:pPr>
        <w:spacing w:line="240" w:lineRule="auto"/>
        <w:ind w:left="720" w:hanging="720"/>
        <w:jc w:val="both"/>
        <w:rPr>
          <w:rFonts w:asciiTheme="majorBidi" w:hAnsiTheme="majorBidi" w:cstheme="majorBidi"/>
          <w:szCs w:val="24"/>
          <w:lang w:val="en-MY"/>
        </w:rPr>
      </w:pPr>
      <w:r w:rsidRPr="003B1047">
        <w:rPr>
          <w:rFonts w:asciiTheme="majorBidi" w:hAnsiTheme="majorBidi" w:cstheme="majorBidi"/>
          <w:szCs w:val="24"/>
          <w:lang w:val="en-MY"/>
        </w:rPr>
        <w:fldChar w:fldCharType="end"/>
      </w:r>
    </w:p>
    <w:sectPr w:rsidR="00A92278" w:rsidRPr="0097203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CEB"/>
    <w:rsid w:val="00034616"/>
    <w:rsid w:val="0006063C"/>
    <w:rsid w:val="0006753B"/>
    <w:rsid w:val="00074028"/>
    <w:rsid w:val="000D7AB0"/>
    <w:rsid w:val="00113B42"/>
    <w:rsid w:val="0015074B"/>
    <w:rsid w:val="001C7E48"/>
    <w:rsid w:val="001D199C"/>
    <w:rsid w:val="00246F3A"/>
    <w:rsid w:val="002607AF"/>
    <w:rsid w:val="00295C83"/>
    <w:rsid w:val="0029639D"/>
    <w:rsid w:val="00326F90"/>
    <w:rsid w:val="003A27E1"/>
    <w:rsid w:val="003B1047"/>
    <w:rsid w:val="003B1A2E"/>
    <w:rsid w:val="003D3D88"/>
    <w:rsid w:val="003D7B70"/>
    <w:rsid w:val="003D7EAE"/>
    <w:rsid w:val="003F1447"/>
    <w:rsid w:val="003F6A9D"/>
    <w:rsid w:val="00401F75"/>
    <w:rsid w:val="004B5D3E"/>
    <w:rsid w:val="004C3F58"/>
    <w:rsid w:val="00500528"/>
    <w:rsid w:val="00504ED4"/>
    <w:rsid w:val="00515A95"/>
    <w:rsid w:val="00554826"/>
    <w:rsid w:val="005710BE"/>
    <w:rsid w:val="00585725"/>
    <w:rsid w:val="00660964"/>
    <w:rsid w:val="00666836"/>
    <w:rsid w:val="006C5A87"/>
    <w:rsid w:val="00735F94"/>
    <w:rsid w:val="00777323"/>
    <w:rsid w:val="007944F8"/>
    <w:rsid w:val="007B7E58"/>
    <w:rsid w:val="007F6EA6"/>
    <w:rsid w:val="00884321"/>
    <w:rsid w:val="008E4335"/>
    <w:rsid w:val="0097203D"/>
    <w:rsid w:val="009A4C0F"/>
    <w:rsid w:val="009E1448"/>
    <w:rsid w:val="009E3224"/>
    <w:rsid w:val="00A00546"/>
    <w:rsid w:val="00A33D64"/>
    <w:rsid w:val="00A43269"/>
    <w:rsid w:val="00A87886"/>
    <w:rsid w:val="00A92278"/>
    <w:rsid w:val="00AA1D8D"/>
    <w:rsid w:val="00AB4E02"/>
    <w:rsid w:val="00B16B41"/>
    <w:rsid w:val="00B43584"/>
    <w:rsid w:val="00B47730"/>
    <w:rsid w:val="00B54372"/>
    <w:rsid w:val="00BC1850"/>
    <w:rsid w:val="00C15267"/>
    <w:rsid w:val="00C26C88"/>
    <w:rsid w:val="00C75731"/>
    <w:rsid w:val="00CB0664"/>
    <w:rsid w:val="00D12ACC"/>
    <w:rsid w:val="00D2659C"/>
    <w:rsid w:val="00D47DBD"/>
    <w:rsid w:val="00D561DA"/>
    <w:rsid w:val="00D71366"/>
    <w:rsid w:val="00D74E4F"/>
    <w:rsid w:val="00DC7262"/>
    <w:rsid w:val="00DC7EAF"/>
    <w:rsid w:val="00E414D8"/>
    <w:rsid w:val="00F76AE9"/>
    <w:rsid w:val="00FC693F"/>
    <w:rsid w:val="00FD7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1062"/>
  <w14:defaultImageDpi w14:val="300"/>
  <w15:docId w15:val="{8E30B93E-4C52-4130-A323-DFC7F66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500528"/>
    <w:pPr>
      <w:keepNext/>
      <w:keepLines/>
      <w:spacing w:before="200" w:after="0" w:line="240" w:lineRule="auto"/>
      <w:jc w:val="both"/>
      <w:outlineLvl w:val="1"/>
    </w:pPr>
    <w:rPr>
      <w:rFonts w:asciiTheme="majorBidi" w:eastAsiaTheme="majorEastAsia" w:hAnsiTheme="majorBid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052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ibliography">
    <w:name w:val="Bibliography"/>
    <w:basedOn w:val="Normal"/>
    <w:next w:val="Normal"/>
    <w:uiPriority w:val="37"/>
    <w:unhideWhenUsed/>
    <w:rsid w:val="000D7AB0"/>
  </w:style>
  <w:style w:type="paragraph" w:styleId="NormalWeb">
    <w:name w:val="Normal (Web)"/>
    <w:basedOn w:val="Normal"/>
    <w:uiPriority w:val="99"/>
    <w:semiHidden/>
    <w:unhideWhenUsed/>
    <w:rsid w:val="00A00546"/>
    <w:pPr>
      <w:spacing w:before="100" w:beforeAutospacing="1" w:after="100" w:afterAutospacing="1" w:line="240" w:lineRule="auto"/>
    </w:pPr>
    <w:rPr>
      <w:rFonts w:eastAsia="Times New Roman" w:cs="Times New Roman"/>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82046">
      <w:bodyDiv w:val="1"/>
      <w:marLeft w:val="0"/>
      <w:marRight w:val="0"/>
      <w:marTop w:val="0"/>
      <w:marBottom w:val="0"/>
      <w:divBdr>
        <w:top w:val="none" w:sz="0" w:space="0" w:color="auto"/>
        <w:left w:val="none" w:sz="0" w:space="0" w:color="auto"/>
        <w:bottom w:val="none" w:sz="0" w:space="0" w:color="auto"/>
        <w:right w:val="none" w:sz="0" w:space="0" w:color="auto"/>
      </w:divBdr>
      <w:divsChild>
        <w:div w:id="1560677216">
          <w:marLeft w:val="0"/>
          <w:marRight w:val="0"/>
          <w:marTop w:val="0"/>
          <w:marBottom w:val="0"/>
          <w:divBdr>
            <w:top w:val="none" w:sz="0" w:space="0" w:color="auto"/>
            <w:left w:val="none" w:sz="0" w:space="0" w:color="auto"/>
            <w:bottom w:val="none" w:sz="0" w:space="0" w:color="auto"/>
            <w:right w:val="none" w:sz="0" w:space="0" w:color="auto"/>
          </w:divBdr>
          <w:divsChild>
            <w:div w:id="18969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2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118F-A518-42B4-A610-34EF4E17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17</Pages>
  <Words>21819</Words>
  <Characters>124369</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Hidir Baharudin</cp:lastModifiedBy>
  <cp:revision>41</cp:revision>
  <dcterms:created xsi:type="dcterms:W3CDTF">2013-12-23T23:15:00Z</dcterms:created>
  <dcterms:modified xsi:type="dcterms:W3CDTF">2026-06-08T12:13:00Z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d0dcef68-fc76-44e1-b0bc-cd116672517a</vt:lpwstr>
  </property>
  <property fmtid="{D5CDD505-2E9C-101B-9397-08002B2CF9AE}" pid="3" name="ZOTERO_PREF_1">
    <vt:lpwstr>&lt;data data-version="3" zotero-version="9.0.4"&gt;&lt;session id="czJlLLi8"/&gt;&lt;style id="http://www.zotero.org/styles/apa" locale="en-GB" hasBibliography="1" bibliographyStyleHasBeenSet="1"/&gt;&lt;prefs&gt;&lt;pref name="fieldType" value="Field"/&gt;&lt;/prefs&gt;&lt;/data&gt;</vt:lpwstr>
  </property>
</Properties>
</file>