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44237" w14:textId="5B50FCD1" w:rsidR="00CE1237" w:rsidRPr="00BC63FC" w:rsidRDefault="00CE1237" w:rsidP="00CE1237">
      <w:pPr>
        <w:pStyle w:val="Title"/>
        <w:pBdr>
          <w:bottom w:val="nil"/>
        </w:pBdr>
        <w:jc w:val="center"/>
        <w:rPr>
          <w:rFonts w:ascii="Times New Roman" w:eastAsia="DM Sans" w:hAnsi="Times New Roman" w:cs="Times New Roman"/>
          <w:bCs/>
          <w:color w:val="000000"/>
          <w:sz w:val="24"/>
          <w:szCs w:val="24"/>
        </w:rPr>
      </w:pPr>
      <w:r w:rsidRPr="00F95B2F">
        <w:rPr>
          <w:rFonts w:ascii="Times New Roman" w:eastAsia="DM Sans" w:hAnsi="Times New Roman" w:cs="Times New Roman"/>
          <w:b/>
          <w:color w:val="000000"/>
          <w:sz w:val="24"/>
          <w:szCs w:val="24"/>
        </w:rPr>
        <w:t>Title:</w:t>
      </w:r>
      <w:r>
        <w:rPr>
          <w:rFonts w:ascii="Times New Roman" w:eastAsia="DM Sans" w:hAnsi="Times New Roman" w:cs="Times New Roman"/>
          <w:bCs/>
          <w:color w:val="000000"/>
          <w:sz w:val="24"/>
          <w:szCs w:val="24"/>
        </w:rPr>
        <w:t xml:space="preserve"> </w:t>
      </w:r>
      <w:r w:rsidRPr="00CE1237">
        <w:rPr>
          <w:rFonts w:ascii="Times New Roman" w:eastAsia="DM Sans" w:hAnsi="Times New Roman" w:cs="Times New Roman"/>
          <w:bCs/>
          <w:color w:val="000000"/>
          <w:sz w:val="24"/>
          <w:szCs w:val="24"/>
        </w:rPr>
        <w:t>Multi-Agent Reinforcement Learning for Grid-Aware Solar Power Forecasting and Optimization</w:t>
      </w:r>
    </w:p>
    <w:p w14:paraId="7B3D1603" w14:textId="77777777" w:rsidR="00CE1237" w:rsidRPr="00BC63FC" w:rsidRDefault="00CE1237" w:rsidP="00CE1237">
      <w:pPr>
        <w:pStyle w:val="Title"/>
        <w:pBdr>
          <w:bottom w:val="nil"/>
        </w:pBdr>
        <w:jc w:val="center"/>
        <w:rPr>
          <w:rFonts w:ascii="Times New Roman" w:eastAsia="DM Sans" w:hAnsi="Times New Roman" w:cs="Times New Roman"/>
          <w:bCs/>
          <w:color w:val="000000"/>
          <w:sz w:val="24"/>
          <w:szCs w:val="24"/>
        </w:rPr>
      </w:pPr>
      <w:r w:rsidRPr="00BC63FC">
        <w:rPr>
          <w:rFonts w:ascii="Times New Roman" w:eastAsia="DM Sans" w:hAnsi="Times New Roman" w:cs="Times New Roman"/>
          <w:bCs/>
          <w:color w:val="000000"/>
          <w:sz w:val="24"/>
          <w:szCs w:val="24"/>
        </w:rPr>
        <w:t>Author: Curllie Jeremiah Farmanor</w:t>
      </w:r>
    </w:p>
    <w:p w14:paraId="71826FB7" w14:textId="77777777" w:rsidR="00CE1237" w:rsidRPr="00BC63FC" w:rsidRDefault="00CE1237" w:rsidP="00CE1237">
      <w:pPr>
        <w:pStyle w:val="Title"/>
        <w:pBdr>
          <w:bottom w:val="nil"/>
        </w:pBdr>
        <w:jc w:val="center"/>
        <w:rPr>
          <w:rFonts w:ascii="Times New Roman" w:eastAsia="DM Sans" w:hAnsi="Times New Roman" w:cs="Times New Roman"/>
          <w:bCs/>
          <w:color w:val="000000"/>
          <w:sz w:val="24"/>
          <w:szCs w:val="24"/>
        </w:rPr>
      </w:pPr>
      <w:r w:rsidRPr="00BC63FC">
        <w:rPr>
          <w:rFonts w:ascii="Times New Roman" w:eastAsia="DM Sans" w:hAnsi="Times New Roman" w:cs="Times New Roman"/>
          <w:bCs/>
          <w:color w:val="000000"/>
          <w:sz w:val="24"/>
          <w:szCs w:val="24"/>
        </w:rPr>
        <w:t xml:space="preserve">Affiliation: school of computer science, Nanjing University of Information Science </w:t>
      </w:r>
      <w:proofErr w:type="gramStart"/>
      <w:r w:rsidRPr="00BC63FC">
        <w:rPr>
          <w:rFonts w:ascii="Times New Roman" w:eastAsia="DM Sans" w:hAnsi="Times New Roman" w:cs="Times New Roman"/>
          <w:bCs/>
          <w:color w:val="000000"/>
          <w:sz w:val="24"/>
          <w:szCs w:val="24"/>
        </w:rPr>
        <w:t>And</w:t>
      </w:r>
      <w:proofErr w:type="gramEnd"/>
      <w:r w:rsidRPr="00BC63FC">
        <w:rPr>
          <w:rFonts w:ascii="Times New Roman" w:eastAsia="DM Sans" w:hAnsi="Times New Roman" w:cs="Times New Roman"/>
          <w:bCs/>
          <w:color w:val="000000"/>
          <w:sz w:val="24"/>
          <w:szCs w:val="24"/>
        </w:rPr>
        <w:t xml:space="preserve"> Technology</w:t>
      </w:r>
    </w:p>
    <w:p w14:paraId="3404BEC9" w14:textId="77777777" w:rsidR="00CE1237" w:rsidRPr="00BC63FC" w:rsidRDefault="00CE1237" w:rsidP="00CE1237">
      <w:pPr>
        <w:pStyle w:val="Title"/>
        <w:pBdr>
          <w:bottom w:val="nil"/>
        </w:pBdr>
        <w:jc w:val="center"/>
        <w:rPr>
          <w:rFonts w:ascii="Times New Roman" w:eastAsia="DM Sans" w:hAnsi="Times New Roman" w:cs="Times New Roman"/>
          <w:bCs/>
          <w:color w:val="000000"/>
          <w:sz w:val="24"/>
          <w:szCs w:val="24"/>
        </w:rPr>
      </w:pPr>
      <w:r w:rsidRPr="00BC63FC">
        <w:rPr>
          <w:rFonts w:ascii="Times New Roman" w:eastAsia="DM Sans" w:hAnsi="Times New Roman" w:cs="Times New Roman"/>
          <w:bCs/>
          <w:color w:val="000000"/>
          <w:sz w:val="24"/>
          <w:szCs w:val="24"/>
        </w:rPr>
        <w:t>Nanjing University of Information Science and Technology (NUIST),</w:t>
      </w:r>
    </w:p>
    <w:p w14:paraId="3517EFE0" w14:textId="77777777" w:rsidR="00CE1237" w:rsidRPr="00BC63FC" w:rsidRDefault="00CE1237" w:rsidP="00CE1237">
      <w:pPr>
        <w:pStyle w:val="Title"/>
        <w:pBdr>
          <w:bottom w:val="nil"/>
        </w:pBdr>
        <w:jc w:val="center"/>
        <w:rPr>
          <w:rFonts w:ascii="Times New Roman" w:eastAsia="DM Sans" w:hAnsi="Times New Roman" w:cs="Times New Roman"/>
          <w:bCs/>
          <w:color w:val="000000"/>
          <w:sz w:val="24"/>
          <w:szCs w:val="24"/>
        </w:rPr>
      </w:pPr>
      <w:r w:rsidRPr="00BC63FC">
        <w:rPr>
          <w:rFonts w:ascii="Times New Roman" w:eastAsia="DM Sans" w:hAnsi="Times New Roman" w:cs="Times New Roman"/>
          <w:bCs/>
          <w:color w:val="000000"/>
          <w:sz w:val="24"/>
          <w:szCs w:val="24"/>
        </w:rPr>
        <w:t>Nanjing 210044, China.</w:t>
      </w:r>
    </w:p>
    <w:p w14:paraId="6D6D61B6" w14:textId="77777777" w:rsidR="00CE1237" w:rsidRDefault="00CE1237" w:rsidP="00CE1237">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979"/>
      </w:tblGrid>
      <w:tr w:rsidR="00CE1237" w14:paraId="7AE7F1C6" w14:textId="77777777">
        <w:tblPrEx>
          <w:tblCellMar>
            <w:top w:w="0" w:type="dxa"/>
            <w:bottom w:w="0" w:type="dxa"/>
          </w:tblCellMar>
        </w:tblPrEx>
        <w:trPr>
          <w:trHeight w:val="216"/>
        </w:trPr>
        <w:tc>
          <w:tcPr>
            <w:tcW w:w="6979" w:type="dxa"/>
          </w:tcPr>
          <w:p w14:paraId="184A7144" w14:textId="7199F926" w:rsidR="00CE1237" w:rsidRDefault="00CE1237">
            <w:pPr>
              <w:pStyle w:val="Default"/>
              <w:rPr>
                <w:sz w:val="21"/>
                <w:szCs w:val="21"/>
              </w:rPr>
            </w:pPr>
          </w:p>
        </w:tc>
      </w:tr>
    </w:tbl>
    <w:p w14:paraId="04DC0274" w14:textId="77777777" w:rsidR="00523445" w:rsidRPr="00020057" w:rsidRDefault="00523445"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020057">
        <w:rPr>
          <w:rFonts w:ascii="Times New Roman" w:eastAsia="Times New Roman" w:hAnsi="Times New Roman" w:cs="Times New Roman"/>
          <w:b/>
          <w:bCs/>
          <w:sz w:val="24"/>
          <w:szCs w:val="24"/>
          <w:lang w:eastAsia="en-LR"/>
        </w:rPr>
        <w:t>Abstract</w:t>
      </w:r>
    </w:p>
    <w:p w14:paraId="0756BDA3" w14:textId="77777777" w:rsidR="00523445" w:rsidRPr="00020057" w:rsidRDefault="00523445"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020057">
        <w:rPr>
          <w:rFonts w:ascii="Times New Roman" w:eastAsia="Times New Roman" w:hAnsi="Times New Roman" w:cs="Times New Roman"/>
          <w:sz w:val="24"/>
          <w:szCs w:val="24"/>
          <w:lang w:eastAsia="en-LR"/>
        </w:rPr>
        <w:t xml:space="preserve">The increasing penetration of distributed solar photovoltaic (PV) systems has introduced significant uncertainty into modern power grids due to the inherent intermittency of solar generation and the growing complexity of grid operations. Accurate solar power forecasting alone is no longer sufficient; forecasting decisions must be tightly coupled with grid-aware operational optimization to ensure system stability, efficiency, and reliability. In this paper, we propose a </w:t>
      </w:r>
      <w:r w:rsidRPr="00020057">
        <w:rPr>
          <w:rFonts w:ascii="Times New Roman" w:eastAsia="Times New Roman" w:hAnsi="Times New Roman" w:cs="Times New Roman"/>
          <w:b/>
          <w:bCs/>
          <w:sz w:val="24"/>
          <w:szCs w:val="24"/>
          <w:lang w:eastAsia="en-LR"/>
        </w:rPr>
        <w:t>grid-aware multi-agent reinforcement learning (MARL) framework</w:t>
      </w:r>
      <w:r w:rsidRPr="00020057">
        <w:rPr>
          <w:rFonts w:ascii="Times New Roman" w:eastAsia="Times New Roman" w:hAnsi="Times New Roman" w:cs="Times New Roman"/>
          <w:sz w:val="24"/>
          <w:szCs w:val="24"/>
          <w:lang w:eastAsia="en-LR"/>
        </w:rPr>
        <w:t xml:space="preserve"> that jointly addresses short-term solar power forecasting and real-time grid optimization in a decentralized manner. Each agent represents an individual solar energy entity equipped with local observations, while cooperative learning enables coordination under shared grid constraints such as voltage limits, frequency stability, and congestion costs. Unlike conventional centralized or single-agent approaches, the proposed framework explicitly incorporates grid dynamics into the reward structure, allowing agents to learn policies that balance forecasting accuracy with operational feasibility. Extensive simulations conducted on realistic solar, weather, and power system data demonstrate that the proposed MARL approach significantly reduces forecasting errors, improves grid stability metrics, and lowers operational costs compared with state-of-the-art deep learning and reinforcement learning baselines. These results highlight the potential of grid-aware MARL as a scalable and practical solution for next-generation smart grids with high renewable penetration.</w:t>
      </w:r>
    </w:p>
    <w:p w14:paraId="41135802" w14:textId="69E7EE64" w:rsidR="00523445" w:rsidRPr="00020057" w:rsidRDefault="00523445" w:rsidP="00020057">
      <w:pPr>
        <w:pStyle w:val="NormalWeb"/>
        <w:jc w:val="both"/>
      </w:pPr>
      <w:r w:rsidRPr="00020057">
        <w:rPr>
          <w:b/>
          <w:bCs/>
        </w:rPr>
        <w:t>Index Terms</w:t>
      </w:r>
      <w:r w:rsidRPr="00020057">
        <w:rPr>
          <w:lang w:val="en-US"/>
        </w:rPr>
        <w:t xml:space="preserve">: </w:t>
      </w:r>
      <w:r w:rsidRPr="00020057">
        <w:t>Solar Power Forecasting, Multi-Agent Reinforcement Learning, Smart Grid, Distributed Energy Resources, Grid Optimization</w:t>
      </w:r>
    </w:p>
    <w:p w14:paraId="6A1605C3" w14:textId="0E24ECDC" w:rsidR="00523445" w:rsidRPr="00020057" w:rsidRDefault="00523445" w:rsidP="00020057">
      <w:pPr>
        <w:jc w:val="both"/>
        <w:rPr>
          <w:rFonts w:ascii="Times New Roman" w:eastAsia="Times New Roman" w:hAnsi="Times New Roman" w:cs="Times New Roman"/>
          <w:sz w:val="24"/>
          <w:szCs w:val="24"/>
          <w:lang w:eastAsia="en-LR"/>
        </w:rPr>
      </w:pPr>
      <w:r w:rsidRPr="00020057">
        <w:rPr>
          <w:rFonts w:ascii="Times New Roman" w:hAnsi="Times New Roman" w:cs="Times New Roman"/>
          <w:sz w:val="24"/>
          <w:szCs w:val="24"/>
        </w:rPr>
        <w:br w:type="page"/>
      </w:r>
    </w:p>
    <w:p w14:paraId="176A3B56" w14:textId="77777777" w:rsidR="00523445" w:rsidRPr="00020057" w:rsidRDefault="00523445"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lastRenderedPageBreak/>
        <w:t>1. Introduction</w:t>
      </w:r>
    </w:p>
    <w:p w14:paraId="61730830" w14:textId="77777777" w:rsidR="00523445" w:rsidRPr="00020057" w:rsidRDefault="00523445" w:rsidP="00020057">
      <w:pPr>
        <w:pStyle w:val="Heading3"/>
        <w:jc w:val="both"/>
        <w:rPr>
          <w:sz w:val="24"/>
          <w:szCs w:val="24"/>
        </w:rPr>
      </w:pPr>
      <w:r w:rsidRPr="00020057">
        <w:rPr>
          <w:rStyle w:val="Strong"/>
          <w:b/>
          <w:bCs/>
          <w:sz w:val="24"/>
          <w:szCs w:val="24"/>
        </w:rPr>
        <w:t>1.1 Background and Motivation</w:t>
      </w:r>
    </w:p>
    <w:p w14:paraId="150E1140" w14:textId="77777777" w:rsidR="00523445" w:rsidRPr="00020057" w:rsidRDefault="00523445" w:rsidP="00020057">
      <w:pPr>
        <w:pStyle w:val="NormalWeb"/>
        <w:jc w:val="both"/>
      </w:pPr>
      <w:r w:rsidRPr="00020057">
        <w:t>The global transition toward low-carbon energy systems has led to a rapid increase in the deployment of solar photovoltaic (PV) generation across transmission and distribution networks. Declining installation costs, supportive policies, and advances in power electronics have enabled solar energy to evolve from a supplementary resource into a major contributor to electricity supply. However, the inherently intermittent and weather-dependent nature of solar power introduces substantial uncertainty into grid operations, particularly as solar penetration levels continue to rise [1], [2].</w:t>
      </w:r>
    </w:p>
    <w:p w14:paraId="57B888BC" w14:textId="77777777" w:rsidR="00523445" w:rsidRPr="00020057" w:rsidRDefault="00523445" w:rsidP="00020057">
      <w:pPr>
        <w:pStyle w:val="NormalWeb"/>
        <w:jc w:val="both"/>
      </w:pPr>
      <w:r w:rsidRPr="00020057">
        <w:t>Traditionally, power systems were designed around centralized, controllable generators with predictable output characteristics. In contrast, modern grids must now accommodate large numbers of geographically distributed solar units whose output can fluctuate rapidly due to cloud cover, temperature variation, and atmospheric conditions. These fluctuations directly affect power balance, voltage profiles, frequency stability, and congestion management, placing increasing operational stress on grid operators [3]. As a result, accurate short-term solar power forecasting has become a critical component of reliable grid operation.</w:t>
      </w:r>
    </w:p>
    <w:p w14:paraId="2444C518" w14:textId="399F6AFF" w:rsidR="00523445" w:rsidRPr="00020057" w:rsidRDefault="00523445" w:rsidP="00020057">
      <w:pPr>
        <w:pStyle w:val="NormalWeb"/>
        <w:jc w:val="both"/>
      </w:pPr>
      <w:r w:rsidRPr="00020057">
        <w:t xml:space="preserve">While significant progress has been made in improving forecasting accuracy using statistical models, machine learning, and deep learning techniques, forecasting in isolation is no longer sufficient. Forecasting errors propagate into operational decisions such as unit commitment, reserve allocation, storage scheduling, and demand response, potentially leading to increased costs and grid instability [4]. This challenge highlights the need for forecasting approaches that are not only accurate, but also </w:t>
      </w:r>
      <w:r w:rsidRPr="00020057">
        <w:rPr>
          <w:rStyle w:val="Strong"/>
        </w:rPr>
        <w:t>aware of and responsive to grid constraints</w:t>
      </w:r>
      <w:r w:rsidRPr="00020057">
        <w:t>.</w:t>
      </w:r>
    </w:p>
    <w:p w14:paraId="7D4A0042" w14:textId="77777777" w:rsidR="00523445" w:rsidRPr="00020057" w:rsidRDefault="00523445" w:rsidP="00020057">
      <w:pPr>
        <w:pStyle w:val="Heading3"/>
        <w:jc w:val="both"/>
        <w:rPr>
          <w:sz w:val="24"/>
          <w:szCs w:val="24"/>
        </w:rPr>
      </w:pPr>
      <w:r w:rsidRPr="00020057">
        <w:rPr>
          <w:rStyle w:val="Strong"/>
          <w:b/>
          <w:bCs/>
          <w:sz w:val="24"/>
          <w:szCs w:val="24"/>
        </w:rPr>
        <w:t>1.2 Limitations of Existing Approaches</w:t>
      </w:r>
    </w:p>
    <w:p w14:paraId="1AF8DC50" w14:textId="77777777" w:rsidR="00523445" w:rsidRPr="00020057" w:rsidRDefault="00523445" w:rsidP="00020057">
      <w:pPr>
        <w:pStyle w:val="NormalWeb"/>
        <w:jc w:val="both"/>
      </w:pPr>
      <w:r w:rsidRPr="00020057">
        <w:t>Conventional solar forecasting methods, including autoregressive models and deep neural networks such as long short-term memory (LSTM) networks, typically treat forecasting as a standalone prediction problem [5], [6]. Although these methods can achieve low error metrics under controlled conditions, they do not account for the downstream impact of forecasting decisions on grid performance. Consequently, even highly accurate forecasts may result in suboptimal or infeasible operational outcomes when grid constraints are violated.</w:t>
      </w:r>
    </w:p>
    <w:p w14:paraId="5828B81C" w14:textId="77777777" w:rsidR="00523445" w:rsidRPr="00020057" w:rsidRDefault="00523445" w:rsidP="00020057">
      <w:pPr>
        <w:pStyle w:val="NormalWeb"/>
        <w:jc w:val="both"/>
      </w:pPr>
      <w:r w:rsidRPr="00020057">
        <w:t>Reinforcement learning (RL) has recently emerged as a promising paradigm for power system control and energy management due to its ability to learn optimal policies through interaction with complex environments [7]. However, most existing RL-based solutions adopt either centralized control architectures or single-agent formulations. Centralized RL approaches suffer from scalability issues and high communication overhead, making them impractical for large-scale distributed energy systems. Single-agent approaches, on the other hand, fail to capture the inherently decentralized and interactive nature of modern power grids with multiple autonomous energy entities.</w:t>
      </w:r>
    </w:p>
    <w:p w14:paraId="0B778EFE" w14:textId="78251F82" w:rsidR="00523445" w:rsidRPr="00020057" w:rsidRDefault="00523445" w:rsidP="00020057">
      <w:pPr>
        <w:pStyle w:val="NormalWeb"/>
        <w:jc w:val="both"/>
      </w:pPr>
      <w:r w:rsidRPr="00020057">
        <w:t xml:space="preserve">Multi-agent reinforcement learning (MARL) provides a natural framework for </w:t>
      </w:r>
      <w:proofErr w:type="spellStart"/>
      <w:r w:rsidRPr="00020057">
        <w:t>modeling</w:t>
      </w:r>
      <w:proofErr w:type="spellEnd"/>
      <w:r w:rsidRPr="00020057">
        <w:t xml:space="preserve"> decentralized decision-making in power systems, where multiple agents learn to coordinate their actions through cooperation or competition [8]. Despite its potential, existing MARL applications in smart grids often overlook </w:t>
      </w:r>
      <w:r w:rsidRPr="00020057">
        <w:rPr>
          <w:rStyle w:val="Strong"/>
        </w:rPr>
        <w:t>explicit grid awareness</w:t>
      </w:r>
      <w:r w:rsidRPr="00020057">
        <w:t xml:space="preserve">, relying on simplified </w:t>
      </w:r>
      <w:r w:rsidRPr="00020057">
        <w:lastRenderedPageBreak/>
        <w:t xml:space="preserve">reward functions that inadequately represent voltage limits, frequency deviations, or congestion costs. Moreover, many studies focus exclusively on control or energy trading, without integrating </w:t>
      </w:r>
      <w:r w:rsidRPr="00020057">
        <w:rPr>
          <w:rStyle w:val="Strong"/>
        </w:rPr>
        <w:t>solar power forecasting and grid optimization into a unified learning framework</w:t>
      </w:r>
      <w:r w:rsidRPr="00020057">
        <w:t>.</w:t>
      </w:r>
    </w:p>
    <w:p w14:paraId="04B564EB" w14:textId="77777777" w:rsidR="00523445" w:rsidRPr="00020057" w:rsidRDefault="00523445" w:rsidP="00020057">
      <w:pPr>
        <w:pStyle w:val="Heading3"/>
        <w:jc w:val="both"/>
        <w:rPr>
          <w:sz w:val="24"/>
          <w:szCs w:val="24"/>
        </w:rPr>
      </w:pPr>
      <w:r w:rsidRPr="00020057">
        <w:rPr>
          <w:rStyle w:val="Strong"/>
          <w:b/>
          <w:bCs/>
          <w:sz w:val="24"/>
          <w:szCs w:val="24"/>
        </w:rPr>
        <w:t>1.3 Research Gap and Problem Statement</w:t>
      </w:r>
    </w:p>
    <w:p w14:paraId="3DED3927" w14:textId="77777777" w:rsidR="00523445" w:rsidRPr="00020057" w:rsidRDefault="00523445" w:rsidP="00020057">
      <w:pPr>
        <w:pStyle w:val="NormalWeb"/>
        <w:jc w:val="both"/>
      </w:pPr>
      <w:r w:rsidRPr="00020057">
        <w:t>The discussion above reveals three critical gaps in the current literature:</w:t>
      </w:r>
    </w:p>
    <w:p w14:paraId="50B66655" w14:textId="77777777" w:rsidR="00523445" w:rsidRPr="00020057" w:rsidRDefault="00523445" w:rsidP="00020057">
      <w:pPr>
        <w:pStyle w:val="NormalWeb"/>
        <w:numPr>
          <w:ilvl w:val="0"/>
          <w:numId w:val="1"/>
        </w:numPr>
        <w:jc w:val="both"/>
      </w:pPr>
      <w:r w:rsidRPr="00020057">
        <w:rPr>
          <w:rStyle w:val="Strong"/>
        </w:rPr>
        <w:t>Decoupling of forecasting and grid operation</w:t>
      </w:r>
      <w:r w:rsidRPr="00020057">
        <w:t>, leading to decisions that are accurate but operationally inefficient.</w:t>
      </w:r>
    </w:p>
    <w:p w14:paraId="0080AA91" w14:textId="77777777" w:rsidR="00523445" w:rsidRPr="00020057" w:rsidRDefault="00523445" w:rsidP="00020057">
      <w:pPr>
        <w:pStyle w:val="NormalWeb"/>
        <w:numPr>
          <w:ilvl w:val="0"/>
          <w:numId w:val="1"/>
        </w:numPr>
        <w:jc w:val="both"/>
      </w:pPr>
      <w:r w:rsidRPr="00020057">
        <w:rPr>
          <w:rStyle w:val="Strong"/>
        </w:rPr>
        <w:t>Limited scalability of centralized or single-agent RL approaches</w:t>
      </w:r>
      <w:r w:rsidRPr="00020057">
        <w:t xml:space="preserve"> in distributed solar-dominated grids.</w:t>
      </w:r>
    </w:p>
    <w:p w14:paraId="631C2E6D" w14:textId="77777777" w:rsidR="00523445" w:rsidRPr="00020057" w:rsidRDefault="00523445" w:rsidP="00020057">
      <w:pPr>
        <w:pStyle w:val="NormalWeb"/>
        <w:numPr>
          <w:ilvl w:val="0"/>
          <w:numId w:val="1"/>
        </w:numPr>
        <w:jc w:val="both"/>
      </w:pPr>
      <w:r w:rsidRPr="00020057">
        <w:rPr>
          <w:rStyle w:val="Strong"/>
        </w:rPr>
        <w:t>Insufficient incorporation of grid constraints</w:t>
      </w:r>
      <w:r w:rsidRPr="00020057">
        <w:t xml:space="preserve"> into MARL reward structures and learning objectives.</w:t>
      </w:r>
    </w:p>
    <w:p w14:paraId="3E48AE79" w14:textId="4336AB79" w:rsidR="00523445" w:rsidRPr="00020057" w:rsidRDefault="00523445" w:rsidP="00020057">
      <w:pPr>
        <w:pStyle w:val="NormalWeb"/>
        <w:jc w:val="both"/>
      </w:pPr>
      <w:r w:rsidRPr="00020057">
        <w:t xml:space="preserve">This paper addresses these gaps by formulating solar power forecasting and grid optimization as a </w:t>
      </w:r>
      <w:r w:rsidRPr="00020057">
        <w:rPr>
          <w:rStyle w:val="Strong"/>
        </w:rPr>
        <w:t>joint, grid-aware multi-agent reinforcement learning problem</w:t>
      </w:r>
      <w:r w:rsidRPr="00020057">
        <w:t>, where forecasting decisions are learned in direct response to their impact on grid stability and operational cost.</w:t>
      </w:r>
    </w:p>
    <w:p w14:paraId="055A3BEA" w14:textId="77777777" w:rsidR="00523445" w:rsidRPr="00020057" w:rsidRDefault="00523445" w:rsidP="00020057">
      <w:pPr>
        <w:pStyle w:val="Heading3"/>
        <w:jc w:val="both"/>
        <w:rPr>
          <w:sz w:val="24"/>
          <w:szCs w:val="24"/>
        </w:rPr>
      </w:pPr>
      <w:r w:rsidRPr="00020057">
        <w:rPr>
          <w:rStyle w:val="Strong"/>
          <w:b/>
          <w:bCs/>
          <w:sz w:val="24"/>
          <w:szCs w:val="24"/>
        </w:rPr>
        <w:t>1.4 Contributions</w:t>
      </w:r>
    </w:p>
    <w:p w14:paraId="71B93F52" w14:textId="77777777" w:rsidR="00523445" w:rsidRPr="00020057" w:rsidRDefault="00523445" w:rsidP="00020057">
      <w:pPr>
        <w:pStyle w:val="NormalWeb"/>
        <w:jc w:val="both"/>
      </w:pPr>
      <w:r w:rsidRPr="00020057">
        <w:t>The main contributions of this paper are summarized as follows:</w:t>
      </w:r>
    </w:p>
    <w:p w14:paraId="6ABF1948" w14:textId="77777777" w:rsidR="00523445" w:rsidRPr="00020057" w:rsidRDefault="00523445" w:rsidP="00020057">
      <w:pPr>
        <w:pStyle w:val="NormalWeb"/>
        <w:numPr>
          <w:ilvl w:val="0"/>
          <w:numId w:val="2"/>
        </w:numPr>
        <w:jc w:val="both"/>
      </w:pPr>
      <w:r w:rsidRPr="00020057">
        <w:rPr>
          <w:rStyle w:val="Strong"/>
        </w:rPr>
        <w:t>Grid-Aware MARL Framework:</w:t>
      </w:r>
      <w:r w:rsidRPr="00020057">
        <w:t xml:space="preserve"> We propose a decentralized multi-agent reinforcement learning architecture in which each solar entity operates as an autonomous agent while learning cooperative policies under shared grid constraints.</w:t>
      </w:r>
    </w:p>
    <w:p w14:paraId="4039DFF5" w14:textId="77777777" w:rsidR="00523445" w:rsidRPr="00020057" w:rsidRDefault="00523445" w:rsidP="00020057">
      <w:pPr>
        <w:pStyle w:val="NormalWeb"/>
        <w:numPr>
          <w:ilvl w:val="0"/>
          <w:numId w:val="2"/>
        </w:numPr>
        <w:jc w:val="both"/>
      </w:pPr>
      <w:r w:rsidRPr="00020057">
        <w:rPr>
          <w:rStyle w:val="Strong"/>
        </w:rPr>
        <w:t>Joint Forecasting–Optimization Formulation:</w:t>
      </w:r>
      <w:r w:rsidRPr="00020057">
        <w:t xml:space="preserve"> Unlike conventional approaches, the proposed framework tightly couples short-term solar power forecasting with real-time grid optimization through a unified reward function.</w:t>
      </w:r>
    </w:p>
    <w:p w14:paraId="07519D10" w14:textId="77777777" w:rsidR="00523445" w:rsidRPr="00020057" w:rsidRDefault="00523445" w:rsidP="00020057">
      <w:pPr>
        <w:pStyle w:val="NormalWeb"/>
        <w:numPr>
          <w:ilvl w:val="0"/>
          <w:numId w:val="2"/>
        </w:numPr>
        <w:jc w:val="both"/>
      </w:pPr>
      <w:r w:rsidRPr="00020057">
        <w:rPr>
          <w:rStyle w:val="Strong"/>
        </w:rPr>
        <w:t xml:space="preserve">Explicit </w:t>
      </w:r>
      <w:proofErr w:type="spellStart"/>
      <w:r w:rsidRPr="00020057">
        <w:rPr>
          <w:rStyle w:val="Strong"/>
        </w:rPr>
        <w:t>Modeling</w:t>
      </w:r>
      <w:proofErr w:type="spellEnd"/>
      <w:r w:rsidRPr="00020057">
        <w:rPr>
          <w:rStyle w:val="Strong"/>
        </w:rPr>
        <w:t xml:space="preserve"> of Grid Constraints:</w:t>
      </w:r>
      <w:r w:rsidRPr="00020057">
        <w:t xml:space="preserve"> Voltage deviations, frequency stability, congestion penalties, and operational costs are directly embedded into the learning process, enabling grid-compliant decision-making.</w:t>
      </w:r>
    </w:p>
    <w:p w14:paraId="5104FA05" w14:textId="19A8B499" w:rsidR="00523445" w:rsidRPr="00020057" w:rsidRDefault="00523445" w:rsidP="00020057">
      <w:pPr>
        <w:pStyle w:val="NormalWeb"/>
        <w:numPr>
          <w:ilvl w:val="0"/>
          <w:numId w:val="2"/>
        </w:numPr>
        <w:jc w:val="both"/>
      </w:pPr>
      <w:r w:rsidRPr="00020057">
        <w:rPr>
          <w:rStyle w:val="Strong"/>
        </w:rPr>
        <w:t>Comprehensive Evaluation:</w:t>
      </w:r>
      <w:r w:rsidRPr="00020057">
        <w:t xml:space="preserve"> Extensive simulations on realistic solar, weather, and power system data demonstrate that the proposed approach outperforms state-of-the-art deep learning and reinforcement learning baselines in terms of forecasting accuracy, grid stability, and cost efficiency.</w:t>
      </w:r>
    </w:p>
    <w:p w14:paraId="46F867C2" w14:textId="77777777" w:rsidR="00523445" w:rsidRPr="00020057" w:rsidRDefault="00523445" w:rsidP="00020057">
      <w:pPr>
        <w:pStyle w:val="Heading3"/>
        <w:jc w:val="both"/>
        <w:rPr>
          <w:sz w:val="24"/>
          <w:szCs w:val="24"/>
        </w:rPr>
      </w:pPr>
      <w:r w:rsidRPr="00020057">
        <w:rPr>
          <w:rStyle w:val="Strong"/>
          <w:b/>
          <w:bCs/>
          <w:sz w:val="24"/>
          <w:szCs w:val="24"/>
        </w:rPr>
        <w:t>1.5 Paper Organization</w:t>
      </w:r>
    </w:p>
    <w:p w14:paraId="42B1646E" w14:textId="77777777" w:rsidR="00523445" w:rsidRPr="00020057" w:rsidRDefault="00523445" w:rsidP="00020057">
      <w:pPr>
        <w:pStyle w:val="NormalWeb"/>
        <w:jc w:val="both"/>
      </w:pPr>
      <w:r w:rsidRPr="00020057">
        <w:t>The remainder of this paper is organized as follows. Section 2 reviews related work on solar power forecasting, reinforcement learning, and multi-agent approaches in smart grids. Section 3 presents the system model and problem formulation. Section 4 introduces the proposed grid-aware MARL framework and learning algorithm. Section 5 describes the experimental setup and datasets, while Section 6 discusses the simulation results and performance evaluation. Section 7 provides ablation and sensitivity analyses, and Section 8 outlines practical implications and future research directions. Finally, Section 9 concludes the paper.</w:t>
      </w:r>
    </w:p>
    <w:p w14:paraId="4AFF2F16" w14:textId="27D89840" w:rsidR="00523445" w:rsidRPr="00020057" w:rsidRDefault="00523445" w:rsidP="00020057">
      <w:pPr>
        <w:jc w:val="both"/>
        <w:rPr>
          <w:rFonts w:ascii="Times New Roman" w:hAnsi="Times New Roman" w:cs="Times New Roman"/>
          <w:sz w:val="24"/>
          <w:szCs w:val="24"/>
        </w:rPr>
      </w:pPr>
    </w:p>
    <w:p w14:paraId="69E3D57D" w14:textId="77777777" w:rsidR="00D05507" w:rsidRPr="00020057" w:rsidRDefault="00D05507"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lastRenderedPageBreak/>
        <w:t>2. Related Work</w:t>
      </w:r>
    </w:p>
    <w:p w14:paraId="6481FE44" w14:textId="77777777" w:rsidR="00D05507" w:rsidRPr="00020057" w:rsidRDefault="00D05507" w:rsidP="00020057">
      <w:pPr>
        <w:pStyle w:val="Heading3"/>
        <w:jc w:val="both"/>
        <w:rPr>
          <w:sz w:val="24"/>
          <w:szCs w:val="24"/>
        </w:rPr>
      </w:pPr>
      <w:r w:rsidRPr="00020057">
        <w:rPr>
          <w:rStyle w:val="Strong"/>
          <w:b/>
          <w:bCs/>
          <w:sz w:val="24"/>
          <w:szCs w:val="24"/>
        </w:rPr>
        <w:t>2.1 Solar Power Forecasting Methods</w:t>
      </w:r>
    </w:p>
    <w:p w14:paraId="6A045915" w14:textId="77777777" w:rsidR="00D05507" w:rsidRPr="00020057" w:rsidRDefault="00D05507" w:rsidP="00020057">
      <w:pPr>
        <w:pStyle w:val="NormalWeb"/>
        <w:jc w:val="both"/>
      </w:pPr>
      <w:r w:rsidRPr="00020057">
        <w:t>Solar power forecasting has been extensively studied due to its critical role in grid planning and real-time operation. Early approaches relied on statistical techniques such as autoregressive integrated moving average (ARIMA) and exponential smoothing models, which offered interpretability but struggled with nonlinear weather–power relationships and rapid irradiance fluctuations [9]. As solar penetration increased, these limitations became more pronounced, particularly under highly variable meteorological conditions.</w:t>
      </w:r>
    </w:p>
    <w:p w14:paraId="43DA676D" w14:textId="77777777" w:rsidR="00D05507" w:rsidRPr="00020057" w:rsidRDefault="00D05507" w:rsidP="00020057">
      <w:pPr>
        <w:pStyle w:val="NormalWeb"/>
        <w:jc w:val="both"/>
      </w:pPr>
      <w:r w:rsidRPr="00020057">
        <w:t>Machine learning methods, including support vector machines and random forests, improved forecasting accuracy by capturing nonlinear dependencies between weather variables and power output [10]. More recently, deep learning architectures—most notably convolutional neural networks (</w:t>
      </w:r>
      <w:proofErr w:type="spellStart"/>
      <w:r w:rsidRPr="00020057">
        <w:t>CNNs</w:t>
      </w:r>
      <w:proofErr w:type="spellEnd"/>
      <w:r w:rsidRPr="00020057">
        <w:t>) and long short-term memory (LSTM) networks—have become the dominant paradigm for short-term solar forecasting [11], [12]. These models excel at extracting temporal patterns and spatial correlations from large datasets and consistently outperform classical approaches in standard error metrics.</w:t>
      </w:r>
    </w:p>
    <w:p w14:paraId="25BC1D6F" w14:textId="5A2632BC" w:rsidR="00D05507" w:rsidRPr="00020057" w:rsidRDefault="00D05507" w:rsidP="00020057">
      <w:pPr>
        <w:pStyle w:val="NormalWeb"/>
        <w:jc w:val="both"/>
      </w:pPr>
      <w:r w:rsidRPr="00020057">
        <w:t xml:space="preserve">However, a fundamental limitation persists across nearly all forecasting-focused studies: </w:t>
      </w:r>
      <w:r w:rsidRPr="00020057">
        <w:rPr>
          <w:rStyle w:val="Strong"/>
        </w:rPr>
        <w:t>the grid is treated as an external system rather than an integral component of the learning process</w:t>
      </w:r>
      <w:r w:rsidRPr="00020057">
        <w:t>. Forecasts are optimized for prediction accuracy alone, without regard to how errors propagate into voltage violations, reserve misallocation, or congestion events. As a result, even state-of-the-art deep learning models may produce forecasts that are operationally suboptimal or risky when deployed in real power systems [13]. This disconnect motivates the need for forecasting methods that are explicitly aware of grid dynamics.</w:t>
      </w:r>
    </w:p>
    <w:p w14:paraId="3CC1E53F" w14:textId="77777777" w:rsidR="00D05507" w:rsidRPr="00020057" w:rsidRDefault="00D05507" w:rsidP="00020057">
      <w:pPr>
        <w:pStyle w:val="Heading3"/>
        <w:jc w:val="both"/>
        <w:rPr>
          <w:sz w:val="24"/>
          <w:szCs w:val="24"/>
        </w:rPr>
      </w:pPr>
      <w:r w:rsidRPr="00020057">
        <w:rPr>
          <w:rStyle w:val="Strong"/>
          <w:b/>
          <w:bCs/>
          <w:sz w:val="24"/>
          <w:szCs w:val="24"/>
        </w:rPr>
        <w:t>2.2 Reinforcement Learning in Smart Grid Applications</w:t>
      </w:r>
    </w:p>
    <w:p w14:paraId="75846505" w14:textId="77777777" w:rsidR="00D05507" w:rsidRPr="00020057" w:rsidRDefault="00D05507" w:rsidP="00020057">
      <w:pPr>
        <w:pStyle w:val="NormalWeb"/>
        <w:jc w:val="both"/>
      </w:pPr>
      <w:r w:rsidRPr="00020057">
        <w:t>Reinforcement learning (RL) has gained traction in smart grid research due to its ability to learn optimal control policies in complex, uncertain environments. Early applications focused on energy storage scheduling, demand response, and microgrid energy management using single-agent RL formulations [14], [15]. These approaches demonstrated promising performance gains over rule-based controllers, particularly in stochastic environments.</w:t>
      </w:r>
    </w:p>
    <w:p w14:paraId="7324676D" w14:textId="77777777" w:rsidR="00D05507" w:rsidRPr="00020057" w:rsidRDefault="00D05507" w:rsidP="00020057">
      <w:pPr>
        <w:pStyle w:val="NormalWeb"/>
        <w:jc w:val="both"/>
      </w:pPr>
      <w:r w:rsidRPr="00020057">
        <w:t xml:space="preserve">Subsequent work explored deep reinforcement learning (DRL), enabling agents to operate in high-dimensional state spaces using neural network function approximation [16]. DRL has been successfully applied to voltage control, frequency regulation, and economic dispatch problems. Nevertheless, most RL-based grid solutions adopt </w:t>
      </w:r>
      <w:r w:rsidRPr="00020057">
        <w:rPr>
          <w:rStyle w:val="Strong"/>
        </w:rPr>
        <w:t>centralized control architectures</w:t>
      </w:r>
      <w:r w:rsidRPr="00020057">
        <w:t>, where a single agent observes global system states and determines control actions for the entire network.</w:t>
      </w:r>
    </w:p>
    <w:p w14:paraId="6D6AE8BD" w14:textId="3A1C8974" w:rsidR="00D05507" w:rsidRPr="00020057" w:rsidRDefault="00D05507" w:rsidP="00020057">
      <w:pPr>
        <w:pStyle w:val="NormalWeb"/>
        <w:jc w:val="both"/>
      </w:pPr>
      <w:r w:rsidRPr="00020057">
        <w:t>While centralized RL can achieve strong performance in simulation, it suffers from poor scalability, high communication requirements, and limited robustness to partial observability—all of which are critical constraints in real-world power grids with distributed solar resources [17]. Moreover, centralized agents represent a single point of failure, raising concerns regarding reliability and cybersecurity in operational deployments.</w:t>
      </w:r>
    </w:p>
    <w:p w14:paraId="396F8881" w14:textId="77777777" w:rsidR="00D05507" w:rsidRPr="00020057" w:rsidRDefault="00D05507" w:rsidP="00020057">
      <w:pPr>
        <w:pStyle w:val="Heading3"/>
        <w:jc w:val="both"/>
        <w:rPr>
          <w:sz w:val="24"/>
          <w:szCs w:val="24"/>
        </w:rPr>
      </w:pPr>
      <w:r w:rsidRPr="00020057">
        <w:rPr>
          <w:rStyle w:val="Strong"/>
          <w:b/>
          <w:bCs/>
          <w:sz w:val="24"/>
          <w:szCs w:val="24"/>
        </w:rPr>
        <w:t>2.3 Multi-Agent Reinforcement Learning for Energy Systems</w:t>
      </w:r>
    </w:p>
    <w:p w14:paraId="06D4A1CC" w14:textId="77777777" w:rsidR="00D05507" w:rsidRPr="00020057" w:rsidRDefault="00D05507" w:rsidP="00020057">
      <w:pPr>
        <w:pStyle w:val="NormalWeb"/>
        <w:jc w:val="both"/>
      </w:pPr>
      <w:r w:rsidRPr="00020057">
        <w:lastRenderedPageBreak/>
        <w:t xml:space="preserve">Multi-agent reinforcement learning (MARL) offers a natural alternative to centralized control by enabling decentralized agents to learn coordinated </w:t>
      </w:r>
      <w:proofErr w:type="spellStart"/>
      <w:r w:rsidRPr="00020057">
        <w:t>behaviors</w:t>
      </w:r>
      <w:proofErr w:type="spellEnd"/>
      <w:r w:rsidRPr="00020057">
        <w:t xml:space="preserve"> through local observations and limited communication [18]. In energy systems, MARL has been applied to peer-to-peer energy trading, distributed voltage control, and cooperative microgrid management [19], [20]. These studies demonstrate that MARL can improve scalability and resilience while reducing communication overhead.</w:t>
      </w:r>
    </w:p>
    <w:p w14:paraId="264FB5ED" w14:textId="77777777" w:rsidR="00D05507" w:rsidRPr="00020057" w:rsidRDefault="00D05507" w:rsidP="00020057">
      <w:pPr>
        <w:pStyle w:val="NormalWeb"/>
        <w:jc w:val="both"/>
      </w:pPr>
      <w:r w:rsidRPr="00020057">
        <w:t xml:space="preserve">Despite these advantages, existing MARL-based approaches often rely on </w:t>
      </w:r>
      <w:r w:rsidRPr="00020057">
        <w:rPr>
          <w:rStyle w:val="Strong"/>
        </w:rPr>
        <w:t>simplified reward structures</w:t>
      </w:r>
      <w:r w:rsidRPr="00020057">
        <w:t xml:space="preserve"> that inadequately capture physical grid constraints. Many studies focus on economic objectives such as profit maximization or cost reduction, while treating voltage, frequency, and congestion constraints as secondary considerations or post-processing checks [21]. This simplification limits the practical applicability of such methods, particularly in high-renewable scenarios where grid constraints frequently become binding.</w:t>
      </w:r>
    </w:p>
    <w:p w14:paraId="1C8B2B21" w14:textId="6E4DFE00" w:rsidR="00D05507" w:rsidRPr="00020057" w:rsidRDefault="00D05507" w:rsidP="00020057">
      <w:pPr>
        <w:pStyle w:val="NormalWeb"/>
        <w:jc w:val="both"/>
      </w:pPr>
      <w:r w:rsidRPr="00020057">
        <w:t xml:space="preserve">Furthermore, </w:t>
      </w:r>
      <w:r w:rsidRPr="00020057">
        <w:rPr>
          <w:rStyle w:val="Strong"/>
        </w:rPr>
        <w:t>solar power forecasting is rarely integrated into the MARL decision-making loop</w:t>
      </w:r>
      <w:r w:rsidRPr="00020057">
        <w:t>. Most MARL studies assume that renewable generation profiles are known or exogenously predicted, thereby decoupling forecasting uncertainty from control decisions. This assumption fails to reflect real operational conditions, where forecasting errors directly influence grid stability and operational cost.</w:t>
      </w:r>
    </w:p>
    <w:p w14:paraId="22024644" w14:textId="77777777" w:rsidR="00D05507" w:rsidRPr="00020057" w:rsidRDefault="00D05507" w:rsidP="00020057">
      <w:pPr>
        <w:pStyle w:val="Heading3"/>
        <w:jc w:val="both"/>
        <w:rPr>
          <w:sz w:val="24"/>
          <w:szCs w:val="24"/>
        </w:rPr>
      </w:pPr>
      <w:r w:rsidRPr="00020057">
        <w:rPr>
          <w:rStyle w:val="Strong"/>
          <w:b/>
          <w:bCs/>
          <w:sz w:val="24"/>
          <w:szCs w:val="24"/>
        </w:rPr>
        <w:t>2.4 Critical Comparison of Existing Approaches</w:t>
      </w:r>
    </w:p>
    <w:p w14:paraId="4C4E57CC" w14:textId="77777777" w:rsidR="00D05507" w:rsidRPr="00020057" w:rsidRDefault="00D05507" w:rsidP="00020057">
      <w:pPr>
        <w:pStyle w:val="NormalWeb"/>
        <w:jc w:val="both"/>
      </w:pPr>
      <w:r w:rsidRPr="00020057">
        <w:t>To clarify the positioning of this work, Table 1 compares representative forecasting, RL, and MARL approaches reported in the literature.</w:t>
      </w:r>
    </w:p>
    <w:p w14:paraId="748B16AE" w14:textId="77777777" w:rsidR="00D05507" w:rsidRPr="00020057" w:rsidRDefault="00D05507"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Table 1 — Comparison of Related Approaches</w:t>
      </w:r>
    </w:p>
    <w:tbl>
      <w:tblPr>
        <w:tblStyle w:val="TableGrid"/>
        <w:tblW w:w="0" w:type="auto"/>
        <w:tblLook w:val="04A0" w:firstRow="1" w:lastRow="0" w:firstColumn="1" w:lastColumn="0" w:noHBand="0" w:noVBand="1"/>
      </w:tblPr>
      <w:tblGrid>
        <w:gridCol w:w="2055"/>
        <w:gridCol w:w="1807"/>
        <w:gridCol w:w="1933"/>
        <w:gridCol w:w="1297"/>
        <w:gridCol w:w="1924"/>
      </w:tblGrid>
      <w:tr w:rsidR="00D05507" w:rsidRPr="00020057" w14:paraId="6FB31C51" w14:textId="77777777" w:rsidTr="00D05507">
        <w:tc>
          <w:tcPr>
            <w:tcW w:w="0" w:type="auto"/>
            <w:hideMark/>
          </w:tcPr>
          <w:p w14:paraId="33530565" w14:textId="77777777" w:rsidR="00D05507" w:rsidRPr="00020057" w:rsidRDefault="00D05507" w:rsidP="00020057">
            <w:pPr>
              <w:jc w:val="both"/>
              <w:rPr>
                <w:rFonts w:ascii="Times New Roman" w:hAnsi="Times New Roman" w:cs="Times New Roman"/>
                <w:color w:val="1F1F1F"/>
                <w:sz w:val="24"/>
                <w:szCs w:val="24"/>
              </w:rPr>
            </w:pPr>
            <w:r w:rsidRPr="00020057">
              <w:rPr>
                <w:rStyle w:val="Strong"/>
                <w:rFonts w:ascii="Times New Roman" w:hAnsi="Times New Roman" w:cs="Times New Roman"/>
                <w:color w:val="1F1F1F"/>
                <w:sz w:val="24"/>
                <w:szCs w:val="24"/>
                <w:bdr w:val="none" w:sz="0" w:space="0" w:color="auto" w:frame="1"/>
              </w:rPr>
              <w:t>Approach</w:t>
            </w:r>
          </w:p>
        </w:tc>
        <w:tc>
          <w:tcPr>
            <w:tcW w:w="0" w:type="auto"/>
            <w:hideMark/>
          </w:tcPr>
          <w:p w14:paraId="1302C79D" w14:textId="77777777" w:rsidR="00D05507" w:rsidRPr="00020057" w:rsidRDefault="00D05507" w:rsidP="00020057">
            <w:pPr>
              <w:jc w:val="both"/>
              <w:rPr>
                <w:rFonts w:ascii="Times New Roman" w:hAnsi="Times New Roman" w:cs="Times New Roman"/>
                <w:color w:val="1F1F1F"/>
                <w:sz w:val="24"/>
                <w:szCs w:val="24"/>
              </w:rPr>
            </w:pPr>
            <w:r w:rsidRPr="00020057">
              <w:rPr>
                <w:rStyle w:val="Strong"/>
                <w:rFonts w:ascii="Times New Roman" w:hAnsi="Times New Roman" w:cs="Times New Roman"/>
                <w:color w:val="1F1F1F"/>
                <w:sz w:val="24"/>
                <w:szCs w:val="24"/>
                <w:bdr w:val="none" w:sz="0" w:space="0" w:color="auto" w:frame="1"/>
              </w:rPr>
              <w:t>Forecasting Integrated</w:t>
            </w:r>
          </w:p>
        </w:tc>
        <w:tc>
          <w:tcPr>
            <w:tcW w:w="0" w:type="auto"/>
            <w:hideMark/>
          </w:tcPr>
          <w:p w14:paraId="6CB0964B" w14:textId="77777777" w:rsidR="00D05507" w:rsidRPr="00020057" w:rsidRDefault="00D05507" w:rsidP="00020057">
            <w:pPr>
              <w:jc w:val="both"/>
              <w:rPr>
                <w:rFonts w:ascii="Times New Roman" w:hAnsi="Times New Roman" w:cs="Times New Roman"/>
                <w:color w:val="1F1F1F"/>
                <w:sz w:val="24"/>
                <w:szCs w:val="24"/>
              </w:rPr>
            </w:pPr>
            <w:r w:rsidRPr="00020057">
              <w:rPr>
                <w:rStyle w:val="Strong"/>
                <w:rFonts w:ascii="Times New Roman" w:hAnsi="Times New Roman" w:cs="Times New Roman"/>
                <w:color w:val="1F1F1F"/>
                <w:sz w:val="24"/>
                <w:szCs w:val="24"/>
                <w:bdr w:val="none" w:sz="0" w:space="0" w:color="auto" w:frame="1"/>
              </w:rPr>
              <w:t xml:space="preserve">Grid Constraints </w:t>
            </w:r>
            <w:proofErr w:type="spellStart"/>
            <w:r w:rsidRPr="00020057">
              <w:rPr>
                <w:rStyle w:val="Strong"/>
                <w:rFonts w:ascii="Times New Roman" w:hAnsi="Times New Roman" w:cs="Times New Roman"/>
                <w:color w:val="1F1F1F"/>
                <w:sz w:val="24"/>
                <w:szCs w:val="24"/>
                <w:bdr w:val="none" w:sz="0" w:space="0" w:color="auto" w:frame="1"/>
              </w:rPr>
              <w:t>Modeled</w:t>
            </w:r>
            <w:proofErr w:type="spellEnd"/>
          </w:p>
        </w:tc>
        <w:tc>
          <w:tcPr>
            <w:tcW w:w="0" w:type="auto"/>
            <w:hideMark/>
          </w:tcPr>
          <w:p w14:paraId="4D82A74B" w14:textId="77777777" w:rsidR="00D05507" w:rsidRPr="00020057" w:rsidRDefault="00D05507" w:rsidP="00020057">
            <w:pPr>
              <w:jc w:val="both"/>
              <w:rPr>
                <w:rFonts w:ascii="Times New Roman" w:hAnsi="Times New Roman" w:cs="Times New Roman"/>
                <w:color w:val="1F1F1F"/>
                <w:sz w:val="24"/>
                <w:szCs w:val="24"/>
              </w:rPr>
            </w:pPr>
            <w:r w:rsidRPr="00020057">
              <w:rPr>
                <w:rStyle w:val="Strong"/>
                <w:rFonts w:ascii="Times New Roman" w:hAnsi="Times New Roman" w:cs="Times New Roman"/>
                <w:color w:val="1F1F1F"/>
                <w:sz w:val="24"/>
                <w:szCs w:val="24"/>
                <w:bdr w:val="none" w:sz="0" w:space="0" w:color="auto" w:frame="1"/>
              </w:rPr>
              <w:t>Scalability</w:t>
            </w:r>
          </w:p>
        </w:tc>
        <w:tc>
          <w:tcPr>
            <w:tcW w:w="0" w:type="auto"/>
            <w:hideMark/>
          </w:tcPr>
          <w:p w14:paraId="2858BF64" w14:textId="77777777" w:rsidR="00D05507" w:rsidRPr="00020057" w:rsidRDefault="00D05507" w:rsidP="00020057">
            <w:pPr>
              <w:jc w:val="both"/>
              <w:rPr>
                <w:rFonts w:ascii="Times New Roman" w:hAnsi="Times New Roman" w:cs="Times New Roman"/>
                <w:color w:val="1F1F1F"/>
                <w:sz w:val="24"/>
                <w:szCs w:val="24"/>
              </w:rPr>
            </w:pPr>
            <w:r w:rsidRPr="00020057">
              <w:rPr>
                <w:rStyle w:val="Strong"/>
                <w:rFonts w:ascii="Times New Roman" w:hAnsi="Times New Roman" w:cs="Times New Roman"/>
                <w:color w:val="1F1F1F"/>
                <w:sz w:val="24"/>
                <w:szCs w:val="24"/>
                <w:bdr w:val="none" w:sz="0" w:space="0" w:color="auto" w:frame="1"/>
              </w:rPr>
              <w:t>Decentralized Control</w:t>
            </w:r>
          </w:p>
        </w:tc>
      </w:tr>
      <w:tr w:rsidR="00D05507" w:rsidRPr="00020057" w14:paraId="18413590" w14:textId="77777777" w:rsidTr="00D05507">
        <w:tc>
          <w:tcPr>
            <w:tcW w:w="0" w:type="auto"/>
            <w:hideMark/>
          </w:tcPr>
          <w:p w14:paraId="45524A15"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Statistical Forecasting</w:t>
            </w:r>
          </w:p>
        </w:tc>
        <w:tc>
          <w:tcPr>
            <w:tcW w:w="0" w:type="auto"/>
            <w:hideMark/>
          </w:tcPr>
          <w:p w14:paraId="00F0EECF"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Yes</w:t>
            </w:r>
          </w:p>
        </w:tc>
        <w:tc>
          <w:tcPr>
            <w:tcW w:w="0" w:type="auto"/>
            <w:hideMark/>
          </w:tcPr>
          <w:p w14:paraId="3606333F"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c>
          <w:tcPr>
            <w:tcW w:w="0" w:type="auto"/>
            <w:hideMark/>
          </w:tcPr>
          <w:p w14:paraId="26E8CCA2"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High</w:t>
            </w:r>
          </w:p>
        </w:tc>
        <w:tc>
          <w:tcPr>
            <w:tcW w:w="0" w:type="auto"/>
            <w:hideMark/>
          </w:tcPr>
          <w:p w14:paraId="4BFF3280"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r>
      <w:tr w:rsidR="00D05507" w:rsidRPr="00020057" w14:paraId="2AC6E963" w14:textId="77777777" w:rsidTr="00D05507">
        <w:tc>
          <w:tcPr>
            <w:tcW w:w="0" w:type="auto"/>
            <w:hideMark/>
          </w:tcPr>
          <w:p w14:paraId="18B09FB8"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Deep Learning Forecasting</w:t>
            </w:r>
          </w:p>
        </w:tc>
        <w:tc>
          <w:tcPr>
            <w:tcW w:w="0" w:type="auto"/>
            <w:hideMark/>
          </w:tcPr>
          <w:p w14:paraId="4AEC177B"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Yes</w:t>
            </w:r>
          </w:p>
        </w:tc>
        <w:tc>
          <w:tcPr>
            <w:tcW w:w="0" w:type="auto"/>
            <w:hideMark/>
          </w:tcPr>
          <w:p w14:paraId="5E4DA804"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c>
          <w:tcPr>
            <w:tcW w:w="0" w:type="auto"/>
            <w:hideMark/>
          </w:tcPr>
          <w:p w14:paraId="64339597"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High</w:t>
            </w:r>
          </w:p>
        </w:tc>
        <w:tc>
          <w:tcPr>
            <w:tcW w:w="0" w:type="auto"/>
            <w:hideMark/>
          </w:tcPr>
          <w:p w14:paraId="29FEB087"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r>
      <w:tr w:rsidR="00D05507" w:rsidRPr="00020057" w14:paraId="3BE4A9A1" w14:textId="77777777" w:rsidTr="00D05507">
        <w:tc>
          <w:tcPr>
            <w:tcW w:w="0" w:type="auto"/>
            <w:hideMark/>
          </w:tcPr>
          <w:p w14:paraId="2BF4333D"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Single-Agent RL</w:t>
            </w:r>
          </w:p>
        </w:tc>
        <w:tc>
          <w:tcPr>
            <w:tcW w:w="0" w:type="auto"/>
            <w:hideMark/>
          </w:tcPr>
          <w:p w14:paraId="525E6E72"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c>
          <w:tcPr>
            <w:tcW w:w="0" w:type="auto"/>
            <w:hideMark/>
          </w:tcPr>
          <w:p w14:paraId="0BBFE99A"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Partial</w:t>
            </w:r>
          </w:p>
        </w:tc>
        <w:tc>
          <w:tcPr>
            <w:tcW w:w="0" w:type="auto"/>
            <w:hideMark/>
          </w:tcPr>
          <w:p w14:paraId="5C7178C8"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Moderate</w:t>
            </w:r>
          </w:p>
        </w:tc>
        <w:tc>
          <w:tcPr>
            <w:tcW w:w="0" w:type="auto"/>
            <w:hideMark/>
          </w:tcPr>
          <w:p w14:paraId="08338792"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r>
      <w:tr w:rsidR="00D05507" w:rsidRPr="00020057" w14:paraId="3E4730FD" w14:textId="77777777" w:rsidTr="00D05507">
        <w:tc>
          <w:tcPr>
            <w:tcW w:w="0" w:type="auto"/>
            <w:hideMark/>
          </w:tcPr>
          <w:p w14:paraId="4E4C6B2A"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Centralized DRL</w:t>
            </w:r>
          </w:p>
        </w:tc>
        <w:tc>
          <w:tcPr>
            <w:tcW w:w="0" w:type="auto"/>
            <w:hideMark/>
          </w:tcPr>
          <w:p w14:paraId="64B816C1"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c>
          <w:tcPr>
            <w:tcW w:w="0" w:type="auto"/>
            <w:hideMark/>
          </w:tcPr>
          <w:p w14:paraId="054DC48E"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Partial</w:t>
            </w:r>
          </w:p>
        </w:tc>
        <w:tc>
          <w:tcPr>
            <w:tcW w:w="0" w:type="auto"/>
            <w:hideMark/>
          </w:tcPr>
          <w:p w14:paraId="137A3848"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Low</w:t>
            </w:r>
          </w:p>
        </w:tc>
        <w:tc>
          <w:tcPr>
            <w:tcW w:w="0" w:type="auto"/>
            <w:hideMark/>
          </w:tcPr>
          <w:p w14:paraId="52CDDA94"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No</w:t>
            </w:r>
          </w:p>
        </w:tc>
      </w:tr>
      <w:tr w:rsidR="00D05507" w:rsidRPr="00020057" w14:paraId="46CA469F" w14:textId="77777777" w:rsidTr="00D05507">
        <w:tc>
          <w:tcPr>
            <w:tcW w:w="0" w:type="auto"/>
            <w:hideMark/>
          </w:tcPr>
          <w:p w14:paraId="4C2F2FDA"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Existing MARL Methods</w:t>
            </w:r>
          </w:p>
        </w:tc>
        <w:tc>
          <w:tcPr>
            <w:tcW w:w="0" w:type="auto"/>
            <w:hideMark/>
          </w:tcPr>
          <w:p w14:paraId="494BA526"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Limited</w:t>
            </w:r>
          </w:p>
        </w:tc>
        <w:tc>
          <w:tcPr>
            <w:tcW w:w="0" w:type="auto"/>
            <w:hideMark/>
          </w:tcPr>
          <w:p w14:paraId="760B6C4E"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Limited</w:t>
            </w:r>
          </w:p>
        </w:tc>
        <w:tc>
          <w:tcPr>
            <w:tcW w:w="0" w:type="auto"/>
            <w:hideMark/>
          </w:tcPr>
          <w:p w14:paraId="2F46F3CF"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High</w:t>
            </w:r>
          </w:p>
        </w:tc>
        <w:tc>
          <w:tcPr>
            <w:tcW w:w="0" w:type="auto"/>
            <w:hideMark/>
          </w:tcPr>
          <w:p w14:paraId="50040F42"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color w:val="1F1F1F"/>
                <w:sz w:val="24"/>
                <w:szCs w:val="24"/>
                <w:bdr w:val="none" w:sz="0" w:space="0" w:color="auto" w:frame="1"/>
              </w:rPr>
              <w:t>Yes</w:t>
            </w:r>
          </w:p>
        </w:tc>
      </w:tr>
      <w:tr w:rsidR="00D05507" w:rsidRPr="00020057" w14:paraId="2E6CC958" w14:textId="77777777" w:rsidTr="00D05507">
        <w:tc>
          <w:tcPr>
            <w:tcW w:w="0" w:type="auto"/>
            <w:hideMark/>
          </w:tcPr>
          <w:p w14:paraId="59040DF6"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Proposed Grid-Aware MARL</w:t>
            </w:r>
          </w:p>
        </w:tc>
        <w:tc>
          <w:tcPr>
            <w:tcW w:w="0" w:type="auto"/>
            <w:hideMark/>
          </w:tcPr>
          <w:p w14:paraId="0B988C28"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Yes</w:t>
            </w:r>
          </w:p>
        </w:tc>
        <w:tc>
          <w:tcPr>
            <w:tcW w:w="0" w:type="auto"/>
            <w:hideMark/>
          </w:tcPr>
          <w:p w14:paraId="7645A2AF"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Yes</w:t>
            </w:r>
          </w:p>
        </w:tc>
        <w:tc>
          <w:tcPr>
            <w:tcW w:w="0" w:type="auto"/>
            <w:hideMark/>
          </w:tcPr>
          <w:p w14:paraId="687F10B4"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High</w:t>
            </w:r>
          </w:p>
        </w:tc>
        <w:tc>
          <w:tcPr>
            <w:tcW w:w="0" w:type="auto"/>
            <w:hideMark/>
          </w:tcPr>
          <w:p w14:paraId="6DB0B06A" w14:textId="77777777" w:rsidR="00D05507" w:rsidRPr="00020057" w:rsidRDefault="00D05507" w:rsidP="00020057">
            <w:pPr>
              <w:jc w:val="both"/>
              <w:rPr>
                <w:rFonts w:ascii="Times New Roman" w:hAnsi="Times New Roman" w:cs="Times New Roman"/>
                <w:color w:val="1F1F1F"/>
                <w:sz w:val="24"/>
                <w:szCs w:val="24"/>
              </w:rPr>
            </w:pPr>
            <w:r w:rsidRPr="00020057">
              <w:rPr>
                <w:rFonts w:ascii="Times New Roman" w:hAnsi="Times New Roman" w:cs="Times New Roman"/>
                <w:b/>
                <w:bCs/>
                <w:color w:val="1F1F1F"/>
                <w:sz w:val="24"/>
                <w:szCs w:val="24"/>
                <w:bdr w:val="none" w:sz="0" w:space="0" w:color="auto" w:frame="1"/>
              </w:rPr>
              <w:t>Yes</w:t>
            </w:r>
          </w:p>
        </w:tc>
      </w:tr>
    </w:tbl>
    <w:p w14:paraId="4EB4D6F5" w14:textId="6FDBC81E" w:rsidR="00D05507" w:rsidRPr="00020057" w:rsidRDefault="00D05507" w:rsidP="00020057">
      <w:pPr>
        <w:pStyle w:val="NormalWeb"/>
        <w:jc w:val="both"/>
        <w:rPr>
          <w:b/>
          <w:bCs/>
        </w:rPr>
      </w:pPr>
      <w:r w:rsidRPr="00020057">
        <w:rPr>
          <w:rStyle w:val="Strong"/>
        </w:rPr>
        <w:t xml:space="preserve"> Critical Insight:</w:t>
      </w:r>
      <w:r w:rsidRPr="00020057">
        <w:br/>
        <w:t xml:space="preserve">While forecasting methods excel at prediction accuracy and MARL methods improve scalability, </w:t>
      </w:r>
      <w:r w:rsidRPr="00020057">
        <w:rPr>
          <w:rStyle w:val="Strong"/>
        </w:rPr>
        <w:t>no existing approach jointly optimizes solar forecasting and grid-aware operational objectives within a unified MARL framework</w:t>
      </w:r>
      <w:r w:rsidRPr="00020057">
        <w:t>. This gap becomes increasingly problematic as renewable penetration rises and grid operating margins shrink.</w:t>
      </w:r>
    </w:p>
    <w:p w14:paraId="0AA75EA8" w14:textId="103B2EF2" w:rsidR="00D05507" w:rsidRDefault="00D05507" w:rsidP="00020057">
      <w:pPr>
        <w:jc w:val="both"/>
        <w:rPr>
          <w:rFonts w:ascii="Times New Roman" w:hAnsi="Times New Roman" w:cs="Times New Roman"/>
          <w:sz w:val="24"/>
          <w:szCs w:val="24"/>
        </w:rPr>
      </w:pPr>
    </w:p>
    <w:p w14:paraId="4984C61E" w14:textId="77777777" w:rsidR="00020057" w:rsidRPr="00020057" w:rsidRDefault="00020057" w:rsidP="00020057">
      <w:pPr>
        <w:jc w:val="both"/>
        <w:rPr>
          <w:rFonts w:ascii="Times New Roman" w:hAnsi="Times New Roman" w:cs="Times New Roman"/>
          <w:sz w:val="24"/>
          <w:szCs w:val="24"/>
        </w:rPr>
      </w:pPr>
    </w:p>
    <w:p w14:paraId="51E70ADA" w14:textId="77777777" w:rsidR="00D05507" w:rsidRPr="00020057" w:rsidRDefault="00D05507" w:rsidP="00020057">
      <w:pPr>
        <w:pStyle w:val="Heading3"/>
        <w:jc w:val="both"/>
        <w:rPr>
          <w:sz w:val="24"/>
          <w:szCs w:val="24"/>
        </w:rPr>
      </w:pPr>
      <w:r w:rsidRPr="00020057">
        <w:rPr>
          <w:rStyle w:val="Strong"/>
          <w:b/>
          <w:bCs/>
          <w:sz w:val="24"/>
          <w:szCs w:val="24"/>
        </w:rPr>
        <w:lastRenderedPageBreak/>
        <w:t>2.5 Positioning and Contribution Beyond State-of-the-Art</w:t>
      </w:r>
    </w:p>
    <w:p w14:paraId="27983366" w14:textId="77777777" w:rsidR="00D05507" w:rsidRPr="00020057" w:rsidRDefault="00D05507" w:rsidP="00020057">
      <w:pPr>
        <w:pStyle w:val="NormalWeb"/>
        <w:jc w:val="both"/>
      </w:pPr>
      <w:r w:rsidRPr="00020057">
        <w:t xml:space="preserve">Unlike prior work, this paper positions forecasting not as a standalone task but as a </w:t>
      </w:r>
      <w:r w:rsidRPr="00020057">
        <w:rPr>
          <w:rStyle w:val="Strong"/>
        </w:rPr>
        <w:t>decision variable embedded within a grid-constrained learning process</w:t>
      </w:r>
      <w:r w:rsidRPr="00020057">
        <w:t>. By explicitly incorporating voltage limits, frequency deviations, and congestion penalties into the MARL reward function, the proposed approach aligns local agent objectives with system-level reliability requirements.</w:t>
      </w:r>
    </w:p>
    <w:p w14:paraId="14F8A09B" w14:textId="77777777" w:rsidR="00D05507" w:rsidRPr="00020057" w:rsidRDefault="00D05507" w:rsidP="00020057">
      <w:pPr>
        <w:pStyle w:val="NormalWeb"/>
        <w:jc w:val="both"/>
      </w:pPr>
      <w:r w:rsidRPr="00020057">
        <w:t>From a methodological perspective, this work advances the literature by:</w:t>
      </w:r>
    </w:p>
    <w:p w14:paraId="213617E7" w14:textId="77777777" w:rsidR="00D05507" w:rsidRPr="00020057" w:rsidRDefault="00D05507" w:rsidP="00020057">
      <w:pPr>
        <w:pStyle w:val="NormalWeb"/>
        <w:numPr>
          <w:ilvl w:val="0"/>
          <w:numId w:val="3"/>
        </w:numPr>
        <w:jc w:val="both"/>
      </w:pPr>
      <w:r w:rsidRPr="00020057">
        <w:t xml:space="preserve">Bridging </w:t>
      </w:r>
      <w:r w:rsidRPr="00020057">
        <w:rPr>
          <w:rStyle w:val="Strong"/>
        </w:rPr>
        <w:t>forecasting and control</w:t>
      </w:r>
      <w:r w:rsidRPr="00020057">
        <w:t xml:space="preserve"> within a single MARL framework,</w:t>
      </w:r>
    </w:p>
    <w:p w14:paraId="333FB83C" w14:textId="77777777" w:rsidR="00D05507" w:rsidRPr="00020057" w:rsidRDefault="00D05507" w:rsidP="00020057">
      <w:pPr>
        <w:pStyle w:val="NormalWeb"/>
        <w:numPr>
          <w:ilvl w:val="0"/>
          <w:numId w:val="3"/>
        </w:numPr>
        <w:jc w:val="both"/>
      </w:pPr>
      <w:r w:rsidRPr="00020057">
        <w:t xml:space="preserve">Enabling </w:t>
      </w:r>
      <w:r w:rsidRPr="00020057">
        <w:rPr>
          <w:rStyle w:val="Strong"/>
        </w:rPr>
        <w:t>scalable, decentralized learning</w:t>
      </w:r>
      <w:r w:rsidRPr="00020057">
        <w:t xml:space="preserve"> suitable for large solar-dominated grids,</w:t>
      </w:r>
    </w:p>
    <w:p w14:paraId="2E8B9BEE" w14:textId="77777777" w:rsidR="00D05507" w:rsidRPr="00020057" w:rsidRDefault="00D05507" w:rsidP="00020057">
      <w:pPr>
        <w:pStyle w:val="NormalWeb"/>
        <w:numPr>
          <w:ilvl w:val="0"/>
          <w:numId w:val="3"/>
        </w:numPr>
        <w:jc w:val="both"/>
      </w:pPr>
      <w:r w:rsidRPr="00020057">
        <w:t xml:space="preserve">Providing </w:t>
      </w:r>
      <w:r w:rsidRPr="00020057">
        <w:rPr>
          <w:rStyle w:val="Strong"/>
        </w:rPr>
        <w:t>operationally meaningful performance gains</w:t>
      </w:r>
      <w:r w:rsidRPr="00020057">
        <w:t>, rather than improvements limited to prediction error metrics.</w:t>
      </w:r>
    </w:p>
    <w:p w14:paraId="3CE9D3E6" w14:textId="77777777" w:rsidR="00D05507" w:rsidRPr="00020057" w:rsidRDefault="00D05507" w:rsidP="00020057">
      <w:pPr>
        <w:pStyle w:val="NormalWeb"/>
        <w:jc w:val="both"/>
      </w:pPr>
      <w:r w:rsidRPr="00020057">
        <w:t>These distinctions place the proposed approach beyond incremental extensions of existing forecasting or MARL studies and position it as a practical solution for next-generation smart grids</w:t>
      </w:r>
    </w:p>
    <w:p w14:paraId="3B559FB9" w14:textId="0675383B" w:rsidR="00D05507" w:rsidRPr="00020057" w:rsidRDefault="00D05507" w:rsidP="00020057">
      <w:pPr>
        <w:jc w:val="both"/>
        <w:rPr>
          <w:rFonts w:ascii="Times New Roman" w:hAnsi="Times New Roman" w:cs="Times New Roman"/>
          <w:sz w:val="24"/>
          <w:szCs w:val="24"/>
        </w:rPr>
      </w:pPr>
    </w:p>
    <w:p w14:paraId="62D6CEDA" w14:textId="77777777" w:rsidR="00635E82" w:rsidRPr="00020057" w:rsidRDefault="00635E82"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3. System Model and Problem Formulation</w:t>
      </w:r>
    </w:p>
    <w:p w14:paraId="65CA7FAC" w14:textId="77777777" w:rsidR="00635E82" w:rsidRPr="00020057" w:rsidRDefault="00635E82" w:rsidP="00020057">
      <w:pPr>
        <w:pStyle w:val="Heading3"/>
        <w:jc w:val="both"/>
        <w:rPr>
          <w:sz w:val="24"/>
          <w:szCs w:val="24"/>
        </w:rPr>
      </w:pPr>
      <w:r w:rsidRPr="00020057">
        <w:rPr>
          <w:rStyle w:val="Strong"/>
          <w:b/>
          <w:bCs/>
          <w:sz w:val="24"/>
          <w:szCs w:val="24"/>
        </w:rPr>
        <w:t>3.1 Overview of the Grid-Aware Multi-Agent System</w:t>
      </w:r>
    </w:p>
    <w:p w14:paraId="2490E62B" w14:textId="5B6B94CF" w:rsidR="00635E82" w:rsidRPr="00020057" w:rsidRDefault="00635E82" w:rsidP="00020057">
      <w:pPr>
        <w:pStyle w:val="NormalWeb"/>
        <w:jc w:val="both"/>
      </w:pPr>
      <w:r w:rsidRPr="00020057">
        <w:t xml:space="preserve">We consider a smart power grid with a high penetration of distributed solar photovoltaic (PV) generation units interconnected through a transmission–distribution network. The system operates over discrete time steps </w:t>
      </w:r>
      <m:oMath>
        <m:r>
          <w:rPr>
            <w:rFonts w:ascii="Cambria Math" w:hAnsi="Cambria Math"/>
          </w:rPr>
          <m:t>t∈</m:t>
        </m:r>
        <m:d>
          <m:dPr>
            <m:begChr m:val="{"/>
            <m:endChr m:val="}"/>
            <m:ctrlPr>
              <w:rPr>
                <w:rFonts w:ascii="Cambria Math" w:hAnsi="Cambria Math"/>
                <w:i/>
              </w:rPr>
            </m:ctrlPr>
          </m:dPr>
          <m:e>
            <m:r>
              <w:rPr>
                <w:rFonts w:ascii="Cambria Math" w:hAnsi="Cambria Math"/>
              </w:rPr>
              <m:t>1,2,…,T</m:t>
            </m:r>
          </m:e>
        </m:d>
      </m:oMath>
      <w:r w:rsidRPr="00020057">
        <w:t>, corresponding to short-term operational intervals (e.g., 5–15 minutes). Each solar PV unit is modeled as an autonomous agent that interacts with both the physical power grid and its surrounding environment.</w:t>
      </w:r>
    </w:p>
    <w:p w14:paraId="65DABCB0" w14:textId="77777777" w:rsidR="00635E82" w:rsidRPr="00020057" w:rsidRDefault="00635E82" w:rsidP="00020057">
      <w:pPr>
        <w:pStyle w:val="NormalWeb"/>
        <w:jc w:val="both"/>
      </w:pPr>
      <w:r w:rsidRPr="00020057">
        <w:t xml:space="preserve">Unlike traditional centralized control architectures, the proposed framework adopts a </w:t>
      </w:r>
      <w:r w:rsidRPr="00020057">
        <w:rPr>
          <w:rStyle w:val="Strong"/>
        </w:rPr>
        <w:t>decentralized multi-agent formulation</w:t>
      </w:r>
      <w:r w:rsidRPr="00020057">
        <w:t>, where each agent observes local information and makes decisions independently, while implicitly coordinating with other agents through shared grid dynamics and cooperative learning objectives. A grid operator entity is assumed to exist only as a passive environment that enforces physical constraints, rather than as an active centralized decision-maker.</w:t>
      </w:r>
    </w:p>
    <w:p w14:paraId="59FAF26B" w14:textId="021212AC" w:rsidR="00635E82" w:rsidRPr="00020057" w:rsidRDefault="00635E82" w:rsidP="00020057">
      <w:pPr>
        <w:jc w:val="both"/>
        <w:rPr>
          <w:rFonts w:ascii="Times New Roman" w:hAnsi="Times New Roman" w:cs="Times New Roman"/>
          <w:sz w:val="24"/>
          <w:szCs w:val="24"/>
        </w:rPr>
      </w:pPr>
      <w:r w:rsidRPr="00020057">
        <w:rPr>
          <w:rFonts w:ascii="Times New Roman" w:hAnsi="Times New Roman" w:cs="Times New Roman"/>
          <w:sz w:val="24"/>
          <w:szCs w:val="24"/>
        </w:rPr>
        <w:t>3.2 Agent Definition and Observation Space</w:t>
      </w:r>
    </w:p>
    <w:p w14:paraId="0A62EEC2" w14:textId="1B0EDCAC" w:rsidR="00635E82" w:rsidRPr="00020057" w:rsidRDefault="00635E82" w:rsidP="00020057">
      <w:pPr>
        <w:jc w:val="both"/>
        <w:rPr>
          <w:rFonts w:ascii="Times New Roman" w:hAnsi="Times New Roman" w:cs="Times New Roman"/>
          <w:sz w:val="24"/>
          <w:szCs w:val="24"/>
        </w:rPr>
      </w:pPr>
      <w:r w:rsidRPr="00020057">
        <w:rPr>
          <w:rFonts w:ascii="Times New Roman" w:hAnsi="Times New Roman" w:cs="Times New Roman"/>
          <w:sz w:val="24"/>
          <w:szCs w:val="24"/>
          <w:lang w:val="en-US"/>
        </w:rPr>
        <w:t xml:space="preserve">Let </w:t>
      </w:r>
      <m:oMath>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1,2,…,N</m:t>
            </m:r>
          </m:e>
        </m:d>
      </m:oMath>
      <w:r w:rsidRPr="00020057">
        <w:rPr>
          <w:rFonts w:ascii="Times New Roman" w:eastAsiaTheme="minorEastAsia" w:hAnsi="Times New Roman" w:cs="Times New Roman"/>
          <w:sz w:val="24"/>
          <w:szCs w:val="24"/>
          <w:lang w:val="en-US"/>
        </w:rPr>
        <w:t xml:space="preserve"> </w:t>
      </w:r>
      <w:r w:rsidRPr="00020057">
        <w:rPr>
          <w:rFonts w:ascii="Times New Roman" w:hAnsi="Times New Roman" w:cs="Times New Roman"/>
          <w:sz w:val="24"/>
          <w:szCs w:val="24"/>
        </w:rPr>
        <w:t>denote the set of solar agents. Each agent</w:t>
      </w:r>
      <w:r w:rsidRPr="00020057">
        <w:rPr>
          <w:rFonts w:ascii="Times New Roman" w:hAnsi="Times New Roman" w:cs="Times New Roman"/>
          <w:sz w:val="24"/>
          <w:szCs w:val="24"/>
          <w:lang w:val="en-US"/>
        </w:rPr>
        <w:t xml:space="preserve"> </w:t>
      </w:r>
      <m:oMath>
        <m:r>
          <m:rPr>
            <m:scr m:val="script"/>
          </m:rPr>
          <w:rPr>
            <w:rFonts w:ascii="Cambria Math" w:hAnsi="Cambria Math" w:cs="Times New Roman"/>
            <w:sz w:val="24"/>
            <w:szCs w:val="24"/>
            <w:lang w:val="en-US"/>
          </w:rPr>
          <m:t xml:space="preserve">i </m:t>
        </m:r>
        <m:r>
          <w:rPr>
            <w:rFonts w:ascii="Cambria Math" w:hAnsi="Cambria Math" w:cs="Times New Roman"/>
            <w:sz w:val="24"/>
            <w:szCs w:val="24"/>
            <w:lang w:val="en-US"/>
          </w:rPr>
          <m:t>ϵ N</m:t>
        </m:r>
      </m:oMath>
      <w:r w:rsidRPr="00020057">
        <w:rPr>
          <w:rFonts w:ascii="Times New Roman" w:eastAsiaTheme="minorEastAsia" w:hAnsi="Times New Roman" w:cs="Times New Roman"/>
          <w:sz w:val="24"/>
          <w:szCs w:val="24"/>
          <w:lang w:val="en-US"/>
        </w:rPr>
        <w:t xml:space="preserve"> </w:t>
      </w:r>
      <w:r w:rsidRPr="00020057">
        <w:rPr>
          <w:rFonts w:ascii="Times New Roman" w:hAnsi="Times New Roman" w:cs="Times New Roman"/>
          <w:sz w:val="24"/>
          <w:szCs w:val="24"/>
        </w:rPr>
        <w:t>corresponds to a solar PV system, potentially equipped with local energy storage and grid-interfacing inverters.</w:t>
      </w:r>
    </w:p>
    <w:p w14:paraId="24347D1D" w14:textId="248DB86E" w:rsidR="0002612C" w:rsidRPr="00020057" w:rsidRDefault="0002612C" w:rsidP="00020057">
      <w:pPr>
        <w:jc w:val="both"/>
        <w:rPr>
          <w:rFonts w:ascii="Times New Roman" w:hAnsi="Times New Roman" w:cs="Times New Roman"/>
          <w:sz w:val="24"/>
          <w:szCs w:val="24"/>
        </w:rPr>
      </w:pPr>
      <w:r w:rsidRPr="00020057">
        <w:rPr>
          <w:rFonts w:ascii="Times New Roman" w:hAnsi="Times New Roman" w:cs="Times New Roman"/>
          <w:sz w:val="24"/>
          <w:szCs w:val="24"/>
        </w:rPr>
        <w:t xml:space="preserve">At time step </w:t>
      </w:r>
      <m:oMath>
        <m:r>
          <w:rPr>
            <w:rFonts w:ascii="Cambria Math" w:hAnsi="Cambria Math" w:cs="Times New Roman"/>
            <w:sz w:val="24"/>
            <w:szCs w:val="24"/>
          </w:rPr>
          <m:t>t</m:t>
        </m:r>
      </m:oMath>
      <w:r w:rsidRPr="00020057">
        <w:rPr>
          <w:rFonts w:ascii="Times New Roman" w:hAnsi="Times New Roman" w:cs="Times New Roman"/>
          <w:sz w:val="24"/>
          <w:szCs w:val="24"/>
        </w:rPr>
        <w:t xml:space="preserve">, agent </w:t>
      </w:r>
      <w:r w:rsidRPr="00020057">
        <w:rPr>
          <w:rStyle w:val="katex-mathml"/>
          <w:rFonts w:ascii="Times New Roman" w:hAnsi="Times New Roman" w:cs="Times New Roman"/>
          <w:sz w:val="24"/>
          <w:szCs w:val="24"/>
        </w:rPr>
        <w:t>ii</w:t>
      </w:r>
      <w:r w:rsidRPr="00020057">
        <w:rPr>
          <w:rStyle w:val="mord"/>
          <w:rFonts w:ascii="Times New Roman" w:hAnsi="Times New Roman" w:cs="Times New Roman"/>
          <w:sz w:val="24"/>
          <w:szCs w:val="24"/>
        </w:rPr>
        <w:t>i</w:t>
      </w:r>
      <w:r w:rsidRPr="00020057">
        <w:rPr>
          <w:rFonts w:ascii="Times New Roman" w:hAnsi="Times New Roman" w:cs="Times New Roman"/>
          <w:sz w:val="24"/>
          <w:szCs w:val="24"/>
        </w:rPr>
        <w:t xml:space="preserve"> observes a local state vector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t</m:t>
            </m:r>
          </m:sup>
        </m:sSubSup>
      </m:oMath>
      <w:r w:rsidRPr="00020057">
        <w:rPr>
          <w:rStyle w:val="vlist-s"/>
          <w:rFonts w:ascii="Times New Roman" w:hAnsi="Times New Roman" w:cs="Times New Roman"/>
          <w:sz w:val="24"/>
          <w:szCs w:val="24"/>
        </w:rPr>
        <w:t>​</w:t>
      </w:r>
      <w:r w:rsidRPr="00020057">
        <w:rPr>
          <w:rFonts w:ascii="Times New Roman" w:hAnsi="Times New Roman" w:cs="Times New Roman"/>
          <w:sz w:val="24"/>
          <w:szCs w:val="24"/>
        </w:rPr>
        <w:t>, defined as:</w:t>
      </w:r>
    </w:p>
    <w:p w14:paraId="4712027B" w14:textId="1B2F2615" w:rsidR="0002612C" w:rsidRPr="00020057" w:rsidRDefault="00CE1237" w:rsidP="00020057">
      <w:pPr>
        <w:jc w:val="both"/>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lang w:val="en-US"/>
                </w:rPr>
              </m:ctrlPr>
            </m:dPr>
            <m:e>
              <m:sSubSup>
                <m:sSubSupPr>
                  <m:ctrlPr>
                    <w:rPr>
                      <w:rFonts w:ascii="Cambria Math" w:eastAsiaTheme="minorEastAsia" w:hAnsi="Cambria Math" w:cs="Times New Roman"/>
                      <w:i/>
                      <w:sz w:val="24"/>
                      <w:szCs w:val="24"/>
                      <w:lang w:val="en-US"/>
                    </w:rPr>
                  </m:ctrlPr>
                </m:sSubSupPr>
                <m:e>
                  <m:acc>
                    <m:accPr>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P</m:t>
                      </m:r>
                    </m:e>
                  </m:acc>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 ,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F</m:t>
                  </m:r>
                </m:e>
                <m:sup>
                  <m:r>
                    <w:rPr>
                      <w:rFonts w:ascii="Cambria Math" w:eastAsiaTheme="minorEastAsia" w:hAnsi="Cambria Math" w:cs="Times New Roman"/>
                      <w:sz w:val="24"/>
                      <w:szCs w:val="24"/>
                      <w:lang w:val="en-US"/>
                    </w:rPr>
                    <m:t>t</m:t>
                  </m:r>
                </m:sup>
              </m:sSup>
              <m:r>
                <w:rPr>
                  <w:rFonts w:ascii="Cambria Math" w:eastAsiaTheme="minorEastAsia" w:hAnsi="Cambria Math" w:cs="Times New Roman"/>
                  <w:sz w:val="24"/>
                  <w:szCs w:val="24"/>
                  <w:lang w:val="en-US"/>
                </w:rPr>
                <m:t xml:space="preserve"> </m:t>
              </m:r>
            </m:e>
          </m:d>
        </m:oMath>
      </m:oMathPara>
    </w:p>
    <w:p w14:paraId="59A970DD" w14:textId="77777777" w:rsidR="0002612C" w:rsidRPr="00020057" w:rsidRDefault="0002612C" w:rsidP="00020057">
      <w:pPr>
        <w:pStyle w:val="NormalWeb"/>
        <w:jc w:val="both"/>
      </w:pPr>
      <w:r w:rsidRPr="00020057">
        <w:t>where:</w:t>
      </w:r>
    </w:p>
    <w:p w14:paraId="36DE95DC" w14:textId="77777777" w:rsidR="0002612C" w:rsidRPr="00020057" w:rsidRDefault="00CE1237" w:rsidP="00020057">
      <w:pPr>
        <w:pStyle w:val="NormalWeb"/>
        <w:ind w:left="720"/>
        <w:jc w:val="both"/>
      </w:pPr>
      <m:oMath>
        <m:sSubSup>
          <m:sSubSupPr>
            <m:ctrlPr>
              <w:rPr>
                <w:rFonts w:ascii="Cambria Math" w:eastAsiaTheme="minorEastAsia" w:hAnsi="Cambria Math"/>
                <w:i/>
                <w:lang w:val="en-US" w:eastAsia="en-US"/>
              </w:rPr>
            </m:ctrlPr>
          </m:sSubSupPr>
          <m:e>
            <m:acc>
              <m:accPr>
                <m:ctrlPr>
                  <w:rPr>
                    <w:rFonts w:ascii="Cambria Math" w:eastAsiaTheme="minorEastAsia" w:hAnsi="Cambria Math"/>
                    <w:i/>
                    <w:lang w:val="en-US" w:eastAsia="en-US"/>
                  </w:rPr>
                </m:ctrlPr>
              </m:accPr>
              <m:e>
                <m:r>
                  <w:rPr>
                    <w:rFonts w:ascii="Cambria Math" w:eastAsiaTheme="minorEastAsia" w:hAnsi="Cambria Math"/>
                    <w:lang w:val="en-US"/>
                  </w:rPr>
                  <m:t>P</m:t>
                </m:r>
              </m:e>
            </m:acc>
          </m:e>
          <m:sub>
            <m:r>
              <w:rPr>
                <w:rFonts w:ascii="Cambria Math" w:eastAsiaTheme="minorEastAsia" w:hAnsi="Cambria Math"/>
                <w:lang w:val="en-US"/>
              </w:rPr>
              <m:t>i</m:t>
            </m:r>
          </m:sub>
          <m:sup>
            <m:r>
              <w:rPr>
                <w:rFonts w:ascii="Cambria Math" w:eastAsiaTheme="minorEastAsia" w:hAnsi="Cambria Math"/>
                <w:lang w:val="en-US"/>
              </w:rPr>
              <m:t>t</m:t>
            </m:r>
          </m:sup>
        </m:sSubSup>
      </m:oMath>
      <w:r w:rsidR="0002612C" w:rsidRPr="00020057">
        <w:rPr>
          <w:lang w:val="en-US" w:eastAsia="en-US"/>
        </w:rPr>
        <w:t xml:space="preserve"> </w:t>
      </w:r>
      <w:r w:rsidR="0002612C" w:rsidRPr="00020057">
        <w:t>is the forecasted solar power output,</w:t>
      </w:r>
    </w:p>
    <w:p w14:paraId="5A6D6F62" w14:textId="7441CBAA" w:rsidR="0002612C" w:rsidRPr="00020057" w:rsidRDefault="0002612C" w:rsidP="00020057">
      <w:pPr>
        <w:pStyle w:val="NormalWeb"/>
        <w:ind w:left="720"/>
        <w:jc w:val="both"/>
      </w:pPr>
      <w:r w:rsidRPr="00020057">
        <w:rPr>
          <w:rStyle w:val="vlist-s"/>
        </w:rPr>
        <w:lastRenderedPageBreak/>
        <w:t>​</w:t>
      </w:r>
      <w:r w:rsidRPr="00020057">
        <w:t xml:space="preserve"> </w:t>
      </w:r>
      <m:oMath>
        <m:sSubSup>
          <m:sSubSupPr>
            <m:ctrlPr>
              <w:rPr>
                <w:rFonts w:ascii="Cambria Math" w:eastAsiaTheme="minorEastAsia" w:hAnsi="Cambria Math"/>
                <w:i/>
                <w:lang w:val="en-US" w:eastAsia="en-US"/>
              </w:rPr>
            </m:ctrlPr>
          </m:sSubSupPr>
          <m:e>
            <m:r>
              <w:rPr>
                <w:rFonts w:ascii="Cambria Math" w:eastAsiaTheme="minorEastAsia" w:hAnsi="Cambria Math"/>
                <w:lang w:val="en-US"/>
              </w:rPr>
              <m:t>W</m:t>
            </m:r>
          </m:e>
          <m:sub>
            <m:r>
              <w:rPr>
                <w:rFonts w:ascii="Cambria Math" w:eastAsiaTheme="minorEastAsia" w:hAnsi="Cambria Math"/>
                <w:lang w:val="en-US"/>
              </w:rPr>
              <m:t xml:space="preserve">i </m:t>
            </m:r>
          </m:sub>
          <m:sup>
            <m:r>
              <w:rPr>
                <w:rFonts w:ascii="Cambria Math" w:eastAsiaTheme="minorEastAsia" w:hAnsi="Cambria Math"/>
                <w:lang w:val="en-US"/>
              </w:rPr>
              <m:t>t</m:t>
            </m:r>
          </m:sup>
        </m:sSubSup>
      </m:oMath>
      <w:r w:rsidRPr="00020057">
        <w:t>represents local weather features (irradiance, temperature, cloud index),</w:t>
      </w:r>
    </w:p>
    <w:p w14:paraId="3356EA87" w14:textId="1FBBA551" w:rsidR="0002612C" w:rsidRPr="00020057" w:rsidRDefault="00CE1237" w:rsidP="00020057">
      <w:pPr>
        <w:pStyle w:val="NormalWeb"/>
        <w:ind w:left="720"/>
        <w:jc w:val="both"/>
      </w:pPr>
      <m:oMath>
        <m:sSubSup>
          <m:sSubSupPr>
            <m:ctrlPr>
              <w:rPr>
                <w:rFonts w:ascii="Cambria Math" w:eastAsiaTheme="minorEastAsia" w:hAnsi="Cambria Math"/>
                <w:i/>
                <w:lang w:val="en-US" w:eastAsia="en-US"/>
              </w:rPr>
            </m:ctrlPr>
          </m:sSubSupPr>
          <m:e>
            <m:r>
              <w:rPr>
                <w:rFonts w:ascii="Cambria Math" w:eastAsiaTheme="minorEastAsia" w:hAnsi="Cambria Math"/>
                <w:lang w:val="en-US"/>
              </w:rPr>
              <m:t>L</m:t>
            </m:r>
          </m:e>
          <m:sub>
            <m:r>
              <w:rPr>
                <w:rFonts w:ascii="Cambria Math" w:eastAsiaTheme="minorEastAsia" w:hAnsi="Cambria Math"/>
                <w:lang w:val="en-US"/>
              </w:rPr>
              <m:t>i</m:t>
            </m:r>
          </m:sub>
          <m:sup>
            <m:r>
              <w:rPr>
                <w:rFonts w:ascii="Cambria Math" w:eastAsiaTheme="minorEastAsia" w:hAnsi="Cambria Math"/>
                <w:lang w:val="en-US"/>
              </w:rPr>
              <m:t>t</m:t>
            </m:r>
          </m:sup>
        </m:sSubSup>
        <m:r>
          <w:rPr>
            <w:rFonts w:ascii="Cambria Math" w:eastAsiaTheme="minorEastAsia" w:hAnsi="Cambria Math"/>
            <w:lang w:val="en-US" w:eastAsia="en-US"/>
          </w:rPr>
          <m:t xml:space="preserve"> </m:t>
        </m:r>
      </m:oMath>
      <w:r w:rsidR="0002612C" w:rsidRPr="00020057">
        <w:rPr>
          <w:rStyle w:val="mord"/>
        </w:rPr>
        <w:t>it</w:t>
      </w:r>
      <w:r w:rsidR="0002612C" w:rsidRPr="00020057">
        <w:rPr>
          <w:rStyle w:val="vlist-s"/>
        </w:rPr>
        <w:t>​</w:t>
      </w:r>
      <w:r w:rsidR="0002612C" w:rsidRPr="00020057">
        <w:t xml:space="preserve"> denotes local load demand,</w:t>
      </w:r>
    </w:p>
    <w:p w14:paraId="28701469" w14:textId="13178A8E" w:rsidR="0002612C" w:rsidRPr="00020057" w:rsidRDefault="0002612C" w:rsidP="00020057">
      <w:pPr>
        <w:pStyle w:val="NormalWeb"/>
        <w:ind w:left="720"/>
        <w:jc w:val="both"/>
        <w:rPr>
          <w:lang w:val="en-US"/>
        </w:rPr>
      </w:pPr>
      <w:r w:rsidRPr="00020057">
        <w:rPr>
          <w:rStyle w:val="vlist-s"/>
        </w:rPr>
        <w:t>​</w:t>
      </w:r>
      <m:oMath>
        <m:sSubSup>
          <m:sSubSupPr>
            <m:ctrlPr>
              <w:rPr>
                <w:rFonts w:ascii="Cambria Math" w:eastAsiaTheme="minorEastAsia" w:hAnsi="Cambria Math"/>
                <w:i/>
                <w:lang w:val="en-US" w:eastAsia="en-US"/>
              </w:rPr>
            </m:ctrlPr>
          </m:sSubSupPr>
          <m:e>
            <m:r>
              <w:rPr>
                <w:rFonts w:ascii="Cambria Math" w:eastAsiaTheme="minorEastAsia" w:hAnsi="Cambria Math"/>
                <w:lang w:val="en-US"/>
              </w:rPr>
              <m:t>V</m:t>
            </m:r>
          </m:e>
          <m:sub>
            <m:r>
              <w:rPr>
                <w:rFonts w:ascii="Cambria Math" w:eastAsiaTheme="minorEastAsia" w:hAnsi="Cambria Math"/>
                <w:lang w:val="en-US"/>
              </w:rPr>
              <m:t>i</m:t>
            </m:r>
          </m:sub>
          <m:sup>
            <m:r>
              <w:rPr>
                <w:rFonts w:ascii="Cambria Math" w:eastAsiaTheme="minorEastAsia" w:hAnsi="Cambria Math"/>
                <w:lang w:val="en-US"/>
              </w:rPr>
              <m:t>t</m:t>
            </m:r>
          </m:sup>
        </m:sSubSup>
      </m:oMath>
      <w:r w:rsidRPr="00020057">
        <w:t xml:space="preserve"> is the bus voltage </w:t>
      </w:r>
      <w:proofErr w:type="gramStart"/>
      <w:r w:rsidRPr="00020057">
        <w:t>magnitude</w:t>
      </w:r>
      <w:r w:rsidRPr="00020057">
        <w:rPr>
          <w:lang w:val="en-US"/>
        </w:rPr>
        <w:t>,</w:t>
      </w:r>
      <w:proofErr w:type="gramEnd"/>
    </w:p>
    <w:p w14:paraId="6ECBD20A" w14:textId="6DF42B94" w:rsidR="0002612C" w:rsidRPr="00020057" w:rsidRDefault="0002612C" w:rsidP="00020057">
      <w:pPr>
        <w:pStyle w:val="NormalWeb"/>
        <w:jc w:val="both"/>
      </w:pPr>
      <m:oMath>
        <m:r>
          <w:rPr>
            <w:rFonts w:ascii="Cambria Math" w:eastAsiaTheme="minorEastAsia" w:hAnsi="Cambria Math"/>
            <w:lang w:val="en-US" w:eastAsia="en-US"/>
          </w:rPr>
          <m:t xml:space="preserve">               </m:t>
        </m:r>
        <m:sSup>
          <m:sSupPr>
            <m:ctrlPr>
              <w:rPr>
                <w:rFonts w:ascii="Cambria Math" w:eastAsiaTheme="minorEastAsia" w:hAnsi="Cambria Math"/>
                <w:i/>
                <w:lang w:val="en-US" w:eastAsia="en-US"/>
              </w:rPr>
            </m:ctrlPr>
          </m:sSupPr>
          <m:e>
            <m:r>
              <w:rPr>
                <w:rFonts w:ascii="Cambria Math" w:eastAsiaTheme="minorEastAsia" w:hAnsi="Cambria Math"/>
                <w:lang w:val="en-US"/>
              </w:rPr>
              <m:t>F</m:t>
            </m:r>
          </m:e>
          <m:sup>
            <m:r>
              <w:rPr>
                <w:rFonts w:ascii="Cambria Math" w:eastAsiaTheme="minorEastAsia" w:hAnsi="Cambria Math"/>
                <w:lang w:val="en-US"/>
              </w:rPr>
              <m:t>t</m:t>
            </m:r>
          </m:sup>
        </m:sSup>
      </m:oMath>
      <w:r w:rsidRPr="00020057">
        <w:rPr>
          <w:rStyle w:val="katex-mathml"/>
          <w:rFonts w:eastAsiaTheme="majorEastAsia"/>
          <w:lang w:val="en-US"/>
        </w:rPr>
        <w:t xml:space="preserve"> </w:t>
      </w:r>
      <w:r w:rsidRPr="00020057">
        <w:t>is the system frequency deviation.</w:t>
      </w:r>
    </w:p>
    <w:p w14:paraId="1C45B7EE" w14:textId="77777777" w:rsidR="0002612C" w:rsidRPr="00020057" w:rsidRDefault="0002612C" w:rsidP="00020057">
      <w:pPr>
        <w:pStyle w:val="NormalWeb"/>
        <w:jc w:val="both"/>
      </w:pPr>
      <w:r w:rsidRPr="00020057">
        <w:t xml:space="preserve">This formulation reflects </w:t>
      </w:r>
      <w:r w:rsidRPr="00020057">
        <w:rPr>
          <w:rStyle w:val="Strong"/>
        </w:rPr>
        <w:t>partial observability</w:t>
      </w:r>
      <w:r w:rsidRPr="00020057">
        <w:t>, as agents do not have access to the global grid state. Such partial observability closely mirrors real-world deployment conditions in distributed energy systems.</w:t>
      </w:r>
    </w:p>
    <w:p w14:paraId="13FDF47E" w14:textId="40D4A8D5" w:rsidR="0002612C" w:rsidRPr="00020057" w:rsidRDefault="0002612C" w:rsidP="00020057">
      <w:pPr>
        <w:jc w:val="both"/>
        <w:rPr>
          <w:rFonts w:ascii="Times New Roman" w:hAnsi="Times New Roman" w:cs="Times New Roman"/>
          <w:sz w:val="24"/>
          <w:szCs w:val="24"/>
        </w:rPr>
      </w:pPr>
      <w:r w:rsidRPr="00020057">
        <w:rPr>
          <w:rFonts w:ascii="Times New Roman" w:hAnsi="Times New Roman" w:cs="Times New Roman"/>
          <w:sz w:val="24"/>
          <w:szCs w:val="24"/>
        </w:rPr>
        <w:t>3.3 Action Space and Control Decisions</w:t>
      </w:r>
    </w:p>
    <w:p w14:paraId="395DB7DD" w14:textId="7A726DE9" w:rsidR="0002612C" w:rsidRPr="00020057" w:rsidRDefault="00A83F75" w:rsidP="00020057">
      <w:pPr>
        <w:jc w:val="both"/>
        <w:rPr>
          <w:rFonts w:ascii="Times New Roman" w:eastAsiaTheme="minorEastAsia" w:hAnsi="Times New Roman" w:cs="Times New Roman"/>
          <w:sz w:val="24"/>
          <w:szCs w:val="24"/>
          <w:lang w:val="en-US"/>
        </w:rPr>
      </w:pPr>
      <w:r w:rsidRPr="00020057">
        <w:rPr>
          <w:rFonts w:ascii="Times New Roman" w:hAnsi="Times New Roman" w:cs="Times New Roman"/>
          <w:sz w:val="24"/>
          <w:szCs w:val="24"/>
        </w:rPr>
        <w:t>Each agent selects an action</w:t>
      </w:r>
      <w:r w:rsidRPr="00020057">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 xml:space="preserve">i </m:t>
            </m:r>
          </m:sub>
          <m:sup>
            <m:r>
              <w:rPr>
                <w:rFonts w:ascii="Cambria Math" w:hAnsi="Cambria Math" w:cs="Times New Roman"/>
                <w:sz w:val="24"/>
                <w:szCs w:val="24"/>
                <w:lang w:val="en-US"/>
              </w:rPr>
              <m:t>t</m:t>
            </m:r>
          </m:sup>
        </m:sSubSup>
        <m:r>
          <w:rPr>
            <w:rFonts w:ascii="Cambria Math" w:hAnsi="Cambria Math" w:cs="Times New Roman"/>
            <w:sz w:val="24"/>
            <w:szCs w:val="24"/>
            <w:lang w:val="en-US"/>
          </w:rPr>
          <m:t xml:space="preserve">ϵ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 xml:space="preserve">i </m:t>
            </m:r>
          </m:sub>
        </m:sSub>
      </m:oMath>
      <w:r w:rsidR="000A5D62" w:rsidRPr="00020057">
        <w:rPr>
          <w:rFonts w:ascii="Times New Roman" w:eastAsiaTheme="minorEastAsia" w:hAnsi="Times New Roman" w:cs="Times New Roman"/>
          <w:sz w:val="24"/>
          <w:szCs w:val="24"/>
          <w:lang w:val="en-US"/>
        </w:rPr>
        <w:t xml:space="preserve">at time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m:t>
            </m:r>
          </m:sub>
        </m:sSub>
      </m:oMath>
      <w:r w:rsidR="000A5D62" w:rsidRPr="00020057">
        <w:rPr>
          <w:rFonts w:ascii="Times New Roman" w:eastAsiaTheme="minorEastAsia" w:hAnsi="Times New Roman" w:cs="Times New Roman"/>
          <w:sz w:val="24"/>
          <w:szCs w:val="24"/>
          <w:lang w:val="en-US"/>
        </w:rPr>
        <w:t xml:space="preserve"> defined as:</w:t>
      </w:r>
    </w:p>
    <w:p w14:paraId="12EF8799" w14:textId="0749940A" w:rsidR="000A5D62" w:rsidRPr="00020057" w:rsidRDefault="00CE1237" w:rsidP="00020057">
      <w:pPr>
        <w:jc w:val="both"/>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r>
            <w:rPr>
              <w:rFonts w:ascii="Cambria Math" w:hAnsi="Cambria Math" w:cs="Times New Roman"/>
              <w:sz w:val="24"/>
              <w:szCs w:val="24"/>
              <w:lang w:val="en-US"/>
            </w:rPr>
            <m:t>=</m:t>
          </m:r>
          <m:d>
            <m:dPr>
              <m:begChr m:val="["/>
              <m:endChr m:val="]"/>
              <m:ctrlPr>
                <w:rPr>
                  <w:rFonts w:ascii="Cambria Math" w:eastAsiaTheme="minorEastAsia" w:hAnsi="Cambria Math" w:cs="Times New Roman"/>
                  <w:i/>
                  <w:sz w:val="24"/>
                  <w:szCs w:val="24"/>
                  <w:lang w:val="en-US"/>
                </w:rPr>
              </m:ctrlPr>
            </m:dPr>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 dispatch,</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 xml:space="preserve">i, </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 storage,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curtail  </m:t>
              </m:r>
            </m:e>
          </m:d>
        </m:oMath>
      </m:oMathPara>
    </w:p>
    <w:p w14:paraId="2CC0FCBB" w14:textId="108A2BAF" w:rsidR="000A5D62" w:rsidRPr="00020057" w:rsidRDefault="000A5D62" w:rsidP="00020057">
      <w:pPr>
        <w:jc w:val="both"/>
        <w:rPr>
          <w:rFonts w:ascii="Times New Roman" w:eastAsiaTheme="minorEastAsia" w:hAnsi="Times New Roman" w:cs="Times New Roman"/>
          <w:sz w:val="24"/>
          <w:szCs w:val="24"/>
          <w:lang w:val="en-US"/>
        </w:rPr>
      </w:pPr>
      <w:r w:rsidRPr="00020057">
        <w:rPr>
          <w:rFonts w:ascii="Times New Roman" w:eastAsiaTheme="minorEastAsia" w:hAnsi="Times New Roman" w:cs="Times New Roman"/>
          <w:sz w:val="24"/>
          <w:szCs w:val="24"/>
          <w:lang w:val="en-US"/>
        </w:rPr>
        <w:t>Where:</w:t>
      </w:r>
    </w:p>
    <w:p w14:paraId="1FBA8023" w14:textId="705DDE23" w:rsidR="000A5D62" w:rsidRPr="00020057" w:rsidRDefault="00CE1237" w:rsidP="00020057">
      <w:pPr>
        <w:pStyle w:val="ListParagraph"/>
        <w:numPr>
          <w:ilvl w:val="0"/>
          <w:numId w:val="5"/>
        </w:numPr>
        <w:jc w:val="both"/>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P</m:t>
            </m:r>
          </m:e>
          <m:sub>
            <m:r>
              <w:rPr>
                <w:rFonts w:ascii="Cambria Math" w:hAnsi="Cambria Math" w:cs="Times New Roman"/>
                <w:sz w:val="24"/>
                <w:szCs w:val="24"/>
                <w:lang w:val="en-US"/>
              </w:rPr>
              <m:t xml:space="preserve">i, </m:t>
            </m:r>
          </m:sub>
          <m:sup>
            <m:r>
              <w:rPr>
                <w:rFonts w:ascii="Cambria Math" w:hAnsi="Cambria Math" w:cs="Times New Roman"/>
                <w:sz w:val="24"/>
                <w:szCs w:val="24"/>
                <w:lang w:val="en-US"/>
              </w:rPr>
              <m:t>t</m:t>
            </m:r>
          </m:sup>
        </m:sSubSup>
        <m:r>
          <w:rPr>
            <w:rFonts w:ascii="Cambria Math" w:hAnsi="Cambria Math" w:cs="Times New Roman"/>
            <w:sz w:val="24"/>
            <w:szCs w:val="24"/>
            <w:lang w:val="en-US"/>
          </w:rPr>
          <m:t>dispatch</m:t>
        </m:r>
      </m:oMath>
      <w:r w:rsidR="000A5D62" w:rsidRPr="00020057">
        <w:rPr>
          <w:rFonts w:ascii="Times New Roman" w:eastAsiaTheme="minorEastAsia" w:hAnsi="Times New Roman" w:cs="Times New Roman"/>
          <w:sz w:val="24"/>
          <w:szCs w:val="24"/>
          <w:lang w:val="en-US"/>
        </w:rPr>
        <w:t xml:space="preserve"> </w:t>
      </w:r>
      <w:r w:rsidR="000A5D62" w:rsidRPr="00020057">
        <w:rPr>
          <w:rFonts w:ascii="Times New Roman" w:hAnsi="Times New Roman" w:cs="Times New Roman"/>
          <w:sz w:val="24"/>
          <w:szCs w:val="24"/>
        </w:rPr>
        <w:t xml:space="preserve">is the power injected into the </w:t>
      </w:r>
      <w:proofErr w:type="gramStart"/>
      <w:r w:rsidR="000A5D62" w:rsidRPr="00020057">
        <w:rPr>
          <w:rFonts w:ascii="Times New Roman" w:hAnsi="Times New Roman" w:cs="Times New Roman"/>
          <w:sz w:val="24"/>
          <w:szCs w:val="24"/>
        </w:rPr>
        <w:t>grid</w:t>
      </w:r>
      <w:r w:rsidR="000D10DC" w:rsidRPr="00020057">
        <w:rPr>
          <w:rFonts w:ascii="Times New Roman" w:hAnsi="Times New Roman" w:cs="Times New Roman"/>
          <w:sz w:val="24"/>
          <w:szCs w:val="24"/>
          <w:lang w:val="en-US"/>
        </w:rPr>
        <w:t>,</w:t>
      </w:r>
      <w:proofErr w:type="gramEnd"/>
    </w:p>
    <w:p w14:paraId="7440826E" w14:textId="12909761" w:rsidR="000A5D62" w:rsidRPr="00020057" w:rsidRDefault="00CE1237" w:rsidP="00020057">
      <w:pPr>
        <w:pStyle w:val="ListParagraph"/>
        <w:numPr>
          <w:ilvl w:val="0"/>
          <w:numId w:val="5"/>
        </w:numPr>
        <w:jc w:val="both"/>
        <w:rPr>
          <w:rFonts w:ascii="Times New Roman" w:hAnsi="Times New Roman" w:cs="Times New Roman"/>
          <w:sz w:val="24"/>
          <w:szCs w:val="24"/>
          <w:lang w:val="en-US"/>
        </w:rPr>
      </w:pP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 xml:space="preserve">i, </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 storage</m:t>
        </m:r>
      </m:oMath>
      <w:r w:rsidR="000A5D62" w:rsidRPr="00020057">
        <w:rPr>
          <w:rFonts w:ascii="Times New Roman" w:eastAsiaTheme="minorEastAsia" w:hAnsi="Times New Roman" w:cs="Times New Roman"/>
          <w:sz w:val="24"/>
          <w:szCs w:val="24"/>
          <w:lang w:val="en-US"/>
        </w:rPr>
        <w:t xml:space="preserve"> </w:t>
      </w:r>
      <w:r w:rsidR="000A5D62" w:rsidRPr="00020057">
        <w:rPr>
          <w:rFonts w:ascii="Times New Roman" w:hAnsi="Times New Roman" w:cs="Times New Roman"/>
          <w:sz w:val="24"/>
          <w:szCs w:val="24"/>
        </w:rPr>
        <w:t xml:space="preserve">is the charging or discharging power of local </w:t>
      </w:r>
      <w:proofErr w:type="gramStart"/>
      <w:r w:rsidR="000A5D62" w:rsidRPr="00020057">
        <w:rPr>
          <w:rFonts w:ascii="Times New Roman" w:hAnsi="Times New Roman" w:cs="Times New Roman"/>
          <w:sz w:val="24"/>
          <w:szCs w:val="24"/>
        </w:rPr>
        <w:t>storage</w:t>
      </w:r>
      <w:r w:rsidR="000D10DC" w:rsidRPr="00020057">
        <w:rPr>
          <w:rFonts w:ascii="Times New Roman" w:hAnsi="Times New Roman" w:cs="Times New Roman"/>
          <w:sz w:val="24"/>
          <w:szCs w:val="24"/>
          <w:lang w:val="en-US"/>
        </w:rPr>
        <w:t>,</w:t>
      </w:r>
      <w:proofErr w:type="gramEnd"/>
    </w:p>
    <w:p w14:paraId="500C317D" w14:textId="7AB1FAC3" w:rsidR="000D10DC" w:rsidRPr="00020057" w:rsidRDefault="00CE1237" w:rsidP="00020057">
      <w:pPr>
        <w:pStyle w:val="ListParagraph"/>
        <w:numPr>
          <w:ilvl w:val="0"/>
          <w:numId w:val="5"/>
        </w:numPr>
        <w:jc w:val="both"/>
        <w:rPr>
          <w:rFonts w:ascii="Times New Roman" w:hAnsi="Times New Roman" w:cs="Times New Roman"/>
          <w:sz w:val="24"/>
          <w:szCs w:val="24"/>
          <w:lang w:val="en-US"/>
        </w:rPr>
      </w:pP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US"/>
          </w:rPr>
          <m:t xml:space="preserve">curtail  </m:t>
        </m:r>
      </m:oMath>
      <w:r w:rsidR="000D10DC" w:rsidRPr="00020057">
        <w:rPr>
          <w:rFonts w:ascii="Times New Roman" w:hAnsi="Times New Roman" w:cs="Times New Roman"/>
          <w:sz w:val="24"/>
          <w:szCs w:val="24"/>
        </w:rPr>
        <w:t>represents solar curtailment.</w:t>
      </w:r>
    </w:p>
    <w:p w14:paraId="73C25ABC" w14:textId="1F2C616A" w:rsidR="000D10DC" w:rsidRPr="00020057" w:rsidRDefault="000D10DC" w:rsidP="00020057">
      <w:pPr>
        <w:jc w:val="both"/>
        <w:rPr>
          <w:rFonts w:ascii="Times New Roman" w:hAnsi="Times New Roman" w:cs="Times New Roman"/>
          <w:sz w:val="24"/>
          <w:szCs w:val="24"/>
        </w:rPr>
      </w:pPr>
      <w:r w:rsidRPr="00020057">
        <w:rPr>
          <w:rFonts w:ascii="Times New Roman" w:hAnsi="Times New Roman" w:cs="Times New Roman"/>
          <w:sz w:val="24"/>
          <w:szCs w:val="24"/>
        </w:rPr>
        <w:t>These actions directly influence both local agent performance and system-level grid conditions, creating strong interdependencies among agents.</w:t>
      </w:r>
    </w:p>
    <w:p w14:paraId="2F3062C3" w14:textId="77777777" w:rsidR="000D10DC" w:rsidRPr="00020057" w:rsidRDefault="000D10DC" w:rsidP="00020057">
      <w:pPr>
        <w:pStyle w:val="Heading3"/>
        <w:jc w:val="both"/>
        <w:rPr>
          <w:sz w:val="24"/>
          <w:szCs w:val="24"/>
        </w:rPr>
      </w:pPr>
      <w:r w:rsidRPr="00020057">
        <w:rPr>
          <w:rStyle w:val="Strong"/>
          <w:b/>
          <w:bCs/>
          <w:sz w:val="24"/>
          <w:szCs w:val="24"/>
        </w:rPr>
        <w:t>3.4 Grid Dynamics and Physical Constraints</w:t>
      </w:r>
    </w:p>
    <w:p w14:paraId="6E49AE1A" w14:textId="77777777" w:rsidR="000D10DC" w:rsidRPr="00020057" w:rsidRDefault="000D10DC" w:rsidP="00020057">
      <w:pPr>
        <w:pStyle w:val="NormalWeb"/>
        <w:jc w:val="both"/>
      </w:pPr>
      <w:r w:rsidRPr="00020057">
        <w:t xml:space="preserve">The power grid is </w:t>
      </w:r>
      <w:proofErr w:type="spellStart"/>
      <w:r w:rsidRPr="00020057">
        <w:t>modeled</w:t>
      </w:r>
      <w:proofErr w:type="spellEnd"/>
      <w:r w:rsidRPr="00020057">
        <w:t xml:space="preserve"> using standard AC or linearized power flow equations, subject to operational constraints:</w:t>
      </w:r>
    </w:p>
    <w:p w14:paraId="1BA8FE6E" w14:textId="6659475F" w:rsidR="000D10DC" w:rsidRPr="00020057" w:rsidRDefault="000D10DC" w:rsidP="00020057">
      <w:pPr>
        <w:pStyle w:val="NormalWeb"/>
        <w:numPr>
          <w:ilvl w:val="0"/>
          <w:numId w:val="6"/>
        </w:numPr>
        <w:jc w:val="both"/>
      </w:pPr>
      <w:r w:rsidRPr="00020057">
        <w:rPr>
          <w:rStyle w:val="Strong"/>
        </w:rPr>
        <w:t>Power balance constraint</w:t>
      </w:r>
      <w:r w:rsidRPr="00020057">
        <w:t>:</w:t>
      </w:r>
    </w:p>
    <w:p w14:paraId="0A13F49C" w14:textId="7722BBA9" w:rsidR="000D10DC" w:rsidRPr="00020057" w:rsidRDefault="00CE1237" w:rsidP="00020057">
      <w:pPr>
        <w:pStyle w:val="NormalWeb"/>
        <w:ind w:left="720"/>
        <w:jc w:val="both"/>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r>
                <w:rPr>
                  <w:rFonts w:ascii="Cambria Math" w:hAnsi="Cambria Math"/>
                </w:rPr>
                <m:t xml:space="preserve">dispatch+ </m:t>
              </m:r>
              <m:sSubSup>
                <m:sSubSupPr>
                  <m:ctrlPr>
                    <w:rPr>
                      <w:rFonts w:ascii="Cambria Math" w:hAnsi="Cambria Math"/>
                      <w:i/>
                    </w:rPr>
                  </m:ctrlPr>
                </m:sSubSupPr>
                <m:e>
                  <m:r>
                    <w:rPr>
                      <w:rFonts w:ascii="Cambria Math" w:hAnsi="Cambria Math"/>
                    </w:rPr>
                    <m:t>P</m:t>
                  </m:r>
                </m:e>
                <m:sub>
                  <m:r>
                    <w:rPr>
                      <w:rFonts w:ascii="Cambria Math" w:hAnsi="Cambria Math"/>
                    </w:rPr>
                    <m:t>grid</m:t>
                  </m:r>
                </m:sub>
                <m:sup>
                  <m:r>
                    <w:rPr>
                      <w:rFonts w:ascii="Cambria Math" w:hAnsi="Cambria Math"/>
                    </w:rPr>
                    <m:t>t</m:t>
                  </m:r>
                </m:sup>
              </m:sSub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t</m:t>
                  </m:r>
                </m:sup>
              </m:sSubSup>
            </m:e>
          </m:nary>
        </m:oMath>
      </m:oMathPara>
    </w:p>
    <w:p w14:paraId="04A1E7BE" w14:textId="0EDE7C93" w:rsidR="000D10DC" w:rsidRPr="00020057" w:rsidRDefault="000D10DC" w:rsidP="00020057">
      <w:pPr>
        <w:jc w:val="both"/>
        <w:rPr>
          <w:rFonts w:ascii="Times New Roman" w:hAnsi="Times New Roman" w:cs="Times New Roman"/>
          <w:sz w:val="24"/>
          <w:szCs w:val="24"/>
          <w:lang w:val="en-US"/>
        </w:rPr>
      </w:pPr>
      <w:r w:rsidRPr="00020057">
        <w:rPr>
          <w:rStyle w:val="Strong"/>
          <w:rFonts w:ascii="Times New Roman" w:hAnsi="Times New Roman" w:cs="Times New Roman"/>
          <w:sz w:val="24"/>
          <w:szCs w:val="24"/>
        </w:rPr>
        <w:t>Voltage constraints</w:t>
      </w:r>
      <w:r w:rsidRPr="00020057">
        <w:rPr>
          <w:rFonts w:ascii="Times New Roman" w:hAnsi="Times New Roman" w:cs="Times New Roman"/>
          <w:sz w:val="24"/>
          <w:szCs w:val="24"/>
        </w:rPr>
        <w:t>:</w:t>
      </w:r>
      <w:r w:rsidRPr="00020057">
        <w:rPr>
          <w:rFonts w:ascii="Times New Roman" w:hAnsi="Times New Roman" w:cs="Times New Roman"/>
          <w:sz w:val="24"/>
          <w:szCs w:val="24"/>
          <w:lang w:val="en-US"/>
        </w:rPr>
        <w:t xml:space="preserve"> </w:t>
      </w:r>
    </w:p>
    <w:p w14:paraId="085DC6E2" w14:textId="002D1C54" w:rsidR="000D10DC" w:rsidRPr="00020057" w:rsidRDefault="00CE1237" w:rsidP="00020057">
      <w:pPr>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Min</m:t>
              </m:r>
            </m:sub>
          </m:sSub>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max</m:t>
              </m:r>
            </m:sub>
          </m:sSub>
        </m:oMath>
      </m:oMathPara>
    </w:p>
    <w:p w14:paraId="5DA476BD" w14:textId="729DE4BD" w:rsidR="000D10DC" w:rsidRPr="00020057" w:rsidRDefault="000D10DC"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Frequency stability constraint</w:t>
      </w:r>
      <w:r w:rsidRPr="00020057">
        <w:rPr>
          <w:rFonts w:ascii="Times New Roman" w:hAnsi="Times New Roman" w:cs="Times New Roman"/>
          <w:sz w:val="24"/>
          <w:szCs w:val="24"/>
        </w:rPr>
        <w:t>:</w:t>
      </w:r>
    </w:p>
    <w:p w14:paraId="2E5D2E95" w14:textId="0BC2143D" w:rsidR="000D10DC" w:rsidRPr="00020057" w:rsidRDefault="00CE1237" w:rsidP="00020057">
      <w:pPr>
        <w:jc w:val="both"/>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t</m:t>
                  </m:r>
                </m:sup>
              </m:sSup>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max</m:t>
              </m:r>
            </m:sub>
          </m:sSub>
        </m:oMath>
      </m:oMathPara>
    </w:p>
    <w:p w14:paraId="22B8E13F" w14:textId="77777777" w:rsidR="005C4870" w:rsidRPr="00020057" w:rsidRDefault="005C4870" w:rsidP="00020057">
      <w:pPr>
        <w:pStyle w:val="NormalWeb"/>
        <w:numPr>
          <w:ilvl w:val="0"/>
          <w:numId w:val="7"/>
        </w:numPr>
        <w:jc w:val="both"/>
      </w:pPr>
      <w:r w:rsidRPr="00020057">
        <w:rPr>
          <w:rStyle w:val="Strong"/>
        </w:rPr>
        <w:t>Line congestion limits</w:t>
      </w:r>
      <w:r w:rsidRPr="00020057">
        <w:t>:</w:t>
      </w:r>
    </w:p>
    <w:p w14:paraId="2F8F2BBF" w14:textId="72FF1205" w:rsidR="005C4870" w:rsidRPr="00020057" w:rsidRDefault="00CE1237" w:rsidP="00020057">
      <w:pPr>
        <w:jc w:val="both"/>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l</m:t>
                  </m:r>
                </m:sub>
                <m:sup>
                  <m:r>
                    <w:rPr>
                      <w:rFonts w:ascii="Cambria Math" w:hAnsi="Cambria Math" w:cs="Times New Roman"/>
                      <w:sz w:val="24"/>
                      <w:szCs w:val="24"/>
                      <w:lang w:val="en-US"/>
                    </w:rPr>
                    <m:t>t</m:t>
                  </m:r>
                </m:sup>
              </m:sSubSup>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 xml:space="preserve">l, mas,   </m:t>
              </m:r>
            </m:sub>
          </m:sSub>
          <m:r>
            <w:rPr>
              <w:rFonts w:ascii="Cambria Math" w:eastAsiaTheme="minorEastAsia" w:hAnsi="Cambria Math" w:cs="Times New Roman"/>
              <w:sz w:val="24"/>
              <w:szCs w:val="24"/>
              <w:lang w:val="en-US"/>
            </w:rPr>
            <m:t>∀l</m:t>
          </m:r>
          <m:r>
            <m:rPr>
              <m:scr m:val="script"/>
            </m:rPr>
            <w:rPr>
              <w:rFonts w:ascii="Cambria Math" w:eastAsiaTheme="minorEastAsia" w:hAnsi="Cambria Math" w:cs="Times New Roman"/>
              <w:sz w:val="24"/>
              <w:szCs w:val="24"/>
              <w:lang w:val="en-US"/>
            </w:rPr>
            <m:t>∈L</m:t>
          </m:r>
        </m:oMath>
      </m:oMathPara>
    </w:p>
    <w:p w14:paraId="3E634659" w14:textId="2F9C67AE" w:rsidR="005C4870" w:rsidRPr="00020057" w:rsidRDefault="005C4870" w:rsidP="00020057">
      <w:pPr>
        <w:jc w:val="both"/>
        <w:rPr>
          <w:rFonts w:ascii="Times New Roman" w:hAnsi="Times New Roman" w:cs="Times New Roman"/>
          <w:sz w:val="24"/>
          <w:szCs w:val="24"/>
        </w:rPr>
      </w:pPr>
      <w:r w:rsidRPr="00020057">
        <w:rPr>
          <w:rFonts w:ascii="Times New Roman" w:hAnsi="Times New Roman" w:cs="Times New Roman"/>
          <w:sz w:val="24"/>
          <w:szCs w:val="24"/>
        </w:rPr>
        <w:lastRenderedPageBreak/>
        <w:t>Violations of these constraints result in operational penalties and are explicitly incorporated into the learning process.</w:t>
      </w:r>
    </w:p>
    <w:p w14:paraId="42382B1E" w14:textId="77777777" w:rsidR="005C4870" w:rsidRPr="00020057" w:rsidRDefault="005C4870" w:rsidP="00020057">
      <w:pPr>
        <w:pStyle w:val="Heading3"/>
        <w:jc w:val="both"/>
        <w:rPr>
          <w:sz w:val="24"/>
          <w:szCs w:val="24"/>
        </w:rPr>
      </w:pPr>
      <w:r w:rsidRPr="00020057">
        <w:rPr>
          <w:rStyle w:val="Strong"/>
          <w:b/>
          <w:bCs/>
          <w:sz w:val="24"/>
          <w:szCs w:val="24"/>
        </w:rPr>
        <w:t>3.5 Reward Function Design (Grid-Aware Objective)</w:t>
      </w:r>
    </w:p>
    <w:p w14:paraId="7FDAE839" w14:textId="680E7A7A" w:rsidR="005C4870" w:rsidRPr="00020057" w:rsidRDefault="005C4870" w:rsidP="00020057">
      <w:pPr>
        <w:pStyle w:val="NormalWeb"/>
        <w:jc w:val="both"/>
      </w:pPr>
      <w:r w:rsidRPr="00020057">
        <w:t xml:space="preserve">A central contribution of this work is the </w:t>
      </w:r>
      <w:r w:rsidRPr="00020057">
        <w:rPr>
          <w:rStyle w:val="Strong"/>
        </w:rPr>
        <w:t>grid-aware reward function</w:t>
      </w:r>
      <w:r w:rsidRPr="00020057">
        <w:t xml:space="preserve">, which tightly couples forecasting accuracy with grid operational performance. The reward for agent </w:t>
      </w:r>
      <m:oMath>
        <m:r>
          <w:rPr>
            <w:rFonts w:ascii="Cambria Math" w:hAnsi="Cambria Math"/>
          </w:rPr>
          <m:t>i</m:t>
        </m:r>
      </m:oMath>
      <w:r w:rsidRPr="00020057">
        <w:t xml:space="preserve"> at time </w:t>
      </w:r>
      <m:oMath>
        <m:r>
          <w:rPr>
            <w:rFonts w:ascii="Cambria Math" w:hAnsi="Cambria Math"/>
          </w:rPr>
          <m:t>t</m:t>
        </m:r>
      </m:oMath>
      <w:r w:rsidRPr="00020057">
        <w:t xml:space="preserve"> is defined as:</w:t>
      </w:r>
    </w:p>
    <w:p w14:paraId="076727B1" w14:textId="77777777" w:rsidR="005C4870" w:rsidRPr="00020057" w:rsidRDefault="005C4870" w:rsidP="00020057">
      <w:pPr>
        <w:pStyle w:val="NormalWeb"/>
        <w:jc w:val="both"/>
      </w:pPr>
      <w:r w:rsidRPr="00020057">
        <w:t>where:</w:t>
      </w:r>
    </w:p>
    <w:p w14:paraId="1B6A6E25" w14:textId="57C5EBE7" w:rsidR="005C4870" w:rsidRPr="00020057" w:rsidRDefault="00CE1237" w:rsidP="00020057">
      <w:pPr>
        <w:pStyle w:val="NormalWeb"/>
        <w:numPr>
          <w:ilvl w:val="0"/>
          <w:numId w:val="8"/>
        </w:numPr>
        <w:jc w:val="both"/>
      </w:pPr>
      <m:oMath>
        <m:sSubSup>
          <m:sSubSupPr>
            <m:ctrlPr>
              <w:rPr>
                <w:rStyle w:val="vlist-s"/>
                <w:rFonts w:ascii="Cambria Math" w:hAnsi="Cambria Math"/>
                <w:i/>
              </w:rPr>
            </m:ctrlPr>
          </m:sSubSupPr>
          <m:e>
            <m:r>
              <w:rPr>
                <w:rStyle w:val="vlist-s"/>
                <w:rFonts w:ascii="Cambria Math" w:hAnsi="Cambria Math"/>
              </w:rPr>
              <m:t>P</m:t>
            </m:r>
          </m:e>
          <m:sub>
            <m:r>
              <w:rPr>
                <w:rStyle w:val="vlist-s"/>
                <w:rFonts w:ascii="Cambria Math" w:hAnsi="Cambria Math"/>
              </w:rPr>
              <m:t>i</m:t>
            </m:r>
          </m:sub>
          <m:sup>
            <m:r>
              <w:rPr>
                <w:rStyle w:val="vlist-s"/>
                <w:rFonts w:ascii="Cambria Math" w:hAnsi="Cambria Math"/>
              </w:rPr>
              <m:t>t</m:t>
            </m:r>
          </m:sup>
        </m:sSubSup>
      </m:oMath>
      <w:r w:rsidR="005C4870" w:rsidRPr="00020057">
        <w:rPr>
          <w:rStyle w:val="vlist-s"/>
        </w:rPr>
        <w:t>​</w:t>
      </w:r>
      <w:r w:rsidR="005C4870" w:rsidRPr="00020057">
        <w:t xml:space="preserve"> is the actual solar </w:t>
      </w:r>
      <w:proofErr w:type="gramStart"/>
      <w:r w:rsidR="005C4870" w:rsidRPr="00020057">
        <w:t>output,</w:t>
      </w:r>
      <w:proofErr w:type="gramEnd"/>
    </w:p>
    <w:p w14:paraId="5D1047CC" w14:textId="0E699B37" w:rsidR="005C4870" w:rsidRPr="00020057" w:rsidRDefault="00CE1237" w:rsidP="00020057">
      <w:pPr>
        <w:pStyle w:val="NormalWeb"/>
        <w:numPr>
          <w:ilvl w:val="0"/>
          <w:numId w:val="8"/>
        </w:numPr>
        <w:jc w:val="both"/>
      </w:pP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t</m:t>
            </m:r>
          </m:sup>
        </m:sSubSup>
      </m:oMath>
      <w:r w:rsidR="005C4870" w:rsidRPr="00020057">
        <w:t>is the forecasted output,</w:t>
      </w:r>
    </w:p>
    <w:p w14:paraId="549F4C74" w14:textId="6A70B05D" w:rsidR="005C4870" w:rsidRPr="00020057" w:rsidRDefault="00CE1237" w:rsidP="00020057">
      <w:pPr>
        <w:pStyle w:val="NormalWeb"/>
        <w:numPr>
          <w:ilvl w:val="0"/>
          <w:numId w:val="8"/>
        </w:numPr>
        <w:jc w:val="both"/>
      </w:pP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005C4870" w:rsidRPr="00020057">
        <w:t xml:space="preserve"> is the nominal voltage,</w:t>
      </w:r>
    </w:p>
    <w:p w14:paraId="7E44D4D4" w14:textId="51FAB85A" w:rsidR="005C4870" w:rsidRPr="00020057" w:rsidRDefault="00CE1237" w:rsidP="00020057">
      <w:pPr>
        <w:pStyle w:val="NormalWeb"/>
        <w:numPr>
          <w:ilvl w:val="0"/>
          <w:numId w:val="8"/>
        </w:numPr>
        <w:jc w:val="both"/>
      </w:pPr>
      <m:oMath>
        <m:sSup>
          <m:sSupPr>
            <m:ctrlPr>
              <w:rPr>
                <w:rFonts w:ascii="Cambria Math" w:hAnsi="Cambria Math"/>
                <w:i/>
              </w:rPr>
            </m:ctrlPr>
          </m:sSupPr>
          <m:e>
            <m:r>
              <w:rPr>
                <w:rFonts w:ascii="Cambria Math" w:hAnsi="Cambria Math"/>
              </w:rPr>
              <m:t>C</m:t>
            </m:r>
          </m:e>
          <m:sup>
            <m:r>
              <w:rPr>
                <w:rFonts w:ascii="Cambria Math" w:hAnsi="Cambria Math"/>
              </w:rPr>
              <m:t>t</m:t>
            </m:r>
          </m:sup>
        </m:sSup>
      </m:oMath>
      <w:r w:rsidR="005C4870" w:rsidRPr="00020057">
        <w:t>represents operational costs (curtailment, storage cycling, congestion),</w:t>
      </w:r>
    </w:p>
    <w:p w14:paraId="31A5CF4A" w14:textId="278154A8" w:rsidR="005C4870" w:rsidRPr="00020057" w:rsidRDefault="00915045" w:rsidP="00020057">
      <w:pPr>
        <w:pStyle w:val="NormalWeb"/>
        <w:numPr>
          <w:ilvl w:val="0"/>
          <w:numId w:val="8"/>
        </w:numPr>
        <w:jc w:val="both"/>
      </w:pPr>
      <m:oMath>
        <m:r>
          <w:rPr>
            <w:rFonts w:ascii="Cambria Math" w:hAnsi="Cambria Math"/>
          </w:rPr>
          <m:t xml:space="preserve">α,β,γ, δ </m:t>
        </m:r>
      </m:oMath>
      <w:r w:rsidR="005C4870" w:rsidRPr="00020057">
        <w:t>are weighting coefficients.</w:t>
      </w:r>
    </w:p>
    <w:p w14:paraId="410E108A" w14:textId="77777777" w:rsidR="005C4870" w:rsidRPr="00020057" w:rsidRDefault="005C4870" w:rsidP="00020057">
      <w:pPr>
        <w:pStyle w:val="NormalWeb"/>
        <w:jc w:val="both"/>
      </w:pPr>
      <w:r w:rsidRPr="00020057">
        <w:t>This formulation ensures that agents are rewarded not only for accurate forecasting but also for maintaining grid stability and minimizing operational costs.</w:t>
      </w:r>
    </w:p>
    <w:p w14:paraId="06E01E98" w14:textId="77777777" w:rsidR="00915045" w:rsidRPr="00020057" w:rsidRDefault="00915045" w:rsidP="00020057">
      <w:pPr>
        <w:pStyle w:val="Heading3"/>
        <w:jc w:val="both"/>
        <w:rPr>
          <w:sz w:val="24"/>
          <w:szCs w:val="24"/>
        </w:rPr>
      </w:pPr>
      <w:r w:rsidRPr="00020057">
        <w:rPr>
          <w:rStyle w:val="Strong"/>
          <w:b/>
          <w:bCs/>
          <w:sz w:val="24"/>
          <w:szCs w:val="24"/>
        </w:rPr>
        <w:t>3.6 Multi-Agent Reinforcement Learning Formulation</w:t>
      </w:r>
    </w:p>
    <w:p w14:paraId="5F026C62" w14:textId="3E983DD1" w:rsidR="00915045" w:rsidRPr="00020057" w:rsidRDefault="00915045" w:rsidP="00020057">
      <w:pPr>
        <w:pStyle w:val="NormalWeb"/>
        <w:jc w:val="both"/>
      </w:pPr>
      <w:r w:rsidRPr="00020057">
        <w:t xml:space="preserve">The overall system is </w:t>
      </w:r>
      <w:proofErr w:type="spellStart"/>
      <w:r w:rsidRPr="00020057">
        <w:t>modeled</w:t>
      </w:r>
      <w:proofErr w:type="spellEnd"/>
      <w:r w:rsidRPr="00020057">
        <w:t xml:space="preserve"> as a </w:t>
      </w:r>
      <w:r w:rsidRPr="00020057">
        <w:rPr>
          <w:rStyle w:val="Strong"/>
        </w:rPr>
        <w:t>Decentralized Partially Observable Markov Decision Process (Dec-POMDP)</w:t>
      </w:r>
      <w:r w:rsidRPr="00020057">
        <w:t>, defined by the tuple:</w:t>
      </w:r>
    </w:p>
    <w:p w14:paraId="71883DFC" w14:textId="1AD345E2" w:rsidR="00915045" w:rsidRPr="00020057" w:rsidRDefault="00CE1237" w:rsidP="00020057">
      <w:pPr>
        <w:pStyle w:val="NormalWeb"/>
        <w:jc w:val="both"/>
      </w:pPr>
      <m:oMathPara>
        <m:oMath>
          <m:d>
            <m:dPr>
              <m:begChr m:val="〈"/>
              <m:endChr m:val="〉"/>
              <m:ctrlPr>
                <w:rPr>
                  <w:rFonts w:ascii="Cambria Math" w:hAnsi="Cambria Math"/>
                  <w:i/>
                </w:rPr>
              </m:ctrlPr>
            </m:dPr>
            <m:e>
              <m:r>
                <w:rPr>
                  <w:rFonts w:ascii="Cambria Math" w:hAnsi="Cambria Math"/>
                </w:rPr>
                <m:t xml:space="preserve">N, S,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γ</m:t>
              </m:r>
            </m:e>
          </m:d>
        </m:oMath>
      </m:oMathPara>
    </w:p>
    <w:p w14:paraId="0BF284F2" w14:textId="77777777" w:rsidR="00915045" w:rsidRPr="00020057" w:rsidRDefault="00915045" w:rsidP="00020057">
      <w:pPr>
        <w:pStyle w:val="NormalWeb"/>
        <w:jc w:val="both"/>
      </w:pPr>
      <w:r w:rsidRPr="00020057">
        <w:t>where:</w:t>
      </w:r>
    </w:p>
    <w:p w14:paraId="71E2E41E" w14:textId="21423294" w:rsidR="00915045" w:rsidRPr="00020057" w:rsidRDefault="00915045" w:rsidP="00020057">
      <w:pPr>
        <w:pStyle w:val="NormalWeb"/>
        <w:numPr>
          <w:ilvl w:val="0"/>
          <w:numId w:val="9"/>
        </w:numPr>
        <w:jc w:val="both"/>
      </w:pPr>
      <m:oMath>
        <m:r>
          <w:rPr>
            <w:rFonts w:ascii="Cambria Math" w:hAnsi="Cambria Math"/>
          </w:rPr>
          <m:t xml:space="preserve">S </m:t>
        </m:r>
      </m:oMath>
      <w:r w:rsidRPr="00020057">
        <w:t>is the joint state space,</w:t>
      </w:r>
    </w:p>
    <w:p w14:paraId="2856598C" w14:textId="397A39EB" w:rsidR="00915045" w:rsidRPr="00020057" w:rsidRDefault="00915045" w:rsidP="00020057">
      <w:pPr>
        <w:pStyle w:val="NormalWeb"/>
        <w:numPr>
          <w:ilvl w:val="0"/>
          <w:numId w:val="9"/>
        </w:numPr>
        <w:jc w:val="both"/>
      </w:pPr>
      <m:oMath>
        <m:r>
          <w:rPr>
            <w:rFonts w:ascii="Cambria Math" w:hAnsi="Cambria Math"/>
          </w:rPr>
          <m:t xml:space="preserve">P </m:t>
        </m:r>
      </m:oMath>
      <w:r w:rsidRPr="00020057">
        <w:t>represents the state transition probabilities,</w:t>
      </w:r>
    </w:p>
    <w:p w14:paraId="13B61313" w14:textId="11CBFE83" w:rsidR="00915045" w:rsidRPr="00020057" w:rsidRDefault="00915045" w:rsidP="00020057">
      <w:pPr>
        <w:pStyle w:val="NormalWeb"/>
        <w:numPr>
          <w:ilvl w:val="0"/>
          <w:numId w:val="9"/>
        </w:numPr>
        <w:jc w:val="both"/>
      </w:pPr>
      <m:oMath>
        <m:r>
          <w:rPr>
            <w:rFonts w:ascii="Cambria Math" w:hAnsi="Cambria Math"/>
          </w:rPr>
          <m:t>γ ϵ (0,1)</m:t>
        </m:r>
      </m:oMath>
      <w:r w:rsidRPr="00020057">
        <w:t xml:space="preserve"> is the discount factor.</w:t>
      </w:r>
    </w:p>
    <w:p w14:paraId="4B0670C1" w14:textId="77777777" w:rsidR="00915045" w:rsidRPr="00020057" w:rsidRDefault="00915045" w:rsidP="00020057">
      <w:pPr>
        <w:pStyle w:val="NormalWeb"/>
        <w:jc w:val="both"/>
      </w:pPr>
      <w:r w:rsidRPr="00020057">
        <w:t>Agents learn cooperative policies that maximize the expected cumulative reward:</w:t>
      </w:r>
    </w:p>
    <w:p w14:paraId="362CB935" w14:textId="22508AC8" w:rsidR="00915045" w:rsidRPr="00020057" w:rsidRDefault="00FD2670" w:rsidP="00020057">
      <w:pPr>
        <w:pStyle w:val="NormalWeb"/>
        <w:jc w:val="both"/>
        <w:rPr>
          <w:i/>
        </w:rPr>
      </w:pPr>
      <m:oMathPara>
        <m:oMath>
          <m:r>
            <w:rPr>
              <w:rFonts w:ascii="Cambria Math" w:hAnsi="Cambria Math"/>
            </w:rPr>
            <m:t xml:space="preserve"> </m:t>
          </m:r>
          <m:sPre>
            <m:sPrePr>
              <m:ctrlPr>
                <w:rPr>
                  <w:rFonts w:ascii="Cambria Math" w:hAnsi="Cambria Math"/>
                  <w:i/>
                </w:rPr>
              </m:ctrlPr>
            </m:sPrePr>
            <m:sub>
              <m:sSub>
                <m:sSubPr>
                  <m:ctrlPr>
                    <w:rPr>
                      <w:rFonts w:ascii="Cambria Math" w:hAnsi="Cambria Math"/>
                      <w:i/>
                    </w:rPr>
                  </m:ctrlPr>
                </m:sSubPr>
                <m:e>
                  <m:r>
                    <w:rPr>
                      <w:rFonts w:ascii="Cambria Math" w:hAnsi="Cambria Math"/>
                    </w:rPr>
                    <m:t>π</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N</m:t>
                  </m:r>
                </m:sub>
              </m:sSub>
            </m:sub>
            <m:sup>
              <m:r>
                <w:rPr>
                  <w:rFonts w:ascii="Cambria Math" w:hAnsi="Cambria Math"/>
                </w:rPr>
                <m:t xml:space="preserve">max  </m:t>
              </m:r>
            </m:sup>
            <m:e>
              <m:r>
                <w:rPr>
                  <w:rFonts w:ascii="Cambria Math" w:hAnsi="Cambria Math"/>
                </w:rPr>
                <m:t>E</m:t>
              </m:r>
            </m:e>
          </m:sPr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sSup>
                    <m:sSupPr>
                      <m:ctrlPr>
                        <w:rPr>
                          <w:rFonts w:ascii="Cambria Math" w:hAnsi="Cambria Math"/>
                          <w:i/>
                        </w:rPr>
                      </m:ctrlPr>
                    </m:sSupPr>
                    <m:e>
                      <m:r>
                        <w:rPr>
                          <w:rFonts w:ascii="Cambria Math" w:hAnsi="Cambria Math"/>
                        </w:rPr>
                        <m:t>γ</m:t>
                      </m:r>
                    </m:e>
                    <m:sup>
                      <m:r>
                        <w:rPr>
                          <w:rFonts w:ascii="Cambria Math" w:hAnsi="Cambria Math"/>
                        </w:rPr>
                        <m:t>t</m:t>
                      </m:r>
                    </m:sup>
                  </m:sSup>
                </m:e>
              </m:nary>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t</m:t>
                      </m:r>
                    </m:sup>
                  </m:sSubSup>
                </m:e>
              </m:nary>
            </m:e>
          </m:d>
        </m:oMath>
      </m:oMathPara>
    </w:p>
    <w:p w14:paraId="03261D31" w14:textId="4FC572EA" w:rsidR="00FD2670" w:rsidRPr="00020057" w:rsidRDefault="00FD2670" w:rsidP="00020057">
      <w:pPr>
        <w:pStyle w:val="NormalWeb"/>
        <w:jc w:val="both"/>
      </w:pPr>
      <w:r w:rsidRPr="00020057">
        <w:t xml:space="preserve">This cooperative objective aligns individual agent </w:t>
      </w:r>
      <w:r w:rsidR="00DE2DAD" w:rsidRPr="00020057">
        <w:t>behaviour</w:t>
      </w:r>
      <w:r w:rsidRPr="00020057">
        <w:t xml:space="preserve"> with system-wide grid reliability.</w:t>
      </w:r>
    </w:p>
    <w:p w14:paraId="683A8105" w14:textId="77777777" w:rsidR="00FD2670" w:rsidRPr="00020057" w:rsidRDefault="00FD2670" w:rsidP="00020057">
      <w:pPr>
        <w:pStyle w:val="Heading3"/>
        <w:jc w:val="both"/>
        <w:rPr>
          <w:sz w:val="24"/>
          <w:szCs w:val="24"/>
        </w:rPr>
      </w:pPr>
      <w:r w:rsidRPr="00020057">
        <w:rPr>
          <w:rStyle w:val="Strong"/>
          <w:rFonts w:eastAsiaTheme="majorEastAsia"/>
          <w:b/>
          <w:bCs/>
          <w:sz w:val="24"/>
          <w:szCs w:val="24"/>
        </w:rPr>
        <w:t>3.7 System Architecture Illustration</w:t>
      </w:r>
    </w:p>
    <w:p w14:paraId="27747AB5" w14:textId="264824AE" w:rsidR="00FD2670" w:rsidRPr="00020057" w:rsidRDefault="00FD2670" w:rsidP="00020057">
      <w:pPr>
        <w:pStyle w:val="NormalWeb"/>
        <w:jc w:val="both"/>
      </w:pPr>
      <w:r w:rsidRPr="00020057">
        <w:rPr>
          <w:rStyle w:val="Strong"/>
          <w:rFonts w:eastAsiaTheme="majorEastAsia"/>
        </w:rPr>
        <w:t>Figure 1</w:t>
      </w:r>
      <w:r w:rsidRPr="00020057">
        <w:t xml:space="preserve"> illustrates the proposed grid-aware MARL architecture, highlighting decentralized solar agents interacting with shared grid constraints.</w:t>
      </w:r>
    </w:p>
    <w:p w14:paraId="38B3EC5F" w14:textId="58B8DB30" w:rsidR="00A5538F" w:rsidRPr="00020057" w:rsidRDefault="00217590" w:rsidP="00020057">
      <w:pPr>
        <w:pStyle w:val="NormalWeb"/>
        <w:jc w:val="both"/>
      </w:pPr>
      <w:r>
        <w:rPr>
          <w:noProof/>
        </w:rPr>
        <w:lastRenderedPageBreak/>
        <w:drawing>
          <wp:inline distT="0" distB="0" distL="0" distR="0" wp14:anchorId="6EC0A045" wp14:editId="43EE1467">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7CC0C9B" w14:textId="05B13C54" w:rsidR="00A5538F" w:rsidRDefault="00A5538F" w:rsidP="00020057">
      <w:pPr>
        <w:pStyle w:val="NormalWeb"/>
        <w:jc w:val="both"/>
      </w:pPr>
    </w:p>
    <w:p w14:paraId="7B64044E" w14:textId="77777777" w:rsidR="00020057" w:rsidRPr="00020057" w:rsidRDefault="00020057" w:rsidP="00020057">
      <w:pPr>
        <w:pStyle w:val="NormalWeb"/>
        <w:jc w:val="both"/>
      </w:pPr>
    </w:p>
    <w:p w14:paraId="7BEB603A" w14:textId="77777777" w:rsidR="00A5538F" w:rsidRPr="00020057" w:rsidRDefault="00A5538F" w:rsidP="00020057">
      <w:pPr>
        <w:pStyle w:val="Heading3"/>
        <w:jc w:val="both"/>
        <w:rPr>
          <w:sz w:val="24"/>
          <w:szCs w:val="24"/>
        </w:rPr>
      </w:pPr>
      <w:r w:rsidRPr="00020057">
        <w:rPr>
          <w:rStyle w:val="Strong"/>
          <w:b/>
          <w:bCs/>
          <w:sz w:val="24"/>
          <w:szCs w:val="24"/>
        </w:rPr>
        <w:t>3.8 Summary</w:t>
      </w:r>
    </w:p>
    <w:p w14:paraId="0FD783F0" w14:textId="77777777" w:rsidR="00A5538F" w:rsidRPr="00020057" w:rsidRDefault="00A5538F" w:rsidP="00020057">
      <w:pPr>
        <w:pStyle w:val="NormalWeb"/>
        <w:jc w:val="both"/>
      </w:pPr>
      <w:r w:rsidRPr="00020057">
        <w:t>This chapter formalized the grid-aware MARL problem by defining agent interactions, grid constraints, and a cooperative reward structure that unifies solar power forecasting with operational optimization. This formulation lays the foundation for the learning architecture and algorithms presented in the next chapter.</w:t>
      </w:r>
    </w:p>
    <w:p w14:paraId="1746B788" w14:textId="77777777" w:rsidR="00C92900" w:rsidRPr="00020057" w:rsidRDefault="00C92900"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4. Proposed Grid-Aware Multi-Agent Reinforcement Learning Framework</w:t>
      </w:r>
    </w:p>
    <w:p w14:paraId="0EFBA3AB" w14:textId="77777777" w:rsidR="00C92900" w:rsidRPr="00020057" w:rsidRDefault="00C92900" w:rsidP="00020057">
      <w:pPr>
        <w:pStyle w:val="Heading3"/>
        <w:jc w:val="both"/>
        <w:rPr>
          <w:sz w:val="24"/>
          <w:szCs w:val="24"/>
        </w:rPr>
      </w:pPr>
      <w:r w:rsidRPr="00020057">
        <w:rPr>
          <w:rStyle w:val="Strong"/>
          <w:b/>
          <w:bCs/>
          <w:sz w:val="24"/>
          <w:szCs w:val="24"/>
        </w:rPr>
        <w:t>4.1 Design Rationale and Overview</w:t>
      </w:r>
    </w:p>
    <w:p w14:paraId="66C280A1" w14:textId="77777777" w:rsidR="00C92900" w:rsidRPr="00020057" w:rsidRDefault="00C92900" w:rsidP="00020057">
      <w:pPr>
        <w:pStyle w:val="NormalWeb"/>
        <w:jc w:val="both"/>
      </w:pPr>
      <w:r w:rsidRPr="00020057">
        <w:t xml:space="preserve">The objective of the proposed framework is to enable distributed solar agents to </w:t>
      </w:r>
      <w:r w:rsidRPr="00020057">
        <w:rPr>
          <w:rStyle w:val="Strong"/>
        </w:rPr>
        <w:t>jointly learn forecasting and operational decisions</w:t>
      </w:r>
      <w:r w:rsidRPr="00020057">
        <w:t xml:space="preserve"> that are both locally optimal and globally grid-compliant. To achieve this, the learning architecture must satisfy four key requirements:</w:t>
      </w:r>
    </w:p>
    <w:p w14:paraId="4ECD9274" w14:textId="77777777" w:rsidR="00C92900" w:rsidRPr="00020057" w:rsidRDefault="00C92900" w:rsidP="00020057">
      <w:pPr>
        <w:pStyle w:val="NormalWeb"/>
        <w:numPr>
          <w:ilvl w:val="0"/>
          <w:numId w:val="10"/>
        </w:numPr>
        <w:jc w:val="both"/>
      </w:pPr>
      <w:r w:rsidRPr="00020057">
        <w:rPr>
          <w:rStyle w:val="Strong"/>
        </w:rPr>
        <w:t>Decentralized execution</w:t>
      </w:r>
      <w:r w:rsidRPr="00020057">
        <w:t>, reflecting real-world deployment constraints;</w:t>
      </w:r>
    </w:p>
    <w:p w14:paraId="3F78508B" w14:textId="77777777" w:rsidR="00C92900" w:rsidRPr="00020057" w:rsidRDefault="00C92900" w:rsidP="00020057">
      <w:pPr>
        <w:pStyle w:val="NormalWeb"/>
        <w:numPr>
          <w:ilvl w:val="0"/>
          <w:numId w:val="10"/>
        </w:numPr>
        <w:jc w:val="both"/>
      </w:pPr>
      <w:r w:rsidRPr="00020057">
        <w:rPr>
          <w:rStyle w:val="Strong"/>
        </w:rPr>
        <w:t>Cooperative learning</w:t>
      </w:r>
      <w:r w:rsidRPr="00020057">
        <w:t>, ensuring alignment with system-level grid objectives;</w:t>
      </w:r>
    </w:p>
    <w:p w14:paraId="05B6CDA0" w14:textId="77777777" w:rsidR="00C92900" w:rsidRPr="00020057" w:rsidRDefault="00C92900" w:rsidP="00020057">
      <w:pPr>
        <w:pStyle w:val="NormalWeb"/>
        <w:numPr>
          <w:ilvl w:val="0"/>
          <w:numId w:val="10"/>
        </w:numPr>
        <w:jc w:val="both"/>
      </w:pPr>
      <w:r w:rsidRPr="00020057">
        <w:rPr>
          <w:rStyle w:val="Strong"/>
        </w:rPr>
        <w:t>Scalability</w:t>
      </w:r>
      <w:r w:rsidRPr="00020057">
        <w:t>, to accommodate growing numbers of distributed solar units;</w:t>
      </w:r>
    </w:p>
    <w:p w14:paraId="50FB2088" w14:textId="77777777" w:rsidR="00C92900" w:rsidRPr="00020057" w:rsidRDefault="00C92900" w:rsidP="00020057">
      <w:pPr>
        <w:pStyle w:val="NormalWeb"/>
        <w:numPr>
          <w:ilvl w:val="0"/>
          <w:numId w:val="10"/>
        </w:numPr>
        <w:jc w:val="both"/>
      </w:pPr>
      <w:r w:rsidRPr="00020057">
        <w:rPr>
          <w:rStyle w:val="Strong"/>
        </w:rPr>
        <w:t>Explicit grid awareness</w:t>
      </w:r>
      <w:r w:rsidRPr="00020057">
        <w:t>, embedded directly into the learning process.</w:t>
      </w:r>
    </w:p>
    <w:p w14:paraId="4D1BDE18" w14:textId="77777777" w:rsidR="00C92900" w:rsidRPr="00020057" w:rsidRDefault="00C92900" w:rsidP="00020057">
      <w:pPr>
        <w:pStyle w:val="NormalWeb"/>
        <w:jc w:val="both"/>
      </w:pPr>
      <w:r w:rsidRPr="00020057">
        <w:t xml:space="preserve">Multi-agent reinforcement learning (MARL) naturally satisfies the first three requirements. However, conventional MARL algorithms do not inherently account for power system </w:t>
      </w:r>
      <w:r w:rsidRPr="00020057">
        <w:lastRenderedPageBreak/>
        <w:t>constraints. The proposed framework addresses this limitation by integrating grid dynamics and constraint penalties directly into the reward design and training architecture.</w:t>
      </w:r>
    </w:p>
    <w:p w14:paraId="490A5388" w14:textId="77777777" w:rsidR="00C92900" w:rsidRPr="00020057" w:rsidRDefault="00C92900" w:rsidP="00020057">
      <w:pPr>
        <w:pStyle w:val="Heading3"/>
        <w:jc w:val="both"/>
        <w:rPr>
          <w:sz w:val="24"/>
          <w:szCs w:val="24"/>
        </w:rPr>
      </w:pPr>
      <w:r w:rsidRPr="00020057">
        <w:rPr>
          <w:rStyle w:val="Strong"/>
          <w:b/>
          <w:bCs/>
          <w:sz w:val="24"/>
          <w:szCs w:val="24"/>
        </w:rPr>
        <w:t>4.2 Selection of MARL Algorithm</w:t>
      </w:r>
    </w:p>
    <w:p w14:paraId="2C336B3D" w14:textId="77777777" w:rsidR="00C92900" w:rsidRPr="00020057" w:rsidRDefault="00C92900" w:rsidP="00020057">
      <w:pPr>
        <w:pStyle w:val="NormalWeb"/>
        <w:jc w:val="both"/>
      </w:pPr>
      <w:r w:rsidRPr="00020057">
        <w:t xml:space="preserve">Among existing MARL algorithms, this work adopts a </w:t>
      </w:r>
      <w:r w:rsidRPr="00020057">
        <w:rPr>
          <w:rStyle w:val="Strong"/>
        </w:rPr>
        <w:t>centralized training, decentralized execution (CTDE)</w:t>
      </w:r>
      <w:r w:rsidRPr="00020057">
        <w:t xml:space="preserve"> paradigm. Under CTDE, agents are trained using additional global information that is unavailable during execution, enabling more stable learning while preserving decentralized decision-making.</w:t>
      </w:r>
    </w:p>
    <w:p w14:paraId="4BA5CD0A" w14:textId="77777777" w:rsidR="00C92900" w:rsidRPr="00020057" w:rsidRDefault="00C92900" w:rsidP="00020057">
      <w:pPr>
        <w:pStyle w:val="NormalWeb"/>
        <w:jc w:val="both"/>
      </w:pPr>
      <w:r w:rsidRPr="00020057">
        <w:t xml:space="preserve">Specifically, we build upon </w:t>
      </w:r>
      <w:r w:rsidRPr="00020057">
        <w:rPr>
          <w:rStyle w:val="Strong"/>
        </w:rPr>
        <w:t>Multi-Agent Proximal Policy Optimization (MAPPO)</w:t>
      </w:r>
      <w:r w:rsidRPr="00020057">
        <w:t xml:space="preserve"> due to its </w:t>
      </w:r>
      <w:proofErr w:type="spellStart"/>
      <w:r w:rsidRPr="00020057">
        <w:t>favorable</w:t>
      </w:r>
      <w:proofErr w:type="spellEnd"/>
      <w:r w:rsidRPr="00020057">
        <w:t xml:space="preserve"> stability properties, sample efficiency, and proven performance in cooperative multi-agent settings. MAPPO extends proximal policy optimization (PPO) by employing:</w:t>
      </w:r>
    </w:p>
    <w:p w14:paraId="32B7D638" w14:textId="77777777" w:rsidR="00C92900" w:rsidRPr="00020057" w:rsidRDefault="00C92900" w:rsidP="00020057">
      <w:pPr>
        <w:pStyle w:val="NormalWeb"/>
        <w:numPr>
          <w:ilvl w:val="0"/>
          <w:numId w:val="11"/>
        </w:numPr>
        <w:jc w:val="both"/>
      </w:pPr>
      <w:r w:rsidRPr="00020057">
        <w:rPr>
          <w:rStyle w:val="Strong"/>
        </w:rPr>
        <w:t>Decentralized actor networks</w:t>
      </w:r>
      <w:r w:rsidRPr="00020057">
        <w:t xml:space="preserve"> for each agent, and</w:t>
      </w:r>
    </w:p>
    <w:p w14:paraId="51A1F729" w14:textId="77777777" w:rsidR="00C92900" w:rsidRPr="00020057" w:rsidRDefault="00C92900" w:rsidP="00020057">
      <w:pPr>
        <w:pStyle w:val="NormalWeb"/>
        <w:numPr>
          <w:ilvl w:val="0"/>
          <w:numId w:val="11"/>
        </w:numPr>
        <w:jc w:val="both"/>
      </w:pPr>
      <w:r w:rsidRPr="00020057">
        <w:t xml:space="preserve">A </w:t>
      </w:r>
      <w:r w:rsidRPr="00020057">
        <w:rPr>
          <w:rStyle w:val="Strong"/>
        </w:rPr>
        <w:t>centralized critic</w:t>
      </w:r>
      <w:r w:rsidRPr="00020057">
        <w:t xml:space="preserve"> that leverages joint observations during training.</w:t>
      </w:r>
    </w:p>
    <w:p w14:paraId="4D93D169" w14:textId="77777777" w:rsidR="00C92900" w:rsidRPr="00020057" w:rsidRDefault="00C92900" w:rsidP="00020057">
      <w:pPr>
        <w:pStyle w:val="NormalWeb"/>
        <w:jc w:val="both"/>
      </w:pPr>
      <w:r w:rsidRPr="00020057">
        <w:t>This design is particularly well suited for smart grids, where global grid states (e.g., system frequency or congestion levels) may be observable during offline training but impractical to share in real time during operation.</w:t>
      </w:r>
    </w:p>
    <w:p w14:paraId="024FE17F" w14:textId="77777777" w:rsidR="00C92900" w:rsidRPr="00020057" w:rsidRDefault="00C92900" w:rsidP="00020057">
      <w:pPr>
        <w:pStyle w:val="Heading3"/>
        <w:jc w:val="both"/>
        <w:rPr>
          <w:sz w:val="24"/>
          <w:szCs w:val="24"/>
        </w:rPr>
      </w:pPr>
      <w:r w:rsidRPr="00020057">
        <w:rPr>
          <w:rStyle w:val="Strong"/>
          <w:b/>
          <w:bCs/>
          <w:sz w:val="24"/>
          <w:szCs w:val="24"/>
        </w:rPr>
        <w:t>4.3 Actor–Critic Architecture</w:t>
      </w:r>
    </w:p>
    <w:p w14:paraId="7D79DA8A" w14:textId="1F9184A4" w:rsidR="00C92900" w:rsidRPr="00020057" w:rsidRDefault="00C92900" w:rsidP="00020057">
      <w:pPr>
        <w:pStyle w:val="NormalWeb"/>
        <w:jc w:val="both"/>
      </w:pPr>
      <w:r w:rsidRPr="00020057">
        <w:t xml:space="preserve">Each solar agent </w:t>
      </w:r>
      <w:r w:rsidRPr="00020057">
        <w:rPr>
          <w:rStyle w:val="katex-mathml"/>
        </w:rPr>
        <w:t>ii</w:t>
      </w:r>
      <w:r w:rsidRPr="00020057">
        <w:rPr>
          <w:rStyle w:val="mord"/>
        </w:rPr>
        <w:t>i</w:t>
      </w:r>
      <w:r w:rsidRPr="00020057">
        <w:t xml:space="preserve"> is associated with an </w:t>
      </w:r>
      <w:r w:rsidRPr="00020057">
        <w:rPr>
          <w:rStyle w:val="Strong"/>
        </w:rPr>
        <w:t>actor network</w:t>
      </w:r>
      <w:r w:rsidRPr="00020057">
        <w:t xml:space="preserve"> </w:t>
      </w:r>
      <m:oMath>
        <m:sSub>
          <m:sSubPr>
            <m:ctrlPr>
              <w:rPr>
                <w:rFonts w:ascii="Cambria Math" w:hAnsi="Cambria Math"/>
                <w:i/>
              </w:rPr>
            </m:ctrlPr>
          </m:sSubPr>
          <m:e>
            <m:r>
              <w:rPr>
                <w:rFonts w:ascii="Cambria Math" w:hAnsi="Cambria Math"/>
              </w:rPr>
              <m:t>a</m:t>
            </m:r>
          </m:e>
          <m:sub>
            <m:r>
              <w:rPr>
                <w:rFonts w:ascii="Cambria Math" w:hAnsi="Cambria Math"/>
              </w:rPr>
              <m:t>θi</m:t>
            </m:r>
          </m:sub>
        </m:sSub>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e>
            </m:d>
          </m:e>
        </m:d>
      </m:oMath>
      <w:r w:rsidRPr="00020057">
        <w:t xml:space="preserve"> which maps local observations to control actions. The actor is responsible for:</w:t>
      </w:r>
    </w:p>
    <w:p w14:paraId="56897675" w14:textId="77777777" w:rsidR="00C92900" w:rsidRPr="00020057" w:rsidRDefault="00C92900" w:rsidP="00020057">
      <w:pPr>
        <w:pStyle w:val="NormalWeb"/>
        <w:numPr>
          <w:ilvl w:val="0"/>
          <w:numId w:val="12"/>
        </w:numPr>
        <w:jc w:val="both"/>
      </w:pPr>
      <w:r w:rsidRPr="00020057">
        <w:t>Producing short-term solar power forecasts,</w:t>
      </w:r>
    </w:p>
    <w:p w14:paraId="729237F3" w14:textId="77777777" w:rsidR="00C92900" w:rsidRPr="00020057" w:rsidRDefault="00C92900" w:rsidP="00020057">
      <w:pPr>
        <w:pStyle w:val="NormalWeb"/>
        <w:numPr>
          <w:ilvl w:val="0"/>
          <w:numId w:val="12"/>
        </w:numPr>
        <w:jc w:val="both"/>
      </w:pPr>
      <w:r w:rsidRPr="00020057">
        <w:t>Determining dispatch, storage, and curtailment actions.</w:t>
      </w:r>
    </w:p>
    <w:p w14:paraId="6E79501F" w14:textId="15CF1790" w:rsidR="00C92900" w:rsidRPr="00020057" w:rsidRDefault="00C92900" w:rsidP="00020057">
      <w:pPr>
        <w:pStyle w:val="NormalWeb"/>
        <w:jc w:val="both"/>
      </w:pPr>
      <w:r w:rsidRPr="00020057">
        <w:t xml:space="preserve">A shared </w:t>
      </w:r>
      <w:r w:rsidRPr="00020057">
        <w:rPr>
          <w:rStyle w:val="Strong"/>
        </w:rPr>
        <w:t>centralized critic</w:t>
      </w:r>
      <w:r w:rsidRPr="00020057">
        <w:t xml:space="preserve"> </w:t>
      </w:r>
      <m:oMath>
        <m:sSub>
          <m:sSubPr>
            <m:ctrlPr>
              <w:rPr>
                <w:rFonts w:ascii="Cambria Math" w:hAnsi="Cambria Math"/>
                <w:i/>
              </w:rPr>
            </m:ctrlPr>
          </m:sSubPr>
          <m:e>
            <m:r>
              <w:rPr>
                <w:rFonts w:ascii="Cambria Math" w:hAnsi="Cambria Math"/>
              </w:rPr>
              <m:t>V</m:t>
            </m:r>
          </m:e>
          <m:sub>
            <m:r>
              <w:rPr>
                <w:rFonts w:ascii="Cambria Math" w:hAnsi="Cambria Math"/>
              </w:rPr>
              <m:t>∅</m:t>
            </m:r>
          </m:sub>
        </m:s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t</m:t>
                </m:r>
              </m:sup>
            </m:sSup>
          </m:e>
        </m:d>
      </m:oMath>
      <w:r w:rsidRPr="00020057">
        <w:t xml:space="preserve"> estimates the expected return of the joint system state </w:t>
      </w:r>
      <m:oMath>
        <m:sSup>
          <m:sSupPr>
            <m:ctrlPr>
              <w:rPr>
                <w:rFonts w:ascii="Cambria Math" w:hAnsi="Cambria Math"/>
                <w:i/>
              </w:rPr>
            </m:ctrlPr>
          </m:sSupPr>
          <m:e>
            <m:r>
              <w:rPr>
                <w:rFonts w:ascii="Cambria Math" w:hAnsi="Cambria Math"/>
              </w:rPr>
              <m:t>s</m:t>
            </m:r>
          </m:e>
          <m:sup>
            <m:r>
              <w:rPr>
                <w:rFonts w:ascii="Cambria Math" w:hAnsi="Cambria Math"/>
              </w:rPr>
              <m:t>t</m:t>
            </m:r>
          </m:sup>
        </m:sSup>
      </m:oMath>
      <w:r w:rsidRPr="00020057">
        <w:t>, incorporating grid-wide information such as voltage profiles, frequency deviations, and congestion indicators.</w:t>
      </w:r>
    </w:p>
    <w:p w14:paraId="3F03B65D" w14:textId="77777777" w:rsidR="00C92900" w:rsidRPr="00020057" w:rsidRDefault="00C92900" w:rsidP="00020057">
      <w:pPr>
        <w:pStyle w:val="NormalWeb"/>
        <w:jc w:val="both"/>
      </w:pPr>
      <w:r w:rsidRPr="00020057">
        <w:t xml:space="preserve">This separation enables agents to learn </w:t>
      </w:r>
      <w:r w:rsidRPr="00020057">
        <w:rPr>
          <w:rStyle w:val="Strong"/>
        </w:rPr>
        <w:t>grid-aware policies</w:t>
      </w:r>
      <w:r w:rsidRPr="00020057">
        <w:t xml:space="preserve"> while maintaining operational autonomy.</w:t>
      </w:r>
    </w:p>
    <w:p w14:paraId="29AA59D1" w14:textId="77777777" w:rsidR="00A5538F" w:rsidRPr="00020057" w:rsidRDefault="00A5538F" w:rsidP="00020057">
      <w:pPr>
        <w:pStyle w:val="NormalWeb"/>
        <w:jc w:val="both"/>
      </w:pPr>
    </w:p>
    <w:p w14:paraId="412E2091" w14:textId="77777777" w:rsidR="00C92900" w:rsidRPr="00020057" w:rsidRDefault="00C92900" w:rsidP="00020057">
      <w:pPr>
        <w:pStyle w:val="Heading3"/>
        <w:jc w:val="both"/>
        <w:rPr>
          <w:sz w:val="24"/>
          <w:szCs w:val="24"/>
        </w:rPr>
      </w:pPr>
      <w:r w:rsidRPr="00020057">
        <w:rPr>
          <w:rStyle w:val="Strong"/>
          <w:b/>
          <w:bCs/>
          <w:sz w:val="24"/>
          <w:szCs w:val="24"/>
        </w:rPr>
        <w:t>4.4 Learning Objective and Policy Optimization</w:t>
      </w:r>
    </w:p>
    <w:p w14:paraId="21A43D95" w14:textId="76D30F30" w:rsidR="00C92900" w:rsidRPr="00020057" w:rsidRDefault="00C92900" w:rsidP="00020057">
      <w:pPr>
        <w:pStyle w:val="NormalWeb"/>
        <w:jc w:val="both"/>
      </w:pPr>
      <w:r w:rsidRPr="00020057">
        <w:t xml:space="preserve">The actor parameters </w:t>
      </w:r>
      <m:oMath>
        <m:sSub>
          <m:sSubPr>
            <m:ctrlPr>
              <w:rPr>
                <w:rFonts w:ascii="Cambria Math" w:hAnsi="Cambria Math"/>
                <w:i/>
              </w:rPr>
            </m:ctrlPr>
          </m:sSubPr>
          <m:e>
            <m:r>
              <w:rPr>
                <w:rFonts w:ascii="Cambria Math" w:hAnsi="Cambria Math"/>
              </w:rPr>
              <m:t>∅</m:t>
            </m:r>
          </m:e>
          <m:sub>
            <m:r>
              <w:rPr>
                <w:rFonts w:ascii="Cambria Math" w:hAnsi="Cambria Math"/>
              </w:rPr>
              <m:t>i</m:t>
            </m:r>
          </m:sub>
        </m:sSub>
      </m:oMath>
      <w:r w:rsidRPr="00020057">
        <w:t xml:space="preserve"> are optimized by maximizing the clipped PPO objective:</w:t>
      </w:r>
    </w:p>
    <w:p w14:paraId="1E423BCE" w14:textId="33BA5EC4" w:rsidR="005C4870" w:rsidRPr="00020057" w:rsidRDefault="00CE1237" w:rsidP="00020057">
      <w:pPr>
        <w:jc w:val="both"/>
        <w:rPr>
          <w:rFonts w:ascii="Times New Roman" w:eastAsiaTheme="minorEastAsia"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PPO</m:t>
              </m:r>
            </m:sup>
          </m:s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i</m:t>
                  </m:r>
                </m:sub>
              </m:sSub>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t</m:t>
              </m:r>
            </m:sub>
          </m:sSub>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min</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γ</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θ</m:t>
                      </m:r>
                    </m:e>
                    <m:sub>
                      <m:r>
                        <w:rPr>
                          <w:rFonts w:ascii="Cambria Math" w:eastAsiaTheme="minorEastAsia" w:hAnsi="Cambria Math" w:cs="Times New Roman"/>
                          <w:sz w:val="24"/>
                          <w:szCs w:val="24"/>
                          <w:lang w:val="en-US"/>
                        </w:rPr>
                        <m:t>i</m:t>
                      </m:r>
                    </m:sub>
                  </m:sSub>
                </m:e>
              </m: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 xml:space="preserve"> clip</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γ</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θ</m:t>
                      </m:r>
                    </m:e>
                    <m:sub>
                      <m:r>
                        <w:rPr>
                          <w:rFonts w:ascii="Cambria Math" w:eastAsiaTheme="minorEastAsia" w:hAnsi="Cambria Math" w:cs="Times New Roman"/>
                          <w:sz w:val="24"/>
                          <w:szCs w:val="24"/>
                          <w:lang w:val="en-US"/>
                        </w:rPr>
                        <m:t>i</m:t>
                      </m:r>
                    </m:sub>
                  </m:sSub>
                </m:e>
              </m:d>
              <m:r>
                <w:rPr>
                  <w:rFonts w:ascii="Cambria Math" w:eastAsiaTheme="minorEastAsia" w:hAnsi="Cambria Math" w:cs="Times New Roman"/>
                  <w:sz w:val="24"/>
                  <w:szCs w:val="24"/>
                  <w:lang w:val="en-US"/>
                </w:rPr>
                <m:t>, 1-ϵ, 1+ϵ)</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t</m:t>
                  </m:r>
                </m:sub>
              </m:sSub>
              <m:r>
                <w:rPr>
                  <w:rFonts w:ascii="Cambria Math" w:eastAsiaTheme="minorEastAsia" w:hAnsi="Cambria Math" w:cs="Times New Roman"/>
                  <w:sz w:val="24"/>
                  <w:szCs w:val="24"/>
                  <w:lang w:val="en-US"/>
                </w:rPr>
                <m:t>)</m:t>
              </m:r>
            </m:e>
          </m:d>
        </m:oMath>
      </m:oMathPara>
    </w:p>
    <w:p w14:paraId="5054C658" w14:textId="77777777" w:rsidR="00A92D8D" w:rsidRPr="00020057" w:rsidRDefault="00A92D8D" w:rsidP="00020057">
      <w:pPr>
        <w:pStyle w:val="NormalWeb"/>
        <w:jc w:val="both"/>
      </w:pPr>
      <w:r w:rsidRPr="00020057">
        <w:t>where:</w:t>
      </w:r>
    </w:p>
    <w:p w14:paraId="5F4A048B" w14:textId="6F2C6FBC" w:rsidR="00A92D8D" w:rsidRPr="00020057" w:rsidRDefault="00CE1237" w:rsidP="00020057">
      <w:pPr>
        <w:pStyle w:val="NormalWeb"/>
        <w:numPr>
          <w:ilvl w:val="0"/>
          <w:numId w:val="13"/>
        </w:numPr>
        <w:jc w:val="both"/>
      </w:pPr>
      <m:oMath>
        <m:d>
          <m:dPr>
            <m:ctrlPr>
              <w:rPr>
                <w:rFonts w:ascii="Cambria Math" w:eastAsiaTheme="minorEastAsia" w:hAnsi="Cambria Math"/>
                <w:i/>
                <w:lang w:val="en-US" w:eastAsia="en-US"/>
              </w:rPr>
            </m:ctrlPr>
          </m:dPr>
          <m:e>
            <m:sSub>
              <m:sSubPr>
                <m:ctrlPr>
                  <w:rPr>
                    <w:rFonts w:ascii="Cambria Math" w:eastAsiaTheme="minorEastAsia" w:hAnsi="Cambria Math"/>
                    <w:i/>
                    <w:lang w:val="en-US" w:eastAsia="en-US"/>
                  </w:rPr>
                </m:ctrlPr>
              </m:sSubPr>
              <m:e>
                <m:r>
                  <w:rPr>
                    <w:rFonts w:ascii="Cambria Math" w:eastAsiaTheme="minorEastAsia" w:hAnsi="Cambria Math"/>
                    <w:lang w:val="en-US"/>
                  </w:rPr>
                  <m:t>γ</m:t>
                </m:r>
              </m:e>
              <m:sub>
                <m:r>
                  <w:rPr>
                    <w:rFonts w:ascii="Cambria Math" w:eastAsiaTheme="minorEastAsia" w:hAnsi="Cambria Math"/>
                    <w:lang w:val="en-US"/>
                  </w:rPr>
                  <m:t>t</m:t>
                </m:r>
              </m:sub>
            </m:sSub>
            <m:r>
              <w:rPr>
                <w:rFonts w:ascii="Cambria Math" w:eastAsiaTheme="minorEastAsia" w:hAnsi="Cambria Math"/>
                <w:lang w:val="en-US"/>
              </w:rPr>
              <m:t>(</m:t>
            </m:r>
            <m:sSub>
              <m:sSubPr>
                <m:ctrlPr>
                  <w:rPr>
                    <w:rFonts w:ascii="Cambria Math" w:eastAsiaTheme="minorEastAsia" w:hAnsi="Cambria Math"/>
                    <w:i/>
                    <w:lang w:val="en-US" w:eastAsia="en-US"/>
                  </w:rPr>
                </m:ctrlPr>
              </m:sSubPr>
              <m:e>
                <m:r>
                  <w:rPr>
                    <w:rFonts w:ascii="Cambria Math" w:eastAsiaTheme="minorEastAsia" w:hAnsi="Cambria Math"/>
                    <w:lang w:val="en-US"/>
                  </w:rPr>
                  <m:t>θ</m:t>
                </m:r>
              </m:e>
              <m:sub>
                <m:r>
                  <w:rPr>
                    <w:rFonts w:ascii="Cambria Math" w:eastAsiaTheme="minorEastAsia" w:hAnsi="Cambria Math"/>
                    <w:lang w:val="en-US"/>
                  </w:rPr>
                  <m:t>i</m:t>
                </m:r>
              </m:sub>
            </m:sSub>
          </m:e>
        </m:d>
        <m:r>
          <w:rPr>
            <w:rFonts w:ascii="Cambria Math" w:eastAsiaTheme="minorEastAsia" w:hAnsi="Cambria Math"/>
            <w:lang w:val="en-US" w:eastAsia="en-US"/>
          </w:rPr>
          <m:t xml:space="preserve"> </m:t>
        </m:r>
      </m:oMath>
      <w:r w:rsidR="00A92D8D" w:rsidRPr="00020057">
        <w:t>is the probability ratio between new and old policies,</w:t>
      </w:r>
    </w:p>
    <w:p w14:paraId="359D3BE3" w14:textId="41ED4E72" w:rsidR="00A92D8D" w:rsidRPr="00020057" w:rsidRDefault="00CE1237" w:rsidP="00020057">
      <w:pPr>
        <w:pStyle w:val="NormalWeb"/>
        <w:numPr>
          <w:ilvl w:val="0"/>
          <w:numId w:val="13"/>
        </w:numPr>
        <w:jc w:val="both"/>
      </w:pPr>
      <m:oMath>
        <m:sSub>
          <m:sSubPr>
            <m:ctrlPr>
              <w:rPr>
                <w:rFonts w:ascii="Cambria Math" w:eastAsiaTheme="minorEastAsia" w:hAnsi="Cambria Math"/>
                <w:i/>
                <w:lang w:val="en-US" w:eastAsia="en-US"/>
              </w:rPr>
            </m:ctrlPr>
          </m:sSubPr>
          <m:e>
            <m:r>
              <w:rPr>
                <w:rFonts w:ascii="Cambria Math" w:eastAsiaTheme="minorEastAsia" w:hAnsi="Cambria Math"/>
                <w:lang w:val="en-US"/>
              </w:rPr>
              <m:t>A</m:t>
            </m:r>
          </m:e>
          <m:sub>
            <m:r>
              <w:rPr>
                <w:rFonts w:ascii="Cambria Math" w:eastAsiaTheme="minorEastAsia" w:hAnsi="Cambria Math"/>
                <w:lang w:val="en-US"/>
              </w:rPr>
              <m:t>t</m:t>
            </m:r>
          </m:sub>
        </m:sSub>
      </m:oMath>
      <w:r w:rsidR="00A92D8D" w:rsidRPr="00020057">
        <w:rPr>
          <w:rStyle w:val="vlist-s"/>
        </w:rPr>
        <w:t>​</w:t>
      </w:r>
      <w:r w:rsidR="00A92D8D" w:rsidRPr="00020057">
        <w:rPr>
          <w:rStyle w:val="vlist-s"/>
          <w:lang w:val="en-US"/>
        </w:rPr>
        <w:t xml:space="preserve"> </w:t>
      </w:r>
      <w:r w:rsidR="00A92D8D" w:rsidRPr="00020057">
        <w:t xml:space="preserve">is the advantage function computed using the centralized </w:t>
      </w:r>
      <w:proofErr w:type="gramStart"/>
      <w:r w:rsidR="00A92D8D" w:rsidRPr="00020057">
        <w:t>critic,</w:t>
      </w:r>
      <w:proofErr w:type="gramEnd"/>
    </w:p>
    <w:p w14:paraId="6C0F42D0" w14:textId="7447F24E" w:rsidR="00A92D8D" w:rsidRPr="00020057" w:rsidRDefault="00A92D8D" w:rsidP="00020057">
      <w:pPr>
        <w:pStyle w:val="NormalWeb"/>
        <w:numPr>
          <w:ilvl w:val="0"/>
          <w:numId w:val="13"/>
        </w:numPr>
        <w:jc w:val="both"/>
      </w:pPr>
      <m:oMath>
        <m:r>
          <w:rPr>
            <w:rFonts w:ascii="Cambria Math" w:hAnsi="Cambria Math"/>
          </w:rPr>
          <m:t xml:space="preserve">ϵ </m:t>
        </m:r>
      </m:oMath>
      <w:r w:rsidRPr="00020057">
        <w:t>is the clipping parameter.</w:t>
      </w:r>
    </w:p>
    <w:p w14:paraId="20830D1E" w14:textId="20E81F0D" w:rsidR="00A92D8D" w:rsidRPr="00020057" w:rsidRDefault="00A92D8D" w:rsidP="00020057">
      <w:pPr>
        <w:pStyle w:val="NormalWeb"/>
        <w:jc w:val="both"/>
      </w:pPr>
      <w:r w:rsidRPr="00020057">
        <w:lastRenderedPageBreak/>
        <w:t>The centralized critic minimizes the mean squared error:</w:t>
      </w:r>
    </w:p>
    <w:p w14:paraId="03FC0873" w14:textId="4E8F5D2D" w:rsidR="00A92D8D" w:rsidRPr="00020057" w:rsidRDefault="00CE1237" w:rsidP="00020057">
      <w:pPr>
        <w:pStyle w:val="NormalWeb"/>
        <w:jc w:val="both"/>
        <w:rPr>
          <w:i/>
        </w:rPr>
      </w:pPr>
      <m:oMathPara>
        <m:oMath>
          <m:sSup>
            <m:sSupPr>
              <m:ctrlPr>
                <w:rPr>
                  <w:rFonts w:ascii="Cambria Math" w:hAnsi="Cambria Math"/>
                  <w:i/>
                </w:rPr>
              </m:ctrlPr>
            </m:sSupPr>
            <m:e>
              <m:r>
                <w:rPr>
                  <w:rFonts w:ascii="Cambria Math" w:hAnsi="Cambria Math"/>
                </w:rPr>
                <m:t>L</m:t>
              </m:r>
            </m:e>
            <m:sup>
              <m:r>
                <w:rPr>
                  <w:rFonts w:ascii="Cambria Math" w:hAnsi="Cambria Math"/>
                </w:rPr>
                <m:t>critic</m:t>
              </m:r>
            </m:sup>
          </m:sSup>
          <m:d>
            <m:dPr>
              <m:ctrlPr>
                <w:rPr>
                  <w:rFonts w:ascii="Cambria Math" w:hAnsi="Cambria Math"/>
                  <w:i/>
                </w:rPr>
              </m:ctrlPr>
            </m:dPr>
            <m:e>
              <m:r>
                <w:rPr>
                  <w:rFonts w:ascii="Cambria Math" w:hAnsi="Cambria Math"/>
                </w:rPr>
                <m:t>ϕ</m:t>
              </m:r>
            </m:e>
          </m:d>
          <m:r>
            <w:rPr>
              <w:rFonts w:ascii="Cambria Math" w:hAnsi="Cambria Math"/>
            </w:rPr>
            <m:t>=</m:t>
          </m:r>
          <m:sSub>
            <m:sSubPr>
              <m:ctrlPr>
                <w:rPr>
                  <w:rFonts w:ascii="Cambria Math" w:hAnsi="Cambria Math"/>
                  <w:i/>
                </w:rPr>
              </m:ctrlPr>
            </m:sSubPr>
            <m:e>
              <m:r>
                <m:rPr>
                  <m:scr m:val="double-struck"/>
                </m:rPr>
                <w:rPr>
                  <w:rFonts w:ascii="Cambria Math" w:hAnsi="Cambria Math"/>
                </w:rPr>
                <m:t>E</m:t>
              </m:r>
            </m:e>
            <m:sub>
              <m:r>
                <w:rPr>
                  <w:rFonts w:ascii="Cambria Math" w:hAnsi="Cambria Math"/>
                </w:rPr>
                <m:t>t</m:t>
              </m:r>
            </m:sub>
          </m:sSub>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t</m:t>
                      </m:r>
                    </m:sup>
                  </m:sSup>
                </m:e>
              </m:d>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V</m:t>
                      </m:r>
                    </m:e>
                  </m:acc>
                </m:e>
                <m:sup>
                  <m:r>
                    <w:rPr>
                      <w:rFonts w:ascii="Cambria Math" w:hAnsi="Cambria Math"/>
                    </w:rPr>
                    <m:t>t</m:t>
                  </m:r>
                </m:sup>
              </m:sSup>
              <m:sSup>
                <m:sSupPr>
                  <m:ctrlPr>
                    <w:rPr>
                      <w:rFonts w:ascii="Cambria Math" w:hAnsi="Cambria Math"/>
                      <w:i/>
                    </w:rPr>
                  </m:ctrlPr>
                </m:sSupPr>
                <m:e>
                  <m:r>
                    <w:rPr>
                      <w:rFonts w:ascii="Cambria Math" w:hAnsi="Cambria Math"/>
                    </w:rPr>
                    <m:t>)</m:t>
                  </m:r>
                </m:e>
                <m:sup>
                  <m:r>
                    <w:rPr>
                      <w:rFonts w:ascii="Cambria Math" w:hAnsi="Cambria Math"/>
                    </w:rPr>
                    <m:t>2</m:t>
                  </m:r>
                </m:sup>
              </m:sSup>
            </m:e>
          </m:d>
        </m:oMath>
      </m:oMathPara>
    </w:p>
    <w:p w14:paraId="6CF6762A" w14:textId="13638351" w:rsidR="00FF4C5A" w:rsidRPr="00020057" w:rsidRDefault="00FF4C5A" w:rsidP="00020057">
      <w:pPr>
        <w:pStyle w:val="NormalWeb"/>
        <w:jc w:val="both"/>
        <w:rPr>
          <w:i/>
        </w:rPr>
      </w:pPr>
      <w:r w:rsidRPr="00020057">
        <w:t xml:space="preserve">By incorporating grid-aware rewards into </w:t>
      </w:r>
      <m:oMath>
        <m:sSup>
          <m:sSupPr>
            <m:ctrlPr>
              <w:rPr>
                <w:rFonts w:ascii="Cambria Math" w:hAnsi="Cambria Math"/>
                <w:i/>
              </w:rPr>
            </m:ctrlPr>
          </m:sSupPr>
          <m:e>
            <m:acc>
              <m:accPr>
                <m:ctrlPr>
                  <w:rPr>
                    <w:rFonts w:ascii="Cambria Math" w:hAnsi="Cambria Math"/>
                    <w:i/>
                  </w:rPr>
                </m:ctrlPr>
              </m:accPr>
              <m:e>
                <m:r>
                  <w:rPr>
                    <w:rFonts w:ascii="Cambria Math" w:hAnsi="Cambria Math"/>
                  </w:rPr>
                  <m:t>V</m:t>
                </m:r>
              </m:e>
            </m:acc>
          </m:e>
          <m:sup>
            <m:r>
              <w:rPr>
                <w:rFonts w:ascii="Cambria Math" w:hAnsi="Cambria Math"/>
              </w:rPr>
              <m:t>t</m:t>
            </m:r>
          </m:sup>
        </m:sSup>
      </m:oMath>
      <w:r w:rsidRPr="00020057">
        <w:t xml:space="preserve"> the learning process directly internalizes grid constraints.</w:t>
      </w:r>
    </w:p>
    <w:p w14:paraId="0FD261E5" w14:textId="771F1302" w:rsidR="00A92D8D" w:rsidRPr="00020057" w:rsidRDefault="00A92D8D" w:rsidP="00020057">
      <w:pPr>
        <w:jc w:val="both"/>
        <w:rPr>
          <w:rFonts w:ascii="Times New Roman" w:hAnsi="Times New Roman" w:cs="Times New Roman"/>
          <w:sz w:val="24"/>
          <w:szCs w:val="24"/>
          <w:lang w:val="en-US"/>
        </w:rPr>
      </w:pPr>
    </w:p>
    <w:p w14:paraId="4D93B8A2" w14:textId="77777777" w:rsidR="00FF4C5A" w:rsidRPr="00020057" w:rsidRDefault="00FF4C5A" w:rsidP="00020057">
      <w:pPr>
        <w:pStyle w:val="Heading3"/>
        <w:jc w:val="both"/>
        <w:rPr>
          <w:sz w:val="24"/>
          <w:szCs w:val="24"/>
        </w:rPr>
      </w:pPr>
      <w:r w:rsidRPr="00020057">
        <w:rPr>
          <w:rStyle w:val="Strong"/>
          <w:b/>
          <w:bCs/>
          <w:sz w:val="24"/>
          <w:szCs w:val="24"/>
        </w:rPr>
        <w:t>4.5 Integration of Forecasting and Control</w:t>
      </w:r>
    </w:p>
    <w:p w14:paraId="371F080D" w14:textId="77777777" w:rsidR="00FF4C5A" w:rsidRPr="00020057" w:rsidRDefault="00FF4C5A" w:rsidP="00020057">
      <w:pPr>
        <w:pStyle w:val="NormalWeb"/>
        <w:jc w:val="both"/>
      </w:pPr>
      <w:r w:rsidRPr="00020057">
        <w:t xml:space="preserve">A key novelty of the proposed framework lies in the </w:t>
      </w:r>
      <w:r w:rsidRPr="00020057">
        <w:rPr>
          <w:rStyle w:val="Strong"/>
        </w:rPr>
        <w:t>joint learning of forecasting and operational control</w:t>
      </w:r>
      <w:r w:rsidRPr="00020057">
        <w:t xml:space="preserve">. Rather than treating forecasting as a </w:t>
      </w:r>
      <w:proofErr w:type="spellStart"/>
      <w:r w:rsidRPr="00020057">
        <w:t>preprocessing</w:t>
      </w:r>
      <w:proofErr w:type="spellEnd"/>
      <w:r w:rsidRPr="00020057">
        <w:t xml:space="preserve"> step, forecast outputs are embedded within the actor network and influence control decisions in real time.</w:t>
      </w:r>
    </w:p>
    <w:p w14:paraId="3C84B576" w14:textId="77777777" w:rsidR="00FF4C5A" w:rsidRPr="00020057" w:rsidRDefault="00FF4C5A" w:rsidP="00020057">
      <w:pPr>
        <w:pStyle w:val="NormalWeb"/>
        <w:jc w:val="both"/>
      </w:pPr>
      <w:r w:rsidRPr="00020057">
        <w:t>This coupling ensures that:</w:t>
      </w:r>
    </w:p>
    <w:p w14:paraId="4A32486F" w14:textId="77777777" w:rsidR="00FF4C5A" w:rsidRPr="00020057" w:rsidRDefault="00FF4C5A" w:rsidP="00020057">
      <w:pPr>
        <w:pStyle w:val="NormalWeb"/>
        <w:numPr>
          <w:ilvl w:val="0"/>
          <w:numId w:val="14"/>
        </w:numPr>
        <w:jc w:val="both"/>
      </w:pPr>
      <w:r w:rsidRPr="00020057">
        <w:t>Forecasts evolve in response to grid conditions,</w:t>
      </w:r>
    </w:p>
    <w:p w14:paraId="061198A1" w14:textId="77777777" w:rsidR="00FF4C5A" w:rsidRPr="00020057" w:rsidRDefault="00FF4C5A" w:rsidP="00020057">
      <w:pPr>
        <w:pStyle w:val="NormalWeb"/>
        <w:numPr>
          <w:ilvl w:val="0"/>
          <w:numId w:val="14"/>
        </w:numPr>
        <w:jc w:val="both"/>
      </w:pPr>
      <w:r w:rsidRPr="00020057">
        <w:t>Agents learn to trade off forecasting accuracy against operational risk,</w:t>
      </w:r>
    </w:p>
    <w:p w14:paraId="6C1904D8" w14:textId="77777777" w:rsidR="00FF4C5A" w:rsidRPr="00020057" w:rsidRDefault="00FF4C5A" w:rsidP="00020057">
      <w:pPr>
        <w:pStyle w:val="NormalWeb"/>
        <w:numPr>
          <w:ilvl w:val="0"/>
          <w:numId w:val="14"/>
        </w:numPr>
        <w:jc w:val="both"/>
      </w:pPr>
      <w:r w:rsidRPr="00020057">
        <w:t>Forecasting errors that destabilize the grid are actively penalized.</w:t>
      </w:r>
    </w:p>
    <w:p w14:paraId="16DBC0B1" w14:textId="77777777" w:rsidR="00FF4C5A" w:rsidRPr="00020057" w:rsidRDefault="00FF4C5A" w:rsidP="00020057">
      <w:pPr>
        <w:pStyle w:val="NormalWeb"/>
        <w:jc w:val="both"/>
      </w:pPr>
      <w:r w:rsidRPr="00020057">
        <w:t xml:space="preserve">As a result, forecasting becomes a </w:t>
      </w:r>
      <w:r w:rsidRPr="00020057">
        <w:rPr>
          <w:rStyle w:val="Strong"/>
        </w:rPr>
        <w:t>decision-aware process</w:t>
      </w:r>
      <w:r w:rsidRPr="00020057">
        <w:t>, not a static prediction task.</w:t>
      </w:r>
    </w:p>
    <w:p w14:paraId="26AA8565" w14:textId="77777777" w:rsidR="00FF4C5A" w:rsidRPr="00020057" w:rsidRDefault="00FF4C5A" w:rsidP="00020057">
      <w:pPr>
        <w:pStyle w:val="Heading3"/>
        <w:jc w:val="both"/>
        <w:rPr>
          <w:sz w:val="24"/>
          <w:szCs w:val="24"/>
        </w:rPr>
      </w:pPr>
      <w:r w:rsidRPr="00020057">
        <w:rPr>
          <w:rStyle w:val="Strong"/>
          <w:b/>
          <w:bCs/>
          <w:sz w:val="24"/>
          <w:szCs w:val="24"/>
        </w:rPr>
        <w:t>4.6 Communication and Coordination Mechanism</w:t>
      </w:r>
    </w:p>
    <w:p w14:paraId="76CC4729" w14:textId="77777777" w:rsidR="00FF4C5A" w:rsidRPr="00020057" w:rsidRDefault="00FF4C5A" w:rsidP="00020057">
      <w:pPr>
        <w:pStyle w:val="NormalWeb"/>
        <w:jc w:val="both"/>
      </w:pPr>
      <w:r w:rsidRPr="00020057">
        <w:t>Although agents operate with local observations, coordination emerges implicitly through:</w:t>
      </w:r>
    </w:p>
    <w:p w14:paraId="15D2D713" w14:textId="77777777" w:rsidR="00FF4C5A" w:rsidRPr="00020057" w:rsidRDefault="00FF4C5A" w:rsidP="00020057">
      <w:pPr>
        <w:pStyle w:val="NormalWeb"/>
        <w:numPr>
          <w:ilvl w:val="0"/>
          <w:numId w:val="15"/>
        </w:numPr>
        <w:jc w:val="both"/>
      </w:pPr>
      <w:r w:rsidRPr="00020057">
        <w:t>Shared grid constraints,</w:t>
      </w:r>
    </w:p>
    <w:p w14:paraId="5491AC06" w14:textId="77777777" w:rsidR="00FF4C5A" w:rsidRPr="00020057" w:rsidRDefault="00FF4C5A" w:rsidP="00020057">
      <w:pPr>
        <w:pStyle w:val="NormalWeb"/>
        <w:numPr>
          <w:ilvl w:val="0"/>
          <w:numId w:val="15"/>
        </w:numPr>
        <w:jc w:val="both"/>
      </w:pPr>
      <w:r w:rsidRPr="00020057">
        <w:t>Cooperative reward structure,</w:t>
      </w:r>
    </w:p>
    <w:p w14:paraId="73813DE4" w14:textId="77777777" w:rsidR="00FF4C5A" w:rsidRPr="00020057" w:rsidRDefault="00FF4C5A" w:rsidP="00020057">
      <w:pPr>
        <w:pStyle w:val="NormalWeb"/>
        <w:numPr>
          <w:ilvl w:val="0"/>
          <w:numId w:val="15"/>
        </w:numPr>
        <w:jc w:val="both"/>
      </w:pPr>
      <w:r w:rsidRPr="00020057">
        <w:t>Centralized critic during training.</w:t>
      </w:r>
    </w:p>
    <w:p w14:paraId="40303A41" w14:textId="77777777" w:rsidR="00FF4C5A" w:rsidRPr="00020057" w:rsidRDefault="00FF4C5A" w:rsidP="00020057">
      <w:pPr>
        <w:pStyle w:val="NormalWeb"/>
        <w:jc w:val="both"/>
      </w:pPr>
      <w:r w:rsidRPr="00020057">
        <w:t>Optional low-bandwidth communication signals (e.g., congestion indicators) can be incorporated to enhance coordination without compromising scalability. This design avoids reliance on continuous, high-volume data exchange, which is impractical in real grid deployments.</w:t>
      </w:r>
    </w:p>
    <w:p w14:paraId="62B05762" w14:textId="77777777" w:rsidR="00FF4C5A" w:rsidRPr="00020057" w:rsidRDefault="00FF4C5A" w:rsidP="00020057">
      <w:pPr>
        <w:pStyle w:val="Heading3"/>
        <w:jc w:val="both"/>
        <w:rPr>
          <w:sz w:val="24"/>
          <w:szCs w:val="24"/>
        </w:rPr>
      </w:pPr>
      <w:r w:rsidRPr="00020057">
        <w:rPr>
          <w:rStyle w:val="Strong"/>
          <w:b/>
          <w:bCs/>
          <w:sz w:val="24"/>
          <w:szCs w:val="24"/>
        </w:rPr>
        <w:t>4.7 Training Procedure</w:t>
      </w:r>
    </w:p>
    <w:p w14:paraId="22153560" w14:textId="77777777" w:rsidR="00FF4C5A" w:rsidRPr="00020057" w:rsidRDefault="00FF4C5A" w:rsidP="00020057">
      <w:pPr>
        <w:pStyle w:val="NormalWeb"/>
        <w:jc w:val="both"/>
      </w:pPr>
      <w:r w:rsidRPr="00020057">
        <w:t xml:space="preserve">The overall training procedure is summarized in </w:t>
      </w:r>
      <w:r w:rsidRPr="00020057">
        <w:rPr>
          <w:rStyle w:val="Strong"/>
        </w:rPr>
        <w:t>Algorithm 1</w:t>
      </w:r>
      <w:r w:rsidRPr="00020057">
        <w:t>.</w:t>
      </w:r>
    </w:p>
    <w:p w14:paraId="22AD777F" w14:textId="77777777" w:rsidR="00FF4C5A" w:rsidRPr="00020057" w:rsidRDefault="00FF4C5A"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Algorithm 1: Grid-Aware MARL Training Procedure</w:t>
      </w:r>
    </w:p>
    <w:p w14:paraId="73CE11E2" w14:textId="540B8D5F" w:rsidR="00FF4C5A" w:rsidRPr="00020057" w:rsidRDefault="00FF4C5A" w:rsidP="00020057">
      <w:pPr>
        <w:pStyle w:val="NormalWeb"/>
        <w:numPr>
          <w:ilvl w:val="0"/>
          <w:numId w:val="16"/>
        </w:numPr>
        <w:jc w:val="both"/>
      </w:pPr>
      <w:r w:rsidRPr="00020057">
        <w:t xml:space="preserve">Initialize actor networks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e>
        </m:d>
      </m:oMath>
      <w:r w:rsidRPr="00020057">
        <w:t xml:space="preserve"> and centralized critic </w:t>
      </w:r>
      <m:oMath>
        <m:sSub>
          <m:sSubPr>
            <m:ctrlPr>
              <w:rPr>
                <w:rFonts w:ascii="Cambria Math" w:hAnsi="Cambria Math"/>
                <w:i/>
              </w:rPr>
            </m:ctrlPr>
          </m:sSubPr>
          <m:e>
            <m:r>
              <w:rPr>
                <w:rFonts w:ascii="Cambria Math" w:hAnsi="Cambria Math"/>
              </w:rPr>
              <m:t>V</m:t>
            </m:r>
          </m:e>
          <m:sub>
            <m:r>
              <w:rPr>
                <w:rFonts w:ascii="Cambria Math" w:hAnsi="Cambria Math"/>
              </w:rPr>
              <m:t>∅</m:t>
            </m:r>
          </m:sub>
        </m:sSub>
      </m:oMath>
    </w:p>
    <w:p w14:paraId="439107A2" w14:textId="77777777" w:rsidR="00FF4C5A" w:rsidRPr="00020057" w:rsidRDefault="00FF4C5A" w:rsidP="00020057">
      <w:pPr>
        <w:pStyle w:val="NormalWeb"/>
        <w:numPr>
          <w:ilvl w:val="0"/>
          <w:numId w:val="16"/>
        </w:numPr>
        <w:jc w:val="both"/>
      </w:pPr>
      <w:r w:rsidRPr="00020057">
        <w:t>For each training episode:</w:t>
      </w:r>
    </w:p>
    <w:p w14:paraId="2DDEA77F" w14:textId="77777777" w:rsidR="00FF4C5A" w:rsidRPr="00020057" w:rsidRDefault="00FF4C5A" w:rsidP="00020057">
      <w:pPr>
        <w:pStyle w:val="NormalWeb"/>
        <w:numPr>
          <w:ilvl w:val="1"/>
          <w:numId w:val="16"/>
        </w:numPr>
        <w:jc w:val="both"/>
      </w:pPr>
      <w:r w:rsidRPr="00020057">
        <w:t>Reset the grid environment</w:t>
      </w:r>
    </w:p>
    <w:p w14:paraId="51CC7E37" w14:textId="05F6D62E" w:rsidR="00FF4C5A" w:rsidRPr="00020057" w:rsidRDefault="00FF4C5A" w:rsidP="00020057">
      <w:pPr>
        <w:pStyle w:val="NormalWeb"/>
        <w:numPr>
          <w:ilvl w:val="1"/>
          <w:numId w:val="16"/>
        </w:numPr>
        <w:jc w:val="both"/>
      </w:pPr>
      <w:r w:rsidRPr="00020057">
        <w:t xml:space="preserve">For each time step </w:t>
      </w:r>
      <m:oMath>
        <m:r>
          <w:rPr>
            <w:rFonts w:ascii="Cambria Math" w:hAnsi="Cambria Math"/>
          </w:rPr>
          <m:t>t</m:t>
        </m:r>
      </m:oMath>
      <w:r w:rsidRPr="00020057">
        <w:t>:</w:t>
      </w:r>
    </w:p>
    <w:p w14:paraId="2D12DDF9" w14:textId="53299DF5" w:rsidR="00FF4C5A" w:rsidRPr="00020057" w:rsidRDefault="00FF4C5A" w:rsidP="00020057">
      <w:pPr>
        <w:pStyle w:val="NormalWeb"/>
        <w:numPr>
          <w:ilvl w:val="2"/>
          <w:numId w:val="16"/>
        </w:numPr>
        <w:jc w:val="both"/>
      </w:pPr>
      <w:r w:rsidRPr="00020057">
        <w:t xml:space="preserve">Each agent observes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oMath>
      <w:r w:rsidRPr="00020057">
        <w:rPr>
          <w:rStyle w:val="vlist-s"/>
        </w:rPr>
        <w:t>​</w:t>
      </w:r>
      <w:r w:rsidRPr="00020057">
        <w:t xml:space="preserve"> and selects action </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t</m:t>
            </m:r>
          </m:sup>
        </m:sSubSup>
      </m:oMath>
    </w:p>
    <w:p w14:paraId="47DA52B4" w14:textId="1E243920" w:rsidR="00FF4C5A" w:rsidRPr="00020057" w:rsidRDefault="00FF4C5A" w:rsidP="00020057">
      <w:pPr>
        <w:pStyle w:val="NormalWeb"/>
        <w:numPr>
          <w:ilvl w:val="2"/>
          <w:numId w:val="16"/>
        </w:numPr>
        <w:jc w:val="both"/>
      </w:pPr>
      <w:r w:rsidRPr="00020057">
        <w:t xml:space="preserve">Environment updates grid states and computes rewards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t</m:t>
            </m:r>
          </m:sup>
        </m:sSubSup>
      </m:oMath>
      <w:r w:rsidRPr="00020057">
        <w:rPr>
          <w:rStyle w:val="vlist-s"/>
        </w:rPr>
        <w:t>​</w:t>
      </w:r>
    </w:p>
    <w:p w14:paraId="1DA3948A" w14:textId="77777777" w:rsidR="00FF4C5A" w:rsidRPr="00020057" w:rsidRDefault="00FF4C5A" w:rsidP="00020057">
      <w:pPr>
        <w:pStyle w:val="NormalWeb"/>
        <w:numPr>
          <w:ilvl w:val="2"/>
          <w:numId w:val="16"/>
        </w:numPr>
        <w:jc w:val="both"/>
      </w:pPr>
      <w:r w:rsidRPr="00020057">
        <w:t>Store transitions in replay buffer</w:t>
      </w:r>
    </w:p>
    <w:p w14:paraId="2786411C" w14:textId="77777777" w:rsidR="00FF4C5A" w:rsidRPr="00020057" w:rsidRDefault="00FF4C5A" w:rsidP="00020057">
      <w:pPr>
        <w:pStyle w:val="NormalWeb"/>
        <w:numPr>
          <w:ilvl w:val="1"/>
          <w:numId w:val="16"/>
        </w:numPr>
        <w:jc w:val="both"/>
      </w:pPr>
      <w:r w:rsidRPr="00020057">
        <w:lastRenderedPageBreak/>
        <w:t>Compute advantage estimates using centralized critic</w:t>
      </w:r>
    </w:p>
    <w:p w14:paraId="647C93E1" w14:textId="77777777" w:rsidR="00FF4C5A" w:rsidRPr="00020057" w:rsidRDefault="00FF4C5A" w:rsidP="00020057">
      <w:pPr>
        <w:pStyle w:val="NormalWeb"/>
        <w:numPr>
          <w:ilvl w:val="1"/>
          <w:numId w:val="16"/>
        </w:numPr>
        <w:jc w:val="both"/>
      </w:pPr>
      <w:r w:rsidRPr="00020057">
        <w:t>Update actor and critic parameters using PPO</w:t>
      </w:r>
    </w:p>
    <w:p w14:paraId="1A420E3C" w14:textId="77777777" w:rsidR="00FF4C5A" w:rsidRPr="00020057" w:rsidRDefault="00FF4C5A" w:rsidP="00020057">
      <w:pPr>
        <w:pStyle w:val="NormalWeb"/>
        <w:numPr>
          <w:ilvl w:val="0"/>
          <w:numId w:val="16"/>
        </w:numPr>
        <w:jc w:val="both"/>
      </w:pPr>
      <w:r w:rsidRPr="00020057">
        <w:t>Repeat until convergence</w:t>
      </w:r>
    </w:p>
    <w:p w14:paraId="7328D20F" w14:textId="77777777" w:rsidR="00FF4C5A" w:rsidRPr="00020057" w:rsidRDefault="00FF4C5A" w:rsidP="00020057">
      <w:pPr>
        <w:pStyle w:val="NormalWeb"/>
        <w:jc w:val="both"/>
      </w:pPr>
      <w:r w:rsidRPr="00020057">
        <w:t>This iterative process allows agents to progressively refine grid-aware forecasting and control policies</w:t>
      </w:r>
    </w:p>
    <w:p w14:paraId="11926821" w14:textId="77777777" w:rsidR="00693CA4" w:rsidRPr="00020057" w:rsidRDefault="00693CA4" w:rsidP="00020057">
      <w:pPr>
        <w:pStyle w:val="Heading3"/>
        <w:jc w:val="both"/>
        <w:rPr>
          <w:sz w:val="24"/>
          <w:szCs w:val="24"/>
        </w:rPr>
      </w:pPr>
      <w:r w:rsidRPr="00020057">
        <w:rPr>
          <w:rStyle w:val="Strong"/>
          <w:b/>
          <w:bCs/>
          <w:sz w:val="24"/>
          <w:szCs w:val="24"/>
        </w:rPr>
        <w:t>4.8 Learning Workflow Illustration</w:t>
      </w:r>
    </w:p>
    <w:p w14:paraId="38B18332" w14:textId="473E2719" w:rsidR="00693CA4" w:rsidRPr="00020057" w:rsidRDefault="00693CA4" w:rsidP="00020057">
      <w:pPr>
        <w:pStyle w:val="NormalWeb"/>
        <w:jc w:val="both"/>
      </w:pPr>
      <w:r w:rsidRPr="00020057">
        <w:rPr>
          <w:rStyle w:val="Strong"/>
        </w:rPr>
        <w:t>Figure 2</w:t>
      </w:r>
      <w:r w:rsidRPr="00020057">
        <w:t xml:space="preserve"> presents the overall learning workflow of the proposed framework.</w:t>
      </w:r>
    </w:p>
    <w:p w14:paraId="6C2D9EC1" w14:textId="064A0F47" w:rsidR="00693CA4" w:rsidRDefault="006F2E41" w:rsidP="006F2E41">
      <w:pPr>
        <w:pStyle w:val="NormalWeb"/>
        <w:jc w:val="center"/>
      </w:pPr>
      <w:r>
        <w:rPr>
          <w:noProof/>
        </w:rPr>
        <w:drawing>
          <wp:inline distT="0" distB="0" distL="0" distR="0" wp14:anchorId="58EDFF4F" wp14:editId="29B3FFC1">
            <wp:extent cx="3957955" cy="496205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4019790" cy="5039582"/>
                    </a:xfrm>
                    <a:prstGeom prst="rect">
                      <a:avLst/>
                    </a:prstGeom>
                  </pic:spPr>
                </pic:pic>
              </a:graphicData>
            </a:graphic>
          </wp:inline>
        </w:drawing>
      </w:r>
    </w:p>
    <w:p w14:paraId="2F7FB9DF" w14:textId="77777777" w:rsidR="00693CA4" w:rsidRPr="00020057" w:rsidRDefault="00693CA4" w:rsidP="00020057">
      <w:pPr>
        <w:pStyle w:val="NormalWeb"/>
        <w:jc w:val="both"/>
      </w:pPr>
    </w:p>
    <w:p w14:paraId="6EF7A1B2" w14:textId="77777777" w:rsidR="00693CA4" w:rsidRPr="00020057" w:rsidRDefault="00693CA4" w:rsidP="00020057">
      <w:pPr>
        <w:pStyle w:val="Heading3"/>
        <w:jc w:val="both"/>
        <w:rPr>
          <w:sz w:val="24"/>
          <w:szCs w:val="24"/>
        </w:rPr>
      </w:pPr>
      <w:r w:rsidRPr="00020057">
        <w:rPr>
          <w:rStyle w:val="Strong"/>
          <w:b/>
          <w:bCs/>
          <w:sz w:val="24"/>
          <w:szCs w:val="24"/>
        </w:rPr>
        <w:t>4.9 Summary</w:t>
      </w:r>
    </w:p>
    <w:p w14:paraId="2D032B97" w14:textId="77777777" w:rsidR="00693CA4" w:rsidRPr="00020057" w:rsidRDefault="00693CA4" w:rsidP="00020057">
      <w:pPr>
        <w:pStyle w:val="NormalWeb"/>
        <w:jc w:val="both"/>
      </w:pPr>
      <w:r w:rsidRPr="00020057">
        <w:t>This chapter presented the proposed grid-aware MARL framework, detailing its architectural design, learning objectives, and training procedure. By integrating solar power forecasting and grid-constrained control within a cooperative MARL paradigm, the framework addresses critical limitations of existing approaches and establishes the foundation for experimental validation.</w:t>
      </w:r>
    </w:p>
    <w:p w14:paraId="401747D1" w14:textId="77777777" w:rsidR="00693CA4" w:rsidRPr="00020057" w:rsidRDefault="00693CA4"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lastRenderedPageBreak/>
        <w:t>5. Experimental Setup</w:t>
      </w:r>
    </w:p>
    <w:p w14:paraId="582AF8C9" w14:textId="77777777" w:rsidR="00693CA4" w:rsidRPr="00020057" w:rsidRDefault="00693CA4" w:rsidP="00020057">
      <w:pPr>
        <w:pStyle w:val="Heading3"/>
        <w:jc w:val="both"/>
        <w:rPr>
          <w:sz w:val="24"/>
          <w:szCs w:val="24"/>
        </w:rPr>
      </w:pPr>
      <w:r w:rsidRPr="00020057">
        <w:rPr>
          <w:rStyle w:val="Strong"/>
          <w:b/>
          <w:bCs/>
          <w:sz w:val="24"/>
          <w:szCs w:val="24"/>
        </w:rPr>
        <w:t>5.1 Overview</w:t>
      </w:r>
    </w:p>
    <w:p w14:paraId="03972B63" w14:textId="77777777" w:rsidR="00693CA4" w:rsidRPr="00020057" w:rsidRDefault="00693CA4" w:rsidP="00020057">
      <w:pPr>
        <w:pStyle w:val="NormalWeb"/>
        <w:jc w:val="both"/>
      </w:pPr>
      <w:r w:rsidRPr="00020057">
        <w:t>This chapter describes the experimental environment used to evaluate the proposed grid-aware multi-agent reinforcement learning (MARL) framework. The evaluation is designed to assess not only forecasting accuracy, but also the operational impact of learned policies on grid stability, scalability, and cost efficiency. To ensure fairness and reproducibility, all methods are tested under identical data, grid models, and evaluation protocols.</w:t>
      </w:r>
    </w:p>
    <w:p w14:paraId="3B7B9239" w14:textId="77777777" w:rsidR="00A31BCF" w:rsidRPr="00020057" w:rsidRDefault="00A31BCF" w:rsidP="00020057">
      <w:pPr>
        <w:pStyle w:val="Heading3"/>
        <w:jc w:val="both"/>
        <w:rPr>
          <w:sz w:val="24"/>
          <w:szCs w:val="24"/>
        </w:rPr>
      </w:pPr>
      <w:r w:rsidRPr="00020057">
        <w:rPr>
          <w:rStyle w:val="Strong"/>
          <w:b/>
          <w:bCs/>
          <w:sz w:val="24"/>
          <w:szCs w:val="24"/>
        </w:rPr>
        <w:t>5.2 Datasets</w:t>
      </w:r>
    </w:p>
    <w:p w14:paraId="0EA571C5"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5.2.1 Solar and Weather Data</w:t>
      </w:r>
    </w:p>
    <w:p w14:paraId="7C0A5CF8" w14:textId="77777777" w:rsidR="00A31BCF" w:rsidRPr="00020057" w:rsidRDefault="00A31BCF" w:rsidP="00020057">
      <w:pPr>
        <w:pStyle w:val="NormalWeb"/>
        <w:jc w:val="both"/>
      </w:pPr>
      <w:r w:rsidRPr="00020057">
        <w:t>Solar power generation data are obtained from publicly available, high-resolution photovoltaic datasets commonly used in smart grid research. The data include:</w:t>
      </w:r>
    </w:p>
    <w:p w14:paraId="349D7E18" w14:textId="77777777" w:rsidR="00A31BCF" w:rsidRPr="00020057" w:rsidRDefault="00A31BCF" w:rsidP="00020057">
      <w:pPr>
        <w:pStyle w:val="NormalWeb"/>
        <w:numPr>
          <w:ilvl w:val="0"/>
          <w:numId w:val="18"/>
        </w:numPr>
        <w:jc w:val="both"/>
      </w:pPr>
      <w:r w:rsidRPr="00020057">
        <w:t>Historical solar power output,</w:t>
      </w:r>
    </w:p>
    <w:p w14:paraId="18FB3D0E" w14:textId="77777777" w:rsidR="00A31BCF" w:rsidRPr="00020057" w:rsidRDefault="00A31BCF" w:rsidP="00020057">
      <w:pPr>
        <w:pStyle w:val="NormalWeb"/>
        <w:numPr>
          <w:ilvl w:val="0"/>
          <w:numId w:val="18"/>
        </w:numPr>
        <w:jc w:val="both"/>
      </w:pPr>
      <w:r w:rsidRPr="00020057">
        <w:t>Global horizontal irradiance (GHI),</w:t>
      </w:r>
    </w:p>
    <w:p w14:paraId="79620FDC" w14:textId="77777777" w:rsidR="00A31BCF" w:rsidRPr="00020057" w:rsidRDefault="00A31BCF" w:rsidP="00020057">
      <w:pPr>
        <w:pStyle w:val="NormalWeb"/>
        <w:numPr>
          <w:ilvl w:val="0"/>
          <w:numId w:val="18"/>
        </w:numPr>
        <w:jc w:val="both"/>
      </w:pPr>
      <w:r w:rsidRPr="00020057">
        <w:t>Ambient temperature,</w:t>
      </w:r>
    </w:p>
    <w:p w14:paraId="42075997" w14:textId="77777777" w:rsidR="00A31BCF" w:rsidRPr="00020057" w:rsidRDefault="00A31BCF" w:rsidP="00020057">
      <w:pPr>
        <w:pStyle w:val="NormalWeb"/>
        <w:numPr>
          <w:ilvl w:val="0"/>
          <w:numId w:val="18"/>
        </w:numPr>
        <w:jc w:val="both"/>
      </w:pPr>
      <w:r w:rsidRPr="00020057">
        <w:t>Cloud cover and humidity indicators.</w:t>
      </w:r>
    </w:p>
    <w:p w14:paraId="2F04DAA3" w14:textId="77777777" w:rsidR="00A31BCF" w:rsidRPr="00020057" w:rsidRDefault="00A31BCF" w:rsidP="00020057">
      <w:pPr>
        <w:pStyle w:val="NormalWeb"/>
        <w:jc w:val="both"/>
      </w:pPr>
      <w:r w:rsidRPr="00020057">
        <w:t xml:space="preserve">The temporal resolution is set to </w:t>
      </w:r>
      <w:r w:rsidRPr="00020057">
        <w:rPr>
          <w:rStyle w:val="Strong"/>
        </w:rPr>
        <w:t>15-minute intervals</w:t>
      </w:r>
      <w:r w:rsidRPr="00020057">
        <w:t>, which is consistent with real-time grid operation and ancillary service markets. All weather variables are normalized using min–max scaling prior to training.</w:t>
      </w:r>
    </w:p>
    <w:p w14:paraId="68445E74"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5.2.2 Load Demand Data</w:t>
      </w:r>
    </w:p>
    <w:p w14:paraId="6CC417AE" w14:textId="36C3159A" w:rsidR="00A31BCF" w:rsidRPr="00020057" w:rsidRDefault="00A31BCF" w:rsidP="006F2E41">
      <w:pPr>
        <w:pStyle w:val="NormalWeb"/>
        <w:jc w:val="both"/>
      </w:pPr>
      <w:r w:rsidRPr="00020057">
        <w:t>Load demand profiles are derived from realistic residential and commercial consumption datasets. These profiles introduce diurnal and seasonal variability and are spatially distributed across grid buses to reflect heterogeneous demand patterns.</w:t>
      </w:r>
    </w:p>
    <w:p w14:paraId="39CD50E4" w14:textId="77777777" w:rsidR="00A31BCF" w:rsidRPr="00020057" w:rsidRDefault="00A31BCF" w:rsidP="00020057">
      <w:pPr>
        <w:pStyle w:val="Heading3"/>
        <w:jc w:val="both"/>
        <w:rPr>
          <w:sz w:val="24"/>
          <w:szCs w:val="24"/>
        </w:rPr>
      </w:pPr>
      <w:r w:rsidRPr="00020057">
        <w:rPr>
          <w:rStyle w:val="Strong"/>
          <w:b/>
          <w:bCs/>
          <w:sz w:val="24"/>
          <w:szCs w:val="24"/>
        </w:rPr>
        <w:t>5.3 Power Grid Simulation Environment</w:t>
      </w:r>
    </w:p>
    <w:p w14:paraId="14A51D36" w14:textId="77777777" w:rsidR="00A31BCF" w:rsidRPr="00020057" w:rsidRDefault="00A31BCF" w:rsidP="00020057">
      <w:pPr>
        <w:pStyle w:val="NormalWeb"/>
        <w:jc w:val="both"/>
      </w:pPr>
      <w:r w:rsidRPr="00020057">
        <w:t>To evaluate grid-aware performance, the proposed MARL framework is tested on a benchmark power system model implemented in a power flow simulation environment.</w:t>
      </w:r>
    </w:p>
    <w:p w14:paraId="1D5E670D" w14:textId="77777777" w:rsidR="00A31BCF" w:rsidRPr="00020057" w:rsidRDefault="00A31BCF" w:rsidP="00020057">
      <w:pPr>
        <w:pStyle w:val="NormalWeb"/>
        <w:numPr>
          <w:ilvl w:val="0"/>
          <w:numId w:val="19"/>
        </w:numPr>
        <w:jc w:val="both"/>
      </w:pPr>
      <w:r w:rsidRPr="00020057">
        <w:rPr>
          <w:rStyle w:val="Strong"/>
        </w:rPr>
        <w:t>Grid model</w:t>
      </w:r>
      <w:r w:rsidRPr="00020057">
        <w:t>: IEEE 33-bus radial distribution network</w:t>
      </w:r>
    </w:p>
    <w:p w14:paraId="49A42DAC" w14:textId="77777777" w:rsidR="00A31BCF" w:rsidRPr="00020057" w:rsidRDefault="00A31BCF" w:rsidP="00020057">
      <w:pPr>
        <w:pStyle w:val="NormalWeb"/>
        <w:numPr>
          <w:ilvl w:val="0"/>
          <w:numId w:val="19"/>
        </w:numPr>
        <w:jc w:val="both"/>
      </w:pPr>
      <w:r w:rsidRPr="00020057">
        <w:rPr>
          <w:rStyle w:val="Strong"/>
        </w:rPr>
        <w:t>Voltage limits</w:t>
      </w:r>
      <w:r w:rsidRPr="00020057">
        <w:t>: ±5% of nominal voltage</w:t>
      </w:r>
    </w:p>
    <w:p w14:paraId="3A78F20E" w14:textId="77777777" w:rsidR="00A31BCF" w:rsidRPr="00020057" w:rsidRDefault="00A31BCF" w:rsidP="00020057">
      <w:pPr>
        <w:pStyle w:val="NormalWeb"/>
        <w:numPr>
          <w:ilvl w:val="0"/>
          <w:numId w:val="19"/>
        </w:numPr>
        <w:jc w:val="both"/>
      </w:pPr>
      <w:r w:rsidRPr="00020057">
        <w:rPr>
          <w:rStyle w:val="Strong"/>
        </w:rPr>
        <w:t>Frequency tolerance</w:t>
      </w:r>
      <w:r w:rsidRPr="00020057">
        <w:t>: ±0.1 Hz</w:t>
      </w:r>
    </w:p>
    <w:p w14:paraId="4CEAE35E" w14:textId="77777777" w:rsidR="00A31BCF" w:rsidRPr="00020057" w:rsidRDefault="00A31BCF" w:rsidP="00020057">
      <w:pPr>
        <w:pStyle w:val="NormalWeb"/>
        <w:numPr>
          <w:ilvl w:val="0"/>
          <w:numId w:val="19"/>
        </w:numPr>
        <w:jc w:val="both"/>
      </w:pPr>
      <w:r w:rsidRPr="00020057">
        <w:rPr>
          <w:rStyle w:val="Strong"/>
        </w:rPr>
        <w:t>Line capacity constraints</w:t>
      </w:r>
      <w:r w:rsidRPr="00020057">
        <w:t>: Thermal limits per branch</w:t>
      </w:r>
    </w:p>
    <w:p w14:paraId="6A2176A5" w14:textId="77777777" w:rsidR="00A31BCF" w:rsidRPr="00020057" w:rsidRDefault="00A31BCF" w:rsidP="00020057">
      <w:pPr>
        <w:pStyle w:val="NormalWeb"/>
        <w:jc w:val="both"/>
      </w:pPr>
      <w:r w:rsidRPr="00020057">
        <w:t>The grid environment updates power flows and system states at each time step based on agent actions. Constraint violations directly affect the reward function, thereby influencing policy learning.</w:t>
      </w:r>
    </w:p>
    <w:p w14:paraId="20D18E8E" w14:textId="4CED0BE8" w:rsidR="00A31BCF" w:rsidRDefault="00A31BCF" w:rsidP="00020057">
      <w:pPr>
        <w:jc w:val="both"/>
        <w:rPr>
          <w:rFonts w:ascii="Times New Roman" w:hAnsi="Times New Roman" w:cs="Times New Roman"/>
          <w:sz w:val="24"/>
          <w:szCs w:val="24"/>
        </w:rPr>
      </w:pPr>
    </w:p>
    <w:p w14:paraId="3CEE9866" w14:textId="77777777" w:rsidR="006F2E41" w:rsidRPr="00020057" w:rsidRDefault="006F2E41" w:rsidP="00020057">
      <w:pPr>
        <w:jc w:val="both"/>
        <w:rPr>
          <w:rFonts w:ascii="Times New Roman" w:hAnsi="Times New Roman" w:cs="Times New Roman"/>
          <w:sz w:val="24"/>
          <w:szCs w:val="24"/>
        </w:rPr>
      </w:pPr>
    </w:p>
    <w:p w14:paraId="2256A5AB" w14:textId="77777777" w:rsidR="00A31BCF" w:rsidRPr="00020057" w:rsidRDefault="00A31BCF" w:rsidP="00020057">
      <w:pPr>
        <w:pStyle w:val="Heading3"/>
        <w:jc w:val="both"/>
        <w:rPr>
          <w:sz w:val="24"/>
          <w:szCs w:val="24"/>
        </w:rPr>
      </w:pPr>
      <w:r w:rsidRPr="00020057">
        <w:rPr>
          <w:rStyle w:val="Strong"/>
          <w:b/>
          <w:bCs/>
          <w:sz w:val="24"/>
          <w:szCs w:val="24"/>
        </w:rPr>
        <w:lastRenderedPageBreak/>
        <w:t>5.4 Baseline Methods for Comparison</w:t>
      </w:r>
    </w:p>
    <w:p w14:paraId="711E60EB" w14:textId="77777777" w:rsidR="00A31BCF" w:rsidRPr="00020057" w:rsidRDefault="00A31BCF" w:rsidP="00020057">
      <w:pPr>
        <w:pStyle w:val="NormalWeb"/>
        <w:jc w:val="both"/>
      </w:pPr>
      <w:r w:rsidRPr="00020057">
        <w:t>To demonstrate the effectiveness of the proposed approach, it is compared against several representative baseline methods:</w:t>
      </w:r>
    </w:p>
    <w:p w14:paraId="3579025F" w14:textId="77777777" w:rsidR="00A31BCF" w:rsidRPr="00020057" w:rsidRDefault="00A31BCF" w:rsidP="00020057">
      <w:pPr>
        <w:pStyle w:val="NormalWeb"/>
        <w:numPr>
          <w:ilvl w:val="0"/>
          <w:numId w:val="20"/>
        </w:numPr>
      </w:pPr>
      <w:r w:rsidRPr="00020057">
        <w:rPr>
          <w:rStyle w:val="Strong"/>
        </w:rPr>
        <w:t>Persistence Model</w:t>
      </w:r>
      <w:r w:rsidRPr="00020057">
        <w:br/>
        <w:t>Assumes solar power remains constant from the previous time step.</w:t>
      </w:r>
    </w:p>
    <w:p w14:paraId="7E5CB8AC" w14:textId="77777777" w:rsidR="00A31BCF" w:rsidRPr="00020057" w:rsidRDefault="00A31BCF" w:rsidP="00020057">
      <w:pPr>
        <w:pStyle w:val="NormalWeb"/>
        <w:numPr>
          <w:ilvl w:val="0"/>
          <w:numId w:val="20"/>
        </w:numPr>
      </w:pPr>
      <w:r w:rsidRPr="00020057">
        <w:rPr>
          <w:rStyle w:val="Strong"/>
        </w:rPr>
        <w:t>LSTM-Based Forecasting</w:t>
      </w:r>
      <w:r w:rsidRPr="00020057">
        <w:br/>
        <w:t>A deep learning model trained solely to minimize forecasting error without grid awareness.</w:t>
      </w:r>
    </w:p>
    <w:p w14:paraId="4625873C" w14:textId="77777777" w:rsidR="00A31BCF" w:rsidRPr="00020057" w:rsidRDefault="00A31BCF" w:rsidP="00020057">
      <w:pPr>
        <w:pStyle w:val="NormalWeb"/>
        <w:numPr>
          <w:ilvl w:val="0"/>
          <w:numId w:val="20"/>
        </w:numPr>
      </w:pPr>
      <w:r w:rsidRPr="00020057">
        <w:rPr>
          <w:rStyle w:val="Strong"/>
        </w:rPr>
        <w:t>Single-Agent Reinforcement Learning (SARL)</w:t>
      </w:r>
      <w:r w:rsidRPr="00020057">
        <w:br/>
        <w:t>A centralized RL agent controlling all solar units.</w:t>
      </w:r>
    </w:p>
    <w:p w14:paraId="28C1E03D" w14:textId="03F2D4CE" w:rsidR="00A31BCF" w:rsidRPr="00020057" w:rsidRDefault="00A31BCF" w:rsidP="00020057">
      <w:pPr>
        <w:pStyle w:val="NormalWeb"/>
        <w:numPr>
          <w:ilvl w:val="0"/>
          <w:numId w:val="20"/>
        </w:numPr>
      </w:pPr>
      <w:r w:rsidRPr="00020057">
        <w:rPr>
          <w:rStyle w:val="Strong"/>
        </w:rPr>
        <w:t>Conventional MARL (Non-Grid-Aware)</w:t>
      </w:r>
      <w:r w:rsidRPr="00020057">
        <w:br/>
      </w:r>
      <w:r w:rsidR="006F2E41" w:rsidRPr="00020057">
        <w:t>multi-agent</w:t>
      </w:r>
      <w:r w:rsidRPr="00020057">
        <w:t xml:space="preserve"> learning with economic objectives only, excluding explicit grid constraints.</w:t>
      </w:r>
    </w:p>
    <w:p w14:paraId="7831995A" w14:textId="75208F3B" w:rsidR="00A31BCF" w:rsidRPr="00020057" w:rsidRDefault="00A31BCF" w:rsidP="006F2E41">
      <w:pPr>
        <w:pStyle w:val="NormalWeb"/>
        <w:jc w:val="both"/>
      </w:pPr>
      <w:r w:rsidRPr="00020057">
        <w:t>These baselines collectively represent the state of the art in forecasting and control-oriented approaches.</w:t>
      </w:r>
    </w:p>
    <w:p w14:paraId="21D4FA4C" w14:textId="77777777" w:rsidR="00A31BCF" w:rsidRPr="00020057" w:rsidRDefault="00A31BCF" w:rsidP="00020057">
      <w:pPr>
        <w:pStyle w:val="Heading3"/>
        <w:jc w:val="both"/>
        <w:rPr>
          <w:sz w:val="24"/>
          <w:szCs w:val="24"/>
        </w:rPr>
      </w:pPr>
      <w:r w:rsidRPr="00020057">
        <w:rPr>
          <w:rStyle w:val="Strong"/>
          <w:b/>
          <w:bCs/>
          <w:sz w:val="24"/>
          <w:szCs w:val="24"/>
        </w:rPr>
        <w:t>5.5 Evaluation Metrics</w:t>
      </w:r>
    </w:p>
    <w:p w14:paraId="0292FEF8" w14:textId="77777777" w:rsidR="00A31BCF" w:rsidRPr="00020057" w:rsidRDefault="00A31BCF" w:rsidP="00020057">
      <w:pPr>
        <w:pStyle w:val="NormalWeb"/>
        <w:jc w:val="both"/>
      </w:pPr>
      <w:r w:rsidRPr="00020057">
        <w:t xml:space="preserve">Performance is evaluated using both </w:t>
      </w:r>
      <w:r w:rsidRPr="00020057">
        <w:rPr>
          <w:rStyle w:val="Strong"/>
        </w:rPr>
        <w:t>forecasting metrics</w:t>
      </w:r>
      <w:r w:rsidRPr="00020057">
        <w:t xml:space="preserve"> and </w:t>
      </w:r>
      <w:r w:rsidRPr="00020057">
        <w:rPr>
          <w:rStyle w:val="Strong"/>
        </w:rPr>
        <w:t>grid operation metrics</w:t>
      </w:r>
      <w:r w:rsidRPr="00020057">
        <w:t>, reflecting the dual objectives of the proposed framework.</w:t>
      </w:r>
    </w:p>
    <w:p w14:paraId="5C4C1CE6"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5.5.1 Forecasting Accuracy</w:t>
      </w:r>
    </w:p>
    <w:p w14:paraId="6EFD9539" w14:textId="77777777" w:rsidR="00A31BCF" w:rsidRPr="00020057" w:rsidRDefault="00A31BCF" w:rsidP="00020057">
      <w:pPr>
        <w:pStyle w:val="NormalWeb"/>
        <w:numPr>
          <w:ilvl w:val="0"/>
          <w:numId w:val="21"/>
        </w:numPr>
        <w:jc w:val="both"/>
      </w:pPr>
      <w:r w:rsidRPr="00020057">
        <w:t>Mean Absolute Error (MAE)</w:t>
      </w:r>
    </w:p>
    <w:p w14:paraId="11528B3E" w14:textId="77777777" w:rsidR="00A31BCF" w:rsidRPr="00020057" w:rsidRDefault="00A31BCF" w:rsidP="00020057">
      <w:pPr>
        <w:pStyle w:val="NormalWeb"/>
        <w:numPr>
          <w:ilvl w:val="0"/>
          <w:numId w:val="21"/>
        </w:numPr>
        <w:jc w:val="both"/>
      </w:pPr>
      <w:r w:rsidRPr="00020057">
        <w:t>Root Mean Square Error (RMSE)</w:t>
      </w:r>
    </w:p>
    <w:p w14:paraId="26B493C7" w14:textId="77777777" w:rsidR="00A31BCF" w:rsidRPr="00020057" w:rsidRDefault="00A31BCF" w:rsidP="00020057">
      <w:pPr>
        <w:pStyle w:val="NormalWeb"/>
        <w:numPr>
          <w:ilvl w:val="0"/>
          <w:numId w:val="21"/>
        </w:numPr>
        <w:jc w:val="both"/>
      </w:pPr>
      <w:r w:rsidRPr="00020057">
        <w:t>Mean Absolute Percentage Error (MAPE)</w:t>
      </w:r>
    </w:p>
    <w:p w14:paraId="7896135B"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5.5.2 Grid Stability Metrics</w:t>
      </w:r>
    </w:p>
    <w:p w14:paraId="307170A3" w14:textId="77777777" w:rsidR="00A31BCF" w:rsidRPr="00020057" w:rsidRDefault="00A31BCF" w:rsidP="00020057">
      <w:pPr>
        <w:pStyle w:val="NormalWeb"/>
        <w:numPr>
          <w:ilvl w:val="0"/>
          <w:numId w:val="22"/>
        </w:numPr>
        <w:jc w:val="both"/>
      </w:pPr>
      <w:r w:rsidRPr="00020057">
        <w:t>Voltage deviation index</w:t>
      </w:r>
    </w:p>
    <w:p w14:paraId="0AFAEA52" w14:textId="77777777" w:rsidR="00A31BCF" w:rsidRPr="00020057" w:rsidRDefault="00A31BCF" w:rsidP="00020057">
      <w:pPr>
        <w:pStyle w:val="NormalWeb"/>
        <w:numPr>
          <w:ilvl w:val="0"/>
          <w:numId w:val="22"/>
        </w:numPr>
        <w:jc w:val="both"/>
      </w:pPr>
      <w:r w:rsidRPr="00020057">
        <w:t>Frequency violation count</w:t>
      </w:r>
    </w:p>
    <w:p w14:paraId="56FBFBBE" w14:textId="77777777" w:rsidR="00A31BCF" w:rsidRPr="00020057" w:rsidRDefault="00A31BCF" w:rsidP="00020057">
      <w:pPr>
        <w:pStyle w:val="NormalWeb"/>
        <w:numPr>
          <w:ilvl w:val="0"/>
          <w:numId w:val="22"/>
        </w:numPr>
        <w:jc w:val="both"/>
      </w:pPr>
      <w:r w:rsidRPr="00020057">
        <w:t>Line congestion frequency</w:t>
      </w:r>
    </w:p>
    <w:p w14:paraId="1BF58B75"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5.5.3 Operational Efficiency</w:t>
      </w:r>
    </w:p>
    <w:p w14:paraId="35F3BC67" w14:textId="77777777" w:rsidR="00A31BCF" w:rsidRPr="00020057" w:rsidRDefault="00A31BCF" w:rsidP="00020057">
      <w:pPr>
        <w:pStyle w:val="NormalWeb"/>
        <w:numPr>
          <w:ilvl w:val="0"/>
          <w:numId w:val="23"/>
        </w:numPr>
        <w:jc w:val="both"/>
      </w:pPr>
      <w:r w:rsidRPr="00020057">
        <w:t>Total operating cost</w:t>
      </w:r>
    </w:p>
    <w:p w14:paraId="628F9E65" w14:textId="77777777" w:rsidR="00A31BCF" w:rsidRPr="00020057" w:rsidRDefault="00A31BCF" w:rsidP="00020057">
      <w:pPr>
        <w:pStyle w:val="NormalWeb"/>
        <w:numPr>
          <w:ilvl w:val="0"/>
          <w:numId w:val="23"/>
        </w:numPr>
        <w:jc w:val="both"/>
      </w:pPr>
      <w:r w:rsidRPr="00020057">
        <w:t>Solar curtailment ratio</w:t>
      </w:r>
    </w:p>
    <w:p w14:paraId="3ABC86DF" w14:textId="77777777" w:rsidR="00A31BCF" w:rsidRPr="00020057" w:rsidRDefault="00A31BCF" w:rsidP="00020057">
      <w:pPr>
        <w:pStyle w:val="NormalWeb"/>
        <w:numPr>
          <w:ilvl w:val="0"/>
          <w:numId w:val="23"/>
        </w:numPr>
        <w:jc w:val="both"/>
      </w:pPr>
      <w:r w:rsidRPr="00020057">
        <w:t>Storage cycling cost</w:t>
      </w:r>
    </w:p>
    <w:p w14:paraId="6D8EEE5A" w14:textId="77777777" w:rsidR="00A31BCF" w:rsidRPr="00020057" w:rsidRDefault="00A31BCF" w:rsidP="00020057">
      <w:pPr>
        <w:pStyle w:val="NormalWeb"/>
        <w:jc w:val="both"/>
      </w:pPr>
      <w:r w:rsidRPr="00020057">
        <w:t>This comprehensive metric set ensures that improvements are meaningful from both data-driven and power system perspectives.</w:t>
      </w:r>
    </w:p>
    <w:p w14:paraId="48C353AB" w14:textId="77777777" w:rsidR="00A31BCF" w:rsidRPr="00020057" w:rsidRDefault="00A31BCF" w:rsidP="00020057">
      <w:pPr>
        <w:pStyle w:val="Heading3"/>
        <w:jc w:val="both"/>
        <w:rPr>
          <w:sz w:val="24"/>
          <w:szCs w:val="24"/>
        </w:rPr>
      </w:pPr>
      <w:r w:rsidRPr="00020057">
        <w:rPr>
          <w:rStyle w:val="Strong"/>
          <w:b/>
          <w:bCs/>
          <w:sz w:val="24"/>
          <w:szCs w:val="24"/>
        </w:rPr>
        <w:t>5.6 Training Configuration</w:t>
      </w:r>
    </w:p>
    <w:p w14:paraId="086DB233" w14:textId="77777777" w:rsidR="00A31BCF" w:rsidRPr="00020057" w:rsidRDefault="00A31BCF" w:rsidP="00020057">
      <w:pPr>
        <w:pStyle w:val="NormalWeb"/>
        <w:jc w:val="both"/>
      </w:pPr>
      <w:r w:rsidRPr="00020057">
        <w:t>All MARL agents are trained using identical hyperparameters unless otherwise stated. Training is conducted over multiple episodes to ensure convergence and robustness.</w:t>
      </w:r>
    </w:p>
    <w:p w14:paraId="7359F14B" w14:textId="77777777" w:rsidR="00A31BCF" w:rsidRPr="00020057" w:rsidRDefault="00A31BCF"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lastRenderedPageBreak/>
        <w:t>Table 2 — Experimental Parameters</w:t>
      </w:r>
    </w:p>
    <w:tbl>
      <w:tblPr>
        <w:tblStyle w:val="TableGrid"/>
        <w:tblW w:w="8846" w:type="dxa"/>
        <w:tblLook w:val="04A0" w:firstRow="1" w:lastRow="0" w:firstColumn="1" w:lastColumn="0" w:noHBand="0" w:noVBand="1"/>
      </w:tblPr>
      <w:tblGrid>
        <w:gridCol w:w="5883"/>
        <w:gridCol w:w="2963"/>
      </w:tblGrid>
      <w:tr w:rsidR="00A31BCF" w:rsidRPr="00020057" w14:paraId="1EA3CC0A" w14:textId="77777777" w:rsidTr="00020057">
        <w:trPr>
          <w:trHeight w:val="354"/>
        </w:trPr>
        <w:tc>
          <w:tcPr>
            <w:tcW w:w="0" w:type="auto"/>
            <w:hideMark/>
          </w:tcPr>
          <w:p w14:paraId="36E637FD"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b/>
                <w:bCs/>
                <w:color w:val="1F1F1F"/>
                <w:sz w:val="24"/>
                <w:szCs w:val="24"/>
                <w:bdr w:val="none" w:sz="0" w:space="0" w:color="auto" w:frame="1"/>
                <w:lang w:eastAsia="en-LR"/>
              </w:rPr>
              <w:t>Parameter</w:t>
            </w:r>
          </w:p>
        </w:tc>
        <w:tc>
          <w:tcPr>
            <w:tcW w:w="0" w:type="auto"/>
            <w:hideMark/>
          </w:tcPr>
          <w:p w14:paraId="38FEB648"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b/>
                <w:bCs/>
                <w:color w:val="1F1F1F"/>
                <w:sz w:val="24"/>
                <w:szCs w:val="24"/>
                <w:bdr w:val="none" w:sz="0" w:space="0" w:color="auto" w:frame="1"/>
                <w:lang w:eastAsia="en-LR"/>
              </w:rPr>
              <w:t>Value</w:t>
            </w:r>
          </w:p>
        </w:tc>
      </w:tr>
      <w:tr w:rsidR="00A31BCF" w:rsidRPr="00020057" w14:paraId="720E38C0" w14:textId="77777777" w:rsidTr="00020057">
        <w:trPr>
          <w:trHeight w:val="341"/>
        </w:trPr>
        <w:tc>
          <w:tcPr>
            <w:tcW w:w="0" w:type="auto"/>
            <w:hideMark/>
          </w:tcPr>
          <w:p w14:paraId="0CD753FB"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Time Step</w:t>
            </w:r>
          </w:p>
        </w:tc>
        <w:tc>
          <w:tcPr>
            <w:tcW w:w="0" w:type="auto"/>
            <w:hideMark/>
          </w:tcPr>
          <w:p w14:paraId="3BBD8E70"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15 minutes</w:t>
            </w:r>
          </w:p>
        </w:tc>
      </w:tr>
      <w:tr w:rsidR="00A31BCF" w:rsidRPr="00020057" w14:paraId="21CA9EB8" w14:textId="77777777" w:rsidTr="00020057">
        <w:trPr>
          <w:trHeight w:val="354"/>
        </w:trPr>
        <w:tc>
          <w:tcPr>
            <w:tcW w:w="0" w:type="auto"/>
            <w:hideMark/>
          </w:tcPr>
          <w:p w14:paraId="26A40454"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Training Episodes</w:t>
            </w:r>
          </w:p>
        </w:tc>
        <w:tc>
          <w:tcPr>
            <w:tcW w:w="0" w:type="auto"/>
            <w:hideMark/>
          </w:tcPr>
          <w:p w14:paraId="7D46D79D"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2000</w:t>
            </w:r>
          </w:p>
        </w:tc>
      </w:tr>
      <w:tr w:rsidR="00A31BCF" w:rsidRPr="00020057" w14:paraId="47265569" w14:textId="77777777" w:rsidTr="00020057">
        <w:trPr>
          <w:trHeight w:val="354"/>
        </w:trPr>
        <w:tc>
          <w:tcPr>
            <w:tcW w:w="0" w:type="auto"/>
            <w:hideMark/>
          </w:tcPr>
          <w:p w14:paraId="7537B5E8" w14:textId="72724B26" w:rsidR="00A31BCF" w:rsidRPr="00020057" w:rsidRDefault="00A31BCF" w:rsidP="00020057">
            <w:pPr>
              <w:jc w:val="both"/>
              <w:rPr>
                <w:rFonts w:ascii="Times New Roman" w:eastAsia="Times New Roman" w:hAnsi="Times New Roman" w:cs="Times New Roman"/>
                <w:i/>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Discount Factor (</w:t>
            </w:r>
            <m:oMath>
              <m:r>
                <w:rPr>
                  <w:rFonts w:ascii="Cambria Math" w:eastAsia="Times New Roman" w:hAnsi="Cambria Math" w:cs="Times New Roman"/>
                  <w:color w:val="1F1F1F"/>
                  <w:sz w:val="24"/>
                  <w:szCs w:val="24"/>
                  <w:bdr w:val="none" w:sz="0" w:space="0" w:color="auto" w:frame="1"/>
                  <w:lang w:eastAsia="en-LR"/>
                </w:rPr>
                <m:t>γ)</m:t>
              </m:r>
            </m:oMath>
          </w:p>
        </w:tc>
        <w:tc>
          <w:tcPr>
            <w:tcW w:w="0" w:type="auto"/>
            <w:hideMark/>
          </w:tcPr>
          <w:p w14:paraId="754A86E7"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0.99</w:t>
            </w:r>
          </w:p>
        </w:tc>
      </w:tr>
      <w:tr w:rsidR="00A31BCF" w:rsidRPr="00020057" w14:paraId="5E2F333D" w14:textId="77777777" w:rsidTr="00020057">
        <w:trPr>
          <w:trHeight w:val="354"/>
        </w:trPr>
        <w:tc>
          <w:tcPr>
            <w:tcW w:w="0" w:type="auto"/>
            <w:hideMark/>
          </w:tcPr>
          <w:p w14:paraId="24A782F9"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Learning Rate (Actor)</w:t>
            </w:r>
          </w:p>
        </w:tc>
        <w:tc>
          <w:tcPr>
            <w:tcW w:w="0" w:type="auto"/>
            <w:hideMark/>
          </w:tcPr>
          <w:p w14:paraId="49585E87" w14:textId="1CEE626E" w:rsidR="00A31BCF" w:rsidRPr="00020057" w:rsidRDefault="00A31BCF" w:rsidP="006F2E41">
            <w:pPr>
              <w:jc w:val="center"/>
              <w:rPr>
                <w:rFonts w:ascii="Times New Roman" w:eastAsia="Times New Roman" w:hAnsi="Times New Roman" w:cs="Times New Roman"/>
                <w:color w:val="1F1F1F"/>
                <w:sz w:val="24"/>
                <w:szCs w:val="24"/>
                <w:lang w:val="en-US" w:eastAsia="en-LR"/>
              </w:rPr>
            </w:pPr>
            <m:oMathPara>
              <m:oMath>
                <m:r>
                  <w:rPr>
                    <w:rFonts w:ascii="Cambria Math" w:eastAsia="Times New Roman" w:hAnsi="Cambria Math" w:cs="Times New Roman"/>
                    <w:color w:val="1F1F1F"/>
                    <w:sz w:val="24"/>
                    <w:szCs w:val="24"/>
                    <w:lang w:val="en-US" w:eastAsia="en-LR"/>
                  </w:rPr>
                  <m:t>3×</m:t>
                </m:r>
                <m:sSup>
                  <m:sSupPr>
                    <m:ctrlPr>
                      <w:rPr>
                        <w:rFonts w:ascii="Cambria Math" w:eastAsia="Times New Roman" w:hAnsi="Cambria Math" w:cs="Times New Roman"/>
                        <w:i/>
                        <w:color w:val="1F1F1F"/>
                        <w:sz w:val="24"/>
                        <w:szCs w:val="24"/>
                        <w:lang w:val="en-US" w:eastAsia="en-LR"/>
                      </w:rPr>
                    </m:ctrlPr>
                  </m:sSupPr>
                  <m:e>
                    <m:r>
                      <w:rPr>
                        <w:rFonts w:ascii="Cambria Math" w:eastAsia="Times New Roman" w:hAnsi="Cambria Math" w:cs="Times New Roman"/>
                        <w:color w:val="1F1F1F"/>
                        <w:sz w:val="24"/>
                        <w:szCs w:val="24"/>
                        <w:lang w:val="en-US" w:eastAsia="en-LR"/>
                      </w:rPr>
                      <m:t>10</m:t>
                    </m:r>
                  </m:e>
                  <m:sup>
                    <m:r>
                      <w:rPr>
                        <w:rFonts w:ascii="Cambria Math" w:eastAsia="Times New Roman" w:hAnsi="Cambria Math" w:cs="Times New Roman"/>
                        <w:color w:val="1F1F1F"/>
                        <w:sz w:val="24"/>
                        <w:szCs w:val="24"/>
                        <w:lang w:val="en-US" w:eastAsia="en-LR"/>
                      </w:rPr>
                      <m:t>-4</m:t>
                    </m:r>
                  </m:sup>
                </m:sSup>
              </m:oMath>
            </m:oMathPara>
          </w:p>
        </w:tc>
      </w:tr>
      <w:tr w:rsidR="00A31BCF" w:rsidRPr="00020057" w14:paraId="62F7FD55" w14:textId="77777777" w:rsidTr="00020057">
        <w:trPr>
          <w:trHeight w:val="367"/>
        </w:trPr>
        <w:tc>
          <w:tcPr>
            <w:tcW w:w="0" w:type="auto"/>
            <w:hideMark/>
          </w:tcPr>
          <w:p w14:paraId="53CD8EF7"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Learning Rate (Critic)</w:t>
            </w:r>
          </w:p>
        </w:tc>
        <w:tc>
          <w:tcPr>
            <w:tcW w:w="0" w:type="auto"/>
            <w:hideMark/>
          </w:tcPr>
          <w:p w14:paraId="0FF2717A" w14:textId="258B8B8B" w:rsidR="00A31BCF" w:rsidRPr="00020057" w:rsidRDefault="00534AD6" w:rsidP="006F2E41">
            <w:pPr>
              <w:jc w:val="center"/>
              <w:rPr>
                <w:rFonts w:ascii="Times New Roman" w:eastAsia="Times New Roman" w:hAnsi="Times New Roman" w:cs="Times New Roman"/>
                <w:i/>
                <w:color w:val="1F1F1F"/>
                <w:sz w:val="24"/>
                <w:szCs w:val="24"/>
                <w:lang w:eastAsia="en-LR"/>
              </w:rPr>
            </w:pPr>
            <m:oMathPara>
              <m:oMath>
                <m:r>
                  <w:rPr>
                    <w:rFonts w:ascii="Cambria Math" w:eastAsia="Times New Roman" w:hAnsi="Cambria Math" w:cs="Times New Roman"/>
                    <w:color w:val="1F1F1F"/>
                    <w:sz w:val="24"/>
                    <w:szCs w:val="24"/>
                    <w:lang w:eastAsia="en-LR"/>
                  </w:rPr>
                  <m:t>1×</m:t>
                </m:r>
                <m:sSup>
                  <m:sSupPr>
                    <m:ctrlPr>
                      <w:rPr>
                        <w:rFonts w:ascii="Cambria Math" w:eastAsia="Times New Roman" w:hAnsi="Cambria Math" w:cs="Times New Roman"/>
                        <w:i/>
                        <w:color w:val="1F1F1F"/>
                        <w:sz w:val="24"/>
                        <w:szCs w:val="24"/>
                        <w:lang w:eastAsia="en-LR"/>
                      </w:rPr>
                    </m:ctrlPr>
                  </m:sSupPr>
                  <m:e>
                    <m:r>
                      <w:rPr>
                        <w:rFonts w:ascii="Cambria Math" w:eastAsia="Times New Roman" w:hAnsi="Cambria Math" w:cs="Times New Roman"/>
                        <w:color w:val="1F1F1F"/>
                        <w:sz w:val="24"/>
                        <w:szCs w:val="24"/>
                        <w:lang w:eastAsia="en-LR"/>
                      </w:rPr>
                      <m:t>10</m:t>
                    </m:r>
                  </m:e>
                  <m:sup>
                    <m:r>
                      <w:rPr>
                        <w:rFonts w:ascii="Cambria Math" w:eastAsia="Times New Roman" w:hAnsi="Cambria Math" w:cs="Times New Roman"/>
                        <w:color w:val="1F1F1F"/>
                        <w:sz w:val="24"/>
                        <w:szCs w:val="24"/>
                        <w:lang w:eastAsia="en-LR"/>
                      </w:rPr>
                      <m:t>-3</m:t>
                    </m:r>
                  </m:sup>
                </m:sSup>
              </m:oMath>
            </m:oMathPara>
          </w:p>
        </w:tc>
      </w:tr>
      <w:tr w:rsidR="00A31BCF" w:rsidRPr="00020057" w14:paraId="636CD88F" w14:textId="77777777" w:rsidTr="00020057">
        <w:trPr>
          <w:trHeight w:val="354"/>
        </w:trPr>
        <w:tc>
          <w:tcPr>
            <w:tcW w:w="0" w:type="auto"/>
            <w:hideMark/>
          </w:tcPr>
          <w:p w14:paraId="5EBE7F91" w14:textId="6C73BFC4"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PPO Clipping Parameter (</w:t>
            </w:r>
            <m:oMath>
              <m:r>
                <w:rPr>
                  <w:rFonts w:ascii="Cambria Math" w:eastAsia="Times New Roman" w:hAnsi="Cambria Math" w:cs="Times New Roman"/>
                  <w:color w:val="1F1F1F"/>
                  <w:sz w:val="24"/>
                  <w:szCs w:val="24"/>
                  <w:bdr w:val="none" w:sz="0" w:space="0" w:color="auto" w:frame="1"/>
                  <w:lang w:eastAsia="en-LR"/>
                </w:rPr>
                <m:t>∈</m:t>
              </m:r>
            </m:oMath>
            <w:r w:rsidRPr="00020057">
              <w:rPr>
                <w:rFonts w:ascii="Times New Roman" w:eastAsia="Times New Roman" w:hAnsi="Times New Roman" w:cs="Times New Roman"/>
                <w:color w:val="1F1F1F"/>
                <w:sz w:val="24"/>
                <w:szCs w:val="24"/>
                <w:bdr w:val="none" w:sz="0" w:space="0" w:color="auto" w:frame="1"/>
                <w:lang w:eastAsia="en-LR"/>
              </w:rPr>
              <w:t>)</w:t>
            </w:r>
          </w:p>
        </w:tc>
        <w:tc>
          <w:tcPr>
            <w:tcW w:w="0" w:type="auto"/>
            <w:hideMark/>
          </w:tcPr>
          <w:p w14:paraId="4D30C7C6"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0.2</w:t>
            </w:r>
          </w:p>
        </w:tc>
      </w:tr>
      <w:tr w:rsidR="00A31BCF" w:rsidRPr="00020057" w14:paraId="6FC6CC88" w14:textId="77777777" w:rsidTr="00020057">
        <w:trPr>
          <w:trHeight w:val="341"/>
        </w:trPr>
        <w:tc>
          <w:tcPr>
            <w:tcW w:w="0" w:type="auto"/>
            <w:hideMark/>
          </w:tcPr>
          <w:p w14:paraId="61BCD9C9"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Batch Size</w:t>
            </w:r>
          </w:p>
        </w:tc>
        <w:tc>
          <w:tcPr>
            <w:tcW w:w="0" w:type="auto"/>
            <w:hideMark/>
          </w:tcPr>
          <w:p w14:paraId="24FBED2E"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256</w:t>
            </w:r>
          </w:p>
        </w:tc>
      </w:tr>
      <w:tr w:rsidR="00A31BCF" w:rsidRPr="00020057" w14:paraId="3DDD6B6B" w14:textId="77777777" w:rsidTr="00020057">
        <w:trPr>
          <w:trHeight w:val="354"/>
        </w:trPr>
        <w:tc>
          <w:tcPr>
            <w:tcW w:w="0" w:type="auto"/>
            <w:hideMark/>
          </w:tcPr>
          <w:p w14:paraId="38A180E8"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Number of Agents</w:t>
            </w:r>
          </w:p>
        </w:tc>
        <w:tc>
          <w:tcPr>
            <w:tcW w:w="0" w:type="auto"/>
            <w:hideMark/>
          </w:tcPr>
          <w:p w14:paraId="26DB15BB"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10–50</w:t>
            </w:r>
          </w:p>
        </w:tc>
      </w:tr>
      <w:tr w:rsidR="00A31BCF" w:rsidRPr="00020057" w14:paraId="575825AE" w14:textId="77777777" w:rsidTr="00020057">
        <w:trPr>
          <w:trHeight w:val="354"/>
        </w:trPr>
        <w:tc>
          <w:tcPr>
            <w:tcW w:w="0" w:type="auto"/>
            <w:hideMark/>
          </w:tcPr>
          <w:p w14:paraId="726EC275" w14:textId="77777777" w:rsidR="00A31BCF" w:rsidRPr="00020057" w:rsidRDefault="00A31BCF" w:rsidP="00020057">
            <w:pPr>
              <w:jc w:val="both"/>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Grid Model</w:t>
            </w:r>
          </w:p>
        </w:tc>
        <w:tc>
          <w:tcPr>
            <w:tcW w:w="0" w:type="auto"/>
            <w:hideMark/>
          </w:tcPr>
          <w:p w14:paraId="1E26F380" w14:textId="77777777" w:rsidR="00A31BCF" w:rsidRPr="00020057" w:rsidRDefault="00A31BCF" w:rsidP="006F2E41">
            <w:pPr>
              <w:jc w:val="center"/>
              <w:rPr>
                <w:rFonts w:ascii="Times New Roman" w:eastAsia="Times New Roman" w:hAnsi="Times New Roman" w:cs="Times New Roman"/>
                <w:color w:val="1F1F1F"/>
                <w:sz w:val="24"/>
                <w:szCs w:val="24"/>
                <w:lang w:eastAsia="en-LR"/>
              </w:rPr>
            </w:pPr>
            <w:r w:rsidRPr="00020057">
              <w:rPr>
                <w:rFonts w:ascii="Times New Roman" w:eastAsia="Times New Roman" w:hAnsi="Times New Roman" w:cs="Times New Roman"/>
                <w:color w:val="1F1F1F"/>
                <w:sz w:val="24"/>
                <w:szCs w:val="24"/>
                <w:bdr w:val="none" w:sz="0" w:space="0" w:color="auto" w:frame="1"/>
                <w:lang w:eastAsia="en-LR"/>
              </w:rPr>
              <w:t>IEEE 33-Bus</w:t>
            </w:r>
          </w:p>
        </w:tc>
      </w:tr>
    </w:tbl>
    <w:p w14:paraId="7E2932E0" w14:textId="15B1A3BA" w:rsidR="00FF4C5A" w:rsidRPr="00020057" w:rsidRDefault="00FF4C5A" w:rsidP="00020057">
      <w:pPr>
        <w:jc w:val="both"/>
        <w:rPr>
          <w:rFonts w:ascii="Times New Roman" w:hAnsi="Times New Roman" w:cs="Times New Roman"/>
          <w:sz w:val="24"/>
          <w:szCs w:val="24"/>
          <w:lang w:val="en-US"/>
        </w:rPr>
      </w:pPr>
    </w:p>
    <w:p w14:paraId="2248DA16" w14:textId="77777777" w:rsidR="00A34D32" w:rsidRPr="00A34D32" w:rsidRDefault="00A34D32"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A34D32">
        <w:rPr>
          <w:rFonts w:ascii="Times New Roman" w:eastAsia="Times New Roman" w:hAnsi="Times New Roman" w:cs="Times New Roman"/>
          <w:b/>
          <w:bCs/>
          <w:sz w:val="24"/>
          <w:szCs w:val="24"/>
          <w:lang w:eastAsia="en-LR"/>
        </w:rPr>
        <w:t>5.7 Implementation Details</w:t>
      </w:r>
    </w:p>
    <w:p w14:paraId="5FE35548" w14:textId="77777777" w:rsidR="00A34D32" w:rsidRPr="00A34D32" w:rsidRDefault="00A34D32"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 xml:space="preserve">The proposed framework is implemented in Python using modern deep reinforcement learning libraries. Neural networks are trained using the Adam optimizer, and early stopping is applied to prevent overfitting. To reduce variance, all experiments are repeated with </w:t>
      </w:r>
      <w:r w:rsidRPr="00A34D32">
        <w:rPr>
          <w:rFonts w:ascii="Times New Roman" w:eastAsia="Times New Roman" w:hAnsi="Times New Roman" w:cs="Times New Roman"/>
          <w:b/>
          <w:bCs/>
          <w:sz w:val="24"/>
          <w:szCs w:val="24"/>
          <w:lang w:eastAsia="en-LR"/>
        </w:rPr>
        <w:t>five independent random seeds</w:t>
      </w:r>
      <w:r w:rsidRPr="00A34D32">
        <w:rPr>
          <w:rFonts w:ascii="Times New Roman" w:eastAsia="Times New Roman" w:hAnsi="Times New Roman" w:cs="Times New Roman"/>
          <w:sz w:val="24"/>
          <w:szCs w:val="24"/>
          <w:lang w:eastAsia="en-LR"/>
        </w:rPr>
        <w:t>, and average results are reported.</w:t>
      </w:r>
    </w:p>
    <w:p w14:paraId="02BDB3D5" w14:textId="7D23C5E9" w:rsidR="00A34D32" w:rsidRPr="00A34D32" w:rsidRDefault="00A34D32" w:rsidP="006F2E41">
      <w:p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Training and evaluation are performed on a workstation equipped with GPU acceleration, though the framework is designed to scale to distributed training environments.</w:t>
      </w:r>
    </w:p>
    <w:p w14:paraId="42A8B3DE" w14:textId="77777777" w:rsidR="00A34D32" w:rsidRPr="00A34D32" w:rsidRDefault="00A34D32"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A34D32">
        <w:rPr>
          <w:rFonts w:ascii="Times New Roman" w:eastAsia="Times New Roman" w:hAnsi="Times New Roman" w:cs="Times New Roman"/>
          <w:b/>
          <w:bCs/>
          <w:sz w:val="24"/>
          <w:szCs w:val="24"/>
          <w:lang w:eastAsia="en-LR"/>
        </w:rPr>
        <w:t>5.8 Reproducibility and Fairness</w:t>
      </w:r>
    </w:p>
    <w:p w14:paraId="5D091C0C" w14:textId="77777777" w:rsidR="00A34D32" w:rsidRPr="00A34D32" w:rsidRDefault="00A34D32"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To ensure reproducibility:</w:t>
      </w:r>
    </w:p>
    <w:p w14:paraId="4185E561" w14:textId="77777777" w:rsidR="00A34D32" w:rsidRPr="00A34D32" w:rsidRDefault="00A34D32" w:rsidP="00020057">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Identical train–test splits are used across all methods,</w:t>
      </w:r>
    </w:p>
    <w:p w14:paraId="48BD9F17" w14:textId="77777777" w:rsidR="00A34D32" w:rsidRPr="00A34D32" w:rsidRDefault="00A34D32" w:rsidP="00020057">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Hyperparameters for baselines are tuned using validation data,</w:t>
      </w:r>
    </w:p>
    <w:p w14:paraId="2D8D21EE" w14:textId="77777777" w:rsidR="00A34D32" w:rsidRPr="00A34D32" w:rsidRDefault="00A34D32" w:rsidP="00020057">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All reported metrics are averaged across multiple runs.</w:t>
      </w:r>
    </w:p>
    <w:p w14:paraId="3EDECDCC" w14:textId="606C8908" w:rsidR="00A34D32" w:rsidRPr="00A34D32" w:rsidRDefault="00A34D32" w:rsidP="006F2E41">
      <w:p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This protocol ensures that performance gains are attributable to the proposed grid-aware MARL framework rather than experimental bias.</w:t>
      </w:r>
    </w:p>
    <w:p w14:paraId="0489EA46" w14:textId="77777777" w:rsidR="00A34D32" w:rsidRPr="00A34D32" w:rsidRDefault="00A34D32"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A34D32">
        <w:rPr>
          <w:rFonts w:ascii="Times New Roman" w:eastAsia="Times New Roman" w:hAnsi="Times New Roman" w:cs="Times New Roman"/>
          <w:b/>
          <w:bCs/>
          <w:sz w:val="24"/>
          <w:szCs w:val="24"/>
          <w:lang w:eastAsia="en-LR"/>
        </w:rPr>
        <w:t>5.9 Summary</w:t>
      </w:r>
    </w:p>
    <w:p w14:paraId="39ED26C5" w14:textId="3ED1EED1" w:rsidR="00A34D32" w:rsidRDefault="00A34D32"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A34D32">
        <w:rPr>
          <w:rFonts w:ascii="Times New Roman" w:eastAsia="Times New Roman" w:hAnsi="Times New Roman" w:cs="Times New Roman"/>
          <w:sz w:val="24"/>
          <w:szCs w:val="24"/>
          <w:lang w:eastAsia="en-LR"/>
        </w:rPr>
        <w:t>This chapter detailed the datasets, grid simulation environment, baseline methods, and evaluation metrics used to assess the proposed approach. By combining forecasting accuracy with grid-level performance indicators, the experimental design provides a rigorous and realistic evaluation of grid-aware MARL in solar-dominated power systems.</w:t>
      </w:r>
    </w:p>
    <w:p w14:paraId="16C3ABE2" w14:textId="77777777" w:rsidR="006F2E41" w:rsidRPr="00A34D32" w:rsidRDefault="006F2E41"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p>
    <w:p w14:paraId="0229BDCF" w14:textId="77777777" w:rsidR="00534AD6" w:rsidRPr="00020057" w:rsidRDefault="00534AD6"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6. Results and Discussion</w:t>
      </w:r>
    </w:p>
    <w:p w14:paraId="1663523E" w14:textId="77777777" w:rsidR="00534AD6" w:rsidRPr="00020057" w:rsidRDefault="00534AD6" w:rsidP="00020057">
      <w:pPr>
        <w:pStyle w:val="Heading3"/>
        <w:jc w:val="both"/>
        <w:rPr>
          <w:sz w:val="24"/>
          <w:szCs w:val="24"/>
        </w:rPr>
      </w:pPr>
      <w:r w:rsidRPr="00020057">
        <w:rPr>
          <w:rStyle w:val="Strong"/>
          <w:b/>
          <w:bCs/>
          <w:sz w:val="24"/>
          <w:szCs w:val="24"/>
        </w:rPr>
        <w:t>6.1 Overview of Experimental Results</w:t>
      </w:r>
    </w:p>
    <w:p w14:paraId="7B56D629" w14:textId="77777777" w:rsidR="00534AD6" w:rsidRPr="00020057" w:rsidRDefault="00534AD6" w:rsidP="00020057">
      <w:pPr>
        <w:pStyle w:val="NormalWeb"/>
        <w:jc w:val="both"/>
      </w:pPr>
      <w:r w:rsidRPr="00020057">
        <w:lastRenderedPageBreak/>
        <w:t xml:space="preserve">This chapter evaluates the effectiveness of the proposed grid-aware multi-agent reinforcement learning (MARL) framework across three dimensions: </w:t>
      </w:r>
      <w:r w:rsidRPr="006F2E41">
        <w:rPr>
          <w:rStyle w:val="Strong"/>
          <w:b w:val="0"/>
          <w:bCs w:val="0"/>
        </w:rPr>
        <w:t>forecasting accuracy</w:t>
      </w:r>
      <w:r w:rsidRPr="006F2E41">
        <w:rPr>
          <w:b/>
          <w:bCs/>
        </w:rPr>
        <w:t xml:space="preserve">, </w:t>
      </w:r>
      <w:r w:rsidRPr="006F2E41">
        <w:rPr>
          <w:rStyle w:val="Strong"/>
          <w:b w:val="0"/>
          <w:bCs w:val="0"/>
        </w:rPr>
        <w:t>grid stability</w:t>
      </w:r>
      <w:r w:rsidRPr="006F2E41">
        <w:rPr>
          <w:b/>
          <w:bCs/>
        </w:rPr>
        <w:t xml:space="preserve">, </w:t>
      </w:r>
      <w:r w:rsidRPr="006F2E41">
        <w:t xml:space="preserve">and </w:t>
      </w:r>
      <w:r w:rsidRPr="006F2E41">
        <w:rPr>
          <w:rStyle w:val="Strong"/>
          <w:b w:val="0"/>
          <w:bCs w:val="0"/>
        </w:rPr>
        <w:t>operational efficiency</w:t>
      </w:r>
      <w:r w:rsidRPr="006F2E41">
        <w:rPr>
          <w:b/>
          <w:bCs/>
        </w:rPr>
        <w:t xml:space="preserve">. </w:t>
      </w:r>
      <w:r w:rsidRPr="00020057">
        <w:t>The results are compared against conventional forecasting models, single-agent reinforcement learning, and non-grid-aware MARL baselines. The analysis focuses not only on absolute performance gains, but also on robustness, scalability, and practical relevance for real-world grid operation.</w:t>
      </w:r>
    </w:p>
    <w:p w14:paraId="0BBE77A4" w14:textId="77777777" w:rsidR="00534AD6" w:rsidRPr="00020057" w:rsidRDefault="00534AD6" w:rsidP="00020057">
      <w:pPr>
        <w:pStyle w:val="Heading3"/>
        <w:jc w:val="both"/>
        <w:rPr>
          <w:sz w:val="24"/>
          <w:szCs w:val="24"/>
        </w:rPr>
      </w:pPr>
      <w:r w:rsidRPr="00020057">
        <w:rPr>
          <w:rStyle w:val="Strong"/>
          <w:b/>
          <w:bCs/>
          <w:sz w:val="24"/>
          <w:szCs w:val="24"/>
        </w:rPr>
        <w:t>6.2 Solar Power Forecasting Performance</w:t>
      </w:r>
    </w:p>
    <w:p w14:paraId="25007791" w14:textId="77777777" w:rsidR="00534AD6" w:rsidRPr="00020057" w:rsidRDefault="00534AD6" w:rsidP="00020057">
      <w:pPr>
        <w:pStyle w:val="NormalWeb"/>
        <w:jc w:val="both"/>
      </w:pPr>
      <w:r w:rsidRPr="00020057">
        <w:t>Table 3 summarizes the forecasting accuracy of all evaluated methods using standard error metrics.</w:t>
      </w:r>
    </w:p>
    <w:p w14:paraId="1DF7B6DE" w14:textId="77777777" w:rsidR="00534AD6" w:rsidRPr="00020057" w:rsidRDefault="00534AD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Table 3 — Forecasting Performance Comparison</w:t>
      </w:r>
    </w:p>
    <w:tbl>
      <w:tblPr>
        <w:tblStyle w:val="TableGrid"/>
        <w:tblW w:w="9329" w:type="dxa"/>
        <w:tblLook w:val="04A0" w:firstRow="1" w:lastRow="0" w:firstColumn="1" w:lastColumn="0" w:noHBand="0" w:noVBand="1"/>
      </w:tblPr>
      <w:tblGrid>
        <w:gridCol w:w="4063"/>
        <w:gridCol w:w="1695"/>
        <w:gridCol w:w="1860"/>
        <w:gridCol w:w="1711"/>
      </w:tblGrid>
      <w:tr w:rsidR="00534AD6" w:rsidRPr="00534AD6" w14:paraId="42E992D9" w14:textId="77777777" w:rsidTr="006F2E41">
        <w:trPr>
          <w:trHeight w:val="398"/>
        </w:trPr>
        <w:tc>
          <w:tcPr>
            <w:tcW w:w="0" w:type="auto"/>
            <w:hideMark/>
          </w:tcPr>
          <w:p w14:paraId="102CE28C"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Method</w:t>
            </w:r>
          </w:p>
        </w:tc>
        <w:tc>
          <w:tcPr>
            <w:tcW w:w="0" w:type="auto"/>
            <w:hideMark/>
          </w:tcPr>
          <w:p w14:paraId="24FBC770"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MAE (kW)</w:t>
            </w:r>
          </w:p>
        </w:tc>
        <w:tc>
          <w:tcPr>
            <w:tcW w:w="0" w:type="auto"/>
            <w:hideMark/>
          </w:tcPr>
          <w:p w14:paraId="6A1EDE77"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RMSE (kW)</w:t>
            </w:r>
          </w:p>
        </w:tc>
        <w:tc>
          <w:tcPr>
            <w:tcW w:w="0" w:type="auto"/>
            <w:hideMark/>
          </w:tcPr>
          <w:p w14:paraId="3D495FB6"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MAPE (%)</w:t>
            </w:r>
          </w:p>
        </w:tc>
      </w:tr>
      <w:tr w:rsidR="00534AD6" w:rsidRPr="00534AD6" w14:paraId="0CF78CF1" w14:textId="77777777" w:rsidTr="006F2E41">
        <w:trPr>
          <w:trHeight w:val="412"/>
        </w:trPr>
        <w:tc>
          <w:tcPr>
            <w:tcW w:w="0" w:type="auto"/>
            <w:hideMark/>
          </w:tcPr>
          <w:p w14:paraId="15B35E7C"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Persistence</w:t>
            </w:r>
          </w:p>
        </w:tc>
        <w:tc>
          <w:tcPr>
            <w:tcW w:w="0" w:type="auto"/>
            <w:hideMark/>
          </w:tcPr>
          <w:p w14:paraId="1D3C71BF" w14:textId="4EEB8955"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42.3</w:t>
            </w:r>
          </w:p>
        </w:tc>
        <w:tc>
          <w:tcPr>
            <w:tcW w:w="0" w:type="auto"/>
            <w:hideMark/>
          </w:tcPr>
          <w:p w14:paraId="32E476CB" w14:textId="632C124A"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58.9</w:t>
            </w:r>
          </w:p>
        </w:tc>
        <w:tc>
          <w:tcPr>
            <w:tcW w:w="0" w:type="auto"/>
            <w:hideMark/>
          </w:tcPr>
          <w:p w14:paraId="01AE0B63" w14:textId="5025C604"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18.6</w:t>
            </w:r>
          </w:p>
        </w:tc>
      </w:tr>
      <w:tr w:rsidR="00534AD6" w:rsidRPr="00534AD6" w14:paraId="3E616177" w14:textId="77777777" w:rsidTr="006F2E41">
        <w:trPr>
          <w:trHeight w:val="398"/>
        </w:trPr>
        <w:tc>
          <w:tcPr>
            <w:tcW w:w="0" w:type="auto"/>
            <w:hideMark/>
          </w:tcPr>
          <w:p w14:paraId="0FE6A0F8"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LSTM</w:t>
            </w:r>
          </w:p>
        </w:tc>
        <w:tc>
          <w:tcPr>
            <w:tcW w:w="0" w:type="auto"/>
            <w:hideMark/>
          </w:tcPr>
          <w:p w14:paraId="1DBA0308" w14:textId="32D9219E"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28.7</w:t>
            </w:r>
          </w:p>
        </w:tc>
        <w:tc>
          <w:tcPr>
            <w:tcW w:w="0" w:type="auto"/>
            <w:hideMark/>
          </w:tcPr>
          <w:p w14:paraId="0413164D" w14:textId="7A427915"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39.2</w:t>
            </w:r>
          </w:p>
        </w:tc>
        <w:tc>
          <w:tcPr>
            <w:tcW w:w="0" w:type="auto"/>
            <w:hideMark/>
          </w:tcPr>
          <w:p w14:paraId="6B4B2F45" w14:textId="78A18E79"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12.4</w:t>
            </w:r>
          </w:p>
        </w:tc>
      </w:tr>
      <w:tr w:rsidR="00534AD6" w:rsidRPr="00534AD6" w14:paraId="2FDCB910" w14:textId="77777777" w:rsidTr="006F2E41">
        <w:trPr>
          <w:trHeight w:val="412"/>
        </w:trPr>
        <w:tc>
          <w:tcPr>
            <w:tcW w:w="0" w:type="auto"/>
            <w:hideMark/>
          </w:tcPr>
          <w:p w14:paraId="38E4E9F9"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Single-Agent RL</w:t>
            </w:r>
          </w:p>
        </w:tc>
        <w:tc>
          <w:tcPr>
            <w:tcW w:w="0" w:type="auto"/>
            <w:hideMark/>
          </w:tcPr>
          <w:p w14:paraId="40F0C3D5" w14:textId="73BD32AB"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25.4</w:t>
            </w:r>
          </w:p>
        </w:tc>
        <w:tc>
          <w:tcPr>
            <w:tcW w:w="0" w:type="auto"/>
            <w:hideMark/>
          </w:tcPr>
          <w:p w14:paraId="6F959C11" w14:textId="792E24B0"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35.1</w:t>
            </w:r>
          </w:p>
        </w:tc>
        <w:tc>
          <w:tcPr>
            <w:tcW w:w="0" w:type="auto"/>
            <w:hideMark/>
          </w:tcPr>
          <w:p w14:paraId="59912246" w14:textId="68B45328"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11.1</w:t>
            </w:r>
          </w:p>
        </w:tc>
      </w:tr>
      <w:tr w:rsidR="00534AD6" w:rsidRPr="00534AD6" w14:paraId="2A4BEC28" w14:textId="77777777" w:rsidTr="006F2E41">
        <w:trPr>
          <w:trHeight w:val="398"/>
        </w:trPr>
        <w:tc>
          <w:tcPr>
            <w:tcW w:w="0" w:type="auto"/>
            <w:hideMark/>
          </w:tcPr>
          <w:p w14:paraId="41B4684A"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Conventional MARL</w:t>
            </w:r>
          </w:p>
        </w:tc>
        <w:tc>
          <w:tcPr>
            <w:tcW w:w="0" w:type="auto"/>
            <w:hideMark/>
          </w:tcPr>
          <w:p w14:paraId="4111B1AE" w14:textId="18865024"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23.9</w:t>
            </w:r>
          </w:p>
        </w:tc>
        <w:tc>
          <w:tcPr>
            <w:tcW w:w="0" w:type="auto"/>
            <w:hideMark/>
          </w:tcPr>
          <w:p w14:paraId="5EDA2F09" w14:textId="54C087FF"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33.4</w:t>
            </w:r>
          </w:p>
        </w:tc>
        <w:tc>
          <w:tcPr>
            <w:tcW w:w="0" w:type="auto"/>
            <w:hideMark/>
          </w:tcPr>
          <w:p w14:paraId="734B4967" w14:textId="2BCDD5FA"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color w:val="1F1F1F"/>
                <w:sz w:val="24"/>
                <w:szCs w:val="24"/>
                <w:bdr w:val="none" w:sz="0" w:space="0" w:color="auto" w:frame="1"/>
                <w:lang w:eastAsia="en-LR"/>
              </w:rPr>
              <w:t>10.5</w:t>
            </w:r>
          </w:p>
        </w:tc>
      </w:tr>
      <w:tr w:rsidR="00534AD6" w:rsidRPr="00534AD6" w14:paraId="08825685" w14:textId="77777777" w:rsidTr="006F2E41">
        <w:trPr>
          <w:trHeight w:val="398"/>
        </w:trPr>
        <w:tc>
          <w:tcPr>
            <w:tcW w:w="0" w:type="auto"/>
            <w:hideMark/>
          </w:tcPr>
          <w:p w14:paraId="3DAF7833" w14:textId="77777777"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Proposed Grid-Aware MARL</w:t>
            </w:r>
          </w:p>
        </w:tc>
        <w:tc>
          <w:tcPr>
            <w:tcW w:w="0" w:type="auto"/>
            <w:hideMark/>
          </w:tcPr>
          <w:p w14:paraId="0FA302D0" w14:textId="11237684"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19.6</w:t>
            </w:r>
          </w:p>
        </w:tc>
        <w:tc>
          <w:tcPr>
            <w:tcW w:w="0" w:type="auto"/>
            <w:hideMark/>
          </w:tcPr>
          <w:p w14:paraId="7BAFA792" w14:textId="3D788CDB"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27.8</w:t>
            </w:r>
          </w:p>
        </w:tc>
        <w:tc>
          <w:tcPr>
            <w:tcW w:w="0" w:type="auto"/>
            <w:hideMark/>
          </w:tcPr>
          <w:p w14:paraId="1CBC8D38" w14:textId="1429B45B" w:rsidR="00534AD6" w:rsidRPr="00534AD6" w:rsidRDefault="00534AD6" w:rsidP="00020057">
            <w:pPr>
              <w:jc w:val="both"/>
              <w:rPr>
                <w:rFonts w:ascii="Times New Roman" w:eastAsia="Times New Roman" w:hAnsi="Times New Roman" w:cs="Times New Roman"/>
                <w:color w:val="1F1F1F"/>
                <w:sz w:val="24"/>
                <w:szCs w:val="24"/>
                <w:lang w:eastAsia="en-LR"/>
              </w:rPr>
            </w:pPr>
            <w:r w:rsidRPr="00534AD6">
              <w:rPr>
                <w:rFonts w:ascii="Times New Roman" w:eastAsia="Times New Roman" w:hAnsi="Times New Roman" w:cs="Times New Roman"/>
                <w:b/>
                <w:bCs/>
                <w:color w:val="1F1F1F"/>
                <w:sz w:val="24"/>
                <w:szCs w:val="24"/>
                <w:bdr w:val="none" w:sz="0" w:space="0" w:color="auto" w:frame="1"/>
                <w:lang w:eastAsia="en-LR"/>
              </w:rPr>
              <w:t>8.3</w:t>
            </w:r>
          </w:p>
        </w:tc>
      </w:tr>
    </w:tbl>
    <w:p w14:paraId="5AE2DE20" w14:textId="542A59F3" w:rsidR="00A34D32" w:rsidRPr="00020057" w:rsidRDefault="00A34D32" w:rsidP="00020057">
      <w:pPr>
        <w:jc w:val="both"/>
        <w:rPr>
          <w:rFonts w:ascii="Times New Roman" w:hAnsi="Times New Roman" w:cs="Times New Roman"/>
          <w:sz w:val="24"/>
          <w:szCs w:val="24"/>
          <w:lang w:val="en-US"/>
        </w:rPr>
      </w:pPr>
    </w:p>
    <w:p w14:paraId="77C9AF97" w14:textId="6FECB898" w:rsidR="00BC6600" w:rsidRPr="00020057" w:rsidRDefault="00BC6600"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Deep learning–based LSTM models substantially outperform persistence forecasting, confirming their ability to capture nonlinear temporal patterns. Reinforcement learning–based approaches further reduce forecasting errors by incorporating decision feedback. Notably, the proposed grid-aware MARL achieves the lowest MAE and RMSE across all metrics. This improvement stems from the </w:t>
      </w:r>
      <w:r w:rsidRPr="00020057">
        <w:rPr>
          <w:rStyle w:val="Strong"/>
          <w:rFonts w:ascii="Times New Roman" w:hAnsi="Times New Roman" w:cs="Times New Roman"/>
          <w:sz w:val="24"/>
          <w:szCs w:val="24"/>
        </w:rPr>
        <w:t>joint optimization of forecasting and control</w:t>
      </w:r>
      <w:r w:rsidRPr="00020057">
        <w:rPr>
          <w:rFonts w:ascii="Times New Roman" w:hAnsi="Times New Roman" w:cs="Times New Roman"/>
          <w:sz w:val="24"/>
          <w:szCs w:val="24"/>
        </w:rPr>
        <w:t>, where agents learn to avoid forecasts that, while statistically accurate, would lead to grid stress or costly corrective actions.</w:t>
      </w:r>
    </w:p>
    <w:p w14:paraId="5257B339" w14:textId="77777777" w:rsidR="00BC6600" w:rsidRPr="00020057" w:rsidRDefault="00BC6600" w:rsidP="00020057">
      <w:pPr>
        <w:pStyle w:val="Heading3"/>
        <w:jc w:val="both"/>
        <w:rPr>
          <w:sz w:val="24"/>
          <w:szCs w:val="24"/>
        </w:rPr>
      </w:pPr>
      <w:r w:rsidRPr="00020057">
        <w:rPr>
          <w:rStyle w:val="Strong"/>
          <w:b/>
          <w:bCs/>
          <w:sz w:val="24"/>
          <w:szCs w:val="24"/>
        </w:rPr>
        <w:t>6.3 Forecast Trajectory Analysis</w:t>
      </w:r>
    </w:p>
    <w:p w14:paraId="09837C1C" w14:textId="77777777" w:rsidR="00BC6600" w:rsidRPr="00020057" w:rsidRDefault="00BC6600" w:rsidP="00020057">
      <w:pPr>
        <w:pStyle w:val="NormalWeb"/>
        <w:jc w:val="both"/>
      </w:pPr>
      <w:r w:rsidRPr="00020057">
        <w:t>Figure 3 illustrates representative forecast trajectories produced by the proposed MARL framework compared with actual solar power output.</w:t>
      </w:r>
    </w:p>
    <w:p w14:paraId="67729946" w14:textId="4F66C507" w:rsidR="00BC6600" w:rsidRPr="00020057" w:rsidRDefault="00BC6600" w:rsidP="00020057">
      <w:pPr>
        <w:jc w:val="both"/>
        <w:rPr>
          <w:rFonts w:ascii="Times New Roman" w:hAnsi="Times New Roman" w:cs="Times New Roman"/>
          <w:sz w:val="24"/>
          <w:szCs w:val="24"/>
          <w:lang w:val="en-US"/>
        </w:rPr>
      </w:pPr>
      <w:r w:rsidRPr="00020057">
        <w:rPr>
          <w:rFonts w:ascii="Times New Roman" w:hAnsi="Times New Roman" w:cs="Times New Roman"/>
          <w:noProof/>
          <w:sz w:val="24"/>
          <w:szCs w:val="24"/>
          <w:lang w:val="en-US"/>
        </w:rPr>
        <w:lastRenderedPageBreak/>
        <w:drawing>
          <wp:inline distT="0" distB="0" distL="0" distR="0" wp14:anchorId="340A96D0" wp14:editId="4C28E340">
            <wp:extent cx="4368800" cy="329233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3003" cy="3295498"/>
                    </a:xfrm>
                    <a:prstGeom prst="rect">
                      <a:avLst/>
                    </a:prstGeom>
                  </pic:spPr>
                </pic:pic>
              </a:graphicData>
            </a:graphic>
          </wp:inline>
        </w:drawing>
      </w:r>
    </w:p>
    <w:p w14:paraId="307F2702" w14:textId="77777777" w:rsidR="00A222D6" w:rsidRPr="00020057" w:rsidRDefault="00A222D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3 — Forecast vs. Actual Solar Power</w:t>
      </w:r>
    </w:p>
    <w:p w14:paraId="34A1712A" w14:textId="5449BF77" w:rsidR="00A222D6" w:rsidRPr="00020057" w:rsidRDefault="00A222D6" w:rsidP="00020057">
      <w:pPr>
        <w:jc w:val="both"/>
        <w:rPr>
          <w:rFonts w:ascii="Times New Roman" w:hAnsi="Times New Roman" w:cs="Times New Roman"/>
          <w:sz w:val="24"/>
          <w:szCs w:val="24"/>
          <w:lang w:val="en-US"/>
        </w:rPr>
      </w:pPr>
    </w:p>
    <w:p w14:paraId="2C430D0D" w14:textId="725916FC" w:rsidR="00A222D6" w:rsidRPr="00020057" w:rsidRDefault="00A222D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The proposed MARL model closely tracks rapid changes in solar output while suppressing high-frequency noise. This </w:t>
      </w:r>
      <w:proofErr w:type="spellStart"/>
      <w:r w:rsidRPr="00020057">
        <w:rPr>
          <w:rFonts w:ascii="Times New Roman" w:hAnsi="Times New Roman" w:cs="Times New Roman"/>
          <w:sz w:val="24"/>
          <w:szCs w:val="24"/>
        </w:rPr>
        <w:t>behavior</w:t>
      </w:r>
      <w:proofErr w:type="spellEnd"/>
      <w:r w:rsidRPr="00020057">
        <w:rPr>
          <w:rFonts w:ascii="Times New Roman" w:hAnsi="Times New Roman" w:cs="Times New Roman"/>
          <w:sz w:val="24"/>
          <w:szCs w:val="24"/>
        </w:rPr>
        <w:t xml:space="preserve"> is particularly beneficial for grid operation, as overly volatile forecasts can trigger unnecessary reserve deployment or curtailment actions.</w:t>
      </w:r>
    </w:p>
    <w:p w14:paraId="5ED3AAF8" w14:textId="77777777" w:rsidR="00A222D6" w:rsidRPr="00020057" w:rsidRDefault="00A222D6" w:rsidP="00020057">
      <w:pPr>
        <w:jc w:val="both"/>
        <w:rPr>
          <w:rFonts w:ascii="Times New Roman" w:hAnsi="Times New Roman" w:cs="Times New Roman"/>
          <w:sz w:val="24"/>
          <w:szCs w:val="24"/>
        </w:rPr>
      </w:pPr>
    </w:p>
    <w:p w14:paraId="60EDE386" w14:textId="77777777" w:rsidR="00A222D6" w:rsidRPr="00020057" w:rsidRDefault="00A222D6" w:rsidP="00020057">
      <w:pPr>
        <w:pStyle w:val="Heading3"/>
        <w:jc w:val="both"/>
        <w:rPr>
          <w:sz w:val="24"/>
          <w:szCs w:val="24"/>
        </w:rPr>
      </w:pPr>
      <w:r w:rsidRPr="00020057">
        <w:rPr>
          <w:rStyle w:val="Strong"/>
          <w:b/>
          <w:bCs/>
          <w:sz w:val="24"/>
          <w:szCs w:val="24"/>
        </w:rPr>
        <w:t>6.4 Grid Stability Performance</w:t>
      </w:r>
    </w:p>
    <w:p w14:paraId="213E75A1" w14:textId="76AED2B2" w:rsidR="00A222D6" w:rsidRPr="00020057" w:rsidRDefault="00A222D6" w:rsidP="00020057">
      <w:pPr>
        <w:pStyle w:val="NormalWeb"/>
        <w:jc w:val="both"/>
      </w:pPr>
      <w:r w:rsidRPr="00020057">
        <w:t>Beyond forecasting accuracy, grid stability is a primary evaluation criterion. Figure 4 compares voltage deviation levels across different methods.</w:t>
      </w:r>
    </w:p>
    <w:p w14:paraId="7E5F641F" w14:textId="72A4C97C" w:rsidR="00A222D6" w:rsidRPr="00020057" w:rsidRDefault="00A222D6" w:rsidP="00020057">
      <w:pPr>
        <w:pStyle w:val="NormalWeb"/>
        <w:jc w:val="both"/>
      </w:pPr>
      <w:r w:rsidRPr="00020057">
        <w:rPr>
          <w:noProof/>
        </w:rPr>
        <w:lastRenderedPageBreak/>
        <w:drawing>
          <wp:inline distT="0" distB="0" distL="0" distR="0" wp14:anchorId="29C088A1" wp14:editId="53E77C9F">
            <wp:extent cx="5731510" cy="35820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7632C529" w14:textId="2C90EAA1" w:rsidR="00A222D6" w:rsidRPr="00020057" w:rsidRDefault="00A222D6" w:rsidP="00020057">
      <w:pPr>
        <w:pStyle w:val="Heading4"/>
        <w:jc w:val="both"/>
        <w:rPr>
          <w:rStyle w:val="Strong"/>
          <w:rFonts w:ascii="Times New Roman" w:hAnsi="Times New Roman" w:cs="Times New Roman"/>
          <w:sz w:val="24"/>
          <w:szCs w:val="24"/>
        </w:rPr>
      </w:pPr>
      <w:r w:rsidRPr="00020057">
        <w:rPr>
          <w:rStyle w:val="Strong"/>
          <w:rFonts w:ascii="Times New Roman" w:hAnsi="Times New Roman" w:cs="Times New Roman"/>
          <w:sz w:val="24"/>
          <w:szCs w:val="24"/>
        </w:rPr>
        <w:t>Figure 4 — Voltage Deviation Comparison</w:t>
      </w:r>
    </w:p>
    <w:p w14:paraId="4E85F595" w14:textId="042B3FD5" w:rsidR="00A222D6" w:rsidRPr="00020057" w:rsidRDefault="00A222D6" w:rsidP="00020057">
      <w:pPr>
        <w:jc w:val="both"/>
        <w:rPr>
          <w:rFonts w:ascii="Times New Roman" w:hAnsi="Times New Roman" w:cs="Times New Roman"/>
          <w:sz w:val="24"/>
          <w:szCs w:val="24"/>
        </w:rPr>
      </w:pPr>
    </w:p>
    <w:p w14:paraId="0A3C74AC" w14:textId="36D27F33" w:rsidR="00A222D6" w:rsidRPr="00020057" w:rsidRDefault="00A222D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The proposed grid-aware MARL significantly reduces voltage deviations compared with all baselines. Conventional MARL improves stability relative to centralized RL, but still fails to fully internalize grid constraints. By explicitly penalizing voltage violations in the reward function, the proposed approach enables agents to proactively adjust dispatch and curtailment decisions before violations occur.</w:t>
      </w:r>
    </w:p>
    <w:p w14:paraId="68E08F50" w14:textId="36206FAD" w:rsidR="00A222D6" w:rsidRPr="00020057" w:rsidRDefault="00A222D6" w:rsidP="00020057">
      <w:pPr>
        <w:jc w:val="both"/>
        <w:rPr>
          <w:rFonts w:ascii="Times New Roman" w:hAnsi="Times New Roman" w:cs="Times New Roman"/>
          <w:sz w:val="24"/>
          <w:szCs w:val="24"/>
        </w:rPr>
      </w:pPr>
    </w:p>
    <w:p w14:paraId="09E6DF69" w14:textId="77777777" w:rsidR="00A222D6" w:rsidRPr="00020057" w:rsidRDefault="00A222D6" w:rsidP="00020057">
      <w:pPr>
        <w:pStyle w:val="Heading3"/>
        <w:jc w:val="both"/>
        <w:rPr>
          <w:sz w:val="24"/>
          <w:szCs w:val="24"/>
        </w:rPr>
      </w:pPr>
      <w:r w:rsidRPr="00020057">
        <w:rPr>
          <w:rStyle w:val="Strong"/>
          <w:b/>
          <w:bCs/>
          <w:sz w:val="24"/>
          <w:szCs w:val="24"/>
        </w:rPr>
        <w:t>6.5 Frequency Stability and Constraint Violations</w:t>
      </w:r>
    </w:p>
    <w:p w14:paraId="79156F78" w14:textId="15690C21" w:rsidR="00A222D6" w:rsidRPr="00020057" w:rsidRDefault="00A222D6" w:rsidP="00020057">
      <w:pPr>
        <w:pStyle w:val="NormalWeb"/>
        <w:jc w:val="both"/>
      </w:pPr>
      <w:r w:rsidRPr="00020057">
        <w:t>Frequency violations are rare but critical events. Figure 5 shows the frequency violation count per day.</w:t>
      </w:r>
    </w:p>
    <w:p w14:paraId="7A03097A" w14:textId="4872FBCA" w:rsidR="00A222D6" w:rsidRPr="00020057" w:rsidRDefault="006E3C16" w:rsidP="00020057">
      <w:pPr>
        <w:pStyle w:val="NormalWeb"/>
        <w:jc w:val="both"/>
      </w:pPr>
      <w:r w:rsidRPr="00020057">
        <w:rPr>
          <w:noProof/>
        </w:rPr>
        <w:lastRenderedPageBreak/>
        <w:drawing>
          <wp:inline distT="0" distB="0" distL="0" distR="0" wp14:anchorId="7E324FDE" wp14:editId="32547C3A">
            <wp:extent cx="5731510" cy="3582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466254DD" w14:textId="77777777" w:rsidR="00A222D6" w:rsidRPr="00020057" w:rsidRDefault="00A222D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5 — Frequency Violation Frequency</w:t>
      </w:r>
    </w:p>
    <w:p w14:paraId="4466A9C2" w14:textId="6E2E7C99" w:rsidR="00A222D6" w:rsidRPr="00020057" w:rsidRDefault="00A222D6" w:rsidP="00020057">
      <w:pPr>
        <w:jc w:val="both"/>
        <w:rPr>
          <w:rFonts w:ascii="Times New Roman" w:hAnsi="Times New Roman" w:cs="Times New Roman"/>
          <w:sz w:val="24"/>
          <w:szCs w:val="24"/>
        </w:rPr>
      </w:pPr>
    </w:p>
    <w:p w14:paraId="086EEBBD" w14:textId="31F6BB69" w:rsidR="006E3C16" w:rsidRPr="00020057" w:rsidRDefault="006E3C1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The results indicate that grid-aware MARL reduces frequency violations by more than 50% compared to single-agent RL. This improvement highlights the importance of </w:t>
      </w:r>
      <w:r w:rsidRPr="00020057">
        <w:rPr>
          <w:rStyle w:val="Strong"/>
          <w:rFonts w:ascii="Times New Roman" w:hAnsi="Times New Roman" w:cs="Times New Roman"/>
          <w:sz w:val="24"/>
          <w:szCs w:val="24"/>
        </w:rPr>
        <w:t>coordinated decentralized decision-making</w:t>
      </w:r>
      <w:r w:rsidRPr="00020057">
        <w:rPr>
          <w:rFonts w:ascii="Times New Roman" w:hAnsi="Times New Roman" w:cs="Times New Roman"/>
          <w:sz w:val="24"/>
          <w:szCs w:val="24"/>
        </w:rPr>
        <w:t>, particularly under high renewable variability.</w:t>
      </w:r>
    </w:p>
    <w:p w14:paraId="61807A6B" w14:textId="18E53B75" w:rsidR="006E3C16" w:rsidRPr="00020057" w:rsidRDefault="006E3C16" w:rsidP="00020057">
      <w:pPr>
        <w:jc w:val="both"/>
        <w:rPr>
          <w:rFonts w:ascii="Times New Roman" w:hAnsi="Times New Roman" w:cs="Times New Roman"/>
          <w:sz w:val="24"/>
          <w:szCs w:val="24"/>
        </w:rPr>
      </w:pPr>
    </w:p>
    <w:p w14:paraId="4650245D" w14:textId="77777777" w:rsidR="006E3C16" w:rsidRPr="00020057" w:rsidRDefault="006E3C16" w:rsidP="00020057">
      <w:pPr>
        <w:pStyle w:val="Heading3"/>
        <w:jc w:val="both"/>
        <w:rPr>
          <w:sz w:val="24"/>
          <w:szCs w:val="24"/>
        </w:rPr>
      </w:pPr>
      <w:r w:rsidRPr="00020057">
        <w:rPr>
          <w:rStyle w:val="Strong"/>
          <w:b/>
          <w:bCs/>
          <w:sz w:val="24"/>
          <w:szCs w:val="24"/>
        </w:rPr>
        <w:t>6.6 Operational Cost and Curtailment Analysis</w:t>
      </w:r>
    </w:p>
    <w:p w14:paraId="12AD7038" w14:textId="22B6C606" w:rsidR="006E3C16" w:rsidRPr="00020057" w:rsidRDefault="006E3C16" w:rsidP="00020057">
      <w:pPr>
        <w:pStyle w:val="NormalWeb"/>
        <w:jc w:val="both"/>
      </w:pPr>
      <w:r w:rsidRPr="00020057">
        <w:t>Operational efficiency is evaluated through total cost and solar curtailment ratios.</w:t>
      </w:r>
    </w:p>
    <w:p w14:paraId="27394BB0" w14:textId="77777777" w:rsidR="006E3C16" w:rsidRPr="00020057" w:rsidRDefault="006E3C1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Table 4 — Operational Efficiency Metrics</w:t>
      </w:r>
    </w:p>
    <w:tbl>
      <w:tblPr>
        <w:tblStyle w:val="TableGrid"/>
        <w:tblW w:w="0" w:type="auto"/>
        <w:tblLook w:val="04A0" w:firstRow="1" w:lastRow="0" w:firstColumn="1" w:lastColumn="0" w:noHBand="0" w:noVBand="1"/>
      </w:tblPr>
      <w:tblGrid>
        <w:gridCol w:w="3283"/>
        <w:gridCol w:w="2070"/>
        <w:gridCol w:w="1943"/>
      </w:tblGrid>
      <w:tr w:rsidR="006E3C16" w:rsidRPr="006E3C16" w14:paraId="461E7267" w14:textId="77777777" w:rsidTr="006E3C16">
        <w:tc>
          <w:tcPr>
            <w:tcW w:w="0" w:type="auto"/>
            <w:hideMark/>
          </w:tcPr>
          <w:p w14:paraId="7FC6941F"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Method</w:t>
            </w:r>
          </w:p>
        </w:tc>
        <w:tc>
          <w:tcPr>
            <w:tcW w:w="0" w:type="auto"/>
            <w:hideMark/>
          </w:tcPr>
          <w:p w14:paraId="002D6FB0"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Total Cost ($/day)</w:t>
            </w:r>
          </w:p>
        </w:tc>
        <w:tc>
          <w:tcPr>
            <w:tcW w:w="0" w:type="auto"/>
            <w:hideMark/>
          </w:tcPr>
          <w:p w14:paraId="6A226F8D"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Curtailment (%)</w:t>
            </w:r>
          </w:p>
        </w:tc>
      </w:tr>
      <w:tr w:rsidR="006E3C16" w:rsidRPr="006E3C16" w14:paraId="626EA6A7" w14:textId="77777777" w:rsidTr="006E3C16">
        <w:tc>
          <w:tcPr>
            <w:tcW w:w="0" w:type="auto"/>
            <w:hideMark/>
          </w:tcPr>
          <w:p w14:paraId="1917BD26"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SARL</w:t>
            </w:r>
          </w:p>
        </w:tc>
        <w:tc>
          <w:tcPr>
            <w:tcW w:w="0" w:type="auto"/>
            <w:hideMark/>
          </w:tcPr>
          <w:p w14:paraId="3EC02B94" w14:textId="3B52C2F0"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1420</w:t>
            </w:r>
          </w:p>
        </w:tc>
        <w:tc>
          <w:tcPr>
            <w:tcW w:w="0" w:type="auto"/>
            <w:hideMark/>
          </w:tcPr>
          <w:p w14:paraId="6D549F42" w14:textId="401F3436"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12.3</w:t>
            </w:r>
          </w:p>
        </w:tc>
      </w:tr>
      <w:tr w:rsidR="006E3C16" w:rsidRPr="006E3C16" w14:paraId="204869BF" w14:textId="77777777" w:rsidTr="006E3C16">
        <w:tc>
          <w:tcPr>
            <w:tcW w:w="0" w:type="auto"/>
            <w:hideMark/>
          </w:tcPr>
          <w:p w14:paraId="49FC424A"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Conv. MARL</w:t>
            </w:r>
          </w:p>
        </w:tc>
        <w:tc>
          <w:tcPr>
            <w:tcW w:w="0" w:type="auto"/>
            <w:hideMark/>
          </w:tcPr>
          <w:p w14:paraId="6D87E0C1" w14:textId="710D4122"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1180</w:t>
            </w:r>
          </w:p>
        </w:tc>
        <w:tc>
          <w:tcPr>
            <w:tcW w:w="0" w:type="auto"/>
            <w:hideMark/>
          </w:tcPr>
          <w:p w14:paraId="10C63E15" w14:textId="22235276"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8.7</w:t>
            </w:r>
          </w:p>
        </w:tc>
      </w:tr>
      <w:tr w:rsidR="006E3C16" w:rsidRPr="006E3C16" w14:paraId="3FC54723" w14:textId="77777777" w:rsidTr="006E3C16">
        <w:tc>
          <w:tcPr>
            <w:tcW w:w="0" w:type="auto"/>
            <w:hideMark/>
          </w:tcPr>
          <w:p w14:paraId="150D8E1E" w14:textId="77777777"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Proposed Grid-Aware MARL</w:t>
            </w:r>
          </w:p>
        </w:tc>
        <w:tc>
          <w:tcPr>
            <w:tcW w:w="0" w:type="auto"/>
            <w:hideMark/>
          </w:tcPr>
          <w:p w14:paraId="4411E48C" w14:textId="2A9306F4"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940</w:t>
            </w:r>
          </w:p>
        </w:tc>
        <w:tc>
          <w:tcPr>
            <w:tcW w:w="0" w:type="auto"/>
            <w:hideMark/>
          </w:tcPr>
          <w:p w14:paraId="7D79ABEB" w14:textId="508F3CFB" w:rsidR="006E3C16" w:rsidRPr="006E3C16" w:rsidRDefault="006E3C16" w:rsidP="00020057">
            <w:pPr>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4.9</w:t>
            </w:r>
          </w:p>
        </w:tc>
      </w:tr>
    </w:tbl>
    <w:p w14:paraId="2D26B027" w14:textId="0822D011" w:rsidR="006E3C16" w:rsidRPr="00020057" w:rsidRDefault="006E3C16" w:rsidP="00020057">
      <w:pPr>
        <w:jc w:val="both"/>
        <w:rPr>
          <w:rFonts w:ascii="Times New Roman" w:hAnsi="Times New Roman" w:cs="Times New Roman"/>
          <w:sz w:val="24"/>
          <w:szCs w:val="24"/>
        </w:rPr>
      </w:pPr>
    </w:p>
    <w:p w14:paraId="3A94C47D" w14:textId="7C248378" w:rsidR="006E3C16" w:rsidRPr="00020057" w:rsidRDefault="006E3C1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The proposed framework achieves the lowest operational cost and curtailment ratio. This outcome reflects the framework’s ability to </w:t>
      </w:r>
      <w:r w:rsidRPr="00020057">
        <w:rPr>
          <w:rStyle w:val="Strong"/>
          <w:rFonts w:ascii="Times New Roman" w:hAnsi="Times New Roman" w:cs="Times New Roman"/>
          <w:sz w:val="24"/>
          <w:szCs w:val="24"/>
        </w:rPr>
        <w:t>anticipate grid congestion and storage limitations</w:t>
      </w:r>
      <w:r w:rsidRPr="00020057">
        <w:rPr>
          <w:rFonts w:ascii="Times New Roman" w:hAnsi="Times New Roman" w:cs="Times New Roman"/>
          <w:sz w:val="24"/>
          <w:szCs w:val="24"/>
        </w:rPr>
        <w:t>, rather than reacting after violations occur. Reduced curtailment directly translates to higher renewable utilization and improved economic efficiency.</w:t>
      </w:r>
    </w:p>
    <w:p w14:paraId="1FD49F50" w14:textId="3AF07856" w:rsidR="006E3C16" w:rsidRPr="00020057" w:rsidRDefault="006E3C16" w:rsidP="00020057">
      <w:pPr>
        <w:jc w:val="both"/>
        <w:rPr>
          <w:rFonts w:ascii="Times New Roman" w:hAnsi="Times New Roman" w:cs="Times New Roman"/>
          <w:sz w:val="24"/>
          <w:szCs w:val="24"/>
        </w:rPr>
      </w:pPr>
    </w:p>
    <w:p w14:paraId="53B4ECD5" w14:textId="77777777" w:rsidR="006E3C16" w:rsidRPr="00020057" w:rsidRDefault="006E3C16" w:rsidP="00020057">
      <w:pPr>
        <w:pStyle w:val="Heading3"/>
        <w:jc w:val="both"/>
        <w:rPr>
          <w:sz w:val="24"/>
          <w:szCs w:val="24"/>
        </w:rPr>
      </w:pPr>
      <w:r w:rsidRPr="00020057">
        <w:rPr>
          <w:rStyle w:val="Strong"/>
          <w:b/>
          <w:bCs/>
          <w:sz w:val="24"/>
          <w:szCs w:val="24"/>
        </w:rPr>
        <w:lastRenderedPageBreak/>
        <w:t>6.7 Scalability Analysis</w:t>
      </w:r>
    </w:p>
    <w:p w14:paraId="26E19986" w14:textId="31944078" w:rsidR="006E3C16" w:rsidRPr="00020057" w:rsidRDefault="006E3C16" w:rsidP="00020057">
      <w:pPr>
        <w:pStyle w:val="NormalWeb"/>
        <w:jc w:val="both"/>
      </w:pPr>
      <w:r w:rsidRPr="00020057">
        <w:t>Figure 6 evaluates performance as the number of agents increases.</w:t>
      </w:r>
    </w:p>
    <w:p w14:paraId="10C72D70" w14:textId="2205CFD6" w:rsidR="006E3C16" w:rsidRPr="00020057" w:rsidRDefault="006E3C16" w:rsidP="00020057">
      <w:pPr>
        <w:pStyle w:val="NormalWeb"/>
        <w:jc w:val="both"/>
      </w:pPr>
      <w:r w:rsidRPr="00020057">
        <w:rPr>
          <w:noProof/>
        </w:rPr>
        <w:drawing>
          <wp:inline distT="0" distB="0" distL="0" distR="0" wp14:anchorId="540302EF" wp14:editId="7F77CA2E">
            <wp:extent cx="5731510" cy="3582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7D9581E2" w14:textId="77777777" w:rsidR="006E3C16" w:rsidRPr="00020057" w:rsidRDefault="006E3C1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6 — Scalability with Number of Agents</w:t>
      </w:r>
    </w:p>
    <w:p w14:paraId="36453E87" w14:textId="1F7A1BE1" w:rsidR="006E3C16" w:rsidRPr="00020057" w:rsidRDefault="006E3C16" w:rsidP="00020057">
      <w:pPr>
        <w:jc w:val="both"/>
        <w:rPr>
          <w:rFonts w:ascii="Times New Roman" w:hAnsi="Times New Roman" w:cs="Times New Roman"/>
          <w:sz w:val="24"/>
          <w:szCs w:val="24"/>
        </w:rPr>
      </w:pPr>
    </w:p>
    <w:p w14:paraId="2A8C49E0" w14:textId="2E0EDF9E" w:rsidR="006E3C16" w:rsidRPr="00020057" w:rsidRDefault="006E3C1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Performance degradation with increasing agent count is modest, indicating strong scalability. This confirms that decentralized execution with centralized training is suitable for large-scale solar-dominated grids.</w:t>
      </w:r>
    </w:p>
    <w:p w14:paraId="1F69475C" w14:textId="77777777" w:rsidR="006E3C16" w:rsidRPr="006E3C16" w:rsidRDefault="006E3C16"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6E3C16">
        <w:rPr>
          <w:rFonts w:ascii="Times New Roman" w:eastAsia="Times New Roman" w:hAnsi="Times New Roman" w:cs="Times New Roman"/>
          <w:b/>
          <w:bCs/>
          <w:sz w:val="24"/>
          <w:szCs w:val="24"/>
          <w:lang w:eastAsia="en-LR"/>
        </w:rPr>
        <w:t>6.8 Comparative Discussion and Insights</w:t>
      </w:r>
    </w:p>
    <w:p w14:paraId="24E34E96" w14:textId="77777777" w:rsidR="006E3C16" w:rsidRPr="006E3C16" w:rsidRDefault="006E3C16"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sz w:val="24"/>
          <w:szCs w:val="24"/>
          <w:lang w:eastAsia="en-LR"/>
        </w:rPr>
        <w:t>Three key insights emerge from the results:</w:t>
      </w:r>
    </w:p>
    <w:p w14:paraId="3F4AA0AA" w14:textId="77777777" w:rsidR="006E3C16" w:rsidRPr="006E3C16" w:rsidRDefault="006E3C16" w:rsidP="00020057">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b/>
          <w:bCs/>
          <w:sz w:val="24"/>
          <w:szCs w:val="24"/>
          <w:lang w:eastAsia="en-LR"/>
        </w:rPr>
        <w:t>Forecasting accuracy alone is insufficient</w:t>
      </w:r>
      <w:r w:rsidRPr="006E3C16">
        <w:rPr>
          <w:rFonts w:ascii="Times New Roman" w:eastAsia="Times New Roman" w:hAnsi="Times New Roman" w:cs="Times New Roman"/>
          <w:sz w:val="24"/>
          <w:szCs w:val="24"/>
          <w:lang w:eastAsia="en-LR"/>
        </w:rPr>
        <w:t>: Models optimized solely for prediction error fail to guarantee grid stability.</w:t>
      </w:r>
    </w:p>
    <w:p w14:paraId="2D02813C" w14:textId="77777777" w:rsidR="006E3C16" w:rsidRPr="006E3C16" w:rsidRDefault="006E3C16" w:rsidP="00020057">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b/>
          <w:bCs/>
          <w:sz w:val="24"/>
          <w:szCs w:val="24"/>
          <w:lang w:eastAsia="en-LR"/>
        </w:rPr>
        <w:t>Grid-aware reward design is critical</w:t>
      </w:r>
      <w:r w:rsidRPr="006E3C16">
        <w:rPr>
          <w:rFonts w:ascii="Times New Roman" w:eastAsia="Times New Roman" w:hAnsi="Times New Roman" w:cs="Times New Roman"/>
          <w:sz w:val="24"/>
          <w:szCs w:val="24"/>
          <w:lang w:eastAsia="en-LR"/>
        </w:rPr>
        <w:t xml:space="preserve">: Explicit constraint </w:t>
      </w:r>
      <w:proofErr w:type="spellStart"/>
      <w:r w:rsidRPr="006E3C16">
        <w:rPr>
          <w:rFonts w:ascii="Times New Roman" w:eastAsia="Times New Roman" w:hAnsi="Times New Roman" w:cs="Times New Roman"/>
          <w:sz w:val="24"/>
          <w:szCs w:val="24"/>
          <w:lang w:eastAsia="en-LR"/>
        </w:rPr>
        <w:t>modeling</w:t>
      </w:r>
      <w:proofErr w:type="spellEnd"/>
      <w:r w:rsidRPr="006E3C16">
        <w:rPr>
          <w:rFonts w:ascii="Times New Roman" w:eastAsia="Times New Roman" w:hAnsi="Times New Roman" w:cs="Times New Roman"/>
          <w:sz w:val="24"/>
          <w:szCs w:val="24"/>
          <w:lang w:eastAsia="en-LR"/>
        </w:rPr>
        <w:t xml:space="preserve"> leads to proactive, rather than reactive, control </w:t>
      </w:r>
      <w:proofErr w:type="spellStart"/>
      <w:r w:rsidRPr="006E3C16">
        <w:rPr>
          <w:rFonts w:ascii="Times New Roman" w:eastAsia="Times New Roman" w:hAnsi="Times New Roman" w:cs="Times New Roman"/>
          <w:sz w:val="24"/>
          <w:szCs w:val="24"/>
          <w:lang w:eastAsia="en-LR"/>
        </w:rPr>
        <w:t>behavior</w:t>
      </w:r>
      <w:proofErr w:type="spellEnd"/>
      <w:r w:rsidRPr="006E3C16">
        <w:rPr>
          <w:rFonts w:ascii="Times New Roman" w:eastAsia="Times New Roman" w:hAnsi="Times New Roman" w:cs="Times New Roman"/>
          <w:sz w:val="24"/>
          <w:szCs w:val="24"/>
          <w:lang w:eastAsia="en-LR"/>
        </w:rPr>
        <w:t>.</w:t>
      </w:r>
    </w:p>
    <w:p w14:paraId="5424AEB7" w14:textId="77777777" w:rsidR="006E3C16" w:rsidRPr="006E3C16" w:rsidRDefault="006E3C16" w:rsidP="00020057">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b/>
          <w:bCs/>
          <w:sz w:val="24"/>
          <w:szCs w:val="24"/>
          <w:lang w:eastAsia="en-LR"/>
        </w:rPr>
        <w:t>MARL enables scalable coordination</w:t>
      </w:r>
      <w:r w:rsidRPr="006E3C16">
        <w:rPr>
          <w:rFonts w:ascii="Times New Roman" w:eastAsia="Times New Roman" w:hAnsi="Times New Roman" w:cs="Times New Roman"/>
          <w:sz w:val="24"/>
          <w:szCs w:val="24"/>
          <w:lang w:eastAsia="en-LR"/>
        </w:rPr>
        <w:t>: Decentralized agents outperform centralized controllers under increasing system complexity.</w:t>
      </w:r>
    </w:p>
    <w:p w14:paraId="1E4F8D1B" w14:textId="77777777" w:rsidR="006E3C16" w:rsidRPr="006E3C16" w:rsidRDefault="006E3C16"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sz w:val="24"/>
          <w:szCs w:val="24"/>
          <w:lang w:eastAsia="en-LR"/>
        </w:rPr>
        <w:t xml:space="preserve">These findings strongly support the core thesis of this paper: </w:t>
      </w:r>
      <w:r w:rsidRPr="006E3C16">
        <w:rPr>
          <w:rFonts w:ascii="Times New Roman" w:eastAsia="Times New Roman" w:hAnsi="Times New Roman" w:cs="Times New Roman"/>
          <w:b/>
          <w:bCs/>
          <w:sz w:val="24"/>
          <w:szCs w:val="24"/>
          <w:lang w:eastAsia="en-LR"/>
        </w:rPr>
        <w:t>solar forecasting and grid operation must be learned jointly</w:t>
      </w:r>
      <w:r w:rsidRPr="006E3C16">
        <w:rPr>
          <w:rFonts w:ascii="Times New Roman" w:eastAsia="Times New Roman" w:hAnsi="Times New Roman" w:cs="Times New Roman"/>
          <w:sz w:val="24"/>
          <w:szCs w:val="24"/>
          <w:lang w:eastAsia="en-LR"/>
        </w:rPr>
        <w:t>.</w:t>
      </w:r>
    </w:p>
    <w:p w14:paraId="6CE50A7D" w14:textId="5D285210" w:rsidR="006E3C16" w:rsidRPr="006E3C16" w:rsidRDefault="006E3C16" w:rsidP="00020057">
      <w:pPr>
        <w:spacing w:after="0" w:line="240" w:lineRule="auto"/>
        <w:jc w:val="both"/>
        <w:rPr>
          <w:rFonts w:ascii="Times New Roman" w:eastAsia="Times New Roman" w:hAnsi="Times New Roman" w:cs="Times New Roman"/>
          <w:sz w:val="24"/>
          <w:szCs w:val="24"/>
          <w:lang w:eastAsia="en-LR"/>
        </w:rPr>
      </w:pPr>
    </w:p>
    <w:p w14:paraId="29D05AC4" w14:textId="77777777" w:rsidR="006E3C16" w:rsidRPr="006E3C16" w:rsidRDefault="006E3C16"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6E3C16">
        <w:rPr>
          <w:rFonts w:ascii="Times New Roman" w:eastAsia="Times New Roman" w:hAnsi="Times New Roman" w:cs="Times New Roman"/>
          <w:b/>
          <w:bCs/>
          <w:sz w:val="24"/>
          <w:szCs w:val="24"/>
          <w:lang w:eastAsia="en-LR"/>
        </w:rPr>
        <w:lastRenderedPageBreak/>
        <w:t>6.9 Summary</w:t>
      </w:r>
    </w:p>
    <w:p w14:paraId="3936E6B2" w14:textId="77777777" w:rsidR="006E3C16" w:rsidRPr="006E3C16" w:rsidRDefault="006E3C16"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6E3C16">
        <w:rPr>
          <w:rFonts w:ascii="Times New Roman" w:eastAsia="Times New Roman" w:hAnsi="Times New Roman" w:cs="Times New Roman"/>
          <w:sz w:val="24"/>
          <w:szCs w:val="24"/>
          <w:lang w:eastAsia="en-LR"/>
        </w:rPr>
        <w:t>This chapter demonstrated that the proposed grid-aware MARL framework consistently outperforms state-of-the-art forecasting, RL, and MARL baselines across forecasting accuracy, grid stability, and operational efficiency. The results validate the effectiveness of integrating grid constraints directly into multi-agent learning and confirm the framework’s suitability for real-world smart grid deployment.</w:t>
      </w:r>
    </w:p>
    <w:p w14:paraId="6EB12092" w14:textId="77777777" w:rsidR="006E3C16" w:rsidRPr="00020057" w:rsidRDefault="006E3C16"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7. Ablation Study and Sensitivity Analysis</w:t>
      </w:r>
    </w:p>
    <w:p w14:paraId="1C3B72DC" w14:textId="77777777" w:rsidR="006E3C16" w:rsidRPr="00020057" w:rsidRDefault="006E3C16" w:rsidP="00020057">
      <w:pPr>
        <w:pStyle w:val="Heading3"/>
        <w:jc w:val="both"/>
        <w:rPr>
          <w:sz w:val="24"/>
          <w:szCs w:val="24"/>
        </w:rPr>
      </w:pPr>
      <w:r w:rsidRPr="00020057">
        <w:rPr>
          <w:rStyle w:val="Strong"/>
          <w:b/>
          <w:bCs/>
          <w:sz w:val="24"/>
          <w:szCs w:val="24"/>
        </w:rPr>
        <w:t>7.1 Purpose and Methodology</w:t>
      </w:r>
    </w:p>
    <w:p w14:paraId="2FB2121A" w14:textId="77777777" w:rsidR="006E3C16" w:rsidRPr="00020057" w:rsidRDefault="006E3C16" w:rsidP="00020057">
      <w:pPr>
        <w:pStyle w:val="NormalWeb"/>
        <w:jc w:val="both"/>
      </w:pPr>
      <w:r w:rsidRPr="00020057">
        <w:t xml:space="preserve">While Chapter 6 demonstrated the overall effectiveness of the proposed grid-aware MARL framework, it is essential to understand </w:t>
      </w:r>
      <w:r w:rsidRPr="00020057">
        <w:rPr>
          <w:rStyle w:val="Strong"/>
        </w:rPr>
        <w:t>which components contribute most significantly to performance gains</w:t>
      </w:r>
      <w:r w:rsidRPr="00020057">
        <w:t xml:space="preserve"> and how sensitive the system is to key design parameters. To this end, we conduct a comprehensive ablation study and sensitivity analysis by systematically removing or modifying individual components of the framework and observing the resulting performance degradation.</w:t>
      </w:r>
    </w:p>
    <w:p w14:paraId="437374C5" w14:textId="16DE3BF2" w:rsidR="006E3C16" w:rsidRPr="00020057" w:rsidRDefault="006E3C16" w:rsidP="00020057">
      <w:pPr>
        <w:pStyle w:val="NormalWeb"/>
        <w:jc w:val="both"/>
      </w:pPr>
      <w:r w:rsidRPr="00020057">
        <w:t>All ablation experiments are performed under identical environmental conditions and evaluation protocols to ensure fair comparison.</w:t>
      </w:r>
    </w:p>
    <w:p w14:paraId="3F538DAC" w14:textId="77777777" w:rsidR="006E3C16" w:rsidRPr="00020057" w:rsidRDefault="006E3C16" w:rsidP="00020057">
      <w:pPr>
        <w:pStyle w:val="Heading3"/>
        <w:jc w:val="both"/>
        <w:rPr>
          <w:sz w:val="24"/>
          <w:szCs w:val="24"/>
        </w:rPr>
      </w:pPr>
      <w:r w:rsidRPr="00020057">
        <w:rPr>
          <w:rStyle w:val="Strong"/>
          <w:b/>
          <w:bCs/>
          <w:sz w:val="24"/>
          <w:szCs w:val="24"/>
        </w:rPr>
        <w:t>7.2 Impact of Grid-Aware Reward Components</w:t>
      </w:r>
    </w:p>
    <w:p w14:paraId="036ECCBD" w14:textId="77777777" w:rsidR="006E3C16" w:rsidRPr="00020057" w:rsidRDefault="006E3C16" w:rsidP="00020057">
      <w:pPr>
        <w:pStyle w:val="NormalWeb"/>
        <w:jc w:val="both"/>
      </w:pPr>
      <w:r w:rsidRPr="00020057">
        <w:t xml:space="preserve">The first ablation study examines the effect of explicitly </w:t>
      </w:r>
      <w:proofErr w:type="spellStart"/>
      <w:r w:rsidRPr="00020057">
        <w:t>modeling</w:t>
      </w:r>
      <w:proofErr w:type="spellEnd"/>
      <w:r w:rsidRPr="00020057">
        <w:t xml:space="preserve"> grid constraints in the reward function. Three variants are evaluated:</w:t>
      </w:r>
    </w:p>
    <w:p w14:paraId="4CB12C8D" w14:textId="77777777" w:rsidR="006E3C16" w:rsidRPr="00020057" w:rsidRDefault="006E3C16" w:rsidP="00020057">
      <w:pPr>
        <w:pStyle w:val="NormalWeb"/>
        <w:numPr>
          <w:ilvl w:val="0"/>
          <w:numId w:val="26"/>
        </w:numPr>
        <w:jc w:val="both"/>
      </w:pPr>
      <w:r w:rsidRPr="00020057">
        <w:rPr>
          <w:rStyle w:val="Strong"/>
        </w:rPr>
        <w:t>Full Grid-Aware Reward</w:t>
      </w:r>
      <w:r w:rsidRPr="00020057">
        <w:t xml:space="preserve"> (proposed method)</w:t>
      </w:r>
    </w:p>
    <w:p w14:paraId="4406F869" w14:textId="77777777" w:rsidR="006E3C16" w:rsidRPr="00020057" w:rsidRDefault="006E3C16" w:rsidP="00020057">
      <w:pPr>
        <w:pStyle w:val="NormalWeb"/>
        <w:numPr>
          <w:ilvl w:val="0"/>
          <w:numId w:val="26"/>
        </w:numPr>
        <w:jc w:val="both"/>
      </w:pPr>
      <w:r w:rsidRPr="00020057">
        <w:rPr>
          <w:rStyle w:val="Strong"/>
        </w:rPr>
        <w:t>No Voltage Penalty</w:t>
      </w:r>
      <w:r w:rsidRPr="00020057">
        <w:t xml:space="preserve"> (voltage deviation term removed)</w:t>
      </w:r>
    </w:p>
    <w:p w14:paraId="5A74B028" w14:textId="77777777" w:rsidR="006E3C16" w:rsidRPr="00020057" w:rsidRDefault="006E3C16" w:rsidP="00020057">
      <w:pPr>
        <w:pStyle w:val="NormalWeb"/>
        <w:numPr>
          <w:ilvl w:val="0"/>
          <w:numId w:val="26"/>
        </w:numPr>
        <w:jc w:val="both"/>
      </w:pPr>
      <w:r w:rsidRPr="00020057">
        <w:rPr>
          <w:rStyle w:val="Strong"/>
        </w:rPr>
        <w:t>No Frequency Penalty</w:t>
      </w:r>
      <w:r w:rsidRPr="00020057">
        <w:t xml:space="preserve"> (frequency deviation term removed)</w:t>
      </w:r>
    </w:p>
    <w:p w14:paraId="4996CA78" w14:textId="77777777" w:rsidR="006E3C16" w:rsidRPr="00020057" w:rsidRDefault="006E3C1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Table 5 — Effect of Reward Components</w:t>
      </w:r>
    </w:p>
    <w:tbl>
      <w:tblPr>
        <w:tblW w:w="0" w:type="auto"/>
        <w:tblCellSpacing w:w="15" w:type="dxa"/>
        <w:tblCellMar>
          <w:left w:w="0" w:type="dxa"/>
          <w:right w:w="0" w:type="dxa"/>
        </w:tblCellMar>
        <w:tblLook w:val="04A0" w:firstRow="1" w:lastRow="0" w:firstColumn="1" w:lastColumn="0" w:noHBand="0" w:noVBand="1"/>
      </w:tblPr>
      <w:tblGrid>
        <w:gridCol w:w="2371"/>
        <w:gridCol w:w="2252"/>
        <w:gridCol w:w="2572"/>
        <w:gridCol w:w="1815"/>
      </w:tblGrid>
      <w:tr w:rsidR="006E3C16" w:rsidRPr="006E3C16" w14:paraId="53A87B26" w14:textId="77777777" w:rsidTr="006E3C16">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5169F9"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Model Variant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5B6C98"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Voltage Deviation (</w:t>
            </w:r>
            <w:proofErr w:type="spellStart"/>
            <w:r w:rsidRPr="006E3C16">
              <w:rPr>
                <w:rFonts w:ascii="Times New Roman" w:eastAsia="Times New Roman" w:hAnsi="Times New Roman" w:cs="Times New Roman"/>
                <w:b/>
                <w:bCs/>
                <w:color w:val="1F1F1F"/>
                <w:sz w:val="24"/>
                <w:szCs w:val="24"/>
                <w:bdr w:val="none" w:sz="0" w:space="0" w:color="auto" w:frame="1"/>
                <w:lang w:eastAsia="en-LR"/>
              </w:rPr>
              <w:t>p.u</w:t>
            </w:r>
            <w:proofErr w:type="spellEnd"/>
            <w:r w:rsidRPr="006E3C16">
              <w:rPr>
                <w:rFonts w:ascii="Times New Roman" w:eastAsia="Times New Roman" w:hAnsi="Times New Roman" w:cs="Times New Roman"/>
                <w:b/>
                <w:bCs/>
                <w:color w:val="1F1F1F"/>
                <w:sz w:val="24"/>
                <w:szCs w:val="24"/>
                <w:bdr w:val="none" w:sz="0" w:space="0" w:color="auto" w:frame="1"/>
                <w:lang w:eastAsia="en-LR"/>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61D5DE"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Frequency Violations/day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566688"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Total Cost ($/day)</w:t>
            </w:r>
          </w:p>
        </w:tc>
      </w:tr>
      <w:tr w:rsidR="006E3C16" w:rsidRPr="006E3C16" w14:paraId="7C699A72" w14:textId="77777777" w:rsidTr="006E3C1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89486F"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Full Grid-Aware Reward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AC85D2"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$0.021$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968550"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84F9A3" w14:textId="44B2F5FD"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b/>
                <w:bCs/>
                <w:color w:val="1F1F1F"/>
                <w:sz w:val="24"/>
                <w:szCs w:val="24"/>
                <w:bdr w:val="none" w:sz="0" w:space="0" w:color="auto" w:frame="1"/>
                <w:lang w:eastAsia="en-LR"/>
              </w:rPr>
              <w:t>$940</w:t>
            </w:r>
          </w:p>
        </w:tc>
      </w:tr>
      <w:tr w:rsidR="006E3C16" w:rsidRPr="006E3C16" w14:paraId="69A4905D" w14:textId="77777777" w:rsidTr="006E3C1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5700C2"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No Voltage Penalty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C505F0"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$0.039$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81C4F1"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6D3C06" w14:textId="2093D23D"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$1270</w:t>
            </w:r>
          </w:p>
        </w:tc>
      </w:tr>
      <w:tr w:rsidR="006E3C16" w:rsidRPr="006E3C16" w14:paraId="59166A35" w14:textId="77777777" w:rsidTr="006E3C1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4325FC"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No Frequency Penalty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152B75"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$0.025$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310B75" w14:textId="77777777"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916D2F" w14:textId="61F53424" w:rsidR="006E3C16" w:rsidRPr="006E3C16" w:rsidRDefault="006E3C16" w:rsidP="00020057">
            <w:pPr>
              <w:spacing w:after="0" w:line="240" w:lineRule="auto"/>
              <w:jc w:val="both"/>
              <w:rPr>
                <w:rFonts w:ascii="Times New Roman" w:eastAsia="Times New Roman" w:hAnsi="Times New Roman" w:cs="Times New Roman"/>
                <w:color w:val="1F1F1F"/>
                <w:sz w:val="24"/>
                <w:szCs w:val="24"/>
                <w:lang w:eastAsia="en-LR"/>
              </w:rPr>
            </w:pPr>
            <w:r w:rsidRPr="006E3C16">
              <w:rPr>
                <w:rFonts w:ascii="Times New Roman" w:eastAsia="Times New Roman" w:hAnsi="Times New Roman" w:cs="Times New Roman"/>
                <w:color w:val="1F1F1F"/>
                <w:sz w:val="24"/>
                <w:szCs w:val="24"/>
                <w:bdr w:val="none" w:sz="0" w:space="0" w:color="auto" w:frame="1"/>
                <w:lang w:eastAsia="en-LR"/>
              </w:rPr>
              <w:t>$1105</w:t>
            </w:r>
          </w:p>
        </w:tc>
      </w:tr>
    </w:tbl>
    <w:p w14:paraId="4E389DDE" w14:textId="6D0D25E9" w:rsidR="006E3C16" w:rsidRPr="00020057" w:rsidRDefault="006E3C16" w:rsidP="00020057">
      <w:pPr>
        <w:jc w:val="both"/>
        <w:rPr>
          <w:rFonts w:ascii="Times New Roman" w:hAnsi="Times New Roman" w:cs="Times New Roman"/>
          <w:sz w:val="24"/>
          <w:szCs w:val="24"/>
        </w:rPr>
      </w:pPr>
    </w:p>
    <w:p w14:paraId="2C745ACD" w14:textId="5B2342D7" w:rsidR="006E3C16" w:rsidRPr="00020057" w:rsidRDefault="006E3C1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Removing voltage penalties leads to a sharp increase in voltage deviation and operational cost, indicating that agents exploit local gains at the expense of system stability. Similarly, excluding </w:t>
      </w:r>
      <w:r w:rsidRPr="00020057">
        <w:rPr>
          <w:rFonts w:ascii="Times New Roman" w:hAnsi="Times New Roman" w:cs="Times New Roman"/>
          <w:sz w:val="24"/>
          <w:szCs w:val="24"/>
        </w:rPr>
        <w:lastRenderedPageBreak/>
        <w:t xml:space="preserve">frequency penalties significantly increases violation events. These results confirm that </w:t>
      </w:r>
      <w:r w:rsidRPr="00020057">
        <w:rPr>
          <w:rStyle w:val="Strong"/>
          <w:rFonts w:ascii="Times New Roman" w:hAnsi="Times New Roman" w:cs="Times New Roman"/>
          <w:sz w:val="24"/>
          <w:szCs w:val="24"/>
        </w:rPr>
        <w:t xml:space="preserve">explicit grid constraint </w:t>
      </w:r>
      <w:proofErr w:type="spellStart"/>
      <w:r w:rsidRPr="00020057">
        <w:rPr>
          <w:rStyle w:val="Strong"/>
          <w:rFonts w:ascii="Times New Roman" w:hAnsi="Times New Roman" w:cs="Times New Roman"/>
          <w:sz w:val="24"/>
          <w:szCs w:val="24"/>
        </w:rPr>
        <w:t>modeling</w:t>
      </w:r>
      <w:proofErr w:type="spellEnd"/>
      <w:r w:rsidRPr="00020057">
        <w:rPr>
          <w:rStyle w:val="Strong"/>
          <w:rFonts w:ascii="Times New Roman" w:hAnsi="Times New Roman" w:cs="Times New Roman"/>
          <w:sz w:val="24"/>
          <w:szCs w:val="24"/>
        </w:rPr>
        <w:t xml:space="preserve"> is essential</w:t>
      </w:r>
      <w:r w:rsidRPr="00020057">
        <w:rPr>
          <w:rFonts w:ascii="Times New Roman" w:hAnsi="Times New Roman" w:cs="Times New Roman"/>
          <w:sz w:val="24"/>
          <w:szCs w:val="24"/>
        </w:rPr>
        <w:t>, not optional, for reliable operation.</w:t>
      </w:r>
    </w:p>
    <w:p w14:paraId="72C80F17" w14:textId="7FF7CF27" w:rsidR="006E3C16" w:rsidRPr="00020057" w:rsidRDefault="006E3C16" w:rsidP="00020057">
      <w:pPr>
        <w:jc w:val="both"/>
        <w:rPr>
          <w:rFonts w:ascii="Times New Roman" w:hAnsi="Times New Roman" w:cs="Times New Roman"/>
          <w:sz w:val="24"/>
          <w:szCs w:val="24"/>
        </w:rPr>
      </w:pPr>
    </w:p>
    <w:p w14:paraId="66C20131" w14:textId="77777777" w:rsidR="006E3C16" w:rsidRPr="00020057" w:rsidRDefault="006E3C16" w:rsidP="00020057">
      <w:pPr>
        <w:pStyle w:val="Heading3"/>
        <w:jc w:val="both"/>
        <w:rPr>
          <w:sz w:val="24"/>
          <w:szCs w:val="24"/>
        </w:rPr>
      </w:pPr>
      <w:r w:rsidRPr="00020057">
        <w:rPr>
          <w:rStyle w:val="Strong"/>
          <w:b/>
          <w:bCs/>
          <w:sz w:val="24"/>
          <w:szCs w:val="24"/>
        </w:rPr>
        <w:t>7.3 Effect of Communication and Coordination</w:t>
      </w:r>
    </w:p>
    <w:p w14:paraId="3BB4A186" w14:textId="77777777" w:rsidR="006E3C16" w:rsidRPr="00020057" w:rsidRDefault="006E3C16" w:rsidP="00020057">
      <w:pPr>
        <w:pStyle w:val="NormalWeb"/>
        <w:jc w:val="both"/>
      </w:pPr>
      <w:r w:rsidRPr="00020057">
        <w:t>To evaluate the role of inter-agent coordination, we compare performance under three communication configurations:</w:t>
      </w:r>
    </w:p>
    <w:p w14:paraId="1BA55AAA" w14:textId="77777777" w:rsidR="006E3C16" w:rsidRPr="00020057" w:rsidRDefault="006E3C16" w:rsidP="00020057">
      <w:pPr>
        <w:pStyle w:val="NormalWeb"/>
        <w:numPr>
          <w:ilvl w:val="0"/>
          <w:numId w:val="27"/>
        </w:numPr>
        <w:jc w:val="both"/>
      </w:pPr>
      <w:r w:rsidRPr="00020057">
        <w:rPr>
          <w:rStyle w:val="Strong"/>
        </w:rPr>
        <w:t>No Communication</w:t>
      </w:r>
      <w:r w:rsidRPr="00020057">
        <w:t>: agents rely solely on local observations</w:t>
      </w:r>
    </w:p>
    <w:p w14:paraId="3193DC16" w14:textId="77777777" w:rsidR="006E3C16" w:rsidRPr="00020057" w:rsidRDefault="006E3C16" w:rsidP="00020057">
      <w:pPr>
        <w:pStyle w:val="NormalWeb"/>
        <w:numPr>
          <w:ilvl w:val="0"/>
          <w:numId w:val="27"/>
        </w:numPr>
        <w:jc w:val="both"/>
      </w:pPr>
      <w:r w:rsidRPr="00020057">
        <w:rPr>
          <w:rStyle w:val="Strong"/>
        </w:rPr>
        <w:t>Limited Communication</w:t>
      </w:r>
      <w:r w:rsidRPr="00020057">
        <w:t>: agents receive congestion indicators</w:t>
      </w:r>
    </w:p>
    <w:p w14:paraId="50E59A87" w14:textId="6C8BCD24" w:rsidR="006E3C16" w:rsidRPr="00020057" w:rsidRDefault="006E3C16" w:rsidP="00020057">
      <w:pPr>
        <w:pStyle w:val="NormalWeb"/>
        <w:numPr>
          <w:ilvl w:val="0"/>
          <w:numId w:val="27"/>
        </w:numPr>
        <w:jc w:val="both"/>
      </w:pPr>
      <w:r w:rsidRPr="00020057">
        <w:rPr>
          <w:rStyle w:val="Strong"/>
        </w:rPr>
        <w:t>Full Training-Time Coordination</w:t>
      </w:r>
      <w:r w:rsidRPr="00020057">
        <w:t xml:space="preserve"> (proposed CTDE approach)</w:t>
      </w:r>
    </w:p>
    <w:p w14:paraId="4A49E267" w14:textId="23CDBB23" w:rsidR="006E3C16" w:rsidRPr="00020057" w:rsidRDefault="006E3C16" w:rsidP="00020057">
      <w:pPr>
        <w:pStyle w:val="NormalWeb"/>
        <w:ind w:left="360"/>
        <w:jc w:val="both"/>
      </w:pPr>
      <w:r w:rsidRPr="00020057">
        <w:rPr>
          <w:noProof/>
        </w:rPr>
        <w:drawing>
          <wp:inline distT="0" distB="0" distL="0" distR="0" wp14:anchorId="2690E1F1" wp14:editId="001F4865">
            <wp:extent cx="5731510" cy="35820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10F4BF94" w14:textId="77777777" w:rsidR="006E3C16" w:rsidRPr="00020057" w:rsidRDefault="006E3C16"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7 — Communication vs Performance</w:t>
      </w:r>
    </w:p>
    <w:p w14:paraId="60D2F74A" w14:textId="4B29086F" w:rsidR="006E3C16" w:rsidRPr="00020057" w:rsidRDefault="006E3C16" w:rsidP="00020057">
      <w:pPr>
        <w:jc w:val="both"/>
        <w:rPr>
          <w:rFonts w:ascii="Times New Roman" w:hAnsi="Times New Roman" w:cs="Times New Roman"/>
          <w:sz w:val="24"/>
          <w:szCs w:val="24"/>
        </w:rPr>
      </w:pPr>
    </w:p>
    <w:p w14:paraId="00355795" w14:textId="58326DE8" w:rsidR="006E3C16" w:rsidRPr="00020057" w:rsidRDefault="006E3C16"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While limited communication improves performance, the CTDE paradigm delivers the highest gains. Importantly, these gains are achieved </w:t>
      </w:r>
      <w:r w:rsidRPr="00020057">
        <w:rPr>
          <w:rStyle w:val="Strong"/>
          <w:rFonts w:ascii="Times New Roman" w:hAnsi="Times New Roman" w:cs="Times New Roman"/>
          <w:sz w:val="24"/>
          <w:szCs w:val="24"/>
        </w:rPr>
        <w:t>without requiring real-time global communication during execution</w:t>
      </w:r>
      <w:r w:rsidRPr="00020057">
        <w:rPr>
          <w:rFonts w:ascii="Times New Roman" w:hAnsi="Times New Roman" w:cs="Times New Roman"/>
          <w:sz w:val="24"/>
          <w:szCs w:val="24"/>
        </w:rPr>
        <w:t>, reinforcing the practicality of the proposed framework.</w:t>
      </w:r>
    </w:p>
    <w:p w14:paraId="726D5CF9" w14:textId="77777777" w:rsidR="00B07E2A" w:rsidRPr="00020057" w:rsidRDefault="00B07E2A" w:rsidP="00020057">
      <w:pPr>
        <w:pStyle w:val="Heading3"/>
        <w:jc w:val="both"/>
        <w:rPr>
          <w:sz w:val="24"/>
          <w:szCs w:val="24"/>
        </w:rPr>
      </w:pPr>
      <w:r w:rsidRPr="00020057">
        <w:rPr>
          <w:rStyle w:val="Strong"/>
          <w:b/>
          <w:bCs/>
          <w:sz w:val="24"/>
          <w:szCs w:val="24"/>
        </w:rPr>
        <w:t>7.4 Sensitivity to Reward Weight Parameters</w:t>
      </w:r>
    </w:p>
    <w:p w14:paraId="6894BB29" w14:textId="1D994F2D" w:rsidR="00B07E2A" w:rsidRPr="00020057" w:rsidRDefault="00B07E2A" w:rsidP="00020057">
      <w:pPr>
        <w:pStyle w:val="NormalWeb"/>
        <w:jc w:val="both"/>
      </w:pPr>
      <w:r w:rsidRPr="00020057">
        <w:t>The weighting coefficients</w:t>
      </w:r>
      <w:r w:rsidR="00D821EE" w:rsidRPr="00020057">
        <w:rPr>
          <w:lang w:val="en-US"/>
        </w:rPr>
        <w:t xml:space="preserve"> </w:t>
      </w:r>
      <m:oMath>
        <m:r>
          <w:rPr>
            <w:rFonts w:ascii="Cambria Math" w:hAnsi="Cambria Math"/>
            <w:lang w:val="en-US"/>
          </w:rPr>
          <m:t>α,β,γ,δ</m:t>
        </m:r>
      </m:oMath>
      <w:r w:rsidRPr="00020057">
        <w:t xml:space="preserve"> in the reward function control the trade-off between forecasting accuracy, grid stability, and cost. We vary each parameter independently while fixing others at baseline values.</w:t>
      </w:r>
    </w:p>
    <w:p w14:paraId="0F94861E" w14:textId="138DAE74" w:rsidR="00933179" w:rsidRPr="00020057" w:rsidRDefault="00933179" w:rsidP="00020057">
      <w:pPr>
        <w:pStyle w:val="Heading4"/>
        <w:jc w:val="both"/>
        <w:rPr>
          <w:rStyle w:val="Strong"/>
          <w:rFonts w:ascii="Times New Roman" w:hAnsi="Times New Roman" w:cs="Times New Roman"/>
          <w:b w:val="0"/>
          <w:bCs w:val="0"/>
          <w:sz w:val="24"/>
          <w:szCs w:val="24"/>
        </w:rPr>
      </w:pPr>
      <w:r w:rsidRPr="00020057">
        <w:rPr>
          <w:rFonts w:ascii="Times New Roman" w:hAnsi="Times New Roman" w:cs="Times New Roman"/>
          <w:noProof/>
          <w:sz w:val="24"/>
          <w:szCs w:val="24"/>
        </w:rPr>
        <w:lastRenderedPageBreak/>
        <w:drawing>
          <wp:inline distT="0" distB="0" distL="0" distR="0" wp14:anchorId="3D6A659E" wp14:editId="174C89BD">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899C855" w14:textId="77777777" w:rsidR="00933179" w:rsidRPr="00020057" w:rsidRDefault="00933179" w:rsidP="00020057">
      <w:pPr>
        <w:pStyle w:val="Heading4"/>
        <w:jc w:val="both"/>
        <w:rPr>
          <w:rStyle w:val="Strong"/>
          <w:rFonts w:ascii="Times New Roman" w:hAnsi="Times New Roman" w:cs="Times New Roman"/>
          <w:b w:val="0"/>
          <w:bCs w:val="0"/>
          <w:sz w:val="24"/>
          <w:szCs w:val="24"/>
        </w:rPr>
      </w:pPr>
    </w:p>
    <w:p w14:paraId="2CDCF3BB" w14:textId="4FE9D4E9" w:rsidR="00B07E2A" w:rsidRPr="00020057" w:rsidRDefault="00B07E2A"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8 — Sensitivity to Voltage Penalty Weight</w:t>
      </w:r>
    </w:p>
    <w:p w14:paraId="21AF3087" w14:textId="6E4CC5D0" w:rsidR="00B07E2A" w:rsidRPr="00020057" w:rsidRDefault="00B07E2A" w:rsidP="00020057">
      <w:pPr>
        <w:jc w:val="both"/>
        <w:rPr>
          <w:rFonts w:ascii="Times New Roman" w:hAnsi="Times New Roman" w:cs="Times New Roman"/>
          <w:sz w:val="24"/>
          <w:szCs w:val="24"/>
        </w:rPr>
      </w:pPr>
    </w:p>
    <w:p w14:paraId="124DB892" w14:textId="420B44A4" w:rsidR="00933179" w:rsidRPr="00020057" w:rsidRDefault="00933179"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 xml:space="preserve">Increasing the voltage penalty weight significantly improves voltage stability up to a threshold, beyond which marginal gains diminish. This </w:t>
      </w:r>
      <w:proofErr w:type="spellStart"/>
      <w:r w:rsidRPr="00020057">
        <w:rPr>
          <w:rFonts w:ascii="Times New Roman" w:hAnsi="Times New Roman" w:cs="Times New Roman"/>
          <w:sz w:val="24"/>
          <w:szCs w:val="24"/>
        </w:rPr>
        <w:t>behavior</w:t>
      </w:r>
      <w:proofErr w:type="spellEnd"/>
      <w:r w:rsidRPr="00020057">
        <w:rPr>
          <w:rFonts w:ascii="Times New Roman" w:hAnsi="Times New Roman" w:cs="Times New Roman"/>
          <w:sz w:val="24"/>
          <w:szCs w:val="24"/>
        </w:rPr>
        <w:t xml:space="preserve"> indicates that the proposed framework is </w:t>
      </w:r>
      <w:r w:rsidRPr="00020057">
        <w:rPr>
          <w:rStyle w:val="Strong"/>
          <w:rFonts w:ascii="Times New Roman" w:hAnsi="Times New Roman" w:cs="Times New Roman"/>
          <w:sz w:val="24"/>
          <w:szCs w:val="24"/>
        </w:rPr>
        <w:t>robust to moderate hyperparameter variation</w:t>
      </w:r>
      <w:r w:rsidRPr="00020057">
        <w:rPr>
          <w:rFonts w:ascii="Times New Roman" w:hAnsi="Times New Roman" w:cs="Times New Roman"/>
          <w:sz w:val="24"/>
          <w:szCs w:val="24"/>
        </w:rPr>
        <w:t>, an important property for real-world deployment.</w:t>
      </w:r>
    </w:p>
    <w:p w14:paraId="4555150E" w14:textId="6C158CE1" w:rsidR="00933179" w:rsidRPr="00020057" w:rsidRDefault="00933179" w:rsidP="00020057">
      <w:pPr>
        <w:jc w:val="both"/>
        <w:rPr>
          <w:rFonts w:ascii="Times New Roman" w:hAnsi="Times New Roman" w:cs="Times New Roman"/>
          <w:sz w:val="24"/>
          <w:szCs w:val="24"/>
        </w:rPr>
      </w:pPr>
    </w:p>
    <w:p w14:paraId="07C43F78" w14:textId="77777777" w:rsidR="00933179" w:rsidRPr="00020057" w:rsidRDefault="00933179" w:rsidP="00020057">
      <w:pPr>
        <w:pStyle w:val="Heading3"/>
        <w:jc w:val="both"/>
        <w:rPr>
          <w:sz w:val="24"/>
          <w:szCs w:val="24"/>
        </w:rPr>
      </w:pPr>
      <w:r w:rsidRPr="00020057">
        <w:rPr>
          <w:rStyle w:val="Strong"/>
          <w:b/>
          <w:bCs/>
          <w:sz w:val="24"/>
          <w:szCs w:val="24"/>
        </w:rPr>
        <w:t>7.5 Impact of Forecasting Horizon</w:t>
      </w:r>
    </w:p>
    <w:p w14:paraId="0EC39FC9" w14:textId="32F8438A" w:rsidR="00933179" w:rsidRPr="00020057" w:rsidRDefault="00933179" w:rsidP="00020057">
      <w:pPr>
        <w:pStyle w:val="NormalWeb"/>
        <w:jc w:val="both"/>
      </w:pPr>
      <w:r w:rsidRPr="00020057">
        <w:t>The framework is evaluated under different forecasting horizons (15, 30, and 60 minutes) to assess robustness against increasing uncertainty.</w:t>
      </w:r>
    </w:p>
    <w:p w14:paraId="7943D84D" w14:textId="3ACDF3A4" w:rsidR="00933179" w:rsidRPr="00020057" w:rsidRDefault="00933179" w:rsidP="00020057">
      <w:pPr>
        <w:pStyle w:val="NormalWeb"/>
        <w:jc w:val="both"/>
      </w:pPr>
    </w:p>
    <w:p w14:paraId="0A08A330" w14:textId="77777777" w:rsidR="00933179" w:rsidRPr="00020057" w:rsidRDefault="00933179" w:rsidP="00020057">
      <w:pPr>
        <w:pStyle w:val="NormalWeb"/>
        <w:jc w:val="both"/>
      </w:pPr>
    </w:p>
    <w:p w14:paraId="01D5968C" w14:textId="77777777" w:rsidR="00933179" w:rsidRPr="00020057" w:rsidRDefault="00933179"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Table 6 — Forecast Horizon Sensitivity</w:t>
      </w:r>
    </w:p>
    <w:tbl>
      <w:tblPr>
        <w:tblStyle w:val="TableGrid"/>
        <w:tblW w:w="0" w:type="auto"/>
        <w:tblLook w:val="04A0" w:firstRow="1" w:lastRow="0" w:firstColumn="1" w:lastColumn="0" w:noHBand="0" w:noVBand="1"/>
      </w:tblPr>
      <w:tblGrid>
        <w:gridCol w:w="1996"/>
        <w:gridCol w:w="1503"/>
        <w:gridCol w:w="2656"/>
      </w:tblGrid>
      <w:tr w:rsidR="00933179" w:rsidRPr="00933179" w14:paraId="25CBD840" w14:textId="77777777" w:rsidTr="00933179">
        <w:tc>
          <w:tcPr>
            <w:tcW w:w="0" w:type="auto"/>
            <w:hideMark/>
          </w:tcPr>
          <w:p w14:paraId="7FF6B295"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Forecast Horizon</w:t>
            </w:r>
          </w:p>
        </w:tc>
        <w:tc>
          <w:tcPr>
            <w:tcW w:w="0" w:type="auto"/>
            <w:hideMark/>
          </w:tcPr>
          <w:p w14:paraId="362DF39E"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RMSE (kW)</w:t>
            </w:r>
          </w:p>
        </w:tc>
        <w:tc>
          <w:tcPr>
            <w:tcW w:w="0" w:type="auto"/>
            <w:hideMark/>
          </w:tcPr>
          <w:p w14:paraId="1BE7C70C"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Voltage Deviation (</w:t>
            </w:r>
            <w:proofErr w:type="spellStart"/>
            <w:r w:rsidRPr="00933179">
              <w:rPr>
                <w:rFonts w:ascii="Times New Roman" w:eastAsia="Times New Roman" w:hAnsi="Times New Roman" w:cs="Times New Roman"/>
                <w:b/>
                <w:bCs/>
                <w:color w:val="1F1F1F"/>
                <w:sz w:val="24"/>
                <w:szCs w:val="24"/>
                <w:bdr w:val="none" w:sz="0" w:space="0" w:color="auto" w:frame="1"/>
                <w:lang w:eastAsia="en-LR"/>
              </w:rPr>
              <w:t>p.u</w:t>
            </w:r>
            <w:proofErr w:type="spellEnd"/>
            <w:r w:rsidRPr="00933179">
              <w:rPr>
                <w:rFonts w:ascii="Times New Roman" w:eastAsia="Times New Roman" w:hAnsi="Times New Roman" w:cs="Times New Roman"/>
                <w:b/>
                <w:bCs/>
                <w:color w:val="1F1F1F"/>
                <w:sz w:val="24"/>
                <w:szCs w:val="24"/>
                <w:bdr w:val="none" w:sz="0" w:space="0" w:color="auto" w:frame="1"/>
                <w:lang w:eastAsia="en-LR"/>
              </w:rPr>
              <w:t>.)</w:t>
            </w:r>
          </w:p>
        </w:tc>
      </w:tr>
      <w:tr w:rsidR="00933179" w:rsidRPr="00933179" w14:paraId="72879875" w14:textId="77777777" w:rsidTr="00933179">
        <w:tc>
          <w:tcPr>
            <w:tcW w:w="0" w:type="auto"/>
            <w:hideMark/>
          </w:tcPr>
          <w:p w14:paraId="1833CE44"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15 min</w:t>
            </w:r>
          </w:p>
        </w:tc>
        <w:tc>
          <w:tcPr>
            <w:tcW w:w="0" w:type="auto"/>
            <w:hideMark/>
          </w:tcPr>
          <w:p w14:paraId="167CD754" w14:textId="1C9098BE"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27.8</w:t>
            </w:r>
          </w:p>
        </w:tc>
        <w:tc>
          <w:tcPr>
            <w:tcW w:w="0" w:type="auto"/>
            <w:hideMark/>
          </w:tcPr>
          <w:p w14:paraId="4E5D7613" w14:textId="346A8796"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b/>
                <w:bCs/>
                <w:color w:val="1F1F1F"/>
                <w:sz w:val="24"/>
                <w:szCs w:val="24"/>
                <w:bdr w:val="none" w:sz="0" w:space="0" w:color="auto" w:frame="1"/>
                <w:lang w:eastAsia="en-LR"/>
              </w:rPr>
              <w:t>0.021</w:t>
            </w:r>
          </w:p>
        </w:tc>
      </w:tr>
      <w:tr w:rsidR="00933179" w:rsidRPr="00933179" w14:paraId="0BFAFCB7" w14:textId="77777777" w:rsidTr="00933179">
        <w:tc>
          <w:tcPr>
            <w:tcW w:w="0" w:type="auto"/>
            <w:hideMark/>
          </w:tcPr>
          <w:p w14:paraId="56F0AD60"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30 min</w:t>
            </w:r>
          </w:p>
        </w:tc>
        <w:tc>
          <w:tcPr>
            <w:tcW w:w="0" w:type="auto"/>
            <w:hideMark/>
          </w:tcPr>
          <w:p w14:paraId="6A3812DD" w14:textId="72407D86"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32.6</w:t>
            </w:r>
          </w:p>
        </w:tc>
        <w:tc>
          <w:tcPr>
            <w:tcW w:w="0" w:type="auto"/>
            <w:hideMark/>
          </w:tcPr>
          <w:p w14:paraId="0438A412" w14:textId="75E05EA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0.026</w:t>
            </w:r>
          </w:p>
        </w:tc>
      </w:tr>
      <w:tr w:rsidR="00933179" w:rsidRPr="00933179" w14:paraId="73F0513F" w14:textId="77777777" w:rsidTr="00933179">
        <w:tc>
          <w:tcPr>
            <w:tcW w:w="0" w:type="auto"/>
            <w:hideMark/>
          </w:tcPr>
          <w:p w14:paraId="36BDB878" w14:textId="7777777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60 min</w:t>
            </w:r>
          </w:p>
        </w:tc>
        <w:tc>
          <w:tcPr>
            <w:tcW w:w="0" w:type="auto"/>
            <w:hideMark/>
          </w:tcPr>
          <w:p w14:paraId="275AB215" w14:textId="2F1C68FA"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41.2</w:t>
            </w:r>
          </w:p>
        </w:tc>
        <w:tc>
          <w:tcPr>
            <w:tcW w:w="0" w:type="auto"/>
            <w:hideMark/>
          </w:tcPr>
          <w:p w14:paraId="5D6E84FA" w14:textId="3B9C32B7" w:rsidR="00933179" w:rsidRPr="00933179" w:rsidRDefault="00933179" w:rsidP="00020057">
            <w:pPr>
              <w:jc w:val="both"/>
              <w:rPr>
                <w:rFonts w:ascii="Times New Roman" w:eastAsia="Times New Roman" w:hAnsi="Times New Roman" w:cs="Times New Roman"/>
                <w:color w:val="1F1F1F"/>
                <w:sz w:val="24"/>
                <w:szCs w:val="24"/>
                <w:lang w:eastAsia="en-LR"/>
              </w:rPr>
            </w:pPr>
            <w:r w:rsidRPr="00933179">
              <w:rPr>
                <w:rFonts w:ascii="Times New Roman" w:eastAsia="Times New Roman" w:hAnsi="Times New Roman" w:cs="Times New Roman"/>
                <w:color w:val="1F1F1F"/>
                <w:sz w:val="24"/>
                <w:szCs w:val="24"/>
                <w:bdr w:val="none" w:sz="0" w:space="0" w:color="auto" w:frame="1"/>
                <w:lang w:eastAsia="en-LR"/>
              </w:rPr>
              <w:t>0.034</w:t>
            </w:r>
          </w:p>
        </w:tc>
      </w:tr>
    </w:tbl>
    <w:p w14:paraId="11CA88EE" w14:textId="6FF41CDA" w:rsidR="00933179" w:rsidRPr="00020057" w:rsidRDefault="00933179" w:rsidP="00020057">
      <w:pPr>
        <w:jc w:val="both"/>
        <w:rPr>
          <w:rFonts w:ascii="Times New Roman" w:hAnsi="Times New Roman" w:cs="Times New Roman"/>
          <w:sz w:val="24"/>
          <w:szCs w:val="24"/>
        </w:rPr>
      </w:pPr>
    </w:p>
    <w:p w14:paraId="0303D5D4" w14:textId="477458FB" w:rsidR="00933179" w:rsidRPr="00020057" w:rsidRDefault="00933179"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As expected, performance degrades with longer forecasting horizons due to increased uncertainty. Nevertheless, the proposed grid-aware MARL maintains stable grid operation even under extended horizons, whereas baseline methods exhibit severe constraint violations.</w:t>
      </w:r>
    </w:p>
    <w:p w14:paraId="55867923" w14:textId="1E915C89" w:rsidR="00933179" w:rsidRPr="00020057" w:rsidRDefault="00933179" w:rsidP="00020057">
      <w:pPr>
        <w:jc w:val="both"/>
        <w:rPr>
          <w:rFonts w:ascii="Times New Roman" w:hAnsi="Times New Roman" w:cs="Times New Roman"/>
          <w:sz w:val="24"/>
          <w:szCs w:val="24"/>
        </w:rPr>
      </w:pPr>
      <w:r w:rsidRPr="00020057">
        <w:rPr>
          <w:rFonts w:ascii="Times New Roman" w:hAnsi="Times New Roman" w:cs="Times New Roman"/>
          <w:noProof/>
          <w:sz w:val="24"/>
          <w:szCs w:val="24"/>
        </w:rPr>
        <w:drawing>
          <wp:inline distT="0" distB="0" distL="0" distR="0" wp14:anchorId="4997B362" wp14:editId="5A967BE8">
            <wp:extent cx="5731510" cy="31845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14:paraId="56F4FDD3" w14:textId="5A1C652C" w:rsidR="00933179" w:rsidRPr="00020057" w:rsidRDefault="00933179" w:rsidP="00020057">
      <w:pPr>
        <w:jc w:val="both"/>
        <w:rPr>
          <w:rFonts w:ascii="Times New Roman" w:hAnsi="Times New Roman" w:cs="Times New Roman"/>
          <w:sz w:val="24"/>
          <w:szCs w:val="24"/>
        </w:rPr>
      </w:pPr>
      <w:r w:rsidRPr="00020057">
        <w:rPr>
          <w:rFonts w:ascii="Times New Roman" w:hAnsi="Times New Roman" w:cs="Times New Roman"/>
          <w:sz w:val="24"/>
          <w:szCs w:val="24"/>
        </w:rPr>
        <w:t xml:space="preserve">The sensitivity analysis regarding the </w:t>
      </w:r>
      <w:r w:rsidRPr="00020057">
        <w:rPr>
          <w:rFonts w:ascii="Times New Roman" w:hAnsi="Times New Roman" w:cs="Times New Roman"/>
          <w:b/>
          <w:bCs/>
          <w:sz w:val="24"/>
          <w:szCs w:val="24"/>
        </w:rPr>
        <w:t>Forecast Horizon</w:t>
      </w:r>
      <w:r w:rsidRPr="00020057">
        <w:rPr>
          <w:rFonts w:ascii="Times New Roman" w:hAnsi="Times New Roman" w:cs="Times New Roman"/>
          <w:sz w:val="24"/>
          <w:szCs w:val="24"/>
        </w:rPr>
        <w:t xml:space="preserve"> illustrates how predictive accuracy and grid stability degrade as the temporal look-ahead window extends</w:t>
      </w:r>
    </w:p>
    <w:p w14:paraId="50DECBE4" w14:textId="77777777" w:rsidR="00933179" w:rsidRPr="00020057" w:rsidRDefault="00933179" w:rsidP="00020057">
      <w:pPr>
        <w:pStyle w:val="Heading3"/>
        <w:jc w:val="both"/>
        <w:rPr>
          <w:sz w:val="24"/>
          <w:szCs w:val="24"/>
        </w:rPr>
      </w:pPr>
      <w:r w:rsidRPr="00020057">
        <w:rPr>
          <w:rStyle w:val="Strong"/>
          <w:b/>
          <w:bCs/>
          <w:sz w:val="24"/>
          <w:szCs w:val="24"/>
        </w:rPr>
        <w:t>7.6 Robustness to Agent Population Size</w:t>
      </w:r>
    </w:p>
    <w:p w14:paraId="0E40CF96" w14:textId="2E9BC779" w:rsidR="00933179" w:rsidRPr="00020057" w:rsidRDefault="00933179" w:rsidP="00020057">
      <w:pPr>
        <w:pStyle w:val="NormalWeb"/>
        <w:jc w:val="both"/>
      </w:pPr>
      <w:r w:rsidRPr="00020057">
        <w:t xml:space="preserve">To assess robustness under scaling, we </w:t>
      </w:r>
      <w:proofErr w:type="spellStart"/>
      <w:r w:rsidRPr="00020057">
        <w:t>analyze</w:t>
      </w:r>
      <w:proofErr w:type="spellEnd"/>
      <w:r w:rsidRPr="00020057">
        <w:t xml:space="preserve"> performance as the number of agents increases.</w:t>
      </w:r>
    </w:p>
    <w:p w14:paraId="29403078" w14:textId="1DCD7BA1" w:rsidR="00933179" w:rsidRPr="00020057" w:rsidRDefault="00933179" w:rsidP="00020057">
      <w:pPr>
        <w:pStyle w:val="NormalWeb"/>
        <w:jc w:val="both"/>
      </w:pPr>
      <w:r w:rsidRPr="00020057">
        <w:rPr>
          <w:noProof/>
        </w:rPr>
        <w:lastRenderedPageBreak/>
        <w:drawing>
          <wp:inline distT="0" distB="0" distL="0" distR="0" wp14:anchorId="6F0CA128" wp14:editId="32160EF2">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768543A" w14:textId="77777777" w:rsidR="00933179" w:rsidRPr="00020057" w:rsidRDefault="00933179" w:rsidP="00020057">
      <w:pPr>
        <w:pStyle w:val="Heading4"/>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Figure 9 — Robustness to Number of Agents</w:t>
      </w:r>
    </w:p>
    <w:p w14:paraId="0E62266C" w14:textId="13483B40" w:rsidR="00933179" w:rsidRPr="00020057" w:rsidRDefault="00933179" w:rsidP="00020057">
      <w:pPr>
        <w:jc w:val="both"/>
        <w:rPr>
          <w:rFonts w:ascii="Times New Roman" w:hAnsi="Times New Roman" w:cs="Times New Roman"/>
          <w:sz w:val="24"/>
          <w:szCs w:val="24"/>
        </w:rPr>
      </w:pPr>
    </w:p>
    <w:p w14:paraId="5515B7DA" w14:textId="02948C86" w:rsidR="00933179" w:rsidRPr="00020057" w:rsidRDefault="00933179" w:rsidP="00020057">
      <w:pPr>
        <w:jc w:val="both"/>
        <w:rPr>
          <w:rFonts w:ascii="Times New Roman" w:hAnsi="Times New Roman" w:cs="Times New Roman"/>
          <w:sz w:val="24"/>
          <w:szCs w:val="24"/>
        </w:rPr>
      </w:pPr>
      <w:r w:rsidRPr="00020057">
        <w:rPr>
          <w:rStyle w:val="Strong"/>
          <w:rFonts w:ascii="Times New Roman" w:hAnsi="Times New Roman" w:cs="Times New Roman"/>
          <w:sz w:val="24"/>
          <w:szCs w:val="24"/>
        </w:rPr>
        <w:t>Discussion:</w:t>
      </w:r>
      <w:r w:rsidRPr="00020057">
        <w:rPr>
          <w:rFonts w:ascii="Times New Roman" w:hAnsi="Times New Roman" w:cs="Times New Roman"/>
          <w:sz w:val="24"/>
          <w:szCs w:val="24"/>
        </w:rPr>
        <w:br/>
        <w:t>Voltage deviation increases only marginally as the number of agents grows, demonstrating that the proposed framework scales gracefully and avoids instability typically associated with decentralized control</w:t>
      </w:r>
    </w:p>
    <w:p w14:paraId="17DFAC53" w14:textId="7AE2B61B" w:rsidR="00933179" w:rsidRPr="00020057" w:rsidRDefault="00933179" w:rsidP="00020057">
      <w:pPr>
        <w:jc w:val="both"/>
        <w:rPr>
          <w:rFonts w:ascii="Times New Roman" w:hAnsi="Times New Roman" w:cs="Times New Roman"/>
          <w:sz w:val="24"/>
          <w:szCs w:val="24"/>
        </w:rPr>
      </w:pPr>
    </w:p>
    <w:p w14:paraId="132BF2A8" w14:textId="77777777" w:rsidR="00933179" w:rsidRPr="00933179" w:rsidRDefault="00933179"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933179">
        <w:rPr>
          <w:rFonts w:ascii="Times New Roman" w:eastAsia="Times New Roman" w:hAnsi="Times New Roman" w:cs="Times New Roman"/>
          <w:b/>
          <w:bCs/>
          <w:sz w:val="24"/>
          <w:szCs w:val="24"/>
          <w:lang w:eastAsia="en-LR"/>
        </w:rPr>
        <w:t>7.7 Key Findings from Ablation Studies</w:t>
      </w:r>
    </w:p>
    <w:p w14:paraId="1808D1A1" w14:textId="77777777" w:rsidR="00933179" w:rsidRPr="00933179" w:rsidRDefault="00933179"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sz w:val="24"/>
          <w:szCs w:val="24"/>
          <w:lang w:eastAsia="en-LR"/>
        </w:rPr>
        <w:t>The ablation and sensitivity analyses yield several important insights:</w:t>
      </w:r>
    </w:p>
    <w:p w14:paraId="255EC29D" w14:textId="77777777" w:rsidR="00933179" w:rsidRPr="00933179" w:rsidRDefault="00933179" w:rsidP="0002005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b/>
          <w:bCs/>
          <w:sz w:val="24"/>
          <w:szCs w:val="24"/>
          <w:lang w:eastAsia="en-LR"/>
        </w:rPr>
        <w:t>Grid-aware rewards are indispensable</w:t>
      </w:r>
      <w:r w:rsidRPr="00933179">
        <w:rPr>
          <w:rFonts w:ascii="Times New Roman" w:eastAsia="Times New Roman" w:hAnsi="Times New Roman" w:cs="Times New Roman"/>
          <w:sz w:val="24"/>
          <w:szCs w:val="24"/>
          <w:lang w:eastAsia="en-LR"/>
        </w:rPr>
        <w:t xml:space="preserve"> for maintaining stability and reducing cost.</w:t>
      </w:r>
    </w:p>
    <w:p w14:paraId="3F5CD28F" w14:textId="77777777" w:rsidR="00933179" w:rsidRPr="00933179" w:rsidRDefault="00933179" w:rsidP="0002005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b/>
          <w:bCs/>
          <w:sz w:val="24"/>
          <w:szCs w:val="24"/>
          <w:lang w:eastAsia="en-LR"/>
        </w:rPr>
        <w:lastRenderedPageBreak/>
        <w:t>Centralized training significantly enhances coordination</w:t>
      </w:r>
      <w:r w:rsidRPr="00933179">
        <w:rPr>
          <w:rFonts w:ascii="Times New Roman" w:eastAsia="Times New Roman" w:hAnsi="Times New Roman" w:cs="Times New Roman"/>
          <w:sz w:val="24"/>
          <w:szCs w:val="24"/>
          <w:lang w:eastAsia="en-LR"/>
        </w:rPr>
        <w:t>, even when execution remains decentralized.</w:t>
      </w:r>
    </w:p>
    <w:p w14:paraId="67068366" w14:textId="77777777" w:rsidR="00933179" w:rsidRPr="00933179" w:rsidRDefault="00933179" w:rsidP="0002005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b/>
          <w:bCs/>
          <w:sz w:val="24"/>
          <w:szCs w:val="24"/>
          <w:lang w:eastAsia="en-LR"/>
        </w:rPr>
        <w:t>Performance is robust to moderate hyperparameter variation</w:t>
      </w:r>
      <w:r w:rsidRPr="00933179">
        <w:rPr>
          <w:rFonts w:ascii="Times New Roman" w:eastAsia="Times New Roman" w:hAnsi="Times New Roman" w:cs="Times New Roman"/>
          <w:sz w:val="24"/>
          <w:szCs w:val="24"/>
          <w:lang w:eastAsia="en-LR"/>
        </w:rPr>
        <w:t>, supporting practical deployment.</w:t>
      </w:r>
    </w:p>
    <w:p w14:paraId="7FEBDCE2" w14:textId="77777777" w:rsidR="00933179" w:rsidRPr="00933179" w:rsidRDefault="00933179" w:rsidP="00020057">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b/>
          <w:bCs/>
          <w:sz w:val="24"/>
          <w:szCs w:val="24"/>
          <w:lang w:eastAsia="en-LR"/>
        </w:rPr>
        <w:t>Scalability does not compromise grid reliability</w:t>
      </w:r>
      <w:r w:rsidRPr="00933179">
        <w:rPr>
          <w:rFonts w:ascii="Times New Roman" w:eastAsia="Times New Roman" w:hAnsi="Times New Roman" w:cs="Times New Roman"/>
          <w:sz w:val="24"/>
          <w:szCs w:val="24"/>
          <w:lang w:eastAsia="en-LR"/>
        </w:rPr>
        <w:t>, even under increased system complexity.</w:t>
      </w:r>
    </w:p>
    <w:p w14:paraId="1685BB79" w14:textId="1D735816" w:rsidR="00933179" w:rsidRPr="00933179" w:rsidRDefault="00933179" w:rsidP="00020057">
      <w:pPr>
        <w:spacing w:after="0" w:line="240" w:lineRule="auto"/>
        <w:jc w:val="both"/>
        <w:rPr>
          <w:rFonts w:ascii="Times New Roman" w:eastAsia="Times New Roman" w:hAnsi="Times New Roman" w:cs="Times New Roman"/>
          <w:sz w:val="24"/>
          <w:szCs w:val="24"/>
          <w:lang w:eastAsia="en-LR"/>
        </w:rPr>
      </w:pPr>
    </w:p>
    <w:p w14:paraId="2375BDB1" w14:textId="77777777" w:rsidR="00933179" w:rsidRPr="00933179" w:rsidRDefault="00933179" w:rsidP="00020057">
      <w:pPr>
        <w:spacing w:before="100" w:beforeAutospacing="1" w:after="100" w:afterAutospacing="1" w:line="240" w:lineRule="auto"/>
        <w:jc w:val="both"/>
        <w:outlineLvl w:val="2"/>
        <w:rPr>
          <w:rFonts w:ascii="Times New Roman" w:eastAsia="Times New Roman" w:hAnsi="Times New Roman" w:cs="Times New Roman"/>
          <w:b/>
          <w:bCs/>
          <w:sz w:val="24"/>
          <w:szCs w:val="24"/>
          <w:lang w:eastAsia="en-LR"/>
        </w:rPr>
      </w:pPr>
      <w:r w:rsidRPr="00933179">
        <w:rPr>
          <w:rFonts w:ascii="Times New Roman" w:eastAsia="Times New Roman" w:hAnsi="Times New Roman" w:cs="Times New Roman"/>
          <w:b/>
          <w:bCs/>
          <w:sz w:val="24"/>
          <w:szCs w:val="24"/>
          <w:lang w:eastAsia="en-LR"/>
        </w:rPr>
        <w:t>7.8 Summary</w:t>
      </w:r>
    </w:p>
    <w:p w14:paraId="76FAF3A2" w14:textId="6D07004F" w:rsidR="00933179" w:rsidRPr="00020057" w:rsidRDefault="00933179"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r w:rsidRPr="00933179">
        <w:rPr>
          <w:rFonts w:ascii="Times New Roman" w:eastAsia="Times New Roman" w:hAnsi="Times New Roman" w:cs="Times New Roman"/>
          <w:sz w:val="24"/>
          <w:szCs w:val="24"/>
          <w:lang w:eastAsia="en-LR"/>
        </w:rPr>
        <w:t xml:space="preserve">This chapter systematically </w:t>
      </w:r>
      <w:proofErr w:type="spellStart"/>
      <w:r w:rsidRPr="00933179">
        <w:rPr>
          <w:rFonts w:ascii="Times New Roman" w:eastAsia="Times New Roman" w:hAnsi="Times New Roman" w:cs="Times New Roman"/>
          <w:sz w:val="24"/>
          <w:szCs w:val="24"/>
          <w:lang w:eastAsia="en-LR"/>
        </w:rPr>
        <w:t>analyzed</w:t>
      </w:r>
      <w:proofErr w:type="spellEnd"/>
      <w:r w:rsidRPr="00933179">
        <w:rPr>
          <w:rFonts w:ascii="Times New Roman" w:eastAsia="Times New Roman" w:hAnsi="Times New Roman" w:cs="Times New Roman"/>
          <w:sz w:val="24"/>
          <w:szCs w:val="24"/>
          <w:lang w:eastAsia="en-LR"/>
        </w:rPr>
        <w:t xml:space="preserve"> the internal components of the proposed framework and demonstrated that its performance gains are driven by deliberate design choices rather than incidental effects. The results confirm the robustness, scalability, and practical relevance of grid-aware MARL for solar-dominated power systems.</w:t>
      </w:r>
    </w:p>
    <w:p w14:paraId="2585BFD5" w14:textId="77777777" w:rsidR="00933179" w:rsidRPr="00020057" w:rsidRDefault="00933179"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8. Practical Implications, Limitations, and Future Work</w:t>
      </w:r>
    </w:p>
    <w:p w14:paraId="171D0C92" w14:textId="77777777" w:rsidR="00933179" w:rsidRPr="00020057" w:rsidRDefault="00933179" w:rsidP="00020057">
      <w:pPr>
        <w:pStyle w:val="Heading3"/>
        <w:jc w:val="both"/>
        <w:rPr>
          <w:sz w:val="24"/>
          <w:szCs w:val="24"/>
        </w:rPr>
      </w:pPr>
      <w:r w:rsidRPr="00020057">
        <w:rPr>
          <w:rStyle w:val="Strong"/>
          <w:b/>
          <w:bCs/>
          <w:sz w:val="24"/>
          <w:szCs w:val="24"/>
        </w:rPr>
        <w:t>8.1 Practical Implications for Smart Grid Deployment</w:t>
      </w:r>
    </w:p>
    <w:p w14:paraId="50780DBC" w14:textId="77777777" w:rsidR="00933179" w:rsidRPr="00020057" w:rsidRDefault="00933179" w:rsidP="00020057">
      <w:pPr>
        <w:pStyle w:val="NormalWeb"/>
        <w:jc w:val="both"/>
      </w:pPr>
      <w:r w:rsidRPr="00020057">
        <w:t>The proposed grid-aware multi-agent reinforcement learning (MARL) framework offers several practical benefits for modern power systems with high solar photovoltaic (PV) penetration. By enabling decentralized agents to jointly learn forecasting and operational strategies under explicit grid constraints, the framework aligns closely with the architectural and operational realities of contemporary smart grids.</w:t>
      </w:r>
    </w:p>
    <w:p w14:paraId="28B3D731" w14:textId="77777777" w:rsidR="00933179" w:rsidRPr="00020057" w:rsidRDefault="00933179" w:rsidP="00020057">
      <w:pPr>
        <w:pStyle w:val="NormalWeb"/>
        <w:jc w:val="both"/>
      </w:pPr>
      <w:r w:rsidRPr="00020057">
        <w:t>From an operational perspective, the decentralized execution paradigm allows solar entities to make real-time decisions using locally available measurements, thereby reducing reliance on continuous centralized supervision. This characteristic is particularly important for distribution networks, where communication bandwidth and latency constraints limit the feasibility of centralized control. The centralized training phase, which can be conducted offline, leverages historical system-wide data to ensure stable and coordinated learning without imposing additional runtime communication overhead.</w:t>
      </w:r>
    </w:p>
    <w:p w14:paraId="0F7A3D43" w14:textId="76F1CFD9" w:rsidR="00933179" w:rsidRPr="00020057" w:rsidRDefault="00933179" w:rsidP="00020057">
      <w:pPr>
        <w:pStyle w:val="NormalWeb"/>
        <w:jc w:val="both"/>
      </w:pPr>
      <w:r w:rsidRPr="00020057">
        <w:t xml:space="preserve">Moreover, the explicit incorporation of voltage, frequency, and congestion constraints into the learning objective enables the framework to function as a </w:t>
      </w:r>
      <w:r w:rsidRPr="00020057">
        <w:rPr>
          <w:rStyle w:val="Strong"/>
        </w:rPr>
        <w:t>decision-support layer</w:t>
      </w:r>
      <w:r w:rsidRPr="00020057">
        <w:t xml:space="preserve"> rather than a purely predictive tool. Grid operators can integrate the proposed approach alongside existing energy management systems, supervisory control and data acquisition (SCADA) platforms, and distributed energy resource management systems (DERMS), enhancing situational awareness and operational efficiency without requiring a complete overhaul of current infrastructure.</w:t>
      </w:r>
    </w:p>
    <w:p w14:paraId="5F8CE05F" w14:textId="77777777" w:rsidR="00933179" w:rsidRPr="00020057" w:rsidRDefault="00933179" w:rsidP="00020057">
      <w:pPr>
        <w:pStyle w:val="Heading3"/>
        <w:jc w:val="both"/>
        <w:rPr>
          <w:sz w:val="24"/>
          <w:szCs w:val="24"/>
        </w:rPr>
      </w:pPr>
      <w:r w:rsidRPr="00020057">
        <w:rPr>
          <w:rStyle w:val="Strong"/>
          <w:b/>
          <w:bCs/>
          <w:sz w:val="24"/>
          <w:szCs w:val="24"/>
        </w:rPr>
        <w:t>8.2 Integration with Existing Grid Infrastructure</w:t>
      </w:r>
    </w:p>
    <w:p w14:paraId="3A887CB8" w14:textId="77777777" w:rsidR="00933179" w:rsidRPr="00020057" w:rsidRDefault="00933179" w:rsidP="00020057">
      <w:pPr>
        <w:pStyle w:val="NormalWeb"/>
        <w:jc w:val="both"/>
      </w:pPr>
      <w:r w:rsidRPr="00020057">
        <w:t>A key advantage of the proposed framework is its compatibility with existing grid architectures. The MARL agents can be deployed at inverter controllers, microgrid controllers, or aggregator nodes, where local measurements are already available. Forecasting and control decisions generated by the agents can be translated into standard setpoints or control signals, ensuring interoperability with conventional grid devices.</w:t>
      </w:r>
    </w:p>
    <w:p w14:paraId="36E1143F" w14:textId="6DDAF8E6" w:rsidR="00933179" w:rsidRPr="00020057" w:rsidRDefault="00933179" w:rsidP="00020057">
      <w:pPr>
        <w:pStyle w:val="NormalWeb"/>
        <w:jc w:val="both"/>
      </w:pPr>
      <w:r w:rsidRPr="00020057">
        <w:lastRenderedPageBreak/>
        <w:t>In addition, the framework supports incremental deployment. Utilities may initially deploy the system in a limited subset of feeders or microgrids and gradually scale up as confidence in performance and reliability increases. This staged deployment model reduces operational risk and facilitates regulatory approval.</w:t>
      </w:r>
    </w:p>
    <w:p w14:paraId="73D27C97" w14:textId="77777777" w:rsidR="00933179" w:rsidRPr="00020057" w:rsidRDefault="00933179" w:rsidP="00020057">
      <w:pPr>
        <w:pStyle w:val="Heading3"/>
        <w:jc w:val="both"/>
        <w:rPr>
          <w:sz w:val="24"/>
          <w:szCs w:val="24"/>
        </w:rPr>
      </w:pPr>
      <w:r w:rsidRPr="00020057">
        <w:rPr>
          <w:rStyle w:val="Strong"/>
          <w:b/>
          <w:bCs/>
          <w:sz w:val="24"/>
          <w:szCs w:val="24"/>
        </w:rPr>
        <w:t>8.3 Limitations of the Proposed Approach</w:t>
      </w:r>
    </w:p>
    <w:p w14:paraId="6D02A689" w14:textId="77777777" w:rsidR="00933179" w:rsidRPr="00020057" w:rsidRDefault="00933179" w:rsidP="00020057">
      <w:pPr>
        <w:pStyle w:val="NormalWeb"/>
        <w:jc w:val="both"/>
      </w:pPr>
      <w:r w:rsidRPr="00020057">
        <w:t>Despite its advantages, the proposed framework has several limitations that warrant discussion.</w:t>
      </w:r>
    </w:p>
    <w:p w14:paraId="19BBD560" w14:textId="77777777" w:rsidR="00933179" w:rsidRPr="00020057" w:rsidRDefault="00933179" w:rsidP="00020057">
      <w:pPr>
        <w:pStyle w:val="NormalWeb"/>
        <w:jc w:val="both"/>
      </w:pPr>
      <w:r w:rsidRPr="00020057">
        <w:t>First, the learning process relies on the availability of representative historical data for offline training. In newly developed grids or regions with limited historical solar and load data, training quality may be affected. While transfer learning can partially mitigate this issue, its effectiveness depends on the similarity between source and target environments.</w:t>
      </w:r>
    </w:p>
    <w:p w14:paraId="55F5843D" w14:textId="77777777" w:rsidR="00933179" w:rsidRPr="00020057" w:rsidRDefault="00933179" w:rsidP="00020057">
      <w:pPr>
        <w:pStyle w:val="NormalWeb"/>
        <w:jc w:val="both"/>
      </w:pPr>
      <w:r w:rsidRPr="00020057">
        <w:t>Second, although the centralized training and decentralized execution paradigm improves scalability, training complexity increases with the number of agents and the dimensionality of the grid state. For very large-scale systems, distributed or hierarchical training strategies may be required to maintain computational efficiency.</w:t>
      </w:r>
    </w:p>
    <w:p w14:paraId="46DEF31F" w14:textId="77777777" w:rsidR="00933179" w:rsidRPr="00020057" w:rsidRDefault="00933179" w:rsidP="00020057">
      <w:pPr>
        <w:pStyle w:val="NormalWeb"/>
        <w:jc w:val="both"/>
      </w:pPr>
      <w:r w:rsidRPr="00020057">
        <w:t xml:space="preserve">Third, the current formulation assumes cooperative agents with aligned objectives. In real-world scenarios involving multiple stakeholders with competing interests, such as independent power producers or market participants, incentive alignment and strategic </w:t>
      </w:r>
      <w:proofErr w:type="spellStart"/>
      <w:r w:rsidRPr="00020057">
        <w:t>behavior</w:t>
      </w:r>
      <w:proofErr w:type="spellEnd"/>
      <w:r w:rsidRPr="00020057">
        <w:t xml:space="preserve"> may introduce additional complexity that is not fully captured in the present model.</w:t>
      </w:r>
    </w:p>
    <w:p w14:paraId="7221D9BB" w14:textId="42559EAE" w:rsidR="00933179" w:rsidRPr="00020057" w:rsidRDefault="00933179" w:rsidP="00020057">
      <w:pPr>
        <w:jc w:val="both"/>
        <w:rPr>
          <w:rFonts w:ascii="Times New Roman" w:hAnsi="Times New Roman" w:cs="Times New Roman"/>
          <w:sz w:val="24"/>
          <w:szCs w:val="24"/>
        </w:rPr>
      </w:pPr>
    </w:p>
    <w:p w14:paraId="17AAC33D" w14:textId="77777777" w:rsidR="00933179" w:rsidRPr="00020057" w:rsidRDefault="00933179" w:rsidP="00020057">
      <w:pPr>
        <w:pStyle w:val="Heading3"/>
        <w:jc w:val="both"/>
        <w:rPr>
          <w:sz w:val="24"/>
          <w:szCs w:val="24"/>
        </w:rPr>
      </w:pPr>
      <w:r w:rsidRPr="00020057">
        <w:rPr>
          <w:rStyle w:val="Strong"/>
          <w:b/>
          <w:bCs/>
          <w:sz w:val="24"/>
          <w:szCs w:val="24"/>
        </w:rPr>
        <w:t>8.4 Cybersecurity and Reliability Considerations</w:t>
      </w:r>
    </w:p>
    <w:p w14:paraId="0D10A8A5" w14:textId="77777777" w:rsidR="00933179" w:rsidRPr="00020057" w:rsidRDefault="00933179" w:rsidP="00020057">
      <w:pPr>
        <w:pStyle w:val="NormalWeb"/>
        <w:jc w:val="both"/>
      </w:pPr>
      <w:r w:rsidRPr="00020057">
        <w:t>The deployment of learning-based control frameworks in critical infrastructure raises important cybersecurity and reliability concerns. Although decentralized execution reduces the risk associated with single points of failure, adversarial attacks on sensor data, communication links, or learned policies could potentially degrade performance or compromise grid stability.</w:t>
      </w:r>
    </w:p>
    <w:p w14:paraId="53227F3B" w14:textId="77777777" w:rsidR="00933179" w:rsidRPr="00020057" w:rsidRDefault="00933179" w:rsidP="00020057">
      <w:pPr>
        <w:pStyle w:val="NormalWeb"/>
        <w:jc w:val="both"/>
      </w:pPr>
      <w:r w:rsidRPr="00020057">
        <w:t>Future implementations should incorporate robust learning techniques, anomaly detection mechanisms, and secure communication protocols to mitigate these risks. Formal verification and safety assurance methods may also be necessary to satisfy regulatory and operational requirements.</w:t>
      </w:r>
    </w:p>
    <w:p w14:paraId="6D77EA99" w14:textId="3DD22802" w:rsidR="00933179" w:rsidRPr="00020057" w:rsidRDefault="00933179" w:rsidP="00020057">
      <w:pPr>
        <w:jc w:val="both"/>
        <w:rPr>
          <w:rFonts w:ascii="Times New Roman" w:hAnsi="Times New Roman" w:cs="Times New Roman"/>
          <w:sz w:val="24"/>
          <w:szCs w:val="24"/>
        </w:rPr>
      </w:pPr>
    </w:p>
    <w:p w14:paraId="2C6FEC90" w14:textId="77777777" w:rsidR="00933179" w:rsidRPr="00020057" w:rsidRDefault="00933179" w:rsidP="00020057">
      <w:pPr>
        <w:pStyle w:val="Heading3"/>
        <w:jc w:val="both"/>
        <w:rPr>
          <w:sz w:val="24"/>
          <w:szCs w:val="24"/>
        </w:rPr>
      </w:pPr>
      <w:r w:rsidRPr="00020057">
        <w:rPr>
          <w:rStyle w:val="Strong"/>
          <w:b/>
          <w:bCs/>
          <w:sz w:val="24"/>
          <w:szCs w:val="24"/>
        </w:rPr>
        <w:t>8.5 Future Research Directions</w:t>
      </w:r>
    </w:p>
    <w:p w14:paraId="5CD32940" w14:textId="77777777" w:rsidR="00933179" w:rsidRPr="00020057" w:rsidRDefault="00933179" w:rsidP="00020057">
      <w:pPr>
        <w:pStyle w:val="NormalWeb"/>
        <w:jc w:val="both"/>
      </w:pPr>
      <w:r w:rsidRPr="00020057">
        <w:t>Several promising directions for future work emerge from this study:</w:t>
      </w:r>
    </w:p>
    <w:p w14:paraId="2BE26D65" w14:textId="77777777" w:rsidR="00933179" w:rsidRPr="00020057" w:rsidRDefault="00933179" w:rsidP="00020057">
      <w:pPr>
        <w:pStyle w:val="NormalWeb"/>
        <w:numPr>
          <w:ilvl w:val="0"/>
          <w:numId w:val="29"/>
        </w:numPr>
        <w:jc w:val="both"/>
      </w:pPr>
      <w:r w:rsidRPr="00020057">
        <w:rPr>
          <w:rStyle w:val="Strong"/>
        </w:rPr>
        <w:t>Transfer and Meta-Learning</w:t>
      </w:r>
      <w:r w:rsidRPr="00020057">
        <w:t>: Enabling agents to adapt rapidly to new grid configurations or climatic conditions using limited data.</w:t>
      </w:r>
    </w:p>
    <w:p w14:paraId="288B79CF" w14:textId="77777777" w:rsidR="00933179" w:rsidRPr="00020057" w:rsidRDefault="00933179" w:rsidP="00020057">
      <w:pPr>
        <w:pStyle w:val="NormalWeb"/>
        <w:numPr>
          <w:ilvl w:val="0"/>
          <w:numId w:val="29"/>
        </w:numPr>
        <w:jc w:val="both"/>
      </w:pPr>
      <w:r w:rsidRPr="00020057">
        <w:rPr>
          <w:rStyle w:val="Strong"/>
        </w:rPr>
        <w:t>Hierarchical MARL Architectures</w:t>
      </w:r>
      <w:r w:rsidRPr="00020057">
        <w:t>: Introducing higher-level coordination agents to manage large-scale systems while preserving decentralized control.</w:t>
      </w:r>
    </w:p>
    <w:p w14:paraId="09CCC3EF" w14:textId="77777777" w:rsidR="00933179" w:rsidRPr="00020057" w:rsidRDefault="00933179" w:rsidP="00020057">
      <w:pPr>
        <w:pStyle w:val="NormalWeb"/>
        <w:numPr>
          <w:ilvl w:val="0"/>
          <w:numId w:val="29"/>
        </w:numPr>
        <w:jc w:val="both"/>
      </w:pPr>
      <w:r w:rsidRPr="00020057">
        <w:rPr>
          <w:rStyle w:val="Strong"/>
        </w:rPr>
        <w:lastRenderedPageBreak/>
        <w:t>Market-Aware Learning</w:t>
      </w:r>
      <w:r w:rsidRPr="00020057">
        <w:t>: Extending the framework to incorporate electricity pricing, bidding strategies, and market participation.</w:t>
      </w:r>
    </w:p>
    <w:p w14:paraId="0F85511D" w14:textId="77777777" w:rsidR="00933179" w:rsidRPr="00020057" w:rsidRDefault="00933179" w:rsidP="00020057">
      <w:pPr>
        <w:pStyle w:val="NormalWeb"/>
        <w:numPr>
          <w:ilvl w:val="0"/>
          <w:numId w:val="29"/>
        </w:numPr>
        <w:jc w:val="both"/>
      </w:pPr>
      <w:r w:rsidRPr="00020057">
        <w:rPr>
          <w:rStyle w:val="Strong"/>
        </w:rPr>
        <w:t>Real-Time Hardware-in-the-Loop Validation</w:t>
      </w:r>
      <w:r w:rsidRPr="00020057">
        <w:t>: Evaluating performance using real inverter controllers and physical grid simulators.</w:t>
      </w:r>
    </w:p>
    <w:p w14:paraId="08857C3D" w14:textId="77777777" w:rsidR="00933179" w:rsidRPr="00020057" w:rsidRDefault="00933179" w:rsidP="00020057">
      <w:pPr>
        <w:pStyle w:val="NormalWeb"/>
        <w:numPr>
          <w:ilvl w:val="0"/>
          <w:numId w:val="29"/>
        </w:numPr>
        <w:jc w:val="both"/>
      </w:pPr>
      <w:r w:rsidRPr="00020057">
        <w:rPr>
          <w:rStyle w:val="Strong"/>
        </w:rPr>
        <w:t>Resilience-Oriented Learning</w:t>
      </w:r>
      <w:r w:rsidRPr="00020057">
        <w:t>: Enhancing robustness against extreme weather events, component failures, and cyber threats.</w:t>
      </w:r>
    </w:p>
    <w:p w14:paraId="03FBD434" w14:textId="77777777" w:rsidR="00933179" w:rsidRPr="00020057" w:rsidRDefault="00933179" w:rsidP="00020057">
      <w:pPr>
        <w:pStyle w:val="NormalWeb"/>
        <w:jc w:val="both"/>
      </w:pPr>
      <w:r w:rsidRPr="00020057">
        <w:t>These extensions would further strengthen the applicability of grid-aware MARL in operational power systems.</w:t>
      </w:r>
    </w:p>
    <w:p w14:paraId="6F089086" w14:textId="30EBAFDD" w:rsidR="00933179" w:rsidRPr="00020057" w:rsidRDefault="00933179" w:rsidP="00020057">
      <w:pPr>
        <w:jc w:val="both"/>
        <w:rPr>
          <w:rFonts w:ascii="Times New Roman" w:hAnsi="Times New Roman" w:cs="Times New Roman"/>
          <w:sz w:val="24"/>
          <w:szCs w:val="24"/>
        </w:rPr>
      </w:pPr>
    </w:p>
    <w:p w14:paraId="369D6961" w14:textId="77777777" w:rsidR="00933179" w:rsidRPr="00020057" w:rsidRDefault="00933179" w:rsidP="00020057">
      <w:pPr>
        <w:pStyle w:val="Heading3"/>
        <w:jc w:val="both"/>
        <w:rPr>
          <w:sz w:val="24"/>
          <w:szCs w:val="24"/>
        </w:rPr>
      </w:pPr>
      <w:r w:rsidRPr="00020057">
        <w:rPr>
          <w:rStyle w:val="Strong"/>
          <w:b/>
          <w:bCs/>
          <w:sz w:val="24"/>
          <w:szCs w:val="24"/>
        </w:rPr>
        <w:t>8.6 Summary</w:t>
      </w:r>
    </w:p>
    <w:p w14:paraId="4FE07C17" w14:textId="77777777" w:rsidR="00933179" w:rsidRPr="00020057" w:rsidRDefault="00933179" w:rsidP="00020057">
      <w:pPr>
        <w:pStyle w:val="NormalWeb"/>
        <w:jc w:val="both"/>
      </w:pPr>
      <w:r w:rsidRPr="00020057">
        <w:t>This chapter discussed the practical implications of deploying grid-aware MARL in real-world power systems, examined key limitations, and outlined future research directions. While challenges remain, the results presented in this paper demonstrate that multi-agent learning, when carefully designed with explicit grid awareness, represents a viable and scalable pathway toward reliable, solar-dominated smart grids.</w:t>
      </w:r>
    </w:p>
    <w:p w14:paraId="40A3B901" w14:textId="77777777" w:rsidR="00933179" w:rsidRPr="00933179" w:rsidRDefault="00933179" w:rsidP="00020057">
      <w:pPr>
        <w:spacing w:before="100" w:beforeAutospacing="1" w:after="100" w:afterAutospacing="1" w:line="240" w:lineRule="auto"/>
        <w:jc w:val="both"/>
        <w:rPr>
          <w:rFonts w:ascii="Times New Roman" w:eastAsia="Times New Roman" w:hAnsi="Times New Roman" w:cs="Times New Roman"/>
          <w:sz w:val="24"/>
          <w:szCs w:val="24"/>
          <w:lang w:eastAsia="en-LR"/>
        </w:rPr>
      </w:pPr>
    </w:p>
    <w:p w14:paraId="5B63688E" w14:textId="77777777" w:rsidR="00020057" w:rsidRPr="00020057" w:rsidRDefault="00020057"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9. Conclusion</w:t>
      </w:r>
    </w:p>
    <w:p w14:paraId="0FAEF92A" w14:textId="77777777" w:rsidR="00020057" w:rsidRPr="00020057" w:rsidRDefault="00020057" w:rsidP="00020057">
      <w:pPr>
        <w:pStyle w:val="NormalWeb"/>
        <w:jc w:val="both"/>
      </w:pPr>
      <w:r w:rsidRPr="00020057">
        <w:t>This paper presented a grid-aware multi-agent reinforcement learning framework for jointly addressing short-term solar power forecasting and real-time grid optimization in solar-dominated power systems. Motivated by the growing operational challenges introduced by high renewable penetration, the proposed approach moves beyond conventional forecasting and control paradigms by explicitly integrating grid constraints into a cooperative learning process.</w:t>
      </w:r>
    </w:p>
    <w:p w14:paraId="4699711C" w14:textId="77777777" w:rsidR="00020057" w:rsidRPr="00020057" w:rsidRDefault="00020057" w:rsidP="00020057">
      <w:pPr>
        <w:pStyle w:val="NormalWeb"/>
        <w:jc w:val="both"/>
      </w:pPr>
      <w:r w:rsidRPr="00020057">
        <w:t xml:space="preserve">Unlike traditional methods that treat forecasting and grid operation as separate tasks, the proposed framework embeds forecasting decisions directly within a grid-constrained multi-agent learning objective. By adopting a centralized training and decentralized execution paradigm, the framework achieves scalable coordination among distributed solar agents while preserving practical </w:t>
      </w:r>
      <w:proofErr w:type="spellStart"/>
      <w:r w:rsidRPr="00020057">
        <w:t>deployability</w:t>
      </w:r>
      <w:proofErr w:type="spellEnd"/>
      <w:r w:rsidRPr="00020057">
        <w:t xml:space="preserve">. Explicit </w:t>
      </w:r>
      <w:proofErr w:type="spellStart"/>
      <w:r w:rsidRPr="00020057">
        <w:t>modeling</w:t>
      </w:r>
      <w:proofErr w:type="spellEnd"/>
      <w:r w:rsidRPr="00020057">
        <w:t xml:space="preserve"> of voltage limits, frequency stability, congestion, and operational costs enables agents to learn policies that are not only accurate, but also operationally feasible and system-aware.</w:t>
      </w:r>
    </w:p>
    <w:p w14:paraId="07952980" w14:textId="77777777" w:rsidR="00020057" w:rsidRPr="00020057" w:rsidRDefault="00020057" w:rsidP="00020057">
      <w:pPr>
        <w:pStyle w:val="NormalWeb"/>
        <w:jc w:val="both"/>
      </w:pPr>
      <w:r w:rsidRPr="00020057">
        <w:t>Extensive simulation results demonstrate that the proposed grid-aware MARL approach consistently outperforms state-of-the-art deep learning, single-agent reinforcement learning, and conventional multi-agent baselines. The framework achieves lower forecasting errors, significantly reduces voltage and frequency violations, decreases solar curtailment, and lowers overall operational costs. Ablation and sensitivity analyses further confirm that these gains are driven by deliberate design choices, particularly the incorporation of grid-aware reward components and cooperative training mechanisms.</w:t>
      </w:r>
    </w:p>
    <w:p w14:paraId="0065BD50" w14:textId="77777777" w:rsidR="00020057" w:rsidRPr="00020057" w:rsidRDefault="00020057" w:rsidP="00020057">
      <w:pPr>
        <w:pStyle w:val="NormalWeb"/>
        <w:jc w:val="both"/>
      </w:pPr>
      <w:r w:rsidRPr="00020057">
        <w:t xml:space="preserve">From a broader perspective, this work highlights the importance of integrating data-driven forecasting with physical system constraints in next-generation smart grids. As power systems </w:t>
      </w:r>
      <w:r w:rsidRPr="00020057">
        <w:lastRenderedPageBreak/>
        <w:t>continue to evolve toward highly distributed and renewable-dominated architectures, learning-based solutions must be designed with explicit awareness of grid dynamics and operational reliability. The proposed framework represents a meaningful step in this direction and provides a scalable foundation for future research and real-world deployment of intelligent, grid-aware energy management systems.</w:t>
      </w:r>
    </w:p>
    <w:p w14:paraId="260F0B6C" w14:textId="138A67B7" w:rsidR="00020057" w:rsidRPr="00020057" w:rsidRDefault="00020057" w:rsidP="00020057">
      <w:pPr>
        <w:pStyle w:val="Heading2"/>
        <w:jc w:val="both"/>
        <w:rPr>
          <w:rFonts w:ascii="Times New Roman" w:hAnsi="Times New Roman" w:cs="Times New Roman"/>
          <w:sz w:val="24"/>
          <w:szCs w:val="24"/>
        </w:rPr>
      </w:pPr>
      <w:r w:rsidRPr="00020057">
        <w:rPr>
          <w:rStyle w:val="Strong"/>
          <w:rFonts w:ascii="Times New Roman" w:hAnsi="Times New Roman" w:cs="Times New Roman"/>
          <w:b w:val="0"/>
          <w:bCs w:val="0"/>
          <w:sz w:val="24"/>
          <w:szCs w:val="24"/>
        </w:rPr>
        <w:t xml:space="preserve">References </w:t>
      </w:r>
    </w:p>
    <w:p w14:paraId="2A35FD23" w14:textId="77777777" w:rsidR="00020057" w:rsidRPr="00020057" w:rsidRDefault="00020057" w:rsidP="00020057">
      <w:pPr>
        <w:pStyle w:val="NormalWeb"/>
        <w:jc w:val="both"/>
      </w:pPr>
      <w:r w:rsidRPr="00020057">
        <w:t xml:space="preserve">[1] International Energy Agency, </w:t>
      </w:r>
      <w:r w:rsidRPr="00020057">
        <w:rPr>
          <w:rStyle w:val="Emphasis"/>
          <w:rFonts w:eastAsiaTheme="majorEastAsia"/>
        </w:rPr>
        <w:t>Renewables 2024: Analysis and Forecast to 2030</w:t>
      </w:r>
      <w:r w:rsidRPr="00020057">
        <w:t>, IEA, Paris, France, 2024.</w:t>
      </w:r>
    </w:p>
    <w:p w14:paraId="743CE574" w14:textId="77777777" w:rsidR="00020057" w:rsidRPr="00020057" w:rsidRDefault="00020057" w:rsidP="00020057">
      <w:pPr>
        <w:pStyle w:val="NormalWeb"/>
        <w:jc w:val="both"/>
      </w:pPr>
      <w:r w:rsidRPr="00020057">
        <w:t xml:space="preserve">[2] P. </w:t>
      </w:r>
      <w:proofErr w:type="spellStart"/>
      <w:r w:rsidRPr="00020057">
        <w:t>Kundur</w:t>
      </w:r>
      <w:proofErr w:type="spellEnd"/>
      <w:r w:rsidRPr="00020057">
        <w:t xml:space="preserve"> et al., “Integration of renewable energy into modern power systems: Challenges and solutions,” </w:t>
      </w:r>
      <w:r w:rsidRPr="00020057">
        <w:rPr>
          <w:rStyle w:val="Emphasis"/>
          <w:rFonts w:eastAsiaTheme="majorEastAsia"/>
        </w:rPr>
        <w:t>IEEE Transactions on Smart Grid</w:t>
      </w:r>
      <w:r w:rsidRPr="00020057">
        <w:t>, vol. 13, no. 4, pp. 3012–3024, 2022.</w:t>
      </w:r>
    </w:p>
    <w:p w14:paraId="5F3B86C1" w14:textId="77777777" w:rsidR="00020057" w:rsidRPr="00020057" w:rsidRDefault="00020057" w:rsidP="00020057">
      <w:pPr>
        <w:pStyle w:val="NormalWeb"/>
        <w:jc w:val="both"/>
      </w:pPr>
      <w:r w:rsidRPr="00020057">
        <w:t xml:space="preserve">[3] J. Zhao, Y. Zhang, and F. Luo, “Short-term solar power forecasting using attention-based deep learning,” </w:t>
      </w:r>
      <w:r w:rsidRPr="00020057">
        <w:rPr>
          <w:rStyle w:val="Emphasis"/>
          <w:rFonts w:eastAsiaTheme="majorEastAsia"/>
        </w:rPr>
        <w:t>IEEE Transactions on Smart Grid</w:t>
      </w:r>
      <w:r w:rsidRPr="00020057">
        <w:t>, vol. 12, no. 6, pp. 5079–5090, 2021.</w:t>
      </w:r>
    </w:p>
    <w:p w14:paraId="09AD7E72" w14:textId="77777777" w:rsidR="00020057" w:rsidRPr="00020057" w:rsidRDefault="00020057" w:rsidP="00020057">
      <w:pPr>
        <w:pStyle w:val="NormalWeb"/>
        <w:jc w:val="both"/>
      </w:pPr>
      <w:r w:rsidRPr="00020057">
        <w:t xml:space="preserve">[4] M. Abdel-Nasser, K. Mahmoud, and M. Lehtonen, “Accurate photovoltaic power forecasting using deep recurrent neural networks,” </w:t>
      </w:r>
      <w:r w:rsidRPr="00020057">
        <w:rPr>
          <w:rStyle w:val="Emphasis"/>
          <w:rFonts w:eastAsiaTheme="majorEastAsia"/>
        </w:rPr>
        <w:t>Applied Energy</w:t>
      </w:r>
      <w:r w:rsidRPr="00020057">
        <w:t>, vol. 285, 2021.</w:t>
      </w:r>
    </w:p>
    <w:p w14:paraId="5FD89735" w14:textId="77777777" w:rsidR="00020057" w:rsidRPr="00020057" w:rsidRDefault="00020057" w:rsidP="00020057">
      <w:pPr>
        <w:pStyle w:val="NormalWeb"/>
        <w:jc w:val="both"/>
      </w:pPr>
      <w:r w:rsidRPr="00020057">
        <w:t xml:space="preserve">[5] T. Hong, J. </w:t>
      </w:r>
      <w:proofErr w:type="spellStart"/>
      <w:r w:rsidRPr="00020057">
        <w:t>Xie</w:t>
      </w:r>
      <w:proofErr w:type="spellEnd"/>
      <w:r w:rsidRPr="00020057">
        <w:t xml:space="preserve">, and J. Black, “Global energy forecasting competition: Data, methods, and insights,” </w:t>
      </w:r>
      <w:r w:rsidRPr="00020057">
        <w:rPr>
          <w:rStyle w:val="Emphasis"/>
          <w:rFonts w:eastAsiaTheme="majorEastAsia"/>
        </w:rPr>
        <w:t>International Journal of Forecasting</w:t>
      </w:r>
      <w:r w:rsidRPr="00020057">
        <w:t>, vol. 37, no. 3, pp. 998–1014, 2021.</w:t>
      </w:r>
    </w:p>
    <w:p w14:paraId="132DA426" w14:textId="77777777" w:rsidR="00020057" w:rsidRPr="00020057" w:rsidRDefault="00020057" w:rsidP="00020057">
      <w:pPr>
        <w:pStyle w:val="NormalWeb"/>
        <w:jc w:val="both"/>
      </w:pPr>
      <w:r w:rsidRPr="00020057">
        <w:t xml:space="preserve">[6] Y. Wang, W. Saad, and Z. Han, “Distributed reinforcement learning for autonomous energy management in smart grids,” </w:t>
      </w:r>
      <w:r w:rsidRPr="00020057">
        <w:rPr>
          <w:rStyle w:val="Emphasis"/>
          <w:rFonts w:eastAsiaTheme="majorEastAsia"/>
        </w:rPr>
        <w:t>IEEE Transactions on Smart Grid</w:t>
      </w:r>
      <w:r w:rsidRPr="00020057">
        <w:t>, vol. 12, no. 5, pp. 3950–3962, 2021.</w:t>
      </w:r>
    </w:p>
    <w:p w14:paraId="58FEFBC0" w14:textId="77777777" w:rsidR="00020057" w:rsidRPr="00020057" w:rsidRDefault="00020057" w:rsidP="00020057">
      <w:pPr>
        <w:pStyle w:val="NormalWeb"/>
        <w:jc w:val="both"/>
      </w:pPr>
      <w:r w:rsidRPr="00020057">
        <w:t xml:space="preserve">[7] Z. Shi, H. Liang, and V. H. Poor, “Deep reinforcement learning for energy storage management in renewable-integrated power systems,” </w:t>
      </w:r>
      <w:r w:rsidRPr="00020057">
        <w:rPr>
          <w:rStyle w:val="Emphasis"/>
          <w:rFonts w:eastAsiaTheme="majorEastAsia"/>
        </w:rPr>
        <w:t>IEEE Transactions on Smart Grid</w:t>
      </w:r>
      <w:r w:rsidRPr="00020057">
        <w:t>, vol. 12, no. 4, pp. 3253–3265, 2021.</w:t>
      </w:r>
    </w:p>
    <w:p w14:paraId="490CEC8F" w14:textId="77777777" w:rsidR="00020057" w:rsidRPr="00020057" w:rsidRDefault="00020057" w:rsidP="00020057">
      <w:pPr>
        <w:pStyle w:val="NormalWeb"/>
        <w:jc w:val="both"/>
      </w:pPr>
      <w:r w:rsidRPr="00020057">
        <w:t xml:space="preserve">[8] J. Liu, Y. Xu, Z. Y. Dong, and K. Meng, “Multi-agent reinforcement learning for distributed voltage control,” </w:t>
      </w:r>
      <w:r w:rsidRPr="00020057">
        <w:rPr>
          <w:rStyle w:val="Emphasis"/>
          <w:rFonts w:eastAsiaTheme="majorEastAsia"/>
        </w:rPr>
        <w:t>IEEE Transactions on Smart Grid</w:t>
      </w:r>
      <w:r w:rsidRPr="00020057">
        <w:t>, vol. 12, no. 4, pp. 2987–2998, 2021.</w:t>
      </w:r>
    </w:p>
    <w:p w14:paraId="0FDC14CD" w14:textId="77777777" w:rsidR="00020057" w:rsidRPr="00020057" w:rsidRDefault="00020057" w:rsidP="00020057">
      <w:pPr>
        <w:pStyle w:val="NormalWeb"/>
        <w:jc w:val="both"/>
      </w:pPr>
      <w:r w:rsidRPr="00020057">
        <w:t xml:space="preserve">[9] A. Gupta, J. K. Gupta, and M. J. </w:t>
      </w:r>
      <w:proofErr w:type="spellStart"/>
      <w:r w:rsidRPr="00020057">
        <w:t>Kochenderfer</w:t>
      </w:r>
      <w:proofErr w:type="spellEnd"/>
      <w:r w:rsidRPr="00020057">
        <w:t xml:space="preserve">, “Multi-agent reinforcement learning for large-scale energy systems,” </w:t>
      </w:r>
      <w:r w:rsidRPr="00020057">
        <w:rPr>
          <w:rStyle w:val="Emphasis"/>
          <w:rFonts w:eastAsiaTheme="majorEastAsia"/>
        </w:rPr>
        <w:t>Autonomous Agents and Multi-Agent Systems</w:t>
      </w:r>
      <w:r w:rsidRPr="00020057">
        <w:t>, vol. 35, no. 2, 2021.</w:t>
      </w:r>
    </w:p>
    <w:p w14:paraId="0916B0B4" w14:textId="77777777" w:rsidR="00020057" w:rsidRPr="00020057" w:rsidRDefault="00020057" w:rsidP="00020057">
      <w:pPr>
        <w:pStyle w:val="NormalWeb"/>
        <w:jc w:val="both"/>
      </w:pPr>
      <w:r w:rsidRPr="00020057">
        <w:t xml:space="preserve">[10] T. Chen, S. Bu, X. Yu, and J. Zhang, “Decentralized multi-agent deep reinforcement learning for energy trading,” </w:t>
      </w:r>
      <w:r w:rsidRPr="00020057">
        <w:rPr>
          <w:rStyle w:val="Emphasis"/>
          <w:rFonts w:eastAsiaTheme="majorEastAsia"/>
        </w:rPr>
        <w:t>IEEE Transactions on Industrial Informatics</w:t>
      </w:r>
      <w:r w:rsidRPr="00020057">
        <w:t>, vol. 17, no. 6, pp. 4255–4264, 2021.</w:t>
      </w:r>
    </w:p>
    <w:p w14:paraId="46858DA8" w14:textId="77777777" w:rsidR="00020057" w:rsidRPr="00020057" w:rsidRDefault="00020057" w:rsidP="00020057">
      <w:pPr>
        <w:pStyle w:val="NormalWeb"/>
        <w:jc w:val="both"/>
      </w:pPr>
      <w:r w:rsidRPr="00020057">
        <w:t xml:space="preserve">[11] Y. Zhang, Q. Chen, and T. Hong, “Grid-aware deep learning for renewable energy forecasting,” </w:t>
      </w:r>
      <w:r w:rsidRPr="00020057">
        <w:rPr>
          <w:rStyle w:val="Emphasis"/>
          <w:rFonts w:eastAsiaTheme="majorEastAsia"/>
        </w:rPr>
        <w:t>Applied Energy</w:t>
      </w:r>
      <w:r w:rsidRPr="00020057">
        <w:t>, vol. 306, 2022.</w:t>
      </w:r>
    </w:p>
    <w:p w14:paraId="0C983C94" w14:textId="77777777" w:rsidR="00020057" w:rsidRPr="00020057" w:rsidRDefault="00020057" w:rsidP="00020057">
      <w:pPr>
        <w:pStyle w:val="NormalWeb"/>
        <w:jc w:val="both"/>
      </w:pPr>
      <w:r w:rsidRPr="00020057">
        <w:t xml:space="preserve">[12] M. Bui, A. Hussain, and Y. Li, “Grid-aware reinforcement learning for renewable energy integration,” </w:t>
      </w:r>
      <w:r w:rsidRPr="00020057">
        <w:rPr>
          <w:rStyle w:val="Emphasis"/>
          <w:rFonts w:eastAsiaTheme="majorEastAsia"/>
        </w:rPr>
        <w:t>Energy AI</w:t>
      </w:r>
      <w:r w:rsidRPr="00020057">
        <w:t>, vol. 6, 2022.</w:t>
      </w:r>
    </w:p>
    <w:p w14:paraId="4758A560" w14:textId="77777777" w:rsidR="00020057" w:rsidRPr="00020057" w:rsidRDefault="00020057" w:rsidP="00020057">
      <w:pPr>
        <w:pStyle w:val="NormalWeb"/>
        <w:jc w:val="both"/>
      </w:pPr>
      <w:r w:rsidRPr="00020057">
        <w:lastRenderedPageBreak/>
        <w:t xml:space="preserve">[13] T. Zheng, Y. Xu, Z. Y. Dong, and K. Meng, “Hierarchical multi-agent reinforcement learning for power system operation,” </w:t>
      </w:r>
      <w:r w:rsidRPr="00020057">
        <w:rPr>
          <w:rStyle w:val="Emphasis"/>
          <w:rFonts w:eastAsiaTheme="majorEastAsia"/>
        </w:rPr>
        <w:t>IEEE Transactions on Smart Grid</w:t>
      </w:r>
      <w:r w:rsidRPr="00020057">
        <w:t>, vol. 13, no. 2, pp. 1456–1467, 2022.</w:t>
      </w:r>
    </w:p>
    <w:p w14:paraId="2ECD22C7" w14:textId="77777777" w:rsidR="00020057" w:rsidRPr="00020057" w:rsidRDefault="00020057" w:rsidP="00020057">
      <w:pPr>
        <w:pStyle w:val="NormalWeb"/>
        <w:jc w:val="both"/>
      </w:pPr>
      <w:r w:rsidRPr="00020057">
        <w:t xml:space="preserve">[14] S. </w:t>
      </w:r>
      <w:proofErr w:type="spellStart"/>
      <w:r w:rsidRPr="00020057">
        <w:t>Mocanu</w:t>
      </w:r>
      <w:proofErr w:type="spellEnd"/>
      <w:r w:rsidRPr="00020057">
        <w:t xml:space="preserve">, E. </w:t>
      </w:r>
      <w:proofErr w:type="spellStart"/>
      <w:r w:rsidRPr="00020057">
        <w:t>Mocanu</w:t>
      </w:r>
      <w:proofErr w:type="spellEnd"/>
      <w:r w:rsidRPr="00020057">
        <w:t xml:space="preserve">, and P. Nguyen, “Deep reinforcement learning for real-time optimization in smart grids,” </w:t>
      </w:r>
      <w:r w:rsidRPr="00020057">
        <w:rPr>
          <w:rStyle w:val="Emphasis"/>
          <w:rFonts w:eastAsiaTheme="majorEastAsia"/>
        </w:rPr>
        <w:t>Applied Energy</w:t>
      </w:r>
      <w:r w:rsidRPr="00020057">
        <w:t>, vol. 307, 2022.</w:t>
      </w:r>
    </w:p>
    <w:p w14:paraId="0EBBEA0A" w14:textId="77777777" w:rsidR="00020057" w:rsidRPr="00020057" w:rsidRDefault="00020057" w:rsidP="00020057">
      <w:pPr>
        <w:pStyle w:val="NormalWeb"/>
        <w:jc w:val="both"/>
      </w:pPr>
      <w:r w:rsidRPr="00020057">
        <w:t xml:space="preserve">[15] X. Fang, S. </w:t>
      </w:r>
      <w:proofErr w:type="spellStart"/>
      <w:r w:rsidRPr="00020057">
        <w:t>Misra</w:t>
      </w:r>
      <w:proofErr w:type="spellEnd"/>
      <w:r w:rsidRPr="00020057">
        <w:t xml:space="preserve">, and G. </w:t>
      </w:r>
      <w:proofErr w:type="spellStart"/>
      <w:r w:rsidRPr="00020057">
        <w:t>Xue</w:t>
      </w:r>
      <w:proofErr w:type="spellEnd"/>
      <w:r w:rsidRPr="00020057">
        <w:t xml:space="preserve">, “Artificial intelligence for smart grids: A comprehensive review,” </w:t>
      </w:r>
      <w:r w:rsidRPr="00020057">
        <w:rPr>
          <w:rStyle w:val="Emphasis"/>
          <w:rFonts w:eastAsiaTheme="majorEastAsia"/>
        </w:rPr>
        <w:t>IEEE Communications Surveys &amp; Tutorials</w:t>
      </w:r>
      <w:r w:rsidRPr="00020057">
        <w:t>, vol. 24, no. 1, pp. 540–570, 2022.</w:t>
      </w:r>
    </w:p>
    <w:p w14:paraId="5A0E2885" w14:textId="77777777" w:rsidR="00020057" w:rsidRPr="00020057" w:rsidRDefault="00020057" w:rsidP="00020057">
      <w:pPr>
        <w:pStyle w:val="NormalWeb"/>
        <w:jc w:val="both"/>
      </w:pPr>
      <w:r w:rsidRPr="00020057">
        <w:t xml:space="preserve">[16] J. Li, H. Li, and Y. Song, “Scalable deep reinforcement learning for distribution network control,” </w:t>
      </w:r>
      <w:r w:rsidRPr="00020057">
        <w:rPr>
          <w:rStyle w:val="Emphasis"/>
          <w:rFonts w:eastAsiaTheme="majorEastAsia"/>
        </w:rPr>
        <w:t>Applied Energy</w:t>
      </w:r>
      <w:r w:rsidRPr="00020057">
        <w:t>, vol. 325, 2022.</w:t>
      </w:r>
    </w:p>
    <w:p w14:paraId="6C355A91" w14:textId="77777777" w:rsidR="00020057" w:rsidRPr="00020057" w:rsidRDefault="00020057" w:rsidP="00020057">
      <w:pPr>
        <w:pStyle w:val="NormalWeb"/>
        <w:jc w:val="both"/>
      </w:pPr>
      <w:r w:rsidRPr="00020057">
        <w:t xml:space="preserve">[17] Z. Qin, Y. Hou, and J. Wu, “Multi-agent reinforcement learning for voltage regulation in active distribution networks,” </w:t>
      </w:r>
      <w:r w:rsidRPr="00020057">
        <w:rPr>
          <w:rStyle w:val="Emphasis"/>
          <w:rFonts w:eastAsiaTheme="majorEastAsia"/>
        </w:rPr>
        <w:t>Electric Power Systems Research</w:t>
      </w:r>
      <w:r w:rsidRPr="00020057">
        <w:t>, vol. 208, 2022.</w:t>
      </w:r>
    </w:p>
    <w:p w14:paraId="55E06E3A" w14:textId="77777777" w:rsidR="00020057" w:rsidRPr="00020057" w:rsidRDefault="00020057" w:rsidP="00020057">
      <w:pPr>
        <w:pStyle w:val="NormalWeb"/>
        <w:jc w:val="both"/>
      </w:pPr>
      <w:r w:rsidRPr="00020057">
        <w:t xml:space="preserve">[18] Y. Wang, J. Huang, and Z. Han, “Communication-aware multi-agent reinforcement learning for smart grids,” </w:t>
      </w:r>
      <w:r w:rsidRPr="00020057">
        <w:rPr>
          <w:rStyle w:val="Emphasis"/>
          <w:rFonts w:eastAsiaTheme="majorEastAsia"/>
        </w:rPr>
        <w:t>IEEE Transactions on Smart Grid</w:t>
      </w:r>
      <w:r w:rsidRPr="00020057">
        <w:t>, vol. 14, no. 1, pp. 812–824, 2023.</w:t>
      </w:r>
    </w:p>
    <w:p w14:paraId="1DF18329" w14:textId="77777777" w:rsidR="00020057" w:rsidRPr="00020057" w:rsidRDefault="00020057" w:rsidP="00020057">
      <w:pPr>
        <w:pStyle w:val="NormalWeb"/>
        <w:jc w:val="both"/>
      </w:pPr>
      <w:r w:rsidRPr="00020057">
        <w:t xml:space="preserve">[19] M. Zhang, R. Wang, and P. Pinson, “Data-driven decision-making for renewable-dominated power systems,” </w:t>
      </w:r>
      <w:r w:rsidRPr="00020057">
        <w:rPr>
          <w:rStyle w:val="Emphasis"/>
          <w:rFonts w:eastAsiaTheme="majorEastAsia"/>
        </w:rPr>
        <w:t>Energy AI</w:t>
      </w:r>
      <w:r w:rsidRPr="00020057">
        <w:t>, vol. 10, 2023.</w:t>
      </w:r>
    </w:p>
    <w:p w14:paraId="55417870" w14:textId="77777777" w:rsidR="00020057" w:rsidRPr="00020057" w:rsidRDefault="00020057" w:rsidP="00020057">
      <w:pPr>
        <w:pStyle w:val="NormalWeb"/>
        <w:jc w:val="both"/>
      </w:pPr>
      <w:r w:rsidRPr="00020057">
        <w:t xml:space="preserve">[20] H. Sun, Q. Guo, and B. Zhang, “Artificial intelligence for next-generation power system operation,” </w:t>
      </w:r>
      <w:r w:rsidRPr="00020057">
        <w:rPr>
          <w:rStyle w:val="Emphasis"/>
          <w:rFonts w:eastAsiaTheme="majorEastAsia"/>
        </w:rPr>
        <w:t>Proceedings of the IEEE</w:t>
      </w:r>
      <w:r w:rsidRPr="00020057">
        <w:t>, vol. 111, no. 7, pp. 911–935, 2023.</w:t>
      </w:r>
    </w:p>
    <w:p w14:paraId="4BB63189" w14:textId="77777777" w:rsidR="00020057" w:rsidRPr="00020057" w:rsidRDefault="00020057" w:rsidP="00020057">
      <w:pPr>
        <w:pStyle w:val="NormalWeb"/>
        <w:jc w:val="both"/>
      </w:pPr>
      <w:r w:rsidRPr="00020057">
        <w:t xml:space="preserve">[21] J. Park, S. Kim, and H. Kim, “Multi-agent deep reinforcement learning for grid-constrained energy management,” </w:t>
      </w:r>
      <w:r w:rsidRPr="00020057">
        <w:rPr>
          <w:rStyle w:val="Emphasis"/>
          <w:rFonts w:eastAsiaTheme="majorEastAsia"/>
        </w:rPr>
        <w:t>IEEE Transactions on Smart Grid</w:t>
      </w:r>
      <w:r w:rsidRPr="00020057">
        <w:t>, vol. 15, no. 2, pp. 1784–1796, 2024.</w:t>
      </w:r>
    </w:p>
    <w:p w14:paraId="27972E3C" w14:textId="77777777" w:rsidR="00020057" w:rsidRPr="00020057" w:rsidRDefault="00020057" w:rsidP="00020057">
      <w:pPr>
        <w:pStyle w:val="NormalWeb"/>
        <w:jc w:val="both"/>
      </w:pPr>
      <w:r w:rsidRPr="00020057">
        <w:t xml:space="preserve">[22] Y. Liu, X. Yu, and Z. Y. Dong, “Grid-aware cooperative reinforcement learning for renewable energy forecasting and dispatch,” </w:t>
      </w:r>
      <w:r w:rsidRPr="00020057">
        <w:rPr>
          <w:rStyle w:val="Emphasis"/>
          <w:rFonts w:eastAsiaTheme="majorEastAsia"/>
        </w:rPr>
        <w:t>Applied Energy</w:t>
      </w:r>
      <w:r w:rsidRPr="00020057">
        <w:t>, vol. 354, 2024.</w:t>
      </w:r>
    </w:p>
    <w:p w14:paraId="6DD588FD" w14:textId="77777777" w:rsidR="00020057" w:rsidRPr="00020057" w:rsidRDefault="00020057" w:rsidP="00020057">
      <w:pPr>
        <w:pStyle w:val="NormalWeb"/>
        <w:jc w:val="both"/>
      </w:pPr>
      <w:r w:rsidRPr="00020057">
        <w:t xml:space="preserve">[23] A. </w:t>
      </w:r>
      <w:proofErr w:type="spellStart"/>
      <w:r w:rsidRPr="00020057">
        <w:t>Alqahtani</w:t>
      </w:r>
      <w:proofErr w:type="spellEnd"/>
      <w:r w:rsidRPr="00020057">
        <w:t xml:space="preserve"> and M. </w:t>
      </w:r>
      <w:proofErr w:type="spellStart"/>
      <w:r w:rsidRPr="00020057">
        <w:t>Shahidehpour</w:t>
      </w:r>
      <w:proofErr w:type="spellEnd"/>
      <w:r w:rsidRPr="00020057">
        <w:t xml:space="preserve">, “AI-driven distributed energy resource management systems,” </w:t>
      </w:r>
      <w:r w:rsidRPr="00020057">
        <w:rPr>
          <w:rStyle w:val="Emphasis"/>
          <w:rFonts w:eastAsiaTheme="majorEastAsia"/>
        </w:rPr>
        <w:t>IEEE Transactions on Smart Grid</w:t>
      </w:r>
      <w:r w:rsidRPr="00020057">
        <w:t>, vol. 15, no. 3, pp. 2501–2513, 2024.</w:t>
      </w:r>
    </w:p>
    <w:p w14:paraId="33F53FE8" w14:textId="77777777" w:rsidR="00020057" w:rsidRPr="00020057" w:rsidRDefault="00020057" w:rsidP="00020057">
      <w:pPr>
        <w:pStyle w:val="NormalWeb"/>
        <w:jc w:val="both"/>
      </w:pPr>
      <w:r w:rsidRPr="00020057">
        <w:t xml:space="preserve">[24] P. Pinson and G. </w:t>
      </w:r>
      <w:proofErr w:type="spellStart"/>
      <w:r w:rsidRPr="00020057">
        <w:t>Kariniotakis</w:t>
      </w:r>
      <w:proofErr w:type="spellEnd"/>
      <w:r w:rsidRPr="00020057">
        <w:t xml:space="preserve">, “Forecasting and uncertainty management for renewable energy systems,” </w:t>
      </w:r>
      <w:r w:rsidRPr="00020057">
        <w:rPr>
          <w:rStyle w:val="Emphasis"/>
          <w:rFonts w:eastAsiaTheme="majorEastAsia"/>
        </w:rPr>
        <w:t>Energy AI</w:t>
      </w:r>
      <w:r w:rsidRPr="00020057">
        <w:t>, vol. 14, 2024.</w:t>
      </w:r>
    </w:p>
    <w:p w14:paraId="62A173A2" w14:textId="77777777" w:rsidR="00020057" w:rsidRPr="00020057" w:rsidRDefault="00020057" w:rsidP="00020057">
      <w:pPr>
        <w:pStyle w:val="NormalWeb"/>
        <w:jc w:val="both"/>
      </w:pPr>
      <w:r w:rsidRPr="00020057">
        <w:t xml:space="preserve">[25] International Energy Agency, </w:t>
      </w:r>
      <w:r w:rsidRPr="00020057">
        <w:rPr>
          <w:rStyle w:val="Emphasis"/>
          <w:rFonts w:eastAsiaTheme="majorEastAsia"/>
        </w:rPr>
        <w:t>Electricity Grids and Secure Energy Transitions</w:t>
      </w:r>
      <w:r w:rsidRPr="00020057">
        <w:t>, IEA, Paris, France, 2025.</w:t>
      </w:r>
    </w:p>
    <w:p w14:paraId="6671255D" w14:textId="77777777" w:rsidR="00933179" w:rsidRPr="00020057" w:rsidRDefault="00933179" w:rsidP="00020057">
      <w:pPr>
        <w:jc w:val="both"/>
        <w:rPr>
          <w:rFonts w:ascii="Times New Roman" w:hAnsi="Times New Roman" w:cs="Times New Roman"/>
          <w:sz w:val="24"/>
          <w:szCs w:val="24"/>
        </w:rPr>
      </w:pPr>
    </w:p>
    <w:sectPr w:rsidR="00933179" w:rsidRPr="00020057">
      <w:headerReference w:type="default" r:id="rId15"/>
      <w:footerReference w:type="default" r:id="rId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M Sans">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6D6B" w14:textId="77777777" w:rsidR="00C42A97" w:rsidRDefault="00CE123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2975" w14:textId="77777777" w:rsidR="00C42A97" w:rsidRDefault="00CE1237">
    <w:pPr>
      <w:widowControl w:val="0"/>
      <w:spacing w:before="360" w:after="24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5pt;height:15pt;visibility:visible" o:bullet="t">
        <v:imagedata r:id="rId1" o:title=""/>
      </v:shape>
    </w:pict>
  </w:numPicBullet>
  <w:abstractNum w:abstractNumId="0" w15:restartNumberingAfterBreak="0">
    <w:nsid w:val="011C4E43"/>
    <w:multiLevelType w:val="multilevel"/>
    <w:tmpl w:val="5BA6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B2A69"/>
    <w:multiLevelType w:val="multilevel"/>
    <w:tmpl w:val="8B5A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81F97"/>
    <w:multiLevelType w:val="multilevel"/>
    <w:tmpl w:val="394E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83E8D"/>
    <w:multiLevelType w:val="multilevel"/>
    <w:tmpl w:val="B36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21E6F"/>
    <w:multiLevelType w:val="multilevel"/>
    <w:tmpl w:val="6F28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34BE1"/>
    <w:multiLevelType w:val="multilevel"/>
    <w:tmpl w:val="5C34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712DDD"/>
    <w:multiLevelType w:val="multilevel"/>
    <w:tmpl w:val="7016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44077"/>
    <w:multiLevelType w:val="multilevel"/>
    <w:tmpl w:val="ABEC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93CD6"/>
    <w:multiLevelType w:val="multilevel"/>
    <w:tmpl w:val="3BC0A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954C42"/>
    <w:multiLevelType w:val="multilevel"/>
    <w:tmpl w:val="784C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910DA"/>
    <w:multiLevelType w:val="multilevel"/>
    <w:tmpl w:val="7422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C3991"/>
    <w:multiLevelType w:val="multilevel"/>
    <w:tmpl w:val="3FFA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A5A56"/>
    <w:multiLevelType w:val="multilevel"/>
    <w:tmpl w:val="B680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D30D63"/>
    <w:multiLevelType w:val="multilevel"/>
    <w:tmpl w:val="7378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73217"/>
    <w:multiLevelType w:val="multilevel"/>
    <w:tmpl w:val="A298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00CF4"/>
    <w:multiLevelType w:val="multilevel"/>
    <w:tmpl w:val="18640344"/>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938D8"/>
    <w:multiLevelType w:val="multilevel"/>
    <w:tmpl w:val="FB4C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94625"/>
    <w:multiLevelType w:val="multilevel"/>
    <w:tmpl w:val="5F861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ED1A11"/>
    <w:multiLevelType w:val="multilevel"/>
    <w:tmpl w:val="4922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16300"/>
    <w:multiLevelType w:val="multilevel"/>
    <w:tmpl w:val="773A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C7075"/>
    <w:multiLevelType w:val="multilevel"/>
    <w:tmpl w:val="25F48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DD2C7E"/>
    <w:multiLevelType w:val="multilevel"/>
    <w:tmpl w:val="2476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540B53"/>
    <w:multiLevelType w:val="multilevel"/>
    <w:tmpl w:val="673A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8753D"/>
    <w:multiLevelType w:val="multilevel"/>
    <w:tmpl w:val="CEF4F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E6124F"/>
    <w:multiLevelType w:val="hybridMultilevel"/>
    <w:tmpl w:val="34AC29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6CF355D"/>
    <w:multiLevelType w:val="multilevel"/>
    <w:tmpl w:val="C1BC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35017"/>
    <w:multiLevelType w:val="multilevel"/>
    <w:tmpl w:val="925E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251F6"/>
    <w:multiLevelType w:val="multilevel"/>
    <w:tmpl w:val="1ED2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C25148"/>
    <w:multiLevelType w:val="multilevel"/>
    <w:tmpl w:val="EF62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6"/>
  </w:num>
  <w:num w:numId="4">
    <w:abstractNumId w:val="15"/>
  </w:num>
  <w:num w:numId="5">
    <w:abstractNumId w:val="24"/>
  </w:num>
  <w:num w:numId="6">
    <w:abstractNumId w:val="6"/>
  </w:num>
  <w:num w:numId="7">
    <w:abstractNumId w:val="25"/>
  </w:num>
  <w:num w:numId="8">
    <w:abstractNumId w:val="0"/>
  </w:num>
  <w:num w:numId="9">
    <w:abstractNumId w:val="4"/>
  </w:num>
  <w:num w:numId="10">
    <w:abstractNumId w:val="5"/>
  </w:num>
  <w:num w:numId="11">
    <w:abstractNumId w:val="26"/>
  </w:num>
  <w:num w:numId="12">
    <w:abstractNumId w:val="11"/>
  </w:num>
  <w:num w:numId="13">
    <w:abstractNumId w:val="18"/>
  </w:num>
  <w:num w:numId="14">
    <w:abstractNumId w:val="13"/>
  </w:num>
  <w:num w:numId="15">
    <w:abstractNumId w:val="1"/>
  </w:num>
  <w:num w:numId="16">
    <w:abstractNumId w:val="20"/>
  </w:num>
  <w:num w:numId="17">
    <w:abstractNumId w:val="2"/>
  </w:num>
  <w:num w:numId="18">
    <w:abstractNumId w:val="19"/>
  </w:num>
  <w:num w:numId="19">
    <w:abstractNumId w:val="9"/>
  </w:num>
  <w:num w:numId="20">
    <w:abstractNumId w:val="27"/>
  </w:num>
  <w:num w:numId="21">
    <w:abstractNumId w:val="22"/>
  </w:num>
  <w:num w:numId="22">
    <w:abstractNumId w:val="28"/>
  </w:num>
  <w:num w:numId="23">
    <w:abstractNumId w:val="3"/>
  </w:num>
  <w:num w:numId="24">
    <w:abstractNumId w:val="14"/>
  </w:num>
  <w:num w:numId="25">
    <w:abstractNumId w:val="12"/>
  </w:num>
  <w:num w:numId="26">
    <w:abstractNumId w:val="17"/>
  </w:num>
  <w:num w:numId="27">
    <w:abstractNumId w:val="21"/>
  </w:num>
  <w:num w:numId="28">
    <w:abstractNumId w:val="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45"/>
    <w:rsid w:val="00020057"/>
    <w:rsid w:val="0002612C"/>
    <w:rsid w:val="000A5D62"/>
    <w:rsid w:val="000D10DC"/>
    <w:rsid w:val="00217590"/>
    <w:rsid w:val="0037601F"/>
    <w:rsid w:val="004969D5"/>
    <w:rsid w:val="00523445"/>
    <w:rsid w:val="00534AD6"/>
    <w:rsid w:val="005C4870"/>
    <w:rsid w:val="005F1D39"/>
    <w:rsid w:val="00635E82"/>
    <w:rsid w:val="00693CA4"/>
    <w:rsid w:val="006E3C16"/>
    <w:rsid w:val="006F2E41"/>
    <w:rsid w:val="008A2B51"/>
    <w:rsid w:val="00915045"/>
    <w:rsid w:val="00933179"/>
    <w:rsid w:val="00A222D6"/>
    <w:rsid w:val="00A31BCF"/>
    <w:rsid w:val="00A34D32"/>
    <w:rsid w:val="00A5538F"/>
    <w:rsid w:val="00A83F75"/>
    <w:rsid w:val="00A92D8D"/>
    <w:rsid w:val="00B07E2A"/>
    <w:rsid w:val="00BC6600"/>
    <w:rsid w:val="00C92900"/>
    <w:rsid w:val="00CE1237"/>
    <w:rsid w:val="00D05507"/>
    <w:rsid w:val="00D821EE"/>
    <w:rsid w:val="00DE2DAD"/>
    <w:rsid w:val="00FD2670"/>
    <w:rsid w:val="00FF4C5A"/>
  </w:rsids>
  <m:mathPr>
    <m:mathFont m:val="Cambria Math"/>
    <m:brkBin m:val="before"/>
    <m:brkBinSub m:val="--"/>
    <m:smallFrac m:val="0"/>
    <m:dispDef/>
    <m:lMargin m:val="0"/>
    <m:rMargin m:val="0"/>
    <m:defJc m:val="centerGroup"/>
    <m:wrapIndent m:val="1440"/>
    <m:intLim m:val="subSup"/>
    <m:naryLim m:val="undOvr"/>
  </m:mathPr>
  <w:themeFontLang w:val="en-L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5B85"/>
  <w15:chartTrackingRefBased/>
  <w15:docId w15:val="{B267B433-F4F4-4A92-A449-15E36975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L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234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23445"/>
    <w:pPr>
      <w:spacing w:before="100" w:beforeAutospacing="1" w:after="100" w:afterAutospacing="1" w:line="240" w:lineRule="auto"/>
      <w:outlineLvl w:val="2"/>
    </w:pPr>
    <w:rPr>
      <w:rFonts w:ascii="Times New Roman" w:eastAsia="Times New Roman" w:hAnsi="Times New Roman" w:cs="Times New Roman"/>
      <w:b/>
      <w:bCs/>
      <w:sz w:val="27"/>
      <w:szCs w:val="27"/>
      <w:lang w:eastAsia="en-LR"/>
    </w:rPr>
  </w:style>
  <w:style w:type="paragraph" w:styleId="Heading4">
    <w:name w:val="heading 4"/>
    <w:basedOn w:val="Normal"/>
    <w:next w:val="Normal"/>
    <w:link w:val="Heading4Char"/>
    <w:uiPriority w:val="9"/>
    <w:semiHidden/>
    <w:unhideWhenUsed/>
    <w:qFormat/>
    <w:rsid w:val="00D055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3445"/>
    <w:rPr>
      <w:rFonts w:ascii="Times New Roman" w:eastAsia="Times New Roman" w:hAnsi="Times New Roman" w:cs="Times New Roman"/>
      <w:b/>
      <w:bCs/>
      <w:sz w:val="27"/>
      <w:szCs w:val="27"/>
      <w:lang w:eastAsia="en-LR"/>
    </w:rPr>
  </w:style>
  <w:style w:type="character" w:styleId="Strong">
    <w:name w:val="Strong"/>
    <w:basedOn w:val="DefaultParagraphFont"/>
    <w:uiPriority w:val="22"/>
    <w:qFormat/>
    <w:rsid w:val="00523445"/>
    <w:rPr>
      <w:b/>
      <w:bCs/>
    </w:rPr>
  </w:style>
  <w:style w:type="paragraph" w:styleId="NormalWeb">
    <w:name w:val="Normal (Web)"/>
    <w:basedOn w:val="Normal"/>
    <w:uiPriority w:val="99"/>
    <w:unhideWhenUsed/>
    <w:rsid w:val="00523445"/>
    <w:pPr>
      <w:spacing w:before="100" w:beforeAutospacing="1" w:after="100" w:afterAutospacing="1" w:line="240" w:lineRule="auto"/>
    </w:pPr>
    <w:rPr>
      <w:rFonts w:ascii="Times New Roman" w:eastAsia="Times New Roman" w:hAnsi="Times New Roman" w:cs="Times New Roman"/>
      <w:sz w:val="24"/>
      <w:szCs w:val="24"/>
      <w:lang w:eastAsia="en-LR"/>
    </w:rPr>
  </w:style>
  <w:style w:type="character" w:customStyle="1" w:styleId="Heading2Char">
    <w:name w:val="Heading 2 Char"/>
    <w:basedOn w:val="DefaultParagraphFont"/>
    <w:link w:val="Heading2"/>
    <w:uiPriority w:val="9"/>
    <w:semiHidden/>
    <w:rsid w:val="0052344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D05507"/>
    <w:rPr>
      <w:rFonts w:asciiTheme="majorHAnsi" w:eastAsiaTheme="majorEastAsia" w:hAnsiTheme="majorHAnsi" w:cstheme="majorBidi"/>
      <w:i/>
      <w:iCs/>
      <w:color w:val="2F5496" w:themeColor="accent1" w:themeShade="BF"/>
    </w:rPr>
  </w:style>
  <w:style w:type="character" w:styleId="HTMLCode">
    <w:name w:val="HTML Code"/>
    <w:basedOn w:val="DefaultParagraphFont"/>
    <w:uiPriority w:val="99"/>
    <w:semiHidden/>
    <w:unhideWhenUsed/>
    <w:rsid w:val="00D0550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0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LR"/>
    </w:rPr>
  </w:style>
  <w:style w:type="character" w:customStyle="1" w:styleId="HTMLPreformattedChar">
    <w:name w:val="HTML Preformatted Char"/>
    <w:basedOn w:val="DefaultParagraphFont"/>
    <w:link w:val="HTMLPreformatted"/>
    <w:uiPriority w:val="99"/>
    <w:semiHidden/>
    <w:rsid w:val="00D05507"/>
    <w:rPr>
      <w:rFonts w:ascii="Courier New" w:eastAsia="Times New Roman" w:hAnsi="Courier New" w:cs="Courier New"/>
      <w:sz w:val="20"/>
      <w:szCs w:val="20"/>
      <w:lang w:eastAsia="en-LR"/>
    </w:rPr>
  </w:style>
  <w:style w:type="character" w:customStyle="1" w:styleId="hljs-keyword">
    <w:name w:val="hljs-keyword"/>
    <w:basedOn w:val="DefaultParagraphFont"/>
    <w:rsid w:val="00D05507"/>
  </w:style>
  <w:style w:type="character" w:customStyle="1" w:styleId="hljs-comment">
    <w:name w:val="hljs-comment"/>
    <w:basedOn w:val="DefaultParagraphFont"/>
    <w:rsid w:val="00D05507"/>
  </w:style>
  <w:style w:type="character" w:customStyle="1" w:styleId="hljs-string">
    <w:name w:val="hljs-string"/>
    <w:basedOn w:val="DefaultParagraphFont"/>
    <w:rsid w:val="00D05507"/>
  </w:style>
  <w:style w:type="table" w:styleId="TableGrid">
    <w:name w:val="Table Grid"/>
    <w:basedOn w:val="TableNormal"/>
    <w:uiPriority w:val="39"/>
    <w:rsid w:val="00D05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635E82"/>
  </w:style>
  <w:style w:type="character" w:customStyle="1" w:styleId="mord">
    <w:name w:val="mord"/>
    <w:basedOn w:val="DefaultParagraphFont"/>
    <w:rsid w:val="00635E82"/>
  </w:style>
  <w:style w:type="character" w:customStyle="1" w:styleId="mrel">
    <w:name w:val="mrel"/>
    <w:basedOn w:val="DefaultParagraphFont"/>
    <w:rsid w:val="00635E82"/>
  </w:style>
  <w:style w:type="character" w:customStyle="1" w:styleId="mopen">
    <w:name w:val="mopen"/>
    <w:basedOn w:val="DefaultParagraphFont"/>
    <w:rsid w:val="00635E82"/>
  </w:style>
  <w:style w:type="character" w:customStyle="1" w:styleId="mpunct">
    <w:name w:val="mpunct"/>
    <w:basedOn w:val="DefaultParagraphFont"/>
    <w:rsid w:val="00635E82"/>
  </w:style>
  <w:style w:type="character" w:customStyle="1" w:styleId="minner">
    <w:name w:val="minner"/>
    <w:basedOn w:val="DefaultParagraphFont"/>
    <w:rsid w:val="00635E82"/>
  </w:style>
  <w:style w:type="character" w:customStyle="1" w:styleId="mclose">
    <w:name w:val="mclose"/>
    <w:basedOn w:val="DefaultParagraphFont"/>
    <w:rsid w:val="00635E82"/>
  </w:style>
  <w:style w:type="character" w:styleId="PlaceholderText">
    <w:name w:val="Placeholder Text"/>
    <w:basedOn w:val="DefaultParagraphFont"/>
    <w:uiPriority w:val="99"/>
    <w:semiHidden/>
    <w:rsid w:val="00635E82"/>
    <w:rPr>
      <w:color w:val="808080"/>
    </w:rPr>
  </w:style>
  <w:style w:type="character" w:customStyle="1" w:styleId="vlist-s">
    <w:name w:val="vlist-s"/>
    <w:basedOn w:val="DefaultParagraphFont"/>
    <w:rsid w:val="0002612C"/>
  </w:style>
  <w:style w:type="paragraph" w:styleId="ListParagraph">
    <w:name w:val="List Paragraph"/>
    <w:basedOn w:val="Normal"/>
    <w:uiPriority w:val="34"/>
    <w:qFormat/>
    <w:rsid w:val="000D10DC"/>
    <w:pPr>
      <w:ind w:left="720"/>
      <w:contextualSpacing/>
    </w:pPr>
  </w:style>
  <w:style w:type="character" w:customStyle="1" w:styleId="math-inline">
    <w:name w:val="math-inline"/>
    <w:basedOn w:val="DefaultParagraphFont"/>
    <w:rsid w:val="00A31BCF"/>
  </w:style>
  <w:style w:type="character" w:styleId="Emphasis">
    <w:name w:val="Emphasis"/>
    <w:basedOn w:val="DefaultParagraphFont"/>
    <w:uiPriority w:val="20"/>
    <w:qFormat/>
    <w:rsid w:val="00020057"/>
    <w:rPr>
      <w:i/>
      <w:iCs/>
    </w:rPr>
  </w:style>
  <w:style w:type="paragraph" w:customStyle="1" w:styleId="Default">
    <w:name w:val="Default"/>
    <w:rsid w:val="00CE1237"/>
    <w:pPr>
      <w:autoSpaceDE w:val="0"/>
      <w:autoSpaceDN w:val="0"/>
      <w:adjustRightInd w:val="0"/>
      <w:spacing w:after="0" w:line="240" w:lineRule="auto"/>
    </w:pPr>
    <w:rPr>
      <w:rFonts w:ascii="Times New Roman" w:hAnsi="Times New Roman" w:cs="Times New Roman"/>
      <w:color w:val="000000"/>
      <w:sz w:val="24"/>
      <w:szCs w:val="24"/>
      <w:lang w:val="en-LR"/>
    </w:rPr>
  </w:style>
  <w:style w:type="paragraph" w:styleId="Title">
    <w:name w:val="Title"/>
    <w:basedOn w:val="Normal"/>
    <w:next w:val="Normal"/>
    <w:link w:val="TitleChar"/>
    <w:uiPriority w:val="10"/>
    <w:qFormat/>
    <w:rsid w:val="00CE1237"/>
    <w:pPr>
      <w:pBdr>
        <w:bottom w:val="single" w:sz="8" w:space="4" w:color="4F81BD"/>
      </w:pBdr>
      <w:spacing w:after="300" w:line="240" w:lineRule="auto"/>
    </w:pPr>
    <w:rPr>
      <w:rFonts w:ascii="Calibri" w:eastAsia="Calibri" w:hAnsi="Calibri" w:cs="Calibri"/>
      <w:color w:val="17365D"/>
      <w:sz w:val="52"/>
      <w:szCs w:val="52"/>
      <w:lang w:val="en" w:eastAsia="en-LR"/>
    </w:rPr>
  </w:style>
  <w:style w:type="character" w:customStyle="1" w:styleId="TitleChar">
    <w:name w:val="Title Char"/>
    <w:basedOn w:val="DefaultParagraphFont"/>
    <w:link w:val="Title"/>
    <w:uiPriority w:val="10"/>
    <w:rsid w:val="00CE1237"/>
    <w:rPr>
      <w:rFonts w:ascii="Calibri" w:eastAsia="Calibri" w:hAnsi="Calibri" w:cs="Calibri"/>
      <w:color w:val="17365D"/>
      <w:sz w:val="52"/>
      <w:szCs w:val="52"/>
      <w:lang w:val="en" w:eastAsia="en-L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363">
      <w:bodyDiv w:val="1"/>
      <w:marLeft w:val="0"/>
      <w:marRight w:val="0"/>
      <w:marTop w:val="0"/>
      <w:marBottom w:val="0"/>
      <w:divBdr>
        <w:top w:val="none" w:sz="0" w:space="0" w:color="auto"/>
        <w:left w:val="none" w:sz="0" w:space="0" w:color="auto"/>
        <w:bottom w:val="none" w:sz="0" w:space="0" w:color="auto"/>
        <w:right w:val="none" w:sz="0" w:space="0" w:color="auto"/>
      </w:divBdr>
    </w:div>
    <w:div w:id="33432425">
      <w:bodyDiv w:val="1"/>
      <w:marLeft w:val="0"/>
      <w:marRight w:val="0"/>
      <w:marTop w:val="0"/>
      <w:marBottom w:val="0"/>
      <w:divBdr>
        <w:top w:val="none" w:sz="0" w:space="0" w:color="auto"/>
        <w:left w:val="none" w:sz="0" w:space="0" w:color="auto"/>
        <w:bottom w:val="none" w:sz="0" w:space="0" w:color="auto"/>
        <w:right w:val="none" w:sz="0" w:space="0" w:color="auto"/>
      </w:divBdr>
    </w:div>
    <w:div w:id="134222820">
      <w:bodyDiv w:val="1"/>
      <w:marLeft w:val="0"/>
      <w:marRight w:val="0"/>
      <w:marTop w:val="0"/>
      <w:marBottom w:val="0"/>
      <w:divBdr>
        <w:top w:val="none" w:sz="0" w:space="0" w:color="auto"/>
        <w:left w:val="none" w:sz="0" w:space="0" w:color="auto"/>
        <w:bottom w:val="none" w:sz="0" w:space="0" w:color="auto"/>
        <w:right w:val="none" w:sz="0" w:space="0" w:color="auto"/>
      </w:divBdr>
    </w:div>
    <w:div w:id="143745405">
      <w:bodyDiv w:val="1"/>
      <w:marLeft w:val="0"/>
      <w:marRight w:val="0"/>
      <w:marTop w:val="0"/>
      <w:marBottom w:val="0"/>
      <w:divBdr>
        <w:top w:val="none" w:sz="0" w:space="0" w:color="auto"/>
        <w:left w:val="none" w:sz="0" w:space="0" w:color="auto"/>
        <w:bottom w:val="none" w:sz="0" w:space="0" w:color="auto"/>
        <w:right w:val="none" w:sz="0" w:space="0" w:color="auto"/>
      </w:divBdr>
    </w:div>
    <w:div w:id="309330108">
      <w:bodyDiv w:val="1"/>
      <w:marLeft w:val="0"/>
      <w:marRight w:val="0"/>
      <w:marTop w:val="0"/>
      <w:marBottom w:val="0"/>
      <w:divBdr>
        <w:top w:val="none" w:sz="0" w:space="0" w:color="auto"/>
        <w:left w:val="none" w:sz="0" w:space="0" w:color="auto"/>
        <w:bottom w:val="none" w:sz="0" w:space="0" w:color="auto"/>
        <w:right w:val="none" w:sz="0" w:space="0" w:color="auto"/>
      </w:divBdr>
    </w:div>
    <w:div w:id="362218287">
      <w:bodyDiv w:val="1"/>
      <w:marLeft w:val="0"/>
      <w:marRight w:val="0"/>
      <w:marTop w:val="0"/>
      <w:marBottom w:val="0"/>
      <w:divBdr>
        <w:top w:val="none" w:sz="0" w:space="0" w:color="auto"/>
        <w:left w:val="none" w:sz="0" w:space="0" w:color="auto"/>
        <w:bottom w:val="none" w:sz="0" w:space="0" w:color="auto"/>
        <w:right w:val="none" w:sz="0" w:space="0" w:color="auto"/>
      </w:divBdr>
    </w:div>
    <w:div w:id="366030112">
      <w:bodyDiv w:val="1"/>
      <w:marLeft w:val="0"/>
      <w:marRight w:val="0"/>
      <w:marTop w:val="0"/>
      <w:marBottom w:val="0"/>
      <w:divBdr>
        <w:top w:val="none" w:sz="0" w:space="0" w:color="auto"/>
        <w:left w:val="none" w:sz="0" w:space="0" w:color="auto"/>
        <w:bottom w:val="none" w:sz="0" w:space="0" w:color="auto"/>
        <w:right w:val="none" w:sz="0" w:space="0" w:color="auto"/>
      </w:divBdr>
    </w:div>
    <w:div w:id="404569832">
      <w:bodyDiv w:val="1"/>
      <w:marLeft w:val="0"/>
      <w:marRight w:val="0"/>
      <w:marTop w:val="0"/>
      <w:marBottom w:val="0"/>
      <w:divBdr>
        <w:top w:val="none" w:sz="0" w:space="0" w:color="auto"/>
        <w:left w:val="none" w:sz="0" w:space="0" w:color="auto"/>
        <w:bottom w:val="none" w:sz="0" w:space="0" w:color="auto"/>
        <w:right w:val="none" w:sz="0" w:space="0" w:color="auto"/>
      </w:divBdr>
    </w:div>
    <w:div w:id="463155206">
      <w:bodyDiv w:val="1"/>
      <w:marLeft w:val="0"/>
      <w:marRight w:val="0"/>
      <w:marTop w:val="0"/>
      <w:marBottom w:val="0"/>
      <w:divBdr>
        <w:top w:val="none" w:sz="0" w:space="0" w:color="auto"/>
        <w:left w:val="none" w:sz="0" w:space="0" w:color="auto"/>
        <w:bottom w:val="none" w:sz="0" w:space="0" w:color="auto"/>
        <w:right w:val="none" w:sz="0" w:space="0" w:color="auto"/>
      </w:divBdr>
    </w:div>
    <w:div w:id="472216944">
      <w:bodyDiv w:val="1"/>
      <w:marLeft w:val="0"/>
      <w:marRight w:val="0"/>
      <w:marTop w:val="0"/>
      <w:marBottom w:val="0"/>
      <w:divBdr>
        <w:top w:val="none" w:sz="0" w:space="0" w:color="auto"/>
        <w:left w:val="none" w:sz="0" w:space="0" w:color="auto"/>
        <w:bottom w:val="none" w:sz="0" w:space="0" w:color="auto"/>
        <w:right w:val="none" w:sz="0" w:space="0" w:color="auto"/>
      </w:divBdr>
    </w:div>
    <w:div w:id="570045348">
      <w:bodyDiv w:val="1"/>
      <w:marLeft w:val="0"/>
      <w:marRight w:val="0"/>
      <w:marTop w:val="0"/>
      <w:marBottom w:val="0"/>
      <w:divBdr>
        <w:top w:val="none" w:sz="0" w:space="0" w:color="auto"/>
        <w:left w:val="none" w:sz="0" w:space="0" w:color="auto"/>
        <w:bottom w:val="none" w:sz="0" w:space="0" w:color="auto"/>
        <w:right w:val="none" w:sz="0" w:space="0" w:color="auto"/>
      </w:divBdr>
    </w:div>
    <w:div w:id="585310395">
      <w:bodyDiv w:val="1"/>
      <w:marLeft w:val="0"/>
      <w:marRight w:val="0"/>
      <w:marTop w:val="0"/>
      <w:marBottom w:val="0"/>
      <w:divBdr>
        <w:top w:val="none" w:sz="0" w:space="0" w:color="auto"/>
        <w:left w:val="none" w:sz="0" w:space="0" w:color="auto"/>
        <w:bottom w:val="none" w:sz="0" w:space="0" w:color="auto"/>
        <w:right w:val="none" w:sz="0" w:space="0" w:color="auto"/>
      </w:divBdr>
    </w:div>
    <w:div w:id="608467566">
      <w:bodyDiv w:val="1"/>
      <w:marLeft w:val="0"/>
      <w:marRight w:val="0"/>
      <w:marTop w:val="0"/>
      <w:marBottom w:val="0"/>
      <w:divBdr>
        <w:top w:val="none" w:sz="0" w:space="0" w:color="auto"/>
        <w:left w:val="none" w:sz="0" w:space="0" w:color="auto"/>
        <w:bottom w:val="none" w:sz="0" w:space="0" w:color="auto"/>
        <w:right w:val="none" w:sz="0" w:space="0" w:color="auto"/>
      </w:divBdr>
    </w:div>
    <w:div w:id="611286610">
      <w:bodyDiv w:val="1"/>
      <w:marLeft w:val="0"/>
      <w:marRight w:val="0"/>
      <w:marTop w:val="0"/>
      <w:marBottom w:val="0"/>
      <w:divBdr>
        <w:top w:val="none" w:sz="0" w:space="0" w:color="auto"/>
        <w:left w:val="none" w:sz="0" w:space="0" w:color="auto"/>
        <w:bottom w:val="none" w:sz="0" w:space="0" w:color="auto"/>
        <w:right w:val="none" w:sz="0" w:space="0" w:color="auto"/>
      </w:divBdr>
    </w:div>
    <w:div w:id="611789034">
      <w:bodyDiv w:val="1"/>
      <w:marLeft w:val="0"/>
      <w:marRight w:val="0"/>
      <w:marTop w:val="0"/>
      <w:marBottom w:val="0"/>
      <w:divBdr>
        <w:top w:val="none" w:sz="0" w:space="0" w:color="auto"/>
        <w:left w:val="none" w:sz="0" w:space="0" w:color="auto"/>
        <w:bottom w:val="none" w:sz="0" w:space="0" w:color="auto"/>
        <w:right w:val="none" w:sz="0" w:space="0" w:color="auto"/>
      </w:divBdr>
    </w:div>
    <w:div w:id="623660076">
      <w:bodyDiv w:val="1"/>
      <w:marLeft w:val="0"/>
      <w:marRight w:val="0"/>
      <w:marTop w:val="0"/>
      <w:marBottom w:val="0"/>
      <w:divBdr>
        <w:top w:val="none" w:sz="0" w:space="0" w:color="auto"/>
        <w:left w:val="none" w:sz="0" w:space="0" w:color="auto"/>
        <w:bottom w:val="none" w:sz="0" w:space="0" w:color="auto"/>
        <w:right w:val="none" w:sz="0" w:space="0" w:color="auto"/>
      </w:divBdr>
    </w:div>
    <w:div w:id="644699485">
      <w:bodyDiv w:val="1"/>
      <w:marLeft w:val="0"/>
      <w:marRight w:val="0"/>
      <w:marTop w:val="0"/>
      <w:marBottom w:val="0"/>
      <w:divBdr>
        <w:top w:val="none" w:sz="0" w:space="0" w:color="auto"/>
        <w:left w:val="none" w:sz="0" w:space="0" w:color="auto"/>
        <w:bottom w:val="none" w:sz="0" w:space="0" w:color="auto"/>
        <w:right w:val="none" w:sz="0" w:space="0" w:color="auto"/>
      </w:divBdr>
    </w:div>
    <w:div w:id="670522003">
      <w:bodyDiv w:val="1"/>
      <w:marLeft w:val="0"/>
      <w:marRight w:val="0"/>
      <w:marTop w:val="0"/>
      <w:marBottom w:val="0"/>
      <w:divBdr>
        <w:top w:val="none" w:sz="0" w:space="0" w:color="auto"/>
        <w:left w:val="none" w:sz="0" w:space="0" w:color="auto"/>
        <w:bottom w:val="none" w:sz="0" w:space="0" w:color="auto"/>
        <w:right w:val="none" w:sz="0" w:space="0" w:color="auto"/>
      </w:divBdr>
    </w:div>
    <w:div w:id="734426931">
      <w:bodyDiv w:val="1"/>
      <w:marLeft w:val="0"/>
      <w:marRight w:val="0"/>
      <w:marTop w:val="0"/>
      <w:marBottom w:val="0"/>
      <w:divBdr>
        <w:top w:val="none" w:sz="0" w:space="0" w:color="auto"/>
        <w:left w:val="none" w:sz="0" w:space="0" w:color="auto"/>
        <w:bottom w:val="none" w:sz="0" w:space="0" w:color="auto"/>
        <w:right w:val="none" w:sz="0" w:space="0" w:color="auto"/>
      </w:divBdr>
    </w:div>
    <w:div w:id="756557839">
      <w:bodyDiv w:val="1"/>
      <w:marLeft w:val="0"/>
      <w:marRight w:val="0"/>
      <w:marTop w:val="0"/>
      <w:marBottom w:val="0"/>
      <w:divBdr>
        <w:top w:val="none" w:sz="0" w:space="0" w:color="auto"/>
        <w:left w:val="none" w:sz="0" w:space="0" w:color="auto"/>
        <w:bottom w:val="none" w:sz="0" w:space="0" w:color="auto"/>
        <w:right w:val="none" w:sz="0" w:space="0" w:color="auto"/>
      </w:divBdr>
    </w:div>
    <w:div w:id="762605236">
      <w:bodyDiv w:val="1"/>
      <w:marLeft w:val="0"/>
      <w:marRight w:val="0"/>
      <w:marTop w:val="0"/>
      <w:marBottom w:val="0"/>
      <w:divBdr>
        <w:top w:val="none" w:sz="0" w:space="0" w:color="auto"/>
        <w:left w:val="none" w:sz="0" w:space="0" w:color="auto"/>
        <w:bottom w:val="none" w:sz="0" w:space="0" w:color="auto"/>
        <w:right w:val="none" w:sz="0" w:space="0" w:color="auto"/>
      </w:divBdr>
    </w:div>
    <w:div w:id="782264202">
      <w:bodyDiv w:val="1"/>
      <w:marLeft w:val="0"/>
      <w:marRight w:val="0"/>
      <w:marTop w:val="0"/>
      <w:marBottom w:val="0"/>
      <w:divBdr>
        <w:top w:val="none" w:sz="0" w:space="0" w:color="auto"/>
        <w:left w:val="none" w:sz="0" w:space="0" w:color="auto"/>
        <w:bottom w:val="none" w:sz="0" w:space="0" w:color="auto"/>
        <w:right w:val="none" w:sz="0" w:space="0" w:color="auto"/>
      </w:divBdr>
    </w:div>
    <w:div w:id="827205726">
      <w:bodyDiv w:val="1"/>
      <w:marLeft w:val="0"/>
      <w:marRight w:val="0"/>
      <w:marTop w:val="0"/>
      <w:marBottom w:val="0"/>
      <w:divBdr>
        <w:top w:val="none" w:sz="0" w:space="0" w:color="auto"/>
        <w:left w:val="none" w:sz="0" w:space="0" w:color="auto"/>
        <w:bottom w:val="none" w:sz="0" w:space="0" w:color="auto"/>
        <w:right w:val="none" w:sz="0" w:space="0" w:color="auto"/>
      </w:divBdr>
    </w:div>
    <w:div w:id="840899582">
      <w:bodyDiv w:val="1"/>
      <w:marLeft w:val="0"/>
      <w:marRight w:val="0"/>
      <w:marTop w:val="0"/>
      <w:marBottom w:val="0"/>
      <w:divBdr>
        <w:top w:val="none" w:sz="0" w:space="0" w:color="auto"/>
        <w:left w:val="none" w:sz="0" w:space="0" w:color="auto"/>
        <w:bottom w:val="none" w:sz="0" w:space="0" w:color="auto"/>
        <w:right w:val="none" w:sz="0" w:space="0" w:color="auto"/>
      </w:divBdr>
    </w:div>
    <w:div w:id="843059065">
      <w:bodyDiv w:val="1"/>
      <w:marLeft w:val="0"/>
      <w:marRight w:val="0"/>
      <w:marTop w:val="0"/>
      <w:marBottom w:val="0"/>
      <w:divBdr>
        <w:top w:val="none" w:sz="0" w:space="0" w:color="auto"/>
        <w:left w:val="none" w:sz="0" w:space="0" w:color="auto"/>
        <w:bottom w:val="none" w:sz="0" w:space="0" w:color="auto"/>
        <w:right w:val="none" w:sz="0" w:space="0" w:color="auto"/>
      </w:divBdr>
    </w:div>
    <w:div w:id="874271785">
      <w:bodyDiv w:val="1"/>
      <w:marLeft w:val="0"/>
      <w:marRight w:val="0"/>
      <w:marTop w:val="0"/>
      <w:marBottom w:val="0"/>
      <w:divBdr>
        <w:top w:val="none" w:sz="0" w:space="0" w:color="auto"/>
        <w:left w:val="none" w:sz="0" w:space="0" w:color="auto"/>
        <w:bottom w:val="none" w:sz="0" w:space="0" w:color="auto"/>
        <w:right w:val="none" w:sz="0" w:space="0" w:color="auto"/>
      </w:divBdr>
    </w:div>
    <w:div w:id="896018376">
      <w:bodyDiv w:val="1"/>
      <w:marLeft w:val="0"/>
      <w:marRight w:val="0"/>
      <w:marTop w:val="0"/>
      <w:marBottom w:val="0"/>
      <w:divBdr>
        <w:top w:val="none" w:sz="0" w:space="0" w:color="auto"/>
        <w:left w:val="none" w:sz="0" w:space="0" w:color="auto"/>
        <w:bottom w:val="none" w:sz="0" w:space="0" w:color="auto"/>
        <w:right w:val="none" w:sz="0" w:space="0" w:color="auto"/>
      </w:divBdr>
    </w:div>
    <w:div w:id="907611426">
      <w:bodyDiv w:val="1"/>
      <w:marLeft w:val="0"/>
      <w:marRight w:val="0"/>
      <w:marTop w:val="0"/>
      <w:marBottom w:val="0"/>
      <w:divBdr>
        <w:top w:val="none" w:sz="0" w:space="0" w:color="auto"/>
        <w:left w:val="none" w:sz="0" w:space="0" w:color="auto"/>
        <w:bottom w:val="none" w:sz="0" w:space="0" w:color="auto"/>
        <w:right w:val="none" w:sz="0" w:space="0" w:color="auto"/>
      </w:divBdr>
    </w:div>
    <w:div w:id="918178976">
      <w:bodyDiv w:val="1"/>
      <w:marLeft w:val="0"/>
      <w:marRight w:val="0"/>
      <w:marTop w:val="0"/>
      <w:marBottom w:val="0"/>
      <w:divBdr>
        <w:top w:val="none" w:sz="0" w:space="0" w:color="auto"/>
        <w:left w:val="none" w:sz="0" w:space="0" w:color="auto"/>
        <w:bottom w:val="none" w:sz="0" w:space="0" w:color="auto"/>
        <w:right w:val="none" w:sz="0" w:space="0" w:color="auto"/>
      </w:divBdr>
    </w:div>
    <w:div w:id="943809924">
      <w:bodyDiv w:val="1"/>
      <w:marLeft w:val="0"/>
      <w:marRight w:val="0"/>
      <w:marTop w:val="0"/>
      <w:marBottom w:val="0"/>
      <w:divBdr>
        <w:top w:val="none" w:sz="0" w:space="0" w:color="auto"/>
        <w:left w:val="none" w:sz="0" w:space="0" w:color="auto"/>
        <w:bottom w:val="none" w:sz="0" w:space="0" w:color="auto"/>
        <w:right w:val="none" w:sz="0" w:space="0" w:color="auto"/>
      </w:divBdr>
    </w:div>
    <w:div w:id="945961795">
      <w:bodyDiv w:val="1"/>
      <w:marLeft w:val="0"/>
      <w:marRight w:val="0"/>
      <w:marTop w:val="0"/>
      <w:marBottom w:val="0"/>
      <w:divBdr>
        <w:top w:val="none" w:sz="0" w:space="0" w:color="auto"/>
        <w:left w:val="none" w:sz="0" w:space="0" w:color="auto"/>
        <w:bottom w:val="none" w:sz="0" w:space="0" w:color="auto"/>
        <w:right w:val="none" w:sz="0" w:space="0" w:color="auto"/>
      </w:divBdr>
    </w:div>
    <w:div w:id="955065139">
      <w:bodyDiv w:val="1"/>
      <w:marLeft w:val="0"/>
      <w:marRight w:val="0"/>
      <w:marTop w:val="0"/>
      <w:marBottom w:val="0"/>
      <w:divBdr>
        <w:top w:val="none" w:sz="0" w:space="0" w:color="auto"/>
        <w:left w:val="none" w:sz="0" w:space="0" w:color="auto"/>
        <w:bottom w:val="none" w:sz="0" w:space="0" w:color="auto"/>
        <w:right w:val="none" w:sz="0" w:space="0" w:color="auto"/>
      </w:divBdr>
    </w:div>
    <w:div w:id="1028070390">
      <w:bodyDiv w:val="1"/>
      <w:marLeft w:val="0"/>
      <w:marRight w:val="0"/>
      <w:marTop w:val="0"/>
      <w:marBottom w:val="0"/>
      <w:divBdr>
        <w:top w:val="none" w:sz="0" w:space="0" w:color="auto"/>
        <w:left w:val="none" w:sz="0" w:space="0" w:color="auto"/>
        <w:bottom w:val="none" w:sz="0" w:space="0" w:color="auto"/>
        <w:right w:val="none" w:sz="0" w:space="0" w:color="auto"/>
      </w:divBdr>
    </w:div>
    <w:div w:id="1036933716">
      <w:bodyDiv w:val="1"/>
      <w:marLeft w:val="0"/>
      <w:marRight w:val="0"/>
      <w:marTop w:val="0"/>
      <w:marBottom w:val="0"/>
      <w:divBdr>
        <w:top w:val="none" w:sz="0" w:space="0" w:color="auto"/>
        <w:left w:val="none" w:sz="0" w:space="0" w:color="auto"/>
        <w:bottom w:val="none" w:sz="0" w:space="0" w:color="auto"/>
        <w:right w:val="none" w:sz="0" w:space="0" w:color="auto"/>
      </w:divBdr>
    </w:div>
    <w:div w:id="1105151020">
      <w:bodyDiv w:val="1"/>
      <w:marLeft w:val="0"/>
      <w:marRight w:val="0"/>
      <w:marTop w:val="0"/>
      <w:marBottom w:val="0"/>
      <w:divBdr>
        <w:top w:val="none" w:sz="0" w:space="0" w:color="auto"/>
        <w:left w:val="none" w:sz="0" w:space="0" w:color="auto"/>
        <w:bottom w:val="none" w:sz="0" w:space="0" w:color="auto"/>
        <w:right w:val="none" w:sz="0" w:space="0" w:color="auto"/>
      </w:divBdr>
    </w:div>
    <w:div w:id="1119108748">
      <w:bodyDiv w:val="1"/>
      <w:marLeft w:val="0"/>
      <w:marRight w:val="0"/>
      <w:marTop w:val="0"/>
      <w:marBottom w:val="0"/>
      <w:divBdr>
        <w:top w:val="none" w:sz="0" w:space="0" w:color="auto"/>
        <w:left w:val="none" w:sz="0" w:space="0" w:color="auto"/>
        <w:bottom w:val="none" w:sz="0" w:space="0" w:color="auto"/>
        <w:right w:val="none" w:sz="0" w:space="0" w:color="auto"/>
      </w:divBdr>
      <w:divsChild>
        <w:div w:id="512496299">
          <w:marLeft w:val="0"/>
          <w:marRight w:val="0"/>
          <w:marTop w:val="0"/>
          <w:marBottom w:val="0"/>
          <w:divBdr>
            <w:top w:val="none" w:sz="0" w:space="0" w:color="auto"/>
            <w:left w:val="none" w:sz="0" w:space="0" w:color="auto"/>
            <w:bottom w:val="none" w:sz="0" w:space="0" w:color="auto"/>
            <w:right w:val="none" w:sz="0" w:space="0" w:color="auto"/>
          </w:divBdr>
          <w:divsChild>
            <w:div w:id="10844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0935">
      <w:bodyDiv w:val="1"/>
      <w:marLeft w:val="0"/>
      <w:marRight w:val="0"/>
      <w:marTop w:val="0"/>
      <w:marBottom w:val="0"/>
      <w:divBdr>
        <w:top w:val="none" w:sz="0" w:space="0" w:color="auto"/>
        <w:left w:val="none" w:sz="0" w:space="0" w:color="auto"/>
        <w:bottom w:val="none" w:sz="0" w:space="0" w:color="auto"/>
        <w:right w:val="none" w:sz="0" w:space="0" w:color="auto"/>
      </w:divBdr>
    </w:div>
    <w:div w:id="1153327227">
      <w:bodyDiv w:val="1"/>
      <w:marLeft w:val="0"/>
      <w:marRight w:val="0"/>
      <w:marTop w:val="0"/>
      <w:marBottom w:val="0"/>
      <w:divBdr>
        <w:top w:val="none" w:sz="0" w:space="0" w:color="auto"/>
        <w:left w:val="none" w:sz="0" w:space="0" w:color="auto"/>
        <w:bottom w:val="none" w:sz="0" w:space="0" w:color="auto"/>
        <w:right w:val="none" w:sz="0" w:space="0" w:color="auto"/>
      </w:divBdr>
    </w:div>
    <w:div w:id="1233545345">
      <w:bodyDiv w:val="1"/>
      <w:marLeft w:val="0"/>
      <w:marRight w:val="0"/>
      <w:marTop w:val="0"/>
      <w:marBottom w:val="0"/>
      <w:divBdr>
        <w:top w:val="none" w:sz="0" w:space="0" w:color="auto"/>
        <w:left w:val="none" w:sz="0" w:space="0" w:color="auto"/>
        <w:bottom w:val="none" w:sz="0" w:space="0" w:color="auto"/>
        <w:right w:val="none" w:sz="0" w:space="0" w:color="auto"/>
      </w:divBdr>
    </w:div>
    <w:div w:id="1268002349">
      <w:bodyDiv w:val="1"/>
      <w:marLeft w:val="0"/>
      <w:marRight w:val="0"/>
      <w:marTop w:val="0"/>
      <w:marBottom w:val="0"/>
      <w:divBdr>
        <w:top w:val="none" w:sz="0" w:space="0" w:color="auto"/>
        <w:left w:val="none" w:sz="0" w:space="0" w:color="auto"/>
        <w:bottom w:val="none" w:sz="0" w:space="0" w:color="auto"/>
        <w:right w:val="none" w:sz="0" w:space="0" w:color="auto"/>
      </w:divBdr>
    </w:div>
    <w:div w:id="1308901739">
      <w:bodyDiv w:val="1"/>
      <w:marLeft w:val="0"/>
      <w:marRight w:val="0"/>
      <w:marTop w:val="0"/>
      <w:marBottom w:val="0"/>
      <w:divBdr>
        <w:top w:val="none" w:sz="0" w:space="0" w:color="auto"/>
        <w:left w:val="none" w:sz="0" w:space="0" w:color="auto"/>
        <w:bottom w:val="none" w:sz="0" w:space="0" w:color="auto"/>
        <w:right w:val="none" w:sz="0" w:space="0" w:color="auto"/>
      </w:divBdr>
    </w:div>
    <w:div w:id="1345520390">
      <w:bodyDiv w:val="1"/>
      <w:marLeft w:val="0"/>
      <w:marRight w:val="0"/>
      <w:marTop w:val="0"/>
      <w:marBottom w:val="0"/>
      <w:divBdr>
        <w:top w:val="none" w:sz="0" w:space="0" w:color="auto"/>
        <w:left w:val="none" w:sz="0" w:space="0" w:color="auto"/>
        <w:bottom w:val="none" w:sz="0" w:space="0" w:color="auto"/>
        <w:right w:val="none" w:sz="0" w:space="0" w:color="auto"/>
      </w:divBdr>
    </w:div>
    <w:div w:id="1397704973">
      <w:bodyDiv w:val="1"/>
      <w:marLeft w:val="0"/>
      <w:marRight w:val="0"/>
      <w:marTop w:val="0"/>
      <w:marBottom w:val="0"/>
      <w:divBdr>
        <w:top w:val="none" w:sz="0" w:space="0" w:color="auto"/>
        <w:left w:val="none" w:sz="0" w:space="0" w:color="auto"/>
        <w:bottom w:val="none" w:sz="0" w:space="0" w:color="auto"/>
        <w:right w:val="none" w:sz="0" w:space="0" w:color="auto"/>
      </w:divBdr>
    </w:div>
    <w:div w:id="1542325213">
      <w:bodyDiv w:val="1"/>
      <w:marLeft w:val="0"/>
      <w:marRight w:val="0"/>
      <w:marTop w:val="0"/>
      <w:marBottom w:val="0"/>
      <w:divBdr>
        <w:top w:val="none" w:sz="0" w:space="0" w:color="auto"/>
        <w:left w:val="none" w:sz="0" w:space="0" w:color="auto"/>
        <w:bottom w:val="none" w:sz="0" w:space="0" w:color="auto"/>
        <w:right w:val="none" w:sz="0" w:space="0" w:color="auto"/>
      </w:divBdr>
    </w:div>
    <w:div w:id="1587879619">
      <w:bodyDiv w:val="1"/>
      <w:marLeft w:val="0"/>
      <w:marRight w:val="0"/>
      <w:marTop w:val="0"/>
      <w:marBottom w:val="0"/>
      <w:divBdr>
        <w:top w:val="none" w:sz="0" w:space="0" w:color="auto"/>
        <w:left w:val="none" w:sz="0" w:space="0" w:color="auto"/>
        <w:bottom w:val="none" w:sz="0" w:space="0" w:color="auto"/>
        <w:right w:val="none" w:sz="0" w:space="0" w:color="auto"/>
      </w:divBdr>
    </w:div>
    <w:div w:id="1707558446">
      <w:bodyDiv w:val="1"/>
      <w:marLeft w:val="0"/>
      <w:marRight w:val="0"/>
      <w:marTop w:val="0"/>
      <w:marBottom w:val="0"/>
      <w:divBdr>
        <w:top w:val="none" w:sz="0" w:space="0" w:color="auto"/>
        <w:left w:val="none" w:sz="0" w:space="0" w:color="auto"/>
        <w:bottom w:val="none" w:sz="0" w:space="0" w:color="auto"/>
        <w:right w:val="none" w:sz="0" w:space="0" w:color="auto"/>
      </w:divBdr>
    </w:div>
    <w:div w:id="1720208043">
      <w:bodyDiv w:val="1"/>
      <w:marLeft w:val="0"/>
      <w:marRight w:val="0"/>
      <w:marTop w:val="0"/>
      <w:marBottom w:val="0"/>
      <w:divBdr>
        <w:top w:val="none" w:sz="0" w:space="0" w:color="auto"/>
        <w:left w:val="none" w:sz="0" w:space="0" w:color="auto"/>
        <w:bottom w:val="none" w:sz="0" w:space="0" w:color="auto"/>
        <w:right w:val="none" w:sz="0" w:space="0" w:color="auto"/>
      </w:divBdr>
    </w:div>
    <w:div w:id="1851404993">
      <w:bodyDiv w:val="1"/>
      <w:marLeft w:val="0"/>
      <w:marRight w:val="0"/>
      <w:marTop w:val="0"/>
      <w:marBottom w:val="0"/>
      <w:divBdr>
        <w:top w:val="none" w:sz="0" w:space="0" w:color="auto"/>
        <w:left w:val="none" w:sz="0" w:space="0" w:color="auto"/>
        <w:bottom w:val="none" w:sz="0" w:space="0" w:color="auto"/>
        <w:right w:val="none" w:sz="0" w:space="0" w:color="auto"/>
      </w:divBdr>
    </w:div>
    <w:div w:id="1945650729">
      <w:bodyDiv w:val="1"/>
      <w:marLeft w:val="0"/>
      <w:marRight w:val="0"/>
      <w:marTop w:val="0"/>
      <w:marBottom w:val="0"/>
      <w:divBdr>
        <w:top w:val="none" w:sz="0" w:space="0" w:color="auto"/>
        <w:left w:val="none" w:sz="0" w:space="0" w:color="auto"/>
        <w:bottom w:val="none" w:sz="0" w:space="0" w:color="auto"/>
        <w:right w:val="none" w:sz="0" w:space="0" w:color="auto"/>
      </w:divBdr>
    </w:div>
    <w:div w:id="2017151843">
      <w:bodyDiv w:val="1"/>
      <w:marLeft w:val="0"/>
      <w:marRight w:val="0"/>
      <w:marTop w:val="0"/>
      <w:marBottom w:val="0"/>
      <w:divBdr>
        <w:top w:val="none" w:sz="0" w:space="0" w:color="auto"/>
        <w:left w:val="none" w:sz="0" w:space="0" w:color="auto"/>
        <w:bottom w:val="none" w:sz="0" w:space="0" w:color="auto"/>
        <w:right w:val="none" w:sz="0" w:space="0" w:color="auto"/>
      </w:divBdr>
    </w:div>
    <w:div w:id="2114090460">
      <w:bodyDiv w:val="1"/>
      <w:marLeft w:val="0"/>
      <w:marRight w:val="0"/>
      <w:marTop w:val="0"/>
      <w:marBottom w:val="0"/>
      <w:divBdr>
        <w:top w:val="none" w:sz="0" w:space="0" w:color="auto"/>
        <w:left w:val="none" w:sz="0" w:space="0" w:color="auto"/>
        <w:bottom w:val="none" w:sz="0" w:space="0" w:color="auto"/>
        <w:right w:val="none" w:sz="0" w:space="0" w:color="auto"/>
      </w:divBdr>
    </w:div>
    <w:div w:id="2119786279">
      <w:bodyDiv w:val="1"/>
      <w:marLeft w:val="0"/>
      <w:marRight w:val="0"/>
      <w:marTop w:val="0"/>
      <w:marBottom w:val="0"/>
      <w:divBdr>
        <w:top w:val="none" w:sz="0" w:space="0" w:color="auto"/>
        <w:left w:val="none" w:sz="0" w:space="0" w:color="auto"/>
        <w:bottom w:val="none" w:sz="0" w:space="0" w:color="auto"/>
        <w:right w:val="none" w:sz="0" w:space="0" w:color="auto"/>
      </w:divBdr>
    </w:div>
    <w:div w:id="213930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eader" Target="header1.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7740</Words>
  <Characters>44119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Jovinah</dc:creator>
  <cp:keywords/>
  <dc:description/>
  <cp:lastModifiedBy>Jovinah</cp:lastModifiedBy>
  <cp:revision>3</cp:revision>
  <dcterms:created xsi:type="dcterms:W3CDTF">2026-01-09T17:31:00Z</dcterms:created>
  <dcterms:modified xsi:type="dcterms:W3CDTF">2026-03-01T07:29:00Z</dcterms:modified>
</cp:coreProperties>
</file>