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751DA" w14:textId="3A71DB82" w:rsidR="004A6764" w:rsidRPr="00D160E9" w:rsidRDefault="003F64D9" w:rsidP="003F64D9">
      <w:pPr>
        <w:jc w:val="center"/>
        <w:rPr>
          <w:rFonts w:ascii="Times New Roman" w:hAnsi="Times New Roman" w:cs="Times New Roman"/>
          <w:b/>
          <w:bCs/>
          <w:sz w:val="24"/>
          <w:szCs w:val="24"/>
        </w:rPr>
      </w:pPr>
      <w:r w:rsidRPr="00D160E9">
        <w:rPr>
          <w:rFonts w:ascii="Times New Roman" w:hAnsi="Times New Roman" w:cs="Times New Roman"/>
          <w:b/>
          <w:bCs/>
          <w:sz w:val="24"/>
          <w:szCs w:val="24"/>
        </w:rPr>
        <w:t xml:space="preserve">THE EFFECT OF SHARIA MONETARY OPERATIONS </w:t>
      </w:r>
      <w:r w:rsidR="00682E31">
        <w:rPr>
          <w:rFonts w:ascii="Times New Roman" w:hAnsi="Times New Roman" w:cs="Times New Roman"/>
          <w:b/>
          <w:bCs/>
          <w:sz w:val="24"/>
          <w:szCs w:val="24"/>
        </w:rPr>
        <w:t>ON ECONOMIC GROWTH IN INDONESIA</w:t>
      </w:r>
      <w:bookmarkStart w:id="0" w:name="_GoBack"/>
      <w:bookmarkEnd w:id="0"/>
    </w:p>
    <w:p w14:paraId="288B93BD" w14:textId="35943D90" w:rsidR="003F64D9" w:rsidRPr="004575DD" w:rsidRDefault="00241DAE" w:rsidP="00143B47">
      <w:pPr>
        <w:spacing w:after="0" w:line="240" w:lineRule="auto"/>
        <w:jc w:val="center"/>
        <w:rPr>
          <w:rFonts w:ascii="Times New Roman" w:hAnsi="Times New Roman" w:cs="Times New Roman"/>
          <w:b/>
          <w:bCs/>
          <w:szCs w:val="20"/>
          <w:vertAlign w:val="superscript"/>
        </w:rPr>
      </w:pPr>
      <w:r w:rsidRPr="00F34811">
        <w:rPr>
          <w:rFonts w:ascii="Times New Roman" w:hAnsi="Times New Roman" w:cs="Times New Roman"/>
          <w:b/>
          <w:bCs/>
          <w:szCs w:val="20"/>
        </w:rPr>
        <w:t/>
      </w:r>
      <w:r w:rsidR="003F64D9" w:rsidRPr="00F34811">
        <w:rPr>
          <w:rFonts w:ascii="Times New Roman" w:hAnsi="Times New Roman" w:cs="Times New Roman"/>
          <w:b/>
          <w:bCs/>
          <w:szCs w:val="20"/>
        </w:rPr>
        <w:t xml:space="preserve"/>
      </w:r>
      <w:r w:rsidRPr="00F34811">
        <w:rPr>
          <w:rFonts w:ascii="Times New Roman" w:hAnsi="Times New Roman" w:cs="Times New Roman"/>
          <w:b/>
          <w:bCs/>
          <w:szCs w:val="20"/>
        </w:rPr>
        <w:t/>
      </w:r>
      <w:r w:rsidR="0046710F" w:rsidRPr="00F34811">
        <w:rPr>
          <w:rFonts w:ascii="Times New Roman" w:hAnsi="Times New Roman" w:cs="Times New Roman"/>
          <w:b/>
          <w:bCs/>
          <w:szCs w:val="20"/>
        </w:rPr>
        <w:t/>
      </w:r>
      <w:r w:rsidR="003F64D9" w:rsidRPr="00F34811">
        <w:rPr>
          <w:rFonts w:ascii="Times New Roman" w:hAnsi="Times New Roman" w:cs="Times New Roman"/>
          <w:b/>
          <w:bCs/>
          <w:szCs w:val="20"/>
          <w:vertAlign w:val="superscript"/>
        </w:rPr>
        <w:t/>
      </w:r>
      <w:r w:rsidR="0046710F" w:rsidRPr="00F34811">
        <w:rPr>
          <w:rFonts w:ascii="Times New Roman" w:hAnsi="Times New Roman" w:cs="Times New Roman"/>
          <w:b/>
          <w:bCs/>
          <w:szCs w:val="20"/>
        </w:rPr>
        <w:t/>
      </w:r>
      <w:r w:rsidR="003F64D9" w:rsidRPr="00F34811">
        <w:rPr>
          <w:rFonts w:ascii="Times New Roman" w:hAnsi="Times New Roman" w:cs="Times New Roman"/>
          <w:b/>
          <w:bCs/>
          <w:szCs w:val="20"/>
          <w:vertAlign w:val="superscript"/>
        </w:rPr>
        <w:t/>
      </w:r>
      <w:r w:rsidR="004C743E" w:rsidRPr="00F34811">
        <w:rPr>
          <w:rFonts w:ascii="Times New Roman" w:hAnsi="Times New Roman" w:cs="Times New Roman"/>
          <w:b/>
          <w:bCs/>
          <w:szCs w:val="20"/>
        </w:rPr>
        <w:t xml:space="preserve"/>
      </w:r>
      <w:r w:rsidR="0046710F" w:rsidRPr="00F34811">
        <w:rPr>
          <w:rFonts w:ascii="Times New Roman" w:hAnsi="Times New Roman" w:cs="Times New Roman"/>
          <w:b/>
          <w:bCs/>
          <w:szCs w:val="20"/>
        </w:rPr>
        <w:t/>
      </w:r>
      <w:r w:rsidR="0046710F" w:rsidRPr="00F34811">
        <w:rPr>
          <w:rFonts w:ascii="Times New Roman" w:hAnsi="Times New Roman" w:cs="Times New Roman"/>
          <w:b/>
          <w:bCs/>
          <w:szCs w:val="20"/>
          <w:vertAlign w:val="superscript"/>
        </w:rPr>
        <w:t/>
      </w:r>
      <w:r w:rsidR="0046710F" w:rsidRPr="00F34811">
        <w:rPr>
          <w:rFonts w:ascii="Times New Roman" w:hAnsi="Times New Roman" w:cs="Times New Roman"/>
          <w:b/>
          <w:bCs/>
          <w:szCs w:val="20"/>
        </w:rPr>
        <w:t xml:space="preserve"/>
      </w:r>
      <w:r w:rsidR="004C743E" w:rsidRPr="00F34811">
        <w:rPr>
          <w:rFonts w:ascii="Times New Roman" w:hAnsi="Times New Roman" w:cs="Times New Roman"/>
          <w:b/>
          <w:bCs/>
          <w:szCs w:val="20"/>
        </w:rPr>
        <w:t/>
      </w:r>
      <w:r w:rsidR="0046710F" w:rsidRPr="00F34811">
        <w:rPr>
          <w:rFonts w:ascii="Times New Roman" w:hAnsi="Times New Roman" w:cs="Times New Roman"/>
          <w:b/>
          <w:bCs/>
          <w:szCs w:val="20"/>
          <w:vertAlign w:val="superscript"/>
        </w:rPr>
        <w:t/>
      </w:r>
      <w:r w:rsidR="0046710F" w:rsidRPr="00F34811">
        <w:rPr>
          <w:rFonts w:ascii="Times New Roman" w:hAnsi="Times New Roman" w:cs="Times New Roman"/>
          <w:b/>
          <w:bCs/>
          <w:szCs w:val="20"/>
        </w:rPr>
        <w:t xml:space="preserve"/>
      </w:r>
      <w:r w:rsidR="00491137">
        <w:rPr>
          <w:rFonts w:ascii="Times New Roman" w:hAnsi="Times New Roman" w:cs="Times New Roman"/>
          <w:b/>
          <w:bCs/>
          <w:szCs w:val="20"/>
        </w:rPr>
        <w:t/>
      </w:r>
      <w:r w:rsidR="0046710F" w:rsidRPr="00F34811">
        <w:rPr>
          <w:rFonts w:ascii="Times New Roman" w:hAnsi="Times New Roman" w:cs="Times New Roman"/>
          <w:b/>
          <w:bCs/>
          <w:szCs w:val="20"/>
          <w:vertAlign w:val="superscript"/>
        </w:rPr>
        <w:t/>
      </w:r>
      <w:r w:rsidR="0046710F" w:rsidRPr="00F34811">
        <w:rPr>
          <w:rFonts w:ascii="Times New Roman" w:hAnsi="Times New Roman" w:cs="Times New Roman"/>
          <w:b/>
          <w:bCs/>
          <w:szCs w:val="20"/>
        </w:rPr>
        <w:t xml:space="preserve"/>
      </w:r>
      <w:r w:rsidR="004575DD" w:rsidRPr="004575DD">
        <w:rPr>
          <w:rFonts w:ascii="Times New Roman" w:hAnsi="Times New Roman" w:cs="Times New Roman"/>
          <w:b/>
          <w:bCs/>
          <w:szCs w:val="20"/>
        </w:rPr>
        <w:t/>
      </w:r>
      <w:r w:rsidR="0046710F" w:rsidRPr="00F34811">
        <w:rPr>
          <w:rFonts w:ascii="Times New Roman" w:hAnsi="Times New Roman" w:cs="Times New Roman"/>
          <w:b/>
          <w:bCs/>
          <w:szCs w:val="20"/>
          <w:vertAlign w:val="superscript"/>
        </w:rPr>
        <w:t/>
      </w:r>
      <w:r w:rsidR="004575DD">
        <w:rPr>
          <w:rFonts w:ascii="Times New Roman" w:hAnsi="Times New Roman" w:cs="Times New Roman"/>
          <w:b/>
          <w:bCs/>
          <w:szCs w:val="20"/>
        </w:rPr>
        <w:t/>
      </w:r>
      <w:r w:rsidR="004575DD">
        <w:rPr>
          <w:rFonts w:ascii="Times New Roman" w:hAnsi="Times New Roman" w:cs="Times New Roman"/>
          <w:b/>
          <w:bCs/>
          <w:szCs w:val="20"/>
          <w:vertAlign w:val="superscript"/>
        </w:rPr>
        <w:t/>
      </w:r>
    </w:p>
    <w:p w14:paraId="753C14F9" w14:textId="3797EDFB" w:rsidR="00872143" w:rsidRPr="00F34811" w:rsidRDefault="00872143" w:rsidP="00143B47">
      <w:pPr>
        <w:spacing w:after="0" w:line="240" w:lineRule="auto"/>
        <w:jc w:val="center"/>
        <w:rPr>
          <w:rFonts w:ascii="Times New Roman" w:hAnsi="Times New Roman" w:cs="Times New Roman"/>
          <w:szCs w:val="20"/>
        </w:rPr>
      </w:pPr>
      <w:r w:rsidRPr="00F34811">
        <w:rPr>
          <w:rFonts w:ascii="Times New Roman" w:hAnsi="Times New Roman" w:cs="Times New Roman"/>
          <w:szCs w:val="20"/>
          <w:vertAlign w:val="superscript"/>
        </w:rPr>
        <w:t/>
      </w:r>
      <w:r w:rsidR="00FB1404" w:rsidRPr="00F34811">
        <w:rPr>
          <w:rFonts w:ascii="Times New Roman" w:hAnsi="Times New Roman" w:cs="Times New Roman"/>
          <w:szCs w:val="20"/>
          <w:vertAlign w:val="superscript"/>
        </w:rPr>
        <w:t/>
      </w:r>
      <w:r w:rsidRPr="00F34811">
        <w:rPr>
          <w:rFonts w:ascii="Times New Roman" w:hAnsi="Times New Roman" w:cs="Times New Roman"/>
          <w:szCs w:val="20"/>
          <w:vertAlign w:val="superscript"/>
        </w:rPr>
        <w:t/>
      </w:r>
      <w:r w:rsidR="00FB1404" w:rsidRPr="00F34811">
        <w:rPr>
          <w:rFonts w:ascii="Times New Roman" w:hAnsi="Times New Roman" w:cs="Times New Roman"/>
          <w:szCs w:val="20"/>
          <w:vertAlign w:val="superscript"/>
        </w:rPr>
        <w:t/>
      </w:r>
      <w:r w:rsidR="0046710F" w:rsidRPr="00F34811">
        <w:rPr>
          <w:rFonts w:ascii="Times New Roman" w:hAnsi="Times New Roman" w:cs="Times New Roman"/>
          <w:szCs w:val="20"/>
          <w:vertAlign w:val="superscript"/>
        </w:rPr>
        <w:t/>
      </w:r>
      <w:r w:rsidR="00304B26">
        <w:rPr>
          <w:rFonts w:ascii="Times New Roman" w:hAnsi="Times New Roman" w:cs="Times New Roman"/>
          <w:szCs w:val="20"/>
          <w:vertAlign w:val="superscript"/>
        </w:rPr>
        <w:t/>
      </w:r>
      <w:r w:rsidR="0046710F" w:rsidRPr="00F34811">
        <w:rPr>
          <w:rFonts w:ascii="Times New Roman" w:hAnsi="Times New Roman" w:cs="Times New Roman"/>
          <w:szCs w:val="20"/>
        </w:rPr>
        <w:t xml:space="preserve"/>
      </w:r>
      <w:r w:rsidRPr="00F34811">
        <w:rPr>
          <w:rFonts w:ascii="Times New Roman" w:hAnsi="Times New Roman" w:cs="Times New Roman"/>
          <w:szCs w:val="20"/>
        </w:rPr>
        <w:t/>
      </w:r>
      <w:r w:rsidR="0046710F" w:rsidRPr="00F34811">
        <w:rPr>
          <w:rFonts w:ascii="Times New Roman" w:hAnsi="Times New Roman" w:cs="Times New Roman"/>
          <w:szCs w:val="20"/>
        </w:rPr>
        <w:t/>
      </w:r>
    </w:p>
    <w:p w14:paraId="61A5620B" w14:textId="57E0024C" w:rsidR="00143B47" w:rsidRDefault="00143B47" w:rsidP="00143B47">
      <w:pPr>
        <w:spacing w:after="0" w:line="240" w:lineRule="auto"/>
        <w:jc w:val="center"/>
        <w:rPr>
          <w:rFonts w:ascii="Times New Roman" w:hAnsi="Times New Roman" w:cs="Times New Roman"/>
          <w:bCs/>
          <w:szCs w:val="20"/>
        </w:rPr>
      </w:pPr>
      <w:r w:rsidRPr="00F34811">
        <w:rPr>
          <w:rFonts w:ascii="Times New Roman" w:hAnsi="Times New Roman" w:cs="Times New Roman"/>
          <w:bCs/>
          <w:szCs w:val="20"/>
          <w:vertAlign w:val="superscript"/>
        </w:rPr>
        <w:t/>
      </w:r>
      <w:r w:rsidR="004575DD" w:rsidRPr="004575DD">
        <w:rPr>
          <w:rFonts w:ascii="Times New Roman" w:hAnsi="Times New Roman" w:cs="Times New Roman"/>
          <w:bCs/>
          <w:szCs w:val="20"/>
        </w:rPr>
        <w:t/>
      </w:r>
    </w:p>
    <w:p w14:paraId="47C4FABF" w14:textId="3C102481" w:rsidR="004575DD" w:rsidRPr="00F34811" w:rsidRDefault="008345AF" w:rsidP="00143B47">
      <w:pPr>
        <w:spacing w:after="0" w:line="240" w:lineRule="auto"/>
        <w:jc w:val="center"/>
        <w:rPr>
          <w:rFonts w:ascii="Times New Roman" w:hAnsi="Times New Roman" w:cs="Times New Roman"/>
          <w:bCs/>
          <w:szCs w:val="20"/>
        </w:rPr>
      </w:pPr>
      <w:r>
        <w:rPr>
          <w:rFonts w:ascii="Times New Roman" w:hAnsi="Times New Roman" w:cs="Times New Roman"/>
          <w:bCs/>
          <w:szCs w:val="20"/>
          <w:vertAlign w:val="superscript"/>
        </w:rPr>
        <w:t/>
      </w:r>
      <w:r>
        <w:rPr>
          <w:rFonts w:ascii="Times New Roman" w:hAnsi="Times New Roman" w:cs="Times New Roman"/>
          <w:bCs/>
          <w:szCs w:val="20"/>
        </w:rPr>
        <w:t/>
      </w:r>
    </w:p>
    <w:p w14:paraId="585A9EEE" w14:textId="77777777" w:rsidR="00143B47" w:rsidRPr="00F34811" w:rsidRDefault="00143B47" w:rsidP="00143B47">
      <w:pPr>
        <w:spacing w:after="0" w:line="240" w:lineRule="auto"/>
        <w:jc w:val="center"/>
        <w:rPr>
          <w:rFonts w:ascii="Times New Roman" w:hAnsi="Times New Roman" w:cs="Times New Roman"/>
          <w:bCs/>
          <w:szCs w:val="20"/>
        </w:rPr>
      </w:pPr>
    </w:p>
    <w:p w14:paraId="278FEF19" w14:textId="1F7B7CA3" w:rsidR="00143B47" w:rsidRPr="00F34811" w:rsidRDefault="00143B47" w:rsidP="00143B47">
      <w:pPr>
        <w:spacing w:after="0" w:line="240" w:lineRule="auto"/>
        <w:jc w:val="center"/>
        <w:rPr>
          <w:rFonts w:ascii="Times New Roman" w:hAnsi="Times New Roman" w:cs="Times New Roman"/>
          <w:bCs/>
          <w:szCs w:val="20"/>
        </w:rPr>
      </w:pPr>
      <w:r w:rsidRPr="00F34811">
        <w:rPr>
          <w:rFonts w:ascii="Times New Roman" w:hAnsi="Times New Roman" w:cs="Times New Roman"/>
          <w:bCs/>
          <w:szCs w:val="20"/>
        </w:rPr>
        <w:t/>
      </w:r>
      <w:r w:rsidR="00304B26">
        <w:rPr>
          <w:rFonts w:ascii="Times New Roman" w:hAnsi="Times New Roman" w:cs="Times New Roman"/>
          <w:bCs/>
          <w:szCs w:val="20"/>
        </w:rPr>
        <w:t xml:space="preserve"/>
      </w:r>
      <w:hyperlink r:id="rId8" w:history="1">
        <w:r w:rsidR="004575DD" w:rsidRPr="003253E8">
          <w:rPr>
            <w:rStyle w:val="Hyperlink"/>
            <w:rFonts w:ascii="Times New Roman" w:hAnsi="Times New Roman" w:cs="Times New Roman"/>
            <w:bCs/>
            <w:szCs w:val="20"/>
          </w:rPr>
          <w:t/>
        </w:r>
      </w:hyperlink>
      <w:r w:rsidR="004575DD">
        <w:rPr>
          <w:rFonts w:ascii="Times New Roman" w:hAnsi="Times New Roman" w:cs="Times New Roman"/>
          <w:bCs/>
          <w:szCs w:val="20"/>
        </w:rPr>
        <w:t xml:space="preserve"/>
      </w:r>
    </w:p>
    <w:p w14:paraId="148F244E" w14:textId="77777777" w:rsidR="00143B47" w:rsidRDefault="00143B47" w:rsidP="00143B47">
      <w:pPr>
        <w:spacing w:line="276" w:lineRule="auto"/>
        <w:rPr>
          <w:rFonts w:ascii="Times New Roman" w:hAnsi="Times New Roman" w:cs="Times New Roman"/>
          <w:bCs/>
          <w:sz w:val="20"/>
          <w:szCs w:val="20"/>
        </w:rPr>
      </w:pPr>
    </w:p>
    <w:p w14:paraId="6F5F30AB" w14:textId="4D5E9925" w:rsidR="006E1BA8" w:rsidRPr="00D160E9" w:rsidRDefault="006E1BA8" w:rsidP="00143B47">
      <w:pPr>
        <w:spacing w:line="276" w:lineRule="auto"/>
        <w:rPr>
          <w:rFonts w:ascii="Times New Roman" w:hAnsi="Times New Roman" w:cs="Times New Roman"/>
          <w:b/>
          <w:bCs/>
          <w:sz w:val="24"/>
          <w:szCs w:val="24"/>
        </w:rPr>
      </w:pPr>
      <w:r w:rsidRPr="00D160E9">
        <w:rPr>
          <w:rFonts w:ascii="Times New Roman" w:hAnsi="Times New Roman" w:cs="Times New Roman"/>
          <w:b/>
          <w:bCs/>
          <w:sz w:val="24"/>
          <w:szCs w:val="24"/>
        </w:rPr>
        <w:t>ABSTRACT</w:t>
      </w:r>
    </w:p>
    <w:p w14:paraId="427BE63A" w14:textId="031ECA9D" w:rsidR="006E1BA8" w:rsidRPr="00143B47" w:rsidRDefault="00092969" w:rsidP="00143B47">
      <w:pPr>
        <w:spacing w:line="240" w:lineRule="auto"/>
        <w:jc w:val="both"/>
        <w:rPr>
          <w:rFonts w:ascii="Times New Roman" w:hAnsi="Times New Roman" w:cs="Times New Roman"/>
          <w:b/>
          <w:sz w:val="24"/>
          <w:szCs w:val="24"/>
        </w:rPr>
      </w:pPr>
      <w:r>
        <w:rPr>
          <w:rFonts w:ascii="Times New Roman" w:hAnsi="Times New Roman" w:cs="Times New Roman"/>
          <w:sz w:val="24"/>
          <w:szCs w:val="24"/>
        </w:rPr>
        <w:t>Sharia monetary operations are regulated to be able to optimize the role of government policies in facing various challenges that occur, both in terms of macroeconomic development, especially in the monetary sector. The implementation of sharia monetary operations is carried out by Bank Indonesia, which is an official institution of the government to handle the monetary sector. The purpose of this study is to analyze how influential the Bank Indonesia Syariah Certificate (SBIS), Bank Indonesia Syariah Deposit Facility (FASBIS) and the Interbank Sharia Money Market (PUAS) are affected by economic growth in Indonesia in the period 2015 to 2025. This study uses a research method with a quantitative approach whose data analysis uses the Vector Error Correction Model (VECM) technique. The VECM technique aims to analyze the relationship between data in each specific variable, both short-term and long-term. The type of data used is secondary data sourced from the Indonesia-Bank Indonesia Economic and Financial Statistics (SEKI-BI), the Central Statistics Agency (BPS) and the Financial Services Authority (OJK) in the period from January 2015 to December 2025. The results of the study outline a finding that SBIS and FASBIS have a significant effect on economic growth. Meanwhile, PUAS shows a not significant influence on economic growth. Therefore, it is hoped that in the future this study will be able to be used as a reference or guideline in formulating a policy, especially for the management of sharia monetary operations. Future research related to this topic should follow the latest sharia monetary operation regulations following the times and can be compared with conventional monetary operating instruments.</w:t>
      </w:r>
    </w:p>
    <w:p w14:paraId="17940415" w14:textId="5DCFEB51" w:rsidR="00143B47" w:rsidRPr="00143B47" w:rsidRDefault="00143B47" w:rsidP="00143B47">
      <w:pPr>
        <w:spacing w:line="240" w:lineRule="auto"/>
        <w:jc w:val="both"/>
        <w:rPr>
          <w:rFonts w:ascii="Times New Roman" w:hAnsi="Times New Roman" w:cs="Times New Roman"/>
          <w:b/>
          <w:sz w:val="24"/>
          <w:szCs w:val="24"/>
        </w:rPr>
      </w:pPr>
      <w:r w:rsidRPr="00143B47">
        <w:rPr>
          <w:rFonts w:ascii="Times New Roman" w:hAnsi="Times New Roman" w:cs="Times New Roman"/>
          <w:b/>
          <w:sz w:val="24"/>
          <w:szCs w:val="24"/>
        </w:rPr>
        <w:t xml:space="preserve">Keywords: </w:t>
      </w:r>
      <w:r>
        <w:rPr>
          <w:rFonts w:ascii="Times New Roman" w:hAnsi="Times New Roman" w:cs="Times New Roman"/>
          <w:sz w:val="24"/>
          <w:szCs w:val="24"/>
        </w:rPr>
        <w:t>macroeconomic, economic growth, sharia monetary operations</w:t>
      </w:r>
    </w:p>
    <w:p w14:paraId="246D6A2E" w14:textId="77777777" w:rsidR="00143B47" w:rsidRPr="00D160E9" w:rsidRDefault="00143B47" w:rsidP="00143B47">
      <w:pPr>
        <w:spacing w:line="240" w:lineRule="auto"/>
        <w:jc w:val="both"/>
        <w:rPr>
          <w:rFonts w:ascii="Times New Roman" w:hAnsi="Times New Roman" w:cs="Times New Roman"/>
          <w:sz w:val="24"/>
          <w:szCs w:val="24"/>
        </w:rPr>
      </w:pPr>
    </w:p>
    <w:p w14:paraId="02B9AB58" w14:textId="693E9AD2" w:rsidR="006E1BA8" w:rsidRPr="00D160E9" w:rsidRDefault="006E1BA8" w:rsidP="00D40D74">
      <w:pPr>
        <w:spacing w:line="276" w:lineRule="auto"/>
        <w:jc w:val="both"/>
        <w:rPr>
          <w:rFonts w:ascii="Times New Roman" w:hAnsi="Times New Roman" w:cs="Times New Roman"/>
          <w:b/>
          <w:bCs/>
          <w:sz w:val="24"/>
          <w:szCs w:val="24"/>
        </w:rPr>
      </w:pPr>
      <w:r w:rsidRPr="00D160E9">
        <w:rPr>
          <w:rFonts w:ascii="Times New Roman" w:hAnsi="Times New Roman" w:cs="Times New Roman"/>
          <w:b/>
          <w:bCs/>
          <w:sz w:val="24"/>
          <w:szCs w:val="24"/>
        </w:rPr>
        <w:t>INTRODUCTION</w:t>
      </w:r>
    </w:p>
    <w:p w14:paraId="01EC7996" w14:textId="015D3219" w:rsidR="0072058F" w:rsidRPr="00D160E9" w:rsidRDefault="0072058F" w:rsidP="00D40D74">
      <w:pPr>
        <w:spacing w:line="276" w:lineRule="auto"/>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 xml:space="preserve">Indonesia, as one of the developing countries that has the main goal of achieving prosperity and community welfare. The level of prosperity of a country can be seen through economic growth indicators. Economic growth is the main benchmark in assessing the performance of a country's success in optimizing resources, both natural resources and human resources. Economic growth is represented by gross domestic product (GDP). If the gross domestic product (GDP) shows a high value, then economic growth in a country will grow positively, and vice versa.  In realizing economic growth, it is necessary to intervene from the government to implement various policies that support the economic sector, especially through monetary policy (Twinoburyo &amp; Odhiambo, 2018). </w:t>
      </w:r>
    </w:p>
    <w:p w14:paraId="533658D6" w14:textId="0BC0FACE" w:rsidR="00844309" w:rsidRPr="00D160E9" w:rsidRDefault="00844309" w:rsidP="00D40D74">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 xml:space="preserve">Monetary policy plays an important role in creating a good economic climate. The management and utilization of monetary policy carried out by Bank Indonesia must be able to </w:t>
      </w:r>
      <w:r w:rsidRPr="00D160E9">
        <w:rPr>
          <w:rFonts w:ascii="Times New Roman" w:hAnsi="Times New Roman" w:cs="Times New Roman"/>
          <w:sz w:val="24"/>
          <w:szCs w:val="24"/>
        </w:rPr>
        <w:lastRenderedPageBreak/>
        <w:t>target various groups. Monetary policy is carried out by regulating the money circulating in society. Monetary policy is expansionary and contractionary. Contractionary monetary policy (</w:t>
      </w:r>
      <w:r w:rsidR="00321746" w:rsidRPr="00D160E9">
        <w:rPr>
          <w:rFonts w:ascii="Times New Roman" w:hAnsi="Times New Roman" w:cs="Times New Roman"/>
          <w:i/>
          <w:iCs/>
          <w:sz w:val="24"/>
          <w:szCs w:val="24"/>
        </w:rPr>
        <w:t>tight money policy</w:t>
      </w:r>
      <w:r w:rsidR="00321746" w:rsidRPr="00D160E9">
        <w:rPr>
          <w:rFonts w:ascii="Times New Roman" w:hAnsi="Times New Roman" w:cs="Times New Roman"/>
          <w:sz w:val="24"/>
          <w:szCs w:val="24"/>
        </w:rPr>
        <w:t xml:space="preserve">) aims to reduce the amount of money in circulation in society and this policy is implemented at a time when the country is experiencing inflation. While the monetary policy of expansion (easy money policy) aims to increase the amount of money in circulation in the community, which is characterized by an increase in people's purchasing power, this policy is applied when the economy of a country is in a state of recession or decline. Economic growth is closely related to monetary tightening </w:t>
      </w:r>
      <w:r w:rsidR="008B641A" w:rsidRPr="00D160E9">
        <w:rPr>
          <w:rFonts w:ascii="Times New Roman" w:hAnsi="Times New Roman" w:cs="Times New Roman"/>
          <w:sz w:val="24"/>
        </w:rPr>
        <w:t>(Pane et al., 2024)</w:t>
      </w:r>
      <w:r w:rsidR="00A921F9" w:rsidRPr="00D160E9">
        <w:rPr>
          <w:rFonts w:ascii="Times New Roman" w:hAnsi="Times New Roman" w:cs="Times New Roman"/>
          <w:sz w:val="24"/>
          <w:szCs w:val="24"/>
        </w:rPr>
        <w:t>. If the money received by the community is used properly, it can trigger inclusivity from the economic sector, so that economic growth will grow positively.</w:t>
      </w:r>
    </w:p>
    <w:p w14:paraId="27774DE3" w14:textId="47DE7C2A" w:rsidR="00844309" w:rsidRPr="008329C4" w:rsidRDefault="00844309" w:rsidP="008329C4">
      <w:pPr>
        <w:spacing w:line="240" w:lineRule="auto"/>
        <w:jc w:val="center"/>
        <w:rPr>
          <w:rFonts w:ascii="Times New Roman" w:hAnsi="Times New Roman" w:cs="Times New Roman"/>
          <w:bCs/>
          <w:sz w:val="24"/>
          <w:szCs w:val="24"/>
        </w:rPr>
      </w:pPr>
      <w:r w:rsidRPr="008329C4">
        <w:rPr>
          <w:rFonts w:ascii="Times New Roman" w:hAnsi="Times New Roman" w:cs="Times New Roman"/>
          <w:bCs/>
          <w:sz w:val="24"/>
          <w:szCs w:val="24"/>
        </w:rPr>
        <w:t>Table 1</w:t>
      </w:r>
      <w:r w:rsidR="00241DAE" w:rsidRPr="008329C4">
        <w:rPr>
          <w:rFonts w:ascii="Times New Roman" w:hAnsi="Times New Roman" w:cs="Times New Roman"/>
          <w:bCs/>
          <w:sz w:val="24"/>
          <w:szCs w:val="24"/>
        </w:rPr>
        <w:t xml:space="preserve">. </w:t>
      </w:r>
      <w:r w:rsidRPr="008329C4">
        <w:rPr>
          <w:rFonts w:ascii="Times New Roman" w:hAnsi="Times New Roman" w:cs="Times New Roman"/>
          <w:bCs/>
          <w:sz w:val="24"/>
          <w:szCs w:val="24"/>
        </w:rPr>
        <w:t>Indonesia's Economic Growth Annual 2015 –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B6B7D" w:rsidRPr="00D160E9" w14:paraId="38069ED5" w14:textId="77777777" w:rsidTr="008329C4">
        <w:trPr>
          <w:trHeight w:val="223"/>
        </w:trPr>
        <w:tc>
          <w:tcPr>
            <w:tcW w:w="4508" w:type="dxa"/>
            <w:tcBorders>
              <w:top w:val="single" w:sz="4" w:space="0" w:color="auto"/>
              <w:bottom w:val="single" w:sz="4" w:space="0" w:color="auto"/>
            </w:tcBorders>
          </w:tcPr>
          <w:p w14:paraId="1B0C29CC" w14:textId="18EB6CAF"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Year</w:t>
            </w:r>
            <w:r w:rsidR="008329C4">
              <w:rPr>
                <w:rFonts w:ascii="Times New Roman" w:hAnsi="Times New Roman" w:cs="Times New Roman"/>
                <w:sz w:val="24"/>
                <w:szCs w:val="24"/>
              </w:rPr>
              <w:t xml:space="preserve">  </w:t>
            </w:r>
          </w:p>
        </w:tc>
        <w:tc>
          <w:tcPr>
            <w:tcW w:w="4508" w:type="dxa"/>
            <w:tcBorders>
              <w:top w:val="single" w:sz="4" w:space="0" w:color="auto"/>
              <w:bottom w:val="single" w:sz="4" w:space="0" w:color="auto"/>
            </w:tcBorders>
          </w:tcPr>
          <w:p w14:paraId="3CAC4602" w14:textId="36EB5BBE" w:rsidR="00AB6B7D" w:rsidRPr="00D160E9" w:rsidRDefault="00AB6B7D" w:rsidP="008329C4">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Economic Growt</w:t>
            </w:r>
            <w:r w:rsidR="008329C4">
              <w:rPr>
                <w:rFonts w:ascii="Times New Roman" w:hAnsi="Times New Roman" w:cs="Times New Roman"/>
                <w:sz w:val="24"/>
                <w:szCs w:val="24"/>
              </w:rPr>
              <w:t>h</w:t>
            </w:r>
          </w:p>
        </w:tc>
      </w:tr>
      <w:tr w:rsidR="00AB6B7D" w:rsidRPr="00D160E9" w14:paraId="0D35002F" w14:textId="77777777" w:rsidTr="008329C4">
        <w:tc>
          <w:tcPr>
            <w:tcW w:w="4508" w:type="dxa"/>
            <w:tcBorders>
              <w:top w:val="single" w:sz="4" w:space="0" w:color="auto"/>
            </w:tcBorders>
          </w:tcPr>
          <w:p w14:paraId="3469E40C" w14:textId="31617981"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2015</w:t>
            </w:r>
          </w:p>
        </w:tc>
        <w:tc>
          <w:tcPr>
            <w:tcW w:w="4508" w:type="dxa"/>
            <w:tcBorders>
              <w:top w:val="single" w:sz="4" w:space="0" w:color="auto"/>
            </w:tcBorders>
          </w:tcPr>
          <w:p w14:paraId="5D5E7ED8" w14:textId="21E017A9"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4,88 %</w:t>
            </w:r>
          </w:p>
        </w:tc>
      </w:tr>
      <w:tr w:rsidR="00AB6B7D" w:rsidRPr="00D160E9" w14:paraId="65528772" w14:textId="77777777" w:rsidTr="008329C4">
        <w:tc>
          <w:tcPr>
            <w:tcW w:w="4508" w:type="dxa"/>
          </w:tcPr>
          <w:p w14:paraId="5EBFDE80" w14:textId="187E9F1C"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2016</w:t>
            </w:r>
          </w:p>
        </w:tc>
        <w:tc>
          <w:tcPr>
            <w:tcW w:w="4508" w:type="dxa"/>
          </w:tcPr>
          <w:p w14:paraId="01C7B40A" w14:textId="5ED6B0FE"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5,03 %</w:t>
            </w:r>
          </w:p>
        </w:tc>
      </w:tr>
      <w:tr w:rsidR="00AB6B7D" w:rsidRPr="00D160E9" w14:paraId="7BD9F8BA" w14:textId="77777777" w:rsidTr="008329C4">
        <w:tc>
          <w:tcPr>
            <w:tcW w:w="4508" w:type="dxa"/>
          </w:tcPr>
          <w:p w14:paraId="05110D12" w14:textId="742A3E2A"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2017</w:t>
            </w:r>
          </w:p>
        </w:tc>
        <w:tc>
          <w:tcPr>
            <w:tcW w:w="4508" w:type="dxa"/>
          </w:tcPr>
          <w:p w14:paraId="7A2F18DE" w14:textId="439AA793"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5,07 %</w:t>
            </w:r>
          </w:p>
        </w:tc>
      </w:tr>
      <w:tr w:rsidR="00AB6B7D" w:rsidRPr="00D160E9" w14:paraId="35A17D37" w14:textId="77777777" w:rsidTr="008329C4">
        <w:tc>
          <w:tcPr>
            <w:tcW w:w="4508" w:type="dxa"/>
          </w:tcPr>
          <w:p w14:paraId="794520A6" w14:textId="199DB1F7"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2018</w:t>
            </w:r>
          </w:p>
        </w:tc>
        <w:tc>
          <w:tcPr>
            <w:tcW w:w="4508" w:type="dxa"/>
          </w:tcPr>
          <w:p w14:paraId="6C027723" w14:textId="303EA104"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5,17 %</w:t>
            </w:r>
          </w:p>
        </w:tc>
      </w:tr>
      <w:tr w:rsidR="00AB6B7D" w:rsidRPr="00D160E9" w14:paraId="1A50BED1" w14:textId="77777777" w:rsidTr="008329C4">
        <w:tc>
          <w:tcPr>
            <w:tcW w:w="4508" w:type="dxa"/>
          </w:tcPr>
          <w:p w14:paraId="09A96802" w14:textId="35118D34"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2019</w:t>
            </w:r>
          </w:p>
        </w:tc>
        <w:tc>
          <w:tcPr>
            <w:tcW w:w="4508" w:type="dxa"/>
          </w:tcPr>
          <w:p w14:paraId="4307B8FE" w14:textId="46237D2E"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5,02 %</w:t>
            </w:r>
          </w:p>
        </w:tc>
      </w:tr>
      <w:tr w:rsidR="00AB6B7D" w:rsidRPr="00D160E9" w14:paraId="63CF75F8" w14:textId="77777777" w:rsidTr="008329C4">
        <w:tc>
          <w:tcPr>
            <w:tcW w:w="4508" w:type="dxa"/>
          </w:tcPr>
          <w:p w14:paraId="3A30E53F" w14:textId="69787A51"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2020</w:t>
            </w:r>
          </w:p>
        </w:tc>
        <w:tc>
          <w:tcPr>
            <w:tcW w:w="4508" w:type="dxa"/>
          </w:tcPr>
          <w:p w14:paraId="00D76F24" w14:textId="3A72829C"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-2,07 %</w:t>
            </w:r>
          </w:p>
        </w:tc>
      </w:tr>
      <w:tr w:rsidR="00AB6B7D" w:rsidRPr="00D160E9" w14:paraId="08051290" w14:textId="77777777" w:rsidTr="008329C4">
        <w:tc>
          <w:tcPr>
            <w:tcW w:w="4508" w:type="dxa"/>
          </w:tcPr>
          <w:p w14:paraId="6F729DC5" w14:textId="1630E597"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2021</w:t>
            </w:r>
          </w:p>
        </w:tc>
        <w:tc>
          <w:tcPr>
            <w:tcW w:w="4508" w:type="dxa"/>
          </w:tcPr>
          <w:p w14:paraId="1B1B7931" w14:textId="1A931AFE"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3,69 %</w:t>
            </w:r>
          </w:p>
        </w:tc>
      </w:tr>
      <w:tr w:rsidR="00AB6B7D" w:rsidRPr="00D160E9" w14:paraId="2EEB1FE8" w14:textId="77777777" w:rsidTr="008329C4">
        <w:tc>
          <w:tcPr>
            <w:tcW w:w="4508" w:type="dxa"/>
          </w:tcPr>
          <w:p w14:paraId="19BF2677" w14:textId="01503F68"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2022</w:t>
            </w:r>
          </w:p>
        </w:tc>
        <w:tc>
          <w:tcPr>
            <w:tcW w:w="4508" w:type="dxa"/>
          </w:tcPr>
          <w:p w14:paraId="55335FB2" w14:textId="50ECC26C"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5,31 %</w:t>
            </w:r>
          </w:p>
        </w:tc>
      </w:tr>
      <w:tr w:rsidR="00AB6B7D" w:rsidRPr="00D160E9" w14:paraId="5170CAF1" w14:textId="77777777" w:rsidTr="008329C4">
        <w:tc>
          <w:tcPr>
            <w:tcW w:w="4508" w:type="dxa"/>
          </w:tcPr>
          <w:p w14:paraId="56F565FC" w14:textId="3EF658F1"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2023</w:t>
            </w:r>
          </w:p>
        </w:tc>
        <w:tc>
          <w:tcPr>
            <w:tcW w:w="4508" w:type="dxa"/>
          </w:tcPr>
          <w:p w14:paraId="1F566BC3" w14:textId="53BEFB81"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5,05 %</w:t>
            </w:r>
          </w:p>
        </w:tc>
      </w:tr>
      <w:tr w:rsidR="00AB6B7D" w:rsidRPr="00D160E9" w14:paraId="5B7DEB2B" w14:textId="77777777" w:rsidTr="008329C4">
        <w:tc>
          <w:tcPr>
            <w:tcW w:w="4508" w:type="dxa"/>
          </w:tcPr>
          <w:p w14:paraId="6F2654BE" w14:textId="740B93E8"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2024</w:t>
            </w:r>
          </w:p>
        </w:tc>
        <w:tc>
          <w:tcPr>
            <w:tcW w:w="4508" w:type="dxa"/>
          </w:tcPr>
          <w:p w14:paraId="2C8DEB05" w14:textId="7732C0D5"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5,03 %</w:t>
            </w:r>
          </w:p>
        </w:tc>
      </w:tr>
      <w:tr w:rsidR="00AB6B7D" w:rsidRPr="00D160E9" w14:paraId="0AB5F263" w14:textId="77777777" w:rsidTr="008329C4">
        <w:trPr>
          <w:trHeight w:val="154"/>
        </w:trPr>
        <w:tc>
          <w:tcPr>
            <w:tcW w:w="4508" w:type="dxa"/>
            <w:tcBorders>
              <w:bottom w:val="single" w:sz="4" w:space="0" w:color="auto"/>
            </w:tcBorders>
          </w:tcPr>
          <w:p w14:paraId="08B3ADFC" w14:textId="49043398" w:rsidR="00AB6B7D" w:rsidRPr="00D160E9" w:rsidRDefault="00AB6B7D" w:rsidP="00AB6B7D">
            <w:pPr>
              <w:tabs>
                <w:tab w:val="center" w:pos="2146"/>
                <w:tab w:val="left" w:pos="2840"/>
              </w:tabs>
              <w:spacing w:line="276" w:lineRule="auto"/>
              <w:rPr>
                <w:rFonts w:ascii="Times New Roman" w:hAnsi="Times New Roman" w:cs="Times New Roman"/>
                <w:sz w:val="24"/>
                <w:szCs w:val="24"/>
              </w:rPr>
            </w:pPr>
            <w:r w:rsidRPr="00D160E9">
              <w:rPr>
                <w:rFonts w:ascii="Times New Roman" w:hAnsi="Times New Roman" w:cs="Times New Roman"/>
                <w:sz w:val="24"/>
                <w:szCs w:val="24"/>
              </w:rPr>
              <w:tab/>
              <w:t>2025</w:t>
            </w:r>
            <w:r w:rsidRPr="00D160E9">
              <w:rPr>
                <w:rFonts w:ascii="Times New Roman" w:hAnsi="Times New Roman" w:cs="Times New Roman"/>
                <w:sz w:val="24"/>
                <w:szCs w:val="24"/>
              </w:rPr>
              <w:tab/>
            </w:r>
          </w:p>
        </w:tc>
        <w:tc>
          <w:tcPr>
            <w:tcW w:w="4508" w:type="dxa"/>
            <w:tcBorders>
              <w:bottom w:val="single" w:sz="4" w:space="0" w:color="auto"/>
            </w:tcBorders>
          </w:tcPr>
          <w:p w14:paraId="70265C75" w14:textId="5CA01474" w:rsidR="00AB6B7D" w:rsidRPr="00D160E9" w:rsidRDefault="00AB6B7D" w:rsidP="00844309">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5,11%</w:t>
            </w:r>
          </w:p>
        </w:tc>
      </w:tr>
    </w:tbl>
    <w:p w14:paraId="139632D9" w14:textId="7810C758" w:rsidR="00AB6B7D" w:rsidRPr="00D160E9" w:rsidRDefault="00AB6B7D" w:rsidP="008329C4">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Source : Central Statistics Agency, (2015 – 2025)</w:t>
      </w:r>
    </w:p>
    <w:p w14:paraId="5E149537" w14:textId="2EC489FE" w:rsidR="00E027FE" w:rsidRPr="00D160E9" w:rsidRDefault="00AB6B7D" w:rsidP="00AB6B7D">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r>
      <w:r w:rsidR="00E34C3A">
        <w:rPr>
          <w:rFonts w:ascii="Times New Roman" w:hAnsi="Times New Roman" w:cs="Times New Roman"/>
          <w:sz w:val="24"/>
          <w:szCs w:val="24"/>
        </w:rPr>
        <w:t>Data released by the Central Statistics Agency (BPS) for 2015-2025, shows a fluctuating level of economic growth. In 2020, economic growth will touch minus 2.07 due to the Covid-19 pandemic. However, in the next period it increased by 3.69%. This happens because the economy is experiencing a recovery phase from Covid-19, the consumption sectors are back to normal. Purchasing power (</w:t>
      </w:r>
      <w:r w:rsidR="00E027FE" w:rsidRPr="00D160E9">
        <w:rPr>
          <w:rFonts w:ascii="Times New Roman" w:hAnsi="Times New Roman" w:cs="Times New Roman"/>
          <w:i/>
          <w:iCs/>
          <w:sz w:val="24"/>
          <w:szCs w:val="24"/>
        </w:rPr>
        <w:t xml:space="preserve">Purchasing power) </w:t>
      </w:r>
      <w:r w:rsidR="00E027FE" w:rsidRPr="00D160E9">
        <w:rPr>
          <w:rFonts w:ascii="Times New Roman" w:hAnsi="Times New Roman" w:cs="Times New Roman"/>
          <w:sz w:val="24"/>
          <w:szCs w:val="24"/>
        </w:rPr>
        <w:t xml:space="preserve">The community shows a positive direction and is able to move the wheels of the economy. In the current year, it shows an increase and a decrease, meaning that there is instability in economic growth, so there is a need for government authority to be applied through monetary policy. </w:t>
      </w:r>
    </w:p>
    <w:p w14:paraId="799D6B8F" w14:textId="3A83448B" w:rsidR="004C743E" w:rsidRPr="00D160E9" w:rsidRDefault="00E027FE" w:rsidP="008329C4">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Indonesia is one of the countries with the most rapid potential for Islamic financial development because it has the largest Muslim population in the world. This can be reflected in the regulation of monetary policy which is not only based on conventional aspects, but the implementation of Islamic monetary policy is also implemented. Conventional monetary policy focuses on debt and interest factors as important variables. Meanwhile, in the sharia monetary policy, it is based on the principle of prohibiting riba, gharar and maisir and aims to maintain the stability of the rupiah value, encourage economic growth and improve people's welfare</w:t>
      </w:r>
      <w:r w:rsidR="00295103" w:rsidRPr="00D160E9">
        <w:rPr>
          <w:rFonts w:ascii="Times New Roman" w:hAnsi="Times New Roman" w:cs="Times New Roman"/>
          <w:sz w:val="24"/>
        </w:rPr>
        <w:t>(Madani &amp; Widiastuti, 2021)</w:t>
      </w:r>
      <w:r w:rsidR="00295103" w:rsidRPr="00D160E9">
        <w:rPr>
          <w:rFonts w:ascii="Times New Roman" w:hAnsi="Times New Roman" w:cs="Times New Roman"/>
          <w:sz w:val="24"/>
          <w:szCs w:val="24"/>
        </w:rPr>
        <w:t>.  Riba, gharar and maizir must be eliminated because they can affect instability in the implementation of monetary policy. This has been emphasized in the Qur'an Surah al-Baqarah : 275</w:t>
      </w:r>
      <w:r w:rsidR="008329C4">
        <w:rPr>
          <w:rFonts w:ascii="Times New Roman" w:hAnsi="Times New Roman" w:cs="Times New Roman"/>
          <w:sz w:val="24"/>
          <w:szCs w:val="24"/>
        </w:rPr>
        <w:t>.</w:t>
      </w:r>
    </w:p>
    <w:p w14:paraId="6EF562C1" w14:textId="71951E2D" w:rsidR="00362F19" w:rsidRPr="00D160E9" w:rsidRDefault="00362F19" w:rsidP="00362F19">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In Surah al-Baqarah verse 275 has the meaning that Allah SWT legalizes buying and selling and expressly prohibits usury. This verse is closely related to the Islamic monetary policy which in its implementation does not use the interest system (</w:t>
      </w:r>
      <w:r w:rsidR="003537D4" w:rsidRPr="00D160E9">
        <w:rPr>
          <w:rFonts w:ascii="Times New Roman" w:hAnsi="Times New Roman" w:cs="Times New Roman"/>
          <w:i/>
          <w:iCs/>
          <w:sz w:val="24"/>
          <w:szCs w:val="24"/>
        </w:rPr>
        <w:t>Interest</w:t>
      </w:r>
      <w:r w:rsidR="003537D4" w:rsidRPr="00D160E9">
        <w:rPr>
          <w:rFonts w:ascii="Times New Roman" w:hAnsi="Times New Roman" w:cs="Times New Roman"/>
          <w:sz w:val="24"/>
          <w:szCs w:val="24"/>
        </w:rPr>
        <w:t>) as applied to conventional banks. In addition, another surah also explains the prohibition of maysir which has been explained in Surah al-Maidah verses 90-91 and the prohibition of gharar which is described in Surah An-Nisa verse 29.</w:t>
      </w:r>
    </w:p>
    <w:p w14:paraId="5B4E8BAD" w14:textId="74972CE7" w:rsidR="008537EE" w:rsidRPr="00D160E9" w:rsidRDefault="003537D4" w:rsidP="008537EE">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r>
      <w:r w:rsidR="00092969">
        <w:rPr>
          <w:rFonts w:ascii="Times New Roman" w:hAnsi="Times New Roman" w:cs="Times New Roman"/>
          <w:sz w:val="24"/>
          <w:szCs w:val="24"/>
        </w:rPr>
        <w:t>Sharia monetary operations have different instruments from conventional monetary operations, including bank Indonesia sharia certificates, Sukbi, bank Indonesia sharia deposits, and the interbank money market.</w:t>
      </w:r>
      <w:r w:rsidR="008B641A" w:rsidRPr="00D160E9">
        <w:rPr>
          <w:rFonts w:ascii="Times New Roman" w:hAnsi="Times New Roman" w:cs="Times New Roman"/>
          <w:sz w:val="24"/>
        </w:rPr>
        <w:t>(Mutmainah et al., 2024)</w:t>
      </w:r>
      <w:r w:rsidR="00321746" w:rsidRPr="00D160E9">
        <w:rPr>
          <w:rFonts w:ascii="Times New Roman" w:hAnsi="Times New Roman" w:cs="Times New Roman"/>
          <w:sz w:val="24"/>
          <w:szCs w:val="24"/>
        </w:rPr>
        <w:t>. The application of this instrument aims to realize the benefits of the human race by maintaining monetary stability, including exchange rates and interest rates. In Indonesia, regulations regarding sharia monetary operations have been stipulated in Bank Indonesia Regulation Number 16/12/PBI/2014. The regulation discusses monetary control based on sharia principles.</w:t>
      </w:r>
    </w:p>
    <w:p w14:paraId="1D979080" w14:textId="44CA23DB" w:rsidR="00317A5A" w:rsidRDefault="00317A5A" w:rsidP="00362F19">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81DD5">
        <w:rPr>
          <w:rFonts w:ascii="Times New Roman" w:hAnsi="Times New Roman" w:cs="Times New Roman"/>
          <w:sz w:val="24"/>
          <w:szCs w:val="24"/>
        </w:rPr>
        <w:t>The Islamic finance sector in Indonesia is showing very positive developments. This can be seen from various sectors, such as the Islamic banking sector, the Islamic capital market and sharia-based non-financial industries. Based on a report from the financial services authority in 2025, Indonesia's Islamic financial assets will be recorded at 2,972.94 trillion. This figure grew 8.21% year-on-year (yoy). In addition, the market share of the Islamic finance industry also reached 11.47% of the national financial industry. This is a breath of fresh air for Islamic financial development in Indonesia. Islamic monetary instruments have a significant role in supporting the growth of Islamic finance, so that it can indirectly increase economic growth in Indonesia. This condition is strengthened by research conducted by afini, et al. (2016) that Islamic monetary policy has a positive impact on economic growth.</w:t>
      </w:r>
    </w:p>
    <w:p w14:paraId="398C5C16" w14:textId="77777777" w:rsidR="00317A5A" w:rsidRDefault="00317A5A" w:rsidP="00362F19">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D160E9">
        <w:rPr>
          <w:rFonts w:ascii="Times New Roman" w:hAnsi="Times New Roman" w:cs="Times New Roman"/>
          <w:sz w:val="24"/>
          <w:szCs w:val="24"/>
        </w:rPr>
        <w:t xml:space="preserve">In this study, sharia monetary policy uses the Bank Indonesia Sharia Certificate (SBIS) instrument. SBIS plays the role of a sharia deposit instrument which was previously called the Bank Indonesia Wadiah Certificate (SWBI). The application of SBIS is based on a one-month sale contract (auction) and a weekly auction which in its mechanism depends on the yield from the interest rate </w:t>
      </w:r>
      <w:r w:rsidRPr="00D160E9">
        <w:rPr>
          <w:rFonts w:ascii="Times New Roman" w:hAnsi="Times New Roman" w:cs="Times New Roman"/>
          <w:sz w:val="24"/>
        </w:rPr>
        <w:t>(Juhro et al., 2025)</w:t>
      </w:r>
      <w:r w:rsidRPr="00D160E9">
        <w:rPr>
          <w:rFonts w:ascii="Times New Roman" w:hAnsi="Times New Roman" w:cs="Times New Roman"/>
          <w:sz w:val="24"/>
          <w:szCs w:val="24"/>
        </w:rPr>
        <w:t>.</w:t>
      </w:r>
    </w:p>
    <w:p w14:paraId="34AEC951" w14:textId="7651A77D" w:rsidR="00FB1404" w:rsidRPr="00D160E9" w:rsidRDefault="00FB1404" w:rsidP="00362F19">
      <w:pPr>
        <w:spacing w:line="276" w:lineRule="auto"/>
        <w:jc w:val="both"/>
        <w:rPr>
          <w:rFonts w:ascii="Times New Roman" w:hAnsi="Times New Roman" w:cs="Times New Roman"/>
          <w:sz w:val="24"/>
          <w:szCs w:val="24"/>
        </w:rPr>
        <w:sectPr w:rsidR="00FB1404" w:rsidRPr="00D160E9">
          <w:footerReference w:type="default" r:id="rId9"/>
          <w:pgSz w:w="11906" w:h="16838"/>
          <w:pgMar w:top="1440" w:right="1440" w:bottom="1440" w:left="1440" w:header="708" w:footer="708" w:gutter="0"/>
          <w:cols w:space="708"/>
          <w:docGrid w:linePitch="360"/>
        </w:sectPr>
      </w:pPr>
      <w:r>
        <w:rPr>
          <w:rFonts w:ascii="Times New Roman" w:hAnsi="Times New Roman" w:cs="Times New Roman"/>
          <w:sz w:val="24"/>
          <w:szCs w:val="24"/>
        </w:rPr>
        <w:tab/>
      </w:r>
      <w:r w:rsidRPr="00D160E9">
        <w:rPr>
          <w:rFonts w:ascii="Times New Roman" w:hAnsi="Times New Roman" w:cs="Times New Roman"/>
          <w:sz w:val="24"/>
          <w:szCs w:val="24"/>
        </w:rPr>
        <w:t xml:space="preserve">Monetary control in SBIS instruments is carried out by absorbing liquidity in the community and placing excess funds in Bank Indonesia, which is then expected to have a refund. Based on research described by </w:t>
      </w:r>
      <w:r w:rsidRPr="00D160E9">
        <w:rPr>
          <w:rFonts w:ascii="Times New Roman" w:hAnsi="Times New Roman" w:cs="Times New Roman"/>
          <w:sz w:val="24"/>
        </w:rPr>
        <w:t xml:space="preserve">Hikmah et al. (2025) </w:t>
      </w:r>
      <w:r w:rsidRPr="00D160E9">
        <w:rPr>
          <w:rFonts w:ascii="Times New Roman" w:hAnsi="Times New Roman" w:cs="Times New Roman"/>
          <w:sz w:val="24"/>
          <w:szCs w:val="24"/>
        </w:rPr>
        <w:t>stated that the increase in SBIS will boost investment growth in the capital market and the Islamic money market. This will then have an impact on investors' increasing confidence to make investments so as to be able to encourage economic growt</w:t>
      </w:r>
      <w:r>
        <w:rPr>
          <w:rFonts w:ascii="Times New Roman" w:hAnsi="Times New Roman" w:cs="Times New Roman"/>
          <w:sz w:val="24"/>
          <w:szCs w:val="24"/>
        </w:rPr>
        <w:t>h.</w:t>
      </w:r>
    </w:p>
    <w:p w14:paraId="1E6FEED1" w14:textId="7383344B" w:rsidR="00D20566" w:rsidRPr="008329C4" w:rsidRDefault="00D20566" w:rsidP="008329C4">
      <w:pPr>
        <w:spacing w:line="240" w:lineRule="auto"/>
        <w:jc w:val="center"/>
        <w:rPr>
          <w:rFonts w:ascii="Times New Roman" w:hAnsi="Times New Roman" w:cs="Times New Roman"/>
          <w:bCs/>
          <w:sz w:val="24"/>
          <w:szCs w:val="24"/>
        </w:rPr>
      </w:pPr>
      <w:r w:rsidRPr="008329C4">
        <w:rPr>
          <w:rFonts w:ascii="Times New Roman" w:hAnsi="Times New Roman" w:cs="Times New Roman"/>
          <w:bCs/>
          <w:sz w:val="24"/>
          <w:szCs w:val="24"/>
        </w:rPr>
        <w:t>Table 2</w:t>
      </w:r>
      <w:r w:rsidR="00241DAE" w:rsidRPr="008329C4">
        <w:rPr>
          <w:rFonts w:ascii="Times New Roman" w:hAnsi="Times New Roman" w:cs="Times New Roman"/>
          <w:bCs/>
          <w:sz w:val="24"/>
          <w:szCs w:val="24"/>
        </w:rPr>
        <w:t xml:space="preserve">. </w:t>
      </w:r>
      <w:r w:rsidRPr="008329C4">
        <w:rPr>
          <w:rFonts w:ascii="Times New Roman" w:hAnsi="Times New Roman" w:cs="Times New Roman"/>
          <w:bCs/>
          <w:sz w:val="24"/>
          <w:szCs w:val="24"/>
        </w:rPr>
        <w:t>SBIS Annual Data for 2015-2025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20566" w:rsidRPr="00D160E9" w14:paraId="59E37D56" w14:textId="77777777" w:rsidTr="008329C4">
        <w:trPr>
          <w:trHeight w:val="377"/>
        </w:trPr>
        <w:tc>
          <w:tcPr>
            <w:tcW w:w="4508" w:type="dxa"/>
            <w:tcBorders>
              <w:top w:val="single" w:sz="4" w:space="0" w:color="auto"/>
              <w:bottom w:val="single" w:sz="4" w:space="0" w:color="auto"/>
            </w:tcBorders>
          </w:tcPr>
          <w:p w14:paraId="07C1EC22" w14:textId="77777777"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Year</w:t>
            </w:r>
          </w:p>
        </w:tc>
        <w:tc>
          <w:tcPr>
            <w:tcW w:w="4508" w:type="dxa"/>
            <w:tcBorders>
              <w:top w:val="single" w:sz="4" w:space="0" w:color="auto"/>
              <w:bottom w:val="single" w:sz="4" w:space="0" w:color="auto"/>
            </w:tcBorders>
          </w:tcPr>
          <w:p w14:paraId="69ED9113" w14:textId="20BB50E0" w:rsidR="00D20566" w:rsidRPr="00D160E9" w:rsidRDefault="008329C4" w:rsidP="008329C4">
            <w:pPr>
              <w:spacing w:line="276" w:lineRule="auto"/>
              <w:jc w:val="center"/>
              <w:rPr>
                <w:rFonts w:ascii="Times New Roman" w:hAnsi="Times New Roman" w:cs="Times New Roman"/>
                <w:sz w:val="24"/>
                <w:szCs w:val="24"/>
              </w:rPr>
            </w:pPr>
            <w:r>
              <w:rPr>
                <w:rFonts w:ascii="Times New Roman" w:hAnsi="Times New Roman" w:cs="Times New Roman"/>
                <w:sz w:val="24"/>
                <w:szCs w:val="24"/>
              </w:rPr>
              <w:t>SBIS</w:t>
            </w:r>
          </w:p>
        </w:tc>
      </w:tr>
      <w:tr w:rsidR="00D20566" w:rsidRPr="00D160E9" w14:paraId="7ABB81C3" w14:textId="77777777" w:rsidTr="008329C4">
        <w:tc>
          <w:tcPr>
            <w:tcW w:w="4508" w:type="dxa"/>
            <w:tcBorders>
              <w:top w:val="single" w:sz="4" w:space="0" w:color="auto"/>
            </w:tcBorders>
          </w:tcPr>
          <w:p w14:paraId="3A0560F5" w14:textId="77777777"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2015</w:t>
            </w:r>
          </w:p>
        </w:tc>
        <w:tc>
          <w:tcPr>
            <w:tcW w:w="4508" w:type="dxa"/>
            <w:tcBorders>
              <w:top w:val="single" w:sz="4" w:space="0" w:color="auto"/>
            </w:tcBorders>
          </w:tcPr>
          <w:p w14:paraId="7B655D5C" w14:textId="4D5A991D"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6.280</w:t>
            </w:r>
          </w:p>
        </w:tc>
      </w:tr>
      <w:tr w:rsidR="00D20566" w:rsidRPr="00D160E9" w14:paraId="16C14EC2" w14:textId="77777777" w:rsidTr="008329C4">
        <w:tc>
          <w:tcPr>
            <w:tcW w:w="4508" w:type="dxa"/>
          </w:tcPr>
          <w:p w14:paraId="066E130D" w14:textId="77777777"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2016</w:t>
            </w:r>
          </w:p>
        </w:tc>
        <w:tc>
          <w:tcPr>
            <w:tcW w:w="4508" w:type="dxa"/>
          </w:tcPr>
          <w:p w14:paraId="47DD7AEA" w14:textId="7A84A79C"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7.920</w:t>
            </w:r>
          </w:p>
        </w:tc>
      </w:tr>
      <w:tr w:rsidR="00D20566" w:rsidRPr="00D160E9" w14:paraId="2696D44D" w14:textId="77777777" w:rsidTr="008329C4">
        <w:tc>
          <w:tcPr>
            <w:tcW w:w="4508" w:type="dxa"/>
          </w:tcPr>
          <w:p w14:paraId="10F72399" w14:textId="77777777"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2017</w:t>
            </w:r>
          </w:p>
        </w:tc>
        <w:tc>
          <w:tcPr>
            <w:tcW w:w="4508" w:type="dxa"/>
          </w:tcPr>
          <w:p w14:paraId="741D641E" w14:textId="57FEE206"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8.450</w:t>
            </w:r>
          </w:p>
        </w:tc>
      </w:tr>
      <w:tr w:rsidR="00D20566" w:rsidRPr="00D160E9" w14:paraId="4585183E" w14:textId="77777777" w:rsidTr="008329C4">
        <w:tc>
          <w:tcPr>
            <w:tcW w:w="4508" w:type="dxa"/>
          </w:tcPr>
          <w:p w14:paraId="035B5C20" w14:textId="77777777"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2018</w:t>
            </w:r>
          </w:p>
        </w:tc>
        <w:tc>
          <w:tcPr>
            <w:tcW w:w="4508" w:type="dxa"/>
          </w:tcPr>
          <w:p w14:paraId="62E9FC68" w14:textId="5B7E489E"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9.300</w:t>
            </w:r>
          </w:p>
        </w:tc>
      </w:tr>
      <w:tr w:rsidR="00D20566" w:rsidRPr="00D160E9" w14:paraId="5A470B29" w14:textId="77777777" w:rsidTr="008329C4">
        <w:tc>
          <w:tcPr>
            <w:tcW w:w="4508" w:type="dxa"/>
          </w:tcPr>
          <w:p w14:paraId="1DFFE309" w14:textId="77777777"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2019</w:t>
            </w:r>
          </w:p>
        </w:tc>
        <w:tc>
          <w:tcPr>
            <w:tcW w:w="4508" w:type="dxa"/>
          </w:tcPr>
          <w:p w14:paraId="7CB581F2" w14:textId="2E9D2270"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10.150</w:t>
            </w:r>
          </w:p>
        </w:tc>
      </w:tr>
      <w:tr w:rsidR="00D20566" w:rsidRPr="00D160E9" w14:paraId="755F59B4" w14:textId="77777777" w:rsidTr="008329C4">
        <w:tc>
          <w:tcPr>
            <w:tcW w:w="4508" w:type="dxa"/>
          </w:tcPr>
          <w:p w14:paraId="7284139C" w14:textId="77777777"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2020</w:t>
            </w:r>
          </w:p>
        </w:tc>
        <w:tc>
          <w:tcPr>
            <w:tcW w:w="4508" w:type="dxa"/>
          </w:tcPr>
          <w:p w14:paraId="4FF14134" w14:textId="38ACA49B"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2.980</w:t>
            </w:r>
          </w:p>
        </w:tc>
      </w:tr>
      <w:tr w:rsidR="00D20566" w:rsidRPr="00D160E9" w14:paraId="1CEE9CE2" w14:textId="77777777" w:rsidTr="008329C4">
        <w:tc>
          <w:tcPr>
            <w:tcW w:w="4508" w:type="dxa"/>
          </w:tcPr>
          <w:p w14:paraId="66014B38" w14:textId="77777777"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2021</w:t>
            </w:r>
          </w:p>
        </w:tc>
        <w:tc>
          <w:tcPr>
            <w:tcW w:w="4508" w:type="dxa"/>
          </w:tcPr>
          <w:p w14:paraId="5AAF94DC" w14:textId="24280A9A"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615</w:t>
            </w:r>
          </w:p>
        </w:tc>
      </w:tr>
      <w:tr w:rsidR="00D20566" w:rsidRPr="00D160E9" w14:paraId="07B4A2A6" w14:textId="77777777" w:rsidTr="008329C4">
        <w:tc>
          <w:tcPr>
            <w:tcW w:w="4508" w:type="dxa"/>
          </w:tcPr>
          <w:p w14:paraId="18E143AD" w14:textId="2CCD6112"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2022</w:t>
            </w:r>
          </w:p>
        </w:tc>
        <w:tc>
          <w:tcPr>
            <w:tcW w:w="4508" w:type="dxa"/>
          </w:tcPr>
          <w:p w14:paraId="14EDF3F4" w14:textId="270A5A82"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750</w:t>
            </w:r>
          </w:p>
        </w:tc>
      </w:tr>
      <w:tr w:rsidR="00D20566" w:rsidRPr="00D160E9" w14:paraId="0F7CD867" w14:textId="77777777" w:rsidTr="008329C4">
        <w:tc>
          <w:tcPr>
            <w:tcW w:w="4508" w:type="dxa"/>
          </w:tcPr>
          <w:p w14:paraId="26B7C2DB" w14:textId="0F8839DF"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2023</w:t>
            </w:r>
          </w:p>
        </w:tc>
        <w:tc>
          <w:tcPr>
            <w:tcW w:w="4508" w:type="dxa"/>
          </w:tcPr>
          <w:p w14:paraId="72BB1E0D" w14:textId="3EE7CD92"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1.120</w:t>
            </w:r>
          </w:p>
        </w:tc>
      </w:tr>
      <w:tr w:rsidR="00D20566" w:rsidRPr="00D160E9" w14:paraId="06890013" w14:textId="77777777" w:rsidTr="008329C4">
        <w:tc>
          <w:tcPr>
            <w:tcW w:w="4508" w:type="dxa"/>
          </w:tcPr>
          <w:p w14:paraId="7D576ECE" w14:textId="602C1A2A"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2024</w:t>
            </w:r>
          </w:p>
        </w:tc>
        <w:tc>
          <w:tcPr>
            <w:tcW w:w="4508" w:type="dxa"/>
          </w:tcPr>
          <w:p w14:paraId="1E42DF9B" w14:textId="27CD5566"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1.480</w:t>
            </w:r>
          </w:p>
        </w:tc>
      </w:tr>
      <w:tr w:rsidR="00D20566" w:rsidRPr="00D160E9" w14:paraId="52EB1BCE" w14:textId="77777777" w:rsidTr="008329C4">
        <w:tc>
          <w:tcPr>
            <w:tcW w:w="4508" w:type="dxa"/>
            <w:tcBorders>
              <w:bottom w:val="single" w:sz="4" w:space="0" w:color="auto"/>
            </w:tcBorders>
          </w:tcPr>
          <w:p w14:paraId="6297BBB3" w14:textId="4193519B" w:rsidR="00D20566" w:rsidRPr="00D160E9" w:rsidRDefault="00D20566"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2025</w:t>
            </w:r>
          </w:p>
        </w:tc>
        <w:tc>
          <w:tcPr>
            <w:tcW w:w="4508" w:type="dxa"/>
            <w:tcBorders>
              <w:bottom w:val="single" w:sz="4" w:space="0" w:color="auto"/>
            </w:tcBorders>
          </w:tcPr>
          <w:p w14:paraId="7208B3EA" w14:textId="7A9EB520" w:rsidR="00D20566" w:rsidRPr="00D160E9" w:rsidRDefault="00357AF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1.730</w:t>
            </w:r>
          </w:p>
        </w:tc>
      </w:tr>
    </w:tbl>
    <w:p w14:paraId="51CD5D8A" w14:textId="2FE7D1A9" w:rsidR="00D20566" w:rsidRPr="00D160E9" w:rsidRDefault="00357AFF" w:rsidP="008329C4">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Source : OJK and Bank Indonesia, (2015 – 2025)</w:t>
      </w:r>
    </w:p>
    <w:p w14:paraId="6BEA5865" w14:textId="073C46A6" w:rsidR="001D3AD4" w:rsidRPr="00D160E9" w:rsidRDefault="00357AFF" w:rsidP="00357AFF">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r>
      <w:r w:rsidR="008C568B" w:rsidRPr="00D160E9">
        <w:rPr>
          <w:rFonts w:ascii="Times New Roman" w:hAnsi="Times New Roman" w:cs="Times New Roman"/>
          <w:sz w:val="24"/>
          <w:szCs w:val="24"/>
        </w:rPr>
        <w:t xml:space="preserve">Based on data released by the OJK and Bank Indonesia, the outstanding value of SBIS has fluctuated, which in 2019 showed the investment of Islamic bank funds into Bank Indonesia with a value of 10,150 which is the highest point. However, in the following period, it decreased because people's ability to use funds for daily needs or investment also decreased due to the Covid-19 pandemic. </w:t>
      </w:r>
    </w:p>
    <w:p w14:paraId="048C001E" w14:textId="2B94CC78" w:rsidR="003537D4" w:rsidRPr="00D160E9" w:rsidRDefault="001D3AD4" w:rsidP="00731096">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 xml:space="preserve">In addition, there is a Bank Indonesia Syariah Deposit Facility (FASBIS). FASBIS is used as a liquidity control tool in Islamic monetary operations, where Islamic banks are given the right to place their funds in Bank Indonesia in the form of rupiah currency </w:t>
      </w:r>
      <w:r w:rsidR="008B641A" w:rsidRPr="00D160E9">
        <w:rPr>
          <w:rFonts w:ascii="Times New Roman" w:hAnsi="Times New Roman" w:cs="Times New Roman"/>
          <w:sz w:val="24"/>
        </w:rPr>
        <w:t>(Anya Regista Cahyani et al., 2024)</w:t>
      </w:r>
      <w:r w:rsidR="00731096" w:rsidRPr="00D160E9">
        <w:rPr>
          <w:rFonts w:ascii="Times New Roman" w:hAnsi="Times New Roman" w:cs="Times New Roman"/>
          <w:sz w:val="24"/>
          <w:szCs w:val="24"/>
        </w:rPr>
        <w:t xml:space="preserve">. Based on research described by </w:t>
      </w:r>
      <w:r w:rsidR="008B641A" w:rsidRPr="00D160E9">
        <w:rPr>
          <w:rFonts w:ascii="Times New Roman" w:hAnsi="Times New Roman" w:cs="Times New Roman"/>
          <w:sz w:val="24"/>
        </w:rPr>
        <w:t xml:space="preserve">(Ahmad Wahyudi Zein et al., 2025) </w:t>
      </w:r>
      <w:r w:rsidR="00731096" w:rsidRPr="00D160E9">
        <w:rPr>
          <w:rFonts w:ascii="Times New Roman" w:hAnsi="Times New Roman" w:cs="Times New Roman"/>
          <w:sz w:val="24"/>
          <w:szCs w:val="24"/>
        </w:rPr>
        <w:t>stated that the PUAS, FASBIS and SBIS instruments have a positive relationship with economic growth, especially gross domestic product (GDP).</w:t>
      </w:r>
    </w:p>
    <w:p w14:paraId="2EEF3FFD" w14:textId="7B7960DB" w:rsidR="0037763F" w:rsidRPr="008329C4" w:rsidRDefault="0037763F" w:rsidP="008329C4">
      <w:pPr>
        <w:spacing w:line="240" w:lineRule="auto"/>
        <w:jc w:val="center"/>
        <w:rPr>
          <w:rFonts w:ascii="Times New Roman" w:hAnsi="Times New Roman" w:cs="Times New Roman"/>
          <w:bCs/>
          <w:sz w:val="24"/>
          <w:szCs w:val="24"/>
        </w:rPr>
      </w:pPr>
      <w:r w:rsidRPr="008329C4">
        <w:rPr>
          <w:rFonts w:ascii="Times New Roman" w:hAnsi="Times New Roman" w:cs="Times New Roman"/>
          <w:bCs/>
          <w:sz w:val="24"/>
          <w:szCs w:val="24"/>
        </w:rPr>
        <w:t>Table 3</w:t>
      </w:r>
      <w:r w:rsidR="00241DAE" w:rsidRPr="008329C4">
        <w:rPr>
          <w:rFonts w:ascii="Times New Roman" w:hAnsi="Times New Roman" w:cs="Times New Roman"/>
          <w:bCs/>
          <w:sz w:val="24"/>
          <w:szCs w:val="24"/>
        </w:rPr>
        <w:t xml:space="preserve">. </w:t>
      </w:r>
      <w:r w:rsidRPr="008329C4">
        <w:rPr>
          <w:rFonts w:ascii="Times New Roman" w:hAnsi="Times New Roman" w:cs="Times New Roman"/>
          <w:bCs/>
          <w:sz w:val="24"/>
          <w:szCs w:val="24"/>
        </w:rPr>
        <w:t>FASBIS Annual Data for 2015- 2025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7763F" w:rsidRPr="00D160E9" w14:paraId="54C9CA42" w14:textId="77777777" w:rsidTr="008329C4">
        <w:trPr>
          <w:trHeight w:val="377"/>
        </w:trPr>
        <w:tc>
          <w:tcPr>
            <w:tcW w:w="4508" w:type="dxa"/>
            <w:tcBorders>
              <w:top w:val="single" w:sz="4" w:space="0" w:color="auto"/>
              <w:bottom w:val="single" w:sz="4" w:space="0" w:color="auto"/>
            </w:tcBorders>
          </w:tcPr>
          <w:p w14:paraId="1EA262F5"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Year</w:t>
            </w:r>
          </w:p>
        </w:tc>
        <w:tc>
          <w:tcPr>
            <w:tcW w:w="4508" w:type="dxa"/>
            <w:tcBorders>
              <w:top w:val="single" w:sz="4" w:space="0" w:color="auto"/>
              <w:bottom w:val="single" w:sz="4" w:space="0" w:color="auto"/>
            </w:tcBorders>
          </w:tcPr>
          <w:p w14:paraId="635F298C" w14:textId="59EFBB41" w:rsidR="0037763F" w:rsidRPr="00D160E9" w:rsidRDefault="008329C4" w:rsidP="008329C4">
            <w:pPr>
              <w:spacing w:line="276" w:lineRule="auto"/>
              <w:jc w:val="center"/>
              <w:rPr>
                <w:rFonts w:ascii="Times New Roman" w:hAnsi="Times New Roman" w:cs="Times New Roman"/>
                <w:sz w:val="24"/>
                <w:szCs w:val="24"/>
              </w:rPr>
            </w:pPr>
            <w:r>
              <w:rPr>
                <w:rFonts w:ascii="Times New Roman" w:hAnsi="Times New Roman" w:cs="Times New Roman"/>
                <w:sz w:val="24"/>
                <w:szCs w:val="24"/>
              </w:rPr>
              <w:t>FASBIS</w:t>
            </w:r>
          </w:p>
        </w:tc>
      </w:tr>
      <w:tr w:rsidR="0037763F" w:rsidRPr="00D160E9" w14:paraId="1EED22BA" w14:textId="77777777" w:rsidTr="008329C4">
        <w:tc>
          <w:tcPr>
            <w:tcW w:w="4508" w:type="dxa"/>
            <w:tcBorders>
              <w:top w:val="single" w:sz="4" w:space="0" w:color="auto"/>
            </w:tcBorders>
          </w:tcPr>
          <w:p w14:paraId="222095BE"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2015</w:t>
            </w:r>
          </w:p>
        </w:tc>
        <w:tc>
          <w:tcPr>
            <w:tcW w:w="4508" w:type="dxa"/>
            <w:tcBorders>
              <w:top w:val="single" w:sz="4" w:space="0" w:color="auto"/>
            </w:tcBorders>
          </w:tcPr>
          <w:p w14:paraId="571D6D0B" w14:textId="7F7C6F2C"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15.300</w:t>
            </w:r>
          </w:p>
        </w:tc>
      </w:tr>
      <w:tr w:rsidR="0037763F" w:rsidRPr="00D160E9" w14:paraId="5FF1428B" w14:textId="77777777" w:rsidTr="008329C4">
        <w:tc>
          <w:tcPr>
            <w:tcW w:w="4508" w:type="dxa"/>
          </w:tcPr>
          <w:p w14:paraId="0A5A0A59"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2016</w:t>
            </w:r>
          </w:p>
        </w:tc>
        <w:tc>
          <w:tcPr>
            <w:tcW w:w="4508" w:type="dxa"/>
          </w:tcPr>
          <w:p w14:paraId="3B4BA477" w14:textId="3843F6EF"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10.800</w:t>
            </w:r>
          </w:p>
        </w:tc>
      </w:tr>
      <w:tr w:rsidR="0037763F" w:rsidRPr="00D160E9" w14:paraId="3B096988" w14:textId="77777777" w:rsidTr="008329C4">
        <w:tc>
          <w:tcPr>
            <w:tcW w:w="4508" w:type="dxa"/>
          </w:tcPr>
          <w:p w14:paraId="4592BC1E"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2017</w:t>
            </w:r>
          </w:p>
        </w:tc>
        <w:tc>
          <w:tcPr>
            <w:tcW w:w="4508" w:type="dxa"/>
          </w:tcPr>
          <w:p w14:paraId="29479AC6" w14:textId="440C6422"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8.900</w:t>
            </w:r>
          </w:p>
        </w:tc>
      </w:tr>
      <w:tr w:rsidR="0037763F" w:rsidRPr="00D160E9" w14:paraId="63A9F3FF" w14:textId="77777777" w:rsidTr="008329C4">
        <w:tc>
          <w:tcPr>
            <w:tcW w:w="4508" w:type="dxa"/>
          </w:tcPr>
          <w:p w14:paraId="73226ACF"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2018</w:t>
            </w:r>
          </w:p>
        </w:tc>
        <w:tc>
          <w:tcPr>
            <w:tcW w:w="4508" w:type="dxa"/>
          </w:tcPr>
          <w:p w14:paraId="0A687054" w14:textId="7961768D"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7.500</w:t>
            </w:r>
          </w:p>
        </w:tc>
      </w:tr>
      <w:tr w:rsidR="0037763F" w:rsidRPr="00D160E9" w14:paraId="004E7D58" w14:textId="77777777" w:rsidTr="008329C4">
        <w:tc>
          <w:tcPr>
            <w:tcW w:w="4508" w:type="dxa"/>
          </w:tcPr>
          <w:p w14:paraId="0A02614C"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2019</w:t>
            </w:r>
          </w:p>
        </w:tc>
        <w:tc>
          <w:tcPr>
            <w:tcW w:w="4508" w:type="dxa"/>
          </w:tcPr>
          <w:p w14:paraId="185B440E" w14:textId="061B07BF"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6.800</w:t>
            </w:r>
          </w:p>
        </w:tc>
      </w:tr>
      <w:tr w:rsidR="0037763F" w:rsidRPr="00D160E9" w14:paraId="5504D414" w14:textId="77777777" w:rsidTr="008329C4">
        <w:tc>
          <w:tcPr>
            <w:tcW w:w="4508" w:type="dxa"/>
          </w:tcPr>
          <w:p w14:paraId="5E2B4B8B"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2020</w:t>
            </w:r>
          </w:p>
        </w:tc>
        <w:tc>
          <w:tcPr>
            <w:tcW w:w="4508" w:type="dxa"/>
          </w:tcPr>
          <w:p w14:paraId="3DFE04A4" w14:textId="4EC177FA"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6.200</w:t>
            </w:r>
          </w:p>
        </w:tc>
      </w:tr>
      <w:tr w:rsidR="0037763F" w:rsidRPr="00D160E9" w14:paraId="53827699" w14:textId="77777777" w:rsidTr="008329C4">
        <w:tc>
          <w:tcPr>
            <w:tcW w:w="4508" w:type="dxa"/>
          </w:tcPr>
          <w:p w14:paraId="3548EE90"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2021</w:t>
            </w:r>
          </w:p>
        </w:tc>
        <w:tc>
          <w:tcPr>
            <w:tcW w:w="4508" w:type="dxa"/>
          </w:tcPr>
          <w:p w14:paraId="49F4E859" w14:textId="050F8EA7"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5.600</w:t>
            </w:r>
          </w:p>
        </w:tc>
      </w:tr>
      <w:tr w:rsidR="0037763F" w:rsidRPr="00D160E9" w14:paraId="3C9D6034" w14:textId="77777777" w:rsidTr="008329C4">
        <w:tc>
          <w:tcPr>
            <w:tcW w:w="4508" w:type="dxa"/>
          </w:tcPr>
          <w:p w14:paraId="4F0CA45F"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2022</w:t>
            </w:r>
          </w:p>
        </w:tc>
        <w:tc>
          <w:tcPr>
            <w:tcW w:w="4508" w:type="dxa"/>
          </w:tcPr>
          <w:p w14:paraId="330AB3B8" w14:textId="1B3A3336"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6.100</w:t>
            </w:r>
          </w:p>
        </w:tc>
      </w:tr>
      <w:tr w:rsidR="0037763F" w:rsidRPr="00D160E9" w14:paraId="3B5CC160" w14:textId="77777777" w:rsidTr="008329C4">
        <w:tc>
          <w:tcPr>
            <w:tcW w:w="4508" w:type="dxa"/>
          </w:tcPr>
          <w:p w14:paraId="7C8073DE"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2023</w:t>
            </w:r>
          </w:p>
        </w:tc>
        <w:tc>
          <w:tcPr>
            <w:tcW w:w="4508" w:type="dxa"/>
          </w:tcPr>
          <w:p w14:paraId="66EA08B4" w14:textId="485B9617"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5.400</w:t>
            </w:r>
          </w:p>
        </w:tc>
      </w:tr>
      <w:tr w:rsidR="0037763F" w:rsidRPr="00D160E9" w14:paraId="1555AC75" w14:textId="77777777" w:rsidTr="008329C4">
        <w:tc>
          <w:tcPr>
            <w:tcW w:w="4508" w:type="dxa"/>
          </w:tcPr>
          <w:p w14:paraId="70734D80"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2024</w:t>
            </w:r>
          </w:p>
        </w:tc>
        <w:tc>
          <w:tcPr>
            <w:tcW w:w="4508" w:type="dxa"/>
          </w:tcPr>
          <w:p w14:paraId="1271083C" w14:textId="3F252F4E"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4.900</w:t>
            </w:r>
          </w:p>
        </w:tc>
      </w:tr>
      <w:tr w:rsidR="0037763F" w:rsidRPr="00D160E9" w14:paraId="099A1DE1" w14:textId="77777777" w:rsidTr="008329C4">
        <w:trPr>
          <w:trHeight w:val="421"/>
        </w:trPr>
        <w:tc>
          <w:tcPr>
            <w:tcW w:w="4508" w:type="dxa"/>
            <w:tcBorders>
              <w:bottom w:val="single" w:sz="4" w:space="0" w:color="auto"/>
            </w:tcBorders>
          </w:tcPr>
          <w:p w14:paraId="12C5C2FF" w14:textId="77777777" w:rsidR="0037763F" w:rsidRPr="00D160E9" w:rsidRDefault="0037763F"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2025</w:t>
            </w:r>
          </w:p>
        </w:tc>
        <w:tc>
          <w:tcPr>
            <w:tcW w:w="4508" w:type="dxa"/>
            <w:tcBorders>
              <w:bottom w:val="single" w:sz="4" w:space="0" w:color="auto"/>
            </w:tcBorders>
          </w:tcPr>
          <w:p w14:paraId="47D676D8" w14:textId="3046BBDB" w:rsidR="0037763F" w:rsidRPr="00D160E9" w:rsidRDefault="00D61FC4"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5.200</w:t>
            </w:r>
          </w:p>
        </w:tc>
      </w:tr>
    </w:tbl>
    <w:p w14:paraId="0D4C9F56" w14:textId="50298D0D" w:rsidR="0037763F" w:rsidRPr="00D160E9" w:rsidRDefault="0037763F" w:rsidP="008329C4">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Source : OJK and Bank Indonesia, (2015-2025)</w:t>
      </w:r>
    </w:p>
    <w:p w14:paraId="6B13E147" w14:textId="35B7F65C" w:rsidR="00D61FC4" w:rsidRPr="00D160E9" w:rsidRDefault="00D61FC4" w:rsidP="0037763F">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Based on data determined by the Financial Services Authority (OJK) on an annual basis, the highest level of Sharia Banks in placing excess funds in 2025 is 15,300, so that by controlling sharia open market operations through FASBIS it is expected to be able to maintain the stability of the value of money.</w:t>
      </w:r>
    </w:p>
    <w:p w14:paraId="1E0CFC1E" w14:textId="623D7252" w:rsidR="008537EE" w:rsidRPr="00D160E9" w:rsidRDefault="008B641A" w:rsidP="006E5BB2">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 xml:space="preserve">In addition, there is the last instrument of Islamic monetary operations, namely the Islamic interbank money market (PUAS). The implementation of PUAS aims to overcome liquidity that occurs within the banking through a pre-agreed profit-sharing process, with a mechanism of borrowing or lending funds from fellow Islamic banks </w:t>
      </w:r>
      <w:r w:rsidRPr="00D160E9">
        <w:rPr>
          <w:rFonts w:ascii="Times New Roman" w:hAnsi="Times New Roman" w:cs="Times New Roman"/>
          <w:sz w:val="24"/>
        </w:rPr>
        <w:t>(Andarini &amp; Widiastuti, 2016.)</w:t>
      </w:r>
      <w:r w:rsidRPr="00D160E9">
        <w:rPr>
          <w:rFonts w:ascii="Times New Roman" w:hAnsi="Times New Roman" w:cs="Times New Roman"/>
          <w:sz w:val="24"/>
          <w:szCs w:val="24"/>
        </w:rPr>
        <w:t xml:space="preserve">. Based on research conducted by </w:t>
      </w:r>
      <w:r w:rsidR="0017253B" w:rsidRPr="00D160E9">
        <w:rPr>
          <w:rFonts w:ascii="Times New Roman" w:hAnsi="Times New Roman" w:cs="Times New Roman"/>
          <w:sz w:val="24"/>
        </w:rPr>
        <w:t>Winarto &amp; Beik, (2024)</w:t>
      </w:r>
      <w:r w:rsidR="002A503C" w:rsidRPr="00D160E9">
        <w:rPr>
          <w:rFonts w:ascii="Times New Roman" w:hAnsi="Times New Roman" w:cs="Times New Roman"/>
          <w:sz w:val="24"/>
          <w:szCs w:val="24"/>
        </w:rPr>
        <w:t>, stating that the FASBIS and PUAS variables have a significant influence on economic growth, both in the short and long term, which is analyzed through the VECM technique.</w:t>
      </w:r>
    </w:p>
    <w:p w14:paraId="1DBABF0F" w14:textId="677EC93B" w:rsidR="002A503C" w:rsidRPr="008329C4" w:rsidRDefault="002A503C" w:rsidP="008329C4">
      <w:pPr>
        <w:spacing w:line="240" w:lineRule="auto"/>
        <w:jc w:val="center"/>
        <w:rPr>
          <w:rFonts w:ascii="Times New Roman" w:hAnsi="Times New Roman" w:cs="Times New Roman"/>
          <w:bCs/>
          <w:sz w:val="24"/>
          <w:szCs w:val="24"/>
        </w:rPr>
      </w:pPr>
      <w:r w:rsidRPr="008329C4">
        <w:rPr>
          <w:rFonts w:ascii="Times New Roman" w:hAnsi="Times New Roman" w:cs="Times New Roman"/>
          <w:bCs/>
          <w:sz w:val="24"/>
          <w:szCs w:val="24"/>
        </w:rPr>
        <w:t>Table 4</w:t>
      </w:r>
      <w:r w:rsidR="00241DAE" w:rsidRPr="008329C4">
        <w:rPr>
          <w:rFonts w:ascii="Times New Roman" w:hAnsi="Times New Roman" w:cs="Times New Roman"/>
          <w:bCs/>
          <w:sz w:val="24"/>
          <w:szCs w:val="24"/>
        </w:rPr>
        <w:t xml:space="preserve">. </w:t>
      </w:r>
      <w:r w:rsidRPr="008329C4">
        <w:rPr>
          <w:rFonts w:ascii="Times New Roman" w:hAnsi="Times New Roman" w:cs="Times New Roman"/>
          <w:bCs/>
          <w:sz w:val="24"/>
          <w:szCs w:val="24"/>
        </w:rPr>
        <w:t>PUAS data for 2015 –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A503C" w:rsidRPr="00D160E9" w14:paraId="187CD0AB" w14:textId="77777777" w:rsidTr="008329C4">
        <w:trPr>
          <w:trHeight w:val="377"/>
        </w:trPr>
        <w:tc>
          <w:tcPr>
            <w:tcW w:w="4508" w:type="dxa"/>
            <w:tcBorders>
              <w:top w:val="single" w:sz="4" w:space="0" w:color="auto"/>
              <w:bottom w:val="single" w:sz="4" w:space="0" w:color="auto"/>
            </w:tcBorders>
          </w:tcPr>
          <w:p w14:paraId="16AAEA57"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Year</w:t>
            </w:r>
          </w:p>
        </w:tc>
        <w:tc>
          <w:tcPr>
            <w:tcW w:w="4508" w:type="dxa"/>
            <w:tcBorders>
              <w:top w:val="single" w:sz="4" w:space="0" w:color="auto"/>
              <w:bottom w:val="single" w:sz="4" w:space="0" w:color="auto"/>
            </w:tcBorders>
          </w:tcPr>
          <w:p w14:paraId="5856E42F" w14:textId="13C5146C" w:rsidR="002A503C" w:rsidRPr="00D160E9" w:rsidRDefault="008329C4" w:rsidP="008329C4">
            <w:pPr>
              <w:spacing w:line="276" w:lineRule="auto"/>
              <w:jc w:val="center"/>
              <w:rPr>
                <w:rFonts w:ascii="Times New Roman" w:hAnsi="Times New Roman" w:cs="Times New Roman"/>
                <w:sz w:val="24"/>
                <w:szCs w:val="24"/>
              </w:rPr>
            </w:pPr>
            <w:r>
              <w:rPr>
                <w:rFonts w:ascii="Times New Roman" w:hAnsi="Times New Roman" w:cs="Times New Roman"/>
                <w:sz w:val="24"/>
                <w:szCs w:val="24"/>
              </w:rPr>
              <w:t>SATISFIED</w:t>
            </w:r>
          </w:p>
        </w:tc>
      </w:tr>
      <w:tr w:rsidR="002A503C" w:rsidRPr="00D160E9" w14:paraId="73E39A5B" w14:textId="77777777" w:rsidTr="008329C4">
        <w:tc>
          <w:tcPr>
            <w:tcW w:w="4508" w:type="dxa"/>
            <w:tcBorders>
              <w:top w:val="single" w:sz="4" w:space="0" w:color="auto"/>
            </w:tcBorders>
          </w:tcPr>
          <w:p w14:paraId="59788533"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2015</w:t>
            </w:r>
          </w:p>
        </w:tc>
        <w:tc>
          <w:tcPr>
            <w:tcW w:w="4508" w:type="dxa"/>
            <w:tcBorders>
              <w:top w:val="single" w:sz="4" w:space="0" w:color="auto"/>
            </w:tcBorders>
          </w:tcPr>
          <w:p w14:paraId="7F9AE22B" w14:textId="2866FFF1"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6.730</w:t>
            </w:r>
          </w:p>
        </w:tc>
      </w:tr>
      <w:tr w:rsidR="002A503C" w:rsidRPr="00D160E9" w14:paraId="6FE2DFE4" w14:textId="77777777" w:rsidTr="008329C4">
        <w:tc>
          <w:tcPr>
            <w:tcW w:w="4508" w:type="dxa"/>
          </w:tcPr>
          <w:p w14:paraId="7DA5964E"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2016</w:t>
            </w:r>
          </w:p>
        </w:tc>
        <w:tc>
          <w:tcPr>
            <w:tcW w:w="4508" w:type="dxa"/>
          </w:tcPr>
          <w:p w14:paraId="54843B46" w14:textId="3A2286D3"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6.080</w:t>
            </w:r>
          </w:p>
        </w:tc>
      </w:tr>
      <w:tr w:rsidR="002A503C" w:rsidRPr="00D160E9" w14:paraId="3F53285F" w14:textId="77777777" w:rsidTr="008329C4">
        <w:tc>
          <w:tcPr>
            <w:tcW w:w="4508" w:type="dxa"/>
          </w:tcPr>
          <w:p w14:paraId="6DB42A82"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2017</w:t>
            </w:r>
          </w:p>
        </w:tc>
        <w:tc>
          <w:tcPr>
            <w:tcW w:w="4508" w:type="dxa"/>
          </w:tcPr>
          <w:p w14:paraId="33CFA0A8" w14:textId="538B06FF"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4.310</w:t>
            </w:r>
          </w:p>
        </w:tc>
      </w:tr>
      <w:tr w:rsidR="002A503C" w:rsidRPr="00D160E9" w14:paraId="48EE7A16" w14:textId="77777777" w:rsidTr="008329C4">
        <w:tc>
          <w:tcPr>
            <w:tcW w:w="4508" w:type="dxa"/>
          </w:tcPr>
          <w:p w14:paraId="74408818"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2018</w:t>
            </w:r>
          </w:p>
        </w:tc>
        <w:tc>
          <w:tcPr>
            <w:tcW w:w="4508" w:type="dxa"/>
          </w:tcPr>
          <w:p w14:paraId="6AB1FAC6" w14:textId="2EC1C641"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5.400</w:t>
            </w:r>
          </w:p>
        </w:tc>
      </w:tr>
      <w:tr w:rsidR="002A503C" w:rsidRPr="00D160E9" w14:paraId="714D5763" w14:textId="77777777" w:rsidTr="008329C4">
        <w:tc>
          <w:tcPr>
            <w:tcW w:w="4508" w:type="dxa"/>
          </w:tcPr>
          <w:p w14:paraId="7FCE7701"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2019</w:t>
            </w:r>
          </w:p>
        </w:tc>
        <w:tc>
          <w:tcPr>
            <w:tcW w:w="4508" w:type="dxa"/>
          </w:tcPr>
          <w:p w14:paraId="2EB8597A" w14:textId="00691A9E"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5.000</w:t>
            </w:r>
          </w:p>
        </w:tc>
      </w:tr>
      <w:tr w:rsidR="002A503C" w:rsidRPr="00D160E9" w14:paraId="3E34812B" w14:textId="77777777" w:rsidTr="008329C4">
        <w:tc>
          <w:tcPr>
            <w:tcW w:w="4508" w:type="dxa"/>
          </w:tcPr>
          <w:p w14:paraId="3F1E6867"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2020</w:t>
            </w:r>
          </w:p>
        </w:tc>
        <w:tc>
          <w:tcPr>
            <w:tcW w:w="4508" w:type="dxa"/>
          </w:tcPr>
          <w:p w14:paraId="0C97FF94" w14:textId="2B82B0E9"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4.800</w:t>
            </w:r>
          </w:p>
        </w:tc>
      </w:tr>
      <w:tr w:rsidR="002A503C" w:rsidRPr="00D160E9" w14:paraId="7465687F" w14:textId="77777777" w:rsidTr="008329C4">
        <w:tc>
          <w:tcPr>
            <w:tcW w:w="4508" w:type="dxa"/>
          </w:tcPr>
          <w:p w14:paraId="7F4C357E"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2021</w:t>
            </w:r>
          </w:p>
        </w:tc>
        <w:tc>
          <w:tcPr>
            <w:tcW w:w="4508" w:type="dxa"/>
          </w:tcPr>
          <w:p w14:paraId="29AD320A" w14:textId="4F476CDC"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4.600</w:t>
            </w:r>
          </w:p>
        </w:tc>
      </w:tr>
      <w:tr w:rsidR="002A503C" w:rsidRPr="00D160E9" w14:paraId="504F4BC8" w14:textId="77777777" w:rsidTr="008329C4">
        <w:tc>
          <w:tcPr>
            <w:tcW w:w="4508" w:type="dxa"/>
          </w:tcPr>
          <w:p w14:paraId="7166B92F"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2022</w:t>
            </w:r>
          </w:p>
        </w:tc>
        <w:tc>
          <w:tcPr>
            <w:tcW w:w="4508" w:type="dxa"/>
          </w:tcPr>
          <w:p w14:paraId="0CDB3364" w14:textId="548B0E7E"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4.900</w:t>
            </w:r>
          </w:p>
        </w:tc>
      </w:tr>
      <w:tr w:rsidR="002A503C" w:rsidRPr="00D160E9" w14:paraId="39CBF666" w14:textId="77777777" w:rsidTr="008329C4">
        <w:tc>
          <w:tcPr>
            <w:tcW w:w="4508" w:type="dxa"/>
          </w:tcPr>
          <w:p w14:paraId="0D1B2A4D"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2023</w:t>
            </w:r>
          </w:p>
        </w:tc>
        <w:tc>
          <w:tcPr>
            <w:tcW w:w="4508" w:type="dxa"/>
          </w:tcPr>
          <w:p w14:paraId="66327C00" w14:textId="67D16FF6"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4.700</w:t>
            </w:r>
          </w:p>
        </w:tc>
      </w:tr>
      <w:tr w:rsidR="002A503C" w:rsidRPr="00D160E9" w14:paraId="1FCEED9D" w14:textId="77777777" w:rsidTr="008329C4">
        <w:tc>
          <w:tcPr>
            <w:tcW w:w="4508" w:type="dxa"/>
          </w:tcPr>
          <w:p w14:paraId="60B87E32"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2024</w:t>
            </w:r>
          </w:p>
        </w:tc>
        <w:tc>
          <w:tcPr>
            <w:tcW w:w="4508" w:type="dxa"/>
          </w:tcPr>
          <w:p w14:paraId="20CE2785" w14:textId="282522F0"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4.500</w:t>
            </w:r>
          </w:p>
        </w:tc>
      </w:tr>
      <w:tr w:rsidR="002A503C" w:rsidRPr="00D160E9" w14:paraId="79180C60" w14:textId="77777777" w:rsidTr="008329C4">
        <w:tc>
          <w:tcPr>
            <w:tcW w:w="4508" w:type="dxa"/>
            <w:tcBorders>
              <w:bottom w:val="single" w:sz="4" w:space="0" w:color="auto"/>
            </w:tcBorders>
          </w:tcPr>
          <w:p w14:paraId="607E60C6" w14:textId="7777777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2025</w:t>
            </w:r>
          </w:p>
        </w:tc>
        <w:tc>
          <w:tcPr>
            <w:tcW w:w="4508" w:type="dxa"/>
            <w:tcBorders>
              <w:bottom w:val="single" w:sz="4" w:space="0" w:color="auto"/>
            </w:tcBorders>
          </w:tcPr>
          <w:p w14:paraId="6B53635E" w14:textId="1E1D2687" w:rsidR="002A503C" w:rsidRPr="00D160E9" w:rsidRDefault="002A503C" w:rsidP="007E1F90">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4.300</w:t>
            </w:r>
          </w:p>
        </w:tc>
      </w:tr>
    </w:tbl>
    <w:p w14:paraId="20D3184D" w14:textId="739CEA4F" w:rsidR="008B641A" w:rsidRPr="00D160E9" w:rsidRDefault="00E34157" w:rsidP="008329C4">
      <w:pPr>
        <w:spacing w:line="276" w:lineRule="auto"/>
        <w:jc w:val="center"/>
        <w:rPr>
          <w:rFonts w:ascii="Times New Roman" w:hAnsi="Times New Roman" w:cs="Times New Roman"/>
          <w:sz w:val="24"/>
          <w:szCs w:val="24"/>
        </w:rPr>
      </w:pPr>
      <w:r w:rsidRPr="00D160E9">
        <w:rPr>
          <w:rFonts w:ascii="Times New Roman" w:hAnsi="Times New Roman" w:cs="Times New Roman"/>
          <w:sz w:val="24"/>
          <w:szCs w:val="24"/>
        </w:rPr>
        <w:t>Source : OJK and Bank Indonesia, (2015-2025)</w:t>
      </w:r>
    </w:p>
    <w:p w14:paraId="263D95B8" w14:textId="13187C37" w:rsidR="00E34157" w:rsidRPr="00D160E9" w:rsidRDefault="00E34157" w:rsidP="0037763F">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Based on PUAS data presented from 2015 to 2025, it shows stagnation and decline in the long term. This shows that the Money Market between Sharia Banks has not been able to become an optimal instrument in liquidity management because it is influenced by several factors, one of which is the limited number of Sharia Banks in Indonesia.</w:t>
      </w:r>
    </w:p>
    <w:p w14:paraId="0ED0FC36" w14:textId="6832E761" w:rsidR="00E34157" w:rsidRPr="00D160E9" w:rsidRDefault="00E34157" w:rsidP="0037763F">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Research conducted by Rusydiana, (2019) revealed that Islamic banks also participate in monetary control through the placement of excess liquidity in various Islamic monetary instruments, including SBIS, FASBIS and PUAS and in this study plays an independent variable. Then, economic growth in acting as a dependent variable which is the final target of Islamic monetary operations.</w:t>
      </w:r>
    </w:p>
    <w:p w14:paraId="7F29895C" w14:textId="052E7C65" w:rsidR="00E34157" w:rsidRPr="00D160E9" w:rsidRDefault="00B735B4" w:rsidP="0037763F">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r>
      <w:r w:rsidR="00A83B39">
        <w:rPr>
          <w:rFonts w:ascii="Times New Roman" w:hAnsi="Times New Roman" w:cs="Times New Roman"/>
          <w:sz w:val="24"/>
          <w:szCs w:val="24"/>
        </w:rPr>
        <w:t>This study discusses the components contained in the sharia monetary operation which is carried out by Bank Indonesia as the Central Bank. The components of Islamic monetary operations, analyzed in this study include Bank Indonesia Syariah Certificate (SBIS), Bank Indonesia Syariah Deposit Facility (FASBIS) and Sharia Interbank Money Market (PUAS). The instrument will be tested, on the level of economic growth in Indonesia with the results of the analysis having an optimal effect or not. In this study, it discusses more complexity in terms of the variables used and a longer period, namely from 2015 to 2025, so that the results of the research tested and interpreted will be better.</w:t>
      </w:r>
    </w:p>
    <w:p w14:paraId="674DEA41" w14:textId="22456EB0" w:rsidR="00D26061" w:rsidRPr="00D160E9" w:rsidRDefault="00D26061" w:rsidP="0037763F">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 xml:space="preserve">Based on previous studies conducted by </w:t>
      </w:r>
      <w:r w:rsidR="000B549C" w:rsidRPr="00D160E9">
        <w:rPr>
          <w:rFonts w:ascii="Times New Roman" w:hAnsi="Times New Roman" w:cs="Times New Roman"/>
          <w:sz w:val="24"/>
        </w:rPr>
        <w:t>(Mutmainah et al., 2024)</w:t>
      </w:r>
      <w:r w:rsidRPr="00D160E9">
        <w:rPr>
          <w:rFonts w:ascii="Times New Roman" w:hAnsi="Times New Roman" w:cs="Times New Roman"/>
          <w:sz w:val="24"/>
          <w:szCs w:val="24"/>
        </w:rPr>
        <w:t xml:space="preserve">, </w:t>
      </w:r>
      <w:r w:rsidR="000B549C" w:rsidRPr="00D160E9">
        <w:rPr>
          <w:rFonts w:ascii="Times New Roman" w:hAnsi="Times New Roman" w:cs="Times New Roman"/>
          <w:sz w:val="24"/>
        </w:rPr>
        <w:t>(Rahmad Riho Zeen et al., 2022)</w:t>
      </w:r>
      <w:r w:rsidRPr="00D160E9">
        <w:rPr>
          <w:rFonts w:ascii="Times New Roman" w:hAnsi="Times New Roman" w:cs="Times New Roman"/>
          <w:sz w:val="24"/>
          <w:szCs w:val="24"/>
        </w:rPr>
        <w:t xml:space="preserve">, </w:t>
      </w:r>
      <w:r w:rsidR="000B549C" w:rsidRPr="00D160E9">
        <w:rPr>
          <w:rFonts w:ascii="Times New Roman" w:hAnsi="Times New Roman" w:cs="Times New Roman"/>
          <w:sz w:val="24"/>
        </w:rPr>
        <w:t>(Pane et al., 2024)</w:t>
      </w:r>
      <w:r w:rsidRPr="00D160E9">
        <w:rPr>
          <w:rFonts w:ascii="Times New Roman" w:hAnsi="Times New Roman" w:cs="Times New Roman"/>
          <w:sz w:val="24"/>
          <w:szCs w:val="24"/>
        </w:rPr>
        <w:t xml:space="preserve">, Megamawarni (2023), </w:t>
      </w:r>
      <w:r w:rsidR="000B549C" w:rsidRPr="00D160E9">
        <w:rPr>
          <w:rFonts w:ascii="Times New Roman" w:hAnsi="Times New Roman" w:cs="Times New Roman"/>
          <w:sz w:val="24"/>
        </w:rPr>
        <w:t>(Latuheru &amp; Ricardo Parera, 2024)</w:t>
      </w:r>
      <w:r w:rsidRPr="00D160E9">
        <w:rPr>
          <w:rFonts w:ascii="Times New Roman" w:hAnsi="Times New Roman" w:cs="Times New Roman"/>
          <w:sz w:val="24"/>
          <w:szCs w:val="24"/>
        </w:rPr>
        <w:t xml:space="preserve">, </w:t>
      </w:r>
      <w:r w:rsidR="000B549C" w:rsidRPr="00D160E9">
        <w:rPr>
          <w:rFonts w:ascii="Times New Roman" w:hAnsi="Times New Roman" w:cs="Times New Roman"/>
          <w:sz w:val="24"/>
        </w:rPr>
        <w:t>(Winarto &amp; Beik, 2024)</w:t>
      </w:r>
      <w:r w:rsidR="0017253B" w:rsidRPr="00D160E9">
        <w:rPr>
          <w:rFonts w:ascii="Times New Roman" w:hAnsi="Times New Roman" w:cs="Times New Roman"/>
          <w:sz w:val="24"/>
          <w:szCs w:val="24"/>
        </w:rPr>
        <w:t xml:space="preserve">, </w:t>
      </w:r>
      <w:r w:rsidR="000B549C" w:rsidRPr="00D160E9">
        <w:rPr>
          <w:rFonts w:ascii="Times New Roman" w:hAnsi="Times New Roman" w:cs="Times New Roman"/>
          <w:sz w:val="24"/>
        </w:rPr>
        <w:t>(Ahmad Wahyudi Zein et al., 2025)</w:t>
      </w:r>
      <w:r w:rsidR="0017253B" w:rsidRPr="00D160E9">
        <w:rPr>
          <w:rFonts w:ascii="Times New Roman" w:hAnsi="Times New Roman" w:cs="Times New Roman"/>
          <w:sz w:val="24"/>
          <w:szCs w:val="24"/>
        </w:rPr>
        <w:t xml:space="preserve">, </w:t>
      </w:r>
      <w:r w:rsidR="0017253B" w:rsidRPr="00D160E9">
        <w:rPr>
          <w:rFonts w:ascii="Times New Roman" w:hAnsi="Times New Roman" w:cs="Times New Roman"/>
          <w:sz w:val="24"/>
        </w:rPr>
        <w:t>Wahid et al. (2020)</w:t>
      </w:r>
      <w:r w:rsidR="0017253B" w:rsidRPr="00D160E9">
        <w:rPr>
          <w:rFonts w:ascii="Times New Roman" w:hAnsi="Times New Roman" w:cs="Times New Roman"/>
          <w:sz w:val="24"/>
          <w:szCs w:val="24"/>
        </w:rPr>
        <w:t xml:space="preserve">, </w:t>
      </w:r>
      <w:r w:rsidR="000B549C" w:rsidRPr="00D160E9">
        <w:rPr>
          <w:rFonts w:ascii="Times New Roman" w:hAnsi="Times New Roman" w:cs="Times New Roman"/>
          <w:sz w:val="24"/>
        </w:rPr>
        <w:t>(Juhro et al., 2025)</w:t>
      </w:r>
      <w:r w:rsidR="0017253B" w:rsidRPr="00D160E9">
        <w:rPr>
          <w:rFonts w:ascii="Times New Roman" w:hAnsi="Times New Roman" w:cs="Times New Roman"/>
          <w:sz w:val="24"/>
          <w:szCs w:val="24"/>
        </w:rPr>
        <w:t>, discussing almost the same research variables, namely sharia monetary operation instruments and economic growth. However, in the previous study, the influence of sharia monetary operations on economic growth was discussed without including a period to be studied or a different research period.</w:t>
      </w:r>
    </w:p>
    <w:p w14:paraId="2949F8FF" w14:textId="570151CD" w:rsidR="004F3FA0" w:rsidRPr="00D160E9" w:rsidRDefault="004F3FA0" w:rsidP="0037763F">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Therefore, based on the description that has been explained in the background section, the researcher will examine and analyze in depth the influence of Islamic monetary instruments, including Bank Indonesia Syariah Certificate (SBIS), Bank Indonesia Syariah Deposit Facility (FASBIS) and Sharia Interbank Money Market (PUAS) for economic growth measured using the Gross Domestic Product (GDP) indicator using a longer period and data range.  from 2015 to 2025. It is hoped that this research will make a meaningful contribution to the development of the sharia economy in Indonesia and contribute to improving the welfare of the community as a whole.</w:t>
      </w:r>
    </w:p>
    <w:p w14:paraId="1D4683E1" w14:textId="5ECF8D87" w:rsidR="004F3FA0" w:rsidRPr="00D160E9" w:rsidRDefault="004F3FA0" w:rsidP="0037763F">
      <w:pPr>
        <w:spacing w:line="276" w:lineRule="auto"/>
        <w:jc w:val="both"/>
        <w:rPr>
          <w:rFonts w:ascii="Times New Roman" w:hAnsi="Times New Roman" w:cs="Times New Roman"/>
          <w:b/>
          <w:bCs/>
          <w:sz w:val="24"/>
          <w:szCs w:val="24"/>
        </w:rPr>
      </w:pPr>
      <w:r w:rsidRPr="00D160E9">
        <w:rPr>
          <w:rFonts w:ascii="Times New Roman" w:hAnsi="Times New Roman" w:cs="Times New Roman"/>
          <w:b/>
          <w:bCs/>
          <w:sz w:val="24"/>
          <w:szCs w:val="24"/>
        </w:rPr>
        <w:t>LITERATURE REVIEW</w:t>
      </w:r>
    </w:p>
    <w:p w14:paraId="2C19BC0F" w14:textId="5E4C750F" w:rsidR="00CD772D" w:rsidRPr="00D160E9" w:rsidRDefault="00CD772D" w:rsidP="0037763F">
      <w:pPr>
        <w:spacing w:line="276" w:lineRule="auto"/>
        <w:jc w:val="both"/>
        <w:rPr>
          <w:rFonts w:ascii="Times New Roman" w:hAnsi="Times New Roman" w:cs="Times New Roman"/>
          <w:b/>
          <w:bCs/>
          <w:sz w:val="24"/>
          <w:szCs w:val="24"/>
        </w:rPr>
      </w:pPr>
      <w:r w:rsidRPr="00D160E9">
        <w:rPr>
          <w:rFonts w:ascii="Times New Roman" w:hAnsi="Times New Roman" w:cs="Times New Roman"/>
          <w:b/>
          <w:bCs/>
          <w:sz w:val="24"/>
          <w:szCs w:val="24"/>
        </w:rPr>
        <w:t>Monetary Policy</w:t>
      </w:r>
    </w:p>
    <w:p w14:paraId="5BEA6982" w14:textId="1662672C" w:rsidR="00A63186" w:rsidRPr="00D160E9" w:rsidRDefault="00CD772D" w:rsidP="0037763F">
      <w:pPr>
        <w:spacing w:line="276" w:lineRule="auto"/>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 xml:space="preserve">According to </w:t>
      </w:r>
      <w:r w:rsidR="000B549C" w:rsidRPr="00D160E9">
        <w:rPr>
          <w:rFonts w:ascii="Times New Roman" w:hAnsi="Times New Roman" w:cs="Times New Roman"/>
          <w:sz w:val="24"/>
        </w:rPr>
        <w:t>Rahmad Riho Zeen et al. (2022)</w:t>
      </w:r>
      <w:r w:rsidRPr="00D160E9">
        <w:rPr>
          <w:rFonts w:ascii="Times New Roman" w:hAnsi="Times New Roman" w:cs="Times New Roman"/>
          <w:sz w:val="24"/>
          <w:szCs w:val="24"/>
        </w:rPr>
        <w:t>, monetary policy is a concrete step taken by Bank Indonesia to support the economic and financial sectors that aim to maintain price stability and economic growth, including money turnover in the economy, money supply development, interest rates and exchange rates. In a practical sense, monetary policy is influenced by a variety of things. First, changes in the behavior of central banks, banks and economic actors, the time span needed to target inflation and changes in the flow of monetary transmission in line with the country's economic and financial development. The implementation of monetary policy carried out by Bank Indonesia, namely as a control of the amount of money circulating in the community by implementing various monetary instruments that are in line with the development of economic conditions.</w:t>
      </w:r>
    </w:p>
    <w:p w14:paraId="0276EAF5" w14:textId="5485CD1F" w:rsidR="003F0BE4" w:rsidRPr="00D160E9" w:rsidRDefault="003F0BE4" w:rsidP="0037763F">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r>
      <w:r w:rsidR="00E44821">
        <w:rPr>
          <w:rFonts w:ascii="Times New Roman" w:hAnsi="Times New Roman" w:cs="Times New Roman"/>
          <w:sz w:val="24"/>
          <w:szCs w:val="24"/>
        </w:rPr>
        <w:t xml:space="preserve">Based on research conducted by </w:t>
      </w:r>
      <w:r w:rsidR="00D0455B" w:rsidRPr="00D160E9">
        <w:rPr>
          <w:rFonts w:ascii="Times New Roman" w:hAnsi="Times New Roman" w:cs="Times New Roman"/>
          <w:sz w:val="24"/>
        </w:rPr>
        <w:t>Umam &amp; Astuti, (2025)</w:t>
      </w:r>
      <w:r w:rsidRPr="00D160E9">
        <w:rPr>
          <w:rFonts w:ascii="Times New Roman" w:hAnsi="Times New Roman" w:cs="Times New Roman"/>
          <w:sz w:val="24"/>
          <w:szCs w:val="24"/>
        </w:rPr>
        <w:t>, stated that the instruments used from monetary policy to achieve the target to be achieved, consist of the benchmark interest rate, open market operations (OMO) and Mandatory Drinking Current Accounts (GWM). These various instruments are used to control economic stability from current and future turmoil and challenges.</w:t>
      </w:r>
    </w:p>
    <w:p w14:paraId="29AD5E51" w14:textId="7EEB5F88" w:rsidR="00D0455B" w:rsidRPr="00D160E9" w:rsidRDefault="00D0455B" w:rsidP="0037763F">
      <w:pPr>
        <w:spacing w:line="276" w:lineRule="auto"/>
        <w:jc w:val="both"/>
        <w:rPr>
          <w:rFonts w:ascii="Times New Roman" w:hAnsi="Times New Roman" w:cs="Times New Roman"/>
          <w:b/>
          <w:bCs/>
          <w:sz w:val="24"/>
          <w:szCs w:val="24"/>
        </w:rPr>
      </w:pPr>
      <w:r w:rsidRPr="00D160E9">
        <w:rPr>
          <w:rFonts w:ascii="Times New Roman" w:hAnsi="Times New Roman" w:cs="Times New Roman"/>
          <w:b/>
          <w:bCs/>
          <w:sz w:val="24"/>
          <w:szCs w:val="24"/>
        </w:rPr>
        <w:t>Sharia Monetary Operations</w:t>
      </w:r>
    </w:p>
    <w:p w14:paraId="3C17F3F4" w14:textId="5CB41E77" w:rsidR="006B47C4" w:rsidRPr="00D160E9" w:rsidRDefault="006B47C4" w:rsidP="0037763F">
      <w:pPr>
        <w:spacing w:line="276" w:lineRule="auto"/>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Sharia Monetary Operations is a strategy implemented by Bank Indonesia in order to maintain economic stability by applying Islamic principles and values. The main instruments in sharia monetary operations, include: First, profit sharing (</w:t>
      </w:r>
      <w:r w:rsidRPr="00D160E9">
        <w:rPr>
          <w:rFonts w:ascii="Times New Roman" w:hAnsi="Times New Roman" w:cs="Times New Roman"/>
          <w:i/>
          <w:iCs/>
          <w:sz w:val="24"/>
          <w:szCs w:val="24"/>
        </w:rPr>
        <w:t>Profit Sharing Rate</w:t>
      </w:r>
      <w:r w:rsidRPr="00D160E9">
        <w:rPr>
          <w:rFonts w:ascii="Times New Roman" w:hAnsi="Times New Roman" w:cs="Times New Roman"/>
          <w:sz w:val="24"/>
          <w:szCs w:val="24"/>
        </w:rPr>
        <w:t>), the implementation of which is carried out by sharing profits between banks and their customers. Second, the Sharia Open Market (</w:t>
      </w:r>
      <w:r w:rsidRPr="007945AC">
        <w:rPr>
          <w:rFonts w:ascii="Times New Roman" w:hAnsi="Times New Roman" w:cs="Times New Roman"/>
          <w:i/>
          <w:iCs/>
          <w:sz w:val="24"/>
          <w:szCs w:val="24"/>
        </w:rPr>
        <w:t>Shariah-Compliant Open Market Operations</w:t>
      </w:r>
      <w:r w:rsidRPr="00D160E9">
        <w:rPr>
          <w:rFonts w:ascii="Times New Roman" w:hAnsi="Times New Roman" w:cs="Times New Roman"/>
          <w:sz w:val="24"/>
          <w:szCs w:val="24"/>
        </w:rPr>
        <w:t xml:space="preserve">), which aims to control market liquidity and stabilize inflation. Third, equity-based financing, which involves cooperation from </w:t>
      </w:r>
      <w:r w:rsidRPr="00D160E9">
        <w:rPr>
          <w:rFonts w:ascii="Times New Roman" w:hAnsi="Times New Roman" w:cs="Times New Roman"/>
          <w:i/>
          <w:iCs/>
          <w:sz w:val="24"/>
          <w:szCs w:val="24"/>
        </w:rPr>
        <w:t xml:space="preserve">Shahibul Maal </w:t>
      </w:r>
      <w:r w:rsidRPr="00D160E9">
        <w:rPr>
          <w:rFonts w:ascii="Times New Roman" w:hAnsi="Times New Roman" w:cs="Times New Roman"/>
          <w:sz w:val="24"/>
          <w:szCs w:val="24"/>
        </w:rPr>
        <w:t xml:space="preserve">and </w:t>
      </w:r>
      <w:r w:rsidRPr="00D160E9">
        <w:rPr>
          <w:rFonts w:ascii="Times New Roman" w:hAnsi="Times New Roman" w:cs="Times New Roman"/>
          <w:i/>
          <w:iCs/>
          <w:sz w:val="24"/>
          <w:szCs w:val="24"/>
        </w:rPr>
        <w:t xml:space="preserve">Düsseldorf </w:t>
      </w:r>
      <w:r w:rsidRPr="00D160E9">
        <w:rPr>
          <w:rFonts w:ascii="Times New Roman" w:hAnsi="Times New Roman" w:cs="Times New Roman"/>
          <w:sz w:val="24"/>
          <w:szCs w:val="24"/>
        </w:rPr>
        <w:t xml:space="preserve">in the form of </w:t>
      </w:r>
      <w:r w:rsidRPr="00D160E9">
        <w:rPr>
          <w:rFonts w:ascii="Times New Roman" w:hAnsi="Times New Roman" w:cs="Times New Roman"/>
          <w:i/>
          <w:iCs/>
          <w:sz w:val="24"/>
          <w:szCs w:val="24"/>
        </w:rPr>
        <w:t xml:space="preserve">Mudharabah </w:t>
      </w:r>
      <w:r w:rsidRPr="00D160E9">
        <w:rPr>
          <w:rFonts w:ascii="Times New Roman" w:hAnsi="Times New Roman" w:cs="Times New Roman"/>
          <w:sz w:val="24"/>
          <w:szCs w:val="24"/>
        </w:rPr>
        <w:t xml:space="preserve">or </w:t>
      </w:r>
      <w:r w:rsidRPr="00D160E9">
        <w:rPr>
          <w:rFonts w:ascii="Times New Roman" w:hAnsi="Times New Roman" w:cs="Times New Roman"/>
          <w:i/>
          <w:iCs/>
          <w:sz w:val="24"/>
          <w:szCs w:val="24"/>
        </w:rPr>
        <w:t xml:space="preserve">Meditation. </w:t>
      </w:r>
      <w:r w:rsidRPr="00D160E9">
        <w:rPr>
          <w:rFonts w:ascii="Times New Roman" w:hAnsi="Times New Roman" w:cs="Times New Roman"/>
          <w:sz w:val="24"/>
          <w:szCs w:val="24"/>
        </w:rPr>
        <w:t xml:space="preserve">Fourth, the Mandatory Reserve Instrument ( </w:t>
      </w:r>
      <w:r w:rsidRPr="00D160E9">
        <w:rPr>
          <w:rFonts w:ascii="Times New Roman" w:hAnsi="Times New Roman" w:cs="Times New Roman"/>
          <w:i/>
          <w:iCs/>
          <w:sz w:val="24"/>
          <w:szCs w:val="24"/>
        </w:rPr>
        <w:t>Statutory Reserve Requirement)</w:t>
      </w:r>
      <w:r w:rsidRPr="00D160E9">
        <w:rPr>
          <w:rFonts w:ascii="Times New Roman" w:hAnsi="Times New Roman" w:cs="Times New Roman"/>
          <w:sz w:val="24"/>
          <w:szCs w:val="24"/>
        </w:rPr>
        <w:t>, where Islamic banks must store part of customer funds in the form of cash or other liquid assets (Mutmainah, et al., 2024).</w:t>
      </w:r>
    </w:p>
    <w:p w14:paraId="21A42F82" w14:textId="53640FF2" w:rsidR="00E44821" w:rsidRDefault="00324BA9" w:rsidP="005D3021">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According to Chapra (2000), the right instrument of Islamic monetary policy must meet the following elements:</w:t>
      </w:r>
      <w:r w:rsidR="005D3021">
        <w:rPr>
          <w:rFonts w:ascii="Times New Roman" w:hAnsi="Times New Roman" w:cs="Times New Roman"/>
          <w:sz w:val="24"/>
          <w:szCs w:val="24"/>
        </w:rPr>
        <w:t xml:space="preserve"> (1) </w:t>
      </w:r>
      <w:r w:rsidRPr="00D160E9">
        <w:rPr>
          <w:rFonts w:ascii="Times New Roman" w:hAnsi="Times New Roman" w:cs="Times New Roman"/>
          <w:sz w:val="24"/>
          <w:szCs w:val="24"/>
        </w:rPr>
        <w:t>The Central Bank must set targets and maintain the money supply in accordance with national economic policies and Islamic economic principles</w:t>
      </w:r>
      <w:r w:rsidR="005D3021">
        <w:rPr>
          <w:rFonts w:ascii="Times New Roman" w:hAnsi="Times New Roman" w:cs="Times New Roman"/>
          <w:sz w:val="24"/>
          <w:szCs w:val="24"/>
        </w:rPr>
        <w:t xml:space="preserve">; (2) </w:t>
      </w:r>
      <w:r w:rsidRPr="00D160E9">
        <w:rPr>
          <w:rFonts w:ascii="Times New Roman" w:hAnsi="Times New Roman" w:cs="Times New Roman"/>
          <w:sz w:val="24"/>
          <w:szCs w:val="24"/>
        </w:rPr>
        <w:t>Public interest in performance-related deposits/currency deposits from commercial banks in a specified amount of at least 25%,</w:t>
      </w:r>
      <w:r w:rsidR="005D3021">
        <w:rPr>
          <w:rFonts w:ascii="Times New Roman" w:hAnsi="Times New Roman" w:cs="Times New Roman"/>
          <w:sz w:val="24"/>
          <w:szCs w:val="24"/>
        </w:rPr>
        <w:t xml:space="preserve"> for social program initiatives; (3) </w:t>
      </w:r>
      <w:r w:rsidRPr="00D160E9">
        <w:rPr>
          <w:rFonts w:ascii="Times New Roman" w:hAnsi="Times New Roman" w:cs="Times New Roman"/>
          <w:sz w:val="24"/>
          <w:szCs w:val="24"/>
        </w:rPr>
        <w:t xml:space="preserve">Commercial banks must have the necessary rhythm in the amount set in the central bank with the implementation of the Minimum </w:t>
      </w:r>
      <w:r w:rsidR="005D3021">
        <w:rPr>
          <w:rFonts w:ascii="Times New Roman" w:hAnsi="Times New Roman" w:cs="Times New Roman"/>
          <w:sz w:val="24"/>
          <w:szCs w:val="24"/>
        </w:rPr>
        <w:t xml:space="preserve">Mandatory Current Account (GWM); (4) </w:t>
      </w:r>
      <w:r w:rsidRPr="00D160E9">
        <w:rPr>
          <w:rFonts w:ascii="Times New Roman" w:hAnsi="Times New Roman" w:cs="Times New Roman"/>
          <w:sz w:val="24"/>
          <w:szCs w:val="24"/>
        </w:rPr>
        <w:t>Credit limit policies</w:t>
      </w:r>
      <w:r w:rsidRPr="007945AC">
        <w:rPr>
          <w:rFonts w:ascii="Times New Roman" w:hAnsi="Times New Roman" w:cs="Times New Roman"/>
          <w:i/>
          <w:iCs/>
          <w:sz w:val="24"/>
          <w:szCs w:val="24"/>
        </w:rPr>
        <w:t xml:space="preserve"> </w:t>
      </w:r>
      <w:r w:rsidRPr="00D160E9">
        <w:rPr>
          <w:rFonts w:ascii="Times New Roman" w:hAnsi="Times New Roman" w:cs="Times New Roman"/>
          <w:sz w:val="24"/>
          <w:szCs w:val="24"/>
        </w:rPr>
        <w:t>carried out by commercial banks aim to ensure that credit decisions have been made in accordance with profit objectives and encourage competitive competition between commercial banks</w:t>
      </w:r>
      <w:r w:rsidR="005D3021">
        <w:rPr>
          <w:rFonts w:ascii="Times New Roman" w:hAnsi="Times New Roman" w:cs="Times New Roman"/>
          <w:sz w:val="24"/>
          <w:szCs w:val="24"/>
        </w:rPr>
        <w:t xml:space="preserve">; (5) </w:t>
      </w:r>
      <w:r w:rsidRPr="00D160E9">
        <w:rPr>
          <w:rFonts w:ascii="Times New Roman" w:hAnsi="Times New Roman" w:cs="Times New Roman"/>
          <w:sz w:val="24"/>
          <w:szCs w:val="24"/>
        </w:rPr>
        <w:t>Value-based credit allocation with the aim of improving public safety. Access to credit helps optimize the production factor and the distribution of goods and services needed by the community.</w:t>
      </w:r>
    </w:p>
    <w:p w14:paraId="4D5592A9" w14:textId="4F401845" w:rsidR="00324BA9" w:rsidRPr="00D160E9" w:rsidRDefault="00324BA9" w:rsidP="00324BA9">
      <w:pPr>
        <w:spacing w:line="276" w:lineRule="auto"/>
        <w:jc w:val="both"/>
        <w:rPr>
          <w:rFonts w:ascii="Times New Roman" w:hAnsi="Times New Roman" w:cs="Times New Roman"/>
          <w:b/>
          <w:bCs/>
          <w:sz w:val="24"/>
          <w:szCs w:val="24"/>
        </w:rPr>
      </w:pPr>
      <w:r w:rsidRPr="00D160E9">
        <w:rPr>
          <w:rFonts w:ascii="Times New Roman" w:hAnsi="Times New Roman" w:cs="Times New Roman"/>
          <w:b/>
          <w:bCs/>
          <w:sz w:val="24"/>
          <w:szCs w:val="24"/>
        </w:rPr>
        <w:t>Sharia Open Market Operations</w:t>
      </w:r>
    </w:p>
    <w:p w14:paraId="50361247" w14:textId="341A126E" w:rsidR="00852688" w:rsidRPr="00D160E9" w:rsidRDefault="009C542A" w:rsidP="009C542A">
      <w:pPr>
        <w:spacing w:line="276" w:lineRule="auto"/>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According to Hussain et al. (2015), Sharia Open Market Operations (OPT) is an Islamic monetary policy instrument that must be in accordance with Islamic sharia principles and principles. In practice, OPTS does not impose interest rates as an incentive, but uses profit sharing (</w:t>
      </w:r>
      <w:r w:rsidRPr="00D160E9">
        <w:rPr>
          <w:rFonts w:ascii="Times New Roman" w:hAnsi="Times New Roman" w:cs="Times New Roman"/>
          <w:i/>
          <w:iCs/>
          <w:sz w:val="24"/>
          <w:szCs w:val="24"/>
        </w:rPr>
        <w:t>Profit loss sharing</w:t>
      </w:r>
      <w:r w:rsidRPr="00D160E9">
        <w:rPr>
          <w:rFonts w:ascii="Times New Roman" w:hAnsi="Times New Roman" w:cs="Times New Roman"/>
          <w:sz w:val="24"/>
          <w:szCs w:val="24"/>
        </w:rPr>
        <w:t>), where the Central Bank can issue variations in the profit-sharing ratio for the mudharabah activities of commercial banks and depositors, providing flexibility in the allocation of profits, the absence of collateral and in OPTS can transact between conventional banks and Sharia banks. Sharia Open Market operations aim to increase, maintain, or decrease the money supply to maintain economic stability, support sustainable economic growth, and control the rate of inflation (Ahdi &amp; Hidayah, 2024).</w:t>
      </w:r>
    </w:p>
    <w:p w14:paraId="74AD9712" w14:textId="1EE14333" w:rsidR="00852688" w:rsidRPr="00D160E9" w:rsidRDefault="00852688" w:rsidP="009C542A">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Sharia Open Market operations are carried out in various ways, including the issuance of Bank Indonesia Syariah Certificates (SBIS) and the buying and selling of securities in rupiah which can be done by purchasing separately (</w:t>
      </w:r>
      <w:r w:rsidR="00361CD6" w:rsidRPr="00D160E9">
        <w:rPr>
          <w:rFonts w:ascii="Times New Roman" w:hAnsi="Times New Roman" w:cs="Times New Roman"/>
          <w:i/>
          <w:iCs/>
          <w:sz w:val="24"/>
          <w:szCs w:val="24"/>
        </w:rPr>
        <w:t>outright buying</w:t>
      </w:r>
      <w:r w:rsidR="00361CD6" w:rsidRPr="00D160E9">
        <w:rPr>
          <w:rFonts w:ascii="Times New Roman" w:hAnsi="Times New Roman" w:cs="Times New Roman"/>
          <w:sz w:val="24"/>
          <w:szCs w:val="24"/>
        </w:rPr>
        <w:t>), freelancing sales (</w:t>
      </w:r>
      <w:r w:rsidR="00361CD6" w:rsidRPr="00D160E9">
        <w:rPr>
          <w:rFonts w:ascii="Times New Roman" w:hAnsi="Times New Roman" w:cs="Times New Roman"/>
          <w:i/>
          <w:iCs/>
          <w:sz w:val="24"/>
          <w:szCs w:val="24"/>
        </w:rPr>
        <w:t>outright selling</w:t>
      </w:r>
      <w:r w:rsidR="00361CD6" w:rsidRPr="00D160E9">
        <w:rPr>
          <w:rFonts w:ascii="Times New Roman" w:hAnsi="Times New Roman" w:cs="Times New Roman"/>
          <w:sz w:val="24"/>
          <w:szCs w:val="24"/>
        </w:rPr>
        <w:t>), conditional sale (</w:t>
      </w:r>
      <w:r w:rsidR="00361CD6" w:rsidRPr="00D160E9">
        <w:rPr>
          <w:rFonts w:ascii="Times New Roman" w:hAnsi="Times New Roman" w:cs="Times New Roman"/>
          <w:i/>
          <w:iCs/>
          <w:sz w:val="24"/>
          <w:szCs w:val="24"/>
        </w:rPr>
        <w:t>Repurchase Agreement</w:t>
      </w:r>
      <w:r w:rsidR="00361CD6" w:rsidRPr="00D160E9">
        <w:rPr>
          <w:rFonts w:ascii="Times New Roman" w:hAnsi="Times New Roman" w:cs="Times New Roman"/>
          <w:sz w:val="24"/>
          <w:szCs w:val="24"/>
        </w:rPr>
        <w:t>), conditional purchase (</w:t>
      </w:r>
      <w:r w:rsidR="00361CD6" w:rsidRPr="00D160E9">
        <w:rPr>
          <w:rFonts w:ascii="Times New Roman" w:hAnsi="Times New Roman" w:cs="Times New Roman"/>
          <w:i/>
          <w:iCs/>
          <w:sz w:val="24"/>
          <w:szCs w:val="24"/>
        </w:rPr>
        <w:t>Reserve Repo</w:t>
      </w:r>
      <w:r w:rsidR="00361CD6" w:rsidRPr="00D160E9">
        <w:rPr>
          <w:rFonts w:ascii="Times New Roman" w:hAnsi="Times New Roman" w:cs="Times New Roman"/>
          <w:sz w:val="24"/>
          <w:szCs w:val="24"/>
        </w:rPr>
        <w:t xml:space="preserve">) and liquidity absorption without the need for the issuance of debt instruments </w:t>
      </w:r>
      <w:r w:rsidR="009A2ACE" w:rsidRPr="00D160E9">
        <w:rPr>
          <w:rFonts w:ascii="Times New Roman" w:hAnsi="Times New Roman" w:cs="Times New Roman"/>
          <w:sz w:val="24"/>
        </w:rPr>
        <w:t>(Yuliani &amp; Mawi, 2017)</w:t>
      </w:r>
    </w:p>
    <w:p w14:paraId="1120E858" w14:textId="7B4F1C0B" w:rsidR="00361CD6" w:rsidRPr="00D160E9" w:rsidRDefault="00361CD6" w:rsidP="009C542A">
      <w:pPr>
        <w:spacing w:line="276" w:lineRule="auto"/>
        <w:jc w:val="both"/>
        <w:rPr>
          <w:rFonts w:ascii="Times New Roman" w:hAnsi="Times New Roman" w:cs="Times New Roman"/>
          <w:b/>
          <w:bCs/>
          <w:sz w:val="24"/>
          <w:szCs w:val="24"/>
        </w:rPr>
      </w:pPr>
      <w:r w:rsidRPr="00D160E9">
        <w:rPr>
          <w:rFonts w:ascii="Times New Roman" w:hAnsi="Times New Roman" w:cs="Times New Roman"/>
          <w:b/>
          <w:bCs/>
          <w:sz w:val="24"/>
          <w:szCs w:val="24"/>
        </w:rPr>
        <w:t>Bank Indonesia Syariah (SBIS) Certificate</w:t>
      </w:r>
    </w:p>
    <w:p w14:paraId="450E7F8D" w14:textId="0CBB287A" w:rsidR="004E4501" w:rsidRDefault="000B549C" w:rsidP="00080158">
      <w:pPr>
        <w:spacing w:line="276" w:lineRule="auto"/>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 xml:space="preserve">According to </w:t>
      </w:r>
      <w:r w:rsidR="009A2ACE" w:rsidRPr="00D160E9">
        <w:rPr>
          <w:rFonts w:ascii="Times New Roman" w:hAnsi="Times New Roman" w:cs="Times New Roman"/>
          <w:sz w:val="24"/>
        </w:rPr>
        <w:t xml:space="preserve">Hikmah et al. (2025) </w:t>
      </w:r>
      <w:r w:rsidR="00080158" w:rsidRPr="00D160E9">
        <w:rPr>
          <w:rFonts w:ascii="Times New Roman" w:hAnsi="Times New Roman" w:cs="Times New Roman"/>
          <w:sz w:val="24"/>
          <w:szCs w:val="24"/>
        </w:rPr>
        <w:t>The Bank Indonesia Syariah Certificate (SBIS) is an instrument of sharia monetary operations by managing the level of liquidity in the Islamic financial system, so that it will directly affect investments that must be adjusted to sharia principles and expressed in rupiah currency.</w:t>
      </w:r>
    </w:p>
    <w:p w14:paraId="28D70C61" w14:textId="44453834" w:rsidR="00080158" w:rsidRPr="00D160E9" w:rsidRDefault="004E4501" w:rsidP="00080158">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Banking Regulation No. 10/11/PBI/2008 which regulates the Bank Indonesia Syariah Certificate (SBIS), the placement of excess funds in SBIS will affect the intermediation function in banks. The issuance of SBIS is carried out through an auction that includes two parties, between Sharia Commercial Banks (BUS) and Sharia Business Units (UUS), as explained in Bank Indonesia regulation article 7 paragraph (1). There are requirements for those who will participate in the Auction, namely the Financing to Deposit Ratio (FDR) requirement which must meet the criteria of more than 80% and no termination sanctions, both for BUS and UUS in the Auction process.  </w:t>
      </w:r>
      <w:r w:rsidR="009A2ACE" w:rsidRPr="00D160E9">
        <w:rPr>
          <w:rFonts w:ascii="Times New Roman" w:hAnsi="Times New Roman" w:cs="Times New Roman"/>
          <w:sz w:val="24"/>
        </w:rPr>
        <w:t>(Devi &amp; Cahyono, 2020)</w:t>
      </w:r>
      <w:r w:rsidR="00080158" w:rsidRPr="00D160E9">
        <w:rPr>
          <w:rFonts w:ascii="Times New Roman" w:hAnsi="Times New Roman" w:cs="Times New Roman"/>
          <w:sz w:val="24"/>
          <w:szCs w:val="24"/>
        </w:rPr>
        <w:t>.</w:t>
      </w:r>
    </w:p>
    <w:p w14:paraId="6D569FE2" w14:textId="1CEE56FA" w:rsidR="00080158" w:rsidRPr="00D160E9" w:rsidRDefault="00080158" w:rsidP="00080158">
      <w:pPr>
        <w:spacing w:line="276" w:lineRule="auto"/>
        <w:jc w:val="both"/>
        <w:rPr>
          <w:rFonts w:ascii="Times New Roman" w:hAnsi="Times New Roman" w:cs="Times New Roman"/>
          <w:b/>
          <w:bCs/>
          <w:sz w:val="24"/>
          <w:szCs w:val="24"/>
        </w:rPr>
      </w:pPr>
      <w:r w:rsidRPr="00D160E9">
        <w:rPr>
          <w:rFonts w:ascii="Times New Roman" w:hAnsi="Times New Roman" w:cs="Times New Roman"/>
          <w:b/>
          <w:bCs/>
          <w:sz w:val="24"/>
          <w:szCs w:val="24"/>
        </w:rPr>
        <w:t>Bank Indonesia Syariah Deposit Facility (FASBIS)</w:t>
      </w:r>
    </w:p>
    <w:p w14:paraId="79080617" w14:textId="551C1917" w:rsidR="00FD5F65" w:rsidRPr="00D160E9" w:rsidRDefault="00FD5F65" w:rsidP="00080158">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r>
      <w:r w:rsidR="00B0119F">
        <w:rPr>
          <w:rFonts w:ascii="Times New Roman" w:hAnsi="Times New Roman" w:cs="Times New Roman"/>
          <w:sz w:val="24"/>
          <w:szCs w:val="24"/>
        </w:rPr>
        <w:t xml:space="preserve">The Bank Indonesia Deposit Facility (FASBIS) is one of the instruments of sharia monetary operations which is part of the sharia fixed facility with the purpose of placing short-term funds and excess banking liquidity, both from Sharia Commercial Banks (BUS) and Sharia Business Units (UUS) and expressed in rupiah. If Bank Indonesia increases the FASBIS yield, it can affect the decline in economic growth because deposit facilities increase so that it can directly reduce the liquidity of Islamic banking or vice versa  </w:t>
      </w:r>
      <w:r w:rsidR="009A2ACE" w:rsidRPr="00D160E9">
        <w:rPr>
          <w:rFonts w:ascii="Times New Roman" w:hAnsi="Times New Roman" w:cs="Times New Roman"/>
          <w:sz w:val="24"/>
        </w:rPr>
        <w:t>(Winarto &amp; Beik, 2024)</w:t>
      </w:r>
      <w:r w:rsidRPr="00D160E9">
        <w:rPr>
          <w:rFonts w:ascii="Times New Roman" w:hAnsi="Times New Roman" w:cs="Times New Roman"/>
          <w:sz w:val="24"/>
          <w:szCs w:val="24"/>
        </w:rPr>
        <w:t>.</w:t>
      </w:r>
    </w:p>
    <w:p w14:paraId="1E6DBED3" w14:textId="7DFB41E4" w:rsidR="00FD5F65" w:rsidRPr="00D160E9" w:rsidRDefault="00FD5F65" w:rsidP="00080158">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r>
      <w:r w:rsidR="00B0119F">
        <w:rPr>
          <w:rFonts w:ascii="Times New Roman" w:hAnsi="Times New Roman" w:cs="Times New Roman"/>
          <w:sz w:val="24"/>
          <w:szCs w:val="24"/>
        </w:rPr>
        <w:t xml:space="preserve">Based on research conducted by </w:t>
      </w:r>
      <w:r w:rsidR="009A2ACE" w:rsidRPr="00D160E9">
        <w:rPr>
          <w:rFonts w:ascii="Times New Roman" w:hAnsi="Times New Roman" w:cs="Times New Roman"/>
          <w:sz w:val="24"/>
        </w:rPr>
        <w:t xml:space="preserve">Marpaung et al. (2024) </w:t>
      </w:r>
      <w:r w:rsidR="00B0119F">
        <w:rPr>
          <w:rFonts w:ascii="Times New Roman" w:hAnsi="Times New Roman" w:cs="Times New Roman"/>
          <w:sz w:val="24"/>
          <w:szCs w:val="24"/>
        </w:rPr>
        <w:t>which states that the placement of funds in Bank Indonesia is categorized as part of the sharia fixed facility. This is strengthened by the regulation issued by Bank Indonesia Number 16/12/PBI/2014 concerning Sharia Monetary Operations, Bank Indonesia Sharia Deposit Facility (FASBIS) in Rupiah.</w:t>
      </w:r>
    </w:p>
    <w:p w14:paraId="2082B12C" w14:textId="1DC97873" w:rsidR="00C91C49" w:rsidRPr="00D160E9" w:rsidRDefault="00C91C49" w:rsidP="00080158">
      <w:pPr>
        <w:spacing w:line="276" w:lineRule="auto"/>
        <w:jc w:val="both"/>
        <w:rPr>
          <w:rFonts w:ascii="Times New Roman" w:hAnsi="Times New Roman" w:cs="Times New Roman"/>
          <w:b/>
          <w:bCs/>
          <w:sz w:val="24"/>
          <w:szCs w:val="24"/>
        </w:rPr>
      </w:pPr>
      <w:r w:rsidRPr="00D160E9">
        <w:rPr>
          <w:rFonts w:ascii="Times New Roman" w:hAnsi="Times New Roman" w:cs="Times New Roman"/>
          <w:b/>
          <w:bCs/>
          <w:sz w:val="24"/>
          <w:szCs w:val="24"/>
        </w:rPr>
        <w:t>Sharia Interbank Money Market (PUAS)</w:t>
      </w:r>
    </w:p>
    <w:p w14:paraId="691F71E2" w14:textId="0B0573DE" w:rsidR="00EE434B" w:rsidRPr="00D160E9" w:rsidRDefault="00C91C49" w:rsidP="00080158">
      <w:pPr>
        <w:spacing w:line="276" w:lineRule="auto"/>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 xml:space="preserve">According to </w:t>
      </w:r>
      <w:r w:rsidRPr="00D160E9">
        <w:rPr>
          <w:rFonts w:ascii="Times New Roman" w:hAnsi="Times New Roman" w:cs="Times New Roman"/>
          <w:sz w:val="24"/>
        </w:rPr>
        <w:t>Juhro et al. (2025)</w:t>
      </w:r>
      <w:r w:rsidRPr="00D160E9">
        <w:rPr>
          <w:rFonts w:ascii="Times New Roman" w:hAnsi="Times New Roman" w:cs="Times New Roman"/>
          <w:sz w:val="24"/>
          <w:szCs w:val="24"/>
        </w:rPr>
        <w:t xml:space="preserve"> The Sharia Interbank Money Market is part of the Islamic monetary operation instrument with the aim of fulfilling liquidity obligations through Islamic interbank transaction facilities in the short term. The Sharia Interbank Money Market (PUAS) contributes to the facilitation of interbank financial transactions that will occur in the short term by prioritizing sharia principles and values to manage liquidity to be maintained in the banking system, where this instrument is available in rupiah and foreign currencies.</w:t>
      </w:r>
    </w:p>
    <w:p w14:paraId="280717C7" w14:textId="639E761E" w:rsidR="00EE434B" w:rsidRPr="00D160E9" w:rsidRDefault="00EE434B" w:rsidP="00080158">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 xml:space="preserve">Bank Indonesia Regulation 22/9/PBI/2020 stipulates that the Sharia Interbank Money Market (PUAS) is based on certain instruments, namely SIMA (Mudarabah Interbank Investment Certificate), SiKA (Commodity Murabahah Investment Certificate) and SiPA (Certificate of Investment). </w:t>
      </w:r>
      <w:r w:rsidRPr="00B564B1">
        <w:rPr>
          <w:rFonts w:ascii="Times New Roman" w:hAnsi="Times New Roman" w:cs="Times New Roman"/>
          <w:i/>
          <w:iCs/>
          <w:sz w:val="24"/>
          <w:szCs w:val="24"/>
        </w:rPr>
        <w:t xml:space="preserve">Wakalah bil Istismar </w:t>
      </w:r>
      <w:r w:rsidRPr="00D160E9">
        <w:rPr>
          <w:rFonts w:ascii="Times New Roman" w:hAnsi="Times New Roman" w:cs="Times New Roman"/>
          <w:sz w:val="24"/>
          <w:szCs w:val="24"/>
        </w:rPr>
        <w:t xml:space="preserve">or Investment Institution Certificate). With the ongoing development of instruments in the Islamic interbank money market (PUAS) in Indonesia, the fatwa of the National Sharia Council of the National Ulema Council (DSN-MUI) states that conventional banks can become participants, as investment banks, </w:t>
      </w:r>
    </w:p>
    <w:p w14:paraId="15F6149D" w14:textId="1A96E294" w:rsidR="00EE434B" w:rsidRPr="00B564B1" w:rsidRDefault="00EE434B" w:rsidP="005D3021">
      <w:pPr>
        <w:spacing w:line="276" w:lineRule="auto"/>
        <w:jc w:val="both"/>
        <w:rPr>
          <w:rFonts w:ascii="Times New Roman" w:hAnsi="Times New Roman" w:cs="Times New Roman"/>
          <w:sz w:val="24"/>
          <w:szCs w:val="24"/>
        </w:rPr>
      </w:pPr>
      <w:r w:rsidRPr="00D160E9">
        <w:rPr>
          <w:rFonts w:ascii="Times New Roman" w:hAnsi="Times New Roman" w:cs="Times New Roman"/>
          <w:sz w:val="24"/>
          <w:szCs w:val="24"/>
        </w:rPr>
        <w:tab/>
        <w:t xml:space="preserve">The excess liquidity of conventional banks invested in PUAS can be classified in detail as follows: </w:t>
      </w:r>
      <w:r w:rsidR="005D3021">
        <w:rPr>
          <w:rFonts w:ascii="Times New Roman" w:hAnsi="Times New Roman" w:cs="Times New Roman"/>
          <w:sz w:val="24"/>
          <w:szCs w:val="24"/>
        </w:rPr>
        <w:t xml:space="preserve">(1) </w:t>
      </w:r>
      <w:r w:rsidRPr="00D160E9">
        <w:rPr>
          <w:rFonts w:ascii="Times New Roman" w:hAnsi="Times New Roman" w:cs="Times New Roman"/>
          <w:sz w:val="24"/>
          <w:szCs w:val="24"/>
        </w:rPr>
        <w:t>Dominance of service income that has no interest: there is no problem with fiqh, based on the method</w:t>
      </w:r>
      <w:r w:rsidR="005D3021">
        <w:rPr>
          <w:rFonts w:ascii="Times New Roman" w:hAnsi="Times New Roman" w:cs="Times New Roman"/>
          <w:sz w:val="24"/>
          <w:szCs w:val="24"/>
        </w:rPr>
        <w:t xml:space="preserve"> of domination of wealth mixing; (2) </w:t>
      </w:r>
      <w:r w:rsidRPr="00D160E9">
        <w:rPr>
          <w:rFonts w:ascii="Times New Roman" w:hAnsi="Times New Roman" w:cs="Times New Roman"/>
          <w:sz w:val="24"/>
          <w:szCs w:val="24"/>
        </w:rPr>
        <w:t xml:space="preserve">The dominance of services that have interest with collateral in the form of unused deposits: there is no problem with fiqh, based on that idle deposits are considered a principal and can be obtained verses of the Quran </w:t>
      </w:r>
      <w:r w:rsidR="009A2ACE" w:rsidRPr="00B564B1">
        <w:rPr>
          <w:rFonts w:ascii="Times New Roman" w:hAnsi="Times New Roman" w:cs="Times New Roman"/>
          <w:sz w:val="24"/>
        </w:rPr>
        <w:t>(Abdurrubi &amp; Sulthon Aziz, 2023).</w:t>
      </w:r>
    </w:p>
    <w:p w14:paraId="77F819E3" w14:textId="6594A60A" w:rsidR="00EE434B" w:rsidRPr="00D160E9" w:rsidRDefault="00EE434B" w:rsidP="00EE434B">
      <w:pPr>
        <w:pStyle w:val="ListParagraph"/>
        <w:spacing w:line="276" w:lineRule="auto"/>
        <w:jc w:val="both"/>
        <w:rPr>
          <w:rFonts w:ascii="Times New Roman" w:hAnsi="Times New Roman" w:cs="Times New Roman"/>
          <w:sz w:val="24"/>
          <w:szCs w:val="24"/>
        </w:rPr>
      </w:pPr>
    </w:p>
    <w:p w14:paraId="368199D7" w14:textId="108A3918" w:rsidR="00EE434B" w:rsidRPr="00D160E9" w:rsidRDefault="00EE434B" w:rsidP="00EE434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Economic Growth</w:t>
      </w:r>
    </w:p>
    <w:p w14:paraId="5184150C" w14:textId="7EBC46C3" w:rsidR="00AE6B86" w:rsidRPr="00D160E9" w:rsidRDefault="00AE6B86" w:rsidP="00EE434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Economic growth is one of the benchmarks to measure economic success in a country. Economic growth can be said to be successful if there is an increase in GDP or GNP which can be reviewed from constant prices, changes in economic structure and improvements in the institutional system. In addition, economic growth is not only seen from the Gross Domestic Product (GDP) figures, but also from its impact on the welfare of the community</w:t>
      </w:r>
      <w:r w:rsidR="00241DAE">
        <w:rPr>
          <w:rFonts w:ascii="Times New Roman" w:hAnsi="Times New Roman" w:cs="Times New Roman"/>
          <w:sz w:val="24"/>
          <w:szCs w:val="24"/>
        </w:rPr>
        <w:t xml:space="preserve"> and environmental sympathizers</w:t>
      </w:r>
      <w:r w:rsidRPr="00D160E9">
        <w:rPr>
          <w:rFonts w:ascii="Times New Roman" w:hAnsi="Times New Roman" w:cs="Times New Roman"/>
          <w:sz w:val="24"/>
          <w:szCs w:val="24"/>
        </w:rPr>
        <w:t xml:space="preserve"> </w:t>
      </w:r>
      <w:r w:rsidR="009A2ACE" w:rsidRPr="00D160E9">
        <w:rPr>
          <w:rFonts w:ascii="Times New Roman" w:hAnsi="Times New Roman" w:cs="Times New Roman"/>
          <w:sz w:val="24"/>
        </w:rPr>
        <w:t>(Rangkuty et al., 2023)</w:t>
      </w:r>
    </w:p>
    <w:p w14:paraId="27E50187" w14:textId="3B987E57" w:rsidR="00AE6B86" w:rsidRPr="008329C4" w:rsidRDefault="00AE6B86" w:rsidP="008329C4">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Economic growth that has been put forward by several exper</w:t>
      </w:r>
      <w:r w:rsidR="008329C4">
        <w:rPr>
          <w:rFonts w:ascii="Times New Roman" w:hAnsi="Times New Roman" w:cs="Times New Roman"/>
          <w:sz w:val="24"/>
          <w:szCs w:val="24"/>
        </w:rPr>
        <w:t xml:space="preserve">ts, including: (Sukirno, 2016): (1) </w:t>
      </w:r>
      <w:r w:rsidRPr="00D160E9">
        <w:rPr>
          <w:rFonts w:ascii="Times New Roman" w:hAnsi="Times New Roman" w:cs="Times New Roman"/>
          <w:sz w:val="24"/>
          <w:szCs w:val="24"/>
        </w:rPr>
        <w:t>C</w:t>
      </w:r>
      <w:r w:rsidR="008329C4">
        <w:rPr>
          <w:rFonts w:ascii="Times New Roman" w:hAnsi="Times New Roman" w:cs="Times New Roman"/>
          <w:sz w:val="24"/>
          <w:szCs w:val="24"/>
        </w:rPr>
        <w:t xml:space="preserve">lassical Economic Growth Theory. </w:t>
      </w:r>
      <w:r w:rsidRPr="008329C4">
        <w:rPr>
          <w:rFonts w:ascii="Times New Roman" w:hAnsi="Times New Roman" w:cs="Times New Roman"/>
          <w:sz w:val="24"/>
          <w:szCs w:val="24"/>
        </w:rPr>
        <w:t>According to Adam Smith's view, population growth will have an impact on economic development and development.  The increase can be used as an indicator to expand market share as well as diversificati</w:t>
      </w:r>
      <w:r w:rsidR="008329C4">
        <w:rPr>
          <w:rFonts w:ascii="Times New Roman" w:hAnsi="Times New Roman" w:cs="Times New Roman"/>
          <w:sz w:val="24"/>
          <w:szCs w:val="24"/>
        </w:rPr>
        <w:t xml:space="preserve">on or special division of roles; (2) Neo-Classical. </w:t>
      </w:r>
      <w:r w:rsidRPr="008329C4">
        <w:rPr>
          <w:rFonts w:ascii="Times New Roman" w:hAnsi="Times New Roman" w:cs="Times New Roman"/>
          <w:sz w:val="24"/>
          <w:szCs w:val="24"/>
        </w:rPr>
        <w:t>According to this theory, economic growth depends on the addition of factors of production which include population, labor and capital accumulation as well as external factors, n</w:t>
      </w:r>
      <w:r w:rsidR="008329C4">
        <w:rPr>
          <w:rFonts w:ascii="Times New Roman" w:hAnsi="Times New Roman" w:cs="Times New Roman"/>
          <w:sz w:val="24"/>
          <w:szCs w:val="24"/>
        </w:rPr>
        <w:t xml:space="preserve">amely technological advancement; (3) </w:t>
      </w:r>
      <w:r w:rsidRPr="00D160E9">
        <w:rPr>
          <w:rFonts w:ascii="Times New Roman" w:hAnsi="Times New Roman" w:cs="Times New Roman"/>
          <w:sz w:val="24"/>
          <w:szCs w:val="24"/>
        </w:rPr>
        <w:t>Rostow's Modern Economic Growth Theory</w:t>
      </w:r>
      <w:r w:rsidR="008329C4">
        <w:rPr>
          <w:rFonts w:ascii="Times New Roman" w:hAnsi="Times New Roman" w:cs="Times New Roman"/>
          <w:sz w:val="24"/>
          <w:szCs w:val="24"/>
        </w:rPr>
        <w:t xml:space="preserve">. </w:t>
      </w:r>
      <w:r w:rsidRPr="008329C4">
        <w:rPr>
          <w:rFonts w:ascii="Times New Roman" w:hAnsi="Times New Roman" w:cs="Times New Roman"/>
          <w:sz w:val="24"/>
          <w:szCs w:val="24"/>
        </w:rPr>
        <w:t>According to Rostow, economic growth is a stage of changing society from what used to be a traditional society to a modern society, which goes through several phases, including, the stages of traditional society, prerequisites for takeoff, takeoff, maturity stage and high-</w:t>
      </w:r>
      <w:r w:rsidR="008329C4">
        <w:rPr>
          <w:rFonts w:ascii="Times New Roman" w:hAnsi="Times New Roman" w:cs="Times New Roman"/>
          <w:sz w:val="24"/>
          <w:szCs w:val="24"/>
        </w:rPr>
        <w:t xml:space="preserve">consumption society and (4) </w:t>
      </w:r>
      <w:r w:rsidRPr="00D160E9">
        <w:rPr>
          <w:rFonts w:ascii="Times New Roman" w:hAnsi="Times New Roman" w:cs="Times New Roman"/>
          <w:sz w:val="24"/>
          <w:szCs w:val="24"/>
        </w:rPr>
        <w:t>Keynes' Theory</w:t>
      </w:r>
      <w:r w:rsidR="008329C4">
        <w:rPr>
          <w:rFonts w:ascii="Times New Roman" w:hAnsi="Times New Roman" w:cs="Times New Roman"/>
          <w:sz w:val="24"/>
          <w:szCs w:val="24"/>
        </w:rPr>
        <w:t xml:space="preserve">. </w:t>
      </w:r>
      <w:r w:rsidRPr="008329C4">
        <w:rPr>
          <w:rFonts w:ascii="Times New Roman" w:hAnsi="Times New Roman" w:cs="Times New Roman"/>
          <w:sz w:val="24"/>
          <w:szCs w:val="24"/>
        </w:rPr>
        <w:t>According to Keynes, the level of economic activity of a country can be seen through people's spending on goods and services. If the aggregate level of public expenditure is high, then the economic growth rate is also good. (Sukirno, 2011)</w:t>
      </w:r>
    </w:p>
    <w:p w14:paraId="40CDA6E7" w14:textId="43DF1BCA" w:rsidR="008F4EBB" w:rsidRPr="00D160E9" w:rsidRDefault="008F4EBB" w:rsidP="00AE6B86">
      <w:pPr>
        <w:pStyle w:val="ListParagraph"/>
        <w:spacing w:line="276" w:lineRule="auto"/>
        <w:ind w:firstLine="567"/>
        <w:jc w:val="both"/>
        <w:rPr>
          <w:rFonts w:ascii="Times New Roman" w:hAnsi="Times New Roman" w:cs="Times New Roman"/>
          <w:sz w:val="24"/>
          <w:szCs w:val="24"/>
        </w:rPr>
      </w:pPr>
    </w:p>
    <w:p w14:paraId="22B59C05" w14:textId="0CA8C975" w:rsidR="008F4EBB" w:rsidRPr="00D160E9" w:rsidRDefault="008F4EBB"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Hypothesis Development</w:t>
      </w:r>
    </w:p>
    <w:p w14:paraId="2EF7170A" w14:textId="49A7E54D" w:rsidR="008F4EBB" w:rsidRPr="00D160E9" w:rsidRDefault="008F4EBB"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The Effect of Bank Indonesia Syariah Certificate (SBIS) on Indonesia's Economic Growth.</w:t>
      </w:r>
    </w:p>
    <w:p w14:paraId="366627EE" w14:textId="1148883C" w:rsidR="00B252D2" w:rsidRPr="00D160E9" w:rsidRDefault="00510854" w:rsidP="00B252D2">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The Bank Indonesia Syariah Certificate (SBIS) is a sharia monetary policy instrument from Bank Indonesia to manage the amount of money in circulation and used to distribute financing. If Bank Indonesia raises SBIS rates, Islamic banking tends to place excess liquidity in SBIS. On the other hand, if the SBIS rate falls, Islamic banking will increase and distribute the portion of financing to the community so that it can improve the real economic sector and directly be able to encourage better economic growth in Indonesia, both including the growth of capital market investment and the Islamic market. This phenomenon shows that SBIS also serves as a representation of the application of maqasid al-shariah.</w:t>
      </w:r>
    </w:p>
    <w:p w14:paraId="487522CB" w14:textId="1D67B542" w:rsidR="00170F7F" w:rsidRPr="00D160E9" w:rsidRDefault="00170F7F" w:rsidP="00B252D2">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SBIS acts as a tool to absorb excess liquidity in the Islamic banking system, so that it can prevent inflation and maintain rupiah exchange rate stability. This mechanism also helps reduce systemic risks in the Islamic finance sector, increase investor confidence, and drive sustainable growth. SBIS's role is not only limited to liquidity management, but also has broader implications for sharia economic growth and financial inclusion.</w:t>
      </w:r>
    </w:p>
    <w:p w14:paraId="774A6AAD" w14:textId="1BAAFD1E" w:rsidR="00510854" w:rsidRPr="00D160E9" w:rsidRDefault="00DB5520"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r>
    </w:p>
    <w:p w14:paraId="75DAAEDA" w14:textId="04510178" w:rsidR="008F4EBB" w:rsidRPr="00D160E9" w:rsidRDefault="00DB5520"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H0 : Bank Indonesia Syariah (SBIS) certificate has no direct influence on economic growth in Indonesia</w:t>
      </w:r>
    </w:p>
    <w:p w14:paraId="71F55992" w14:textId="5B725292" w:rsidR="00DB5520" w:rsidRPr="00D160E9" w:rsidRDefault="00DB5520"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H1 : Bank Indonesia Syariah Certificate (SBIS) has a direct influence on economic growth in Indonesia</w:t>
      </w:r>
    </w:p>
    <w:p w14:paraId="7949E435" w14:textId="77777777" w:rsidR="00357235" w:rsidRPr="00D160E9" w:rsidRDefault="00357235" w:rsidP="008F4EBB">
      <w:pPr>
        <w:pStyle w:val="ListParagraph"/>
        <w:spacing w:line="276" w:lineRule="auto"/>
        <w:ind w:left="0"/>
        <w:jc w:val="both"/>
        <w:rPr>
          <w:rFonts w:ascii="Times New Roman" w:hAnsi="Times New Roman" w:cs="Times New Roman"/>
          <w:sz w:val="24"/>
          <w:szCs w:val="24"/>
        </w:rPr>
      </w:pPr>
    </w:p>
    <w:p w14:paraId="65D86F1B" w14:textId="5E7A3A74" w:rsidR="00357235" w:rsidRPr="00D160E9" w:rsidRDefault="00357235" w:rsidP="00357235">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The Effect of Bank Indonesia Syariah Deposit Facility (FASBIS) on Indonesia's Economic Growth.</w:t>
      </w:r>
    </w:p>
    <w:p w14:paraId="4C6E918A" w14:textId="1FE11F22" w:rsidR="00170F7F" w:rsidRPr="00D160E9" w:rsidRDefault="00170F7F"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The Bank Indonesia Syariah Deposit Facility is one of the instruments of the sharia fixed facility which aims to place excess funds or called a deposit facility. The FASBIS mechanism is regulated by Bank Indonesia. If Bank Indonesia lowers the FASBIS yield, it can have an impact on increasing economic growth, as Bank Indonesia's deposit facilities will decrease and Islamic banking liquidity will increase. On the other hand, if Bank Indonesia increases the yield of FASBIS, it can lead to a decline in economic growth, as Bank Indonesia's deposit facilities have increased and Islamic banking liquidity has decreased.</w:t>
      </w:r>
    </w:p>
    <w:p w14:paraId="37B67E53" w14:textId="65A24396" w:rsidR="00ED48BD" w:rsidRDefault="00714643"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 xml:space="preserve">FASBIS variables have a substitution nature, occurring at a time when SBIS shows a low level of liquidity with higher returns. In the criteria of liquid FASBIS </w:t>
      </w:r>
      <w:r w:rsidR="00ED48BD">
        <w:rPr>
          <w:rFonts w:ascii="Times New Roman" w:hAnsi="Times New Roman" w:cs="Times New Roman"/>
          <w:sz w:val="24"/>
          <w:szCs w:val="24"/>
        </w:rPr>
        <w:t>has high liquidity, but lower returns. The relationship that occurs in these two instruments can have an impact on the liquidity of Islamic banking, the banking intermediation function, especially financing and distribution of financing from banks in the real sector.</w:t>
      </w:r>
    </w:p>
    <w:p w14:paraId="464C4357" w14:textId="77777777" w:rsidR="00170F7F" w:rsidRPr="00D160E9" w:rsidRDefault="00170F7F" w:rsidP="00357235">
      <w:pPr>
        <w:pStyle w:val="ListParagraph"/>
        <w:spacing w:line="276" w:lineRule="auto"/>
        <w:ind w:left="0"/>
        <w:jc w:val="both"/>
        <w:rPr>
          <w:rFonts w:ascii="Times New Roman" w:hAnsi="Times New Roman" w:cs="Times New Roman"/>
        </w:rPr>
      </w:pPr>
    </w:p>
    <w:p w14:paraId="75ACC334" w14:textId="6969B62A" w:rsidR="00357235" w:rsidRPr="00D160E9" w:rsidRDefault="00357235"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H0 :  Bank Indonesia Syariah Deposit Facility (FASBIS) has no direct influence on economic growth in Indonesia</w:t>
      </w:r>
    </w:p>
    <w:p w14:paraId="3339D7D7" w14:textId="19FAB2FF" w:rsidR="00357235" w:rsidRPr="00D160E9" w:rsidRDefault="00357235"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H2 : Bank Indonesia Syariah Deposit Facility (FASBIS) has a direct influence on economic growth in Indonesia</w:t>
      </w:r>
    </w:p>
    <w:p w14:paraId="12738B1E" w14:textId="77777777" w:rsidR="00357235" w:rsidRPr="00D160E9" w:rsidRDefault="00357235" w:rsidP="00357235">
      <w:pPr>
        <w:pStyle w:val="ListParagraph"/>
        <w:spacing w:line="276" w:lineRule="auto"/>
        <w:ind w:left="0"/>
        <w:jc w:val="both"/>
        <w:rPr>
          <w:rFonts w:ascii="Times New Roman" w:hAnsi="Times New Roman" w:cs="Times New Roman"/>
          <w:b/>
          <w:bCs/>
          <w:sz w:val="24"/>
          <w:szCs w:val="24"/>
        </w:rPr>
      </w:pPr>
    </w:p>
    <w:p w14:paraId="26BAE074" w14:textId="6BB3B0A5" w:rsidR="00357235" w:rsidRPr="00D160E9" w:rsidRDefault="00357235" w:rsidP="00357235">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The Influence of the Islamic Interbank Money Market (PUAS) on Indonesia's Economic Growth.</w:t>
      </w:r>
    </w:p>
    <w:p w14:paraId="0D1FDD8F" w14:textId="5EDA29AD" w:rsidR="00714643" w:rsidRPr="00D160E9" w:rsidRDefault="00714643" w:rsidP="00714643">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 xml:space="preserve">The Sharia Interbank Money Market (PUAS) is a process of borrowing and lending funds to other banks, especially between Islamic banking peers, which aims to anticipate and overcome the liquidity process that occurs within the banking through a pre-agreed profit-sharing mechanism. PUAS transactions can be completed within one working day (overnight) or up to one year. </w:t>
      </w:r>
    </w:p>
    <w:p w14:paraId="4C57E499" w14:textId="51B14F80" w:rsidR="00ED48BD" w:rsidRDefault="00714643" w:rsidP="00777DDD">
      <w:pPr>
        <w:pStyle w:val="ListParagraph"/>
        <w:spacing w:line="276" w:lineRule="auto"/>
        <w:ind w:left="0" w:firstLine="567"/>
        <w:jc w:val="both"/>
        <w:rPr>
          <w:rFonts w:ascii="Times New Roman" w:hAnsi="Times New Roman" w:cs="Times New Roman"/>
          <w:sz w:val="24"/>
          <w:szCs w:val="24"/>
        </w:rPr>
      </w:pPr>
      <w:r w:rsidRPr="00D160E9">
        <w:rPr>
          <w:rFonts w:ascii="Times New Roman" w:hAnsi="Times New Roman" w:cs="Times New Roman"/>
          <w:sz w:val="24"/>
          <w:szCs w:val="24"/>
        </w:rPr>
        <w:t>The increase in yields in the Islamic Interbank Money Market (PUAS) causes the liquidity of Islamic banking to fall, which in turn reduces the financing capacity of Islamic banking and economic growth. Conversely, the decline in yields in PUAS led to an increase in liquidity from Islamic banking, which ultimately increased the financing capacity of Islamic banks as well as economic growth.</w:t>
      </w:r>
    </w:p>
    <w:p w14:paraId="15E841A0" w14:textId="77777777" w:rsidR="00777DDD" w:rsidRPr="00D160E9" w:rsidRDefault="00777DDD" w:rsidP="00777DDD">
      <w:pPr>
        <w:pStyle w:val="ListParagraph"/>
        <w:spacing w:line="276" w:lineRule="auto"/>
        <w:ind w:left="0" w:firstLine="567"/>
        <w:jc w:val="both"/>
        <w:rPr>
          <w:rFonts w:ascii="Times New Roman" w:hAnsi="Times New Roman" w:cs="Times New Roman"/>
          <w:sz w:val="24"/>
          <w:szCs w:val="24"/>
        </w:rPr>
      </w:pPr>
    </w:p>
    <w:p w14:paraId="7597684E" w14:textId="0C748D52" w:rsidR="00357235" w:rsidRPr="00D160E9" w:rsidRDefault="00357235"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H0 : The Sharia Interbank Money Market (PUAS) has no direct influence on economic growth in Indonesia</w:t>
      </w:r>
    </w:p>
    <w:p w14:paraId="4C8964FC" w14:textId="1207D313" w:rsidR="00357235" w:rsidRPr="00D160E9" w:rsidRDefault="00357235"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H2 : The Sharia Interbank Money Market (PUAS) has a direct influence on economic growth in Indonesia</w:t>
      </w:r>
    </w:p>
    <w:p w14:paraId="12773364" w14:textId="77777777" w:rsidR="00777DDD" w:rsidRPr="00D160E9" w:rsidRDefault="00777DDD" w:rsidP="00357235">
      <w:pPr>
        <w:pStyle w:val="ListParagraph"/>
        <w:spacing w:line="276" w:lineRule="auto"/>
        <w:ind w:left="0"/>
        <w:jc w:val="both"/>
        <w:rPr>
          <w:rFonts w:ascii="Times New Roman" w:hAnsi="Times New Roman" w:cs="Times New Roman"/>
          <w:sz w:val="24"/>
          <w:szCs w:val="24"/>
        </w:rPr>
      </w:pPr>
    </w:p>
    <w:p w14:paraId="1C167E29" w14:textId="648E3071" w:rsidR="00777DDD" w:rsidRPr="00D160E9" w:rsidRDefault="00777DDD" w:rsidP="00357235">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RESEARCH METHODS</w:t>
      </w:r>
    </w:p>
    <w:p w14:paraId="64E9B969" w14:textId="24E49D38" w:rsidR="00777DDD" w:rsidRPr="00D160E9" w:rsidRDefault="00777DDD" w:rsidP="00357235">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Research Approach</w:t>
      </w:r>
    </w:p>
    <w:p w14:paraId="0DAA6A3B" w14:textId="73CFFCA7" w:rsidR="00655CF2" w:rsidRDefault="00777DDD"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This research uses a quantitative method is a research method based on calculated data, used to research empirical research where data can be calculated or in the form of numbers. Data collection was carried out by searching for various sources in journals that have relevance to the research with the aim of testing the hypothesis that has been determined.</w:t>
      </w:r>
    </w:p>
    <w:p w14:paraId="21ACD303" w14:textId="1B2882EE" w:rsidR="003910FC" w:rsidRPr="00D160E9" w:rsidRDefault="00777DDD"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00C41115">
        <w:rPr>
          <w:rFonts w:ascii="Times New Roman" w:hAnsi="Times New Roman" w:cs="Times New Roman"/>
          <w:sz w:val="24"/>
          <w:szCs w:val="24"/>
        </w:rPr>
        <w:t>The study uses a quantitative method which is a type of structured method and focuses on statistics. Quantitative methods are usually used to see the correlation and effect of changes that occur between independent variables and dependent variables. This method aims to analyze and test the influence of Islamic monetary operations (independent variables), including Bank Indonesia Syariah Certificates (SBIS), Bank Indonesia Syariah Deposit Facilities (FASBIS), and the Interbank Sharia Money Market on economic growth (dependent variables) in the period 2015 to 2025.</w:t>
      </w:r>
    </w:p>
    <w:tbl>
      <w:tblPr>
        <w:tblW w:w="0" w:type="auto"/>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3725"/>
      </w:tblGrid>
      <w:tr w:rsidR="003910FC" w:rsidRPr="00D160E9" w14:paraId="4834FC86" w14:textId="77777777" w:rsidTr="007E1F90">
        <w:trPr>
          <w:trHeight w:val="864"/>
        </w:trPr>
        <w:tc>
          <w:tcPr>
            <w:tcW w:w="7260" w:type="dxa"/>
            <w:gridSpan w:val="2"/>
          </w:tcPr>
          <w:p w14:paraId="6924EA14" w14:textId="1007F91C" w:rsidR="003910FC" w:rsidRPr="00D160E9" w:rsidRDefault="00AA42BC" w:rsidP="00AA42BC">
            <w:pPr>
              <w:jc w:val="center"/>
              <w:rPr>
                <w:rFonts w:ascii="Times New Roman" w:hAnsi="Times New Roman" w:cs="Times New Roman"/>
                <w:sz w:val="24"/>
                <w:szCs w:val="24"/>
              </w:rPr>
            </w:pPr>
            <w:r w:rsidRPr="00D160E9">
              <w:rPr>
                <w:rFonts w:ascii="Times New Roman" w:hAnsi="Times New Roman" w:cs="Times New Roman"/>
                <w:sz w:val="24"/>
                <w:szCs w:val="24"/>
              </w:rPr>
              <w:t>Analysis of the Influence of Sharia Monetary Operations on Economic Growth in Indonesia for the Period 2015-2025</w:t>
            </w:r>
          </w:p>
        </w:tc>
      </w:tr>
      <w:tr w:rsidR="003910FC" w:rsidRPr="00D160E9" w14:paraId="24975590" w14:textId="77777777" w:rsidTr="007E1F90">
        <w:trPr>
          <w:trHeight w:val="302"/>
        </w:trPr>
        <w:tc>
          <w:tcPr>
            <w:tcW w:w="3535" w:type="dxa"/>
            <w:tcBorders>
              <w:left w:val="nil"/>
              <w:right w:val="single" w:sz="6" w:space="0" w:color="000000"/>
            </w:tcBorders>
          </w:tcPr>
          <w:p w14:paraId="33C872CD" w14:textId="77777777" w:rsidR="003910FC" w:rsidRPr="00D160E9" w:rsidRDefault="003910FC" w:rsidP="007E1F90">
            <w:pPr>
              <w:pStyle w:val="TableParagraph"/>
              <w:spacing w:before="0"/>
              <w:jc w:val="left"/>
            </w:pPr>
          </w:p>
        </w:tc>
        <w:tc>
          <w:tcPr>
            <w:tcW w:w="3725" w:type="dxa"/>
            <w:tcBorders>
              <w:left w:val="single" w:sz="6" w:space="0" w:color="000000"/>
              <w:right w:val="nil"/>
            </w:tcBorders>
          </w:tcPr>
          <w:p w14:paraId="2BE8FF4F" w14:textId="77777777" w:rsidR="003910FC" w:rsidRPr="00D160E9" w:rsidRDefault="003910FC" w:rsidP="007E1F90">
            <w:pPr>
              <w:pStyle w:val="TableParagraph"/>
              <w:spacing w:before="0"/>
              <w:jc w:val="left"/>
            </w:pPr>
          </w:p>
        </w:tc>
      </w:tr>
      <w:tr w:rsidR="003910FC" w:rsidRPr="00D160E9" w14:paraId="23AA1516" w14:textId="77777777" w:rsidTr="001076F6">
        <w:trPr>
          <w:trHeight w:val="4047"/>
        </w:trPr>
        <w:tc>
          <w:tcPr>
            <w:tcW w:w="7260" w:type="dxa"/>
            <w:gridSpan w:val="2"/>
          </w:tcPr>
          <w:p w14:paraId="5CBA4350" w14:textId="5FEA43E2" w:rsidR="003910FC" w:rsidRPr="00D160E9" w:rsidRDefault="003910FC" w:rsidP="007E1F90">
            <w:pPr>
              <w:pStyle w:val="TableParagraph"/>
              <w:spacing w:before="230"/>
              <w:jc w:val="left"/>
              <w:rPr>
                <w:b/>
                <w:sz w:val="24"/>
              </w:rPr>
            </w:pPr>
          </w:p>
          <w:p w14:paraId="75429A0A" w14:textId="4D95ABA6" w:rsidR="003910FC" w:rsidRPr="00D160E9" w:rsidRDefault="003910FC" w:rsidP="003910FC">
            <w:pPr>
              <w:pStyle w:val="TableParagraph"/>
              <w:spacing w:before="0"/>
              <w:jc w:val="both"/>
              <w:rPr>
                <w:b/>
                <w:sz w:val="24"/>
              </w:rPr>
            </w:pPr>
            <w:r w:rsidRPr="00D160E9">
              <w:rPr>
                <w:b/>
                <w:noProof/>
                <w:sz w:val="24"/>
                <w:lang w:val="en-US"/>
                <w14:ligatures w14:val="standardContextual"/>
              </w:rPr>
              <mc:AlternateContent>
                <mc:Choice Requires="wps">
                  <w:drawing>
                    <wp:anchor distT="0" distB="0" distL="114300" distR="114300" simplePos="0" relativeHeight="251659264" behindDoc="0" locked="0" layoutInCell="1" allowOverlap="1" wp14:anchorId="4819E97E" wp14:editId="3F7B4ED0">
                      <wp:simplePos x="0" y="0"/>
                      <wp:positionH relativeFrom="column">
                        <wp:posOffset>232410</wp:posOffset>
                      </wp:positionH>
                      <wp:positionV relativeFrom="paragraph">
                        <wp:posOffset>67945</wp:posOffset>
                      </wp:positionV>
                      <wp:extent cx="2000250" cy="394335"/>
                      <wp:effectExtent l="0" t="0" r="19050" b="24765"/>
                      <wp:wrapNone/>
                      <wp:docPr id="2070041851" name="Text Box 1"/>
                      <wp:cNvGraphicFramePr/>
                      <a:graphic xmlns:a="http://schemas.openxmlformats.org/drawingml/2006/main">
                        <a:graphicData uri="http://schemas.microsoft.com/office/word/2010/wordprocessingShape">
                          <wps:wsp>
                            <wps:cNvSpPr txBox="1"/>
                            <wps:spPr>
                              <a:xfrm>
                                <a:off x="0" y="0"/>
                                <a:ext cx="2000250" cy="394335"/>
                              </a:xfrm>
                              <a:prstGeom prst="rect">
                                <a:avLst/>
                              </a:prstGeom>
                              <a:ln/>
                            </wps:spPr>
                            <wps:style>
                              <a:lnRef idx="2">
                                <a:schemeClr val="dk1"/>
                              </a:lnRef>
                              <a:fillRef idx="1">
                                <a:schemeClr val="lt1"/>
                              </a:fillRef>
                              <a:effectRef idx="0">
                                <a:schemeClr val="dk1"/>
                              </a:effectRef>
                              <a:fontRef idx="minor">
                                <a:schemeClr val="dk1"/>
                              </a:fontRef>
                            </wps:style>
                            <wps:txbx>
                              <w:txbxContent>
                                <w:p w14:paraId="07670DF8" w14:textId="1845CD10" w:rsidR="00143B47" w:rsidRPr="003910FC" w:rsidRDefault="00143B47" w:rsidP="003910FC">
                                  <w:pPr>
                                    <w:jc w:val="center"/>
                                    <w:rPr>
                                      <w:rFonts w:ascii="Times New Roman" w:hAnsi="Times New Roman" w:cs="Times New Roman"/>
                                      <w:sz w:val="20"/>
                                      <w:szCs w:val="20"/>
                                    </w:rPr>
                                  </w:pPr>
                                  <w:r w:rsidRPr="003910FC">
                                    <w:rPr>
                                      <w:rFonts w:ascii="Times New Roman" w:hAnsi="Times New Roman" w:cs="Times New Roman"/>
                                      <w:sz w:val="20"/>
                                      <w:szCs w:val="20"/>
                                    </w:rPr>
                                    <w:t>Bank Indonesia Syariah (SBIS) Certificate –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9E97E" id="_x0000_t202" coordsize="21600,21600" o:spt="202" path="m,l,21600r21600,l21600,xe">
                      <v:stroke joinstyle="miter"/>
                      <v:path gradientshapeok="t" o:connecttype="rect"/>
                    </v:shapetype>
                    <v:shape id="Text Box 1" o:spid="_x0000_s1026" type="#_x0000_t202" style="position:absolute;left:0;text-align:left;margin-left:18.3pt;margin-top:5.35pt;width:157.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" fillcolor="white [3201]" strokecolor="black [3200]" strokeweight="1pt">
                      <v:textbox>
                        <w:txbxContent>
                          <w:p w14:paraId="07670DF8" w14:textId="1845CD10" w:rsidR="00143B47" w:rsidRPr="003910FC" w:rsidRDefault="00143B47" w:rsidP="003910FC">
                            <w:pPr>
                              <w:jc w:val="center"/>
                              <w:rPr>
                                <w:rFonts w:ascii="Times New Roman" w:hAnsi="Times New Roman" w:cs="Times New Roman"/>
                                <w:sz w:val="20"/>
                                <w:szCs w:val="20"/>
                              </w:rPr>
                            </w:pPr>
                            <w:r w:rsidRPr="003910FC">
                              <w:rPr>
                                <w:rFonts w:ascii="Times New Roman" w:hAnsi="Times New Roman" w:cs="Times New Roman"/>
                                <w:sz w:val="20"/>
                                <w:szCs w:val="20"/>
                              </w:rPr>
                              <w:t>Bank Indonesia Syariah (SBIS) Certificate – X1</w:t>
                            </w:r>
                          </w:p>
                        </w:txbxContent>
                      </v:textbox>
                    </v:shape>
                  </w:pict>
                </mc:Fallback>
              </mc:AlternateContent>
            </w:r>
          </w:p>
          <w:p w14:paraId="171C5C8F" w14:textId="49E7A480" w:rsidR="003910FC" w:rsidRPr="00D160E9" w:rsidRDefault="003910FC" w:rsidP="007E1F90">
            <w:pPr>
              <w:pStyle w:val="TableParagraph"/>
              <w:spacing w:before="88"/>
              <w:jc w:val="left"/>
              <w:rPr>
                <w:b/>
                <w:sz w:val="24"/>
              </w:rPr>
            </w:pPr>
            <w:r w:rsidRPr="00D160E9">
              <w:rPr>
                <w:b/>
                <w:noProof/>
                <w:sz w:val="24"/>
                <w:lang w:val="en-US"/>
                <w14:ligatures w14:val="standardContextual"/>
              </w:rPr>
              <mc:AlternateContent>
                <mc:Choice Requires="wps">
                  <w:drawing>
                    <wp:anchor distT="0" distB="0" distL="114300" distR="114300" simplePos="0" relativeHeight="251664384" behindDoc="0" locked="0" layoutInCell="1" allowOverlap="1" wp14:anchorId="569EA63A" wp14:editId="649392CD">
                      <wp:simplePos x="0" y="0"/>
                      <wp:positionH relativeFrom="column">
                        <wp:posOffset>2318385</wp:posOffset>
                      </wp:positionH>
                      <wp:positionV relativeFrom="paragraph">
                        <wp:posOffset>64135</wp:posOffset>
                      </wp:positionV>
                      <wp:extent cx="777240" cy="851535"/>
                      <wp:effectExtent l="0" t="0" r="80010" b="62865"/>
                      <wp:wrapNone/>
                      <wp:docPr id="1137773304" name="Straight Arrow Connector 2"/>
                      <wp:cNvGraphicFramePr/>
                      <a:graphic xmlns:a="http://schemas.openxmlformats.org/drawingml/2006/main">
                        <a:graphicData uri="http://schemas.microsoft.com/office/word/2010/wordprocessingShape">
                          <wps:wsp>
                            <wps:cNvCnPr/>
                            <wps:spPr>
                              <a:xfrm>
                                <a:off x="0" y="0"/>
                                <a:ext cx="777240" cy="851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oned="t" filled="f" o:spt="32" path="m,l21600,21600e" w14:anchorId="55C94510">
                      <v:path fillok="f" arrowok="t" o:connecttype="none"/>
                      <o:lock v:ext="edit" shapetype="t"/>
                    </v:shapetype>
                    <v:shape id="Straight Arrow Connector 2" style="position:absolute;margin-left:182.55pt;margin-top:5.05pt;width:61.2pt;height:6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">
                      <v:stroke joinstyle="miter" endarrow="block"/>
                    </v:shape>
                  </w:pict>
                </mc:Fallback>
              </mc:AlternateContent>
            </w:r>
          </w:p>
          <w:p w14:paraId="0947284C" w14:textId="77777777" w:rsidR="003910FC" w:rsidRPr="00D160E9" w:rsidRDefault="003910FC" w:rsidP="003910FC">
            <w:pPr>
              <w:pStyle w:val="TableParagraph"/>
              <w:spacing w:before="0"/>
              <w:ind w:left="35" w:right="3964"/>
              <w:rPr>
                <w:i/>
                <w:sz w:val="24"/>
              </w:rPr>
            </w:pPr>
          </w:p>
          <w:p w14:paraId="31728BB7" w14:textId="0242FAAC" w:rsidR="003910FC" w:rsidRPr="00D160E9" w:rsidRDefault="003910FC" w:rsidP="003910FC">
            <w:pPr>
              <w:pStyle w:val="TableParagraph"/>
              <w:spacing w:before="0"/>
              <w:ind w:left="35" w:right="3964"/>
              <w:rPr>
                <w:i/>
                <w:sz w:val="24"/>
              </w:rPr>
            </w:pPr>
          </w:p>
          <w:p w14:paraId="6C73A622" w14:textId="09559EF5" w:rsidR="003910FC" w:rsidRPr="00D160E9" w:rsidRDefault="003910FC" w:rsidP="003910FC">
            <w:pPr>
              <w:pStyle w:val="TableParagraph"/>
              <w:spacing w:before="0"/>
              <w:ind w:left="35" w:right="3964"/>
              <w:rPr>
                <w:i/>
                <w:sz w:val="24"/>
              </w:rPr>
            </w:pPr>
            <w:r w:rsidRPr="00D160E9">
              <w:rPr>
                <w:b/>
                <w:noProof/>
                <w:sz w:val="24"/>
                <w:lang w:val="en-US"/>
                <w14:ligatures w14:val="standardContextual"/>
              </w:rPr>
              <mc:AlternateContent>
                <mc:Choice Requires="wps">
                  <w:drawing>
                    <wp:anchor distT="0" distB="0" distL="114300" distR="114300" simplePos="0" relativeHeight="251661312" behindDoc="0" locked="0" layoutInCell="1" allowOverlap="1" wp14:anchorId="3BBABB37" wp14:editId="2C20A98F">
                      <wp:simplePos x="0" y="0"/>
                      <wp:positionH relativeFrom="column">
                        <wp:posOffset>260985</wp:posOffset>
                      </wp:positionH>
                      <wp:positionV relativeFrom="paragraph">
                        <wp:posOffset>88265</wp:posOffset>
                      </wp:positionV>
                      <wp:extent cx="1977390" cy="394335"/>
                      <wp:effectExtent l="0" t="0" r="22860" b="24765"/>
                      <wp:wrapNone/>
                      <wp:docPr id="1216814343" name="Text Box 1"/>
                      <wp:cNvGraphicFramePr/>
                      <a:graphic xmlns:a="http://schemas.openxmlformats.org/drawingml/2006/main">
                        <a:graphicData uri="http://schemas.microsoft.com/office/word/2010/wordprocessingShape">
                          <wps:wsp>
                            <wps:cNvSpPr txBox="1"/>
                            <wps:spPr>
                              <a:xfrm>
                                <a:off x="0" y="0"/>
                                <a:ext cx="1977390" cy="394335"/>
                              </a:xfrm>
                              <a:prstGeom prst="rect">
                                <a:avLst/>
                              </a:prstGeom>
                              <a:ln/>
                            </wps:spPr>
                            <wps:style>
                              <a:lnRef idx="2">
                                <a:schemeClr val="dk1"/>
                              </a:lnRef>
                              <a:fillRef idx="1">
                                <a:schemeClr val="lt1"/>
                              </a:fillRef>
                              <a:effectRef idx="0">
                                <a:schemeClr val="dk1"/>
                              </a:effectRef>
                              <a:fontRef idx="minor">
                                <a:schemeClr val="dk1"/>
                              </a:fontRef>
                            </wps:style>
                            <wps:txbx>
                              <w:txbxContent>
                                <w:p w14:paraId="1266B570" w14:textId="15A76A57" w:rsidR="00143B47" w:rsidRPr="003910FC" w:rsidRDefault="00143B47" w:rsidP="003910FC">
                                  <w:pPr>
                                    <w:jc w:val="center"/>
                                    <w:rPr>
                                      <w:rFonts w:ascii="Times New Roman" w:hAnsi="Times New Roman" w:cs="Times New Roman"/>
                                      <w:sz w:val="20"/>
                                      <w:szCs w:val="20"/>
                                    </w:rPr>
                                  </w:pPr>
                                  <w:r>
                                    <w:rPr>
                                      <w:rFonts w:ascii="Times New Roman" w:hAnsi="Times New Roman" w:cs="Times New Roman"/>
                                      <w:sz w:val="20"/>
                                      <w:szCs w:val="20"/>
                                    </w:rPr>
                                    <w:t>Bank Indonesia Syariah Deposit Facility (FASBIS) –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ABB37" id="_x0000_s1027" type="#_x0000_t202" style="position:absolute;left:0;text-align:left;margin-left:20.55pt;margin-top:6.95pt;width:155.7pt;height:3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" fillcolor="white [3201]" strokecolor="black [3200]" strokeweight="1pt">
                      <v:textbox>
                        <w:txbxContent>
                          <w:p w14:paraId="1266B570" w14:textId="15A76A57" w:rsidR="00143B47" w:rsidRPr="003910FC" w:rsidRDefault="00143B47" w:rsidP="003910FC">
                            <w:pPr>
                              <w:jc w:val="center"/>
                              <w:rPr>
                                <w:rFonts w:ascii="Times New Roman" w:hAnsi="Times New Roman" w:cs="Times New Roman"/>
                                <w:sz w:val="20"/>
                                <w:szCs w:val="20"/>
                              </w:rPr>
                            </w:pPr>
                            <w:r>
                              <w:rPr>
                                <w:rFonts w:ascii="Times New Roman" w:hAnsi="Times New Roman" w:cs="Times New Roman"/>
                                <w:sz w:val="20"/>
                                <w:szCs w:val="20"/>
                              </w:rPr>
                              <w:t>Bank Indonesia Syariah Deposit Facility (FASBIS) – X2</w:t>
                            </w:r>
                          </w:p>
                        </w:txbxContent>
                      </v:textbox>
                    </v:shape>
                  </w:pict>
                </mc:Fallback>
              </mc:AlternateContent>
            </w:r>
          </w:p>
          <w:p w14:paraId="7F478DDE" w14:textId="34BFC52B" w:rsidR="003910FC" w:rsidRPr="00D160E9" w:rsidRDefault="003910FC" w:rsidP="003910FC">
            <w:pPr>
              <w:rPr>
                <w:rFonts w:ascii="Times New Roman" w:hAnsi="Times New Roman" w:cs="Times New Roman"/>
                <w:lang w:val="id"/>
              </w:rPr>
            </w:pPr>
            <w:r w:rsidRPr="00D160E9">
              <w:rPr>
                <w:rFonts w:ascii="Times New Roman" w:hAnsi="Times New Roman" w:cs="Times New Roman"/>
                <w:b/>
                <w:noProof/>
                <w:sz w:val="24"/>
                <w:lang w:val="en-US"/>
              </w:rPr>
              <mc:AlternateContent>
                <mc:Choice Requires="wps">
                  <w:drawing>
                    <wp:anchor distT="0" distB="0" distL="114300" distR="114300" simplePos="0" relativeHeight="251668480" behindDoc="0" locked="0" layoutInCell="1" allowOverlap="1" wp14:anchorId="3744A0A4" wp14:editId="6287C19C">
                      <wp:simplePos x="0" y="0"/>
                      <wp:positionH relativeFrom="column">
                        <wp:posOffset>3152775</wp:posOffset>
                      </wp:positionH>
                      <wp:positionV relativeFrom="paragraph">
                        <wp:posOffset>4445</wp:posOffset>
                      </wp:positionV>
                      <wp:extent cx="1285875" cy="388620"/>
                      <wp:effectExtent l="0" t="0" r="28575" b="11430"/>
                      <wp:wrapNone/>
                      <wp:docPr id="1697061075" name="Text Box 1"/>
                      <wp:cNvGraphicFramePr/>
                      <a:graphic xmlns:a="http://schemas.openxmlformats.org/drawingml/2006/main">
                        <a:graphicData uri="http://schemas.microsoft.com/office/word/2010/wordprocessingShape">
                          <wps:wsp>
                            <wps:cNvSpPr txBox="1"/>
                            <wps:spPr>
                              <a:xfrm>
                                <a:off x="0" y="0"/>
                                <a:ext cx="1285875" cy="388620"/>
                              </a:xfrm>
                              <a:prstGeom prst="rect">
                                <a:avLst/>
                              </a:prstGeom>
                              <a:ln/>
                            </wps:spPr>
                            <wps:style>
                              <a:lnRef idx="2">
                                <a:schemeClr val="dk1"/>
                              </a:lnRef>
                              <a:fillRef idx="1">
                                <a:schemeClr val="lt1"/>
                              </a:fillRef>
                              <a:effectRef idx="0">
                                <a:schemeClr val="dk1"/>
                              </a:effectRef>
                              <a:fontRef idx="minor">
                                <a:schemeClr val="dk1"/>
                              </a:fontRef>
                            </wps:style>
                            <wps:txbx>
                              <w:txbxContent>
                                <w:p w14:paraId="07ADA3BF" w14:textId="00012F31" w:rsidR="00143B47" w:rsidRPr="003910FC" w:rsidRDefault="00143B47" w:rsidP="003910FC">
                                  <w:pPr>
                                    <w:jc w:val="center"/>
                                    <w:rPr>
                                      <w:rFonts w:ascii="Times New Roman" w:hAnsi="Times New Roman" w:cs="Times New Roman"/>
                                      <w:sz w:val="20"/>
                                      <w:szCs w:val="20"/>
                                    </w:rPr>
                                  </w:pPr>
                                  <w:r>
                                    <w:rPr>
                                      <w:rFonts w:ascii="Times New Roman" w:hAnsi="Times New Roman" w:cs="Times New Roman"/>
                                      <w:sz w:val="20"/>
                                      <w:szCs w:val="20"/>
                                    </w:rPr>
                                    <w:t>Economic Growth -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A0A4" id="_x0000_s1028" type="#_x0000_t202" style="position:absolute;margin-left:248.25pt;margin-top:.35pt;width:101.25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" fillcolor="white [3201]" strokecolor="black [3200]" strokeweight="1pt">
                      <v:textbox>
                        <w:txbxContent>
                          <w:p w14:paraId="07ADA3BF" w14:textId="00012F31" w:rsidR="00143B47" w:rsidRPr="003910FC" w:rsidRDefault="00143B47" w:rsidP="003910FC">
                            <w:pPr>
                              <w:jc w:val="center"/>
                              <w:rPr>
                                <w:rFonts w:ascii="Times New Roman" w:hAnsi="Times New Roman" w:cs="Times New Roman"/>
                                <w:sz w:val="20"/>
                                <w:szCs w:val="20"/>
                              </w:rPr>
                            </w:pPr>
                            <w:r>
                              <w:rPr>
                                <w:rFonts w:ascii="Times New Roman" w:hAnsi="Times New Roman" w:cs="Times New Roman"/>
                                <w:sz w:val="20"/>
                                <w:szCs w:val="20"/>
                              </w:rPr>
                              <w:t>Economic Growth - Y</w:t>
                            </w:r>
                          </w:p>
                        </w:txbxContent>
                      </v:textbox>
                    </v:shape>
                  </w:pict>
                </mc:Fallback>
              </mc:AlternateContent>
            </w:r>
            <w:r w:rsidRPr="00D160E9">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8DE98FF" wp14:editId="70D16FCC">
                      <wp:simplePos x="0" y="0"/>
                      <wp:positionH relativeFrom="column">
                        <wp:posOffset>2312670</wp:posOffset>
                      </wp:positionH>
                      <wp:positionV relativeFrom="paragraph">
                        <wp:posOffset>198755</wp:posOffset>
                      </wp:positionV>
                      <wp:extent cx="782955" cy="697230"/>
                      <wp:effectExtent l="0" t="38100" r="55245" b="26670"/>
                      <wp:wrapNone/>
                      <wp:docPr id="142036948" name="Straight Arrow Connector 4"/>
                      <wp:cNvGraphicFramePr/>
                      <a:graphic xmlns:a="http://schemas.openxmlformats.org/drawingml/2006/main">
                        <a:graphicData uri="http://schemas.microsoft.com/office/word/2010/wordprocessingShape">
                          <wps:wsp>
                            <wps:cNvCnPr/>
                            <wps:spPr>
                              <a:xfrm flipV="1">
                                <a:off x="0" y="0"/>
                                <a:ext cx="782955" cy="697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4" style="position:absolute;margin-left:182.1pt;margin-top:15.65pt;width:61.65pt;height:54.9pt;flip:y;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" w14:anchorId="5A4B9558">
                      <v:stroke joinstyle="miter" endarrow="block"/>
                    </v:shape>
                  </w:pict>
                </mc:Fallback>
              </mc:AlternateContent>
            </w:r>
            <w:r w:rsidRPr="00D160E9">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5D89A2D7" wp14:editId="29394D7C">
                      <wp:simplePos x="0" y="0"/>
                      <wp:positionH relativeFrom="column">
                        <wp:posOffset>2324100</wp:posOffset>
                      </wp:positionH>
                      <wp:positionV relativeFrom="paragraph">
                        <wp:posOffset>158750</wp:posOffset>
                      </wp:positionV>
                      <wp:extent cx="771525" cy="17145"/>
                      <wp:effectExtent l="0" t="57150" r="9525" b="97155"/>
                      <wp:wrapNone/>
                      <wp:docPr id="1911303804" name="Straight Arrow Connector 3"/>
                      <wp:cNvGraphicFramePr/>
                      <a:graphic xmlns:a="http://schemas.openxmlformats.org/drawingml/2006/main">
                        <a:graphicData uri="http://schemas.microsoft.com/office/word/2010/wordprocessingShape">
                          <wps:wsp>
                            <wps:cNvCnPr/>
                            <wps:spPr>
                              <a:xfrm>
                                <a:off x="0" y="0"/>
                                <a:ext cx="771525" cy="17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3" style="position:absolute;margin-left:183pt;margin-top:12.5pt;width:60.75pt;height:1.35pt;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" w14:anchorId="4E3D0F5E">
                      <v:stroke joinstyle="miter" endarrow="block"/>
                    </v:shape>
                  </w:pict>
                </mc:Fallback>
              </mc:AlternateContent>
            </w:r>
          </w:p>
          <w:p w14:paraId="4F6639D7" w14:textId="6AFC9B3D" w:rsidR="003910FC" w:rsidRPr="00D160E9" w:rsidRDefault="003910FC" w:rsidP="003910FC">
            <w:pPr>
              <w:rPr>
                <w:rFonts w:ascii="Times New Roman" w:eastAsia="Times New Roman" w:hAnsi="Times New Roman" w:cs="Times New Roman"/>
                <w:i/>
                <w:kern w:val="0"/>
                <w:sz w:val="24"/>
                <w:lang w:val="id"/>
                <w14:ligatures w14:val="none"/>
              </w:rPr>
            </w:pPr>
          </w:p>
          <w:p w14:paraId="41C452D2" w14:textId="748C6AE1" w:rsidR="003910FC" w:rsidRPr="00D160E9" w:rsidRDefault="003910FC" w:rsidP="003910FC">
            <w:pPr>
              <w:jc w:val="center"/>
              <w:rPr>
                <w:rFonts w:ascii="Times New Roman" w:hAnsi="Times New Roman" w:cs="Times New Roman"/>
                <w:lang w:val="id"/>
              </w:rPr>
            </w:pPr>
            <w:r w:rsidRPr="00D160E9">
              <w:rPr>
                <w:rFonts w:ascii="Times New Roman" w:hAnsi="Times New Roman" w:cs="Times New Roman"/>
                <w:b/>
                <w:noProof/>
                <w:sz w:val="24"/>
                <w:lang w:val="en-US"/>
              </w:rPr>
              <mc:AlternateContent>
                <mc:Choice Requires="wps">
                  <w:drawing>
                    <wp:anchor distT="0" distB="0" distL="114300" distR="114300" simplePos="0" relativeHeight="251663360" behindDoc="0" locked="0" layoutInCell="1" allowOverlap="1" wp14:anchorId="49ED2E54" wp14:editId="5EF9EB4A">
                      <wp:simplePos x="0" y="0"/>
                      <wp:positionH relativeFrom="column">
                        <wp:posOffset>289560</wp:posOffset>
                      </wp:positionH>
                      <wp:positionV relativeFrom="paragraph">
                        <wp:posOffset>91440</wp:posOffset>
                      </wp:positionV>
                      <wp:extent cx="1965960" cy="394335"/>
                      <wp:effectExtent l="0" t="0" r="15240" b="24765"/>
                      <wp:wrapNone/>
                      <wp:docPr id="983063309" name="Text Box 1"/>
                      <wp:cNvGraphicFramePr/>
                      <a:graphic xmlns:a="http://schemas.openxmlformats.org/drawingml/2006/main">
                        <a:graphicData uri="http://schemas.microsoft.com/office/word/2010/wordprocessingShape">
                          <wps:wsp>
                            <wps:cNvSpPr txBox="1"/>
                            <wps:spPr>
                              <a:xfrm>
                                <a:off x="0" y="0"/>
                                <a:ext cx="1965960" cy="394335"/>
                              </a:xfrm>
                              <a:prstGeom prst="rect">
                                <a:avLst/>
                              </a:prstGeom>
                              <a:ln/>
                            </wps:spPr>
                            <wps:style>
                              <a:lnRef idx="2">
                                <a:schemeClr val="dk1"/>
                              </a:lnRef>
                              <a:fillRef idx="1">
                                <a:schemeClr val="lt1"/>
                              </a:fillRef>
                              <a:effectRef idx="0">
                                <a:schemeClr val="dk1"/>
                              </a:effectRef>
                              <a:fontRef idx="minor">
                                <a:schemeClr val="dk1"/>
                              </a:fontRef>
                            </wps:style>
                            <wps:txbx>
                              <w:txbxContent>
                                <w:p w14:paraId="1FC5C6F2" w14:textId="0129B685" w:rsidR="00143B47" w:rsidRPr="003910FC" w:rsidRDefault="00143B47" w:rsidP="003910FC">
                                  <w:pPr>
                                    <w:jc w:val="center"/>
                                    <w:rPr>
                                      <w:rFonts w:ascii="Times New Roman" w:hAnsi="Times New Roman" w:cs="Times New Roman"/>
                                      <w:sz w:val="20"/>
                                      <w:szCs w:val="20"/>
                                    </w:rPr>
                                  </w:pPr>
                                  <w:r>
                                    <w:rPr>
                                      <w:rFonts w:ascii="Times New Roman" w:hAnsi="Times New Roman" w:cs="Times New Roman"/>
                                      <w:sz w:val="20"/>
                                      <w:szCs w:val="20"/>
                                    </w:rPr>
                                    <w:t>Sharia Interbank Money Market (PUAS) – 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D2E54" id="_x0000_s1029" type="#_x0000_t202" style="position:absolute;left:0;text-align:left;margin-left:22.8pt;margin-top:7.2pt;width:154.8pt;height:3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" fillcolor="white [3201]" strokecolor="black [3200]" strokeweight="1pt">
                      <v:textbox>
                        <w:txbxContent>
                          <w:p w14:paraId="1FC5C6F2" w14:textId="0129B685" w:rsidR="00143B47" w:rsidRPr="003910FC" w:rsidRDefault="00143B47" w:rsidP="003910FC">
                            <w:pPr>
                              <w:jc w:val="center"/>
                              <w:rPr>
                                <w:rFonts w:ascii="Times New Roman" w:hAnsi="Times New Roman" w:cs="Times New Roman"/>
                                <w:sz w:val="20"/>
                                <w:szCs w:val="20"/>
                              </w:rPr>
                            </w:pPr>
                            <w:r>
                              <w:rPr>
                                <w:rFonts w:ascii="Times New Roman" w:hAnsi="Times New Roman" w:cs="Times New Roman"/>
                                <w:sz w:val="20"/>
                                <w:szCs w:val="20"/>
                              </w:rPr>
                              <w:t>Sharia Interbank Money Market (PUAS) – X3</w:t>
                            </w:r>
                          </w:p>
                        </w:txbxContent>
                      </v:textbox>
                    </v:shape>
                  </w:pict>
                </mc:Fallback>
              </mc:AlternateContent>
            </w:r>
          </w:p>
        </w:tc>
      </w:tr>
    </w:tbl>
    <w:p w14:paraId="6CE93312" w14:textId="06948227" w:rsidR="00777DDD" w:rsidRDefault="008329C4" w:rsidP="008329C4">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Figure 1.</w:t>
      </w:r>
      <w:r w:rsidR="005D3021">
        <w:rPr>
          <w:rFonts w:ascii="Times New Roman" w:hAnsi="Times New Roman" w:cs="Times New Roman"/>
          <w:sz w:val="24"/>
          <w:szCs w:val="24"/>
        </w:rPr>
        <w:t xml:space="preserve"> Conceptual Framework</w:t>
      </w:r>
    </w:p>
    <w:p w14:paraId="7076547F" w14:textId="77777777" w:rsidR="005D3021" w:rsidRPr="00D160E9" w:rsidRDefault="005D3021" w:rsidP="008329C4">
      <w:pPr>
        <w:pStyle w:val="ListParagraph"/>
        <w:spacing w:line="276" w:lineRule="auto"/>
        <w:ind w:left="0"/>
        <w:jc w:val="center"/>
        <w:rPr>
          <w:rFonts w:ascii="Times New Roman" w:hAnsi="Times New Roman" w:cs="Times New Roman"/>
          <w:sz w:val="24"/>
          <w:szCs w:val="24"/>
        </w:rPr>
      </w:pPr>
    </w:p>
    <w:p w14:paraId="01D3DADD" w14:textId="712CEE77" w:rsidR="003910FC" w:rsidRPr="00D160E9" w:rsidRDefault="003910FC"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From the framework of thought described above, the independent variables include the Bank Indonesia Syariah Certificate (SBIS) as X1, the variable of the Bank Indonesia Syariah Deposit Facility (FASBIS) as X2, and the variable of the Interbank Sharia Money Market (PUAS) as X3, all of which are positioned as independent variables. Then, it affects the dependent variable, namely economic growth, which is the output that has been achieved through the implementation of sharia monetary operations.</w:t>
      </w:r>
    </w:p>
    <w:p w14:paraId="238CABD5" w14:textId="77777777" w:rsidR="008537EE" w:rsidRPr="00D160E9" w:rsidRDefault="008537EE" w:rsidP="00357235">
      <w:pPr>
        <w:pStyle w:val="ListParagraph"/>
        <w:spacing w:line="276" w:lineRule="auto"/>
        <w:ind w:left="0"/>
        <w:jc w:val="both"/>
        <w:rPr>
          <w:rFonts w:ascii="Times New Roman" w:hAnsi="Times New Roman" w:cs="Times New Roman"/>
          <w:sz w:val="24"/>
          <w:szCs w:val="24"/>
        </w:rPr>
      </w:pPr>
    </w:p>
    <w:p w14:paraId="5BF0BC6F" w14:textId="7E39BE61" w:rsidR="001076F6" w:rsidRPr="00D160E9" w:rsidRDefault="001076F6" w:rsidP="00357235">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Variable Operational Definition</w:t>
      </w:r>
    </w:p>
    <w:p w14:paraId="43322417" w14:textId="4C1B6B13" w:rsidR="00360DE1" w:rsidRPr="00D160E9" w:rsidRDefault="00360DE1"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Economic growth is the main benchmark in the success of development which describes the impact of the implementation of government policies carried out mainly in the economic sector so that the results can be felt by the community. Indicators of economic growth measurement can be seen from gross domestic product (GDP). The growth data used in this study is based on constant price GDP data in Bank Indonesia's report in time series from January 2015 to December 2025 and expressed in billions.</w:t>
      </w:r>
    </w:p>
    <w:p w14:paraId="510C4878" w14:textId="591A3DA7" w:rsidR="0094415C" w:rsidRPr="00D160E9" w:rsidRDefault="0094415C"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 xml:space="preserve">Bank Indonesia Sharia Certificate (SBIS) is one of the components of the Islamic monetary instrument designed by Bank Indonesia to manage Islamic banking liquidity and maintain financial system stability in accordance with Islamic sharia principles and principles. SBIS has a central role in distributing liquidity effectively so that this can prevent high inflation, maintain exchange rate stability and strengthen </w:t>
      </w:r>
      <w:r w:rsidRPr="00D160E9">
        <w:rPr>
          <w:rFonts w:ascii="Times New Roman" w:hAnsi="Times New Roman" w:cs="Times New Roman"/>
          <w:i/>
          <w:iCs/>
          <w:sz w:val="24"/>
          <w:szCs w:val="24"/>
        </w:rPr>
        <w:t xml:space="preserve">Trust </w:t>
      </w:r>
      <w:r w:rsidRPr="00D160E9">
        <w:rPr>
          <w:rFonts w:ascii="Times New Roman" w:hAnsi="Times New Roman" w:cs="Times New Roman"/>
          <w:sz w:val="24"/>
          <w:szCs w:val="24"/>
        </w:rPr>
        <w:t>to the Islamic financial sector. The SBIS used in this study is quarterly SBIS data for the period January 2015 to December 2025 which is sourced from SEKI-BI, BPS and OJK, where the data is available in billions.</w:t>
      </w:r>
    </w:p>
    <w:p w14:paraId="7415E6DC" w14:textId="25897820" w:rsidR="0094415C" w:rsidRPr="00D160E9" w:rsidRDefault="0094415C" w:rsidP="0035723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The Bank Indonesia Syariah Deposit Facility (FASBIS) is part of the Islamic monetary instrument that plays a role in controlling liquidity levels by providing facilities for Islamic banks to deposit their funds at Bank Indonesia. The FASBIS used in this study uses quarterly FASBIS data for the period January 2015 to December 2025 sourced from SEKI-BI, BPS and OJK which are expressed in billions.</w:t>
      </w:r>
    </w:p>
    <w:p w14:paraId="4924DCD3" w14:textId="2033BDE2" w:rsidR="001076F6" w:rsidRPr="00D160E9" w:rsidRDefault="0094415C"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 xml:space="preserve">The Sharia Interbank Money Market (PUAS) is one of the instruments of Islamic monetary that aims to manage liquidity that occurs in the process of borrowing or lending between Islamic banks. The contracts used in the Sharia Interbank Money Market (PUAS) according to the fatwa of the National Sharia Council of the Indonesian Ulema Council (DSN-MUI) include, </w:t>
      </w:r>
      <w:r w:rsidR="00B110FC" w:rsidRPr="00D160E9">
        <w:rPr>
          <w:rFonts w:ascii="Times New Roman" w:hAnsi="Times New Roman" w:cs="Times New Roman"/>
          <w:i/>
          <w:iCs/>
          <w:sz w:val="24"/>
          <w:szCs w:val="24"/>
        </w:rPr>
        <w:t>Mudharabah, Musyarakah, Wadi'ah, Al-Sharf, Ju'alah</w:t>
      </w:r>
      <w:r w:rsidR="00B110FC" w:rsidRPr="00D160E9">
        <w:rPr>
          <w:rFonts w:ascii="Times New Roman" w:hAnsi="Times New Roman" w:cs="Times New Roman"/>
          <w:sz w:val="24"/>
          <w:szCs w:val="24"/>
        </w:rPr>
        <w:t xml:space="preserve">, and </w:t>
      </w:r>
      <w:r w:rsidR="00B110FC" w:rsidRPr="00D160E9">
        <w:rPr>
          <w:rFonts w:ascii="Times New Roman" w:hAnsi="Times New Roman" w:cs="Times New Roman"/>
          <w:i/>
          <w:iCs/>
          <w:sz w:val="24"/>
          <w:szCs w:val="24"/>
        </w:rPr>
        <w:t>Qardh</w:t>
      </w:r>
      <w:r w:rsidR="00B110FC" w:rsidRPr="00D160E9">
        <w:rPr>
          <w:rFonts w:ascii="Times New Roman" w:hAnsi="Times New Roman" w:cs="Times New Roman"/>
          <w:sz w:val="24"/>
          <w:szCs w:val="24"/>
        </w:rPr>
        <w:t>. The PUAS used in this study is quarterly PUAS data in the period January 2015 to December 2025, obtained from SEKI-BI, BPS and OJK, expressed in billions.</w:t>
      </w:r>
    </w:p>
    <w:p w14:paraId="0E381540" w14:textId="77777777" w:rsidR="00057345" w:rsidRPr="00D160E9" w:rsidRDefault="00057345" w:rsidP="008F4EBB">
      <w:pPr>
        <w:pStyle w:val="ListParagraph"/>
        <w:spacing w:line="276" w:lineRule="auto"/>
        <w:ind w:left="0"/>
        <w:jc w:val="both"/>
        <w:rPr>
          <w:rFonts w:ascii="Times New Roman" w:hAnsi="Times New Roman" w:cs="Times New Roman"/>
          <w:sz w:val="24"/>
          <w:szCs w:val="24"/>
        </w:rPr>
      </w:pPr>
    </w:p>
    <w:p w14:paraId="70ECA3A5" w14:textId="531CF430" w:rsidR="001076F6" w:rsidRDefault="001076F6"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Data Types and Sources</w:t>
      </w:r>
    </w:p>
    <w:p w14:paraId="18C169E4" w14:textId="020B4F2C" w:rsidR="001076F6" w:rsidRDefault="00B134E8" w:rsidP="008F4EBB">
      <w:pPr>
        <w:pStyle w:val="ListParagraph"/>
        <w:spacing w:line="276"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research uses a secondary type of data, which is a source of data obtained indirectly, be it from journals, government or private institutions, online media and others. The data used is in the form of time series data in quarterly presentation with the initial period from January 2015 to December 2025. The data source comes from Indonesia's Economic and Financial Statistics published by Bank Indonesia (SEKI-BI), the Central Statistics Agency (BPS) and the Financial Services Authority (OJK) from January 2015 to December 2025.</w:t>
      </w:r>
    </w:p>
    <w:p w14:paraId="09D8B5C0" w14:textId="77777777" w:rsidR="00317A5A" w:rsidRPr="00317A5A" w:rsidRDefault="00317A5A" w:rsidP="008F4EBB">
      <w:pPr>
        <w:pStyle w:val="ListParagraph"/>
        <w:spacing w:line="276" w:lineRule="auto"/>
        <w:ind w:left="0"/>
        <w:jc w:val="both"/>
        <w:rPr>
          <w:rFonts w:ascii="Times New Roman" w:hAnsi="Times New Roman" w:cs="Times New Roman"/>
          <w:sz w:val="24"/>
          <w:szCs w:val="24"/>
        </w:rPr>
      </w:pPr>
    </w:p>
    <w:p w14:paraId="026DADC3" w14:textId="1D07AE42" w:rsidR="001076F6" w:rsidRDefault="001076F6"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Data Analysis Technique</w:t>
      </w:r>
    </w:p>
    <w:p w14:paraId="076783BB" w14:textId="082524DE" w:rsidR="00B134E8" w:rsidRDefault="00AA7F43" w:rsidP="008F4EBB">
      <w:pPr>
        <w:pStyle w:val="ListParagraph"/>
        <w:spacing w:line="276"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analysis technique used in this study uses </w:t>
      </w:r>
      <w:r w:rsidRPr="00AA7F43">
        <w:rPr>
          <w:rFonts w:ascii="Times New Roman" w:hAnsi="Times New Roman" w:cs="Times New Roman"/>
          <w:i/>
          <w:iCs/>
          <w:sz w:val="24"/>
          <w:szCs w:val="24"/>
        </w:rPr>
        <w:t>Vector Error Correction Model</w:t>
      </w:r>
      <w:r>
        <w:rPr>
          <w:rFonts w:ascii="Times New Roman" w:hAnsi="Times New Roman" w:cs="Times New Roman"/>
          <w:sz w:val="24"/>
          <w:szCs w:val="24"/>
        </w:rPr>
        <w:t xml:space="preserve"> (VECM), is a form of analysis of </w:t>
      </w:r>
      <w:r w:rsidRPr="00AA7F43">
        <w:rPr>
          <w:rFonts w:ascii="Times New Roman" w:hAnsi="Times New Roman" w:cs="Times New Roman"/>
          <w:i/>
          <w:iCs/>
          <w:sz w:val="24"/>
          <w:szCs w:val="24"/>
        </w:rPr>
        <w:t xml:space="preserve">Vector Auto Regression </w:t>
      </w:r>
      <w:r>
        <w:rPr>
          <w:rFonts w:ascii="Times New Roman" w:hAnsi="Times New Roman" w:cs="Times New Roman"/>
          <w:sz w:val="24"/>
          <w:szCs w:val="24"/>
        </w:rPr>
        <w:t xml:space="preserve">(VAR) is specifically designed for non-stastioner data with the criterion of cointegration, both in each variable it has correlation with each other and takes into account all conditions in the short and long term simultaneously, so as to create a more efficient parameter estimation </w:t>
      </w:r>
      <w:r w:rsidR="009A2ACE" w:rsidRPr="00D160E9">
        <w:rPr>
          <w:rFonts w:ascii="Times New Roman" w:hAnsi="Times New Roman" w:cs="Times New Roman"/>
          <w:sz w:val="24"/>
        </w:rPr>
        <w:t>(Marpaung et al., 2024)</w:t>
      </w:r>
      <w:r w:rsidR="008152F2" w:rsidRPr="00D160E9">
        <w:rPr>
          <w:rFonts w:ascii="Times New Roman" w:hAnsi="Times New Roman" w:cs="Times New Roman"/>
          <w:sz w:val="24"/>
          <w:szCs w:val="24"/>
        </w:rPr>
        <w:t xml:space="preserve">. The VECM technique has the advantage of a simple data analysis aspect, where there is no need to separate independent and dependent variables and can use the </w:t>
      </w:r>
      <w:r w:rsidRPr="00AA7F43">
        <w:rPr>
          <w:rFonts w:ascii="Times New Roman" w:hAnsi="Times New Roman" w:cs="Times New Roman"/>
          <w:i/>
          <w:iCs/>
          <w:sz w:val="24"/>
          <w:szCs w:val="24"/>
        </w:rPr>
        <w:t xml:space="preserve">Ordinary least squares </w:t>
      </w:r>
      <w:r>
        <w:rPr>
          <w:rFonts w:ascii="Times New Roman" w:hAnsi="Times New Roman" w:cs="Times New Roman"/>
          <w:sz w:val="24"/>
          <w:szCs w:val="24"/>
        </w:rPr>
        <w:t xml:space="preserve">(OLS). In VECM, there is an analysis component, namely </w:t>
      </w:r>
      <w:r w:rsidRPr="00AA7F43">
        <w:rPr>
          <w:rFonts w:ascii="Times New Roman" w:hAnsi="Times New Roman" w:cs="Times New Roman"/>
          <w:i/>
          <w:iCs/>
          <w:sz w:val="24"/>
          <w:szCs w:val="24"/>
        </w:rPr>
        <w:t>Impulse Response Function</w:t>
      </w:r>
      <w:r>
        <w:rPr>
          <w:rFonts w:ascii="Times New Roman" w:hAnsi="Times New Roman" w:cs="Times New Roman"/>
          <w:sz w:val="24"/>
          <w:szCs w:val="24"/>
        </w:rPr>
        <w:t xml:space="preserve"> (IRF) and </w:t>
      </w:r>
      <w:r w:rsidRPr="00AA7F43">
        <w:rPr>
          <w:rFonts w:ascii="Times New Roman" w:hAnsi="Times New Roman" w:cs="Times New Roman"/>
          <w:i/>
          <w:iCs/>
          <w:sz w:val="24"/>
          <w:szCs w:val="24"/>
        </w:rPr>
        <w:t xml:space="preserve">Forecast Error Variance Decomposition </w:t>
      </w:r>
      <w:r>
        <w:rPr>
          <w:rFonts w:ascii="Times New Roman" w:hAnsi="Times New Roman" w:cs="Times New Roman"/>
          <w:sz w:val="24"/>
          <w:szCs w:val="24"/>
        </w:rPr>
        <w:t xml:space="preserve">(FEVD). IRF analysis is used to analyze the impact of the shocks that occur caused by each variable on other variables, both in the short and long term. Meanwhile, FEVD analysis aims to analyze how influential the contribution of independent variables is to dependent variables and is usually expressed in the form of percentages (Basuki &amp; Prawoto, 2017). In this study, the VECM analysis technique was used to determine the influence of sharia monetary instrument variables on economic growth from 2015 to 2025. The data used is time series data and the form of data analyzed is quarterly data from each variable. Vector Error Correction Model (VECM) data processing using E-Views 14 software. The analysis carried out in this study includes stationarity test, optimal lag determination test, VAR stability test, Granger causality test, cointegration test, </w:t>
      </w:r>
      <w:r w:rsidR="00B134E8" w:rsidRPr="00B134E8">
        <w:rPr>
          <w:rFonts w:ascii="Times New Roman" w:hAnsi="Times New Roman" w:cs="Times New Roman"/>
          <w:i/>
          <w:iCs/>
          <w:sz w:val="24"/>
          <w:szCs w:val="24"/>
        </w:rPr>
        <w:t>Impulse Response Function</w:t>
      </w:r>
      <w:r w:rsidR="00B134E8">
        <w:rPr>
          <w:rFonts w:ascii="Times New Roman" w:hAnsi="Times New Roman" w:cs="Times New Roman"/>
          <w:sz w:val="24"/>
          <w:szCs w:val="24"/>
        </w:rPr>
        <w:t xml:space="preserve"> (IRF) and </w:t>
      </w:r>
      <w:r w:rsidR="00B134E8" w:rsidRPr="00B134E8">
        <w:rPr>
          <w:rFonts w:ascii="Times New Roman" w:hAnsi="Times New Roman" w:cs="Times New Roman"/>
          <w:i/>
          <w:iCs/>
          <w:sz w:val="24"/>
          <w:szCs w:val="24"/>
        </w:rPr>
        <w:t>Forecast Error Variance Decomposition</w:t>
      </w:r>
      <w:r w:rsidR="00B134E8">
        <w:rPr>
          <w:rFonts w:ascii="Times New Roman" w:hAnsi="Times New Roman" w:cs="Times New Roman"/>
          <w:sz w:val="24"/>
          <w:szCs w:val="24"/>
        </w:rPr>
        <w:t xml:space="preserve"> (FEVD).</w:t>
      </w:r>
    </w:p>
    <w:p w14:paraId="1E72C4B1" w14:textId="77777777" w:rsidR="001076F6" w:rsidRPr="00D160E9" w:rsidRDefault="001076F6" w:rsidP="008F4EBB">
      <w:pPr>
        <w:pStyle w:val="ListParagraph"/>
        <w:spacing w:line="276" w:lineRule="auto"/>
        <w:ind w:left="0"/>
        <w:jc w:val="both"/>
        <w:rPr>
          <w:rFonts w:ascii="Times New Roman" w:hAnsi="Times New Roman" w:cs="Times New Roman"/>
          <w:b/>
          <w:bCs/>
          <w:sz w:val="24"/>
          <w:szCs w:val="24"/>
        </w:rPr>
      </w:pPr>
    </w:p>
    <w:p w14:paraId="2AD84FA5" w14:textId="2676F47F" w:rsidR="001076F6" w:rsidRPr="00D160E9" w:rsidRDefault="001076F6"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RESULTS AND DISCUSSION</w:t>
      </w:r>
    </w:p>
    <w:p w14:paraId="2034E836" w14:textId="223AA1AB" w:rsidR="00B07D89" w:rsidRPr="00D160E9" w:rsidRDefault="00B07D89"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 xml:space="preserve">Stationarity Test </w:t>
      </w:r>
    </w:p>
    <w:p w14:paraId="08934F13" w14:textId="32E8C3B7" w:rsidR="007522C4" w:rsidRPr="00D160E9" w:rsidRDefault="007522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 xml:space="preserve">The Stationarity Test is a test that is carried out to analyze time series data that is stochastic or data that does not have a unit root. If the data has a unit root, it can be difficult to estimate a model, as the value will tend to fluctuate around the mean value. Therefore, it can be concluded that stationary data will tend to be close to the mean value and have a dynamic nature around the mean value (Gujarati, 2003). The Stationarity Test was developed by Dickey and Fuller, so this study uses </w:t>
      </w:r>
      <w:r w:rsidRPr="00D160E9">
        <w:rPr>
          <w:rFonts w:ascii="Times New Roman" w:hAnsi="Times New Roman" w:cs="Times New Roman"/>
          <w:i/>
          <w:iCs/>
          <w:sz w:val="24"/>
          <w:szCs w:val="24"/>
        </w:rPr>
        <w:t>Augmented Dickey-Fuller</w:t>
      </w:r>
      <w:r w:rsidRPr="00D160E9">
        <w:rPr>
          <w:rFonts w:ascii="Times New Roman" w:hAnsi="Times New Roman" w:cs="Times New Roman"/>
          <w:sz w:val="24"/>
          <w:szCs w:val="24"/>
        </w:rPr>
        <w:t xml:space="preserve"> (ADF) with a significance level of 0.05.</w:t>
      </w:r>
    </w:p>
    <w:p w14:paraId="2B7FA9AE" w14:textId="797B59BD" w:rsidR="007522C4" w:rsidRPr="00D160E9" w:rsidRDefault="007522C4" w:rsidP="00907844">
      <w:pPr>
        <w:pStyle w:val="ListParagraph"/>
        <w:spacing w:line="276" w:lineRule="auto"/>
        <w:ind w:left="0"/>
        <w:jc w:val="center"/>
        <w:rPr>
          <w:rFonts w:ascii="Times New Roman" w:hAnsi="Times New Roman" w:cs="Times New Roman"/>
          <w:sz w:val="24"/>
          <w:szCs w:val="24"/>
        </w:rPr>
      </w:pPr>
    </w:p>
    <w:p w14:paraId="2736E785" w14:textId="11661EB5" w:rsidR="00465D20" w:rsidRPr="005D3021" w:rsidRDefault="005D3021" w:rsidP="00907844">
      <w:pPr>
        <w:pStyle w:val="ListParagraph"/>
        <w:spacing w:line="276" w:lineRule="auto"/>
        <w:ind w:left="0"/>
        <w:jc w:val="center"/>
        <w:rPr>
          <w:rFonts w:ascii="Times New Roman" w:hAnsi="Times New Roman" w:cs="Times New Roman"/>
          <w:bCs/>
          <w:sz w:val="24"/>
          <w:szCs w:val="24"/>
        </w:rPr>
      </w:pPr>
      <w:r w:rsidRPr="005D3021">
        <w:rPr>
          <w:rFonts w:ascii="Times New Roman" w:hAnsi="Times New Roman" w:cs="Times New Roman"/>
          <w:bCs/>
          <w:sz w:val="24"/>
          <w:szCs w:val="24"/>
        </w:rPr>
        <w:t xml:space="preserve">Table 5. </w:t>
      </w:r>
      <w:r w:rsidR="00907844" w:rsidRPr="005D3021">
        <w:rPr>
          <w:rFonts w:ascii="Times New Roman" w:hAnsi="Times New Roman" w:cs="Times New Roman"/>
          <w:bCs/>
          <w:sz w:val="24"/>
          <w:szCs w:val="24"/>
        </w:rPr>
        <w:t>Stationarity Test</w:t>
      </w:r>
    </w:p>
    <w:tbl>
      <w:tblPr>
        <w:tblStyle w:val="TableGrid"/>
        <w:tblW w:w="5000" w:type="pct"/>
        <w:tblLook w:val="04A0" w:firstRow="1" w:lastRow="0" w:firstColumn="1" w:lastColumn="0" w:noHBand="0" w:noVBand="1"/>
      </w:tblPr>
      <w:tblGrid>
        <w:gridCol w:w="1390"/>
        <w:gridCol w:w="1356"/>
        <w:gridCol w:w="801"/>
        <w:gridCol w:w="1126"/>
        <w:gridCol w:w="799"/>
        <w:gridCol w:w="1185"/>
        <w:gridCol w:w="976"/>
        <w:gridCol w:w="1383"/>
      </w:tblGrid>
      <w:tr w:rsidR="007872A6" w:rsidRPr="00D160E9" w14:paraId="768C7B77" w14:textId="78817EBB" w:rsidTr="005D3021">
        <w:tc>
          <w:tcPr>
            <w:tcW w:w="717" w:type="pct"/>
            <w:vMerge w:val="restart"/>
          </w:tcPr>
          <w:p w14:paraId="59CA6E14" w14:textId="049C98FB" w:rsidR="007872A6" w:rsidRPr="00D160E9" w:rsidRDefault="007872A6" w:rsidP="006B1ACD">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Variable</w:t>
            </w:r>
          </w:p>
        </w:tc>
        <w:tc>
          <w:tcPr>
            <w:tcW w:w="1212" w:type="pct"/>
            <w:gridSpan w:val="2"/>
          </w:tcPr>
          <w:p w14:paraId="4E715904" w14:textId="6B6318E3" w:rsidR="007872A6" w:rsidRPr="00D160E9" w:rsidRDefault="007872A6" w:rsidP="006B1ACD">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Level</w:t>
            </w:r>
          </w:p>
        </w:tc>
        <w:tc>
          <w:tcPr>
            <w:tcW w:w="1083" w:type="pct"/>
            <w:gridSpan w:val="2"/>
          </w:tcPr>
          <w:p w14:paraId="2936BA8A" w14:textId="4E0EB431" w:rsidR="007872A6" w:rsidRPr="00D160E9" w:rsidRDefault="007872A6" w:rsidP="006B1ACD">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1stDifference</w:t>
            </w:r>
          </w:p>
        </w:tc>
        <w:tc>
          <w:tcPr>
            <w:tcW w:w="1213" w:type="pct"/>
            <w:gridSpan w:val="2"/>
          </w:tcPr>
          <w:p w14:paraId="69C2A8C1" w14:textId="145F4251" w:rsidR="007872A6" w:rsidRPr="00D160E9" w:rsidRDefault="007872A6" w:rsidP="006B1ACD">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2nd Difference</w:t>
            </w:r>
          </w:p>
        </w:tc>
        <w:tc>
          <w:tcPr>
            <w:tcW w:w="775" w:type="pct"/>
            <w:vMerge w:val="restart"/>
          </w:tcPr>
          <w:p w14:paraId="1AE7BCDA" w14:textId="6E8917EB" w:rsidR="007872A6" w:rsidRPr="00D160E9" w:rsidRDefault="007872A6" w:rsidP="006B1ACD">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Remarks</w:t>
            </w:r>
          </w:p>
        </w:tc>
      </w:tr>
      <w:tr w:rsidR="007872A6" w:rsidRPr="00D160E9" w14:paraId="076969AC" w14:textId="4744C6D8" w:rsidTr="005D3021">
        <w:tc>
          <w:tcPr>
            <w:tcW w:w="717" w:type="pct"/>
            <w:vMerge/>
          </w:tcPr>
          <w:p w14:paraId="06698B1B" w14:textId="2AD9E7C1" w:rsidR="007872A6" w:rsidRPr="00D160E9" w:rsidRDefault="007872A6" w:rsidP="008F4EBB">
            <w:pPr>
              <w:pStyle w:val="ListParagraph"/>
              <w:spacing w:line="276" w:lineRule="auto"/>
              <w:ind w:left="0"/>
              <w:jc w:val="both"/>
              <w:rPr>
                <w:rFonts w:ascii="Times New Roman" w:hAnsi="Times New Roman" w:cs="Times New Roman"/>
                <w:sz w:val="24"/>
                <w:szCs w:val="24"/>
              </w:rPr>
            </w:pPr>
          </w:p>
        </w:tc>
        <w:tc>
          <w:tcPr>
            <w:tcW w:w="760" w:type="pct"/>
          </w:tcPr>
          <w:p w14:paraId="1A0A3C7D" w14:textId="460DD2BE" w:rsidR="007872A6" w:rsidRPr="00D160E9" w:rsidRDefault="007872A6" w:rsidP="006B1ACD">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ADF</w:t>
            </w:r>
          </w:p>
        </w:tc>
        <w:tc>
          <w:tcPr>
            <w:tcW w:w="451" w:type="pct"/>
          </w:tcPr>
          <w:p w14:paraId="15BF4B4C" w14:textId="21E5D4A1" w:rsidR="007872A6" w:rsidRPr="00D160E9" w:rsidRDefault="007872A6" w:rsidP="006B1ACD">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Prob.</w:t>
            </w:r>
          </w:p>
        </w:tc>
        <w:tc>
          <w:tcPr>
            <w:tcW w:w="632" w:type="pct"/>
          </w:tcPr>
          <w:p w14:paraId="4C0CF629" w14:textId="05EEA221"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ADF</w:t>
            </w:r>
          </w:p>
        </w:tc>
        <w:tc>
          <w:tcPr>
            <w:tcW w:w="451" w:type="pct"/>
          </w:tcPr>
          <w:p w14:paraId="284C5671" w14:textId="2D0EAEEB"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Prob.</w:t>
            </w:r>
          </w:p>
        </w:tc>
        <w:tc>
          <w:tcPr>
            <w:tcW w:w="665" w:type="pct"/>
          </w:tcPr>
          <w:p w14:paraId="073F39D8" w14:textId="159BD077"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ADF</w:t>
            </w:r>
          </w:p>
        </w:tc>
        <w:tc>
          <w:tcPr>
            <w:tcW w:w="549" w:type="pct"/>
          </w:tcPr>
          <w:p w14:paraId="46BE8130" w14:textId="77590481"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Prob.</w:t>
            </w:r>
          </w:p>
        </w:tc>
        <w:tc>
          <w:tcPr>
            <w:tcW w:w="775" w:type="pct"/>
            <w:vMerge/>
          </w:tcPr>
          <w:p w14:paraId="348D2988" w14:textId="77777777" w:rsidR="007872A6" w:rsidRPr="00D160E9" w:rsidRDefault="007872A6" w:rsidP="008F4EBB">
            <w:pPr>
              <w:pStyle w:val="ListParagraph"/>
              <w:spacing w:line="276" w:lineRule="auto"/>
              <w:ind w:left="0"/>
              <w:jc w:val="both"/>
              <w:rPr>
                <w:rFonts w:ascii="Times New Roman" w:hAnsi="Times New Roman" w:cs="Times New Roman"/>
                <w:sz w:val="24"/>
                <w:szCs w:val="24"/>
              </w:rPr>
            </w:pPr>
          </w:p>
        </w:tc>
      </w:tr>
      <w:tr w:rsidR="007872A6" w:rsidRPr="00D160E9" w14:paraId="3F28D656" w14:textId="267F10D0" w:rsidTr="005D3021">
        <w:tc>
          <w:tcPr>
            <w:tcW w:w="717" w:type="pct"/>
          </w:tcPr>
          <w:p w14:paraId="72079A3D" w14:textId="756CC0ED"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SBIS</w:t>
            </w:r>
          </w:p>
        </w:tc>
        <w:tc>
          <w:tcPr>
            <w:tcW w:w="760" w:type="pct"/>
          </w:tcPr>
          <w:p w14:paraId="28B4FD30" w14:textId="5C075B35" w:rsidR="007872A6" w:rsidRPr="00D160E9" w:rsidRDefault="007872A6" w:rsidP="005D3021">
            <w:pPr>
              <w:pStyle w:val="ListParagraph"/>
              <w:spacing w:line="276" w:lineRule="auto"/>
              <w:ind w:left="0"/>
              <w:jc w:val="right"/>
              <w:rPr>
                <w:rFonts w:ascii="Times New Roman" w:hAnsi="Times New Roman" w:cs="Times New Roman"/>
                <w:sz w:val="24"/>
                <w:szCs w:val="24"/>
              </w:rPr>
            </w:pPr>
            <w:r w:rsidRPr="00D160E9">
              <w:rPr>
                <w:rFonts w:ascii="Times New Roman" w:hAnsi="Times New Roman" w:cs="Times New Roman"/>
                <w:sz w:val="24"/>
                <w:szCs w:val="24"/>
              </w:rPr>
              <w:t>-4.387</w:t>
            </w:r>
          </w:p>
        </w:tc>
        <w:tc>
          <w:tcPr>
            <w:tcW w:w="451" w:type="pct"/>
          </w:tcPr>
          <w:p w14:paraId="4261EAFC" w14:textId="0ABB14D3" w:rsidR="007872A6" w:rsidRPr="00D160E9" w:rsidRDefault="007872A6" w:rsidP="005D3021">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0,001</w:t>
            </w:r>
          </w:p>
        </w:tc>
        <w:tc>
          <w:tcPr>
            <w:tcW w:w="632" w:type="pct"/>
          </w:tcPr>
          <w:p w14:paraId="7FF3792D" w14:textId="461A9C92" w:rsidR="007872A6" w:rsidRPr="00D160E9" w:rsidRDefault="007872A6" w:rsidP="005D3021">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-8.561</w:t>
            </w:r>
          </w:p>
        </w:tc>
        <w:tc>
          <w:tcPr>
            <w:tcW w:w="451" w:type="pct"/>
          </w:tcPr>
          <w:p w14:paraId="3A7C9FD8" w14:textId="76CD3285"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0.000</w:t>
            </w:r>
          </w:p>
        </w:tc>
        <w:tc>
          <w:tcPr>
            <w:tcW w:w="665" w:type="pct"/>
          </w:tcPr>
          <w:p w14:paraId="1269E596" w14:textId="531D39CA" w:rsidR="007872A6" w:rsidRPr="00D160E9" w:rsidRDefault="007872A6" w:rsidP="005D3021">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-3.628</w:t>
            </w:r>
          </w:p>
        </w:tc>
        <w:tc>
          <w:tcPr>
            <w:tcW w:w="549" w:type="pct"/>
          </w:tcPr>
          <w:p w14:paraId="5C7B2A53" w14:textId="2650D369"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0.0097</w:t>
            </w:r>
          </w:p>
        </w:tc>
        <w:tc>
          <w:tcPr>
            <w:tcW w:w="775" w:type="pct"/>
          </w:tcPr>
          <w:p w14:paraId="73B4BD32" w14:textId="6C8BED39"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Stationary</w:t>
            </w:r>
          </w:p>
        </w:tc>
      </w:tr>
      <w:tr w:rsidR="007872A6" w:rsidRPr="00D160E9" w14:paraId="592F560D" w14:textId="77CB2BDC" w:rsidTr="005D3021">
        <w:tc>
          <w:tcPr>
            <w:tcW w:w="717" w:type="pct"/>
          </w:tcPr>
          <w:p w14:paraId="1CB38007" w14:textId="49EB8CFD"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FASBIS</w:t>
            </w:r>
          </w:p>
        </w:tc>
        <w:tc>
          <w:tcPr>
            <w:tcW w:w="760" w:type="pct"/>
          </w:tcPr>
          <w:p w14:paraId="2D435DC4" w14:textId="2142F12C" w:rsidR="007872A6" w:rsidRPr="00D160E9" w:rsidRDefault="007872A6" w:rsidP="005D3021">
            <w:pPr>
              <w:pStyle w:val="ListParagraph"/>
              <w:spacing w:line="276" w:lineRule="auto"/>
              <w:ind w:left="0"/>
              <w:jc w:val="right"/>
              <w:rPr>
                <w:rFonts w:ascii="Times New Roman" w:hAnsi="Times New Roman" w:cs="Times New Roman"/>
                <w:sz w:val="24"/>
                <w:szCs w:val="24"/>
              </w:rPr>
            </w:pPr>
            <w:r w:rsidRPr="00D160E9">
              <w:rPr>
                <w:rFonts w:ascii="Times New Roman" w:hAnsi="Times New Roman" w:cs="Times New Roman"/>
                <w:sz w:val="24"/>
                <w:szCs w:val="24"/>
              </w:rPr>
              <w:t>1.684</w:t>
            </w:r>
          </w:p>
        </w:tc>
        <w:tc>
          <w:tcPr>
            <w:tcW w:w="451" w:type="pct"/>
          </w:tcPr>
          <w:p w14:paraId="0C70FE26" w14:textId="4B36A740" w:rsidR="007872A6" w:rsidRPr="00D160E9" w:rsidRDefault="007872A6" w:rsidP="005D3021">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0.999</w:t>
            </w:r>
          </w:p>
        </w:tc>
        <w:tc>
          <w:tcPr>
            <w:tcW w:w="632" w:type="pct"/>
          </w:tcPr>
          <w:p w14:paraId="5FF8C432" w14:textId="05F5768B" w:rsidR="007872A6" w:rsidRPr="00D160E9" w:rsidRDefault="007872A6" w:rsidP="005D3021">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0.415</w:t>
            </w:r>
          </w:p>
        </w:tc>
        <w:tc>
          <w:tcPr>
            <w:tcW w:w="451" w:type="pct"/>
          </w:tcPr>
          <w:p w14:paraId="658B9345" w14:textId="5F36C480"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w:t>
            </w:r>
            <w:r w:rsidR="005D3021">
              <w:rPr>
                <w:rFonts w:ascii="Times New Roman" w:hAnsi="Times New Roman" w:cs="Times New Roman"/>
                <w:sz w:val="24"/>
                <w:szCs w:val="24"/>
              </w:rPr>
              <w:t>.981</w:t>
            </w:r>
          </w:p>
        </w:tc>
        <w:tc>
          <w:tcPr>
            <w:tcW w:w="665" w:type="pct"/>
          </w:tcPr>
          <w:p w14:paraId="2E3EDD5F" w14:textId="2C75BA68" w:rsidR="007872A6" w:rsidRPr="00D160E9" w:rsidRDefault="005D3021" w:rsidP="005D3021">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-10.707</w:t>
            </w:r>
          </w:p>
        </w:tc>
        <w:tc>
          <w:tcPr>
            <w:tcW w:w="549" w:type="pct"/>
          </w:tcPr>
          <w:p w14:paraId="15729B00" w14:textId="18CE8333" w:rsidR="007872A6" w:rsidRPr="00D160E9" w:rsidRDefault="007A6A4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0.0000</w:t>
            </w:r>
          </w:p>
        </w:tc>
        <w:tc>
          <w:tcPr>
            <w:tcW w:w="775" w:type="pct"/>
          </w:tcPr>
          <w:p w14:paraId="485E8B23" w14:textId="14490AEC" w:rsidR="007872A6" w:rsidRPr="00D160E9" w:rsidRDefault="007A6A4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Stationary</w:t>
            </w:r>
          </w:p>
        </w:tc>
      </w:tr>
      <w:tr w:rsidR="007872A6" w:rsidRPr="00D160E9" w14:paraId="2AD163D8" w14:textId="6E0C8D10" w:rsidTr="005D3021">
        <w:tc>
          <w:tcPr>
            <w:tcW w:w="717" w:type="pct"/>
          </w:tcPr>
          <w:p w14:paraId="0805234B" w14:textId="0576826E"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SATISFIED</w:t>
            </w:r>
          </w:p>
        </w:tc>
        <w:tc>
          <w:tcPr>
            <w:tcW w:w="760" w:type="pct"/>
          </w:tcPr>
          <w:p w14:paraId="48279D4E" w14:textId="202AF48F" w:rsidR="007872A6" w:rsidRPr="00D160E9" w:rsidRDefault="007A6A48" w:rsidP="005D3021">
            <w:pPr>
              <w:pStyle w:val="ListParagraph"/>
              <w:spacing w:line="276" w:lineRule="auto"/>
              <w:ind w:left="0"/>
              <w:jc w:val="right"/>
              <w:rPr>
                <w:rFonts w:ascii="Times New Roman" w:hAnsi="Times New Roman" w:cs="Times New Roman"/>
                <w:sz w:val="24"/>
                <w:szCs w:val="24"/>
              </w:rPr>
            </w:pPr>
            <w:r w:rsidRPr="00D160E9">
              <w:rPr>
                <w:rFonts w:ascii="Times New Roman" w:hAnsi="Times New Roman" w:cs="Times New Roman"/>
                <w:sz w:val="24"/>
                <w:szCs w:val="24"/>
              </w:rPr>
              <w:t>-1.747</w:t>
            </w:r>
          </w:p>
        </w:tc>
        <w:tc>
          <w:tcPr>
            <w:tcW w:w="451" w:type="pct"/>
          </w:tcPr>
          <w:p w14:paraId="32CAA7DB" w14:textId="689585B0" w:rsidR="007872A6" w:rsidRPr="00D160E9" w:rsidRDefault="005D3021" w:rsidP="005D3021">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0.401</w:t>
            </w:r>
          </w:p>
        </w:tc>
        <w:tc>
          <w:tcPr>
            <w:tcW w:w="632" w:type="pct"/>
          </w:tcPr>
          <w:p w14:paraId="59077E07" w14:textId="34D15C62" w:rsidR="007872A6" w:rsidRPr="00D160E9" w:rsidRDefault="007A6A48" w:rsidP="005D3021">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-11.245</w:t>
            </w:r>
          </w:p>
        </w:tc>
        <w:tc>
          <w:tcPr>
            <w:tcW w:w="451" w:type="pct"/>
          </w:tcPr>
          <w:p w14:paraId="0F7ABB72" w14:textId="688A63E0" w:rsidR="007872A6" w:rsidRPr="00D160E9" w:rsidRDefault="007A6A4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0.000</w:t>
            </w:r>
          </w:p>
        </w:tc>
        <w:tc>
          <w:tcPr>
            <w:tcW w:w="665" w:type="pct"/>
          </w:tcPr>
          <w:p w14:paraId="10E87D57" w14:textId="3B7CF82E" w:rsidR="007872A6" w:rsidRPr="00D160E9" w:rsidRDefault="007A6A48" w:rsidP="005D3021">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-6.394</w:t>
            </w:r>
          </w:p>
        </w:tc>
        <w:tc>
          <w:tcPr>
            <w:tcW w:w="549" w:type="pct"/>
          </w:tcPr>
          <w:p w14:paraId="69FDD0E3" w14:textId="1DEB98A2" w:rsidR="007872A6" w:rsidRPr="00D160E9" w:rsidRDefault="007A6A4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0.0000</w:t>
            </w:r>
          </w:p>
        </w:tc>
        <w:tc>
          <w:tcPr>
            <w:tcW w:w="775" w:type="pct"/>
          </w:tcPr>
          <w:p w14:paraId="728C865C" w14:textId="190CDDDE" w:rsidR="007872A6" w:rsidRPr="00D160E9" w:rsidRDefault="007A6A4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Stationary</w:t>
            </w:r>
          </w:p>
        </w:tc>
      </w:tr>
      <w:tr w:rsidR="007872A6" w:rsidRPr="00D160E9" w14:paraId="6D35411C" w14:textId="140B78D3" w:rsidTr="005D3021">
        <w:tc>
          <w:tcPr>
            <w:tcW w:w="717" w:type="pct"/>
          </w:tcPr>
          <w:p w14:paraId="3DF0226C" w14:textId="0C32CF15" w:rsidR="007872A6" w:rsidRPr="00D160E9" w:rsidRDefault="007872A6"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OR</w:t>
            </w:r>
          </w:p>
        </w:tc>
        <w:tc>
          <w:tcPr>
            <w:tcW w:w="760" w:type="pct"/>
          </w:tcPr>
          <w:p w14:paraId="4065519E" w14:textId="2AF4E80B" w:rsidR="007872A6" w:rsidRPr="00D160E9" w:rsidRDefault="007A6A48" w:rsidP="005D3021">
            <w:pPr>
              <w:pStyle w:val="ListParagraph"/>
              <w:spacing w:line="276" w:lineRule="auto"/>
              <w:ind w:left="0"/>
              <w:jc w:val="right"/>
              <w:rPr>
                <w:rFonts w:ascii="Times New Roman" w:hAnsi="Times New Roman" w:cs="Times New Roman"/>
                <w:sz w:val="24"/>
                <w:szCs w:val="24"/>
              </w:rPr>
            </w:pPr>
            <w:r w:rsidRPr="00D160E9">
              <w:rPr>
                <w:rFonts w:ascii="Times New Roman" w:hAnsi="Times New Roman" w:cs="Times New Roman"/>
                <w:sz w:val="24"/>
                <w:szCs w:val="24"/>
              </w:rPr>
              <w:t>0.718</w:t>
            </w:r>
          </w:p>
        </w:tc>
        <w:tc>
          <w:tcPr>
            <w:tcW w:w="451" w:type="pct"/>
          </w:tcPr>
          <w:p w14:paraId="09F8DFB6" w14:textId="362B21F1" w:rsidR="007872A6" w:rsidRPr="00D160E9" w:rsidRDefault="007A6A4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w:t>
            </w:r>
            <w:r w:rsidR="005D3021">
              <w:rPr>
                <w:rFonts w:ascii="Times New Roman" w:hAnsi="Times New Roman" w:cs="Times New Roman"/>
                <w:sz w:val="24"/>
                <w:szCs w:val="24"/>
              </w:rPr>
              <w:t>.991</w:t>
            </w:r>
          </w:p>
        </w:tc>
        <w:tc>
          <w:tcPr>
            <w:tcW w:w="632" w:type="pct"/>
          </w:tcPr>
          <w:p w14:paraId="59C303BA" w14:textId="0801A783" w:rsidR="007872A6" w:rsidRPr="00D160E9" w:rsidRDefault="005D3021" w:rsidP="005D3021">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-7.717</w:t>
            </w:r>
          </w:p>
        </w:tc>
        <w:tc>
          <w:tcPr>
            <w:tcW w:w="451" w:type="pct"/>
          </w:tcPr>
          <w:p w14:paraId="2972D13C" w14:textId="08A5A44A" w:rsidR="007872A6" w:rsidRPr="00D160E9" w:rsidRDefault="007A6A4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0.000</w:t>
            </w:r>
          </w:p>
        </w:tc>
        <w:tc>
          <w:tcPr>
            <w:tcW w:w="665" w:type="pct"/>
          </w:tcPr>
          <w:p w14:paraId="763BE36A" w14:textId="4449D2BB" w:rsidR="007872A6" w:rsidRPr="00D160E9" w:rsidRDefault="007A6A48" w:rsidP="005D3021">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-11.642</w:t>
            </w:r>
          </w:p>
        </w:tc>
        <w:tc>
          <w:tcPr>
            <w:tcW w:w="549" w:type="pct"/>
          </w:tcPr>
          <w:p w14:paraId="3D471CDA" w14:textId="7EA82C79" w:rsidR="007872A6" w:rsidRPr="00D160E9" w:rsidRDefault="007A6A4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0.0000</w:t>
            </w:r>
          </w:p>
        </w:tc>
        <w:tc>
          <w:tcPr>
            <w:tcW w:w="775" w:type="pct"/>
          </w:tcPr>
          <w:p w14:paraId="172704CE" w14:textId="76FBEFF9" w:rsidR="007872A6" w:rsidRPr="00D160E9" w:rsidRDefault="007A6A4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Stationary</w:t>
            </w:r>
          </w:p>
        </w:tc>
      </w:tr>
    </w:tbl>
    <w:p w14:paraId="34A731C3" w14:textId="3BFBEF6A" w:rsidR="00BF4D33" w:rsidRPr="00D160E9" w:rsidRDefault="006B1ACD" w:rsidP="005D3021">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Source : Secondary Data processed, 2026</w:t>
      </w:r>
    </w:p>
    <w:p w14:paraId="0DA4E6DA" w14:textId="77777777" w:rsidR="00BF4D33" w:rsidRPr="00D160E9" w:rsidRDefault="00BF4D33" w:rsidP="008F4EBB">
      <w:pPr>
        <w:pStyle w:val="ListParagraph"/>
        <w:spacing w:line="276" w:lineRule="auto"/>
        <w:ind w:left="0"/>
        <w:jc w:val="both"/>
        <w:rPr>
          <w:rFonts w:ascii="Times New Roman" w:hAnsi="Times New Roman" w:cs="Times New Roman"/>
          <w:b/>
          <w:bCs/>
          <w:sz w:val="24"/>
          <w:szCs w:val="24"/>
        </w:rPr>
      </w:pPr>
    </w:p>
    <w:p w14:paraId="459A0B9F" w14:textId="4C19CC77" w:rsidR="00BF4D33" w:rsidRPr="00D160E9" w:rsidRDefault="006B1ACD"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 xml:space="preserve">Based on the results in table </w:t>
      </w:r>
      <w:r w:rsidR="005D3021">
        <w:rPr>
          <w:rFonts w:ascii="Times New Roman" w:hAnsi="Times New Roman" w:cs="Times New Roman"/>
          <w:sz w:val="24"/>
          <w:szCs w:val="24"/>
        </w:rPr>
        <w:t>5</w:t>
      </w:r>
      <w:r w:rsidRPr="00D160E9">
        <w:rPr>
          <w:rFonts w:ascii="Times New Roman" w:hAnsi="Times New Roman" w:cs="Times New Roman"/>
          <w:sz w:val="24"/>
          <w:szCs w:val="24"/>
        </w:rPr>
        <w:t xml:space="preserve"> above, it can be known that the statistical value of the stationarity test in each variable, including FASBIS, PUAS, and PE, is not stationary at the basic level, but SBIS is stationary at the basic level. Then, the ADF test was carried out at the first level of difference and variables were obtained, namely SBIS, PUAS, and stationary PE. However, FASBIS is not yet stationary, so testing is carried out at the second level and stationary results are obtained. All of these variables already have consistent variations and can be tested at a later stage.</w:t>
      </w:r>
    </w:p>
    <w:p w14:paraId="2C41F87A" w14:textId="77777777" w:rsidR="006B1ACD" w:rsidRPr="00D160E9" w:rsidRDefault="006B1ACD" w:rsidP="008F4EBB">
      <w:pPr>
        <w:pStyle w:val="ListParagraph"/>
        <w:spacing w:line="276" w:lineRule="auto"/>
        <w:ind w:left="0"/>
        <w:jc w:val="both"/>
        <w:rPr>
          <w:rFonts w:ascii="Times New Roman" w:hAnsi="Times New Roman" w:cs="Times New Roman"/>
          <w:sz w:val="24"/>
          <w:szCs w:val="24"/>
        </w:rPr>
      </w:pPr>
    </w:p>
    <w:p w14:paraId="246C74E7" w14:textId="02DBADCE" w:rsidR="006B1ACD" w:rsidRPr="00D160E9" w:rsidRDefault="006B1ACD"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Optimal Lag Test</w:t>
      </w:r>
    </w:p>
    <w:p w14:paraId="566B6AE5" w14:textId="35B24EFB" w:rsidR="00020624" w:rsidRDefault="00E4628E"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 xml:space="preserve">Optimal lag length testing is one of the VAR tests that must be done, because it is useful to eliminate autocorrelation problems that occur, so it is hoped that through this test, autocorrelation symptoms will not occur (Nugroho, 2009). The Optimal Lag Length Test is based on several conditions, including the following criteria: </w:t>
      </w:r>
      <w:r w:rsidRPr="00020624">
        <w:rPr>
          <w:rFonts w:ascii="Times New Roman" w:hAnsi="Times New Roman" w:cs="Times New Roman"/>
          <w:i/>
          <w:iCs/>
          <w:sz w:val="24"/>
          <w:szCs w:val="24"/>
        </w:rPr>
        <w:t>Schwarz Criterion</w:t>
      </w:r>
      <w:r w:rsidRPr="00D160E9">
        <w:rPr>
          <w:rFonts w:ascii="Times New Roman" w:hAnsi="Times New Roman" w:cs="Times New Roman"/>
          <w:sz w:val="24"/>
          <w:szCs w:val="24"/>
        </w:rPr>
        <w:t xml:space="preserve"> (SC) and </w:t>
      </w:r>
      <w:r w:rsidRPr="00020624">
        <w:rPr>
          <w:rFonts w:ascii="Times New Roman" w:hAnsi="Times New Roman" w:cs="Times New Roman"/>
          <w:i/>
          <w:iCs/>
          <w:sz w:val="24"/>
          <w:szCs w:val="24"/>
        </w:rPr>
        <w:t>Intelligence Information Criterion</w:t>
      </w:r>
      <w:r w:rsidRPr="00D160E9">
        <w:rPr>
          <w:rFonts w:ascii="Times New Roman" w:hAnsi="Times New Roman" w:cs="Times New Roman"/>
          <w:sz w:val="24"/>
          <w:szCs w:val="24"/>
        </w:rPr>
        <w:t xml:space="preserve"> (AIC). The basis for decision-making in the optimal lag test, if in one of the lags, the AIC and SIC values show the lowest proportion of numbers.</w:t>
      </w:r>
    </w:p>
    <w:p w14:paraId="5C56917F" w14:textId="77777777" w:rsidR="005D3021" w:rsidRDefault="005D3021" w:rsidP="008F4EBB">
      <w:pPr>
        <w:pStyle w:val="ListParagraph"/>
        <w:spacing w:line="276" w:lineRule="auto"/>
        <w:ind w:left="0"/>
        <w:jc w:val="both"/>
        <w:rPr>
          <w:rFonts w:ascii="Times New Roman" w:hAnsi="Times New Roman" w:cs="Times New Roman"/>
          <w:sz w:val="24"/>
          <w:szCs w:val="24"/>
        </w:rPr>
      </w:pPr>
    </w:p>
    <w:p w14:paraId="49C92C0A" w14:textId="1FCCBBC1" w:rsidR="007A6A48" w:rsidRPr="005D3021" w:rsidRDefault="005D3021" w:rsidP="007A6A48">
      <w:pPr>
        <w:pStyle w:val="ListParagraph"/>
        <w:spacing w:line="276" w:lineRule="auto"/>
        <w:ind w:left="0"/>
        <w:jc w:val="center"/>
        <w:rPr>
          <w:rFonts w:ascii="Times New Roman" w:hAnsi="Times New Roman" w:cs="Times New Roman"/>
          <w:bCs/>
          <w:sz w:val="24"/>
          <w:szCs w:val="24"/>
        </w:rPr>
      </w:pPr>
      <w:r w:rsidRPr="005D3021">
        <w:rPr>
          <w:rFonts w:ascii="Times New Roman" w:hAnsi="Times New Roman" w:cs="Times New Roman"/>
          <w:bCs/>
          <w:sz w:val="24"/>
          <w:szCs w:val="24"/>
        </w:rPr>
        <w:t xml:space="preserve">Table 6. </w:t>
      </w:r>
      <w:r w:rsidR="007A6A48" w:rsidRPr="005D3021">
        <w:rPr>
          <w:rFonts w:ascii="Times New Roman" w:hAnsi="Times New Roman" w:cs="Times New Roman"/>
          <w:bCs/>
          <w:sz w:val="24"/>
          <w:szCs w:val="24"/>
        </w:rPr>
        <w:t>Optimal Lag Length Test</w:t>
      </w:r>
    </w:p>
    <w:tbl>
      <w:tblPr>
        <w:tblStyle w:val="TableGrid"/>
        <w:tblW w:w="5000" w:type="pct"/>
        <w:tblLook w:val="04A0" w:firstRow="1" w:lastRow="0" w:firstColumn="1" w:lastColumn="0" w:noHBand="0" w:noVBand="1"/>
      </w:tblPr>
      <w:tblGrid>
        <w:gridCol w:w="1390"/>
        <w:gridCol w:w="1102"/>
        <w:gridCol w:w="1275"/>
        <w:gridCol w:w="1356"/>
        <w:gridCol w:w="1275"/>
        <w:gridCol w:w="1347"/>
        <w:gridCol w:w="1271"/>
      </w:tblGrid>
      <w:tr w:rsidR="00924B30" w:rsidRPr="00D160E9" w14:paraId="684C7EA6" w14:textId="77777777" w:rsidTr="008A4ADC">
        <w:tc>
          <w:tcPr>
            <w:tcW w:w="771" w:type="pct"/>
            <w:vMerge w:val="restart"/>
          </w:tcPr>
          <w:p w14:paraId="1AC05B11" w14:textId="5D3E99F0" w:rsidR="00924B30"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Variable</w:t>
            </w:r>
          </w:p>
        </w:tc>
        <w:tc>
          <w:tcPr>
            <w:tcW w:w="611" w:type="pct"/>
            <w:vMerge w:val="restart"/>
          </w:tcPr>
          <w:p w14:paraId="60725A57" w14:textId="3536E3C6" w:rsidR="00924B30"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Lag</w:t>
            </w:r>
          </w:p>
        </w:tc>
        <w:tc>
          <w:tcPr>
            <w:tcW w:w="3619" w:type="pct"/>
            <w:gridSpan w:val="5"/>
          </w:tcPr>
          <w:p w14:paraId="13C42F05" w14:textId="5D1B9311" w:rsidR="00924B30"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Criteria</w:t>
            </w:r>
          </w:p>
        </w:tc>
      </w:tr>
      <w:tr w:rsidR="00924B30" w:rsidRPr="00D160E9" w14:paraId="34CBA0F4" w14:textId="77777777" w:rsidTr="008A4ADC">
        <w:tc>
          <w:tcPr>
            <w:tcW w:w="771" w:type="pct"/>
            <w:vMerge/>
          </w:tcPr>
          <w:p w14:paraId="59A38A1C" w14:textId="77777777" w:rsidR="00924B30" w:rsidRPr="00D160E9" w:rsidRDefault="00924B30" w:rsidP="007A6A48">
            <w:pPr>
              <w:pStyle w:val="ListParagraph"/>
              <w:spacing w:line="276" w:lineRule="auto"/>
              <w:ind w:left="0"/>
              <w:jc w:val="center"/>
              <w:rPr>
                <w:rFonts w:ascii="Times New Roman" w:hAnsi="Times New Roman" w:cs="Times New Roman"/>
                <w:sz w:val="24"/>
                <w:szCs w:val="24"/>
              </w:rPr>
            </w:pPr>
          </w:p>
        </w:tc>
        <w:tc>
          <w:tcPr>
            <w:tcW w:w="611" w:type="pct"/>
            <w:vMerge/>
          </w:tcPr>
          <w:p w14:paraId="71F62BE9" w14:textId="77777777" w:rsidR="00924B30" w:rsidRPr="00D160E9" w:rsidRDefault="00924B30" w:rsidP="007A6A48">
            <w:pPr>
              <w:pStyle w:val="ListParagraph"/>
              <w:spacing w:line="276" w:lineRule="auto"/>
              <w:ind w:left="0"/>
              <w:jc w:val="center"/>
              <w:rPr>
                <w:rFonts w:ascii="Times New Roman" w:hAnsi="Times New Roman" w:cs="Times New Roman"/>
                <w:sz w:val="24"/>
                <w:szCs w:val="24"/>
              </w:rPr>
            </w:pPr>
          </w:p>
        </w:tc>
        <w:tc>
          <w:tcPr>
            <w:tcW w:w="707" w:type="pct"/>
          </w:tcPr>
          <w:p w14:paraId="0BFF7E63" w14:textId="5EF0A1DA" w:rsidR="00924B30"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LR</w:t>
            </w:r>
          </w:p>
        </w:tc>
        <w:tc>
          <w:tcPr>
            <w:tcW w:w="752" w:type="pct"/>
          </w:tcPr>
          <w:p w14:paraId="63A04F70" w14:textId="456C3BBF" w:rsidR="00924B30"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FPE</w:t>
            </w:r>
          </w:p>
        </w:tc>
        <w:tc>
          <w:tcPr>
            <w:tcW w:w="707" w:type="pct"/>
          </w:tcPr>
          <w:p w14:paraId="181473BA" w14:textId="19483B5C" w:rsidR="00924B30"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AIC</w:t>
            </w:r>
          </w:p>
        </w:tc>
        <w:tc>
          <w:tcPr>
            <w:tcW w:w="747" w:type="pct"/>
          </w:tcPr>
          <w:p w14:paraId="63A85998" w14:textId="15C0799E" w:rsidR="00924B30"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SC</w:t>
            </w:r>
          </w:p>
        </w:tc>
        <w:tc>
          <w:tcPr>
            <w:tcW w:w="707" w:type="pct"/>
          </w:tcPr>
          <w:p w14:paraId="4C8210CF" w14:textId="513C0502" w:rsidR="00924B30"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HQ</w:t>
            </w:r>
          </w:p>
        </w:tc>
      </w:tr>
      <w:tr w:rsidR="007A6A48" w:rsidRPr="00D160E9" w14:paraId="2398A560" w14:textId="77777777" w:rsidTr="008A4ADC">
        <w:tc>
          <w:tcPr>
            <w:tcW w:w="771" w:type="pct"/>
          </w:tcPr>
          <w:p w14:paraId="02EA7C9F" w14:textId="6D30E464"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SBIS</w:t>
            </w:r>
          </w:p>
        </w:tc>
        <w:tc>
          <w:tcPr>
            <w:tcW w:w="611" w:type="pct"/>
          </w:tcPr>
          <w:p w14:paraId="78BB9A47" w14:textId="7D9E31B1"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w:t>
            </w:r>
          </w:p>
        </w:tc>
        <w:tc>
          <w:tcPr>
            <w:tcW w:w="707" w:type="pct"/>
          </w:tcPr>
          <w:p w14:paraId="501A90AD" w14:textId="25613BA9"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OR</w:t>
            </w:r>
          </w:p>
        </w:tc>
        <w:tc>
          <w:tcPr>
            <w:tcW w:w="752" w:type="pct"/>
          </w:tcPr>
          <w:p w14:paraId="262D2992" w14:textId="609E30AC"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1100137</w:t>
            </w:r>
          </w:p>
        </w:tc>
        <w:tc>
          <w:tcPr>
            <w:tcW w:w="707" w:type="pct"/>
          </w:tcPr>
          <w:p w14:paraId="2DA08F05" w14:textId="4A009157"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25.26241</w:t>
            </w:r>
          </w:p>
        </w:tc>
        <w:tc>
          <w:tcPr>
            <w:tcW w:w="747" w:type="pct"/>
          </w:tcPr>
          <w:p w14:paraId="039B8983" w14:textId="63B22F6A" w:rsidR="007A6A48" w:rsidRPr="00D160E9" w:rsidRDefault="00924B30" w:rsidP="007A6A48">
            <w:pPr>
              <w:pStyle w:val="ListParagraph"/>
              <w:spacing w:line="276" w:lineRule="auto"/>
              <w:ind w:left="0"/>
              <w:jc w:val="center"/>
              <w:rPr>
                <w:rFonts w:ascii="Times New Roman" w:hAnsi="Times New Roman" w:cs="Times New Roman"/>
                <w:b/>
                <w:bCs/>
                <w:sz w:val="24"/>
                <w:szCs w:val="24"/>
              </w:rPr>
            </w:pPr>
            <w:r w:rsidRPr="00D160E9">
              <w:rPr>
                <w:rFonts w:ascii="Times New Roman" w:hAnsi="Times New Roman" w:cs="Times New Roman"/>
                <w:b/>
                <w:bCs/>
                <w:sz w:val="24"/>
                <w:szCs w:val="24"/>
              </w:rPr>
              <w:t>25.431130*</w:t>
            </w:r>
          </w:p>
        </w:tc>
        <w:tc>
          <w:tcPr>
            <w:tcW w:w="707" w:type="pct"/>
          </w:tcPr>
          <w:p w14:paraId="00F72024" w14:textId="3DC85863"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25.32348</w:t>
            </w:r>
          </w:p>
        </w:tc>
      </w:tr>
      <w:tr w:rsidR="007A6A48" w:rsidRPr="00D160E9" w14:paraId="74E7A595" w14:textId="77777777" w:rsidTr="008A4ADC">
        <w:tc>
          <w:tcPr>
            <w:tcW w:w="771" w:type="pct"/>
          </w:tcPr>
          <w:p w14:paraId="320D125E" w14:textId="56171D87"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FASBIS</w:t>
            </w:r>
          </w:p>
        </w:tc>
        <w:tc>
          <w:tcPr>
            <w:tcW w:w="611" w:type="pct"/>
          </w:tcPr>
          <w:p w14:paraId="3A8671DC" w14:textId="38E53F6C"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w:t>
            </w:r>
          </w:p>
        </w:tc>
        <w:tc>
          <w:tcPr>
            <w:tcW w:w="707" w:type="pct"/>
          </w:tcPr>
          <w:p w14:paraId="52CACE9D" w14:textId="00F37A3B"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38.42145</w:t>
            </w:r>
          </w:p>
        </w:tc>
        <w:tc>
          <w:tcPr>
            <w:tcW w:w="752" w:type="pct"/>
          </w:tcPr>
          <w:p w14:paraId="49653C58" w14:textId="1E827AA8" w:rsidR="007A6A48" w:rsidRPr="00D160E9" w:rsidRDefault="00924B30" w:rsidP="007A6A48">
            <w:pPr>
              <w:pStyle w:val="ListParagraph"/>
              <w:spacing w:line="276" w:lineRule="auto"/>
              <w:ind w:left="0"/>
              <w:jc w:val="center"/>
              <w:rPr>
                <w:rFonts w:ascii="Times New Roman" w:hAnsi="Times New Roman" w:cs="Times New Roman"/>
                <w:b/>
                <w:bCs/>
                <w:sz w:val="24"/>
                <w:szCs w:val="24"/>
              </w:rPr>
            </w:pPr>
            <w:r w:rsidRPr="00D160E9">
              <w:rPr>
                <w:rFonts w:ascii="Times New Roman" w:hAnsi="Times New Roman" w:cs="Times New Roman"/>
                <w:b/>
                <w:bCs/>
                <w:sz w:val="24"/>
                <w:szCs w:val="24"/>
              </w:rPr>
              <w:t>821104.6</w:t>
            </w:r>
          </w:p>
        </w:tc>
        <w:tc>
          <w:tcPr>
            <w:tcW w:w="707" w:type="pct"/>
          </w:tcPr>
          <w:p w14:paraId="4BC8D79B" w14:textId="74DE9FA4"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24.96466</w:t>
            </w:r>
          </w:p>
        </w:tc>
        <w:tc>
          <w:tcPr>
            <w:tcW w:w="747" w:type="pct"/>
          </w:tcPr>
          <w:p w14:paraId="730434C4" w14:textId="7973EBA1"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25.80910</w:t>
            </w:r>
          </w:p>
        </w:tc>
        <w:tc>
          <w:tcPr>
            <w:tcW w:w="707" w:type="pct"/>
          </w:tcPr>
          <w:p w14:paraId="03692CC8" w14:textId="0F1B65E4" w:rsidR="007A6A48" w:rsidRPr="00D160E9" w:rsidRDefault="00924B30" w:rsidP="007A6A48">
            <w:pPr>
              <w:pStyle w:val="ListParagraph"/>
              <w:spacing w:line="276" w:lineRule="auto"/>
              <w:ind w:left="0"/>
              <w:jc w:val="center"/>
              <w:rPr>
                <w:rFonts w:ascii="Times New Roman" w:hAnsi="Times New Roman" w:cs="Times New Roman"/>
                <w:b/>
                <w:bCs/>
                <w:sz w:val="24"/>
                <w:szCs w:val="24"/>
              </w:rPr>
            </w:pPr>
            <w:r w:rsidRPr="00D160E9">
              <w:rPr>
                <w:rFonts w:ascii="Times New Roman" w:hAnsi="Times New Roman" w:cs="Times New Roman"/>
                <w:b/>
                <w:bCs/>
                <w:sz w:val="24"/>
                <w:szCs w:val="24"/>
              </w:rPr>
              <w:t>25.26998*</w:t>
            </w:r>
          </w:p>
        </w:tc>
      </w:tr>
      <w:tr w:rsidR="007A6A48" w:rsidRPr="00D160E9" w14:paraId="0779EFAB" w14:textId="77777777" w:rsidTr="008A4ADC">
        <w:tc>
          <w:tcPr>
            <w:tcW w:w="771" w:type="pct"/>
          </w:tcPr>
          <w:p w14:paraId="75C8366B" w14:textId="2C48CA07"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SATISFIED</w:t>
            </w:r>
          </w:p>
        </w:tc>
        <w:tc>
          <w:tcPr>
            <w:tcW w:w="611" w:type="pct"/>
          </w:tcPr>
          <w:p w14:paraId="1CDC994A" w14:textId="4DBEF045"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w:t>
            </w:r>
          </w:p>
        </w:tc>
        <w:tc>
          <w:tcPr>
            <w:tcW w:w="707" w:type="pct"/>
          </w:tcPr>
          <w:p w14:paraId="55F16D72" w14:textId="518547CA" w:rsidR="007A6A48" w:rsidRPr="00D160E9" w:rsidRDefault="00924B30" w:rsidP="007A6A48">
            <w:pPr>
              <w:pStyle w:val="ListParagraph"/>
              <w:spacing w:line="276" w:lineRule="auto"/>
              <w:ind w:left="0"/>
              <w:jc w:val="center"/>
              <w:rPr>
                <w:rFonts w:ascii="Times New Roman" w:hAnsi="Times New Roman" w:cs="Times New Roman"/>
                <w:b/>
                <w:bCs/>
                <w:sz w:val="24"/>
                <w:szCs w:val="24"/>
              </w:rPr>
            </w:pPr>
            <w:r w:rsidRPr="00D160E9">
              <w:rPr>
                <w:rFonts w:ascii="Times New Roman" w:hAnsi="Times New Roman" w:cs="Times New Roman"/>
                <w:b/>
                <w:bCs/>
                <w:sz w:val="24"/>
                <w:szCs w:val="24"/>
              </w:rPr>
              <w:t>23.26199</w:t>
            </w:r>
          </w:p>
        </w:tc>
        <w:tc>
          <w:tcPr>
            <w:tcW w:w="752" w:type="pct"/>
          </w:tcPr>
          <w:p w14:paraId="2A0085C8" w14:textId="3609BED9"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885664.6</w:t>
            </w:r>
          </w:p>
        </w:tc>
        <w:tc>
          <w:tcPr>
            <w:tcW w:w="707" w:type="pct"/>
          </w:tcPr>
          <w:p w14:paraId="71191B8D" w14:textId="72D16449"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25.01427</w:t>
            </w:r>
          </w:p>
        </w:tc>
        <w:tc>
          <w:tcPr>
            <w:tcW w:w="747" w:type="pct"/>
          </w:tcPr>
          <w:p w14:paraId="6B42DE84" w14:textId="35385AB3"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26.53426</w:t>
            </w:r>
          </w:p>
        </w:tc>
        <w:tc>
          <w:tcPr>
            <w:tcW w:w="707" w:type="pct"/>
          </w:tcPr>
          <w:p w14:paraId="7F5F562D" w14:textId="782E28CE"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25.56385</w:t>
            </w:r>
          </w:p>
        </w:tc>
      </w:tr>
      <w:tr w:rsidR="007A6A48" w:rsidRPr="00D160E9" w14:paraId="5A96C880" w14:textId="77777777" w:rsidTr="008A4ADC">
        <w:tc>
          <w:tcPr>
            <w:tcW w:w="771" w:type="pct"/>
          </w:tcPr>
          <w:p w14:paraId="6BEC1536" w14:textId="538D2A78"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OR</w:t>
            </w:r>
          </w:p>
        </w:tc>
        <w:tc>
          <w:tcPr>
            <w:tcW w:w="611" w:type="pct"/>
          </w:tcPr>
          <w:p w14:paraId="5AF6AB42" w14:textId="31145F55"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w:t>
            </w:r>
          </w:p>
        </w:tc>
        <w:tc>
          <w:tcPr>
            <w:tcW w:w="707" w:type="pct"/>
          </w:tcPr>
          <w:p w14:paraId="4414D985" w14:textId="5B1772BD"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31.21496*</w:t>
            </w:r>
          </w:p>
        </w:tc>
        <w:tc>
          <w:tcPr>
            <w:tcW w:w="752" w:type="pct"/>
          </w:tcPr>
          <w:p w14:paraId="6EE99549" w14:textId="6DEBD3CE"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6662961.4*</w:t>
            </w:r>
          </w:p>
        </w:tc>
        <w:tc>
          <w:tcPr>
            <w:tcW w:w="707" w:type="pct"/>
          </w:tcPr>
          <w:p w14:paraId="121106C9" w14:textId="203C1FFC" w:rsidR="007A6A48" w:rsidRPr="00D160E9" w:rsidRDefault="00924B30" w:rsidP="007A6A48">
            <w:pPr>
              <w:pStyle w:val="ListParagraph"/>
              <w:spacing w:line="276" w:lineRule="auto"/>
              <w:ind w:left="0"/>
              <w:jc w:val="center"/>
              <w:rPr>
                <w:rFonts w:ascii="Times New Roman" w:hAnsi="Times New Roman" w:cs="Times New Roman"/>
                <w:b/>
                <w:bCs/>
                <w:sz w:val="24"/>
                <w:szCs w:val="24"/>
              </w:rPr>
            </w:pPr>
            <w:r w:rsidRPr="00D160E9">
              <w:rPr>
                <w:rFonts w:ascii="Times New Roman" w:hAnsi="Times New Roman" w:cs="Times New Roman"/>
                <w:b/>
                <w:bCs/>
                <w:sz w:val="24"/>
                <w:szCs w:val="24"/>
              </w:rPr>
              <w:t>24.65816*</w:t>
            </w:r>
          </w:p>
        </w:tc>
        <w:tc>
          <w:tcPr>
            <w:tcW w:w="747" w:type="pct"/>
          </w:tcPr>
          <w:p w14:paraId="323E0AD6" w14:textId="31A45A91"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26.85370</w:t>
            </w:r>
          </w:p>
        </w:tc>
        <w:tc>
          <w:tcPr>
            <w:tcW w:w="707" w:type="pct"/>
          </w:tcPr>
          <w:p w14:paraId="113287F7" w14:textId="32AACAB5" w:rsidR="007A6A48" w:rsidRPr="00D160E9" w:rsidRDefault="00924B30" w:rsidP="007A6A4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25.45200</w:t>
            </w:r>
          </w:p>
        </w:tc>
      </w:tr>
    </w:tbl>
    <w:p w14:paraId="6D32776F" w14:textId="4BBA78C6" w:rsidR="00F80390" w:rsidRDefault="00924B30" w:rsidP="005D3021">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Source : Secondary Data processed, 2026</w:t>
      </w:r>
    </w:p>
    <w:p w14:paraId="7519080B" w14:textId="77777777" w:rsidR="005D3021" w:rsidRDefault="005D3021" w:rsidP="005D3021">
      <w:pPr>
        <w:pStyle w:val="ListParagraph"/>
        <w:spacing w:line="276" w:lineRule="auto"/>
        <w:ind w:left="0"/>
        <w:jc w:val="center"/>
        <w:rPr>
          <w:rFonts w:ascii="Times New Roman" w:hAnsi="Times New Roman" w:cs="Times New Roman"/>
          <w:sz w:val="24"/>
          <w:szCs w:val="24"/>
        </w:rPr>
      </w:pPr>
    </w:p>
    <w:p w14:paraId="428769DE" w14:textId="0131F88E" w:rsidR="00F80390" w:rsidRDefault="005D3021" w:rsidP="00020624">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ab/>
        <w:t>Based on the test in table 6</w:t>
      </w:r>
      <w:r w:rsidR="00F80390">
        <w:rPr>
          <w:rFonts w:ascii="Times New Roman" w:hAnsi="Times New Roman" w:cs="Times New Roman"/>
          <w:sz w:val="24"/>
          <w:szCs w:val="24"/>
        </w:rPr>
        <w:t xml:space="preserve"> above, it can be known that the determination of the optimal lag length can be seen using various indicators which include the LR value with the largest condition and the FPE, AIC, SC and HQ values with the smallest or minimum criteria. From the results of the analysis that has been carried out, the recommended lag is a lag with an asterisk code (*) which can be shown in lag 1. This shows that each variable has an interrelated response in the next two periods.</w:t>
      </w:r>
    </w:p>
    <w:p w14:paraId="588B775B" w14:textId="77777777" w:rsidR="00924B30" w:rsidRPr="00D160E9" w:rsidRDefault="00924B30" w:rsidP="00924B30">
      <w:pPr>
        <w:pStyle w:val="ListParagraph"/>
        <w:spacing w:line="276" w:lineRule="auto"/>
        <w:ind w:left="0"/>
        <w:jc w:val="both"/>
        <w:rPr>
          <w:rFonts w:ascii="Times New Roman" w:hAnsi="Times New Roman" w:cs="Times New Roman"/>
          <w:sz w:val="24"/>
          <w:szCs w:val="24"/>
        </w:rPr>
      </w:pPr>
    </w:p>
    <w:p w14:paraId="27A5E353" w14:textId="7B7DE62B" w:rsidR="00924B30" w:rsidRDefault="00924B30" w:rsidP="00924B30">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VAR Stability Test</w:t>
      </w:r>
    </w:p>
    <w:p w14:paraId="080F6AF0" w14:textId="4EF50528" w:rsidR="00FA313A" w:rsidRPr="00FA313A" w:rsidRDefault="00FA313A" w:rsidP="00924B30">
      <w:pPr>
        <w:pStyle w:val="ListParagraph"/>
        <w:spacing w:line="276"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In looking at the output results of the VAR Test, it can be known through the inverse root of the polynomial AR characteristics by looking at the modulus value in the AR-nominal table. The basis for decision-making, is that if all the AR-roots values are below 1 and the points are within the circle, then the VAR system can be declared stable. In other conditions, if the results of the VAR estimation integrated with the error correction model show an unstable position, then the results of IRF and FEVD will be invalid (Setiawan, 2007).</w:t>
      </w:r>
    </w:p>
    <w:p w14:paraId="00EAC691" w14:textId="28D3A015" w:rsidR="0065485E" w:rsidRPr="00D160E9" w:rsidRDefault="00924B30" w:rsidP="0065485E">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r>
    </w:p>
    <w:p w14:paraId="3A8908F7" w14:textId="0B24336F" w:rsidR="0065485E" w:rsidRPr="00D160E9" w:rsidRDefault="0065485E" w:rsidP="0065485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noProof/>
          <w:sz w:val="24"/>
          <w:szCs w:val="24"/>
          <w:lang w:val="en-US"/>
        </w:rPr>
        <w:drawing>
          <wp:inline distT="0" distB="0" distL="0" distR="0" wp14:anchorId="06D5CF3E" wp14:editId="4A6DDDD7">
            <wp:extent cx="3490037" cy="1873885"/>
            <wp:effectExtent l="0" t="0" r="0" b="0"/>
            <wp:docPr id="125328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80263" name=""/>
                    <pic:cNvPicPr/>
                  </pic:nvPicPr>
                  <pic:blipFill>
                    <a:blip r:embed="rId10"/>
                    <a:stretch>
                      <a:fillRect/>
                    </a:stretch>
                  </pic:blipFill>
                  <pic:spPr>
                    <a:xfrm>
                      <a:off x="0" y="0"/>
                      <a:ext cx="3504999" cy="1881919"/>
                    </a:xfrm>
                    <a:prstGeom prst="rect">
                      <a:avLst/>
                    </a:prstGeom>
                  </pic:spPr>
                </pic:pic>
              </a:graphicData>
            </a:graphic>
          </wp:inline>
        </w:drawing>
      </w:r>
    </w:p>
    <w:p w14:paraId="052ED72C" w14:textId="7101640F" w:rsidR="008A4ADC" w:rsidRPr="008A4ADC" w:rsidRDefault="008A4ADC" w:rsidP="008A4ADC">
      <w:pPr>
        <w:pStyle w:val="ListParagraph"/>
        <w:spacing w:line="240" w:lineRule="auto"/>
        <w:ind w:left="0"/>
        <w:jc w:val="center"/>
        <w:rPr>
          <w:rFonts w:ascii="Times New Roman" w:hAnsi="Times New Roman" w:cs="Times New Roman"/>
          <w:bCs/>
          <w:sz w:val="24"/>
          <w:szCs w:val="24"/>
        </w:rPr>
      </w:pPr>
      <w:r w:rsidRPr="008A4ADC">
        <w:rPr>
          <w:rFonts w:ascii="Times New Roman" w:hAnsi="Times New Roman" w:cs="Times New Roman"/>
          <w:bCs/>
          <w:sz w:val="24"/>
          <w:szCs w:val="24"/>
        </w:rPr>
        <w:t>Figure 2. VAR Stability Test</w:t>
      </w:r>
    </w:p>
    <w:p w14:paraId="56149A1F" w14:textId="64B5B18E" w:rsidR="00924B30" w:rsidRPr="008A4ADC" w:rsidRDefault="0065485E" w:rsidP="008A4ADC">
      <w:pPr>
        <w:pStyle w:val="ListParagraph"/>
        <w:spacing w:line="240" w:lineRule="auto"/>
        <w:ind w:left="0"/>
        <w:jc w:val="center"/>
        <w:rPr>
          <w:rFonts w:ascii="Times New Roman" w:hAnsi="Times New Roman" w:cs="Times New Roman"/>
          <w:sz w:val="24"/>
          <w:szCs w:val="24"/>
        </w:rPr>
      </w:pPr>
      <w:r w:rsidRPr="008A4ADC">
        <w:rPr>
          <w:rFonts w:ascii="Times New Roman" w:hAnsi="Times New Roman" w:cs="Times New Roman"/>
          <w:sz w:val="24"/>
          <w:szCs w:val="24"/>
        </w:rPr>
        <w:t>Source : Secondary Data processed, 2026</w:t>
      </w:r>
    </w:p>
    <w:p w14:paraId="3F7D3212" w14:textId="77777777" w:rsidR="00924B30" w:rsidRPr="00D160E9" w:rsidRDefault="00924B30" w:rsidP="00924B30">
      <w:pPr>
        <w:pStyle w:val="ListParagraph"/>
        <w:spacing w:line="276" w:lineRule="auto"/>
        <w:ind w:left="0"/>
        <w:jc w:val="both"/>
        <w:rPr>
          <w:rFonts w:ascii="Times New Roman" w:hAnsi="Times New Roman" w:cs="Times New Roman"/>
          <w:sz w:val="24"/>
          <w:szCs w:val="24"/>
        </w:rPr>
      </w:pPr>
    </w:p>
    <w:p w14:paraId="6636BA64" w14:textId="17F9E574" w:rsidR="00720CD1" w:rsidRPr="00D160E9" w:rsidRDefault="0065485E"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Granger's Causality Test</w:t>
      </w:r>
    </w:p>
    <w:p w14:paraId="3D7B60EA" w14:textId="62F7D673" w:rsidR="00986FF9" w:rsidRDefault="0065485E"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The Granger causality test is carried out to determine the existence of the influence of an independent variable in influencing the dependent variable or vice versa. This happens at a time of ignorance that occurs between the influences in each variable. The interpretation of this test states that variable X can affect Y or variable Y can affect variable X or there is no correlation between the two variables or there is no correlation between the two. When the value of prob. smaller than 0.05, then it can be concluded that there is a causal relationship.</w:t>
      </w:r>
    </w:p>
    <w:p w14:paraId="5D6892AD" w14:textId="77777777" w:rsidR="008A4ADC" w:rsidRDefault="008A4ADC" w:rsidP="008A4ADC">
      <w:pPr>
        <w:pStyle w:val="ListParagraph"/>
        <w:spacing w:line="240" w:lineRule="auto"/>
        <w:ind w:left="0"/>
        <w:jc w:val="center"/>
        <w:rPr>
          <w:rFonts w:ascii="Times New Roman" w:hAnsi="Times New Roman" w:cs="Times New Roman"/>
          <w:b/>
          <w:bCs/>
          <w:sz w:val="24"/>
          <w:szCs w:val="24"/>
        </w:rPr>
      </w:pPr>
    </w:p>
    <w:p w14:paraId="189396AF" w14:textId="34FE2529" w:rsidR="0065485E" w:rsidRPr="008A4ADC" w:rsidRDefault="0065485E" w:rsidP="0065485E">
      <w:pPr>
        <w:pStyle w:val="ListParagraph"/>
        <w:spacing w:line="276" w:lineRule="auto"/>
        <w:ind w:left="0"/>
        <w:jc w:val="center"/>
        <w:rPr>
          <w:rFonts w:ascii="Times New Roman" w:hAnsi="Times New Roman" w:cs="Times New Roman"/>
          <w:bCs/>
          <w:sz w:val="24"/>
          <w:szCs w:val="24"/>
        </w:rPr>
      </w:pPr>
      <w:r w:rsidRPr="008A4ADC">
        <w:rPr>
          <w:rFonts w:ascii="Times New Roman" w:hAnsi="Times New Roman" w:cs="Times New Roman"/>
          <w:bCs/>
          <w:sz w:val="24"/>
          <w:szCs w:val="24"/>
        </w:rPr>
        <w:t xml:space="preserve">Table </w:t>
      </w:r>
      <w:r w:rsidR="008A4ADC" w:rsidRPr="008A4ADC">
        <w:rPr>
          <w:rFonts w:ascii="Times New Roman" w:hAnsi="Times New Roman" w:cs="Times New Roman"/>
          <w:bCs/>
          <w:sz w:val="24"/>
          <w:szCs w:val="24"/>
        </w:rPr>
        <w:t>7</w:t>
      </w:r>
      <w:r w:rsidR="00241DAE" w:rsidRPr="008A4ADC">
        <w:rPr>
          <w:rFonts w:ascii="Times New Roman" w:hAnsi="Times New Roman" w:cs="Times New Roman"/>
          <w:bCs/>
          <w:sz w:val="24"/>
          <w:szCs w:val="24"/>
        </w:rPr>
        <w:t xml:space="preserve">. </w:t>
      </w:r>
      <w:r w:rsidRPr="008A4ADC">
        <w:rPr>
          <w:rFonts w:ascii="Times New Roman" w:hAnsi="Times New Roman" w:cs="Times New Roman"/>
          <w:bCs/>
          <w:sz w:val="24"/>
          <w:szCs w:val="24"/>
        </w:rPr>
        <w:t>Granger's Causality Test</w:t>
      </w:r>
    </w:p>
    <w:tbl>
      <w:tblPr>
        <w:tblStyle w:val="TableGrid"/>
        <w:tblW w:w="5000" w:type="pct"/>
        <w:tblLook w:val="04A0" w:firstRow="1" w:lastRow="0" w:firstColumn="1" w:lastColumn="0" w:noHBand="0" w:noVBand="1"/>
      </w:tblPr>
      <w:tblGrid>
        <w:gridCol w:w="4279"/>
        <w:gridCol w:w="2350"/>
        <w:gridCol w:w="1354"/>
        <w:gridCol w:w="1033"/>
      </w:tblGrid>
      <w:tr w:rsidR="00DC0C87" w:rsidRPr="00D160E9" w14:paraId="77FD6FAC" w14:textId="77777777" w:rsidTr="008A4ADC">
        <w:tc>
          <w:tcPr>
            <w:tcW w:w="2373" w:type="pct"/>
          </w:tcPr>
          <w:p w14:paraId="05156A25" w14:textId="0E36F55B" w:rsidR="00DC0C87" w:rsidRPr="00D160E9" w:rsidRDefault="00DC0C87"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Null Hypothesis</w:t>
            </w:r>
          </w:p>
        </w:tc>
        <w:tc>
          <w:tcPr>
            <w:tcW w:w="1303" w:type="pct"/>
          </w:tcPr>
          <w:p w14:paraId="2195BDC6" w14:textId="63438498" w:rsidR="00DC0C87" w:rsidRPr="00D160E9" w:rsidRDefault="00DC0C87"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Observation</w:t>
            </w:r>
          </w:p>
        </w:tc>
        <w:tc>
          <w:tcPr>
            <w:tcW w:w="751" w:type="pct"/>
          </w:tcPr>
          <w:p w14:paraId="089E0E7A" w14:textId="6B32B0B5" w:rsidR="00DC0C87" w:rsidRPr="00D160E9" w:rsidRDefault="00DC0C87"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F-Statistic</w:t>
            </w:r>
          </w:p>
        </w:tc>
        <w:tc>
          <w:tcPr>
            <w:tcW w:w="573" w:type="pct"/>
          </w:tcPr>
          <w:p w14:paraId="329E24FB" w14:textId="2A0E7A67" w:rsidR="00DC0C87" w:rsidRPr="00D160E9" w:rsidRDefault="00DC0C87"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Prob</w:t>
            </w:r>
          </w:p>
        </w:tc>
      </w:tr>
      <w:tr w:rsidR="00BC33C4" w:rsidRPr="00D160E9" w14:paraId="72C0FCFC" w14:textId="77777777" w:rsidTr="008A4ADC">
        <w:tc>
          <w:tcPr>
            <w:tcW w:w="2373" w:type="pct"/>
          </w:tcPr>
          <w:p w14:paraId="50B2060E" w14:textId="47C97049"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FASBIS does not Granger Cause SBIS</w:t>
            </w:r>
          </w:p>
        </w:tc>
        <w:tc>
          <w:tcPr>
            <w:tcW w:w="1303" w:type="pct"/>
            <w:vMerge w:val="restart"/>
          </w:tcPr>
          <w:p w14:paraId="589F2891" w14:textId="55C1463F" w:rsidR="00BC33C4" w:rsidRPr="00D160E9" w:rsidRDefault="00BC33C4"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42</w:t>
            </w:r>
          </w:p>
        </w:tc>
        <w:tc>
          <w:tcPr>
            <w:tcW w:w="751" w:type="pct"/>
          </w:tcPr>
          <w:p w14:paraId="6CE42893" w14:textId="73423354"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5.53981</w:t>
            </w:r>
          </w:p>
        </w:tc>
        <w:tc>
          <w:tcPr>
            <w:tcW w:w="573" w:type="pct"/>
          </w:tcPr>
          <w:p w14:paraId="07F590CF" w14:textId="2938E978"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0.0079</w:t>
            </w:r>
          </w:p>
        </w:tc>
      </w:tr>
      <w:tr w:rsidR="00BC33C4" w:rsidRPr="00D160E9" w14:paraId="05944E0F" w14:textId="77777777" w:rsidTr="008A4ADC">
        <w:tc>
          <w:tcPr>
            <w:tcW w:w="2373" w:type="pct"/>
          </w:tcPr>
          <w:p w14:paraId="70B63AB1" w14:textId="65C31E39"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SBIS does not Granger Cause FASBIS</w:t>
            </w:r>
          </w:p>
        </w:tc>
        <w:tc>
          <w:tcPr>
            <w:tcW w:w="1303" w:type="pct"/>
            <w:vMerge/>
          </w:tcPr>
          <w:p w14:paraId="19F68EEA" w14:textId="77777777" w:rsidR="00BC33C4" w:rsidRPr="00D160E9" w:rsidRDefault="00BC33C4" w:rsidP="00BC33C4">
            <w:pPr>
              <w:pStyle w:val="ListParagraph"/>
              <w:spacing w:line="276" w:lineRule="auto"/>
              <w:ind w:left="0"/>
              <w:jc w:val="center"/>
              <w:rPr>
                <w:rFonts w:ascii="Times New Roman" w:hAnsi="Times New Roman" w:cs="Times New Roman"/>
                <w:sz w:val="24"/>
                <w:szCs w:val="24"/>
              </w:rPr>
            </w:pPr>
          </w:p>
        </w:tc>
        <w:tc>
          <w:tcPr>
            <w:tcW w:w="751" w:type="pct"/>
          </w:tcPr>
          <w:p w14:paraId="22D56F2A" w14:textId="5122A525"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3.48144</w:t>
            </w:r>
          </w:p>
        </w:tc>
        <w:tc>
          <w:tcPr>
            <w:tcW w:w="573" w:type="pct"/>
          </w:tcPr>
          <w:p w14:paraId="71167506" w14:textId="3429FD6C"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0.0412</w:t>
            </w:r>
          </w:p>
        </w:tc>
      </w:tr>
      <w:tr w:rsidR="00BC33C4" w:rsidRPr="00D160E9" w14:paraId="19E423BA" w14:textId="77777777" w:rsidTr="008A4ADC">
        <w:tc>
          <w:tcPr>
            <w:tcW w:w="2373" w:type="pct"/>
          </w:tcPr>
          <w:p w14:paraId="25835810" w14:textId="2F7B4062"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PUAS does not Granger Cause SBIS</w:t>
            </w:r>
          </w:p>
        </w:tc>
        <w:tc>
          <w:tcPr>
            <w:tcW w:w="1303" w:type="pct"/>
            <w:vMerge w:val="restart"/>
          </w:tcPr>
          <w:p w14:paraId="3AD623A5" w14:textId="2E19CA11" w:rsidR="00BC33C4" w:rsidRPr="00D160E9" w:rsidRDefault="00BC33C4"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42</w:t>
            </w:r>
          </w:p>
        </w:tc>
        <w:tc>
          <w:tcPr>
            <w:tcW w:w="751" w:type="pct"/>
          </w:tcPr>
          <w:p w14:paraId="442255DF" w14:textId="2D7F11EE"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1.61752</w:t>
            </w:r>
          </w:p>
        </w:tc>
        <w:tc>
          <w:tcPr>
            <w:tcW w:w="573" w:type="pct"/>
          </w:tcPr>
          <w:p w14:paraId="7445192F" w14:textId="2A74B8C6"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0.2121</w:t>
            </w:r>
          </w:p>
        </w:tc>
      </w:tr>
      <w:tr w:rsidR="00BC33C4" w:rsidRPr="00D160E9" w14:paraId="5D84D7CD" w14:textId="77777777" w:rsidTr="008A4ADC">
        <w:tc>
          <w:tcPr>
            <w:tcW w:w="2373" w:type="pct"/>
          </w:tcPr>
          <w:p w14:paraId="603B4F97" w14:textId="089CFAD8"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SBIS does not Granger Cause SATISFIED</w:t>
            </w:r>
          </w:p>
        </w:tc>
        <w:tc>
          <w:tcPr>
            <w:tcW w:w="1303" w:type="pct"/>
            <w:vMerge/>
          </w:tcPr>
          <w:p w14:paraId="5E693676" w14:textId="77777777" w:rsidR="00BC33C4" w:rsidRPr="00D160E9" w:rsidRDefault="00BC33C4" w:rsidP="00BC33C4">
            <w:pPr>
              <w:pStyle w:val="ListParagraph"/>
              <w:spacing w:line="276" w:lineRule="auto"/>
              <w:ind w:left="0"/>
              <w:jc w:val="center"/>
              <w:rPr>
                <w:rFonts w:ascii="Times New Roman" w:hAnsi="Times New Roman" w:cs="Times New Roman"/>
                <w:sz w:val="24"/>
                <w:szCs w:val="24"/>
              </w:rPr>
            </w:pPr>
          </w:p>
        </w:tc>
        <w:tc>
          <w:tcPr>
            <w:tcW w:w="751" w:type="pct"/>
          </w:tcPr>
          <w:p w14:paraId="055B2835" w14:textId="5A8AA579"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1.42151</w:t>
            </w:r>
          </w:p>
        </w:tc>
        <w:tc>
          <w:tcPr>
            <w:tcW w:w="573" w:type="pct"/>
          </w:tcPr>
          <w:p w14:paraId="15223CD8" w14:textId="18953369"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0.2542</w:t>
            </w:r>
          </w:p>
        </w:tc>
      </w:tr>
      <w:tr w:rsidR="00BC33C4" w:rsidRPr="00D160E9" w14:paraId="2015B7B8" w14:textId="77777777" w:rsidTr="008A4ADC">
        <w:tc>
          <w:tcPr>
            <w:tcW w:w="2373" w:type="pct"/>
          </w:tcPr>
          <w:p w14:paraId="4C57A931" w14:textId="5D9CDEA0"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PE does not Granger Cause SBIS</w:t>
            </w:r>
          </w:p>
        </w:tc>
        <w:tc>
          <w:tcPr>
            <w:tcW w:w="1303" w:type="pct"/>
            <w:vMerge w:val="restart"/>
          </w:tcPr>
          <w:p w14:paraId="5A028ED9" w14:textId="45607423" w:rsidR="00BC33C4" w:rsidRPr="00D160E9" w:rsidRDefault="00BC33C4"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42</w:t>
            </w:r>
          </w:p>
        </w:tc>
        <w:tc>
          <w:tcPr>
            <w:tcW w:w="751" w:type="pct"/>
          </w:tcPr>
          <w:p w14:paraId="2F2EF0B4" w14:textId="3354EB42"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6.80194</w:t>
            </w:r>
          </w:p>
        </w:tc>
        <w:tc>
          <w:tcPr>
            <w:tcW w:w="573" w:type="pct"/>
          </w:tcPr>
          <w:p w14:paraId="36D4E303" w14:textId="264F8A17"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0.0031</w:t>
            </w:r>
          </w:p>
        </w:tc>
      </w:tr>
      <w:tr w:rsidR="00BC33C4" w:rsidRPr="00D160E9" w14:paraId="751CBBB0" w14:textId="77777777" w:rsidTr="008A4ADC">
        <w:tc>
          <w:tcPr>
            <w:tcW w:w="2373" w:type="pct"/>
          </w:tcPr>
          <w:p w14:paraId="64C60F7E" w14:textId="2594C77D"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SBIS does not Granger Cause PE</w:t>
            </w:r>
          </w:p>
        </w:tc>
        <w:tc>
          <w:tcPr>
            <w:tcW w:w="1303" w:type="pct"/>
            <w:vMerge/>
          </w:tcPr>
          <w:p w14:paraId="1D4D3A14" w14:textId="77777777" w:rsidR="00BC33C4" w:rsidRPr="00D160E9" w:rsidRDefault="00BC33C4" w:rsidP="00BC33C4">
            <w:pPr>
              <w:pStyle w:val="ListParagraph"/>
              <w:spacing w:line="276" w:lineRule="auto"/>
              <w:ind w:left="0"/>
              <w:jc w:val="center"/>
              <w:rPr>
                <w:rFonts w:ascii="Times New Roman" w:hAnsi="Times New Roman" w:cs="Times New Roman"/>
                <w:sz w:val="24"/>
                <w:szCs w:val="24"/>
              </w:rPr>
            </w:pPr>
          </w:p>
        </w:tc>
        <w:tc>
          <w:tcPr>
            <w:tcW w:w="751" w:type="pct"/>
          </w:tcPr>
          <w:p w14:paraId="36B9DAEC" w14:textId="50153A8F"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6.59552</w:t>
            </w:r>
          </w:p>
        </w:tc>
        <w:tc>
          <w:tcPr>
            <w:tcW w:w="573" w:type="pct"/>
          </w:tcPr>
          <w:p w14:paraId="1310586B" w14:textId="6D036C72"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0.0035</w:t>
            </w:r>
          </w:p>
        </w:tc>
      </w:tr>
      <w:tr w:rsidR="00BC33C4" w:rsidRPr="00D160E9" w14:paraId="06BB088A" w14:textId="77777777" w:rsidTr="008A4ADC">
        <w:tc>
          <w:tcPr>
            <w:tcW w:w="2373" w:type="pct"/>
          </w:tcPr>
          <w:p w14:paraId="4209A3F9" w14:textId="5BB0F0FF"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PUAS does not Granger Cause FASBIS</w:t>
            </w:r>
          </w:p>
        </w:tc>
        <w:tc>
          <w:tcPr>
            <w:tcW w:w="1303" w:type="pct"/>
            <w:vMerge w:val="restart"/>
          </w:tcPr>
          <w:p w14:paraId="06E457DC" w14:textId="614AB11D" w:rsidR="00BC33C4" w:rsidRPr="00D160E9" w:rsidRDefault="00BC33C4"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42</w:t>
            </w:r>
          </w:p>
        </w:tc>
        <w:tc>
          <w:tcPr>
            <w:tcW w:w="751" w:type="pct"/>
          </w:tcPr>
          <w:p w14:paraId="010B4295" w14:textId="4644D382"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1.21148</w:t>
            </w:r>
          </w:p>
        </w:tc>
        <w:tc>
          <w:tcPr>
            <w:tcW w:w="573" w:type="pct"/>
          </w:tcPr>
          <w:p w14:paraId="2805EF53" w14:textId="6813326D"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0.3093</w:t>
            </w:r>
          </w:p>
        </w:tc>
      </w:tr>
      <w:tr w:rsidR="00BC33C4" w:rsidRPr="00D160E9" w14:paraId="02FF14F4" w14:textId="77777777" w:rsidTr="008A4ADC">
        <w:tc>
          <w:tcPr>
            <w:tcW w:w="2373" w:type="pct"/>
          </w:tcPr>
          <w:p w14:paraId="362217B6" w14:textId="41A9336B"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FASBIS does not Granger Cause SATISFACTION</w:t>
            </w:r>
          </w:p>
        </w:tc>
        <w:tc>
          <w:tcPr>
            <w:tcW w:w="1303" w:type="pct"/>
            <w:vMerge/>
          </w:tcPr>
          <w:p w14:paraId="54F484C5" w14:textId="77777777" w:rsidR="00BC33C4" w:rsidRPr="00D160E9" w:rsidRDefault="00BC33C4" w:rsidP="008F4EBB">
            <w:pPr>
              <w:pStyle w:val="ListParagraph"/>
              <w:spacing w:line="276" w:lineRule="auto"/>
              <w:ind w:left="0"/>
              <w:jc w:val="both"/>
              <w:rPr>
                <w:rFonts w:ascii="Times New Roman" w:hAnsi="Times New Roman" w:cs="Times New Roman"/>
                <w:sz w:val="24"/>
                <w:szCs w:val="24"/>
              </w:rPr>
            </w:pPr>
          </w:p>
        </w:tc>
        <w:tc>
          <w:tcPr>
            <w:tcW w:w="751" w:type="pct"/>
          </w:tcPr>
          <w:p w14:paraId="439669BC" w14:textId="40011AE5"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0.92645</w:t>
            </w:r>
          </w:p>
        </w:tc>
        <w:tc>
          <w:tcPr>
            <w:tcW w:w="573" w:type="pct"/>
          </w:tcPr>
          <w:p w14:paraId="7C6327E9" w14:textId="43B3F8E8"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0.4049</w:t>
            </w:r>
          </w:p>
        </w:tc>
      </w:tr>
      <w:tr w:rsidR="00BC33C4" w:rsidRPr="00D160E9" w14:paraId="2E2F68DE" w14:textId="77777777" w:rsidTr="008A4ADC">
        <w:tc>
          <w:tcPr>
            <w:tcW w:w="2373" w:type="pct"/>
          </w:tcPr>
          <w:p w14:paraId="2C322B4A" w14:textId="03DC453B"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PE does not Granger Cause FASBIS</w:t>
            </w:r>
          </w:p>
        </w:tc>
        <w:tc>
          <w:tcPr>
            <w:tcW w:w="1303" w:type="pct"/>
            <w:vMerge w:val="restart"/>
          </w:tcPr>
          <w:p w14:paraId="1BB3865C" w14:textId="1C410314" w:rsidR="00BC33C4" w:rsidRPr="00D160E9" w:rsidRDefault="00BC33C4"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42</w:t>
            </w:r>
          </w:p>
        </w:tc>
        <w:tc>
          <w:tcPr>
            <w:tcW w:w="751" w:type="pct"/>
          </w:tcPr>
          <w:p w14:paraId="51362E0B" w14:textId="74483242"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6.74462</w:t>
            </w:r>
          </w:p>
        </w:tc>
        <w:tc>
          <w:tcPr>
            <w:tcW w:w="573" w:type="pct"/>
          </w:tcPr>
          <w:p w14:paraId="269145CC" w14:textId="704081F9"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0.0032</w:t>
            </w:r>
          </w:p>
        </w:tc>
      </w:tr>
      <w:tr w:rsidR="00BC33C4" w:rsidRPr="00D160E9" w14:paraId="0E2D2FF2" w14:textId="77777777" w:rsidTr="008A4ADC">
        <w:tc>
          <w:tcPr>
            <w:tcW w:w="2373" w:type="pct"/>
          </w:tcPr>
          <w:p w14:paraId="427774EF" w14:textId="2F46EADC"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FASBIS does not Granger Cause PE</w:t>
            </w:r>
          </w:p>
        </w:tc>
        <w:tc>
          <w:tcPr>
            <w:tcW w:w="1303" w:type="pct"/>
            <w:vMerge/>
          </w:tcPr>
          <w:p w14:paraId="7BCDD2C8" w14:textId="77777777" w:rsidR="00BC33C4" w:rsidRPr="00D160E9" w:rsidRDefault="00BC33C4" w:rsidP="00BC33C4">
            <w:pPr>
              <w:pStyle w:val="ListParagraph"/>
              <w:spacing w:line="276" w:lineRule="auto"/>
              <w:ind w:left="0"/>
              <w:jc w:val="center"/>
              <w:rPr>
                <w:rFonts w:ascii="Times New Roman" w:hAnsi="Times New Roman" w:cs="Times New Roman"/>
                <w:sz w:val="24"/>
                <w:szCs w:val="24"/>
              </w:rPr>
            </w:pPr>
          </w:p>
        </w:tc>
        <w:tc>
          <w:tcPr>
            <w:tcW w:w="751" w:type="pct"/>
          </w:tcPr>
          <w:p w14:paraId="221C3A52" w14:textId="435B6287"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6.83381</w:t>
            </w:r>
          </w:p>
        </w:tc>
        <w:tc>
          <w:tcPr>
            <w:tcW w:w="573" w:type="pct"/>
          </w:tcPr>
          <w:p w14:paraId="2FF6126A" w14:textId="0391C472"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0.0030</w:t>
            </w:r>
          </w:p>
        </w:tc>
      </w:tr>
      <w:tr w:rsidR="00BC33C4" w:rsidRPr="00D160E9" w14:paraId="1B95EE64" w14:textId="77777777" w:rsidTr="008A4ADC">
        <w:tc>
          <w:tcPr>
            <w:tcW w:w="2373" w:type="pct"/>
          </w:tcPr>
          <w:p w14:paraId="738A2027" w14:textId="26E4B2E5"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PE does not Granger Cause SATISFACTION</w:t>
            </w:r>
          </w:p>
        </w:tc>
        <w:tc>
          <w:tcPr>
            <w:tcW w:w="1303" w:type="pct"/>
            <w:vMerge w:val="restart"/>
          </w:tcPr>
          <w:p w14:paraId="1500693D" w14:textId="51CEBCB4" w:rsidR="00BC33C4" w:rsidRPr="00D160E9" w:rsidRDefault="00BC33C4" w:rsidP="00BC33C4">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42</w:t>
            </w:r>
          </w:p>
        </w:tc>
        <w:tc>
          <w:tcPr>
            <w:tcW w:w="751" w:type="pct"/>
          </w:tcPr>
          <w:p w14:paraId="4BD20062" w14:textId="6FA28162"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2.11219</w:t>
            </w:r>
          </w:p>
        </w:tc>
        <w:tc>
          <w:tcPr>
            <w:tcW w:w="573" w:type="pct"/>
          </w:tcPr>
          <w:p w14:paraId="5265846B" w14:textId="6C96F8CE"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0.1353</w:t>
            </w:r>
          </w:p>
        </w:tc>
      </w:tr>
      <w:tr w:rsidR="00BC33C4" w:rsidRPr="00D160E9" w14:paraId="1DEAD006" w14:textId="77777777" w:rsidTr="008A4ADC">
        <w:tc>
          <w:tcPr>
            <w:tcW w:w="2373" w:type="pct"/>
          </w:tcPr>
          <w:p w14:paraId="74AFF9EE" w14:textId="0366B8F0" w:rsidR="00BC33C4" w:rsidRPr="00D160E9" w:rsidRDefault="00BC33C4" w:rsidP="00241DAE">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PUAS does not Granger Cause PE</w:t>
            </w:r>
          </w:p>
        </w:tc>
        <w:tc>
          <w:tcPr>
            <w:tcW w:w="1303" w:type="pct"/>
            <w:vMerge/>
          </w:tcPr>
          <w:p w14:paraId="1E1427D5" w14:textId="77777777" w:rsidR="00BC33C4" w:rsidRPr="00D160E9" w:rsidRDefault="00BC33C4" w:rsidP="008F4EBB">
            <w:pPr>
              <w:pStyle w:val="ListParagraph"/>
              <w:spacing w:line="276" w:lineRule="auto"/>
              <w:ind w:left="0"/>
              <w:jc w:val="both"/>
              <w:rPr>
                <w:rFonts w:ascii="Times New Roman" w:hAnsi="Times New Roman" w:cs="Times New Roman"/>
                <w:sz w:val="24"/>
                <w:szCs w:val="24"/>
              </w:rPr>
            </w:pPr>
          </w:p>
        </w:tc>
        <w:tc>
          <w:tcPr>
            <w:tcW w:w="751" w:type="pct"/>
          </w:tcPr>
          <w:p w14:paraId="0648E056" w14:textId="16893D25" w:rsidR="00BC33C4" w:rsidRPr="00D160E9" w:rsidRDefault="00BC33C4" w:rsidP="00BC33C4">
            <w:pPr>
              <w:pStyle w:val="ListParagraph"/>
              <w:spacing w:line="276" w:lineRule="auto"/>
              <w:ind w:left="0"/>
              <w:rPr>
                <w:rFonts w:ascii="Times New Roman" w:hAnsi="Times New Roman" w:cs="Times New Roman"/>
                <w:sz w:val="24"/>
                <w:szCs w:val="24"/>
              </w:rPr>
            </w:pPr>
            <w:r w:rsidRPr="00D160E9">
              <w:rPr>
                <w:rFonts w:ascii="Times New Roman" w:hAnsi="Times New Roman" w:cs="Times New Roman"/>
                <w:sz w:val="24"/>
                <w:szCs w:val="24"/>
              </w:rPr>
              <w:t>0.27289</w:t>
            </w:r>
          </w:p>
        </w:tc>
        <w:tc>
          <w:tcPr>
            <w:tcW w:w="573" w:type="pct"/>
          </w:tcPr>
          <w:p w14:paraId="34D3016F" w14:textId="48B67A48" w:rsidR="00BC33C4" w:rsidRPr="00D160E9" w:rsidRDefault="00BC33C4"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0.7627</w:t>
            </w:r>
          </w:p>
        </w:tc>
      </w:tr>
    </w:tbl>
    <w:p w14:paraId="517EF709" w14:textId="177E59E1" w:rsidR="00BC33C4" w:rsidRDefault="00BC33C4" w:rsidP="008A4ADC">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Source : Secondary Data processed, 2026</w:t>
      </w:r>
    </w:p>
    <w:p w14:paraId="7FC56F43" w14:textId="77777777" w:rsidR="00FB1404" w:rsidRPr="00FB1404" w:rsidRDefault="00FB1404" w:rsidP="008F4EBB">
      <w:pPr>
        <w:pStyle w:val="ListParagraph"/>
        <w:spacing w:line="276" w:lineRule="auto"/>
        <w:ind w:left="0"/>
        <w:jc w:val="both"/>
        <w:rPr>
          <w:rFonts w:ascii="Times New Roman" w:hAnsi="Times New Roman" w:cs="Times New Roman"/>
          <w:sz w:val="24"/>
          <w:szCs w:val="24"/>
        </w:rPr>
      </w:pPr>
    </w:p>
    <w:p w14:paraId="271B7DA0" w14:textId="13584506" w:rsidR="00BF4D33" w:rsidRDefault="00BC33C4" w:rsidP="008A4ADC">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008A4ADC">
        <w:rPr>
          <w:rFonts w:ascii="Times New Roman" w:hAnsi="Times New Roman" w:cs="Times New Roman"/>
          <w:sz w:val="24"/>
          <w:szCs w:val="24"/>
        </w:rPr>
        <w:t>Based on table 7</w:t>
      </w:r>
      <w:r w:rsidR="00986FF9">
        <w:rPr>
          <w:rFonts w:ascii="Times New Roman" w:hAnsi="Times New Roman" w:cs="Times New Roman"/>
          <w:sz w:val="24"/>
          <w:szCs w:val="24"/>
        </w:rPr>
        <w:t xml:space="preserve"> above, an output is obtained that the variable that has causality has a significance value criterion of less than 0.05, so that H0 is rejected </w:t>
      </w:r>
      <w:r w:rsidR="009A2ACE" w:rsidRPr="00D160E9">
        <w:rPr>
          <w:rFonts w:ascii="Times New Roman" w:hAnsi="Times New Roman" w:cs="Times New Roman"/>
          <w:sz w:val="24"/>
        </w:rPr>
        <w:t>(Madani &amp; Widiastuti, 2021)</w:t>
      </w:r>
      <w:r w:rsidR="00A138CC" w:rsidRPr="00D160E9">
        <w:rPr>
          <w:rFonts w:ascii="Times New Roman" w:hAnsi="Times New Roman" w:cs="Times New Roman"/>
          <w:sz w:val="24"/>
          <w:szCs w:val="24"/>
        </w:rPr>
        <w:t>. From the causality test, Granger showed some of the following outputs:</w:t>
      </w:r>
      <w:r w:rsidR="008A4ADC">
        <w:rPr>
          <w:rFonts w:ascii="Times New Roman" w:hAnsi="Times New Roman" w:cs="Times New Roman"/>
          <w:sz w:val="24"/>
          <w:szCs w:val="24"/>
        </w:rPr>
        <w:t xml:space="preserve"> (1) </w:t>
      </w:r>
      <w:r w:rsidR="00A138CC" w:rsidRPr="00D160E9">
        <w:rPr>
          <w:rFonts w:ascii="Times New Roman" w:hAnsi="Times New Roman" w:cs="Times New Roman"/>
          <w:sz w:val="24"/>
          <w:szCs w:val="24"/>
        </w:rPr>
        <w:t>The SBIS variable has a significance value of 0.0035 which means it is smaller than 0.05, so it can be concluded that SBIS has a significant influence on economic g</w:t>
      </w:r>
      <w:r w:rsidR="008A4ADC">
        <w:rPr>
          <w:rFonts w:ascii="Times New Roman" w:hAnsi="Times New Roman" w:cs="Times New Roman"/>
          <w:sz w:val="24"/>
          <w:szCs w:val="24"/>
        </w:rPr>
        <w:t xml:space="preserve">rowth (PE); (2) </w:t>
      </w:r>
      <w:r w:rsidR="00A138CC" w:rsidRPr="00D160E9">
        <w:rPr>
          <w:rFonts w:ascii="Times New Roman" w:hAnsi="Times New Roman" w:cs="Times New Roman"/>
          <w:sz w:val="24"/>
          <w:szCs w:val="24"/>
        </w:rPr>
        <w:t>The FASBIS variable has a significance value of 0.0030 which means it is smaller than 0.05, so it can be interpreted that FASBIS has a significant in</w:t>
      </w:r>
      <w:r w:rsidR="008A4ADC">
        <w:rPr>
          <w:rFonts w:ascii="Times New Roman" w:hAnsi="Times New Roman" w:cs="Times New Roman"/>
          <w:sz w:val="24"/>
          <w:szCs w:val="24"/>
        </w:rPr>
        <w:t xml:space="preserve">fluence on economic growth (PE); (3) </w:t>
      </w:r>
      <w:r w:rsidR="00A138CC" w:rsidRPr="00D160E9">
        <w:rPr>
          <w:rFonts w:ascii="Times New Roman" w:hAnsi="Times New Roman" w:cs="Times New Roman"/>
          <w:sz w:val="24"/>
          <w:szCs w:val="24"/>
        </w:rPr>
        <w:t>The PUAS variable has a significance value of 0.7627 which means that it is greater than the significance value of 0.05, so it can be stated that PUAS does not have a significant influence on economic growth (PE).</w:t>
      </w:r>
    </w:p>
    <w:p w14:paraId="3C5CB2D3" w14:textId="77777777" w:rsidR="008A4ADC" w:rsidRPr="00986FF9" w:rsidRDefault="008A4ADC" w:rsidP="008A4ADC">
      <w:pPr>
        <w:pStyle w:val="ListParagraph"/>
        <w:spacing w:line="276" w:lineRule="auto"/>
        <w:ind w:left="0"/>
        <w:jc w:val="both"/>
        <w:rPr>
          <w:rFonts w:ascii="Times New Roman" w:hAnsi="Times New Roman" w:cs="Times New Roman"/>
          <w:sz w:val="24"/>
          <w:szCs w:val="24"/>
        </w:rPr>
      </w:pPr>
    </w:p>
    <w:p w14:paraId="1F96AA5E" w14:textId="6EE68506" w:rsidR="00A138CC" w:rsidRDefault="00A138CC" w:rsidP="00A138CC">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Cointegration Analysis</w:t>
      </w:r>
    </w:p>
    <w:p w14:paraId="79652B6B" w14:textId="7E30139C" w:rsidR="00A138CC" w:rsidRDefault="00CA6772" w:rsidP="00A138CC">
      <w:pPr>
        <w:pStyle w:val="ListParagraph"/>
        <w:spacing w:line="276" w:lineRule="auto"/>
        <w:ind w:left="0"/>
        <w:jc w:val="both"/>
        <w:rPr>
          <w:rFonts w:ascii="Times New Roman" w:hAnsi="Times New Roman" w:cs="Times New Roman"/>
          <w:sz w:val="24"/>
        </w:rPr>
      </w:pPr>
      <w:r>
        <w:rPr>
          <w:rFonts w:ascii="Times New Roman" w:hAnsi="Times New Roman" w:cs="Times New Roman"/>
          <w:b/>
          <w:bCs/>
          <w:sz w:val="24"/>
          <w:szCs w:val="24"/>
        </w:rPr>
        <w:tab/>
      </w:r>
      <w:r>
        <w:rPr>
          <w:rFonts w:ascii="Times New Roman" w:hAnsi="Times New Roman" w:cs="Times New Roman"/>
          <w:sz w:val="24"/>
          <w:szCs w:val="24"/>
        </w:rPr>
        <w:t xml:space="preserve">The purpose of the cointegration test is to find out whether or not there is a relationship between variables, especially in the long term. If there is a connection in each of the variables used in the model, it can be concluded that there is a correlation in the long term. The cointegration test can be analyzed through the </w:t>
      </w:r>
      <w:r w:rsidR="00662959" w:rsidRPr="00662959">
        <w:rPr>
          <w:rFonts w:ascii="Times New Roman" w:hAnsi="Times New Roman" w:cs="Times New Roman"/>
          <w:i/>
          <w:iCs/>
          <w:sz w:val="24"/>
          <w:szCs w:val="24"/>
        </w:rPr>
        <w:t>Johansen Cointegration</w:t>
      </w:r>
      <w:r w:rsidR="00662959">
        <w:rPr>
          <w:rFonts w:ascii="Times New Roman" w:hAnsi="Times New Roman" w:cs="Times New Roman"/>
          <w:sz w:val="24"/>
          <w:szCs w:val="24"/>
        </w:rPr>
        <w:t xml:space="preserve">, on the basis of decision-making, if the value of the calculation </w:t>
      </w:r>
      <w:r w:rsidR="00662959" w:rsidRPr="00E44871">
        <w:rPr>
          <w:rFonts w:ascii="Times New Roman" w:hAnsi="Times New Roman" w:cs="Times New Roman"/>
          <w:i/>
          <w:iCs/>
          <w:sz w:val="24"/>
          <w:szCs w:val="24"/>
        </w:rPr>
        <w:t>Trace Statistic</w:t>
      </w:r>
      <w:r w:rsidR="00662959">
        <w:rPr>
          <w:rFonts w:ascii="Times New Roman" w:hAnsi="Times New Roman" w:cs="Times New Roman"/>
          <w:sz w:val="24"/>
          <w:szCs w:val="24"/>
        </w:rPr>
        <w:t xml:space="preserve"> and </w:t>
      </w:r>
      <w:r w:rsidR="00662959" w:rsidRPr="00E44871">
        <w:rPr>
          <w:rFonts w:ascii="Times New Roman" w:hAnsi="Times New Roman" w:cs="Times New Roman"/>
          <w:i/>
          <w:iCs/>
          <w:sz w:val="24"/>
          <w:szCs w:val="24"/>
        </w:rPr>
        <w:t xml:space="preserve">Maximum Eigenvalue </w:t>
      </w:r>
      <w:r w:rsidR="00662959">
        <w:rPr>
          <w:rFonts w:ascii="Times New Roman" w:hAnsi="Times New Roman" w:cs="Times New Roman"/>
          <w:sz w:val="24"/>
          <w:szCs w:val="24"/>
        </w:rPr>
        <w:t xml:space="preserve">greater than the critical value with a significance of 5%, then there can be cointegration in each variable. On the other hand, when the value of the calculation </w:t>
      </w:r>
      <w:r w:rsidR="00662959" w:rsidRPr="00E44871">
        <w:rPr>
          <w:rFonts w:ascii="Times New Roman" w:hAnsi="Times New Roman" w:cs="Times New Roman"/>
          <w:i/>
          <w:iCs/>
          <w:sz w:val="24"/>
          <w:szCs w:val="24"/>
        </w:rPr>
        <w:t>Trace Statistic</w:t>
      </w:r>
      <w:r w:rsidR="00662959">
        <w:rPr>
          <w:rFonts w:ascii="Times New Roman" w:hAnsi="Times New Roman" w:cs="Times New Roman"/>
          <w:sz w:val="24"/>
          <w:szCs w:val="24"/>
        </w:rPr>
        <w:t xml:space="preserve"> and </w:t>
      </w:r>
      <w:r w:rsidR="00662959" w:rsidRPr="00E44871">
        <w:rPr>
          <w:rFonts w:ascii="Times New Roman" w:hAnsi="Times New Roman" w:cs="Times New Roman"/>
          <w:i/>
          <w:iCs/>
          <w:sz w:val="24"/>
          <w:szCs w:val="24"/>
        </w:rPr>
        <w:t xml:space="preserve">Maximum Eigenvalue </w:t>
      </w:r>
      <w:r w:rsidR="00662959">
        <w:rPr>
          <w:rFonts w:ascii="Times New Roman" w:hAnsi="Times New Roman" w:cs="Times New Roman"/>
          <w:sz w:val="24"/>
          <w:szCs w:val="24"/>
        </w:rPr>
        <w:t xml:space="preserve">smaller than the critical value, so it is certain that there will be no cointegration </w:t>
      </w:r>
      <w:r w:rsidR="009A2ACE" w:rsidRPr="00D160E9">
        <w:rPr>
          <w:rFonts w:ascii="Times New Roman" w:hAnsi="Times New Roman" w:cs="Times New Roman"/>
          <w:sz w:val="24"/>
        </w:rPr>
        <w:t>(Rangkuty et al., 2023).</w:t>
      </w:r>
    </w:p>
    <w:p w14:paraId="5945F6FB" w14:textId="77777777" w:rsidR="008A4ADC" w:rsidRPr="00D160E9" w:rsidRDefault="008A4ADC" w:rsidP="00A138CC">
      <w:pPr>
        <w:pStyle w:val="ListParagraph"/>
        <w:spacing w:line="276" w:lineRule="auto"/>
        <w:ind w:left="0"/>
        <w:jc w:val="both"/>
        <w:rPr>
          <w:rFonts w:ascii="Times New Roman" w:hAnsi="Times New Roman" w:cs="Times New Roman"/>
          <w:sz w:val="24"/>
          <w:szCs w:val="24"/>
        </w:rPr>
      </w:pPr>
    </w:p>
    <w:p w14:paraId="1333FB72" w14:textId="33E7A8DD" w:rsidR="004C0072" w:rsidRPr="008A4ADC" w:rsidRDefault="008A4ADC" w:rsidP="004C0072">
      <w:pPr>
        <w:pStyle w:val="ListParagraph"/>
        <w:spacing w:line="276" w:lineRule="auto"/>
        <w:ind w:left="0"/>
        <w:jc w:val="center"/>
        <w:rPr>
          <w:rFonts w:ascii="Times New Roman" w:hAnsi="Times New Roman" w:cs="Times New Roman"/>
          <w:bCs/>
          <w:sz w:val="24"/>
          <w:szCs w:val="24"/>
        </w:rPr>
      </w:pPr>
      <w:r w:rsidRPr="008A4ADC">
        <w:rPr>
          <w:rFonts w:ascii="Times New Roman" w:hAnsi="Times New Roman" w:cs="Times New Roman"/>
          <w:bCs/>
          <w:sz w:val="24"/>
          <w:szCs w:val="24"/>
        </w:rPr>
        <w:t>Table 8</w:t>
      </w:r>
      <w:r w:rsidR="00241DAE" w:rsidRPr="008A4ADC">
        <w:rPr>
          <w:rFonts w:ascii="Times New Roman" w:hAnsi="Times New Roman" w:cs="Times New Roman"/>
          <w:bCs/>
          <w:sz w:val="24"/>
          <w:szCs w:val="24"/>
        </w:rPr>
        <w:t xml:space="preserve">. </w:t>
      </w:r>
      <w:r w:rsidR="004C0072" w:rsidRPr="008A4ADC">
        <w:rPr>
          <w:rFonts w:ascii="Times New Roman" w:hAnsi="Times New Roman" w:cs="Times New Roman"/>
          <w:bCs/>
          <w:sz w:val="24"/>
          <w:szCs w:val="24"/>
        </w:rPr>
        <w:t>Cointegration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4C0072" w:rsidRPr="00D160E9" w14:paraId="23F2B453" w14:textId="77777777" w:rsidTr="008A4ADC">
        <w:tc>
          <w:tcPr>
            <w:tcW w:w="1803" w:type="dxa"/>
            <w:tcBorders>
              <w:top w:val="single" w:sz="4" w:space="0" w:color="auto"/>
              <w:bottom w:val="single" w:sz="4" w:space="0" w:color="auto"/>
            </w:tcBorders>
          </w:tcPr>
          <w:p w14:paraId="3B76875A" w14:textId="25FCD777" w:rsidR="004C0072" w:rsidRPr="00D160E9" w:rsidRDefault="004C0072"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Number of CE(s)</w:t>
            </w:r>
          </w:p>
        </w:tc>
        <w:tc>
          <w:tcPr>
            <w:tcW w:w="1803" w:type="dxa"/>
            <w:tcBorders>
              <w:top w:val="single" w:sz="4" w:space="0" w:color="auto"/>
              <w:bottom w:val="single" w:sz="4" w:space="0" w:color="auto"/>
            </w:tcBorders>
          </w:tcPr>
          <w:p w14:paraId="4D3351A6" w14:textId="6E447165" w:rsidR="004C0072" w:rsidRPr="00D160E9" w:rsidRDefault="004C0072"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Eigenvalue</w:t>
            </w:r>
          </w:p>
        </w:tc>
        <w:tc>
          <w:tcPr>
            <w:tcW w:w="1803" w:type="dxa"/>
            <w:tcBorders>
              <w:top w:val="single" w:sz="4" w:space="0" w:color="auto"/>
              <w:bottom w:val="single" w:sz="4" w:space="0" w:color="auto"/>
            </w:tcBorders>
          </w:tcPr>
          <w:p w14:paraId="44D031DC" w14:textId="0F8261E6" w:rsidR="004C0072" w:rsidRPr="00D160E9" w:rsidRDefault="004C0072"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Trace Statistic</w:t>
            </w:r>
          </w:p>
        </w:tc>
        <w:tc>
          <w:tcPr>
            <w:tcW w:w="1803" w:type="dxa"/>
            <w:tcBorders>
              <w:top w:val="single" w:sz="4" w:space="0" w:color="auto"/>
              <w:bottom w:val="single" w:sz="4" w:space="0" w:color="auto"/>
            </w:tcBorders>
          </w:tcPr>
          <w:p w14:paraId="021595A0" w14:textId="31415F69" w:rsidR="004C0072" w:rsidRPr="00D160E9" w:rsidRDefault="004C0072"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0.05 Critical Value</w:t>
            </w:r>
          </w:p>
        </w:tc>
        <w:tc>
          <w:tcPr>
            <w:tcW w:w="1804" w:type="dxa"/>
            <w:tcBorders>
              <w:top w:val="single" w:sz="4" w:space="0" w:color="auto"/>
              <w:bottom w:val="single" w:sz="4" w:space="0" w:color="auto"/>
            </w:tcBorders>
          </w:tcPr>
          <w:p w14:paraId="1119C04B" w14:textId="678BF5E6" w:rsidR="004C0072" w:rsidRPr="00D160E9" w:rsidRDefault="004C0072"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Prob.</w:t>
            </w:r>
          </w:p>
        </w:tc>
      </w:tr>
      <w:tr w:rsidR="004C0072" w:rsidRPr="00D160E9" w14:paraId="00BFDE02" w14:textId="77777777" w:rsidTr="008A4ADC">
        <w:tc>
          <w:tcPr>
            <w:tcW w:w="1803" w:type="dxa"/>
            <w:tcBorders>
              <w:top w:val="single" w:sz="4" w:space="0" w:color="auto"/>
            </w:tcBorders>
          </w:tcPr>
          <w:p w14:paraId="30FC8BAD" w14:textId="703279E5" w:rsidR="004C0072" w:rsidRPr="00D160E9" w:rsidRDefault="00EF031B"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None*</w:t>
            </w:r>
          </w:p>
        </w:tc>
        <w:tc>
          <w:tcPr>
            <w:tcW w:w="1803" w:type="dxa"/>
            <w:tcBorders>
              <w:top w:val="single" w:sz="4" w:space="0" w:color="auto"/>
            </w:tcBorders>
          </w:tcPr>
          <w:p w14:paraId="6387362D" w14:textId="7798C139" w:rsidR="004C0072" w:rsidRPr="00D160E9" w:rsidRDefault="00EF031B"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0.758132</w:t>
            </w:r>
          </w:p>
        </w:tc>
        <w:tc>
          <w:tcPr>
            <w:tcW w:w="1803" w:type="dxa"/>
            <w:tcBorders>
              <w:top w:val="single" w:sz="4" w:space="0" w:color="auto"/>
            </w:tcBorders>
          </w:tcPr>
          <w:p w14:paraId="55363D61" w14:textId="66EFD33A"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92.33440</w:t>
            </w:r>
          </w:p>
        </w:tc>
        <w:tc>
          <w:tcPr>
            <w:tcW w:w="1803" w:type="dxa"/>
            <w:tcBorders>
              <w:top w:val="single" w:sz="4" w:space="0" w:color="auto"/>
            </w:tcBorders>
          </w:tcPr>
          <w:p w14:paraId="1CDD94B2" w14:textId="38361912"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47.85613</w:t>
            </w:r>
          </w:p>
        </w:tc>
        <w:tc>
          <w:tcPr>
            <w:tcW w:w="1804" w:type="dxa"/>
            <w:tcBorders>
              <w:top w:val="single" w:sz="4" w:space="0" w:color="auto"/>
            </w:tcBorders>
          </w:tcPr>
          <w:p w14:paraId="7B9E3E10" w14:textId="32A9DD9A"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0.000</w:t>
            </w:r>
          </w:p>
        </w:tc>
      </w:tr>
      <w:tr w:rsidR="004C0072" w:rsidRPr="00D160E9" w14:paraId="0CDBE6C8" w14:textId="77777777" w:rsidTr="008A4ADC">
        <w:tc>
          <w:tcPr>
            <w:tcW w:w="1803" w:type="dxa"/>
          </w:tcPr>
          <w:p w14:paraId="5BB49F4F" w14:textId="45FE9D8F" w:rsidR="004C0072" w:rsidRPr="00D160E9" w:rsidRDefault="00EF031B"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At most 1*</w:t>
            </w:r>
          </w:p>
        </w:tc>
        <w:tc>
          <w:tcPr>
            <w:tcW w:w="1803" w:type="dxa"/>
          </w:tcPr>
          <w:p w14:paraId="3B507676" w14:textId="1EFB29E6" w:rsidR="004C0072" w:rsidRPr="00D160E9" w:rsidRDefault="00EF031B"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0.465506</w:t>
            </w:r>
          </w:p>
        </w:tc>
        <w:tc>
          <w:tcPr>
            <w:tcW w:w="1803" w:type="dxa"/>
          </w:tcPr>
          <w:p w14:paraId="18DD6D3A" w14:textId="78079EF8"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36.97928</w:t>
            </w:r>
          </w:p>
        </w:tc>
        <w:tc>
          <w:tcPr>
            <w:tcW w:w="1803" w:type="dxa"/>
          </w:tcPr>
          <w:p w14:paraId="01B4142E" w14:textId="5A7953D1"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29.79707</w:t>
            </w:r>
          </w:p>
        </w:tc>
        <w:tc>
          <w:tcPr>
            <w:tcW w:w="1804" w:type="dxa"/>
          </w:tcPr>
          <w:p w14:paraId="7476CE79" w14:textId="2D255B02"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0.0063</w:t>
            </w:r>
          </w:p>
        </w:tc>
      </w:tr>
      <w:tr w:rsidR="004C0072" w:rsidRPr="00D160E9" w14:paraId="0810ACB2" w14:textId="77777777" w:rsidTr="008A4ADC">
        <w:tc>
          <w:tcPr>
            <w:tcW w:w="1803" w:type="dxa"/>
          </w:tcPr>
          <w:p w14:paraId="6B314392" w14:textId="2D1E86C7" w:rsidR="004C0072" w:rsidRPr="00D160E9" w:rsidRDefault="00EF031B"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At most 2</w:t>
            </w:r>
          </w:p>
        </w:tc>
        <w:tc>
          <w:tcPr>
            <w:tcW w:w="1803" w:type="dxa"/>
          </w:tcPr>
          <w:p w14:paraId="5BFA2BBA" w14:textId="32C2DF81"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0.232979</w:t>
            </w:r>
          </w:p>
        </w:tc>
        <w:tc>
          <w:tcPr>
            <w:tcW w:w="1803" w:type="dxa"/>
          </w:tcPr>
          <w:p w14:paraId="276C69CB" w14:textId="2695E6E4"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12.54831</w:t>
            </w:r>
          </w:p>
        </w:tc>
        <w:tc>
          <w:tcPr>
            <w:tcW w:w="1803" w:type="dxa"/>
          </w:tcPr>
          <w:p w14:paraId="052367D1" w14:textId="094004EB"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15.49471</w:t>
            </w:r>
          </w:p>
        </w:tc>
        <w:tc>
          <w:tcPr>
            <w:tcW w:w="1804" w:type="dxa"/>
          </w:tcPr>
          <w:p w14:paraId="3A5272F3" w14:textId="245F0DF1"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0.1325</w:t>
            </w:r>
          </w:p>
        </w:tc>
      </w:tr>
      <w:tr w:rsidR="004C0072" w:rsidRPr="00D160E9" w14:paraId="7C6922AC" w14:textId="77777777" w:rsidTr="008A4ADC">
        <w:trPr>
          <w:trHeight w:val="58"/>
        </w:trPr>
        <w:tc>
          <w:tcPr>
            <w:tcW w:w="1803" w:type="dxa"/>
            <w:tcBorders>
              <w:bottom w:val="single" w:sz="4" w:space="0" w:color="auto"/>
            </w:tcBorders>
          </w:tcPr>
          <w:p w14:paraId="02BDE908" w14:textId="598CB6C4" w:rsidR="004C0072" w:rsidRPr="00D160E9" w:rsidRDefault="00EF031B"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At most 3</w:t>
            </w:r>
          </w:p>
        </w:tc>
        <w:tc>
          <w:tcPr>
            <w:tcW w:w="1803" w:type="dxa"/>
            <w:tcBorders>
              <w:bottom w:val="single" w:sz="4" w:space="0" w:color="auto"/>
            </w:tcBorders>
          </w:tcPr>
          <w:p w14:paraId="4AA18C81" w14:textId="3CC9F3C9"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0.054944</w:t>
            </w:r>
          </w:p>
        </w:tc>
        <w:tc>
          <w:tcPr>
            <w:tcW w:w="1803" w:type="dxa"/>
            <w:tcBorders>
              <w:bottom w:val="single" w:sz="4" w:space="0" w:color="auto"/>
            </w:tcBorders>
          </w:tcPr>
          <w:p w14:paraId="32981E56" w14:textId="4E6FA31E"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2.203917</w:t>
            </w:r>
          </w:p>
        </w:tc>
        <w:tc>
          <w:tcPr>
            <w:tcW w:w="1803" w:type="dxa"/>
            <w:tcBorders>
              <w:bottom w:val="single" w:sz="4" w:space="0" w:color="auto"/>
            </w:tcBorders>
          </w:tcPr>
          <w:p w14:paraId="10D0A22F" w14:textId="69531ACE"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3.841465</w:t>
            </w:r>
          </w:p>
        </w:tc>
        <w:tc>
          <w:tcPr>
            <w:tcW w:w="1804" w:type="dxa"/>
            <w:tcBorders>
              <w:bottom w:val="single" w:sz="4" w:space="0" w:color="auto"/>
            </w:tcBorders>
          </w:tcPr>
          <w:p w14:paraId="2EEAAFDB" w14:textId="4B7A3275" w:rsidR="004C0072" w:rsidRPr="00D160E9" w:rsidRDefault="0035114E" w:rsidP="0035114E">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0.1377</w:t>
            </w:r>
          </w:p>
        </w:tc>
      </w:tr>
    </w:tbl>
    <w:p w14:paraId="2D4A94E0" w14:textId="62958A40" w:rsidR="00BF4D33" w:rsidRPr="00D160E9" w:rsidRDefault="00C81619" w:rsidP="008A4ADC">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Source : Secondary Data processed, 2026</w:t>
      </w:r>
    </w:p>
    <w:p w14:paraId="6C20ED12" w14:textId="77777777" w:rsidR="008A4ADC" w:rsidRDefault="00EF031B"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ab/>
      </w:r>
    </w:p>
    <w:p w14:paraId="4DE1A54B" w14:textId="17E385AE" w:rsidR="00EF031B" w:rsidRPr="00D160E9" w:rsidRDefault="00EF031B" w:rsidP="008A4ADC">
      <w:pPr>
        <w:pStyle w:val="ListParagraph"/>
        <w:spacing w:line="276" w:lineRule="auto"/>
        <w:ind w:left="0" w:firstLine="709"/>
        <w:jc w:val="both"/>
        <w:rPr>
          <w:rFonts w:ascii="Times New Roman" w:hAnsi="Times New Roman" w:cs="Times New Roman"/>
          <w:sz w:val="24"/>
          <w:szCs w:val="24"/>
        </w:rPr>
      </w:pPr>
      <w:r w:rsidRPr="00D160E9">
        <w:rPr>
          <w:rFonts w:ascii="Times New Roman" w:hAnsi="Times New Roman" w:cs="Times New Roman"/>
          <w:sz w:val="24"/>
          <w:szCs w:val="24"/>
        </w:rPr>
        <w:t xml:space="preserve">Based on table </w:t>
      </w:r>
      <w:r w:rsidR="008A4ADC">
        <w:rPr>
          <w:rFonts w:ascii="Times New Roman" w:hAnsi="Times New Roman" w:cs="Times New Roman"/>
          <w:sz w:val="24"/>
          <w:szCs w:val="24"/>
        </w:rPr>
        <w:t>8</w:t>
      </w:r>
      <w:r w:rsidRPr="00D160E9">
        <w:rPr>
          <w:rFonts w:ascii="Times New Roman" w:hAnsi="Times New Roman" w:cs="Times New Roman"/>
          <w:sz w:val="24"/>
          <w:szCs w:val="24"/>
        </w:rPr>
        <w:t xml:space="preserve"> above, it can be seen that there is at least one cointegration at a significance level of 5%, so that the results of the cointegration test show that there is a relationship of balance and stability in the long term of each of the variables analyzed in the model.</w:t>
      </w:r>
    </w:p>
    <w:p w14:paraId="178695A2" w14:textId="77777777" w:rsidR="0035114E" w:rsidRPr="00D160E9" w:rsidRDefault="0035114E" w:rsidP="008F4EBB">
      <w:pPr>
        <w:pStyle w:val="ListParagraph"/>
        <w:spacing w:line="276" w:lineRule="auto"/>
        <w:ind w:left="0"/>
        <w:jc w:val="both"/>
        <w:rPr>
          <w:rFonts w:ascii="Times New Roman" w:hAnsi="Times New Roman" w:cs="Times New Roman"/>
          <w:sz w:val="24"/>
          <w:szCs w:val="24"/>
        </w:rPr>
      </w:pPr>
    </w:p>
    <w:p w14:paraId="76D41A37" w14:textId="38455E0B" w:rsidR="0035114E" w:rsidRPr="00D160E9" w:rsidRDefault="0035114E"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Impulse Response Function (IRF) Analysis</w:t>
      </w:r>
    </w:p>
    <w:p w14:paraId="33E11F77" w14:textId="148CCBFA" w:rsidR="00B65229" w:rsidRDefault="00B65229"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t xml:space="preserve">Analysis </w:t>
      </w:r>
      <w:r w:rsidR="0052492F" w:rsidRPr="0052492F">
        <w:rPr>
          <w:rFonts w:ascii="Times New Roman" w:hAnsi="Times New Roman" w:cs="Times New Roman"/>
          <w:i/>
          <w:iCs/>
          <w:sz w:val="24"/>
          <w:szCs w:val="24"/>
        </w:rPr>
        <w:t>Impulse Response Function</w:t>
      </w:r>
      <w:r w:rsidR="0052492F">
        <w:rPr>
          <w:rFonts w:ascii="Times New Roman" w:hAnsi="Times New Roman" w:cs="Times New Roman"/>
          <w:sz w:val="24"/>
          <w:szCs w:val="24"/>
        </w:rPr>
        <w:t xml:space="preserve"> (IRF) is an analysis that aims to determine an endogenous variable response to the shock that occurs between a certain variable and the relationship between one variable and another and analyze how much of an influence it occurs. (Nugroho, 2009).</w:t>
      </w:r>
    </w:p>
    <w:p w14:paraId="6394DA32" w14:textId="77777777" w:rsidR="008A4ADC" w:rsidRDefault="00907198" w:rsidP="00B65229">
      <w:pPr>
        <w:pStyle w:val="ListParagraph"/>
        <w:spacing w:line="276" w:lineRule="auto"/>
        <w:ind w:left="0"/>
        <w:jc w:val="center"/>
        <w:rPr>
          <w:rFonts w:ascii="Times New Roman" w:hAnsi="Times New Roman" w:cs="Times New Roman"/>
          <w:bCs/>
          <w:sz w:val="24"/>
          <w:szCs w:val="24"/>
        </w:rPr>
      </w:pPr>
      <w:r w:rsidRPr="00674D7D">
        <w:rPr>
          <w:rFonts w:ascii="Times New Roman" w:hAnsi="Times New Roman" w:cs="Times New Roman"/>
          <w:b/>
          <w:bCs/>
          <w:noProof/>
          <w:sz w:val="24"/>
          <w:szCs w:val="24"/>
          <w:lang w:val="en-US"/>
        </w:rPr>
        <w:drawing>
          <wp:anchor distT="0" distB="0" distL="114300" distR="114300" simplePos="0" relativeHeight="251669504" behindDoc="0" locked="0" layoutInCell="1" allowOverlap="1" wp14:anchorId="1406E2A4" wp14:editId="5CAEDB67">
            <wp:simplePos x="0" y="0"/>
            <wp:positionH relativeFrom="margin">
              <wp:posOffset>1283880</wp:posOffset>
            </wp:positionH>
            <wp:positionV relativeFrom="paragraph">
              <wp:posOffset>307330</wp:posOffset>
            </wp:positionV>
            <wp:extent cx="3226435" cy="1964055"/>
            <wp:effectExtent l="0" t="0" r="0" b="0"/>
            <wp:wrapTopAndBottom/>
            <wp:docPr id="1007749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49860" name=""/>
                    <pic:cNvPicPr/>
                  </pic:nvPicPr>
                  <pic:blipFill>
                    <a:blip r:embed="rId11">
                      <a:extLst>
                        <a:ext uri="{28A0092B-C50C-407E-A947-70E740481C1C}">
                          <a14:useLocalDpi xmlns:a14="http://schemas.microsoft.com/office/drawing/2010/main" val="0"/>
                        </a:ext>
                      </a:extLst>
                    </a:blip>
                    <a:stretch>
                      <a:fillRect/>
                    </a:stretch>
                  </pic:blipFill>
                  <pic:spPr>
                    <a:xfrm>
                      <a:off x="0" y="0"/>
                      <a:ext cx="3226435" cy="1964055"/>
                    </a:xfrm>
                    <a:prstGeom prst="rect">
                      <a:avLst/>
                    </a:prstGeom>
                  </pic:spPr>
                </pic:pic>
              </a:graphicData>
            </a:graphic>
            <wp14:sizeRelH relativeFrom="page">
              <wp14:pctWidth>0</wp14:pctWidth>
            </wp14:sizeRelH>
            <wp14:sizeRelV relativeFrom="page">
              <wp14:pctHeight>0</wp14:pctHeight>
            </wp14:sizeRelV>
          </wp:anchor>
        </w:drawing>
      </w:r>
    </w:p>
    <w:p w14:paraId="5AB492E4" w14:textId="6083A427" w:rsidR="008A4ADC" w:rsidRPr="008A4ADC" w:rsidRDefault="008A4ADC" w:rsidP="00B65229">
      <w:pPr>
        <w:pStyle w:val="ListParagraph"/>
        <w:spacing w:line="276" w:lineRule="auto"/>
        <w:ind w:left="0"/>
        <w:jc w:val="center"/>
        <w:rPr>
          <w:rFonts w:ascii="Times New Roman" w:hAnsi="Times New Roman" w:cs="Times New Roman"/>
          <w:bCs/>
          <w:sz w:val="24"/>
          <w:szCs w:val="24"/>
        </w:rPr>
      </w:pPr>
      <w:r w:rsidRPr="008A4ADC">
        <w:rPr>
          <w:rFonts w:ascii="Times New Roman" w:hAnsi="Times New Roman" w:cs="Times New Roman"/>
          <w:bCs/>
          <w:sz w:val="24"/>
          <w:szCs w:val="24"/>
        </w:rPr>
        <w:t>Figure 3. IRF Analysis</w:t>
      </w:r>
    </w:p>
    <w:p w14:paraId="5C42C4E8" w14:textId="353D4CE7" w:rsidR="00BF4D33" w:rsidRDefault="00C81619" w:rsidP="008A4ADC">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Secondary :D Source, 2026</w:t>
      </w:r>
    </w:p>
    <w:p w14:paraId="0BBC0081" w14:textId="77777777" w:rsidR="008A4ADC" w:rsidRPr="00D160E9" w:rsidRDefault="008A4ADC" w:rsidP="008A4ADC">
      <w:pPr>
        <w:pStyle w:val="ListParagraph"/>
        <w:spacing w:line="276" w:lineRule="auto"/>
        <w:ind w:left="0"/>
        <w:jc w:val="center"/>
        <w:rPr>
          <w:rFonts w:ascii="Times New Roman" w:hAnsi="Times New Roman" w:cs="Times New Roman"/>
          <w:sz w:val="24"/>
          <w:szCs w:val="24"/>
        </w:rPr>
      </w:pPr>
    </w:p>
    <w:p w14:paraId="3A0872B1" w14:textId="3A23FC4B" w:rsidR="00907198" w:rsidRPr="00D160E9" w:rsidRDefault="0090719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 xml:space="preserve">Based on the results of the analysis </w:t>
      </w:r>
      <w:r w:rsidRPr="007945AC">
        <w:rPr>
          <w:rFonts w:ascii="Times New Roman" w:hAnsi="Times New Roman" w:cs="Times New Roman"/>
          <w:i/>
          <w:iCs/>
          <w:sz w:val="24"/>
          <w:szCs w:val="24"/>
        </w:rPr>
        <w:t xml:space="preserve">Impulse Response Function </w:t>
      </w:r>
      <w:r w:rsidRPr="00D160E9">
        <w:rPr>
          <w:rFonts w:ascii="Times New Roman" w:hAnsi="Times New Roman" w:cs="Times New Roman"/>
          <w:sz w:val="24"/>
          <w:szCs w:val="24"/>
        </w:rPr>
        <w:t xml:space="preserve">(IRF) in figure </w:t>
      </w:r>
      <w:r w:rsidR="008A4ADC">
        <w:rPr>
          <w:rFonts w:ascii="Times New Roman" w:hAnsi="Times New Roman" w:cs="Times New Roman"/>
          <w:sz w:val="24"/>
          <w:szCs w:val="24"/>
        </w:rPr>
        <w:t>3</w:t>
      </w:r>
      <w:r w:rsidRPr="00D160E9">
        <w:rPr>
          <w:rFonts w:ascii="Times New Roman" w:hAnsi="Times New Roman" w:cs="Times New Roman"/>
          <w:sz w:val="24"/>
          <w:szCs w:val="24"/>
        </w:rPr>
        <w:t xml:space="preserve">, states that the PE estimate shows that the shocks that occur in PE, SBIS, FASBIS and PUAS have a dynamic relationship and can increase GDP in the long run. </w:t>
      </w:r>
    </w:p>
    <w:p w14:paraId="6A73E0E3" w14:textId="77777777" w:rsidR="00946AA3" w:rsidRPr="00D160E9" w:rsidRDefault="00946AA3" w:rsidP="008F4EBB">
      <w:pPr>
        <w:pStyle w:val="ListParagraph"/>
        <w:spacing w:line="276" w:lineRule="auto"/>
        <w:ind w:left="0"/>
        <w:jc w:val="both"/>
        <w:rPr>
          <w:rFonts w:ascii="Times New Roman" w:hAnsi="Times New Roman" w:cs="Times New Roman"/>
          <w:sz w:val="24"/>
          <w:szCs w:val="24"/>
        </w:rPr>
      </w:pPr>
    </w:p>
    <w:p w14:paraId="342A6685" w14:textId="742296B3" w:rsidR="00907198" w:rsidRPr="00D160E9" w:rsidRDefault="00907198"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Forecast Error Variance Decomposition (FEVD) Analysis</w:t>
      </w:r>
    </w:p>
    <w:p w14:paraId="586F1F4C" w14:textId="5618FF4C" w:rsidR="00ED36D6" w:rsidRDefault="00907198"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r>
      <w:r w:rsidRPr="0052492F">
        <w:rPr>
          <w:rFonts w:ascii="Times New Roman" w:hAnsi="Times New Roman" w:cs="Times New Roman"/>
          <w:i/>
          <w:iCs/>
          <w:sz w:val="24"/>
          <w:szCs w:val="24"/>
        </w:rPr>
        <w:t>Forecast Error Variance Decomposition</w:t>
      </w:r>
      <w:r w:rsidRPr="00D160E9">
        <w:rPr>
          <w:rFonts w:ascii="Times New Roman" w:hAnsi="Times New Roman" w:cs="Times New Roman"/>
          <w:sz w:val="24"/>
          <w:szCs w:val="24"/>
        </w:rPr>
        <w:t xml:space="preserve"> (FEVD) aims to analyze the influence shown by one variable on another variable, with indicators to see strengths and weaknesses over a long period of time. In this analysis, it is carried out by means of VAR, which is to describe the innovation of variables against other variable components. The result found on the FEVD is the equilibrium of motion caused by the shock of the variable itself and other variables on a continuous basis. (Nugroho, 2009).</w:t>
      </w:r>
    </w:p>
    <w:p w14:paraId="1192AA48" w14:textId="77777777" w:rsidR="008A4ADC" w:rsidRDefault="008A4ADC" w:rsidP="008F4EBB">
      <w:pPr>
        <w:pStyle w:val="ListParagraph"/>
        <w:spacing w:line="276" w:lineRule="auto"/>
        <w:ind w:left="0"/>
        <w:jc w:val="both"/>
        <w:rPr>
          <w:rFonts w:ascii="Times New Roman" w:hAnsi="Times New Roman" w:cs="Times New Roman"/>
          <w:sz w:val="24"/>
          <w:szCs w:val="24"/>
        </w:rPr>
      </w:pPr>
    </w:p>
    <w:p w14:paraId="43ABB4A0" w14:textId="5A2F8CA6" w:rsidR="00907198" w:rsidRPr="008A4ADC" w:rsidRDefault="008A4ADC" w:rsidP="00907198">
      <w:pPr>
        <w:pStyle w:val="ListParagraph"/>
        <w:spacing w:line="276" w:lineRule="auto"/>
        <w:ind w:left="0"/>
        <w:jc w:val="center"/>
        <w:rPr>
          <w:rFonts w:ascii="Times New Roman" w:hAnsi="Times New Roman" w:cs="Times New Roman"/>
          <w:bCs/>
          <w:sz w:val="24"/>
          <w:szCs w:val="24"/>
        </w:rPr>
      </w:pPr>
      <w:r w:rsidRPr="008A4ADC">
        <w:rPr>
          <w:rFonts w:ascii="Times New Roman" w:hAnsi="Times New Roman" w:cs="Times New Roman"/>
          <w:bCs/>
          <w:sz w:val="24"/>
          <w:szCs w:val="24"/>
        </w:rPr>
        <w:t>Table 9</w:t>
      </w:r>
      <w:r w:rsidR="00241DAE" w:rsidRPr="008A4ADC">
        <w:rPr>
          <w:rFonts w:ascii="Times New Roman" w:hAnsi="Times New Roman" w:cs="Times New Roman"/>
          <w:bCs/>
          <w:sz w:val="24"/>
          <w:szCs w:val="24"/>
        </w:rPr>
        <w:t xml:space="preserve">. </w:t>
      </w:r>
      <w:r w:rsidR="00907198" w:rsidRPr="008A4ADC">
        <w:rPr>
          <w:rFonts w:ascii="Times New Roman" w:hAnsi="Times New Roman" w:cs="Times New Roman"/>
          <w:bCs/>
          <w:sz w:val="24"/>
          <w:szCs w:val="24"/>
        </w:rPr>
        <w:t>FEVD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81619" w:rsidRPr="00D160E9" w14:paraId="2AF2B3C7" w14:textId="77777777" w:rsidTr="008A4ADC">
        <w:tc>
          <w:tcPr>
            <w:tcW w:w="1803" w:type="dxa"/>
            <w:tcBorders>
              <w:top w:val="single" w:sz="4" w:space="0" w:color="auto"/>
              <w:bottom w:val="single" w:sz="4" w:space="0" w:color="auto"/>
            </w:tcBorders>
          </w:tcPr>
          <w:p w14:paraId="071C337D" w14:textId="1EA0F698"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Period</w:t>
            </w:r>
          </w:p>
        </w:tc>
        <w:tc>
          <w:tcPr>
            <w:tcW w:w="1803" w:type="dxa"/>
            <w:tcBorders>
              <w:top w:val="single" w:sz="4" w:space="0" w:color="auto"/>
              <w:bottom w:val="single" w:sz="4" w:space="0" w:color="auto"/>
            </w:tcBorders>
          </w:tcPr>
          <w:p w14:paraId="5FEFFF2D" w14:textId="270C1780"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OR</w:t>
            </w:r>
          </w:p>
        </w:tc>
        <w:tc>
          <w:tcPr>
            <w:tcW w:w="1803" w:type="dxa"/>
            <w:tcBorders>
              <w:top w:val="single" w:sz="4" w:space="0" w:color="auto"/>
              <w:bottom w:val="single" w:sz="4" w:space="0" w:color="auto"/>
            </w:tcBorders>
          </w:tcPr>
          <w:p w14:paraId="151D471A" w14:textId="2A4AEFCA"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SBIS</w:t>
            </w:r>
          </w:p>
        </w:tc>
        <w:tc>
          <w:tcPr>
            <w:tcW w:w="1803" w:type="dxa"/>
            <w:tcBorders>
              <w:top w:val="single" w:sz="4" w:space="0" w:color="auto"/>
              <w:bottom w:val="single" w:sz="4" w:space="0" w:color="auto"/>
            </w:tcBorders>
          </w:tcPr>
          <w:p w14:paraId="1F3D7D8D" w14:textId="436267A9"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FASBIS</w:t>
            </w:r>
          </w:p>
        </w:tc>
        <w:tc>
          <w:tcPr>
            <w:tcW w:w="1804" w:type="dxa"/>
            <w:tcBorders>
              <w:top w:val="single" w:sz="4" w:space="0" w:color="auto"/>
              <w:bottom w:val="single" w:sz="4" w:space="0" w:color="auto"/>
            </w:tcBorders>
          </w:tcPr>
          <w:p w14:paraId="15063A2E" w14:textId="15DCB2B1"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SATISFIED</w:t>
            </w:r>
          </w:p>
        </w:tc>
      </w:tr>
      <w:tr w:rsidR="00C81619" w:rsidRPr="00D160E9" w14:paraId="3D1F9A93" w14:textId="77777777" w:rsidTr="008A4ADC">
        <w:tc>
          <w:tcPr>
            <w:tcW w:w="1803" w:type="dxa"/>
            <w:tcBorders>
              <w:top w:val="single" w:sz="4" w:space="0" w:color="auto"/>
            </w:tcBorders>
          </w:tcPr>
          <w:p w14:paraId="3BE7B48E" w14:textId="4EBFEF9D"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w:t>
            </w:r>
          </w:p>
        </w:tc>
        <w:tc>
          <w:tcPr>
            <w:tcW w:w="1803" w:type="dxa"/>
            <w:tcBorders>
              <w:top w:val="single" w:sz="4" w:space="0" w:color="auto"/>
            </w:tcBorders>
          </w:tcPr>
          <w:p w14:paraId="43068E91" w14:textId="3181F0AF"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56.76301</w:t>
            </w:r>
          </w:p>
        </w:tc>
        <w:tc>
          <w:tcPr>
            <w:tcW w:w="1803" w:type="dxa"/>
            <w:tcBorders>
              <w:top w:val="single" w:sz="4" w:space="0" w:color="auto"/>
            </w:tcBorders>
          </w:tcPr>
          <w:p w14:paraId="6D98287D" w14:textId="72AEFA04"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3.01277</w:t>
            </w:r>
          </w:p>
        </w:tc>
        <w:tc>
          <w:tcPr>
            <w:tcW w:w="1803" w:type="dxa"/>
            <w:tcBorders>
              <w:top w:val="single" w:sz="4" w:space="0" w:color="auto"/>
            </w:tcBorders>
          </w:tcPr>
          <w:p w14:paraId="01563F1F" w14:textId="68BEE833"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39.45044</w:t>
            </w:r>
          </w:p>
        </w:tc>
        <w:tc>
          <w:tcPr>
            <w:tcW w:w="1804" w:type="dxa"/>
            <w:tcBorders>
              <w:top w:val="single" w:sz="4" w:space="0" w:color="auto"/>
            </w:tcBorders>
          </w:tcPr>
          <w:p w14:paraId="64C0378A" w14:textId="72816E0E"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0.773781</w:t>
            </w:r>
          </w:p>
        </w:tc>
      </w:tr>
      <w:tr w:rsidR="00C81619" w:rsidRPr="00D160E9" w14:paraId="5569D92C" w14:textId="77777777" w:rsidTr="008A4ADC">
        <w:tc>
          <w:tcPr>
            <w:tcW w:w="1803" w:type="dxa"/>
          </w:tcPr>
          <w:p w14:paraId="0079DEDC" w14:textId="34584688"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w:t>
            </w:r>
          </w:p>
        </w:tc>
        <w:tc>
          <w:tcPr>
            <w:tcW w:w="1803" w:type="dxa"/>
          </w:tcPr>
          <w:p w14:paraId="5E674F26" w14:textId="5BC403B6"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44.05809</w:t>
            </w:r>
          </w:p>
        </w:tc>
        <w:tc>
          <w:tcPr>
            <w:tcW w:w="1803" w:type="dxa"/>
          </w:tcPr>
          <w:p w14:paraId="3C544B9C" w14:textId="7BB546B9"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16.41330</w:t>
            </w:r>
          </w:p>
        </w:tc>
        <w:tc>
          <w:tcPr>
            <w:tcW w:w="1803" w:type="dxa"/>
          </w:tcPr>
          <w:p w14:paraId="08E566B5" w14:textId="6966C76B"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38.91990</w:t>
            </w:r>
          </w:p>
        </w:tc>
        <w:tc>
          <w:tcPr>
            <w:tcW w:w="1804" w:type="dxa"/>
          </w:tcPr>
          <w:p w14:paraId="63A1E8B8" w14:textId="6852F883"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0.608714</w:t>
            </w:r>
          </w:p>
        </w:tc>
      </w:tr>
      <w:tr w:rsidR="00C81619" w:rsidRPr="00D160E9" w14:paraId="4BA1B251" w14:textId="77777777" w:rsidTr="008A4ADC">
        <w:tc>
          <w:tcPr>
            <w:tcW w:w="1803" w:type="dxa"/>
          </w:tcPr>
          <w:p w14:paraId="58BD5043" w14:textId="3996A9D8"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w:t>
            </w:r>
          </w:p>
        </w:tc>
        <w:tc>
          <w:tcPr>
            <w:tcW w:w="1803" w:type="dxa"/>
          </w:tcPr>
          <w:p w14:paraId="71BD0E07" w14:textId="6B78195D"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42.55140</w:t>
            </w:r>
          </w:p>
        </w:tc>
        <w:tc>
          <w:tcPr>
            <w:tcW w:w="1803" w:type="dxa"/>
          </w:tcPr>
          <w:p w14:paraId="7CD00DC3" w14:textId="1B2C5DC5"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14.98961</w:t>
            </w:r>
          </w:p>
        </w:tc>
        <w:tc>
          <w:tcPr>
            <w:tcW w:w="1803" w:type="dxa"/>
          </w:tcPr>
          <w:p w14:paraId="54ACEF58" w14:textId="48BEB072"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40.38736</w:t>
            </w:r>
          </w:p>
        </w:tc>
        <w:tc>
          <w:tcPr>
            <w:tcW w:w="1804" w:type="dxa"/>
          </w:tcPr>
          <w:p w14:paraId="0966E667" w14:textId="390A96E9"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2.071635</w:t>
            </w:r>
          </w:p>
        </w:tc>
      </w:tr>
      <w:tr w:rsidR="00C81619" w:rsidRPr="00D160E9" w14:paraId="73DAA19E" w14:textId="77777777" w:rsidTr="008A4ADC">
        <w:tc>
          <w:tcPr>
            <w:tcW w:w="1803" w:type="dxa"/>
          </w:tcPr>
          <w:p w14:paraId="1542B069" w14:textId="63FEA686"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w:t>
            </w:r>
          </w:p>
        </w:tc>
        <w:tc>
          <w:tcPr>
            <w:tcW w:w="1803" w:type="dxa"/>
          </w:tcPr>
          <w:p w14:paraId="3A765D99" w14:textId="24B71ACE"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38.38869</w:t>
            </w:r>
          </w:p>
        </w:tc>
        <w:tc>
          <w:tcPr>
            <w:tcW w:w="1803" w:type="dxa"/>
          </w:tcPr>
          <w:p w14:paraId="69F18BEC" w14:textId="4CEA1CFC"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17.80118</w:t>
            </w:r>
          </w:p>
        </w:tc>
        <w:tc>
          <w:tcPr>
            <w:tcW w:w="1803" w:type="dxa"/>
          </w:tcPr>
          <w:p w14:paraId="7291D8AA" w14:textId="0E8EFCBE"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40.60070</w:t>
            </w:r>
          </w:p>
        </w:tc>
        <w:tc>
          <w:tcPr>
            <w:tcW w:w="1804" w:type="dxa"/>
          </w:tcPr>
          <w:p w14:paraId="6031DC3B" w14:textId="0AA0D4F7"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3.209427</w:t>
            </w:r>
          </w:p>
        </w:tc>
      </w:tr>
      <w:tr w:rsidR="00C81619" w:rsidRPr="00D160E9" w14:paraId="7C06CD09" w14:textId="77777777" w:rsidTr="008A4ADC">
        <w:tc>
          <w:tcPr>
            <w:tcW w:w="1803" w:type="dxa"/>
          </w:tcPr>
          <w:p w14:paraId="2577109A" w14:textId="3B474177"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5</w:t>
            </w:r>
          </w:p>
        </w:tc>
        <w:tc>
          <w:tcPr>
            <w:tcW w:w="1803" w:type="dxa"/>
          </w:tcPr>
          <w:p w14:paraId="63C4B47E" w14:textId="26D7D30A"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38.19983</w:t>
            </w:r>
          </w:p>
        </w:tc>
        <w:tc>
          <w:tcPr>
            <w:tcW w:w="1803" w:type="dxa"/>
          </w:tcPr>
          <w:p w14:paraId="0C4D29BB" w14:textId="10E9BA3E"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17.70924</w:t>
            </w:r>
          </w:p>
        </w:tc>
        <w:tc>
          <w:tcPr>
            <w:tcW w:w="1803" w:type="dxa"/>
          </w:tcPr>
          <w:p w14:paraId="0746AA40" w14:textId="22A83123"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40.82256</w:t>
            </w:r>
          </w:p>
        </w:tc>
        <w:tc>
          <w:tcPr>
            <w:tcW w:w="1804" w:type="dxa"/>
          </w:tcPr>
          <w:p w14:paraId="3CFE1F62" w14:textId="3A859CFB"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3.268373</w:t>
            </w:r>
          </w:p>
        </w:tc>
      </w:tr>
      <w:tr w:rsidR="00C81619" w:rsidRPr="00D160E9" w14:paraId="23DC411F" w14:textId="77777777" w:rsidTr="008A4ADC">
        <w:tc>
          <w:tcPr>
            <w:tcW w:w="1803" w:type="dxa"/>
          </w:tcPr>
          <w:p w14:paraId="4B4F601B" w14:textId="37A74374"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6</w:t>
            </w:r>
          </w:p>
        </w:tc>
        <w:tc>
          <w:tcPr>
            <w:tcW w:w="1803" w:type="dxa"/>
          </w:tcPr>
          <w:p w14:paraId="3F26D36F" w14:textId="5ABC67F8"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37.65460</w:t>
            </w:r>
          </w:p>
        </w:tc>
        <w:tc>
          <w:tcPr>
            <w:tcW w:w="1803" w:type="dxa"/>
          </w:tcPr>
          <w:p w14:paraId="4F8A2B2E" w14:textId="2EAEE9C8"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18.31878</w:t>
            </w:r>
          </w:p>
        </w:tc>
        <w:tc>
          <w:tcPr>
            <w:tcW w:w="1803" w:type="dxa"/>
          </w:tcPr>
          <w:p w14:paraId="02A76619" w14:textId="179FDA19"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40.81656</w:t>
            </w:r>
          </w:p>
        </w:tc>
        <w:tc>
          <w:tcPr>
            <w:tcW w:w="1804" w:type="dxa"/>
          </w:tcPr>
          <w:p w14:paraId="6B046D26" w14:textId="1A5F0507"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3.210060</w:t>
            </w:r>
          </w:p>
        </w:tc>
      </w:tr>
      <w:tr w:rsidR="00C81619" w:rsidRPr="00D160E9" w14:paraId="3378536E" w14:textId="77777777" w:rsidTr="008A4ADC">
        <w:tc>
          <w:tcPr>
            <w:tcW w:w="1803" w:type="dxa"/>
          </w:tcPr>
          <w:p w14:paraId="15412355" w14:textId="26D38F16"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7</w:t>
            </w:r>
          </w:p>
        </w:tc>
        <w:tc>
          <w:tcPr>
            <w:tcW w:w="1803" w:type="dxa"/>
          </w:tcPr>
          <w:p w14:paraId="7EF53823" w14:textId="1150AB65"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37.37935</w:t>
            </w:r>
          </w:p>
        </w:tc>
        <w:tc>
          <w:tcPr>
            <w:tcW w:w="1803" w:type="dxa"/>
          </w:tcPr>
          <w:p w14:paraId="207782C4" w14:textId="01D0A099"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18.54468</w:t>
            </w:r>
          </w:p>
        </w:tc>
        <w:tc>
          <w:tcPr>
            <w:tcW w:w="1803" w:type="dxa"/>
          </w:tcPr>
          <w:p w14:paraId="23E049FC" w14:textId="38771099"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40.89031</w:t>
            </w:r>
          </w:p>
        </w:tc>
        <w:tc>
          <w:tcPr>
            <w:tcW w:w="1804" w:type="dxa"/>
          </w:tcPr>
          <w:p w14:paraId="6E830589" w14:textId="17AB0BEB"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3.185659</w:t>
            </w:r>
          </w:p>
        </w:tc>
      </w:tr>
      <w:tr w:rsidR="00C81619" w:rsidRPr="00D160E9" w14:paraId="06439ECB" w14:textId="77777777" w:rsidTr="008A4ADC">
        <w:tc>
          <w:tcPr>
            <w:tcW w:w="1803" w:type="dxa"/>
          </w:tcPr>
          <w:p w14:paraId="42E829EE" w14:textId="1D24FF95"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8</w:t>
            </w:r>
          </w:p>
        </w:tc>
        <w:tc>
          <w:tcPr>
            <w:tcW w:w="1803" w:type="dxa"/>
          </w:tcPr>
          <w:p w14:paraId="5F9D64E1" w14:textId="6B5D639E"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37.25009</w:t>
            </w:r>
          </w:p>
        </w:tc>
        <w:tc>
          <w:tcPr>
            <w:tcW w:w="1803" w:type="dxa"/>
          </w:tcPr>
          <w:p w14:paraId="3433E847" w14:textId="402030E9"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18.76563</w:t>
            </w:r>
          </w:p>
        </w:tc>
        <w:tc>
          <w:tcPr>
            <w:tcW w:w="1803" w:type="dxa"/>
          </w:tcPr>
          <w:p w14:paraId="4662ABC8" w14:textId="1B02BD65"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40.82053</w:t>
            </w:r>
          </w:p>
        </w:tc>
        <w:tc>
          <w:tcPr>
            <w:tcW w:w="1804" w:type="dxa"/>
          </w:tcPr>
          <w:p w14:paraId="5264F624" w14:textId="0FCE8072"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3.163740</w:t>
            </w:r>
          </w:p>
        </w:tc>
      </w:tr>
      <w:tr w:rsidR="00C81619" w:rsidRPr="00D160E9" w14:paraId="7DBBFD64" w14:textId="77777777" w:rsidTr="008A4ADC">
        <w:tc>
          <w:tcPr>
            <w:tcW w:w="1803" w:type="dxa"/>
          </w:tcPr>
          <w:p w14:paraId="44FD50BC" w14:textId="0BCB5CCB"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9</w:t>
            </w:r>
          </w:p>
        </w:tc>
        <w:tc>
          <w:tcPr>
            <w:tcW w:w="1803" w:type="dxa"/>
          </w:tcPr>
          <w:p w14:paraId="450F2293" w14:textId="144A72FE"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37.05881</w:t>
            </w:r>
          </w:p>
        </w:tc>
        <w:tc>
          <w:tcPr>
            <w:tcW w:w="1803" w:type="dxa"/>
          </w:tcPr>
          <w:p w14:paraId="70AE38EA" w14:textId="23ECF1AF"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18.89258</w:t>
            </w:r>
          </w:p>
        </w:tc>
        <w:tc>
          <w:tcPr>
            <w:tcW w:w="1803" w:type="dxa"/>
          </w:tcPr>
          <w:p w14:paraId="66CA6F34" w14:textId="32E7367B"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40.89350</w:t>
            </w:r>
          </w:p>
        </w:tc>
        <w:tc>
          <w:tcPr>
            <w:tcW w:w="1804" w:type="dxa"/>
          </w:tcPr>
          <w:p w14:paraId="7F190404" w14:textId="1840C265" w:rsidR="00C81619" w:rsidRPr="00D160E9" w:rsidRDefault="00BC3AC1"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3.154112</w:t>
            </w:r>
          </w:p>
        </w:tc>
      </w:tr>
      <w:tr w:rsidR="00C81619" w:rsidRPr="00D160E9" w14:paraId="04FC5481" w14:textId="77777777" w:rsidTr="008A4ADC">
        <w:tc>
          <w:tcPr>
            <w:tcW w:w="1803" w:type="dxa"/>
            <w:tcBorders>
              <w:bottom w:val="single" w:sz="4" w:space="0" w:color="auto"/>
            </w:tcBorders>
          </w:tcPr>
          <w:p w14:paraId="79675950" w14:textId="6AA5F33B" w:rsidR="00C81619" w:rsidRPr="00D160E9" w:rsidRDefault="00C81619"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10</w:t>
            </w:r>
          </w:p>
        </w:tc>
        <w:tc>
          <w:tcPr>
            <w:tcW w:w="1803" w:type="dxa"/>
            <w:tcBorders>
              <w:bottom w:val="single" w:sz="4" w:space="0" w:color="auto"/>
            </w:tcBorders>
          </w:tcPr>
          <w:p w14:paraId="0CDA5318" w14:textId="2FD8A30E"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37.05342</w:t>
            </w:r>
          </w:p>
        </w:tc>
        <w:tc>
          <w:tcPr>
            <w:tcW w:w="1803" w:type="dxa"/>
            <w:tcBorders>
              <w:bottom w:val="single" w:sz="4" w:space="0" w:color="auto"/>
            </w:tcBorders>
          </w:tcPr>
          <w:p w14:paraId="2EB2767E" w14:textId="5FA403A1"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19.92156</w:t>
            </w:r>
          </w:p>
        </w:tc>
        <w:tc>
          <w:tcPr>
            <w:tcW w:w="1803" w:type="dxa"/>
            <w:tcBorders>
              <w:bottom w:val="single" w:sz="4" w:space="0" w:color="auto"/>
            </w:tcBorders>
          </w:tcPr>
          <w:p w14:paraId="0F789126" w14:textId="3D6ABEFD"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40.86894</w:t>
            </w:r>
          </w:p>
        </w:tc>
        <w:tc>
          <w:tcPr>
            <w:tcW w:w="1804" w:type="dxa"/>
            <w:tcBorders>
              <w:bottom w:val="single" w:sz="4" w:space="0" w:color="auto"/>
            </w:tcBorders>
          </w:tcPr>
          <w:p w14:paraId="1F651C53" w14:textId="4681E528" w:rsidR="00C81619" w:rsidRPr="00D160E9" w:rsidRDefault="00FF6083" w:rsidP="00907198">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3.156076</w:t>
            </w:r>
          </w:p>
        </w:tc>
      </w:tr>
    </w:tbl>
    <w:p w14:paraId="1F4850B2" w14:textId="33CF6C97" w:rsidR="00FF6083" w:rsidRDefault="00C81619" w:rsidP="008A4ADC">
      <w:pPr>
        <w:pStyle w:val="ListParagraph"/>
        <w:spacing w:line="276" w:lineRule="auto"/>
        <w:ind w:left="0"/>
        <w:jc w:val="center"/>
        <w:rPr>
          <w:rFonts w:ascii="Times New Roman" w:hAnsi="Times New Roman" w:cs="Times New Roman"/>
          <w:sz w:val="24"/>
          <w:szCs w:val="24"/>
        </w:rPr>
      </w:pPr>
      <w:r w:rsidRPr="00D160E9">
        <w:rPr>
          <w:rFonts w:ascii="Times New Roman" w:hAnsi="Times New Roman" w:cs="Times New Roman"/>
          <w:sz w:val="24"/>
          <w:szCs w:val="24"/>
        </w:rPr>
        <w:t>Source : Secondary Data processed, 2026</w:t>
      </w:r>
    </w:p>
    <w:p w14:paraId="6D33AE7E" w14:textId="77777777" w:rsidR="008A4ADC" w:rsidRDefault="008A4ADC" w:rsidP="008A4ADC">
      <w:pPr>
        <w:pStyle w:val="ListParagraph"/>
        <w:spacing w:line="276" w:lineRule="auto"/>
        <w:ind w:left="0"/>
        <w:jc w:val="center"/>
        <w:rPr>
          <w:rFonts w:ascii="Times New Roman" w:hAnsi="Times New Roman" w:cs="Times New Roman"/>
          <w:sz w:val="24"/>
          <w:szCs w:val="24"/>
        </w:rPr>
      </w:pPr>
    </w:p>
    <w:p w14:paraId="77483AC7" w14:textId="2092CBE9" w:rsidR="00FF6083" w:rsidRPr="00D160E9" w:rsidRDefault="00CF473F" w:rsidP="008F4EBB">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ab/>
        <w:t>Based on</w:t>
      </w:r>
      <w:r w:rsidR="008A4ADC">
        <w:rPr>
          <w:rFonts w:ascii="Times New Roman" w:hAnsi="Times New Roman" w:cs="Times New Roman"/>
          <w:sz w:val="24"/>
          <w:szCs w:val="24"/>
        </w:rPr>
        <w:t xml:space="preserve"> the FEVD test listed in table 9</w:t>
      </w:r>
      <w:r>
        <w:rPr>
          <w:rFonts w:ascii="Times New Roman" w:hAnsi="Times New Roman" w:cs="Times New Roman"/>
          <w:sz w:val="24"/>
          <w:szCs w:val="24"/>
        </w:rPr>
        <w:t>, it is outlined that the largest contribution or influence affecting the change in PE is the PE itself by 58% in the first period and decreased in the later phase. The largest contribution in influencing the PE variables reviewed from the SBIS, FASBIS and PUAS indicators, can be seen that SBIS has a percentage of 19% in period 10, FASBIS of 40.9% in period 9 and PUAS has a percentage of 3.26% in period 5.</w:t>
      </w:r>
    </w:p>
    <w:p w14:paraId="49BBCE35" w14:textId="77777777" w:rsidR="00C81619" w:rsidRPr="00D160E9" w:rsidRDefault="00C81619" w:rsidP="008F4EBB">
      <w:pPr>
        <w:pStyle w:val="ListParagraph"/>
        <w:spacing w:line="276" w:lineRule="auto"/>
        <w:ind w:left="0"/>
        <w:jc w:val="both"/>
        <w:rPr>
          <w:rFonts w:ascii="Times New Roman" w:hAnsi="Times New Roman" w:cs="Times New Roman"/>
          <w:sz w:val="24"/>
          <w:szCs w:val="24"/>
        </w:rPr>
      </w:pPr>
    </w:p>
    <w:p w14:paraId="07CB9BDB" w14:textId="26B3916B" w:rsidR="00BF4D33" w:rsidRPr="00D160E9" w:rsidRDefault="00C81619"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Interpretation of Results</w:t>
      </w:r>
    </w:p>
    <w:p w14:paraId="07A906D1" w14:textId="684B7E2C" w:rsidR="00FF6083" w:rsidRPr="00D160E9" w:rsidRDefault="00FF6083"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The Effect of Bank Indonesia Syariah Certificate (SBIS) on Economic Growth</w:t>
      </w:r>
    </w:p>
    <w:p w14:paraId="70F3FEE8" w14:textId="39D6114D" w:rsidR="00CF473F" w:rsidRDefault="00C81177"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00CF473F">
        <w:rPr>
          <w:rFonts w:ascii="Times New Roman" w:hAnsi="Times New Roman" w:cs="Times New Roman"/>
          <w:sz w:val="24"/>
          <w:szCs w:val="24"/>
        </w:rPr>
        <w:t>Based on the results of the VECM test, it can be seen that SBIS has a positive influence and has a significant impact in the short term. Then, in the long term, the relationship between the SBIS variable and economic growth shows good stability. In the IRS analysis, it was explained that SBIS has a negative shock to PE, which means that an increase in SBIS tends to lower the projection of economic growth through GDP, so it is necessary to implement efforts to distribute liquidity to the real sector and the issuance of SBIS must be reduced to optimize the financing process.</w:t>
      </w:r>
    </w:p>
    <w:p w14:paraId="34320F0C" w14:textId="1B323EED" w:rsidR="00CF473F" w:rsidRPr="00CF473F" w:rsidRDefault="00CF473F" w:rsidP="008F4EBB">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ab/>
        <w:t>This research is in line with that conducted by Madani &amp; Widiastuti, (2021), who outlined that every increase in the rate of return of SBIS tends to reduce the rate of economic growth in Indonesia through GDP, which means that it is indicated by the negative shocks that occur between the two variables. This is also strengthened by the FEVD analysis, that the value of SBIS to economic growth (PE) is at its highest point, at 19.9%.</w:t>
      </w:r>
    </w:p>
    <w:p w14:paraId="2A1156FA" w14:textId="58FAF736" w:rsidR="006F2D67" w:rsidRPr="00D160E9" w:rsidRDefault="00946AA3"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p>
    <w:p w14:paraId="29D83225" w14:textId="5238DF7B" w:rsidR="006805D7" w:rsidRDefault="006F2D67"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The Effect of Bank Indonesia Syariah Deposit Facility (FASBIS) on Economic Growth</w:t>
      </w:r>
    </w:p>
    <w:p w14:paraId="05D72C99" w14:textId="661276AE" w:rsidR="006805D7" w:rsidRDefault="006805D7" w:rsidP="008F4EBB">
      <w:pPr>
        <w:pStyle w:val="ListParagraph"/>
        <w:spacing w:line="276"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Based on the results of the analysis of the VECM estimation method, it is stated that FASBIS has a large and significant influence in the short term. In the long term, its influence on economic growth tends to be stable. This can be seen through the IRF analysis, that the FASBIS variable has a negative shock to PE. Increasing FASBIS can reduce the rate of economic growth, so it is necessary to distribute financing to the real sector.</w:t>
      </w:r>
    </w:p>
    <w:p w14:paraId="33B2C324" w14:textId="50AF0CE4" w:rsidR="006F2D67" w:rsidRPr="00D160E9" w:rsidRDefault="006805D7" w:rsidP="008F4EBB">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This research has a correlation with that stated by Raseuky (2019) who stated that an increase in FASBIS can reduce economic growth projections through GDP, due to negative shocks. This is reinforced by the FEVD analysis, which explains that the value of FASBIS is at the highest point of economic growth, at 40.9%. </w:t>
      </w:r>
    </w:p>
    <w:p w14:paraId="34428AF3" w14:textId="77777777" w:rsidR="006F2D67" w:rsidRPr="00D160E9" w:rsidRDefault="006F2D67" w:rsidP="008F4EBB">
      <w:pPr>
        <w:pStyle w:val="ListParagraph"/>
        <w:spacing w:line="276" w:lineRule="auto"/>
        <w:ind w:left="0"/>
        <w:jc w:val="both"/>
        <w:rPr>
          <w:rFonts w:ascii="Times New Roman" w:hAnsi="Times New Roman" w:cs="Times New Roman"/>
          <w:sz w:val="24"/>
          <w:szCs w:val="24"/>
        </w:rPr>
      </w:pPr>
    </w:p>
    <w:p w14:paraId="59FD4702" w14:textId="7DB8B00F" w:rsidR="006F2D67" w:rsidRPr="00D160E9" w:rsidRDefault="006F2D67" w:rsidP="006F2D67">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The Influence of the Interbank Sharia Money Market (PUAS) on Economic Growth</w:t>
      </w:r>
    </w:p>
    <w:p w14:paraId="48D3BB5D" w14:textId="7CCEFA0A" w:rsidR="00CE2EB9" w:rsidRDefault="006F2D67"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b/>
          <w:bCs/>
          <w:sz w:val="24"/>
          <w:szCs w:val="24"/>
        </w:rPr>
        <w:tab/>
      </w:r>
      <w:r w:rsidRPr="00D160E9">
        <w:rPr>
          <w:rFonts w:ascii="Times New Roman" w:hAnsi="Times New Roman" w:cs="Times New Roman"/>
          <w:sz w:val="24"/>
          <w:szCs w:val="24"/>
        </w:rPr>
        <w:t>From the results of the analysis of the VECM estimation method that has been carried out, SATISFAS has a small and insignificant influence in the short term but provides a large and significant response to GDP in the long term. Then, a stationarity test was performed to determine the relationship between all variables and it could be stated that all the data, including SATISFIED and PE, had a stable relationship in the long term. In the IRF analysis, it is explained that the PUAS variable shows a negative shock to GDP.  Increasing SATISFACTION used to place funds can lead to a decrease or increase in the rate of economic growth. If we want to increase economic growth, there is a need for additional financing that is channeled in the real sector.</w:t>
      </w:r>
    </w:p>
    <w:p w14:paraId="1CD773B2" w14:textId="6259228C" w:rsidR="004F06EE" w:rsidRDefault="00CE2EB9" w:rsidP="008F4EBB">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ab/>
      </w:r>
      <w:r w:rsidR="006F2D67" w:rsidRPr="00D160E9">
        <w:rPr>
          <w:rFonts w:ascii="Times New Roman" w:hAnsi="Times New Roman" w:cs="Times New Roman"/>
          <w:sz w:val="24"/>
          <w:szCs w:val="24"/>
        </w:rPr>
        <w:t>This research is supported by those stated by Laksana (2020) and Zelina (2018), stating that the SATISFACTION variable has a negative shock effect. This is due to the increase in PUAS yields which also makes Sharia Banks interested in investing in PUAS instruments, so that it can increase economic growth projections through GDP, with a tendency to increase the amount of Sharia Bank financing. This condition can be seen from the FEVD analysis, which explains that the contribution of the SATISFIED value to PE, has the highest value of 3.26%.</w:t>
      </w:r>
    </w:p>
    <w:p w14:paraId="485DA131" w14:textId="77777777" w:rsidR="00BF4D33" w:rsidRPr="00D160E9" w:rsidRDefault="00BF4D33" w:rsidP="008F4EBB">
      <w:pPr>
        <w:pStyle w:val="ListParagraph"/>
        <w:spacing w:line="276" w:lineRule="auto"/>
        <w:ind w:left="0"/>
        <w:jc w:val="both"/>
        <w:rPr>
          <w:rFonts w:ascii="Times New Roman" w:hAnsi="Times New Roman" w:cs="Times New Roman"/>
          <w:b/>
          <w:bCs/>
          <w:sz w:val="24"/>
          <w:szCs w:val="24"/>
        </w:rPr>
      </w:pPr>
    </w:p>
    <w:p w14:paraId="2515F3FE" w14:textId="63048EBE" w:rsidR="001076F6" w:rsidRPr="00D160E9" w:rsidRDefault="001076F6" w:rsidP="008F4EBB">
      <w:pPr>
        <w:pStyle w:val="ListParagraph"/>
        <w:spacing w:line="276" w:lineRule="auto"/>
        <w:ind w:left="0"/>
        <w:jc w:val="both"/>
        <w:rPr>
          <w:rFonts w:ascii="Times New Roman" w:hAnsi="Times New Roman" w:cs="Times New Roman"/>
          <w:b/>
          <w:bCs/>
          <w:sz w:val="24"/>
          <w:szCs w:val="24"/>
        </w:rPr>
      </w:pPr>
      <w:r w:rsidRPr="00D160E9">
        <w:rPr>
          <w:rFonts w:ascii="Times New Roman" w:hAnsi="Times New Roman" w:cs="Times New Roman"/>
          <w:b/>
          <w:bCs/>
          <w:sz w:val="24"/>
          <w:szCs w:val="24"/>
        </w:rPr>
        <w:t>CONCLUSION</w:t>
      </w:r>
    </w:p>
    <w:p w14:paraId="12F90B9F" w14:textId="77777777" w:rsidR="0057534D" w:rsidRPr="00D160E9" w:rsidRDefault="0057534D" w:rsidP="008F4EBB">
      <w:pPr>
        <w:pStyle w:val="ListParagraph"/>
        <w:spacing w:line="276" w:lineRule="auto"/>
        <w:ind w:left="0"/>
        <w:jc w:val="both"/>
        <w:rPr>
          <w:rFonts w:ascii="Times New Roman" w:hAnsi="Times New Roman" w:cs="Times New Roman"/>
          <w:b/>
          <w:bCs/>
          <w:sz w:val="24"/>
          <w:szCs w:val="24"/>
        </w:rPr>
      </w:pPr>
    </w:p>
    <w:p w14:paraId="036C59EC" w14:textId="4AF9ACDD" w:rsidR="00D52B1B" w:rsidRDefault="0057534D" w:rsidP="008F4EBB">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r>
      <w:r w:rsidR="00D52B1B">
        <w:rPr>
          <w:rFonts w:ascii="Times New Roman" w:hAnsi="Times New Roman" w:cs="Times New Roman"/>
          <w:sz w:val="24"/>
          <w:szCs w:val="24"/>
        </w:rPr>
        <w:t>Sharia monetary operating instruments, contained in this study are types of sharia open market operating instruments and sharia facilities, including SBIS, FASBIS and PUAS variables. The implementation of the SBIS, FASBIS, and PUAS variables aims to optimize monetary control, through a regulatory mechanism for excess liquidity of Sharia Commercial Banks (BUS) and Islamic Business Unis (UUS).</w:t>
      </w:r>
    </w:p>
    <w:p w14:paraId="06EF0CD4" w14:textId="3EF94EF2" w:rsidR="004F06EE" w:rsidRDefault="00D52B1B" w:rsidP="008F4EBB">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ab/>
      </w:r>
      <w:r w:rsidR="00620169">
        <w:rPr>
          <w:rFonts w:ascii="Times New Roman" w:hAnsi="Times New Roman" w:cs="Times New Roman"/>
          <w:sz w:val="24"/>
          <w:szCs w:val="24"/>
        </w:rPr>
        <w:t>Research related to the impact of sharia monetary operations including SBIS, FASBIS and PUAS needs to be studied comprehensively to add to the wealth of knowledge about the problems and effects of the implementation of sharia monetary operations on economic growth. This can have a positive influence on the development of theories and insights related to Islamic monetary. This research is expected to be able to provide a guideline and reference for further research and can be used by the government and related stakeholders in formulating a policy that prioritizes falah through sharia monetary operations in Indonesia. The limitations of this study are that the variables used in the sharia monetary operating instruments are still limited by the various current monetary policy diversity, so that in</w:t>
      </w:r>
    </w:p>
    <w:p w14:paraId="0DD83129" w14:textId="760C1F42" w:rsidR="0057534D" w:rsidRPr="00D160E9" w:rsidRDefault="004F06EE" w:rsidP="008F4EBB">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The next research is expected to be able to use new Islamic financial instruments in accordance with future economic developments.</w:t>
      </w:r>
    </w:p>
    <w:p w14:paraId="1AB0DD78" w14:textId="77777777" w:rsidR="00554C16" w:rsidRPr="00D160E9" w:rsidRDefault="00554C16" w:rsidP="008F4EBB">
      <w:pPr>
        <w:pStyle w:val="ListParagraph"/>
        <w:spacing w:line="276" w:lineRule="auto"/>
        <w:ind w:left="0"/>
        <w:jc w:val="both"/>
        <w:rPr>
          <w:rFonts w:ascii="Times New Roman" w:hAnsi="Times New Roman" w:cs="Times New Roman"/>
          <w:b/>
          <w:bCs/>
          <w:sz w:val="24"/>
          <w:szCs w:val="24"/>
        </w:rPr>
      </w:pPr>
    </w:p>
    <w:p w14:paraId="332465E7" w14:textId="22A5801E" w:rsidR="00BF4D33" w:rsidRPr="00D160E9" w:rsidRDefault="00FB1404" w:rsidP="00BF4D33">
      <w:pPr>
        <w:pStyle w:val="ListParagraph"/>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ACKNOWLEDGEMENT</w:t>
      </w:r>
    </w:p>
    <w:p w14:paraId="67F72EFE" w14:textId="77777777" w:rsidR="00BF4D33" w:rsidRPr="00D160E9" w:rsidRDefault="00BF4D33" w:rsidP="00BF4D33">
      <w:pPr>
        <w:pStyle w:val="ListParagraph"/>
        <w:spacing w:line="276" w:lineRule="auto"/>
        <w:ind w:left="0"/>
        <w:jc w:val="both"/>
        <w:rPr>
          <w:rFonts w:ascii="Times New Roman" w:hAnsi="Times New Roman" w:cs="Times New Roman"/>
          <w:b/>
          <w:bCs/>
          <w:sz w:val="24"/>
          <w:szCs w:val="24"/>
        </w:rPr>
      </w:pPr>
    </w:p>
    <w:p w14:paraId="5A9922AD" w14:textId="3CCECBF5" w:rsidR="001B182A" w:rsidRDefault="009A2ACE" w:rsidP="00AB1175">
      <w:pPr>
        <w:pStyle w:val="ListParagraph"/>
        <w:spacing w:line="276" w:lineRule="auto"/>
        <w:ind w:left="0"/>
        <w:jc w:val="both"/>
        <w:rPr>
          <w:rFonts w:ascii="Times New Roman" w:hAnsi="Times New Roman" w:cs="Times New Roman"/>
          <w:sz w:val="24"/>
          <w:szCs w:val="24"/>
        </w:rPr>
      </w:pPr>
      <w:r w:rsidRPr="00D160E9">
        <w:rPr>
          <w:rFonts w:ascii="Times New Roman" w:hAnsi="Times New Roman" w:cs="Times New Roman"/>
          <w:sz w:val="24"/>
          <w:szCs w:val="24"/>
        </w:rPr>
        <w:tab/>
      </w:r>
      <w:r w:rsidR="00BF4D33" w:rsidRPr="00D160E9">
        <w:rPr>
          <w:rFonts w:ascii="Times New Roman" w:hAnsi="Times New Roman" w:cs="Times New Roman"/>
          <w:sz w:val="24"/>
          <w:szCs w:val="24"/>
        </w:rPr>
        <w:t>In this section, we as writers are fully aware of the involvement of various individuals who help the process of writing articles. The author does not forget to always express his gratitude for the blessings given, both in the form of support, guidance, assistance and prayers. Therefore, the author would like to express his gratitude to those who give sincere attention to the following people: First, our parents who are tireless in educating and giving advice with sincerity and affection. Second, the entire academic community from the Sharia Economics study program of the Sayyid Ali Rahmatullah Tulungagung State Islamic University, who have provided assistance in the form of information to the author. Third, comrades in law who always provide support, we express our gratitude and hope that success will always accompany in the future.</w:t>
      </w:r>
    </w:p>
    <w:p w14:paraId="4207E548" w14:textId="77777777" w:rsidR="00FB1404" w:rsidRDefault="00FB1404" w:rsidP="00AB1175">
      <w:pPr>
        <w:pStyle w:val="ListParagraph"/>
        <w:spacing w:line="276" w:lineRule="auto"/>
        <w:ind w:left="0"/>
        <w:jc w:val="both"/>
        <w:rPr>
          <w:rFonts w:ascii="Times New Roman" w:hAnsi="Times New Roman" w:cs="Times New Roman"/>
          <w:sz w:val="24"/>
          <w:szCs w:val="24"/>
        </w:rPr>
      </w:pPr>
    </w:p>
    <w:p w14:paraId="7E4D14A3" w14:textId="77777777" w:rsidR="00FB1404" w:rsidRDefault="00FB1404" w:rsidP="00AB1175">
      <w:pPr>
        <w:pStyle w:val="ListParagraph"/>
        <w:spacing w:line="276" w:lineRule="auto"/>
        <w:ind w:left="0"/>
        <w:jc w:val="both"/>
        <w:rPr>
          <w:rFonts w:ascii="Times New Roman" w:hAnsi="Times New Roman" w:cs="Times New Roman"/>
          <w:sz w:val="24"/>
          <w:szCs w:val="24"/>
        </w:rPr>
      </w:pPr>
    </w:p>
    <w:p w14:paraId="7F42A0A3" w14:textId="22C391B7" w:rsidR="00FB1404" w:rsidRPr="00FB1404" w:rsidRDefault="00FB1404" w:rsidP="00AB1175">
      <w:pPr>
        <w:pStyle w:val="ListParagraph"/>
        <w:spacing w:line="276" w:lineRule="auto"/>
        <w:ind w:left="0"/>
        <w:jc w:val="both"/>
        <w:rPr>
          <w:rFonts w:ascii="Times New Roman" w:hAnsi="Times New Roman" w:cs="Times New Roman"/>
          <w:b/>
          <w:bCs/>
          <w:sz w:val="24"/>
          <w:szCs w:val="24"/>
        </w:rPr>
      </w:pPr>
      <w:r w:rsidRPr="00FB1404">
        <w:rPr>
          <w:rFonts w:ascii="Times New Roman" w:hAnsi="Times New Roman" w:cs="Times New Roman"/>
          <w:b/>
          <w:bCs/>
          <w:sz w:val="24"/>
          <w:szCs w:val="24"/>
        </w:rPr>
        <w:t>REFERENCES</w:t>
      </w:r>
    </w:p>
    <w:p w14:paraId="794B9D14"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Abdurrubi, S., &amp; Sulthon Aziz, M. (2023). Contracts Applied in Indonesia Sharia Interbank Money Market (PUAS); An Analysis from Comparative Fiqh Views. </w:t>
      </w:r>
      <w:r w:rsidRPr="00D160E9">
        <w:rPr>
          <w:rFonts w:ascii="Times New Roman" w:hAnsi="Times New Roman" w:cs="Times New Roman"/>
          <w:i/>
          <w:iCs/>
        </w:rPr>
        <w:t>Tribakti: Jurnal Pemikiran Keislaman</w:t>
      </w:r>
      <w:r w:rsidRPr="00D160E9">
        <w:rPr>
          <w:rFonts w:ascii="Times New Roman" w:hAnsi="Times New Roman" w:cs="Times New Roman"/>
        </w:rPr>
        <w:t xml:space="preserve">, </w:t>
      </w:r>
      <w:r w:rsidRPr="00D160E9">
        <w:rPr>
          <w:rFonts w:ascii="Times New Roman" w:hAnsi="Times New Roman" w:cs="Times New Roman"/>
          <w:i/>
          <w:iCs/>
        </w:rPr>
        <w:t>34</w:t>
      </w:r>
      <w:r w:rsidRPr="00D160E9">
        <w:rPr>
          <w:rFonts w:ascii="Times New Roman" w:hAnsi="Times New Roman" w:cs="Times New Roman"/>
        </w:rPr>
        <w:t xml:space="preserve">(1), 111–126. </w:t>
      </w:r>
      <w:hyperlink r:id="rId12" w:history="1">
        <w:r w:rsidRPr="00D160E9">
          <w:rPr>
            <w:rStyle w:val="Hyperlink"/>
            <w:rFonts w:ascii="Times New Roman" w:hAnsi="Times New Roman" w:cs="Times New Roman"/>
          </w:rPr>
          <w:t>https://doi.org/10.33367/tribakti.v34i1.2888</w:t>
        </w:r>
      </w:hyperlink>
    </w:p>
    <w:p w14:paraId="64D5FDAD"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Ahmad Wahyudi Zein, Aditya Putra Piliang, Elma Fiisma Dalimunthe, Rafly Ramadhan Simanjuntak, &amp; Riza Aulia. (2025). PERAN KEBIJAKAN MONETER SYARIAH DALAM MENJAGA STABILITAS HARGA DAN PERTUMBUHAN EKONOMI. </w:t>
      </w:r>
      <w:r w:rsidRPr="00D160E9">
        <w:rPr>
          <w:rFonts w:ascii="Times New Roman" w:hAnsi="Times New Roman" w:cs="Times New Roman"/>
          <w:i/>
          <w:iCs/>
        </w:rPr>
        <w:t>JURNAL AKADEMIK EKONOMI DAN MANAJEMEN</w:t>
      </w:r>
      <w:r w:rsidRPr="00D160E9">
        <w:rPr>
          <w:rFonts w:ascii="Times New Roman" w:hAnsi="Times New Roman" w:cs="Times New Roman"/>
        </w:rPr>
        <w:t xml:space="preserve">, </w:t>
      </w:r>
      <w:r w:rsidRPr="00D160E9">
        <w:rPr>
          <w:rFonts w:ascii="Times New Roman" w:hAnsi="Times New Roman" w:cs="Times New Roman"/>
          <w:i/>
          <w:iCs/>
        </w:rPr>
        <w:t>2</w:t>
      </w:r>
      <w:r w:rsidRPr="00D160E9">
        <w:rPr>
          <w:rFonts w:ascii="Times New Roman" w:hAnsi="Times New Roman" w:cs="Times New Roman"/>
        </w:rPr>
        <w:t xml:space="preserve">(4), 809–818. </w:t>
      </w:r>
      <w:hyperlink r:id="rId13" w:history="1">
        <w:r w:rsidRPr="00D160E9">
          <w:rPr>
            <w:rStyle w:val="Hyperlink"/>
            <w:rFonts w:ascii="Times New Roman" w:hAnsi="Times New Roman" w:cs="Times New Roman"/>
          </w:rPr>
          <w:t>https://doi.org/10.61722/jaem.v2i4.7886</w:t>
        </w:r>
      </w:hyperlink>
    </w:p>
    <w:p w14:paraId="0071C7F8"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Andarini, M. A., &amp; Widiastuti, T. (2017). Pengaruh SBIS Dan PUAS Terhadap Tingkat Inflasi Melalui Operasi Moneter Syariah Pada Periode 2011-2015. </w:t>
      </w:r>
      <w:r w:rsidRPr="00D160E9">
        <w:rPr>
          <w:rFonts w:ascii="Times New Roman" w:hAnsi="Times New Roman" w:cs="Times New Roman"/>
          <w:i/>
          <w:iCs/>
        </w:rPr>
        <w:t>Jurnal Ekonomi Syariah Teori dan Terapan</w:t>
      </w:r>
      <w:r w:rsidRPr="00D160E9">
        <w:rPr>
          <w:rFonts w:ascii="Times New Roman" w:hAnsi="Times New Roman" w:cs="Times New Roman"/>
        </w:rPr>
        <w:t xml:space="preserve">, </w:t>
      </w:r>
      <w:r w:rsidRPr="00D160E9">
        <w:rPr>
          <w:rFonts w:ascii="Times New Roman" w:hAnsi="Times New Roman" w:cs="Times New Roman"/>
          <w:i/>
          <w:iCs/>
        </w:rPr>
        <w:t>3</w:t>
      </w:r>
      <w:r w:rsidRPr="00D160E9">
        <w:rPr>
          <w:rFonts w:ascii="Times New Roman" w:hAnsi="Times New Roman" w:cs="Times New Roman"/>
        </w:rPr>
        <w:t>(6), 474. https://doi.org/10.20473/vol3iss20166pp474-489</w:t>
      </w:r>
    </w:p>
    <w:p w14:paraId="28111AB6"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Devi, W. L., &amp; Cahyono, E. F. (2020). ANALISIS PENGARUH SERTIFIKAT BANK INDONESIA (SBI), SERTIFIKAT BANK INDONESIA SYARIAH (SBIS), INFLASI DAN BI RATE TERHADAP PENYALURAN DANA KE SEKTOR UMKM OLEH PERBANKAN SYARIAH DI INDONESIA. </w:t>
      </w:r>
      <w:r w:rsidRPr="00D160E9">
        <w:rPr>
          <w:rFonts w:ascii="Times New Roman" w:hAnsi="Times New Roman" w:cs="Times New Roman"/>
          <w:i/>
          <w:iCs/>
        </w:rPr>
        <w:t>Jurnal Ekonomi Syariah Teori dan Terapan</w:t>
      </w:r>
      <w:r w:rsidRPr="00D160E9">
        <w:rPr>
          <w:rFonts w:ascii="Times New Roman" w:hAnsi="Times New Roman" w:cs="Times New Roman"/>
        </w:rPr>
        <w:t xml:space="preserve">, </w:t>
      </w:r>
      <w:r w:rsidRPr="00D160E9">
        <w:rPr>
          <w:rFonts w:ascii="Times New Roman" w:hAnsi="Times New Roman" w:cs="Times New Roman"/>
          <w:i/>
          <w:iCs/>
        </w:rPr>
        <w:t>7</w:t>
      </w:r>
      <w:r w:rsidRPr="00D160E9">
        <w:rPr>
          <w:rFonts w:ascii="Times New Roman" w:hAnsi="Times New Roman" w:cs="Times New Roman"/>
        </w:rPr>
        <w:t xml:space="preserve">(3), 499. </w:t>
      </w:r>
      <w:hyperlink r:id="rId14" w:history="1">
        <w:r w:rsidRPr="00D160E9">
          <w:rPr>
            <w:rStyle w:val="Hyperlink"/>
            <w:rFonts w:ascii="Times New Roman" w:hAnsi="Times New Roman" w:cs="Times New Roman"/>
          </w:rPr>
          <w:t>https://doi.org/10.20473/vol7iss20203pp499-512</w:t>
        </w:r>
      </w:hyperlink>
    </w:p>
    <w:p w14:paraId="333A72A3"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Dewi, E. P., Rahmandani, N., &amp; Rusgianto, S. (2023). Kontribusi Instrumen Moneter Syariah dan Konvensional Terhadap Inflasi di Negara OKI. </w:t>
      </w:r>
      <w:r w:rsidRPr="00D160E9">
        <w:rPr>
          <w:rFonts w:ascii="Times New Roman" w:hAnsi="Times New Roman" w:cs="Times New Roman"/>
          <w:i/>
          <w:iCs/>
        </w:rPr>
        <w:t>Jurnal Riset Akuntansi dan Keuangan</w:t>
      </w:r>
      <w:r w:rsidRPr="00D160E9">
        <w:rPr>
          <w:rFonts w:ascii="Times New Roman" w:hAnsi="Times New Roman" w:cs="Times New Roman"/>
        </w:rPr>
        <w:t xml:space="preserve">, </w:t>
      </w:r>
      <w:r w:rsidRPr="00D160E9">
        <w:rPr>
          <w:rFonts w:ascii="Times New Roman" w:hAnsi="Times New Roman" w:cs="Times New Roman"/>
          <w:i/>
          <w:iCs/>
        </w:rPr>
        <w:t>11</w:t>
      </w:r>
      <w:r w:rsidRPr="00D160E9">
        <w:rPr>
          <w:rFonts w:ascii="Times New Roman" w:hAnsi="Times New Roman" w:cs="Times New Roman"/>
        </w:rPr>
        <w:t xml:space="preserve">(1), 73–86. </w:t>
      </w:r>
      <w:hyperlink r:id="rId15" w:history="1">
        <w:r w:rsidRPr="00D160E9">
          <w:rPr>
            <w:rStyle w:val="Hyperlink"/>
            <w:rFonts w:ascii="Times New Roman" w:hAnsi="Times New Roman" w:cs="Times New Roman"/>
          </w:rPr>
          <w:t>https://doi.org/10.17509/jrak.v11i1.46748</w:t>
        </w:r>
      </w:hyperlink>
    </w:p>
    <w:p w14:paraId="644CB73C"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Fadhilah, F. N., Fathurrahman, I., Akbar, M., &amp; Malik, A. (2025). </w:t>
      </w:r>
      <w:r w:rsidRPr="00D160E9">
        <w:rPr>
          <w:rFonts w:ascii="Times New Roman" w:hAnsi="Times New Roman" w:cs="Times New Roman"/>
          <w:i/>
          <w:iCs/>
        </w:rPr>
        <w:t>EFEKTIVITAS SERTIFIKAT BANK INDONESIA SYARIAH (SBIS) SEBAGAI INSTRUMEN KEBIJAKAN MONETER: ANALISIS EMPIRIS DI INDONESIA</w:t>
      </w:r>
      <w:r w:rsidRPr="00D160E9">
        <w:rPr>
          <w:rFonts w:ascii="Times New Roman" w:hAnsi="Times New Roman" w:cs="Times New Roman"/>
        </w:rPr>
        <w:t xml:space="preserve">. </w:t>
      </w:r>
      <w:r w:rsidRPr="00D160E9">
        <w:rPr>
          <w:rFonts w:ascii="Times New Roman" w:hAnsi="Times New Roman" w:cs="Times New Roman"/>
          <w:i/>
          <w:iCs/>
        </w:rPr>
        <w:t>2</w:t>
      </w:r>
      <w:r w:rsidRPr="00D160E9">
        <w:rPr>
          <w:rFonts w:ascii="Times New Roman" w:hAnsi="Times New Roman" w:cs="Times New Roman"/>
        </w:rPr>
        <w:t>.</w:t>
      </w:r>
    </w:p>
    <w:p w14:paraId="6E1E5D16"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Hajri, S., Desfitri, A., Safitri, V., Ramadhayanti, G., &amp; Rizal, R. (2025). ANALISIS IMPLEMENTASI INSTRUMEN PASAR UANG ANTARBANK BERPRINSIP SYARIAH (PUAS) DALAM MENJAGA LIKUIDITAS BANK SYARIAH INDONESIA. </w:t>
      </w:r>
      <w:r w:rsidRPr="00D160E9">
        <w:rPr>
          <w:rFonts w:ascii="Times New Roman" w:hAnsi="Times New Roman" w:cs="Times New Roman"/>
          <w:i/>
          <w:iCs/>
        </w:rPr>
        <w:t>Jurnal Bisnis dan Manajemen</w:t>
      </w:r>
      <w:r w:rsidRPr="00D160E9">
        <w:rPr>
          <w:rFonts w:ascii="Times New Roman" w:hAnsi="Times New Roman" w:cs="Times New Roman"/>
        </w:rPr>
        <w:t>, 92–109. https://doi.org/10.23960/jbm.v21i2.3603</w:t>
      </w:r>
    </w:p>
    <w:p w14:paraId="1DE606E3"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Hasallyt, N. (2024). </w:t>
      </w:r>
      <w:r w:rsidRPr="00D160E9">
        <w:rPr>
          <w:rFonts w:ascii="Times New Roman" w:hAnsi="Times New Roman" w:cs="Times New Roman"/>
          <w:i/>
          <w:iCs/>
        </w:rPr>
        <w:t>Konsep Uang Dan Kebijakan Moneter Dalam Ekonomi Islam</w:t>
      </w:r>
      <w:r w:rsidRPr="00D160E9">
        <w:rPr>
          <w:rFonts w:ascii="Times New Roman" w:hAnsi="Times New Roman" w:cs="Times New Roman"/>
        </w:rPr>
        <w:t xml:space="preserve">. </w:t>
      </w:r>
      <w:r w:rsidRPr="00D160E9">
        <w:rPr>
          <w:rFonts w:ascii="Times New Roman" w:hAnsi="Times New Roman" w:cs="Times New Roman"/>
          <w:i/>
          <w:iCs/>
        </w:rPr>
        <w:t>2</w:t>
      </w:r>
      <w:r w:rsidRPr="00D160E9">
        <w:rPr>
          <w:rFonts w:ascii="Times New Roman" w:hAnsi="Times New Roman" w:cs="Times New Roman"/>
        </w:rPr>
        <w:t>.</w:t>
      </w:r>
    </w:p>
    <w:p w14:paraId="1CA2E98A"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Hikmah, N., Astuty, S., &amp; Bado, B. (</w:t>
      </w:r>
      <w:r>
        <w:rPr>
          <w:rFonts w:ascii="Times New Roman" w:hAnsi="Times New Roman" w:cs="Times New Roman"/>
        </w:rPr>
        <w:t>2025</w:t>
      </w:r>
      <w:r w:rsidRPr="00D160E9">
        <w:rPr>
          <w:rFonts w:ascii="Times New Roman" w:hAnsi="Times New Roman" w:cs="Times New Roman"/>
        </w:rPr>
        <w:t xml:space="preserve">). </w:t>
      </w:r>
      <w:r w:rsidRPr="00D160E9">
        <w:rPr>
          <w:rFonts w:ascii="Times New Roman" w:hAnsi="Times New Roman" w:cs="Times New Roman"/>
          <w:i/>
          <w:iCs/>
        </w:rPr>
        <w:t>ANALYSIS OF THE EFFECT OF SHARIA BANK INDONESIA CERTIFICATES, MONEY SUPPLY, INFLATION, AND RUPIAH EXCHANGE RATE ON SHARIA MUTUAL FUNDS IN INDONESIA</w:t>
      </w:r>
      <w:r w:rsidRPr="00D160E9">
        <w:rPr>
          <w:rFonts w:ascii="Times New Roman" w:hAnsi="Times New Roman" w:cs="Times New Roman"/>
        </w:rPr>
        <w:t>.</w:t>
      </w:r>
    </w:p>
    <w:p w14:paraId="30E61A04"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Juhro, S. M., Syarifuddin, F., &amp; Sakti, A. (2025). </w:t>
      </w:r>
      <w:r w:rsidRPr="00D160E9">
        <w:rPr>
          <w:rFonts w:ascii="Times New Roman" w:hAnsi="Times New Roman" w:cs="Times New Roman"/>
          <w:i/>
          <w:iCs/>
        </w:rPr>
        <w:t>Inclusive Welfare: On the Role of Islamic Social-Public Finance and Monetary Economics</w:t>
      </w:r>
      <w:r w:rsidRPr="00D160E9">
        <w:rPr>
          <w:rFonts w:ascii="Times New Roman" w:hAnsi="Times New Roman" w:cs="Times New Roman"/>
        </w:rPr>
        <w:t xml:space="preserve">. Springer Nature Singapore. </w:t>
      </w:r>
      <w:hyperlink r:id="rId16" w:history="1">
        <w:r w:rsidRPr="00D160E9">
          <w:rPr>
            <w:rStyle w:val="Hyperlink"/>
            <w:rFonts w:ascii="Times New Roman" w:hAnsi="Times New Roman" w:cs="Times New Roman"/>
          </w:rPr>
          <w:t>https://doi.org/10.1007/978-981-96-0051-9</w:t>
        </w:r>
      </w:hyperlink>
    </w:p>
    <w:p w14:paraId="0680DEDA"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Juliantari, H. I. (2025). </w:t>
      </w:r>
      <w:r w:rsidRPr="00D160E9">
        <w:rPr>
          <w:rFonts w:ascii="Times New Roman" w:hAnsi="Times New Roman" w:cs="Times New Roman"/>
          <w:i/>
          <w:iCs/>
        </w:rPr>
        <w:t>Peran SBIS (Sertifikt Bank Indonesia Syariah) dalam Menjaga Stabilitas Sistem Keuangan Syariah Indonesia</w:t>
      </w:r>
      <w:r w:rsidRPr="00D160E9">
        <w:rPr>
          <w:rFonts w:ascii="Times New Roman" w:hAnsi="Times New Roman" w:cs="Times New Roman"/>
        </w:rPr>
        <w:t>.</w:t>
      </w:r>
    </w:p>
    <w:p w14:paraId="18F20B0B"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Latuheru, A., &amp; Ricardo Parera, J. (2024). Pengaruh Dampak Kebijakan Moneter Terhadap Pertumbuhan Ekonomi Indonesia. </w:t>
      </w:r>
      <w:r w:rsidRPr="00D160E9">
        <w:rPr>
          <w:rFonts w:ascii="Times New Roman" w:hAnsi="Times New Roman" w:cs="Times New Roman"/>
          <w:i/>
          <w:iCs/>
        </w:rPr>
        <w:t>Jurnal Ekonomi dan Bisnis</w:t>
      </w:r>
      <w:r w:rsidRPr="00D160E9">
        <w:rPr>
          <w:rFonts w:ascii="Times New Roman" w:hAnsi="Times New Roman" w:cs="Times New Roman"/>
        </w:rPr>
        <w:t xml:space="preserve">, </w:t>
      </w:r>
      <w:r w:rsidRPr="00D160E9">
        <w:rPr>
          <w:rFonts w:ascii="Times New Roman" w:hAnsi="Times New Roman" w:cs="Times New Roman"/>
          <w:i/>
          <w:iCs/>
        </w:rPr>
        <w:t>16</w:t>
      </w:r>
      <w:r w:rsidRPr="00D160E9">
        <w:rPr>
          <w:rFonts w:ascii="Times New Roman" w:hAnsi="Times New Roman" w:cs="Times New Roman"/>
        </w:rPr>
        <w:t>(2), 7–14. https://doi.org/10.55049/jeb.v16i2.300</w:t>
      </w:r>
    </w:p>
    <w:p w14:paraId="189E612B"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Madani, A., &amp; Widiastuti, T. (2021). THE IMPACT OF ISLAMIC MONETARY OPERATIONS AND AGGREGATE FINANCING ON ECONOMIC GROWTH IN INDONESIA (2010-2020). </w:t>
      </w:r>
      <w:r w:rsidRPr="00D160E9">
        <w:rPr>
          <w:rFonts w:ascii="Times New Roman" w:hAnsi="Times New Roman" w:cs="Times New Roman"/>
          <w:i/>
          <w:iCs/>
        </w:rPr>
        <w:t>Jurnal Ekonomi Dan Bisnis Islam (Journal of Islamic Economics and Business)</w:t>
      </w:r>
      <w:r w:rsidRPr="00D160E9">
        <w:rPr>
          <w:rFonts w:ascii="Times New Roman" w:hAnsi="Times New Roman" w:cs="Times New Roman"/>
        </w:rPr>
        <w:t xml:space="preserve">, </w:t>
      </w:r>
      <w:r w:rsidRPr="00D160E9">
        <w:rPr>
          <w:rFonts w:ascii="Times New Roman" w:hAnsi="Times New Roman" w:cs="Times New Roman"/>
          <w:i/>
          <w:iCs/>
        </w:rPr>
        <w:t>7</w:t>
      </w:r>
      <w:r w:rsidRPr="00D160E9">
        <w:rPr>
          <w:rFonts w:ascii="Times New Roman" w:hAnsi="Times New Roman" w:cs="Times New Roman"/>
        </w:rPr>
        <w:t>(2), 185. https://doi.org/10.20473/jebis.v7i2.26085</w:t>
      </w:r>
    </w:p>
    <w:p w14:paraId="0F025CA1"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Marpaung, T. A., Imsar, &amp; Tambunan, K. (2024a). The Impact of Islamic Monetary Policy on Indonesia’s Economic Growth. </w:t>
      </w:r>
      <w:r w:rsidRPr="00D160E9">
        <w:rPr>
          <w:rFonts w:ascii="Times New Roman" w:hAnsi="Times New Roman" w:cs="Times New Roman"/>
          <w:i/>
          <w:iCs/>
        </w:rPr>
        <w:t>Journal of Islamic Economics and Finance Studies</w:t>
      </w:r>
      <w:r w:rsidRPr="00D160E9">
        <w:rPr>
          <w:rFonts w:ascii="Times New Roman" w:hAnsi="Times New Roman" w:cs="Times New Roman"/>
        </w:rPr>
        <w:t xml:space="preserve">, </w:t>
      </w:r>
      <w:r w:rsidRPr="00D160E9">
        <w:rPr>
          <w:rFonts w:ascii="Times New Roman" w:hAnsi="Times New Roman" w:cs="Times New Roman"/>
          <w:i/>
          <w:iCs/>
        </w:rPr>
        <w:t>4</w:t>
      </w:r>
      <w:r w:rsidRPr="00D160E9">
        <w:rPr>
          <w:rFonts w:ascii="Times New Roman" w:hAnsi="Times New Roman" w:cs="Times New Roman"/>
        </w:rPr>
        <w:t xml:space="preserve">(2), 309–331. </w:t>
      </w:r>
      <w:hyperlink r:id="rId17" w:history="1">
        <w:r w:rsidRPr="00D160E9">
          <w:rPr>
            <w:rStyle w:val="Hyperlink"/>
            <w:rFonts w:ascii="Times New Roman" w:hAnsi="Times New Roman" w:cs="Times New Roman"/>
          </w:rPr>
          <w:t>https://doi.org/10.47700/jiefes.v4i2.8034</w:t>
        </w:r>
      </w:hyperlink>
    </w:p>
    <w:p w14:paraId="68A85431"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Megamawarni, M. S (2023). Analisis Kebijakan Moneter Terhadap Pertumbuhan Ekonomi di Indonesia Tahun 2001-2019. </w:t>
      </w:r>
      <w:r w:rsidRPr="00D160E9">
        <w:rPr>
          <w:rFonts w:ascii="Times New Roman" w:hAnsi="Times New Roman" w:cs="Times New Roman"/>
          <w:i/>
          <w:iCs/>
        </w:rPr>
        <w:t>Ekonomikawan: Jurnal Ilmu Ekonomi dan Studi Pembangunan</w:t>
      </w:r>
      <w:r w:rsidRPr="00D160E9">
        <w:rPr>
          <w:rFonts w:ascii="Times New Roman" w:hAnsi="Times New Roman" w:cs="Times New Roman"/>
        </w:rPr>
        <w:t xml:space="preserve">, </w:t>
      </w:r>
      <w:r w:rsidRPr="00D160E9">
        <w:rPr>
          <w:rFonts w:ascii="Times New Roman" w:hAnsi="Times New Roman" w:cs="Times New Roman"/>
          <w:i/>
          <w:iCs/>
        </w:rPr>
        <w:t>23</w:t>
      </w:r>
      <w:r w:rsidRPr="00D160E9">
        <w:rPr>
          <w:rFonts w:ascii="Times New Roman" w:hAnsi="Times New Roman" w:cs="Times New Roman"/>
        </w:rPr>
        <w:t>(2). https://doi.org/10.30596/ekonomikawan.v23i2.15797</w:t>
      </w:r>
    </w:p>
    <w:p w14:paraId="1CB2D57D"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Mutmainah, A., Khairiyah, D. C., Nasution, H. R., Sambo, R. A., &amp; Cahya, S. D. (2024). Kajian Peran Kebijakan Moneter Syariah dalam Mendorong Pertumbuhan Ekonomi Indonesia. </w:t>
      </w:r>
      <w:r w:rsidRPr="00D160E9">
        <w:rPr>
          <w:rFonts w:ascii="Times New Roman" w:hAnsi="Times New Roman" w:cs="Times New Roman"/>
          <w:i/>
          <w:iCs/>
        </w:rPr>
        <w:t>Indonesian Research Journal on Education</w:t>
      </w:r>
      <w:r w:rsidRPr="00D160E9">
        <w:rPr>
          <w:rFonts w:ascii="Times New Roman" w:hAnsi="Times New Roman" w:cs="Times New Roman"/>
        </w:rPr>
        <w:t xml:space="preserve">, </w:t>
      </w:r>
      <w:r w:rsidRPr="00D160E9">
        <w:rPr>
          <w:rFonts w:ascii="Times New Roman" w:hAnsi="Times New Roman" w:cs="Times New Roman"/>
          <w:i/>
          <w:iCs/>
        </w:rPr>
        <w:t>4</w:t>
      </w:r>
      <w:r w:rsidRPr="00D160E9">
        <w:rPr>
          <w:rFonts w:ascii="Times New Roman" w:hAnsi="Times New Roman" w:cs="Times New Roman"/>
        </w:rPr>
        <w:t xml:space="preserve">(2). </w:t>
      </w:r>
      <w:hyperlink r:id="rId18" w:history="1">
        <w:r w:rsidRPr="00D160E9">
          <w:rPr>
            <w:rStyle w:val="Hyperlink"/>
            <w:rFonts w:ascii="Times New Roman" w:hAnsi="Times New Roman" w:cs="Times New Roman"/>
          </w:rPr>
          <w:t>https://doi.org/10.31004/irje.v4i2.613</w:t>
        </w:r>
      </w:hyperlink>
    </w:p>
    <w:p w14:paraId="13B4CF4A"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Ningsih, L., Arisna, P., Hatmawan, A. A., Tanjung, I. I., &amp; Suhendra, N. (2024). </w:t>
      </w:r>
      <w:r w:rsidRPr="00D160E9">
        <w:rPr>
          <w:rFonts w:ascii="Times New Roman" w:hAnsi="Times New Roman" w:cs="Times New Roman"/>
          <w:i/>
          <w:iCs/>
        </w:rPr>
        <w:t>EFEKTIVITAS KEBIJAKAN MONETER TERHADAP PERTUMBUHAN EKONOMI</w:t>
      </w:r>
      <w:r w:rsidRPr="00D160E9">
        <w:rPr>
          <w:rFonts w:ascii="Times New Roman" w:hAnsi="Times New Roman" w:cs="Times New Roman"/>
        </w:rPr>
        <w:t>.</w:t>
      </w:r>
    </w:p>
    <w:p w14:paraId="1A810A2D"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Pane, S. G., Fernanda, R. L., Althaaf, S. N., Waruwu, T. J. P., &amp; Silalahi, M. S. (2024). Analisis Pengaruh Kebijakan Moneter Terhadap Pertumbuhan Ekonomi di Indonesia. </w:t>
      </w:r>
      <w:r w:rsidRPr="00D160E9">
        <w:rPr>
          <w:rFonts w:ascii="Times New Roman" w:hAnsi="Times New Roman" w:cs="Times New Roman"/>
          <w:i/>
          <w:iCs/>
        </w:rPr>
        <w:t>MANTAP: Journal of Management Accounting, Tax and Production</w:t>
      </w:r>
      <w:r w:rsidRPr="00D160E9">
        <w:rPr>
          <w:rFonts w:ascii="Times New Roman" w:hAnsi="Times New Roman" w:cs="Times New Roman"/>
        </w:rPr>
        <w:t xml:space="preserve">, </w:t>
      </w:r>
      <w:r w:rsidRPr="00D160E9">
        <w:rPr>
          <w:rFonts w:ascii="Times New Roman" w:hAnsi="Times New Roman" w:cs="Times New Roman"/>
          <w:i/>
          <w:iCs/>
        </w:rPr>
        <w:t>2</w:t>
      </w:r>
      <w:r w:rsidRPr="00D160E9">
        <w:rPr>
          <w:rFonts w:ascii="Times New Roman" w:hAnsi="Times New Roman" w:cs="Times New Roman"/>
        </w:rPr>
        <w:t xml:space="preserve">(2), 751–757. </w:t>
      </w:r>
      <w:hyperlink r:id="rId19" w:history="1">
        <w:r w:rsidRPr="00D160E9">
          <w:rPr>
            <w:rStyle w:val="Hyperlink"/>
            <w:rFonts w:ascii="Times New Roman" w:hAnsi="Times New Roman" w:cs="Times New Roman"/>
          </w:rPr>
          <w:t>https://doi.org/10.57235/mantap.v2i2.3345</w:t>
        </w:r>
      </w:hyperlink>
    </w:p>
    <w:p w14:paraId="63700DFA"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Putra, F. A. (2024). </w:t>
      </w:r>
      <w:r w:rsidRPr="00D160E9">
        <w:rPr>
          <w:rFonts w:ascii="Times New Roman" w:hAnsi="Times New Roman" w:cs="Times New Roman"/>
          <w:i/>
          <w:iCs/>
        </w:rPr>
        <w:t>PENGARUH KEBIJAKAN MONETER TERHADAP PERTUMBUHAN EKONOMI GLOBAL DI INDONESIA PADA TAHUN 2020-2023</w:t>
      </w:r>
      <w:r w:rsidRPr="00D160E9">
        <w:rPr>
          <w:rFonts w:ascii="Times New Roman" w:hAnsi="Times New Roman" w:cs="Times New Roman"/>
        </w:rPr>
        <w:t xml:space="preserve">. </w:t>
      </w:r>
      <w:r w:rsidRPr="00D160E9">
        <w:rPr>
          <w:rFonts w:ascii="Times New Roman" w:hAnsi="Times New Roman" w:cs="Times New Roman"/>
          <w:i/>
          <w:iCs/>
        </w:rPr>
        <w:t>18</w:t>
      </w:r>
      <w:r w:rsidRPr="00D160E9">
        <w:rPr>
          <w:rFonts w:ascii="Times New Roman" w:hAnsi="Times New Roman" w:cs="Times New Roman"/>
        </w:rPr>
        <w:t>(1).</w:t>
      </w:r>
    </w:p>
    <w:p w14:paraId="5CD52169"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Rahmad Riho Zeen, Ihsan Alfi Lubis, Fitra Ilham Ramadhan, Hilman Hanif, &amp; Khairina Tambunan. (2022). Analisis Pengaruh Kebijakan Moneter Syariah Terhadap Perkembangan Ekonomi di Indonesia. </w:t>
      </w:r>
      <w:r w:rsidRPr="00D160E9">
        <w:rPr>
          <w:rFonts w:ascii="Times New Roman" w:hAnsi="Times New Roman" w:cs="Times New Roman"/>
          <w:i/>
          <w:iCs/>
        </w:rPr>
        <w:t>CEMERLANG : Jurnal Manajemen dan Ekonomi Bisnis</w:t>
      </w:r>
      <w:r w:rsidRPr="00D160E9">
        <w:rPr>
          <w:rFonts w:ascii="Times New Roman" w:hAnsi="Times New Roman" w:cs="Times New Roman"/>
        </w:rPr>
        <w:t xml:space="preserve">, </w:t>
      </w:r>
      <w:r w:rsidRPr="00D160E9">
        <w:rPr>
          <w:rFonts w:ascii="Times New Roman" w:hAnsi="Times New Roman" w:cs="Times New Roman"/>
          <w:i/>
          <w:iCs/>
        </w:rPr>
        <w:t>2</w:t>
      </w:r>
      <w:r w:rsidRPr="00D160E9">
        <w:rPr>
          <w:rFonts w:ascii="Times New Roman" w:hAnsi="Times New Roman" w:cs="Times New Roman"/>
        </w:rPr>
        <w:t>(4), 259–269. https://doi.org/10.55606/cemerlang.v2i4.624</w:t>
      </w:r>
    </w:p>
    <w:p w14:paraId="776FA111"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Rangkuty, D. M., Yusuf, M., Rusiadi, R., Efendi, B., &amp; Subakti, P. (2023a). Analisis Indikator Moneter Terhadap Pertumbuhan Ekonomi Di Indonesia. </w:t>
      </w:r>
      <w:r w:rsidRPr="00D160E9">
        <w:rPr>
          <w:rFonts w:ascii="Times New Roman" w:hAnsi="Times New Roman" w:cs="Times New Roman"/>
          <w:i/>
          <w:iCs/>
        </w:rPr>
        <w:t>E-Mabis: Jurnal Ekonomi Manajemen dan Bisnis</w:t>
      </w:r>
      <w:r w:rsidRPr="00D160E9">
        <w:rPr>
          <w:rFonts w:ascii="Times New Roman" w:hAnsi="Times New Roman" w:cs="Times New Roman"/>
        </w:rPr>
        <w:t xml:space="preserve">, </w:t>
      </w:r>
      <w:r w:rsidRPr="00D160E9">
        <w:rPr>
          <w:rFonts w:ascii="Times New Roman" w:hAnsi="Times New Roman" w:cs="Times New Roman"/>
          <w:i/>
          <w:iCs/>
        </w:rPr>
        <w:t>24</w:t>
      </w:r>
      <w:r w:rsidRPr="00D160E9">
        <w:rPr>
          <w:rFonts w:ascii="Times New Roman" w:hAnsi="Times New Roman" w:cs="Times New Roman"/>
        </w:rPr>
        <w:t xml:space="preserve">(2), 113–122. </w:t>
      </w:r>
      <w:hyperlink r:id="rId20" w:history="1">
        <w:r w:rsidRPr="00D160E9">
          <w:rPr>
            <w:rStyle w:val="Hyperlink"/>
            <w:rFonts w:ascii="Times New Roman" w:hAnsi="Times New Roman" w:cs="Times New Roman"/>
          </w:rPr>
          <w:t>https://doi.org/10.29103/e-mabis.v24i2.1049</w:t>
        </w:r>
      </w:hyperlink>
    </w:p>
    <w:p w14:paraId="108306E9"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Rauf, S. (2024). ANALISIS PENGARUH SERTIFIKAT BANK INDONESIA SYARIAH DAN DANA PIHAK KETIGA TERHADAP PEMBIAYAAN PERBANKAN INDONESIA SYARIAH PERIODE 2011-2020. 24(2).</w:t>
      </w:r>
    </w:p>
    <w:p w14:paraId="0DACC455" w14:textId="77777777" w:rsidR="00FB1404" w:rsidRPr="00D160E9" w:rsidRDefault="00FB1404" w:rsidP="00F34811">
      <w:pPr>
        <w:pStyle w:val="Bibliography"/>
        <w:numPr>
          <w:ilvl w:val="0"/>
          <w:numId w:val="6"/>
        </w:numPr>
        <w:spacing w:line="240" w:lineRule="auto"/>
        <w:rPr>
          <w:rFonts w:ascii="Times New Roman" w:hAnsi="Times New Roman" w:cs="Times New Roman"/>
        </w:rPr>
      </w:pPr>
      <w:r w:rsidRPr="00D160E9">
        <w:rPr>
          <w:rFonts w:ascii="Times New Roman" w:hAnsi="Times New Roman" w:cs="Times New Roman"/>
        </w:rPr>
        <w:t>Rusydiana, A. S. (2009). Hubungan Antara Perdagangan Internasional, Pertumbuhan Ekonomi Dan Perkembangan Industri Keuangan Syariah Di Indonesia. 4.</w:t>
      </w:r>
    </w:p>
    <w:p w14:paraId="37F4A062"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Soemitra, A., Ismal, R., Afif, Y. K., Sitorus, A. P., Saputra, J., &amp; Chaniago, S. (2021). </w:t>
      </w:r>
      <w:r w:rsidRPr="00D160E9">
        <w:rPr>
          <w:rFonts w:ascii="Times New Roman" w:hAnsi="Times New Roman" w:cs="Times New Roman"/>
          <w:i/>
          <w:iCs/>
        </w:rPr>
        <w:t>Islamic Perspectitve On Money Market and The Operation of Sharia Money Market</w:t>
      </w:r>
      <w:r w:rsidRPr="00D160E9">
        <w:rPr>
          <w:rFonts w:ascii="Times New Roman" w:hAnsi="Times New Roman" w:cs="Times New Roman"/>
        </w:rPr>
        <w:t>.</w:t>
      </w:r>
    </w:p>
    <w:p w14:paraId="3EB9AF96" w14:textId="77777777" w:rsidR="00FB1404" w:rsidRPr="00D160E9" w:rsidRDefault="00FB1404" w:rsidP="00F34811">
      <w:pPr>
        <w:pStyle w:val="Bibliography"/>
        <w:numPr>
          <w:ilvl w:val="0"/>
          <w:numId w:val="6"/>
        </w:numPr>
        <w:spacing w:line="240" w:lineRule="auto"/>
        <w:rPr>
          <w:rFonts w:ascii="Times New Roman" w:hAnsi="Times New Roman" w:cs="Times New Roman"/>
        </w:rPr>
      </w:pPr>
      <w:r w:rsidRPr="00D160E9">
        <w:rPr>
          <w:rFonts w:ascii="Times New Roman" w:hAnsi="Times New Roman" w:cs="Times New Roman"/>
        </w:rPr>
        <w:t xml:space="preserve">Twinoburyo, E. N., &amp; Odhiambo, N. M. (2018). Monetary Policy and Economic Growth: A Review of International Literature. </w:t>
      </w:r>
      <w:r w:rsidRPr="00D160E9">
        <w:rPr>
          <w:rFonts w:ascii="Times New Roman" w:hAnsi="Times New Roman" w:cs="Times New Roman"/>
          <w:i/>
          <w:iCs/>
        </w:rPr>
        <w:t>Journal of Central Banking Theory and Practice</w:t>
      </w:r>
      <w:r w:rsidRPr="00D160E9">
        <w:rPr>
          <w:rFonts w:ascii="Times New Roman" w:hAnsi="Times New Roman" w:cs="Times New Roman"/>
        </w:rPr>
        <w:t xml:space="preserve">, </w:t>
      </w:r>
      <w:r w:rsidRPr="00D160E9">
        <w:rPr>
          <w:rFonts w:ascii="Times New Roman" w:hAnsi="Times New Roman" w:cs="Times New Roman"/>
          <w:i/>
          <w:iCs/>
        </w:rPr>
        <w:t>7</w:t>
      </w:r>
      <w:r w:rsidRPr="00D160E9">
        <w:rPr>
          <w:rFonts w:ascii="Times New Roman" w:hAnsi="Times New Roman" w:cs="Times New Roman"/>
        </w:rPr>
        <w:t>(2), 123–137. https://doi.org/10.2478/jcbtp-2018-0015</w:t>
      </w:r>
    </w:p>
    <w:p w14:paraId="7491DB1D"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Wahid, A. N., Jamel, S. B., Noviarita, H., &amp; Anggraini, E. (2020). Assessing Sharia Monetary Instruments Against Country Economic Growth. </w:t>
      </w:r>
      <w:r w:rsidRPr="00D160E9">
        <w:rPr>
          <w:rFonts w:ascii="Times New Roman" w:hAnsi="Times New Roman" w:cs="Times New Roman"/>
          <w:i/>
          <w:iCs/>
        </w:rPr>
        <w:t>JEJAK</w:t>
      </w:r>
      <w:r w:rsidRPr="00D160E9">
        <w:rPr>
          <w:rFonts w:ascii="Times New Roman" w:hAnsi="Times New Roman" w:cs="Times New Roman"/>
        </w:rPr>
        <w:t xml:space="preserve">, </w:t>
      </w:r>
      <w:r w:rsidRPr="00D160E9">
        <w:rPr>
          <w:rFonts w:ascii="Times New Roman" w:hAnsi="Times New Roman" w:cs="Times New Roman"/>
          <w:i/>
          <w:iCs/>
        </w:rPr>
        <w:t>13</w:t>
      </w:r>
      <w:r w:rsidRPr="00D160E9">
        <w:rPr>
          <w:rFonts w:ascii="Times New Roman" w:hAnsi="Times New Roman" w:cs="Times New Roman"/>
        </w:rPr>
        <w:t>(2), 307–318. https://doi.org/10.15294/jejak.v13i2.23754</w:t>
      </w:r>
    </w:p>
    <w:p w14:paraId="1A8FEEA2"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Winarto, H., Poernomo, A., &amp; Prabawa, A. (2021). Analisis Dampak Kebijakan Moneter terhadap Pertumbuhan Ekonomi di Indonesia. </w:t>
      </w:r>
      <w:r w:rsidRPr="00D160E9">
        <w:rPr>
          <w:rFonts w:ascii="Times New Roman" w:hAnsi="Times New Roman" w:cs="Times New Roman"/>
          <w:i/>
          <w:iCs/>
        </w:rPr>
        <w:t>J-MAS (Jurnal Manajemen dan Sains)</w:t>
      </w:r>
      <w:r w:rsidRPr="00D160E9">
        <w:rPr>
          <w:rFonts w:ascii="Times New Roman" w:hAnsi="Times New Roman" w:cs="Times New Roman"/>
        </w:rPr>
        <w:t xml:space="preserve">, </w:t>
      </w:r>
      <w:r w:rsidRPr="00D160E9">
        <w:rPr>
          <w:rFonts w:ascii="Times New Roman" w:hAnsi="Times New Roman" w:cs="Times New Roman"/>
          <w:i/>
          <w:iCs/>
        </w:rPr>
        <w:t>6</w:t>
      </w:r>
      <w:r w:rsidRPr="00D160E9">
        <w:rPr>
          <w:rFonts w:ascii="Times New Roman" w:hAnsi="Times New Roman" w:cs="Times New Roman"/>
        </w:rPr>
        <w:t>(1), 34. https://doi.org/10.33087/jmas.v6i1.216</w:t>
      </w:r>
    </w:p>
    <w:p w14:paraId="1EC28383"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Winarto, F. H., &amp; Beik, I. S. (2024). The effect of Sharia monetary policy instruments and Islamic bank financing on economic growth and inflation. </w:t>
      </w:r>
      <w:r w:rsidRPr="00D160E9">
        <w:rPr>
          <w:rFonts w:ascii="Times New Roman" w:hAnsi="Times New Roman" w:cs="Times New Roman"/>
          <w:i/>
          <w:iCs/>
        </w:rPr>
        <w:t>Jurnal Ekonomi &amp; Keuangan Islam</w:t>
      </w:r>
      <w:r w:rsidRPr="00D160E9">
        <w:rPr>
          <w:rFonts w:ascii="Times New Roman" w:hAnsi="Times New Roman" w:cs="Times New Roman"/>
        </w:rPr>
        <w:t>, 72–89. https://doi.org/10.20885/JEKI.vol10.iss1.art6</w:t>
      </w:r>
    </w:p>
    <w:p w14:paraId="273BF715" w14:textId="77777777" w:rsidR="00FB1404" w:rsidRPr="00D160E9" w:rsidRDefault="00FB1404" w:rsidP="00F34811">
      <w:pPr>
        <w:pStyle w:val="Bibliography"/>
        <w:numPr>
          <w:ilvl w:val="0"/>
          <w:numId w:val="6"/>
        </w:numPr>
        <w:spacing w:line="240" w:lineRule="auto"/>
        <w:jc w:val="both"/>
        <w:rPr>
          <w:rFonts w:ascii="Times New Roman" w:hAnsi="Times New Roman" w:cs="Times New Roman"/>
        </w:rPr>
      </w:pPr>
      <w:r w:rsidRPr="00D160E9">
        <w:rPr>
          <w:rFonts w:ascii="Times New Roman" w:hAnsi="Times New Roman" w:cs="Times New Roman"/>
        </w:rPr>
        <w:t xml:space="preserve">Yuliani, M., &amp; Mawi, T. (2017). MANAJEMEN PASAR UANG ANTAR BANK SYARIAH (PUAS) DI  INDONESIA. </w:t>
      </w:r>
      <w:r w:rsidRPr="00D160E9">
        <w:rPr>
          <w:rFonts w:ascii="Times New Roman" w:hAnsi="Times New Roman" w:cs="Times New Roman"/>
          <w:i/>
          <w:iCs/>
        </w:rPr>
        <w:t>CAM: Change Agent For Management Journal</w:t>
      </w:r>
      <w:r w:rsidRPr="00D160E9">
        <w:rPr>
          <w:rFonts w:ascii="Times New Roman" w:hAnsi="Times New Roman" w:cs="Times New Roman"/>
        </w:rPr>
        <w:t xml:space="preserve">, </w:t>
      </w:r>
      <w:r w:rsidRPr="00D160E9">
        <w:rPr>
          <w:rFonts w:ascii="Times New Roman" w:hAnsi="Times New Roman" w:cs="Times New Roman"/>
          <w:i/>
          <w:iCs/>
        </w:rPr>
        <w:t>1</w:t>
      </w:r>
      <w:r w:rsidRPr="00D160E9">
        <w:rPr>
          <w:rFonts w:ascii="Times New Roman" w:hAnsi="Times New Roman" w:cs="Times New Roman"/>
        </w:rPr>
        <w:t xml:space="preserve">(1), 42.Yuliani, M., &amp; Mawi, T. (2017). MANAJEMEN PASAR UANG ANTAR BANK SYARIAH (PUAS) DI  INDONESIA. </w:t>
      </w:r>
      <w:r w:rsidRPr="00D160E9">
        <w:rPr>
          <w:rFonts w:ascii="Times New Roman" w:hAnsi="Times New Roman" w:cs="Times New Roman"/>
          <w:i/>
          <w:iCs/>
        </w:rPr>
        <w:t>CAM: Change Agent For Management Journal</w:t>
      </w:r>
      <w:r w:rsidRPr="00D160E9">
        <w:rPr>
          <w:rFonts w:ascii="Times New Roman" w:hAnsi="Times New Roman" w:cs="Times New Roman"/>
        </w:rPr>
        <w:t xml:space="preserve">, </w:t>
      </w:r>
      <w:r w:rsidRPr="00D160E9">
        <w:rPr>
          <w:rFonts w:ascii="Times New Roman" w:hAnsi="Times New Roman" w:cs="Times New Roman"/>
          <w:i/>
          <w:iCs/>
        </w:rPr>
        <w:t>1</w:t>
      </w:r>
      <w:r w:rsidRPr="00D160E9">
        <w:rPr>
          <w:rFonts w:ascii="Times New Roman" w:hAnsi="Times New Roman" w:cs="Times New Roman"/>
        </w:rPr>
        <w:t>(1), 42.</w:t>
      </w:r>
    </w:p>
    <w:p w14:paraId="4282A6D6" w14:textId="77777777" w:rsidR="00FB1404" w:rsidRPr="00D160E9" w:rsidRDefault="00FB1404" w:rsidP="00F34811">
      <w:pPr>
        <w:pStyle w:val="Bibliography"/>
        <w:numPr>
          <w:ilvl w:val="0"/>
          <w:numId w:val="6"/>
        </w:numPr>
        <w:spacing w:line="240" w:lineRule="auto"/>
        <w:rPr>
          <w:rFonts w:ascii="Times New Roman" w:hAnsi="Times New Roman" w:cs="Times New Roman"/>
          <w:kern w:val="0"/>
        </w:rPr>
      </w:pPr>
      <w:r w:rsidRPr="00D160E9">
        <w:rPr>
          <w:rFonts w:ascii="Times New Roman" w:hAnsi="Times New Roman" w:cs="Times New Roman"/>
          <w:kern w:val="0"/>
        </w:rPr>
        <w:t xml:space="preserve">Zaelina, F. (2018). </w:t>
      </w:r>
      <w:r w:rsidRPr="00D160E9">
        <w:rPr>
          <w:rFonts w:ascii="Times New Roman" w:hAnsi="Times New Roman" w:cs="Times New Roman"/>
          <w:i/>
          <w:iCs/>
          <w:kern w:val="0"/>
        </w:rPr>
        <w:t>MEKANISME TRANSMISI KEBIJAKAN MONETER SYARIAH</w:t>
      </w:r>
      <w:r w:rsidRPr="00D160E9">
        <w:rPr>
          <w:rFonts w:ascii="Times New Roman" w:hAnsi="Times New Roman" w:cs="Times New Roman"/>
          <w:kern w:val="0"/>
        </w:rPr>
        <w:t xml:space="preserve">. </w:t>
      </w:r>
      <w:r w:rsidRPr="00D160E9">
        <w:rPr>
          <w:rFonts w:ascii="Times New Roman" w:hAnsi="Times New Roman" w:cs="Times New Roman"/>
          <w:i/>
          <w:iCs/>
          <w:kern w:val="0"/>
        </w:rPr>
        <w:t>1</w:t>
      </w:r>
      <w:r w:rsidRPr="00D160E9">
        <w:rPr>
          <w:rFonts w:ascii="Times New Roman" w:hAnsi="Times New Roman" w:cs="Times New Roman"/>
          <w:kern w:val="0"/>
        </w:rPr>
        <w:t>(1).</w:t>
      </w:r>
    </w:p>
    <w:p w14:paraId="7F0B8DCB" w14:textId="77777777" w:rsidR="00FB1404" w:rsidRPr="00AB1175" w:rsidRDefault="00FB1404" w:rsidP="00AB1175">
      <w:pPr>
        <w:pStyle w:val="ListParagraph"/>
        <w:spacing w:line="276" w:lineRule="auto"/>
        <w:ind w:left="0"/>
        <w:jc w:val="both"/>
        <w:rPr>
          <w:rFonts w:ascii="Times New Roman" w:hAnsi="Times New Roman" w:cs="Times New Roman"/>
          <w:sz w:val="24"/>
          <w:szCs w:val="24"/>
        </w:rPr>
      </w:pPr>
    </w:p>
    <w:sectPr w:rsidR="00FB1404" w:rsidRPr="00AB11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01E29" w14:textId="77777777" w:rsidR="00355F07" w:rsidRDefault="00355F07" w:rsidP="006E1BA8">
      <w:pPr>
        <w:spacing w:after="0" w:line="240" w:lineRule="auto"/>
      </w:pPr>
      <w:r>
        <w:separator/>
      </w:r>
    </w:p>
  </w:endnote>
  <w:endnote w:type="continuationSeparator" w:id="0">
    <w:p w14:paraId="4D9293B9" w14:textId="77777777" w:rsidR="00355F07" w:rsidRDefault="00355F07" w:rsidP="006E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F3726" w14:textId="77777777" w:rsidR="00143B47" w:rsidRDefault="00143B4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355F07">
      <w:rPr>
        <w:caps/>
        <w:noProof/>
        <w:color w:val="4472C4" w:themeColor="accent1"/>
      </w:rPr>
      <w:t>1</w:t>
    </w:r>
    <w:r>
      <w:rPr>
        <w:caps/>
        <w:noProof/>
        <w:color w:val="4472C4" w:themeColor="accent1"/>
      </w:rPr>
      <w:fldChar w:fldCharType="end"/>
    </w:r>
  </w:p>
  <w:p w14:paraId="55C352CE" w14:textId="77777777" w:rsidR="00143B47" w:rsidRDefault="00143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28D88" w14:textId="77777777" w:rsidR="00355F07" w:rsidRDefault="00355F07" w:rsidP="006E1BA8">
      <w:pPr>
        <w:spacing w:after="0" w:line="240" w:lineRule="auto"/>
      </w:pPr>
      <w:r>
        <w:separator/>
      </w:r>
    </w:p>
  </w:footnote>
  <w:footnote w:type="continuationSeparator" w:id="0">
    <w:p w14:paraId="1D38648C" w14:textId="77777777" w:rsidR="00355F07" w:rsidRDefault="00355F07" w:rsidP="006E1B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95523"/>
    <w:multiLevelType w:val="hybridMultilevel"/>
    <w:tmpl w:val="D1CE53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1D188D"/>
    <w:multiLevelType w:val="hybridMultilevel"/>
    <w:tmpl w:val="FC141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3706B1"/>
    <w:multiLevelType w:val="hybridMultilevel"/>
    <w:tmpl w:val="97E6DB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E754F09"/>
    <w:multiLevelType w:val="hybridMultilevel"/>
    <w:tmpl w:val="38B279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9FD4F59"/>
    <w:multiLevelType w:val="hybridMultilevel"/>
    <w:tmpl w:val="90B60ED8"/>
    <w:lvl w:ilvl="0" w:tplc="F19C9EA4">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75A209EB"/>
    <w:multiLevelType w:val="hybridMultilevel"/>
    <w:tmpl w:val="A11066F0"/>
    <w:lvl w:ilvl="0" w:tplc="FFD8869C">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D9"/>
    <w:rsid w:val="00020624"/>
    <w:rsid w:val="00021E44"/>
    <w:rsid w:val="000351E5"/>
    <w:rsid w:val="000414C2"/>
    <w:rsid w:val="000526AB"/>
    <w:rsid w:val="00057345"/>
    <w:rsid w:val="00080158"/>
    <w:rsid w:val="000838DB"/>
    <w:rsid w:val="00092969"/>
    <w:rsid w:val="000A0A3C"/>
    <w:rsid w:val="000A4D02"/>
    <w:rsid w:val="000B08A6"/>
    <w:rsid w:val="000B549C"/>
    <w:rsid w:val="0010329A"/>
    <w:rsid w:val="001076F6"/>
    <w:rsid w:val="00134909"/>
    <w:rsid w:val="00143B47"/>
    <w:rsid w:val="0014565E"/>
    <w:rsid w:val="00170F7F"/>
    <w:rsid w:val="0017253B"/>
    <w:rsid w:val="00185D9C"/>
    <w:rsid w:val="001A3798"/>
    <w:rsid w:val="001B182A"/>
    <w:rsid w:val="001D3AD4"/>
    <w:rsid w:val="001E397B"/>
    <w:rsid w:val="001E7564"/>
    <w:rsid w:val="00214452"/>
    <w:rsid w:val="00241DAE"/>
    <w:rsid w:val="00261D77"/>
    <w:rsid w:val="00291942"/>
    <w:rsid w:val="00295103"/>
    <w:rsid w:val="002A503C"/>
    <w:rsid w:val="002C4267"/>
    <w:rsid w:val="002F4C5F"/>
    <w:rsid w:val="00304B26"/>
    <w:rsid w:val="00310212"/>
    <w:rsid w:val="00317A5A"/>
    <w:rsid w:val="00321746"/>
    <w:rsid w:val="00323E6D"/>
    <w:rsid w:val="00324BA9"/>
    <w:rsid w:val="0035114E"/>
    <w:rsid w:val="003537D4"/>
    <w:rsid w:val="00355F07"/>
    <w:rsid w:val="00357235"/>
    <w:rsid w:val="00357AFF"/>
    <w:rsid w:val="00360DE1"/>
    <w:rsid w:val="00361CD6"/>
    <w:rsid w:val="00362F19"/>
    <w:rsid w:val="0037302B"/>
    <w:rsid w:val="0037763F"/>
    <w:rsid w:val="003807D1"/>
    <w:rsid w:val="00386B90"/>
    <w:rsid w:val="003910FC"/>
    <w:rsid w:val="003D76E4"/>
    <w:rsid w:val="003E589D"/>
    <w:rsid w:val="003F0BE4"/>
    <w:rsid w:val="003F1C55"/>
    <w:rsid w:val="003F64D9"/>
    <w:rsid w:val="003F7B0D"/>
    <w:rsid w:val="0040556B"/>
    <w:rsid w:val="00407E5F"/>
    <w:rsid w:val="00413115"/>
    <w:rsid w:val="00443BB7"/>
    <w:rsid w:val="004575DD"/>
    <w:rsid w:val="00465D20"/>
    <w:rsid w:val="0046710F"/>
    <w:rsid w:val="00472FDA"/>
    <w:rsid w:val="00491137"/>
    <w:rsid w:val="0049375A"/>
    <w:rsid w:val="004A5AC7"/>
    <w:rsid w:val="004A6764"/>
    <w:rsid w:val="004B3690"/>
    <w:rsid w:val="004C0072"/>
    <w:rsid w:val="004C0B78"/>
    <w:rsid w:val="004C66A7"/>
    <w:rsid w:val="004C743E"/>
    <w:rsid w:val="004E4501"/>
    <w:rsid w:val="004F06EE"/>
    <w:rsid w:val="004F079A"/>
    <w:rsid w:val="004F3FA0"/>
    <w:rsid w:val="00510854"/>
    <w:rsid w:val="00513C4C"/>
    <w:rsid w:val="00514952"/>
    <w:rsid w:val="0051560A"/>
    <w:rsid w:val="0052492F"/>
    <w:rsid w:val="00554C16"/>
    <w:rsid w:val="0057534D"/>
    <w:rsid w:val="005777C6"/>
    <w:rsid w:val="005C3787"/>
    <w:rsid w:val="005C53BC"/>
    <w:rsid w:val="005D3021"/>
    <w:rsid w:val="005D4A5F"/>
    <w:rsid w:val="005E09F5"/>
    <w:rsid w:val="0060191A"/>
    <w:rsid w:val="00620169"/>
    <w:rsid w:val="00635B3F"/>
    <w:rsid w:val="0065485E"/>
    <w:rsid w:val="00655CF2"/>
    <w:rsid w:val="00662959"/>
    <w:rsid w:val="00663A60"/>
    <w:rsid w:val="00674D7D"/>
    <w:rsid w:val="006805D7"/>
    <w:rsid w:val="00682E31"/>
    <w:rsid w:val="006A7269"/>
    <w:rsid w:val="006B1ACD"/>
    <w:rsid w:val="006B47C4"/>
    <w:rsid w:val="006C7132"/>
    <w:rsid w:val="006E1BA8"/>
    <w:rsid w:val="006E5BB2"/>
    <w:rsid w:val="006F1597"/>
    <w:rsid w:val="006F2D67"/>
    <w:rsid w:val="00704330"/>
    <w:rsid w:val="00714643"/>
    <w:rsid w:val="0072058F"/>
    <w:rsid w:val="00720CD1"/>
    <w:rsid w:val="00731096"/>
    <w:rsid w:val="007421A3"/>
    <w:rsid w:val="007522C4"/>
    <w:rsid w:val="00771BAF"/>
    <w:rsid w:val="00777DDD"/>
    <w:rsid w:val="007872A6"/>
    <w:rsid w:val="007945AC"/>
    <w:rsid w:val="00796B7E"/>
    <w:rsid w:val="007A021E"/>
    <w:rsid w:val="007A6A48"/>
    <w:rsid w:val="007E1F90"/>
    <w:rsid w:val="007E525D"/>
    <w:rsid w:val="007E52FE"/>
    <w:rsid w:val="007F19F1"/>
    <w:rsid w:val="00802753"/>
    <w:rsid w:val="00803A01"/>
    <w:rsid w:val="00805E9C"/>
    <w:rsid w:val="008152F2"/>
    <w:rsid w:val="008257A4"/>
    <w:rsid w:val="00826035"/>
    <w:rsid w:val="008329C4"/>
    <w:rsid w:val="008345AF"/>
    <w:rsid w:val="0084081D"/>
    <w:rsid w:val="00844309"/>
    <w:rsid w:val="00852688"/>
    <w:rsid w:val="008537EE"/>
    <w:rsid w:val="00872143"/>
    <w:rsid w:val="00881238"/>
    <w:rsid w:val="00881DD5"/>
    <w:rsid w:val="00897280"/>
    <w:rsid w:val="008A4ADC"/>
    <w:rsid w:val="008B641A"/>
    <w:rsid w:val="008C568B"/>
    <w:rsid w:val="008F4EBB"/>
    <w:rsid w:val="00907198"/>
    <w:rsid w:val="00907844"/>
    <w:rsid w:val="009112F7"/>
    <w:rsid w:val="00911956"/>
    <w:rsid w:val="00917BC9"/>
    <w:rsid w:val="00924B30"/>
    <w:rsid w:val="00930B36"/>
    <w:rsid w:val="0094415C"/>
    <w:rsid w:val="00946AA3"/>
    <w:rsid w:val="00954908"/>
    <w:rsid w:val="00955510"/>
    <w:rsid w:val="00975DB3"/>
    <w:rsid w:val="009816D0"/>
    <w:rsid w:val="00986FF9"/>
    <w:rsid w:val="009A2ACE"/>
    <w:rsid w:val="009C542A"/>
    <w:rsid w:val="00A138CC"/>
    <w:rsid w:val="00A63186"/>
    <w:rsid w:val="00A83B39"/>
    <w:rsid w:val="00A921F9"/>
    <w:rsid w:val="00AA42BC"/>
    <w:rsid w:val="00AA7F43"/>
    <w:rsid w:val="00AB1175"/>
    <w:rsid w:val="00AB6B7D"/>
    <w:rsid w:val="00AD1F93"/>
    <w:rsid w:val="00AE296F"/>
    <w:rsid w:val="00AE6B86"/>
    <w:rsid w:val="00B0119F"/>
    <w:rsid w:val="00B07D89"/>
    <w:rsid w:val="00B10119"/>
    <w:rsid w:val="00B110FC"/>
    <w:rsid w:val="00B134E8"/>
    <w:rsid w:val="00B252D2"/>
    <w:rsid w:val="00B358F8"/>
    <w:rsid w:val="00B410A5"/>
    <w:rsid w:val="00B564B1"/>
    <w:rsid w:val="00B64CE9"/>
    <w:rsid w:val="00B65229"/>
    <w:rsid w:val="00B715C5"/>
    <w:rsid w:val="00B735B4"/>
    <w:rsid w:val="00B7680C"/>
    <w:rsid w:val="00B851A8"/>
    <w:rsid w:val="00B863DB"/>
    <w:rsid w:val="00B90A16"/>
    <w:rsid w:val="00B9549C"/>
    <w:rsid w:val="00BC33C4"/>
    <w:rsid w:val="00BC3AC1"/>
    <w:rsid w:val="00BD346A"/>
    <w:rsid w:val="00BD654B"/>
    <w:rsid w:val="00BF4D33"/>
    <w:rsid w:val="00BF5D29"/>
    <w:rsid w:val="00BF72EE"/>
    <w:rsid w:val="00C04D99"/>
    <w:rsid w:val="00C05EEA"/>
    <w:rsid w:val="00C41115"/>
    <w:rsid w:val="00C4698D"/>
    <w:rsid w:val="00C7112E"/>
    <w:rsid w:val="00C71E66"/>
    <w:rsid w:val="00C81177"/>
    <w:rsid w:val="00C81619"/>
    <w:rsid w:val="00C8648A"/>
    <w:rsid w:val="00C91C49"/>
    <w:rsid w:val="00CA49AE"/>
    <w:rsid w:val="00CA6772"/>
    <w:rsid w:val="00CC1999"/>
    <w:rsid w:val="00CD76D0"/>
    <w:rsid w:val="00CD772D"/>
    <w:rsid w:val="00CE2EB9"/>
    <w:rsid w:val="00CF418D"/>
    <w:rsid w:val="00CF473F"/>
    <w:rsid w:val="00D0455B"/>
    <w:rsid w:val="00D11045"/>
    <w:rsid w:val="00D160E9"/>
    <w:rsid w:val="00D17FD7"/>
    <w:rsid w:val="00D20566"/>
    <w:rsid w:val="00D26061"/>
    <w:rsid w:val="00D31CE5"/>
    <w:rsid w:val="00D40D74"/>
    <w:rsid w:val="00D4304B"/>
    <w:rsid w:val="00D52B1B"/>
    <w:rsid w:val="00D61FC4"/>
    <w:rsid w:val="00D905FB"/>
    <w:rsid w:val="00DB5520"/>
    <w:rsid w:val="00DC0C87"/>
    <w:rsid w:val="00DF07F4"/>
    <w:rsid w:val="00DF7D18"/>
    <w:rsid w:val="00E027FE"/>
    <w:rsid w:val="00E26378"/>
    <w:rsid w:val="00E26C86"/>
    <w:rsid w:val="00E3154C"/>
    <w:rsid w:val="00E3253A"/>
    <w:rsid w:val="00E34157"/>
    <w:rsid w:val="00E34C3A"/>
    <w:rsid w:val="00E40A6A"/>
    <w:rsid w:val="00E420F9"/>
    <w:rsid w:val="00E44821"/>
    <w:rsid w:val="00E44871"/>
    <w:rsid w:val="00E4628E"/>
    <w:rsid w:val="00E90D8F"/>
    <w:rsid w:val="00EB5139"/>
    <w:rsid w:val="00ED36D6"/>
    <w:rsid w:val="00ED48BD"/>
    <w:rsid w:val="00EE434B"/>
    <w:rsid w:val="00EF031B"/>
    <w:rsid w:val="00EF5713"/>
    <w:rsid w:val="00EF580D"/>
    <w:rsid w:val="00F34811"/>
    <w:rsid w:val="00F36F0F"/>
    <w:rsid w:val="00F4469B"/>
    <w:rsid w:val="00F4471F"/>
    <w:rsid w:val="00F563F9"/>
    <w:rsid w:val="00F80390"/>
    <w:rsid w:val="00F83FE4"/>
    <w:rsid w:val="00F975A9"/>
    <w:rsid w:val="00FA313A"/>
    <w:rsid w:val="00FB1404"/>
    <w:rsid w:val="00FD5F65"/>
    <w:rsid w:val="00FE7245"/>
    <w:rsid w:val="00FF60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95F5"/>
  <w15:chartTrackingRefBased/>
  <w15:docId w15:val="{D2411D59-B8DD-4A4B-8C71-ACD03FC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6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4D9"/>
    <w:rPr>
      <w:rFonts w:eastAsiaTheme="majorEastAsia" w:cstheme="majorBidi"/>
      <w:color w:val="272727" w:themeColor="text1" w:themeTint="D8"/>
    </w:rPr>
  </w:style>
  <w:style w:type="paragraph" w:styleId="Title">
    <w:name w:val="Title"/>
    <w:basedOn w:val="Normal"/>
    <w:next w:val="Normal"/>
    <w:link w:val="TitleChar"/>
    <w:uiPriority w:val="10"/>
    <w:qFormat/>
    <w:rsid w:val="003F6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4D9"/>
    <w:pPr>
      <w:spacing w:before="160"/>
      <w:jc w:val="center"/>
    </w:pPr>
    <w:rPr>
      <w:i/>
      <w:iCs/>
      <w:color w:val="404040" w:themeColor="text1" w:themeTint="BF"/>
    </w:rPr>
  </w:style>
  <w:style w:type="character" w:customStyle="1" w:styleId="QuoteChar">
    <w:name w:val="Quote Char"/>
    <w:basedOn w:val="DefaultParagraphFont"/>
    <w:link w:val="Quote"/>
    <w:uiPriority w:val="29"/>
    <w:rsid w:val="003F64D9"/>
    <w:rPr>
      <w:i/>
      <w:iCs/>
      <w:color w:val="404040" w:themeColor="text1" w:themeTint="BF"/>
    </w:rPr>
  </w:style>
  <w:style w:type="paragraph" w:styleId="ListParagraph">
    <w:name w:val="List Paragraph"/>
    <w:basedOn w:val="Normal"/>
    <w:uiPriority w:val="34"/>
    <w:qFormat/>
    <w:rsid w:val="003F64D9"/>
    <w:pPr>
      <w:ind w:left="720"/>
      <w:contextualSpacing/>
    </w:pPr>
  </w:style>
  <w:style w:type="character" w:styleId="IntenseEmphasis">
    <w:name w:val="Intense Emphasis"/>
    <w:basedOn w:val="DefaultParagraphFont"/>
    <w:uiPriority w:val="21"/>
    <w:qFormat/>
    <w:rsid w:val="003F64D9"/>
    <w:rPr>
      <w:i/>
      <w:iCs/>
      <w:color w:val="2F5496" w:themeColor="accent1" w:themeShade="BF"/>
    </w:rPr>
  </w:style>
  <w:style w:type="paragraph" w:styleId="IntenseQuote">
    <w:name w:val="Intense Quote"/>
    <w:basedOn w:val="Normal"/>
    <w:next w:val="Normal"/>
    <w:link w:val="IntenseQuoteChar"/>
    <w:uiPriority w:val="30"/>
    <w:qFormat/>
    <w:rsid w:val="003F6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4D9"/>
    <w:rPr>
      <w:i/>
      <w:iCs/>
      <w:color w:val="2F5496" w:themeColor="accent1" w:themeShade="BF"/>
    </w:rPr>
  </w:style>
  <w:style w:type="character" w:styleId="IntenseReference">
    <w:name w:val="Intense Reference"/>
    <w:basedOn w:val="DefaultParagraphFont"/>
    <w:uiPriority w:val="32"/>
    <w:qFormat/>
    <w:rsid w:val="003F64D9"/>
    <w:rPr>
      <w:b/>
      <w:bCs/>
      <w:smallCaps/>
      <w:color w:val="2F5496" w:themeColor="accent1" w:themeShade="BF"/>
      <w:spacing w:val="5"/>
    </w:rPr>
  </w:style>
  <w:style w:type="character" w:styleId="Hyperlink">
    <w:name w:val="Hyperlink"/>
    <w:basedOn w:val="DefaultParagraphFont"/>
    <w:uiPriority w:val="99"/>
    <w:unhideWhenUsed/>
    <w:rsid w:val="00872143"/>
    <w:rPr>
      <w:color w:val="0563C1" w:themeColor="hyperlink"/>
      <w:u w:val="single"/>
    </w:rPr>
  </w:style>
  <w:style w:type="character" w:customStyle="1" w:styleId="UnresolvedMention">
    <w:name w:val="Unresolved Mention"/>
    <w:basedOn w:val="DefaultParagraphFont"/>
    <w:uiPriority w:val="99"/>
    <w:semiHidden/>
    <w:unhideWhenUsed/>
    <w:rsid w:val="00872143"/>
    <w:rPr>
      <w:color w:val="605E5C"/>
      <w:shd w:val="clear" w:color="auto" w:fill="E1DFDD"/>
    </w:rPr>
  </w:style>
  <w:style w:type="paragraph" w:styleId="Header">
    <w:name w:val="header"/>
    <w:basedOn w:val="Normal"/>
    <w:link w:val="HeaderChar"/>
    <w:uiPriority w:val="99"/>
    <w:unhideWhenUsed/>
    <w:rsid w:val="006E1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BA8"/>
  </w:style>
  <w:style w:type="paragraph" w:styleId="Footer">
    <w:name w:val="footer"/>
    <w:basedOn w:val="Normal"/>
    <w:link w:val="FooterChar"/>
    <w:uiPriority w:val="99"/>
    <w:unhideWhenUsed/>
    <w:rsid w:val="006E1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BA8"/>
  </w:style>
  <w:style w:type="table" w:styleId="TableGrid">
    <w:name w:val="Table Grid"/>
    <w:basedOn w:val="TableNormal"/>
    <w:uiPriority w:val="39"/>
    <w:rsid w:val="00AB6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910FC"/>
    <w:pPr>
      <w:widowControl w:val="0"/>
      <w:autoSpaceDE w:val="0"/>
      <w:autoSpaceDN w:val="0"/>
      <w:spacing w:before="25" w:after="0" w:line="240" w:lineRule="auto"/>
      <w:jc w:val="center"/>
    </w:pPr>
    <w:rPr>
      <w:rFonts w:ascii="Times New Roman" w:eastAsia="Times New Roman" w:hAnsi="Times New Roman" w:cs="Times New Roman"/>
      <w:kern w:val="0"/>
      <w:lang w:val="id"/>
      <w14:ligatures w14:val="none"/>
    </w:rPr>
  </w:style>
  <w:style w:type="paragraph" w:styleId="BodyText">
    <w:name w:val="Body Text"/>
    <w:basedOn w:val="Normal"/>
    <w:link w:val="BodyTextChar"/>
    <w:uiPriority w:val="1"/>
    <w:qFormat/>
    <w:rsid w:val="00BF4D33"/>
    <w:pPr>
      <w:widowControl w:val="0"/>
      <w:autoSpaceDE w:val="0"/>
      <w:autoSpaceDN w:val="0"/>
      <w:spacing w:after="0" w:line="240" w:lineRule="auto"/>
      <w:ind w:left="307"/>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BF4D33"/>
    <w:rPr>
      <w:rFonts w:ascii="Times New Roman" w:eastAsia="Times New Roman" w:hAnsi="Times New Roman" w:cs="Times New Roman"/>
      <w:kern w:val="0"/>
      <w:lang w:val="id"/>
      <w14:ligatures w14:val="none"/>
    </w:rPr>
  </w:style>
  <w:style w:type="paragraph" w:styleId="Bibliography">
    <w:name w:val="Bibliography"/>
    <w:basedOn w:val="Normal"/>
    <w:next w:val="Normal"/>
    <w:uiPriority w:val="37"/>
    <w:unhideWhenUsed/>
    <w:rsid w:val="00A138CC"/>
    <w:pPr>
      <w:spacing w:after="0" w:line="480" w:lineRule="auto"/>
      <w:ind w:left="720" w:hanging="720"/>
    </w:pPr>
  </w:style>
  <w:style w:type="character" w:styleId="PlaceholderText">
    <w:name w:val="Placeholder Text"/>
    <w:basedOn w:val="DefaultParagraphFont"/>
    <w:uiPriority w:val="99"/>
    <w:semiHidden/>
    <w:rsid w:val="00FB14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eko@uinsatu.ac.id" TargetMode="External"/><Relationship Id="rId13" Type="http://schemas.openxmlformats.org/officeDocument/2006/relationships/hyperlink" Target="https://doi.org/10.61722/jaem.v2i4.7886" TargetMode="External"/><Relationship Id="rId18" Type="http://schemas.openxmlformats.org/officeDocument/2006/relationships/hyperlink" Target="https://doi.org/10.31004/irje.v4i2.6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367/tribakti.v34i1.2888" TargetMode="External"/><Relationship Id="rId17" Type="http://schemas.openxmlformats.org/officeDocument/2006/relationships/hyperlink" Target="https://doi.org/10.47700/jiefes.v4i2.8034" TargetMode="External"/><Relationship Id="rId2" Type="http://schemas.openxmlformats.org/officeDocument/2006/relationships/numbering" Target="numbering.xml"/><Relationship Id="rId16" Type="http://schemas.openxmlformats.org/officeDocument/2006/relationships/hyperlink" Target="https://doi.org/10.1007/978-981-96-0051-9" TargetMode="External"/><Relationship Id="rId20" Type="http://schemas.openxmlformats.org/officeDocument/2006/relationships/hyperlink" Target="https://doi.org/10.29103/e-mabis.v24i2.10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7509/jrak.v11i1.46748" TargetMode="External"/><Relationship Id="rId10" Type="http://schemas.openxmlformats.org/officeDocument/2006/relationships/image" Target="media/image1.png"/><Relationship Id="rId19" Type="http://schemas.openxmlformats.org/officeDocument/2006/relationships/hyperlink" Target="https://doi.org/10.57235/mantap.v2i2.334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0473/vol7iss20203pp499-5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45B2-C5EE-4B22-B17C-1FE17C07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8292</Words>
  <Characters>47269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kurniatama17@outlook.com</dc:creator>
  <cp:keywords/>
  <dc:description/>
  <cp:lastModifiedBy>Lenovo</cp:lastModifiedBy>
  <cp:revision>3</cp:revision>
  <cp:lastPrinted>2026-06-05T12:39:00Z</cp:lastPrinted>
  <dcterms:created xsi:type="dcterms:W3CDTF">2026-06-16T14:30:00Z</dcterms:created>
  <dcterms:modified xsi:type="dcterms:W3CDTF">2026-06-16T14:34:00Z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id="2AXIcmPX"/&gt;&lt;style id="http://www.zotero.org/styles/apa" locale="en-US" hasBibliography="1" bibliographyStyleHasBeenSet="1"/&gt;&lt;prefs&gt;&lt;pref name="fieldType" value="Field"/&gt;&lt;/prefs&gt;&lt;/data&gt;</vt:lpwstr>
  </property>
</Properties>
</file>