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064" w:rsidRDefault="00171064" w:rsidP="002413E2">
      <w:pPr>
        <w:spacing w:after="0" w:line="240" w:lineRule="auto"/>
        <w:jc w:val="center"/>
        <w:rPr>
          <w:rFonts w:ascii="Times New Roman" w:hAnsi="Times New Roman" w:cs="Times New Roman"/>
          <w:b/>
          <w:bCs/>
          <w:sz w:val="24"/>
          <w:szCs w:val="24"/>
          <w:lang w:val="en-PH"/>
        </w:rPr>
      </w:pPr>
      <w:bookmarkStart w:id="0" w:name="_Hlk230017616"/>
    </w:p>
    <w:p w:rsidR="00F274CE" w:rsidRPr="00290A65" w:rsidRDefault="00F274CE" w:rsidP="002413E2">
      <w:pPr>
        <w:spacing w:after="0" w:line="240" w:lineRule="auto"/>
        <w:jc w:val="center"/>
        <w:rPr>
          <w:rFonts w:ascii="Times New Roman" w:hAnsi="Times New Roman" w:cs="Times New Roman"/>
          <w:b/>
          <w:bCs/>
          <w:sz w:val="24"/>
          <w:szCs w:val="24"/>
          <w:lang w:val="en-PH"/>
        </w:rPr>
      </w:pPr>
      <w:r w:rsidRPr="00290A65">
        <w:rPr>
          <w:rFonts w:ascii="Times New Roman" w:hAnsi="Times New Roman" w:cs="Times New Roman"/>
          <w:b/>
          <w:bCs/>
          <w:noProof/>
          <w:sz w:val="24"/>
          <w:szCs w:val="24"/>
          <w:lang w:val="en-PH"/>
        </w:rPr>
        <mc:AlternateContent>
          <mc:Choice Requires="wps">
            <w:drawing>
              <wp:anchor distT="0" distB="0" distL="114300" distR="114300" simplePos="0" relativeHeight="251659264" behindDoc="0" locked="0" layoutInCell="1" allowOverlap="1" wp14:anchorId="16CDA01B" wp14:editId="6983F0F7">
                <wp:simplePos x="0" y="0"/>
                <wp:positionH relativeFrom="column">
                  <wp:posOffset>6082665</wp:posOffset>
                </wp:positionH>
                <wp:positionV relativeFrom="paragraph">
                  <wp:posOffset>-821690</wp:posOffset>
                </wp:positionV>
                <wp:extent cx="184150" cy="298450"/>
                <wp:effectExtent l="0" t="0" r="6350" b="6350"/>
                <wp:wrapNone/>
                <wp:docPr id="10" name="Rectangle 10"/>
                <wp:cNvGraphicFramePr/>
                <a:graphic xmlns:a="http://schemas.openxmlformats.org/drawingml/2006/main">
                  <a:graphicData uri="http://schemas.microsoft.com/office/word/2010/wordprocessingShape">
                    <wps:wsp>
                      <wps:cNvSpPr/>
                      <wps:spPr>
                        <a:xfrm>
                          <a:off x="0" y="0"/>
                          <a:ext cx="184150" cy="2984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79A83" id="Rectangle 10" o:spid="_x0000_s1026" style="position:absolute;margin-left:478.95pt;margin-top:-64.7pt;width:14.5pt;height: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" fillcolor="white [3201]" stroked="f" strokeweight="1pt"/>
            </w:pict>
          </mc:Fallback>
        </mc:AlternateContent>
      </w:r>
      <w:r w:rsidRPr="00290A65">
        <w:rPr>
          <w:rFonts w:ascii="Times New Roman" w:hAnsi="Times New Roman" w:cs="Times New Roman"/>
          <w:b/>
          <w:bCs/>
          <w:sz w:val="24"/>
          <w:szCs w:val="24"/>
          <w:lang w:val="en-PH"/>
        </w:rPr>
        <w:t>WORKPLACE COMPETENCIES AND FACULTY INDUSTRY EXPOSURE IN SELECTED HIGHER EDUCATION INSTITUTIONS (HEIs)</w:t>
      </w:r>
    </w:p>
    <w:p w:rsidR="00F274CE" w:rsidRPr="00290A65" w:rsidRDefault="00F274CE" w:rsidP="002413E2">
      <w:pPr>
        <w:spacing w:after="0" w:line="240" w:lineRule="auto"/>
        <w:jc w:val="center"/>
        <w:rPr>
          <w:rFonts w:ascii="Times New Roman" w:hAnsi="Times New Roman" w:cs="Times New Roman"/>
          <w:b/>
          <w:bCs/>
          <w:sz w:val="24"/>
          <w:szCs w:val="24"/>
          <w:lang w:val="en-PH"/>
        </w:rPr>
      </w:pPr>
      <w:r w:rsidRPr="00290A65">
        <w:rPr>
          <w:rFonts w:ascii="Times New Roman" w:hAnsi="Times New Roman" w:cs="Times New Roman"/>
          <w:b/>
          <w:bCs/>
          <w:sz w:val="24"/>
          <w:szCs w:val="24"/>
          <w:lang w:val="en-PH"/>
        </w:rPr>
        <w:t/>
      </w:r>
      <w:r w:rsidR="00BE5E1B">
        <w:rPr>
          <w:rFonts w:ascii="Times New Roman" w:hAnsi="Times New Roman" w:cs="Times New Roman"/>
          <w:b/>
          <w:bCs/>
          <w:sz w:val="24"/>
          <w:szCs w:val="24"/>
          <w:lang w:val="en-PH"/>
        </w:rPr>
        <w:t xml:space="preserve"/>
      </w:r>
      <w:r w:rsidRPr="00290A65">
        <w:rPr>
          <w:rFonts w:ascii="Times New Roman" w:hAnsi="Times New Roman" w:cs="Times New Roman"/>
          <w:b/>
          <w:bCs/>
          <w:sz w:val="24"/>
          <w:szCs w:val="24"/>
          <w:lang w:val="en-PH"/>
        </w:rPr>
        <w:t/>
      </w:r>
    </w:p>
    <w:p w:rsidR="00F274CE" w:rsidRPr="00290A65" w:rsidRDefault="00F274CE" w:rsidP="002413E2">
      <w:pPr>
        <w:spacing w:after="0" w:line="240" w:lineRule="auto"/>
        <w:jc w:val="center"/>
        <w:rPr>
          <w:rFonts w:ascii="Times New Roman" w:hAnsi="Times New Roman" w:cs="Times New Roman"/>
          <w:b/>
          <w:bCs/>
          <w:sz w:val="24"/>
          <w:szCs w:val="24"/>
          <w:lang w:val="en-PH"/>
        </w:rPr>
      </w:pPr>
      <w:r w:rsidRPr="00290A65">
        <w:rPr>
          <w:rFonts w:ascii="Times New Roman" w:hAnsi="Times New Roman" w:cs="Times New Roman"/>
          <w:b/>
          <w:bCs/>
          <w:sz w:val="24"/>
          <w:szCs w:val="24"/>
          <w:lang w:val="en-PH"/>
        </w:rPr>
        <w:t/>
      </w:r>
    </w:p>
    <w:bookmarkEnd w:id="0"/>
    <w:p w:rsidR="005846BC" w:rsidRDefault="00F274CE" w:rsidP="002413E2">
      <w:pPr>
        <w:spacing w:after="0" w:line="240" w:lineRule="auto"/>
        <w:jc w:val="both"/>
        <w:rPr>
          <w:rFonts w:ascii="Times New Roman" w:hAnsi="Times New Roman" w:cs="Times New Roman"/>
          <w:b/>
          <w:bCs/>
          <w:sz w:val="24"/>
          <w:szCs w:val="24"/>
        </w:rPr>
      </w:pPr>
      <w:r w:rsidRPr="00E65666">
        <w:rPr>
          <w:rFonts w:ascii="Times New Roman" w:hAnsi="Times New Roman" w:cs="Times New Roman"/>
          <w:b/>
          <w:bCs/>
          <w:sz w:val="24"/>
          <w:szCs w:val="24"/>
        </w:rPr>
        <w:t>Abstract</w:t>
      </w:r>
    </w:p>
    <w:p w:rsidR="00BE032C" w:rsidRPr="00E65666" w:rsidRDefault="00BE032C" w:rsidP="002413E2">
      <w:pPr>
        <w:spacing w:after="0" w:line="240" w:lineRule="auto"/>
        <w:jc w:val="both"/>
        <w:rPr>
          <w:rFonts w:ascii="Times New Roman" w:hAnsi="Times New Roman" w:cs="Times New Roman"/>
          <w:b/>
          <w:bCs/>
          <w:sz w:val="24"/>
          <w:szCs w:val="24"/>
        </w:rPr>
      </w:pPr>
    </w:p>
    <w:p w:rsidR="00136446" w:rsidRDefault="005846BC" w:rsidP="002413E2">
      <w:pPr>
        <w:spacing w:after="0" w:line="240" w:lineRule="auto"/>
        <w:jc w:val="both"/>
        <w:rPr>
          <w:rFonts w:ascii="Times New Roman" w:hAnsi="Times New Roman" w:cs="Times New Roman"/>
          <w:sz w:val="24"/>
          <w:szCs w:val="24"/>
        </w:rPr>
      </w:pPr>
      <w:r w:rsidRPr="00E65666">
        <w:rPr>
          <w:rFonts w:ascii="Times New Roman" w:hAnsi="Times New Roman" w:cs="Times New Roman"/>
          <w:sz w:val="24"/>
          <w:szCs w:val="24"/>
        </w:rPr>
        <w:t xml:space="preserve">  </w:t>
      </w:r>
      <w:r w:rsidR="00136446" w:rsidRPr="00E65666">
        <w:rPr>
          <w:rFonts w:ascii="Times New Roman" w:hAnsi="Times New Roman" w:cs="Times New Roman"/>
          <w:sz w:val="24"/>
          <w:szCs w:val="24"/>
        </w:rPr>
        <w:tab/>
      </w:r>
      <w:r w:rsidR="00F274CE" w:rsidRPr="00E65666">
        <w:rPr>
          <w:rFonts w:ascii="Times New Roman" w:hAnsi="Times New Roman" w:cs="Times New Roman"/>
          <w:sz w:val="24"/>
          <w:szCs w:val="24"/>
        </w:rPr>
        <w:t xml:space="preserve">Higher education institutions (HEIs) are increasingly expected to produce graduates equipped with competencies that meet evolving industry requirements. This expectation places significant responsibility on faculty members to continuously develop workplace competencies while maintaining meaningful engagement with industry. Faculty members who possess current industry experience are better positioned to integrate authentic workplace practices into instruction, thereby improving curriculum relevance, instructional quality, and graduate employability. </w:t>
      </w:r>
    </w:p>
    <w:p w:rsidR="00BE032C" w:rsidRPr="00E65666" w:rsidRDefault="00BE032C" w:rsidP="002413E2">
      <w:pPr>
        <w:spacing w:after="0" w:line="240" w:lineRule="auto"/>
        <w:jc w:val="both"/>
        <w:rPr>
          <w:rFonts w:ascii="Times New Roman" w:hAnsi="Times New Roman" w:cs="Times New Roman"/>
          <w:sz w:val="24"/>
          <w:szCs w:val="24"/>
        </w:rPr>
      </w:pPr>
    </w:p>
    <w:p w:rsidR="00E65666" w:rsidRDefault="00F274CE"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This study examined the workplace competencies and faculty industry exposure among selected Higher Education Institutions in Pasay City and proposed an Institutional Sustainability Program based on the findings. A quantitative descriptive-correlational research design was employed involving 56 respondents composed of academic heads, program heads, faculty members, and industry partners. Data were collected using a validated researcher-developed questionnaire and analyzed using descriptive statistics and Pearson Product-Moment Correlation. </w:t>
      </w:r>
    </w:p>
    <w:p w:rsidR="00BE032C" w:rsidRDefault="00BE032C" w:rsidP="002413E2">
      <w:pPr>
        <w:spacing w:after="0" w:line="240" w:lineRule="auto"/>
        <w:ind w:firstLine="720"/>
        <w:jc w:val="both"/>
        <w:rPr>
          <w:rFonts w:ascii="Times New Roman" w:hAnsi="Times New Roman" w:cs="Times New Roman"/>
          <w:sz w:val="24"/>
          <w:szCs w:val="24"/>
        </w:rPr>
      </w:pPr>
    </w:p>
    <w:p w:rsidR="00136446" w:rsidRDefault="00F274CE"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Results revealed that faculty members demonstrated high levels of workplace competencies across technical skills, transversal knowledge, socio-relational competencies, competency management, teamwork and collaboration, professionalism, technology utilization, problem-solving, customer service, and time management. Faculty industry exposure was likewise assessed at a high level, particularly in terms of industry networking, instructional integration, and institutional support. Correlation analysis further established significant positive relationships between faculty industry exposure and workplace competencies, indicating that continuous industry engagement contributes to improved instructional capability and curriculum responsiveness.</w:t>
      </w:r>
    </w:p>
    <w:p w:rsidR="00BE032C" w:rsidRPr="00E65666" w:rsidRDefault="00BE032C" w:rsidP="002413E2">
      <w:pPr>
        <w:spacing w:after="0" w:line="240" w:lineRule="auto"/>
        <w:ind w:firstLine="720"/>
        <w:jc w:val="both"/>
        <w:rPr>
          <w:rFonts w:ascii="Times New Roman" w:hAnsi="Times New Roman" w:cs="Times New Roman"/>
          <w:sz w:val="24"/>
          <w:szCs w:val="24"/>
        </w:rPr>
      </w:pPr>
    </w:p>
    <w:p w:rsidR="00F274CE" w:rsidRPr="00E65666" w:rsidRDefault="00F274CE" w:rsidP="002413E2">
      <w:pPr>
        <w:spacing w:after="0" w:line="240" w:lineRule="auto"/>
        <w:ind w:firstLine="720"/>
        <w:jc w:val="both"/>
        <w:rPr>
          <w:rFonts w:ascii="Times New Roman" w:hAnsi="Times New Roman" w:cs="Times New Roman"/>
          <w:b/>
          <w:bCs/>
          <w:sz w:val="24"/>
          <w:szCs w:val="24"/>
        </w:rPr>
      </w:pPr>
      <w:r w:rsidRPr="00E65666">
        <w:rPr>
          <w:rFonts w:ascii="Times New Roman" w:hAnsi="Times New Roman" w:cs="Times New Roman"/>
          <w:sz w:val="24"/>
          <w:szCs w:val="24"/>
        </w:rPr>
        <w:t xml:space="preserve"> The findings underscore the importance of strengthening industry-academe partnerships through structured faculty immersion, professional development, and institutional collaboration. Based on the findings, an Institutional Sustainability Program is proposed to enhance faculty competencies, promote continuous professional learning, strengthen institutional partnerships, and improve educational quality in higher education institutions.</w:t>
      </w:r>
    </w:p>
    <w:p w:rsidR="00F274CE" w:rsidRPr="00F274CE" w:rsidRDefault="00F274CE" w:rsidP="002413E2">
      <w:pPr>
        <w:pStyle w:val="pdq2pgselectionanchorcontainer"/>
      </w:pPr>
      <w:r w:rsidRPr="00F274CE">
        <w:rPr>
          <w:b/>
          <w:bCs/>
        </w:rPr>
        <w:t>Keywords:</w:t>
      </w:r>
      <w:r w:rsidRPr="00F274CE">
        <w:t xml:space="preserve"> workplace competencies, faculty industry exposure, higher education institutions, industry-academe partnership, institutional sustainability</w:t>
      </w:r>
    </w:p>
    <w:p w:rsidR="00F274CE" w:rsidRPr="003A049F" w:rsidRDefault="00F274CE" w:rsidP="002413E2">
      <w:pPr>
        <w:spacing w:after="0" w:line="240" w:lineRule="auto"/>
        <w:jc w:val="both"/>
        <w:rPr>
          <w:rFonts w:ascii="Times New Roman" w:hAnsi="Times New Roman" w:cs="Times New Roman"/>
          <w:b/>
          <w:bCs/>
          <w:sz w:val="28"/>
          <w:szCs w:val="28"/>
        </w:rPr>
      </w:pPr>
      <w:r w:rsidRPr="003A049F">
        <w:rPr>
          <w:rFonts w:ascii="Times New Roman" w:hAnsi="Times New Roman" w:cs="Times New Roman"/>
          <w:b/>
          <w:bCs/>
          <w:sz w:val="28"/>
          <w:szCs w:val="28"/>
        </w:rPr>
        <w:t>Introduction</w:t>
      </w:r>
    </w:p>
    <w:p w:rsidR="00BE032C" w:rsidRPr="00E65666" w:rsidRDefault="00BE032C" w:rsidP="002413E2">
      <w:pPr>
        <w:spacing w:after="0" w:line="240" w:lineRule="auto"/>
        <w:jc w:val="both"/>
        <w:rPr>
          <w:rFonts w:ascii="Times New Roman" w:hAnsi="Times New Roman" w:cs="Times New Roman"/>
          <w:b/>
          <w:bCs/>
          <w:sz w:val="24"/>
          <w:szCs w:val="24"/>
        </w:rPr>
      </w:pPr>
    </w:p>
    <w:p w:rsidR="00C220D4" w:rsidRDefault="00C220D4" w:rsidP="002413E2">
      <w:pPr>
        <w:spacing w:after="0" w:line="240" w:lineRule="auto"/>
        <w:ind w:right="40" w:firstLine="720"/>
        <w:jc w:val="both"/>
        <w:rPr>
          <w:rFonts w:ascii="Times New Roman" w:hAnsi="Times New Roman" w:cs="Times New Roman"/>
          <w:sz w:val="24"/>
          <w:szCs w:val="24"/>
        </w:rPr>
      </w:pPr>
      <w:r w:rsidRPr="00C220D4">
        <w:rPr>
          <w:rFonts w:ascii="Times New Roman" w:hAnsi="Times New Roman" w:cs="Times New Roman"/>
          <w:sz w:val="24"/>
          <w:szCs w:val="24"/>
        </w:rPr>
        <w:t xml:space="preserve">Higher education plays a critical role in preparing graduates who possess the knowledge, skills, and professional competencies required in today's rapidly changing workplace. As industries continue to evolve because of globalization, technological innovation, and shifting workforce expectations, Higher Education Institutions (HEIs) are expected to produce graduates who can adapt to complex work environments and contribute effectively to organizational success. Beyond academic knowledge, employers increasingly value workplace competencies such as communication, teamwork, critical thinking, problem-solving, adaptability, professionalism, and digital literacy, which have become essential for long-term career development. </w:t>
      </w:r>
    </w:p>
    <w:p w:rsidR="00BE032C" w:rsidRPr="00C220D4" w:rsidRDefault="00BE032C" w:rsidP="002413E2">
      <w:pPr>
        <w:spacing w:after="0" w:line="240" w:lineRule="auto"/>
        <w:ind w:right="40" w:firstLine="720"/>
        <w:jc w:val="both"/>
        <w:rPr>
          <w:rFonts w:ascii="Times New Roman" w:hAnsi="Times New Roman" w:cs="Times New Roman"/>
          <w:sz w:val="24"/>
          <w:szCs w:val="24"/>
        </w:rPr>
      </w:pPr>
    </w:p>
    <w:p w:rsidR="00C220D4" w:rsidRDefault="00C220D4" w:rsidP="002413E2">
      <w:pPr>
        <w:spacing w:after="0" w:line="240" w:lineRule="auto"/>
        <w:ind w:right="40" w:firstLine="720"/>
        <w:jc w:val="both"/>
        <w:rPr>
          <w:rFonts w:ascii="Times New Roman" w:hAnsi="Times New Roman" w:cs="Times New Roman"/>
          <w:sz w:val="24"/>
          <w:szCs w:val="24"/>
        </w:rPr>
      </w:pPr>
      <w:r w:rsidRPr="00C220D4">
        <w:rPr>
          <w:rFonts w:ascii="Times New Roman" w:hAnsi="Times New Roman" w:cs="Times New Roman"/>
          <w:sz w:val="24"/>
          <w:szCs w:val="24"/>
        </w:rPr>
        <w:t xml:space="preserve">Recognizing these demands, HEIs continuously strengthen their academic programs through curriculum enhancement, innovative teaching strategies, and faculty development initiatives. In the Philippines, the implementation of Outcomes-Based Education (OBE) under the Commission on Higher Education (CHED) Memorandum Order No. 46, series of 2012, reinforces the need to align higher education with national development priorities and global industry standards. This policy encourages institutions to establish stronger </w:t>
      </w:r>
      <w:r w:rsidRPr="00C220D4">
        <w:rPr>
          <w:rFonts w:ascii="Times New Roman" w:hAnsi="Times New Roman" w:cs="Times New Roman"/>
          <w:sz w:val="24"/>
          <w:szCs w:val="24"/>
        </w:rPr>
        <w:lastRenderedPageBreak/>
        <w:t>partnerships with industry to ensure that graduates acquire competencies that remain relevant to the needs of employers and the changing labor market.</w:t>
      </w:r>
    </w:p>
    <w:p w:rsidR="00BE032C" w:rsidRPr="00C220D4" w:rsidRDefault="00BE032C" w:rsidP="002413E2">
      <w:pPr>
        <w:spacing w:after="0" w:line="240" w:lineRule="auto"/>
        <w:ind w:right="40" w:firstLine="720"/>
        <w:jc w:val="both"/>
        <w:rPr>
          <w:rFonts w:ascii="Times New Roman" w:hAnsi="Times New Roman" w:cs="Times New Roman"/>
          <w:sz w:val="24"/>
          <w:szCs w:val="24"/>
        </w:rPr>
      </w:pPr>
    </w:p>
    <w:p w:rsidR="00C220D4" w:rsidRDefault="00C220D4" w:rsidP="002413E2">
      <w:pPr>
        <w:spacing w:after="0" w:line="240" w:lineRule="auto"/>
        <w:ind w:right="40"/>
        <w:jc w:val="both"/>
        <w:rPr>
          <w:rFonts w:ascii="Times New Roman" w:hAnsi="Times New Roman" w:cs="Times New Roman"/>
          <w:sz w:val="24"/>
          <w:szCs w:val="24"/>
        </w:rPr>
      </w:pPr>
      <w:r w:rsidRPr="00C220D4">
        <w:rPr>
          <w:rFonts w:ascii="Times New Roman" w:hAnsi="Times New Roman" w:cs="Times New Roman"/>
          <w:sz w:val="24"/>
          <w:szCs w:val="24"/>
        </w:rPr>
        <w:t xml:space="preserve"> </w:t>
      </w:r>
      <w:r w:rsidR="00E65666">
        <w:rPr>
          <w:rFonts w:ascii="Times New Roman" w:hAnsi="Times New Roman" w:cs="Times New Roman"/>
          <w:sz w:val="24"/>
          <w:szCs w:val="24"/>
        </w:rPr>
        <w:tab/>
      </w:r>
      <w:r w:rsidRPr="00C220D4">
        <w:rPr>
          <w:rFonts w:ascii="Times New Roman" w:hAnsi="Times New Roman" w:cs="Times New Roman"/>
          <w:sz w:val="24"/>
          <w:szCs w:val="24"/>
        </w:rPr>
        <w:t xml:space="preserve">Faculty members are central to achieving these educational goals. While academic qualifications provide the foundation for effective teaching, industry exposure enables educators to connect theoretical concepts with current professional practice. Participation in industry immersion, consultancy, professional training, seminars, collaborative projects, and other forms of workplace engagement allows faculty members to update their knowledge, strengthen technical expertise, and gain practical insights that enrich classroom instruction. Such experiences help educators integrate authentic workplace situations into the learning process, making instruction more relevant and responsive to industry expectations. </w:t>
      </w:r>
    </w:p>
    <w:p w:rsidR="00BE032C" w:rsidRPr="00C220D4" w:rsidRDefault="00BE032C" w:rsidP="002413E2">
      <w:pPr>
        <w:spacing w:after="0" w:line="240" w:lineRule="auto"/>
        <w:ind w:right="40"/>
        <w:jc w:val="both"/>
        <w:rPr>
          <w:rFonts w:ascii="Times New Roman" w:hAnsi="Times New Roman" w:cs="Times New Roman"/>
          <w:sz w:val="24"/>
          <w:szCs w:val="24"/>
        </w:rPr>
      </w:pPr>
    </w:p>
    <w:p w:rsidR="00C220D4" w:rsidRDefault="00C220D4" w:rsidP="002413E2">
      <w:pPr>
        <w:spacing w:after="0" w:line="240" w:lineRule="auto"/>
        <w:ind w:right="40" w:firstLine="720"/>
        <w:jc w:val="both"/>
        <w:rPr>
          <w:rFonts w:ascii="Times New Roman" w:hAnsi="Times New Roman" w:cs="Times New Roman"/>
          <w:sz w:val="24"/>
          <w:szCs w:val="24"/>
        </w:rPr>
      </w:pPr>
      <w:r w:rsidRPr="00C220D4">
        <w:rPr>
          <w:rFonts w:ascii="Times New Roman" w:hAnsi="Times New Roman" w:cs="Times New Roman"/>
          <w:sz w:val="24"/>
          <w:szCs w:val="24"/>
        </w:rPr>
        <w:t>Previous studies have emphasized that meaningful industry engagement contributes to the continuous development of faculty competencies and enhances the quality of teaching and learning. Faculty members with industry experience are better equipped to promote critical thinking, collaboration, communication, technological competence, and problem-solving among students. Strong partnerships between academic institutions and industry also support curriculum improvement, increase graduate employability, and foster innovation within higher education.</w:t>
      </w:r>
    </w:p>
    <w:p w:rsidR="00BE032C" w:rsidRPr="00C220D4" w:rsidRDefault="00BE032C" w:rsidP="002413E2">
      <w:pPr>
        <w:spacing w:after="0" w:line="240" w:lineRule="auto"/>
        <w:ind w:right="40" w:firstLine="720"/>
        <w:jc w:val="both"/>
        <w:rPr>
          <w:rFonts w:ascii="Times New Roman" w:hAnsi="Times New Roman" w:cs="Times New Roman"/>
          <w:sz w:val="24"/>
          <w:szCs w:val="24"/>
        </w:rPr>
      </w:pPr>
    </w:p>
    <w:p w:rsidR="00C220D4" w:rsidRDefault="00C220D4" w:rsidP="002413E2">
      <w:pPr>
        <w:spacing w:after="0" w:line="240" w:lineRule="auto"/>
        <w:ind w:right="40"/>
        <w:jc w:val="both"/>
        <w:rPr>
          <w:rFonts w:ascii="Times New Roman" w:hAnsi="Times New Roman" w:cs="Times New Roman"/>
          <w:sz w:val="24"/>
          <w:szCs w:val="24"/>
        </w:rPr>
      </w:pPr>
      <w:r w:rsidRPr="00C220D4">
        <w:rPr>
          <w:rFonts w:ascii="Times New Roman" w:hAnsi="Times New Roman" w:cs="Times New Roman"/>
          <w:sz w:val="24"/>
          <w:szCs w:val="24"/>
        </w:rPr>
        <w:t xml:space="preserve"> </w:t>
      </w:r>
      <w:r w:rsidR="00E65666">
        <w:rPr>
          <w:rFonts w:ascii="Times New Roman" w:hAnsi="Times New Roman" w:cs="Times New Roman"/>
          <w:sz w:val="24"/>
          <w:szCs w:val="24"/>
        </w:rPr>
        <w:tab/>
      </w:r>
      <w:r w:rsidRPr="00C220D4">
        <w:rPr>
          <w:rFonts w:ascii="Times New Roman" w:hAnsi="Times New Roman" w:cs="Times New Roman"/>
          <w:sz w:val="24"/>
          <w:szCs w:val="24"/>
        </w:rPr>
        <w:t xml:space="preserve">Despite these recognized benefits, many HEIs continue to encounter challenges in sustaining effective industry-academe collaboration. Limited institutional support, competing teaching responsibilities, financial constraints, and insufficient opportunities for faculty immersion may restrict professional growth and reduce opportunities to acquire current industry experience. These challenges may contribute to a mismatch between classroom instruction and the competencies expected in contemporary workplaces, highlighting the need for more sustainable faculty development initiatives (Cadiz et al., 2025). </w:t>
      </w:r>
    </w:p>
    <w:p w:rsidR="00BE032C" w:rsidRPr="00C220D4" w:rsidRDefault="00BE032C" w:rsidP="002413E2">
      <w:pPr>
        <w:spacing w:after="0" w:line="240" w:lineRule="auto"/>
        <w:ind w:right="40"/>
        <w:jc w:val="both"/>
        <w:rPr>
          <w:rFonts w:ascii="Times New Roman" w:hAnsi="Times New Roman" w:cs="Times New Roman"/>
          <w:sz w:val="24"/>
          <w:szCs w:val="24"/>
        </w:rPr>
      </w:pPr>
    </w:p>
    <w:p w:rsidR="00C220D4" w:rsidRDefault="00C220D4" w:rsidP="002413E2">
      <w:pPr>
        <w:spacing w:after="0" w:line="240" w:lineRule="auto"/>
        <w:ind w:right="40" w:firstLine="720"/>
        <w:jc w:val="both"/>
        <w:rPr>
          <w:rFonts w:ascii="Times New Roman" w:hAnsi="Times New Roman" w:cs="Times New Roman"/>
          <w:sz w:val="24"/>
          <w:szCs w:val="24"/>
        </w:rPr>
      </w:pPr>
      <w:r w:rsidRPr="00C220D4">
        <w:rPr>
          <w:rFonts w:ascii="Times New Roman" w:hAnsi="Times New Roman" w:cs="Times New Roman"/>
          <w:sz w:val="24"/>
          <w:szCs w:val="24"/>
        </w:rPr>
        <w:t xml:space="preserve">Although previous research has examined workplace competencies, faculty development, and industry engagement independently, limited empirical evidence has explored the relationship between workplace competencies and faculty industry exposure among Higher Education Institutions in Pasay City. Understanding this relationship is important because faculty members serve as the link between academic preparation and professional practice. Examining how industry exposure contributes to workplace competencies may provide valuable insights for strengthening faculty development policies, enhancing instructional effectiveness, and reinforcing industry-academe partnerships. </w:t>
      </w:r>
    </w:p>
    <w:p w:rsidR="00BE032C" w:rsidRPr="00C220D4" w:rsidRDefault="00BE032C" w:rsidP="002413E2">
      <w:pPr>
        <w:spacing w:after="0" w:line="240" w:lineRule="auto"/>
        <w:ind w:right="40" w:firstLine="720"/>
        <w:jc w:val="both"/>
        <w:rPr>
          <w:rFonts w:ascii="Times New Roman" w:hAnsi="Times New Roman" w:cs="Times New Roman"/>
          <w:sz w:val="24"/>
          <w:szCs w:val="24"/>
        </w:rPr>
      </w:pPr>
    </w:p>
    <w:p w:rsidR="00C220D4" w:rsidRDefault="00C220D4" w:rsidP="002413E2">
      <w:pPr>
        <w:spacing w:after="0" w:line="240" w:lineRule="auto"/>
        <w:ind w:right="40" w:firstLine="720"/>
        <w:jc w:val="both"/>
        <w:rPr>
          <w:rFonts w:ascii="Times New Roman" w:hAnsi="Times New Roman" w:cs="Times New Roman"/>
          <w:sz w:val="24"/>
          <w:szCs w:val="24"/>
        </w:rPr>
      </w:pPr>
      <w:r w:rsidRPr="00C220D4">
        <w:rPr>
          <w:rFonts w:ascii="Times New Roman" w:hAnsi="Times New Roman" w:cs="Times New Roman"/>
          <w:sz w:val="24"/>
          <w:szCs w:val="24"/>
        </w:rPr>
        <w:t xml:space="preserve">Against this </w:t>
      </w:r>
      <w:r w:rsidR="00604318" w:rsidRPr="00C220D4">
        <w:rPr>
          <w:rFonts w:ascii="Times New Roman" w:hAnsi="Times New Roman" w:cs="Times New Roman"/>
          <w:sz w:val="24"/>
          <w:szCs w:val="24"/>
        </w:rPr>
        <w:t>background</w:t>
      </w:r>
      <w:r w:rsidRPr="00C220D4">
        <w:rPr>
          <w:rFonts w:ascii="Times New Roman" w:hAnsi="Times New Roman" w:cs="Times New Roman"/>
          <w:sz w:val="24"/>
          <w:szCs w:val="24"/>
        </w:rPr>
        <w:t xml:space="preserve">, the present study examined workplace competencies and faculty industry exposure among faculty members in selected Higher Education Institutions in Pasay City. Specifically, it assessed workplace competencies across technical skills, transversal knowledge, socio-relational competence, competency management, teamwork, cultural awareness, multitasking, technology competence, problem-solving, and customer service skills. It also evaluated faculty industry exposure, identified the challenges encountered by faculty members, and developed an Institutional Sustainability Program to support continuous faculty development and strengthen collaboration between higher education institutions and industry. </w:t>
      </w:r>
    </w:p>
    <w:p w:rsidR="00BE032C" w:rsidRPr="00C220D4" w:rsidRDefault="00BE032C" w:rsidP="002413E2">
      <w:pPr>
        <w:spacing w:after="0" w:line="240" w:lineRule="auto"/>
        <w:ind w:right="40" w:firstLine="720"/>
        <w:jc w:val="both"/>
        <w:rPr>
          <w:rFonts w:ascii="Times New Roman" w:hAnsi="Times New Roman" w:cs="Times New Roman"/>
          <w:sz w:val="24"/>
          <w:szCs w:val="24"/>
        </w:rPr>
      </w:pPr>
    </w:p>
    <w:p w:rsidR="00C220D4" w:rsidRDefault="00C220D4" w:rsidP="002413E2">
      <w:pPr>
        <w:spacing w:after="0" w:line="240" w:lineRule="auto"/>
        <w:ind w:right="40" w:firstLine="720"/>
        <w:jc w:val="both"/>
        <w:rPr>
          <w:rFonts w:ascii="Times New Roman" w:hAnsi="Times New Roman" w:cs="Times New Roman"/>
          <w:sz w:val="24"/>
          <w:szCs w:val="24"/>
        </w:rPr>
      </w:pPr>
      <w:r w:rsidRPr="00C220D4">
        <w:rPr>
          <w:rFonts w:ascii="Times New Roman" w:hAnsi="Times New Roman" w:cs="Times New Roman"/>
          <w:sz w:val="24"/>
          <w:szCs w:val="24"/>
        </w:rPr>
        <w:t>The findings of this study contribute to the growing body of literature on higher education and faculty development by providing empirical evidence on the relationship between workplace competencies and faculty industry exposure. The study likewise offers practical guidance for higher education administrators, faculty members, and policymakers in designing sustainable initiatives that enhance instructional quality, strengthen industry partnerships, and improve graduate preparedness for an increasingly competitive workforce.</w:t>
      </w:r>
    </w:p>
    <w:p w:rsidR="00BE032C" w:rsidRPr="00C220D4" w:rsidRDefault="00BE032C" w:rsidP="002413E2">
      <w:pPr>
        <w:spacing w:after="0" w:line="240" w:lineRule="auto"/>
        <w:ind w:right="40" w:firstLine="720"/>
        <w:jc w:val="both"/>
        <w:rPr>
          <w:rFonts w:ascii="Times New Roman" w:hAnsi="Times New Roman" w:cs="Times New Roman"/>
          <w:sz w:val="24"/>
          <w:szCs w:val="24"/>
        </w:rPr>
      </w:pPr>
    </w:p>
    <w:p w:rsidR="00F274CE" w:rsidRDefault="00F274CE" w:rsidP="002413E2">
      <w:pPr>
        <w:spacing w:after="0" w:line="240" w:lineRule="auto"/>
        <w:ind w:right="40"/>
        <w:jc w:val="both"/>
        <w:rPr>
          <w:rFonts w:ascii="Times New Roman" w:hAnsi="Times New Roman" w:cs="Times New Roman"/>
          <w:b/>
          <w:bCs/>
          <w:sz w:val="24"/>
          <w:szCs w:val="24"/>
        </w:rPr>
      </w:pPr>
      <w:r w:rsidRPr="00E65666">
        <w:rPr>
          <w:rFonts w:ascii="Times New Roman" w:hAnsi="Times New Roman" w:cs="Times New Roman"/>
          <w:b/>
          <w:bCs/>
          <w:sz w:val="24"/>
          <w:szCs w:val="24"/>
        </w:rPr>
        <w:t>Literature Review</w:t>
      </w:r>
    </w:p>
    <w:p w:rsidR="00BE032C" w:rsidRPr="00E65666" w:rsidRDefault="00BE032C" w:rsidP="002413E2">
      <w:pPr>
        <w:spacing w:after="0" w:line="240" w:lineRule="auto"/>
        <w:ind w:right="40"/>
        <w:jc w:val="both"/>
        <w:rPr>
          <w:rFonts w:ascii="Times New Roman" w:hAnsi="Times New Roman" w:cs="Times New Roman"/>
          <w:b/>
          <w:bCs/>
          <w:sz w:val="24"/>
          <w:szCs w:val="24"/>
        </w:rPr>
      </w:pPr>
    </w:p>
    <w:p w:rsidR="00BE032C" w:rsidRDefault="00F274CE" w:rsidP="002413E2">
      <w:pPr>
        <w:spacing w:after="0" w:line="240" w:lineRule="auto"/>
        <w:jc w:val="both"/>
        <w:rPr>
          <w:rFonts w:ascii="Times New Roman" w:hAnsi="Times New Roman" w:cs="Times New Roman"/>
          <w:sz w:val="24"/>
          <w:szCs w:val="24"/>
        </w:rPr>
      </w:pPr>
      <w:r w:rsidRPr="00E65666">
        <w:rPr>
          <w:rFonts w:ascii="Times New Roman" w:hAnsi="Times New Roman" w:cs="Times New Roman"/>
          <w:sz w:val="24"/>
          <w:szCs w:val="24"/>
        </w:rPr>
        <w:t xml:space="preserve"> </w:t>
      </w:r>
      <w:r w:rsidR="00002454" w:rsidRPr="00E65666">
        <w:rPr>
          <w:rFonts w:ascii="Times New Roman" w:hAnsi="Times New Roman" w:cs="Times New Roman"/>
          <w:sz w:val="24"/>
          <w:szCs w:val="24"/>
        </w:rPr>
        <w:tab/>
      </w:r>
      <w:r w:rsidR="00E65666" w:rsidRPr="00E65666">
        <w:rPr>
          <w:rFonts w:ascii="Times New Roman" w:hAnsi="Times New Roman" w:cs="Times New Roman"/>
          <w:sz w:val="24"/>
          <w:szCs w:val="24"/>
        </w:rPr>
        <w:t xml:space="preserve">Higher </w:t>
      </w:r>
      <w:r w:rsidR="00B044EB">
        <w:rPr>
          <w:rFonts w:ascii="Times New Roman" w:hAnsi="Times New Roman" w:cs="Times New Roman"/>
          <w:sz w:val="24"/>
          <w:szCs w:val="24"/>
        </w:rPr>
        <w:t>E</w:t>
      </w:r>
      <w:r w:rsidR="00E65666" w:rsidRPr="00E65666">
        <w:rPr>
          <w:rFonts w:ascii="Times New Roman" w:hAnsi="Times New Roman" w:cs="Times New Roman"/>
          <w:sz w:val="24"/>
          <w:szCs w:val="24"/>
        </w:rPr>
        <w:t xml:space="preserve">ducation </w:t>
      </w:r>
      <w:r w:rsidR="00B044EB">
        <w:rPr>
          <w:rFonts w:ascii="Times New Roman" w:hAnsi="Times New Roman" w:cs="Times New Roman"/>
          <w:sz w:val="24"/>
          <w:szCs w:val="24"/>
        </w:rPr>
        <w:t>I</w:t>
      </w:r>
      <w:r w:rsidR="00E65666" w:rsidRPr="00E65666">
        <w:rPr>
          <w:rFonts w:ascii="Times New Roman" w:hAnsi="Times New Roman" w:cs="Times New Roman"/>
          <w:sz w:val="24"/>
          <w:szCs w:val="24"/>
        </w:rPr>
        <w:t xml:space="preserve">nstitutions play a critical role in preparing graduates who possess the competencies required to succeed in an increasingly competitive and technology-driven workforce. Contemporary higher education extends beyond the transmission of disciplinary knowledge by emphasizing the development of workplace competencies, including communication, collaboration, critical thinking, problem-solving, adaptability, professionalism, digital literacy, and customer-oriented skills. These competencies are widely </w:t>
      </w:r>
      <w:r w:rsidR="00E65666" w:rsidRPr="00E65666">
        <w:rPr>
          <w:rFonts w:ascii="Times New Roman" w:hAnsi="Times New Roman" w:cs="Times New Roman"/>
          <w:sz w:val="24"/>
          <w:szCs w:val="24"/>
        </w:rPr>
        <w:lastRenderedPageBreak/>
        <w:t>recognized as essential for improving graduate employability and enabling individuals to respond effectively to changing organizational and industry demands (</w:t>
      </w:r>
      <w:proofErr w:type="spellStart"/>
      <w:r w:rsidR="00E65666" w:rsidRPr="00E65666">
        <w:rPr>
          <w:rFonts w:ascii="Times New Roman" w:hAnsi="Times New Roman" w:cs="Times New Roman"/>
          <w:sz w:val="24"/>
          <w:szCs w:val="24"/>
        </w:rPr>
        <w:t>Akour</w:t>
      </w:r>
      <w:proofErr w:type="spellEnd"/>
      <w:r w:rsidR="00E65666" w:rsidRPr="00E65666">
        <w:rPr>
          <w:rFonts w:ascii="Times New Roman" w:hAnsi="Times New Roman" w:cs="Times New Roman"/>
          <w:sz w:val="24"/>
          <w:szCs w:val="24"/>
        </w:rPr>
        <w:t xml:space="preserve"> et al., 2022; World Economic Forum, 2023; Roble, 2021). </w:t>
      </w:r>
      <w:r w:rsidR="00E65666">
        <w:rPr>
          <w:rFonts w:ascii="Times New Roman" w:hAnsi="Times New Roman" w:cs="Times New Roman"/>
          <w:sz w:val="24"/>
          <w:szCs w:val="24"/>
        </w:rPr>
        <w:tab/>
      </w:r>
    </w:p>
    <w:p w:rsidR="00BE032C" w:rsidRDefault="00BE032C" w:rsidP="002413E2">
      <w:pPr>
        <w:spacing w:after="0" w:line="240" w:lineRule="auto"/>
        <w:jc w:val="both"/>
        <w:rPr>
          <w:rFonts w:ascii="Times New Roman" w:hAnsi="Times New Roman" w:cs="Times New Roman"/>
          <w:sz w:val="24"/>
          <w:szCs w:val="24"/>
        </w:rPr>
      </w:pPr>
    </w:p>
    <w:p w:rsidR="00E65666" w:rsidRDefault="00E65666" w:rsidP="00BE032C">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The growing emphasis on competency-based education has reinforced the responsibility of higher education institutions to align learning outcomes with workforce requirements. In the Philippine context, Outcomes-Based Education (OBE) encourages institutions to design curricula that develop measurable competencies while promoting learner-centered instruction and continuous quality improvement (Bilbao et al., 2017). Effective implementation of this approach depends largely on faculty members who possess both strong academic expertise and current industry knowledge. Consequently, faculty development has become a strategic priority for institutions seeking to maintain curriculum relevance and improve instructional quality. </w:t>
      </w:r>
    </w:p>
    <w:p w:rsidR="00BE032C" w:rsidRDefault="00BE032C" w:rsidP="00BE032C">
      <w:pPr>
        <w:spacing w:after="0" w:line="240" w:lineRule="auto"/>
        <w:ind w:firstLine="720"/>
        <w:jc w:val="both"/>
        <w:rPr>
          <w:rFonts w:ascii="Times New Roman" w:hAnsi="Times New Roman" w:cs="Times New Roman"/>
          <w:sz w:val="24"/>
          <w:szCs w:val="24"/>
        </w:rPr>
      </w:pPr>
    </w:p>
    <w:p w:rsidR="00E65666" w:rsidRDefault="00E65666"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Faculty industry exposure has emerged as an important mechanism for strengthening instructional competence and narrowing the gap between academic preparation and workplace practice. Industry immersion, consultancy, professional training, collaborative research, and partnerships with industry organizations enable educators to gain practical experience, update technical knowledge, and understand emerging workplace expectations. These experiences allow faculty members to integrate authentic workplace applications into classroom instruction, making learning more relevant and responsive to industry needs (Miranda, 2023; </w:t>
      </w:r>
      <w:proofErr w:type="spellStart"/>
      <w:r w:rsidRPr="00E65666">
        <w:rPr>
          <w:rFonts w:ascii="Times New Roman" w:hAnsi="Times New Roman" w:cs="Times New Roman"/>
          <w:sz w:val="24"/>
          <w:szCs w:val="24"/>
        </w:rPr>
        <w:t>Muscanell</w:t>
      </w:r>
      <w:proofErr w:type="spellEnd"/>
      <w:r w:rsidRPr="00E65666">
        <w:rPr>
          <w:rFonts w:ascii="Times New Roman" w:hAnsi="Times New Roman" w:cs="Times New Roman"/>
          <w:sz w:val="24"/>
          <w:szCs w:val="24"/>
        </w:rPr>
        <w:t xml:space="preserve">, 2022; </w:t>
      </w:r>
      <w:proofErr w:type="spellStart"/>
      <w:r w:rsidRPr="00E65666">
        <w:rPr>
          <w:rFonts w:ascii="Times New Roman" w:hAnsi="Times New Roman" w:cs="Times New Roman"/>
          <w:sz w:val="24"/>
          <w:szCs w:val="24"/>
        </w:rPr>
        <w:t>Dewantara</w:t>
      </w:r>
      <w:proofErr w:type="spellEnd"/>
      <w:r w:rsidRPr="00E65666">
        <w:rPr>
          <w:rFonts w:ascii="Times New Roman" w:hAnsi="Times New Roman" w:cs="Times New Roman"/>
          <w:sz w:val="24"/>
          <w:szCs w:val="24"/>
        </w:rPr>
        <w:t xml:space="preserve">, 2025). </w:t>
      </w:r>
    </w:p>
    <w:p w:rsidR="00BE032C" w:rsidRDefault="00BE032C" w:rsidP="002413E2">
      <w:pPr>
        <w:spacing w:after="0" w:line="240" w:lineRule="auto"/>
        <w:ind w:firstLine="720"/>
        <w:jc w:val="both"/>
        <w:rPr>
          <w:rFonts w:ascii="Times New Roman" w:hAnsi="Times New Roman" w:cs="Times New Roman"/>
          <w:sz w:val="24"/>
          <w:szCs w:val="24"/>
        </w:rPr>
      </w:pPr>
    </w:p>
    <w:p w:rsidR="00E65666" w:rsidRDefault="00E65666"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Recent studies consistently demonstrate that meaningful collaboration between higher education institutions and industry contributes to curriculum enhancement, faculty competency development, innovation, and graduate employability. Strong industry-academe partnerships facilitate knowledge exchange, support experiential learning, and provide opportunities for educators to remain current with professional standards and technological developments. Such collaborations also strengthen institutional responsiveness to labor market changes while promoting continuous improvement in teaching and learning (Technical Education and Skills Development Authority, 2023; Future Skills Organization, 2023; </w:t>
      </w:r>
      <w:proofErr w:type="spellStart"/>
      <w:r w:rsidRPr="00E65666">
        <w:rPr>
          <w:rFonts w:ascii="Times New Roman" w:hAnsi="Times New Roman" w:cs="Times New Roman"/>
          <w:sz w:val="24"/>
          <w:szCs w:val="24"/>
        </w:rPr>
        <w:t>Organisation</w:t>
      </w:r>
      <w:proofErr w:type="spellEnd"/>
      <w:r w:rsidRPr="00E65666">
        <w:rPr>
          <w:rFonts w:ascii="Times New Roman" w:hAnsi="Times New Roman" w:cs="Times New Roman"/>
          <w:sz w:val="24"/>
          <w:szCs w:val="24"/>
        </w:rPr>
        <w:t xml:space="preserve"> for Economic Co-operation and Development, 2025). </w:t>
      </w:r>
    </w:p>
    <w:p w:rsidR="00E65666" w:rsidRDefault="00E65666"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Despite these benefits, sustaining faculty industry engagement remains a challenge for many higher education institutions. Heavy teaching responsibilities, limited financial resources, insufficient institutional support, and restricted opportunities for industry immersion often constrain continuous professional development. These conditions may reduce opportunities for faculty members to update their competencies and integrate current workplace practices into instruction, potentially affecting curriculum relevance and graduate preparedness (De Guzman &amp; Choi, 2023; UNESCO, 2022). </w:t>
      </w:r>
    </w:p>
    <w:p w:rsidR="00BE032C" w:rsidRDefault="00BE032C" w:rsidP="002413E2">
      <w:pPr>
        <w:spacing w:after="0" w:line="240" w:lineRule="auto"/>
        <w:ind w:firstLine="720"/>
        <w:jc w:val="both"/>
        <w:rPr>
          <w:rFonts w:ascii="Times New Roman" w:hAnsi="Times New Roman" w:cs="Times New Roman"/>
          <w:sz w:val="24"/>
          <w:szCs w:val="24"/>
        </w:rPr>
      </w:pPr>
    </w:p>
    <w:p w:rsidR="00E65666" w:rsidRDefault="00E65666"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Empirical evidence further supports the relationship between faculty professional development, industry engagement, and instructional effectiveness. Local studies have shown that faculty training, industry immersion, and institutional support contribute to stronger teaching competencies, curriculum responsiveness, and educational quality (</w:t>
      </w:r>
      <w:proofErr w:type="spellStart"/>
      <w:r w:rsidRPr="00E65666">
        <w:rPr>
          <w:rFonts w:ascii="Times New Roman" w:hAnsi="Times New Roman" w:cs="Times New Roman"/>
          <w:sz w:val="24"/>
          <w:szCs w:val="24"/>
        </w:rPr>
        <w:t>Insorio</w:t>
      </w:r>
      <w:proofErr w:type="spellEnd"/>
      <w:r w:rsidRPr="00E65666">
        <w:rPr>
          <w:rFonts w:ascii="Times New Roman" w:hAnsi="Times New Roman" w:cs="Times New Roman"/>
          <w:sz w:val="24"/>
          <w:szCs w:val="24"/>
        </w:rPr>
        <w:t>, 2024; Lopez-</w:t>
      </w:r>
      <w:proofErr w:type="spellStart"/>
      <w:r w:rsidRPr="00E65666">
        <w:rPr>
          <w:rFonts w:ascii="Times New Roman" w:hAnsi="Times New Roman" w:cs="Times New Roman"/>
          <w:sz w:val="24"/>
          <w:szCs w:val="24"/>
        </w:rPr>
        <w:t>Fabellar</w:t>
      </w:r>
      <w:proofErr w:type="spellEnd"/>
      <w:r w:rsidRPr="00E65666">
        <w:rPr>
          <w:rFonts w:ascii="Times New Roman" w:hAnsi="Times New Roman" w:cs="Times New Roman"/>
          <w:sz w:val="24"/>
          <w:szCs w:val="24"/>
        </w:rPr>
        <w:t xml:space="preserve">, 2023; </w:t>
      </w:r>
      <w:proofErr w:type="spellStart"/>
      <w:r w:rsidRPr="00E65666">
        <w:rPr>
          <w:rFonts w:ascii="Times New Roman" w:hAnsi="Times New Roman" w:cs="Times New Roman"/>
          <w:sz w:val="24"/>
          <w:szCs w:val="24"/>
        </w:rPr>
        <w:t>Oracion</w:t>
      </w:r>
      <w:proofErr w:type="spellEnd"/>
      <w:r w:rsidRPr="00E65666">
        <w:rPr>
          <w:rFonts w:ascii="Times New Roman" w:hAnsi="Times New Roman" w:cs="Times New Roman"/>
          <w:sz w:val="24"/>
          <w:szCs w:val="24"/>
        </w:rPr>
        <w:t xml:space="preserve"> et al., 2023; Prudente et al., 2024). Likewise, international studies indicate that experiential learning, continuous industry participation, and technology-enhanced professional development improve instructional competence, workplace readiness, and graduate employability (</w:t>
      </w:r>
      <w:proofErr w:type="spellStart"/>
      <w:r w:rsidRPr="00E65666">
        <w:rPr>
          <w:rFonts w:ascii="Times New Roman" w:hAnsi="Times New Roman" w:cs="Times New Roman"/>
          <w:sz w:val="24"/>
          <w:szCs w:val="24"/>
        </w:rPr>
        <w:t>Cseh</w:t>
      </w:r>
      <w:proofErr w:type="spellEnd"/>
      <w:r w:rsidRPr="00E65666">
        <w:rPr>
          <w:rFonts w:ascii="Times New Roman" w:hAnsi="Times New Roman" w:cs="Times New Roman"/>
          <w:sz w:val="24"/>
          <w:szCs w:val="24"/>
        </w:rPr>
        <w:t xml:space="preserve"> et al., 2025; </w:t>
      </w:r>
      <w:proofErr w:type="spellStart"/>
      <w:r w:rsidRPr="00E65666">
        <w:rPr>
          <w:rFonts w:ascii="Times New Roman" w:hAnsi="Times New Roman" w:cs="Times New Roman"/>
          <w:sz w:val="24"/>
          <w:szCs w:val="24"/>
        </w:rPr>
        <w:t>Khasawneh</w:t>
      </w:r>
      <w:proofErr w:type="spellEnd"/>
      <w:r w:rsidRPr="00E65666">
        <w:rPr>
          <w:rFonts w:ascii="Times New Roman" w:hAnsi="Times New Roman" w:cs="Times New Roman"/>
          <w:sz w:val="24"/>
          <w:szCs w:val="24"/>
        </w:rPr>
        <w:t xml:space="preserve">, 2022; </w:t>
      </w:r>
      <w:proofErr w:type="spellStart"/>
      <w:r w:rsidRPr="00E65666">
        <w:rPr>
          <w:rFonts w:ascii="Times New Roman" w:hAnsi="Times New Roman" w:cs="Times New Roman"/>
          <w:sz w:val="24"/>
          <w:szCs w:val="24"/>
        </w:rPr>
        <w:t>Jekabsone</w:t>
      </w:r>
      <w:proofErr w:type="spellEnd"/>
      <w:r w:rsidRPr="00E65666">
        <w:rPr>
          <w:rFonts w:ascii="Times New Roman" w:hAnsi="Times New Roman" w:cs="Times New Roman"/>
          <w:sz w:val="24"/>
          <w:szCs w:val="24"/>
        </w:rPr>
        <w:t xml:space="preserve"> &amp; </w:t>
      </w:r>
      <w:proofErr w:type="spellStart"/>
      <w:r w:rsidRPr="00E65666">
        <w:rPr>
          <w:rFonts w:ascii="Times New Roman" w:hAnsi="Times New Roman" w:cs="Times New Roman"/>
          <w:sz w:val="24"/>
          <w:szCs w:val="24"/>
        </w:rPr>
        <w:t>Anohina-Naumeca</w:t>
      </w:r>
      <w:proofErr w:type="spellEnd"/>
      <w:r w:rsidRPr="00E65666">
        <w:rPr>
          <w:rFonts w:ascii="Times New Roman" w:hAnsi="Times New Roman" w:cs="Times New Roman"/>
          <w:sz w:val="24"/>
          <w:szCs w:val="24"/>
        </w:rPr>
        <w:t xml:space="preserve">, 2024; </w:t>
      </w:r>
      <w:proofErr w:type="spellStart"/>
      <w:r w:rsidRPr="00E65666">
        <w:rPr>
          <w:rFonts w:ascii="Times New Roman" w:hAnsi="Times New Roman" w:cs="Times New Roman"/>
          <w:sz w:val="24"/>
          <w:szCs w:val="24"/>
        </w:rPr>
        <w:t>Sincharoenkul</w:t>
      </w:r>
      <w:proofErr w:type="spellEnd"/>
      <w:r w:rsidRPr="00E65666">
        <w:rPr>
          <w:rFonts w:ascii="Times New Roman" w:hAnsi="Times New Roman" w:cs="Times New Roman"/>
          <w:sz w:val="24"/>
          <w:szCs w:val="24"/>
        </w:rPr>
        <w:t xml:space="preserve"> &amp; </w:t>
      </w:r>
      <w:proofErr w:type="spellStart"/>
      <w:r w:rsidRPr="00E65666">
        <w:rPr>
          <w:rFonts w:ascii="Times New Roman" w:hAnsi="Times New Roman" w:cs="Times New Roman"/>
          <w:sz w:val="24"/>
          <w:szCs w:val="24"/>
        </w:rPr>
        <w:t>Witthayasirikul</w:t>
      </w:r>
      <w:proofErr w:type="spellEnd"/>
      <w:r w:rsidRPr="00E65666">
        <w:rPr>
          <w:rFonts w:ascii="Times New Roman" w:hAnsi="Times New Roman" w:cs="Times New Roman"/>
          <w:sz w:val="24"/>
          <w:szCs w:val="24"/>
        </w:rPr>
        <w:t xml:space="preserve">, 2022). </w:t>
      </w:r>
    </w:p>
    <w:p w:rsidR="00BE032C" w:rsidRDefault="00BE032C" w:rsidP="002413E2">
      <w:pPr>
        <w:spacing w:after="0" w:line="240" w:lineRule="auto"/>
        <w:ind w:firstLine="720"/>
        <w:jc w:val="both"/>
        <w:rPr>
          <w:rFonts w:ascii="Times New Roman" w:hAnsi="Times New Roman" w:cs="Times New Roman"/>
          <w:sz w:val="24"/>
          <w:szCs w:val="24"/>
        </w:rPr>
      </w:pPr>
    </w:p>
    <w:p w:rsidR="00E65666" w:rsidRDefault="00E65666"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Although previous studies have established the importance of workplace competencies, faculty development, and industry collaboration, limited research has examined the relationship between workplace competencies and faculty industry exposure within Higher Education Institutions in Pasay City. Existing studies have generally focused on competency development or industry engagement as separate areas of investigation and have seldom incorporated the perspectives of academic leaders, faculty members, and industry partners within a single framework. Addressing this gap is important because faculty members serve as the primary link between academic instruction and professional practice. Understanding how workplace competencies relate to faculty industry exposure may provide valuable evidence for strengthening faculty development initiatives, enhancing curriculum relevance, and promoting sustainable industry-academe collaboration. </w:t>
      </w:r>
    </w:p>
    <w:p w:rsidR="00BE032C" w:rsidRDefault="00BE032C" w:rsidP="002413E2">
      <w:pPr>
        <w:spacing w:after="0" w:line="240" w:lineRule="auto"/>
        <w:ind w:firstLine="720"/>
        <w:jc w:val="both"/>
        <w:rPr>
          <w:rFonts w:ascii="Times New Roman" w:hAnsi="Times New Roman" w:cs="Times New Roman"/>
          <w:sz w:val="24"/>
          <w:szCs w:val="24"/>
        </w:rPr>
      </w:pPr>
    </w:p>
    <w:p w:rsidR="00AB1CAF" w:rsidRDefault="00E65666"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lastRenderedPageBreak/>
        <w:t>Guided by this gap, the present study examined the relationship between workplace competencies and faculty industry exposure among selected Higher Education Institutions in Pasay City. The findings provide empirical evidence that supports the development of an Institutional Sustainability Program aimed at strengthening faculty competencies, expanding industry engagement, and improving instructional quality in higher education.</w:t>
      </w:r>
    </w:p>
    <w:p w:rsidR="00BE032C" w:rsidRPr="005846BC" w:rsidRDefault="00BE032C" w:rsidP="002413E2">
      <w:pPr>
        <w:spacing w:after="0" w:line="240" w:lineRule="auto"/>
        <w:ind w:firstLine="720"/>
        <w:jc w:val="both"/>
        <w:rPr>
          <w:rFonts w:ascii="Times New Roman" w:hAnsi="Times New Roman" w:cs="Times New Roman"/>
          <w:sz w:val="24"/>
          <w:szCs w:val="24"/>
        </w:rPr>
      </w:pPr>
    </w:p>
    <w:p w:rsidR="00F274CE" w:rsidRDefault="00F274CE" w:rsidP="002413E2">
      <w:pPr>
        <w:spacing w:after="0" w:line="240" w:lineRule="auto"/>
        <w:jc w:val="both"/>
        <w:rPr>
          <w:rFonts w:ascii="Times New Roman" w:hAnsi="Times New Roman" w:cs="Times New Roman"/>
          <w:b/>
          <w:bCs/>
          <w:sz w:val="24"/>
          <w:szCs w:val="24"/>
        </w:rPr>
      </w:pPr>
      <w:r w:rsidRPr="00E65666">
        <w:rPr>
          <w:rFonts w:ascii="Times New Roman" w:hAnsi="Times New Roman" w:cs="Times New Roman"/>
          <w:b/>
          <w:bCs/>
          <w:sz w:val="24"/>
          <w:szCs w:val="24"/>
        </w:rPr>
        <w:t>Methods</w:t>
      </w:r>
    </w:p>
    <w:p w:rsidR="00BE032C" w:rsidRPr="00E65666" w:rsidRDefault="00BE032C" w:rsidP="002413E2">
      <w:pPr>
        <w:spacing w:after="0" w:line="240" w:lineRule="auto"/>
        <w:jc w:val="both"/>
        <w:rPr>
          <w:rFonts w:ascii="Times New Roman" w:hAnsi="Times New Roman" w:cs="Times New Roman"/>
          <w:b/>
          <w:bCs/>
          <w:sz w:val="24"/>
          <w:szCs w:val="24"/>
        </w:rPr>
      </w:pPr>
    </w:p>
    <w:p w:rsidR="00F274CE" w:rsidRDefault="00F274CE" w:rsidP="002413E2">
      <w:pPr>
        <w:spacing w:after="0" w:line="240" w:lineRule="auto"/>
        <w:ind w:right="40"/>
        <w:jc w:val="both"/>
        <w:rPr>
          <w:rFonts w:ascii="Times New Roman" w:hAnsi="Times New Roman" w:cs="Times New Roman"/>
          <w:b/>
          <w:bCs/>
          <w:sz w:val="24"/>
          <w:szCs w:val="24"/>
        </w:rPr>
      </w:pPr>
      <w:r w:rsidRPr="00E65666">
        <w:rPr>
          <w:rFonts w:ascii="Times New Roman" w:hAnsi="Times New Roman" w:cs="Times New Roman"/>
          <w:b/>
          <w:bCs/>
          <w:sz w:val="24"/>
          <w:szCs w:val="24"/>
        </w:rPr>
        <w:t>Research Design</w:t>
      </w:r>
    </w:p>
    <w:p w:rsidR="00BE032C" w:rsidRPr="00E65666" w:rsidRDefault="00BE032C" w:rsidP="002413E2">
      <w:pPr>
        <w:spacing w:after="0" w:line="240" w:lineRule="auto"/>
        <w:ind w:right="40"/>
        <w:jc w:val="both"/>
        <w:rPr>
          <w:rFonts w:ascii="Times New Roman" w:hAnsi="Times New Roman" w:cs="Times New Roman"/>
          <w:b/>
          <w:bCs/>
          <w:sz w:val="24"/>
          <w:szCs w:val="24"/>
        </w:rPr>
      </w:pPr>
    </w:p>
    <w:p w:rsidR="00C220D4" w:rsidRDefault="00C220D4" w:rsidP="002413E2">
      <w:pPr>
        <w:spacing w:after="0" w:line="240" w:lineRule="auto"/>
        <w:ind w:right="40" w:firstLine="720"/>
        <w:jc w:val="both"/>
        <w:rPr>
          <w:rFonts w:ascii="Times New Roman" w:hAnsi="Times New Roman" w:cs="Times New Roman"/>
          <w:sz w:val="24"/>
          <w:szCs w:val="24"/>
        </w:rPr>
      </w:pPr>
      <w:r w:rsidRPr="00E65666">
        <w:rPr>
          <w:rFonts w:ascii="Times New Roman" w:hAnsi="Times New Roman" w:cs="Times New Roman"/>
          <w:sz w:val="24"/>
          <w:szCs w:val="24"/>
        </w:rPr>
        <w:t>This study employed a quantitative descriptive research design to assess workplace competencies and faculty industry exposure among respondents from selected Higher Education Institutions (HEIs) in Pasay City. The design was appropriate because it enabled the researcher to describe existing conditions, examine the respondents' assessments of the study variables, and determine the relationships between workplace competencies and faculty industry exposure. The findings served as the basis for developing an Institutional Sustainability Program.</w:t>
      </w:r>
    </w:p>
    <w:p w:rsidR="00BE032C" w:rsidRPr="00E65666" w:rsidRDefault="00BE032C" w:rsidP="002413E2">
      <w:pPr>
        <w:spacing w:after="0" w:line="240" w:lineRule="auto"/>
        <w:ind w:right="40" w:firstLine="720"/>
        <w:jc w:val="both"/>
        <w:rPr>
          <w:rFonts w:ascii="Times New Roman" w:hAnsi="Times New Roman" w:cs="Times New Roman"/>
          <w:sz w:val="24"/>
          <w:szCs w:val="24"/>
        </w:rPr>
      </w:pPr>
    </w:p>
    <w:p w:rsidR="00F274CE" w:rsidRDefault="00F274CE" w:rsidP="002413E2">
      <w:pPr>
        <w:spacing w:after="0" w:line="240" w:lineRule="auto"/>
        <w:ind w:right="40"/>
        <w:jc w:val="both"/>
        <w:rPr>
          <w:rFonts w:ascii="Times New Roman" w:hAnsi="Times New Roman" w:cs="Times New Roman"/>
          <w:b/>
          <w:bCs/>
          <w:sz w:val="24"/>
          <w:szCs w:val="24"/>
        </w:rPr>
      </w:pPr>
      <w:r w:rsidRPr="00E65666">
        <w:rPr>
          <w:rFonts w:ascii="Times New Roman" w:hAnsi="Times New Roman" w:cs="Times New Roman"/>
          <w:b/>
          <w:bCs/>
          <w:sz w:val="24"/>
          <w:szCs w:val="24"/>
        </w:rPr>
        <w:t>Research Respondents</w:t>
      </w:r>
    </w:p>
    <w:p w:rsidR="00BE032C" w:rsidRPr="00E65666" w:rsidRDefault="00BE032C" w:rsidP="002413E2">
      <w:pPr>
        <w:spacing w:after="0" w:line="240" w:lineRule="auto"/>
        <w:ind w:right="40"/>
        <w:jc w:val="both"/>
        <w:rPr>
          <w:rFonts w:ascii="Times New Roman" w:hAnsi="Times New Roman" w:cs="Times New Roman"/>
          <w:b/>
          <w:bCs/>
          <w:sz w:val="24"/>
          <w:szCs w:val="24"/>
        </w:rPr>
      </w:pPr>
    </w:p>
    <w:p w:rsidR="00C220D4" w:rsidRDefault="00F274CE" w:rsidP="002413E2">
      <w:pPr>
        <w:spacing w:after="0" w:line="240" w:lineRule="auto"/>
        <w:ind w:right="40"/>
        <w:jc w:val="both"/>
        <w:rPr>
          <w:rFonts w:ascii="Times New Roman" w:hAnsi="Times New Roman" w:cs="Times New Roman"/>
          <w:sz w:val="24"/>
          <w:szCs w:val="24"/>
        </w:rPr>
      </w:pPr>
      <w:r w:rsidRPr="00E65666">
        <w:rPr>
          <w:rFonts w:ascii="Times New Roman" w:hAnsi="Times New Roman" w:cs="Times New Roman"/>
          <w:sz w:val="24"/>
          <w:szCs w:val="24"/>
        </w:rPr>
        <w:t xml:space="preserve">       </w:t>
      </w:r>
      <w:r w:rsidR="00C220D4" w:rsidRPr="00E65666">
        <w:rPr>
          <w:rFonts w:ascii="Times New Roman" w:hAnsi="Times New Roman" w:cs="Times New Roman"/>
          <w:sz w:val="24"/>
          <w:szCs w:val="24"/>
        </w:rPr>
        <w:t xml:space="preserve">The study involved 56 respondents selected through purposive sampling. The participants consisted of three Academic Heads/Deans, four Program Chairs/Department Heads, twenty-seven faculty members, and twenty-two industry partners from selected Higher Education Institutions and hospitality-related establishments in Pasay City. Purposive sampling was employed to ensure that only individuals with relevant knowledge and experience in faculty development, industry engagement, and workplace competency initiatives participated in the study. </w:t>
      </w:r>
    </w:p>
    <w:p w:rsidR="00BE032C" w:rsidRPr="00E65666" w:rsidRDefault="00BE032C" w:rsidP="002413E2">
      <w:pPr>
        <w:spacing w:after="0" w:line="240" w:lineRule="auto"/>
        <w:ind w:right="40"/>
        <w:jc w:val="both"/>
        <w:rPr>
          <w:rFonts w:ascii="Times New Roman" w:hAnsi="Times New Roman" w:cs="Times New Roman"/>
          <w:sz w:val="24"/>
          <w:szCs w:val="24"/>
        </w:rPr>
      </w:pPr>
    </w:p>
    <w:p w:rsidR="00F274CE" w:rsidRDefault="00F274CE" w:rsidP="002413E2">
      <w:pPr>
        <w:spacing w:after="0" w:line="240" w:lineRule="auto"/>
        <w:ind w:right="40"/>
        <w:jc w:val="both"/>
        <w:rPr>
          <w:rFonts w:ascii="Times New Roman" w:hAnsi="Times New Roman" w:cs="Times New Roman"/>
          <w:b/>
          <w:bCs/>
          <w:sz w:val="24"/>
          <w:szCs w:val="24"/>
        </w:rPr>
      </w:pPr>
      <w:r w:rsidRPr="00E65666">
        <w:rPr>
          <w:rFonts w:ascii="Times New Roman" w:hAnsi="Times New Roman" w:cs="Times New Roman"/>
          <w:b/>
          <w:bCs/>
          <w:sz w:val="24"/>
          <w:szCs w:val="24"/>
        </w:rPr>
        <w:t>Research Instrument</w:t>
      </w:r>
    </w:p>
    <w:p w:rsidR="00BE032C" w:rsidRPr="00E65666" w:rsidRDefault="00BE032C" w:rsidP="002413E2">
      <w:pPr>
        <w:spacing w:after="0" w:line="240" w:lineRule="auto"/>
        <w:ind w:right="40"/>
        <w:jc w:val="both"/>
        <w:rPr>
          <w:rFonts w:ascii="Times New Roman" w:hAnsi="Times New Roman" w:cs="Times New Roman"/>
          <w:b/>
          <w:bCs/>
          <w:sz w:val="24"/>
          <w:szCs w:val="24"/>
        </w:rPr>
      </w:pPr>
    </w:p>
    <w:p w:rsidR="00C220D4" w:rsidRDefault="00C220D4" w:rsidP="002413E2">
      <w:pPr>
        <w:spacing w:after="0" w:line="240" w:lineRule="auto"/>
        <w:ind w:right="40" w:firstLine="720"/>
        <w:jc w:val="both"/>
        <w:rPr>
          <w:rFonts w:ascii="Times New Roman" w:hAnsi="Times New Roman" w:cs="Times New Roman"/>
          <w:sz w:val="24"/>
          <w:szCs w:val="24"/>
        </w:rPr>
      </w:pPr>
      <w:r w:rsidRPr="00E65666">
        <w:rPr>
          <w:rFonts w:ascii="Times New Roman" w:hAnsi="Times New Roman" w:cs="Times New Roman"/>
          <w:sz w:val="24"/>
          <w:szCs w:val="24"/>
        </w:rPr>
        <w:t>Data were collected using a researcher-developed survey questionnaire constructed from the study's theoretical framework, related literature, and competency models. The instrument consisted of five sections: respondents' demographic profile, workplace competencies, faculty industry exposure, problems encountered, and the acceptability of the proposed Institutional Sustainability Program. Responses were measured using a four-point Likert scale.</w:t>
      </w:r>
    </w:p>
    <w:p w:rsidR="00BE032C" w:rsidRPr="00E65666" w:rsidRDefault="00BE032C" w:rsidP="002413E2">
      <w:pPr>
        <w:spacing w:after="0" w:line="240" w:lineRule="auto"/>
        <w:ind w:right="40" w:firstLine="720"/>
        <w:jc w:val="both"/>
        <w:rPr>
          <w:rFonts w:ascii="Times New Roman" w:hAnsi="Times New Roman" w:cs="Times New Roman"/>
          <w:sz w:val="24"/>
          <w:szCs w:val="24"/>
        </w:rPr>
      </w:pPr>
    </w:p>
    <w:p w:rsidR="00C220D4" w:rsidRPr="00E65666" w:rsidRDefault="00C220D4" w:rsidP="002413E2">
      <w:pPr>
        <w:spacing w:after="0" w:line="240" w:lineRule="auto"/>
        <w:ind w:right="40" w:firstLine="720"/>
        <w:jc w:val="both"/>
        <w:rPr>
          <w:rFonts w:ascii="Times New Roman" w:hAnsi="Times New Roman" w:cs="Times New Roman"/>
          <w:sz w:val="24"/>
          <w:szCs w:val="24"/>
        </w:rPr>
      </w:pPr>
      <w:r w:rsidRPr="00E65666">
        <w:rPr>
          <w:rFonts w:ascii="Times New Roman" w:hAnsi="Times New Roman" w:cs="Times New Roman"/>
          <w:sz w:val="24"/>
          <w:szCs w:val="24"/>
        </w:rPr>
        <w:t>To establish content validity, the questionnaire was reviewed by subject matter experts from the graduate school, and their recommendations were incorporated into the final version of the instrument. A pilot test was also conducted to evaluate the clarity, relevance, and reliability of the questionnaire prior to its administration.</w:t>
      </w:r>
    </w:p>
    <w:p w:rsidR="00C220D4" w:rsidRPr="00E65666" w:rsidRDefault="00C220D4" w:rsidP="002413E2">
      <w:pPr>
        <w:spacing w:after="0" w:line="240" w:lineRule="auto"/>
        <w:ind w:right="40"/>
        <w:jc w:val="both"/>
        <w:rPr>
          <w:rFonts w:ascii="Times New Roman" w:hAnsi="Times New Roman" w:cs="Times New Roman"/>
          <w:b/>
          <w:bCs/>
          <w:sz w:val="24"/>
          <w:szCs w:val="24"/>
        </w:rPr>
      </w:pPr>
    </w:p>
    <w:p w:rsidR="00F274CE" w:rsidRDefault="00F274CE" w:rsidP="002413E2">
      <w:pPr>
        <w:spacing w:after="0" w:line="240" w:lineRule="auto"/>
        <w:ind w:right="40"/>
        <w:jc w:val="both"/>
        <w:rPr>
          <w:rFonts w:ascii="Times New Roman" w:hAnsi="Times New Roman" w:cs="Times New Roman"/>
          <w:b/>
          <w:bCs/>
          <w:sz w:val="24"/>
          <w:szCs w:val="24"/>
        </w:rPr>
      </w:pPr>
      <w:r w:rsidRPr="00E65666">
        <w:rPr>
          <w:rFonts w:ascii="Times New Roman" w:hAnsi="Times New Roman" w:cs="Times New Roman"/>
          <w:b/>
          <w:bCs/>
          <w:sz w:val="24"/>
          <w:szCs w:val="24"/>
        </w:rPr>
        <w:t>Data Gathering Procedure</w:t>
      </w:r>
    </w:p>
    <w:p w:rsidR="00BE032C" w:rsidRPr="00E65666" w:rsidRDefault="00BE032C" w:rsidP="002413E2">
      <w:pPr>
        <w:spacing w:after="0" w:line="240" w:lineRule="auto"/>
        <w:ind w:right="40"/>
        <w:jc w:val="both"/>
        <w:rPr>
          <w:rFonts w:ascii="Times New Roman" w:hAnsi="Times New Roman" w:cs="Times New Roman"/>
          <w:b/>
          <w:bCs/>
          <w:sz w:val="24"/>
          <w:szCs w:val="24"/>
        </w:rPr>
      </w:pPr>
    </w:p>
    <w:p w:rsidR="00BE032C" w:rsidRPr="00171064" w:rsidRDefault="00F274CE" w:rsidP="002413E2">
      <w:pPr>
        <w:spacing w:after="0" w:line="240" w:lineRule="auto"/>
        <w:ind w:right="40"/>
        <w:jc w:val="both"/>
        <w:rPr>
          <w:rFonts w:ascii="Times New Roman" w:hAnsi="Times New Roman" w:cs="Times New Roman"/>
          <w:sz w:val="24"/>
          <w:szCs w:val="24"/>
        </w:rPr>
      </w:pPr>
      <w:r w:rsidRPr="00E65666">
        <w:rPr>
          <w:rFonts w:ascii="Times New Roman" w:hAnsi="Times New Roman" w:cs="Times New Roman"/>
          <w:sz w:val="24"/>
          <w:szCs w:val="24"/>
        </w:rPr>
        <w:t xml:space="preserve">       </w:t>
      </w:r>
      <w:r w:rsidR="00C220D4" w:rsidRPr="00E65666">
        <w:rPr>
          <w:rFonts w:ascii="Times New Roman" w:hAnsi="Times New Roman" w:cs="Times New Roman"/>
          <w:sz w:val="24"/>
          <w:szCs w:val="24"/>
        </w:rPr>
        <w:t>Prior to data collection, approval to conduct the study was obtained from the administrators of the participating institutions. After securing the necessary permissions, the researcher personally administered the questionnaires to the qualified respondents. The purpose of the study was explained, and informed consent was obtained before participation. Completed questionnaires were retrieved, checked for completeness, and organized for statistical analysis. Participation was voluntary, and the confidentiality of all responses was strictly maintained.</w:t>
      </w:r>
    </w:p>
    <w:p w:rsidR="00BE032C" w:rsidRDefault="00BE032C" w:rsidP="002413E2">
      <w:pPr>
        <w:spacing w:after="0" w:line="240" w:lineRule="auto"/>
        <w:ind w:right="40"/>
        <w:jc w:val="both"/>
        <w:rPr>
          <w:rFonts w:ascii="Times New Roman" w:hAnsi="Times New Roman" w:cs="Times New Roman"/>
          <w:b/>
          <w:bCs/>
          <w:sz w:val="24"/>
          <w:szCs w:val="24"/>
        </w:rPr>
      </w:pPr>
    </w:p>
    <w:p w:rsidR="00F274CE" w:rsidRDefault="00F274CE" w:rsidP="002413E2">
      <w:pPr>
        <w:spacing w:after="0" w:line="240" w:lineRule="auto"/>
        <w:ind w:right="40"/>
        <w:jc w:val="both"/>
        <w:rPr>
          <w:rFonts w:ascii="Times New Roman" w:hAnsi="Times New Roman" w:cs="Times New Roman"/>
          <w:b/>
          <w:bCs/>
          <w:sz w:val="24"/>
          <w:szCs w:val="24"/>
        </w:rPr>
      </w:pPr>
      <w:r w:rsidRPr="00E65666">
        <w:rPr>
          <w:rFonts w:ascii="Times New Roman" w:hAnsi="Times New Roman" w:cs="Times New Roman"/>
          <w:b/>
          <w:bCs/>
          <w:sz w:val="24"/>
          <w:szCs w:val="24"/>
        </w:rPr>
        <w:t>Statistical Treatment of Data</w:t>
      </w:r>
    </w:p>
    <w:p w:rsidR="00BE032C" w:rsidRPr="00E65666" w:rsidRDefault="00BE032C" w:rsidP="002413E2">
      <w:pPr>
        <w:spacing w:after="0" w:line="240" w:lineRule="auto"/>
        <w:ind w:right="40"/>
        <w:jc w:val="both"/>
        <w:rPr>
          <w:rFonts w:ascii="Times New Roman" w:hAnsi="Times New Roman" w:cs="Times New Roman"/>
          <w:b/>
          <w:bCs/>
          <w:sz w:val="24"/>
          <w:szCs w:val="24"/>
        </w:rPr>
      </w:pPr>
    </w:p>
    <w:p w:rsidR="00F274CE" w:rsidRDefault="00F274CE" w:rsidP="002413E2">
      <w:pPr>
        <w:spacing w:after="0" w:line="240" w:lineRule="auto"/>
        <w:ind w:right="40"/>
        <w:jc w:val="both"/>
        <w:rPr>
          <w:rFonts w:ascii="Times New Roman" w:hAnsi="Times New Roman" w:cs="Times New Roman"/>
          <w:sz w:val="24"/>
          <w:szCs w:val="24"/>
        </w:rPr>
      </w:pPr>
      <w:r w:rsidRPr="00E65666">
        <w:rPr>
          <w:rFonts w:ascii="Times New Roman" w:hAnsi="Times New Roman" w:cs="Times New Roman"/>
          <w:sz w:val="24"/>
          <w:szCs w:val="24"/>
        </w:rPr>
        <w:t xml:space="preserve">       </w:t>
      </w:r>
      <w:r w:rsidR="00C220D4" w:rsidRPr="00E65666">
        <w:rPr>
          <w:rFonts w:ascii="Times New Roman" w:hAnsi="Times New Roman" w:cs="Times New Roman"/>
          <w:sz w:val="24"/>
          <w:szCs w:val="24"/>
        </w:rPr>
        <w:t xml:space="preserve">Descriptive and inferential statistics were employed to analyze the collected data. Frequency and percentage distribution were used to describe the respondents' profile, while weighted mean was utilized to determine the level of workplace competencies, faculty industry exposure, problems encountered, and the acceptability of the proposed Institutional Sustainability Program. Analysis of Variance (ANOVA) was performed to determine significant differences in the respondents' assessments, and the Pearson product-moment correlation coefficient </w:t>
      </w:r>
      <w:r w:rsidR="00C220D4" w:rsidRPr="00E65666">
        <w:rPr>
          <w:rFonts w:ascii="Times New Roman" w:hAnsi="Times New Roman" w:cs="Times New Roman"/>
          <w:sz w:val="24"/>
          <w:szCs w:val="24"/>
        </w:rPr>
        <w:lastRenderedPageBreak/>
        <w:t>was used to examine the relationship between workplace competencies and faculty industry exposure. All statistical analyses were interpreted using a 0.05 level of significance.</w:t>
      </w:r>
    </w:p>
    <w:p w:rsidR="00BE032C" w:rsidRPr="00E65666" w:rsidRDefault="00BE032C" w:rsidP="002413E2">
      <w:pPr>
        <w:spacing w:after="0" w:line="240" w:lineRule="auto"/>
        <w:ind w:right="40"/>
        <w:jc w:val="both"/>
        <w:rPr>
          <w:rFonts w:ascii="Times New Roman" w:hAnsi="Times New Roman" w:cs="Times New Roman"/>
          <w:sz w:val="24"/>
          <w:szCs w:val="24"/>
        </w:rPr>
      </w:pPr>
    </w:p>
    <w:p w:rsidR="00F274CE" w:rsidRDefault="00F274CE" w:rsidP="002413E2">
      <w:pPr>
        <w:spacing w:after="0" w:line="240" w:lineRule="auto"/>
        <w:ind w:right="40"/>
        <w:jc w:val="both"/>
        <w:rPr>
          <w:rFonts w:ascii="Times New Roman" w:hAnsi="Times New Roman" w:cs="Times New Roman"/>
          <w:b/>
          <w:bCs/>
          <w:sz w:val="24"/>
          <w:szCs w:val="24"/>
        </w:rPr>
      </w:pPr>
      <w:r w:rsidRPr="00E65666">
        <w:rPr>
          <w:rFonts w:ascii="Times New Roman" w:hAnsi="Times New Roman" w:cs="Times New Roman"/>
          <w:b/>
          <w:bCs/>
          <w:sz w:val="24"/>
          <w:szCs w:val="24"/>
        </w:rPr>
        <w:t>Ethical Considerations</w:t>
      </w:r>
    </w:p>
    <w:p w:rsidR="00BE032C" w:rsidRPr="00E65666" w:rsidRDefault="00BE032C" w:rsidP="002413E2">
      <w:pPr>
        <w:spacing w:after="0" w:line="240" w:lineRule="auto"/>
        <w:ind w:right="40"/>
        <w:jc w:val="both"/>
        <w:rPr>
          <w:rFonts w:ascii="Times New Roman" w:hAnsi="Times New Roman" w:cs="Times New Roman"/>
          <w:b/>
          <w:bCs/>
          <w:sz w:val="24"/>
          <w:szCs w:val="24"/>
        </w:rPr>
      </w:pPr>
    </w:p>
    <w:p w:rsidR="00F274CE" w:rsidRDefault="00C220D4" w:rsidP="002413E2">
      <w:pPr>
        <w:spacing w:after="0" w:line="240" w:lineRule="auto"/>
        <w:ind w:right="40" w:firstLine="720"/>
        <w:jc w:val="both"/>
        <w:rPr>
          <w:rFonts w:ascii="Times New Roman" w:hAnsi="Times New Roman" w:cs="Times New Roman"/>
          <w:sz w:val="24"/>
          <w:szCs w:val="24"/>
        </w:rPr>
      </w:pPr>
      <w:r w:rsidRPr="00E65666">
        <w:rPr>
          <w:rFonts w:ascii="Times New Roman" w:hAnsi="Times New Roman" w:cs="Times New Roman"/>
          <w:sz w:val="24"/>
          <w:szCs w:val="24"/>
        </w:rPr>
        <w:t>The study was conducted in accordance with established ethical standards for research involving human participants. Respondents were informed of the objectives of the study and their participation was entirely voluntary. Informed consent was obtained before data collection, and participants were assured that their identities and responses would remain confidential. The information gathered was used solely for academic and research purposes.</w:t>
      </w:r>
    </w:p>
    <w:p w:rsidR="00BE032C" w:rsidRPr="00E65666" w:rsidRDefault="00BE032C" w:rsidP="002413E2">
      <w:pPr>
        <w:spacing w:after="0" w:line="240" w:lineRule="auto"/>
        <w:ind w:right="40" w:firstLine="720"/>
        <w:jc w:val="both"/>
        <w:rPr>
          <w:rFonts w:ascii="Times New Roman" w:hAnsi="Times New Roman" w:cs="Times New Roman"/>
          <w:sz w:val="24"/>
          <w:szCs w:val="24"/>
        </w:rPr>
      </w:pPr>
    </w:p>
    <w:p w:rsidR="00F274CE" w:rsidRDefault="00F274CE" w:rsidP="002413E2">
      <w:pPr>
        <w:spacing w:after="0" w:line="240" w:lineRule="auto"/>
        <w:ind w:right="114"/>
        <w:jc w:val="both"/>
        <w:rPr>
          <w:rFonts w:ascii="Times New Roman" w:hAnsi="Times New Roman" w:cs="Times New Roman"/>
          <w:b/>
          <w:bCs/>
          <w:sz w:val="24"/>
          <w:szCs w:val="24"/>
        </w:rPr>
      </w:pPr>
      <w:r w:rsidRPr="00E65666">
        <w:rPr>
          <w:rFonts w:ascii="Times New Roman" w:hAnsi="Times New Roman" w:cs="Times New Roman"/>
          <w:b/>
          <w:bCs/>
          <w:sz w:val="24"/>
          <w:szCs w:val="24"/>
        </w:rPr>
        <w:t>Results and Discussion</w:t>
      </w:r>
    </w:p>
    <w:p w:rsidR="00BE032C" w:rsidRPr="00E65666" w:rsidRDefault="00BE032C" w:rsidP="002413E2">
      <w:pPr>
        <w:spacing w:after="0" w:line="240" w:lineRule="auto"/>
        <w:ind w:right="114"/>
        <w:jc w:val="both"/>
        <w:rPr>
          <w:rFonts w:ascii="Times New Roman" w:hAnsi="Times New Roman" w:cs="Times New Roman"/>
          <w:b/>
          <w:bCs/>
          <w:sz w:val="24"/>
          <w:szCs w:val="24"/>
        </w:rPr>
      </w:pPr>
    </w:p>
    <w:p w:rsidR="00F274CE" w:rsidRDefault="00F274CE" w:rsidP="002413E2">
      <w:pPr>
        <w:spacing w:after="0" w:line="240" w:lineRule="auto"/>
        <w:ind w:right="114"/>
        <w:jc w:val="both"/>
        <w:rPr>
          <w:rFonts w:ascii="Times New Roman" w:hAnsi="Times New Roman" w:cs="Times New Roman"/>
          <w:b/>
          <w:bCs/>
          <w:sz w:val="24"/>
          <w:szCs w:val="24"/>
        </w:rPr>
      </w:pPr>
      <w:r w:rsidRPr="00E65666">
        <w:rPr>
          <w:rFonts w:ascii="Times New Roman" w:hAnsi="Times New Roman" w:cs="Times New Roman"/>
          <w:b/>
          <w:bCs/>
          <w:sz w:val="24"/>
          <w:szCs w:val="24"/>
        </w:rPr>
        <w:t>Respondents' Profile</w:t>
      </w:r>
    </w:p>
    <w:p w:rsidR="00BE032C" w:rsidRPr="00E65666" w:rsidRDefault="00BE032C" w:rsidP="002413E2">
      <w:pPr>
        <w:spacing w:after="0" w:line="240" w:lineRule="auto"/>
        <w:ind w:right="114"/>
        <w:jc w:val="both"/>
        <w:rPr>
          <w:rFonts w:ascii="Times New Roman" w:hAnsi="Times New Roman" w:cs="Times New Roman"/>
          <w:b/>
          <w:bCs/>
          <w:sz w:val="24"/>
          <w:szCs w:val="24"/>
        </w:rPr>
      </w:pPr>
    </w:p>
    <w:p w:rsidR="00F274CE" w:rsidRDefault="00F274CE" w:rsidP="002413E2">
      <w:pPr>
        <w:spacing w:after="0" w:line="240" w:lineRule="auto"/>
        <w:ind w:right="114"/>
        <w:jc w:val="both"/>
        <w:rPr>
          <w:rFonts w:ascii="Times New Roman" w:hAnsi="Times New Roman" w:cs="Times New Roman"/>
          <w:sz w:val="24"/>
          <w:szCs w:val="24"/>
        </w:rPr>
      </w:pPr>
      <w:r w:rsidRPr="00E65666">
        <w:rPr>
          <w:rFonts w:ascii="Times New Roman" w:hAnsi="Times New Roman" w:cs="Times New Roman"/>
          <w:sz w:val="24"/>
          <w:szCs w:val="24"/>
        </w:rPr>
        <w:t xml:space="preserve">       </w:t>
      </w:r>
      <w:r w:rsidR="00C220D4" w:rsidRPr="00E65666">
        <w:rPr>
          <w:rFonts w:ascii="Times New Roman" w:hAnsi="Times New Roman" w:cs="Times New Roman"/>
          <w:sz w:val="24"/>
          <w:szCs w:val="24"/>
        </w:rPr>
        <w:t>The study involved 56 respondents composed of academic heads/deans, program chairs/department heads, faculty members, and industry partners from selected Higher Education Institutions (HEIs) and hospitality-related organizations in Pasay City. The inclusion of both academic and industry representatives provided a comprehensive assessment of workplace competencies and faculty industry exposure from multiple professional perspectives.</w:t>
      </w:r>
    </w:p>
    <w:p w:rsidR="00BE032C" w:rsidRPr="00E65666" w:rsidRDefault="00BE032C" w:rsidP="002413E2">
      <w:pPr>
        <w:spacing w:after="0" w:line="240" w:lineRule="auto"/>
        <w:ind w:right="114"/>
        <w:jc w:val="both"/>
        <w:rPr>
          <w:rFonts w:ascii="Times New Roman" w:hAnsi="Times New Roman" w:cs="Times New Roman"/>
          <w:sz w:val="24"/>
          <w:szCs w:val="24"/>
        </w:rPr>
      </w:pPr>
    </w:p>
    <w:p w:rsidR="0030495E" w:rsidRDefault="00C220D4" w:rsidP="002413E2">
      <w:pPr>
        <w:spacing w:after="0" w:line="240" w:lineRule="auto"/>
        <w:ind w:right="114"/>
        <w:jc w:val="both"/>
        <w:rPr>
          <w:rFonts w:ascii="Times New Roman" w:hAnsi="Times New Roman" w:cs="Times New Roman"/>
          <w:b/>
          <w:bCs/>
          <w:sz w:val="24"/>
          <w:szCs w:val="24"/>
        </w:rPr>
      </w:pPr>
      <w:r w:rsidRPr="00E65666">
        <w:rPr>
          <w:rFonts w:ascii="Times New Roman" w:hAnsi="Times New Roman" w:cs="Times New Roman"/>
          <w:b/>
          <w:bCs/>
          <w:sz w:val="24"/>
          <w:szCs w:val="24"/>
        </w:rPr>
        <w:t xml:space="preserve">Workplace Competencies </w:t>
      </w:r>
    </w:p>
    <w:p w:rsidR="00BE032C" w:rsidRPr="00E65666" w:rsidRDefault="00BE032C" w:rsidP="002413E2">
      <w:pPr>
        <w:spacing w:after="0" w:line="240" w:lineRule="auto"/>
        <w:ind w:right="114"/>
        <w:jc w:val="both"/>
        <w:rPr>
          <w:rFonts w:ascii="Times New Roman" w:hAnsi="Times New Roman" w:cs="Times New Roman"/>
          <w:b/>
          <w:bCs/>
          <w:sz w:val="24"/>
          <w:szCs w:val="24"/>
        </w:rPr>
      </w:pPr>
    </w:p>
    <w:p w:rsidR="0030495E" w:rsidRDefault="00C220D4" w:rsidP="002413E2">
      <w:pPr>
        <w:spacing w:after="0" w:line="240" w:lineRule="auto"/>
        <w:ind w:right="114" w:firstLine="720"/>
        <w:jc w:val="both"/>
        <w:rPr>
          <w:rFonts w:ascii="Times New Roman" w:hAnsi="Times New Roman" w:cs="Times New Roman"/>
          <w:bCs/>
          <w:sz w:val="24"/>
          <w:szCs w:val="24"/>
        </w:rPr>
      </w:pPr>
      <w:r w:rsidRPr="00E65666">
        <w:rPr>
          <w:rFonts w:ascii="Times New Roman" w:hAnsi="Times New Roman" w:cs="Times New Roman"/>
          <w:bCs/>
          <w:sz w:val="24"/>
          <w:szCs w:val="24"/>
        </w:rPr>
        <w:t>The respondents assessed workplace competencies as</w:t>
      </w:r>
      <w:r w:rsidR="00B044EB">
        <w:rPr>
          <w:rFonts w:ascii="Times New Roman" w:hAnsi="Times New Roman" w:cs="Times New Roman"/>
          <w:bCs/>
          <w:sz w:val="24"/>
          <w:szCs w:val="24"/>
        </w:rPr>
        <w:t xml:space="preserve"> </w:t>
      </w:r>
      <w:r w:rsidRPr="00E65666">
        <w:rPr>
          <w:rFonts w:ascii="Times New Roman" w:hAnsi="Times New Roman" w:cs="Times New Roman"/>
          <w:bCs/>
          <w:sz w:val="24"/>
          <w:szCs w:val="24"/>
        </w:rPr>
        <w:t xml:space="preserve">Highly Evident, indicating that faculty members generally possess the competencies required to perform their academic and professional responsibilities effectively. Strong ratings were consistently observed across technical skills, transversal knowledge, socio-relational competence, competency management, teamwork, cultural awareness and professionalism, multitasking and time management, technology competence, problem-solving and decision-making, and client service skills. The overall findings suggest that faculty members demonstrate the knowledge, skills, and professional behaviors necessary to support effective instruction and respond to the evolving demands of higher education. </w:t>
      </w:r>
    </w:p>
    <w:p w:rsidR="00BE032C" w:rsidRPr="00E65666" w:rsidRDefault="00BE032C" w:rsidP="002413E2">
      <w:pPr>
        <w:spacing w:after="0" w:line="240" w:lineRule="auto"/>
        <w:ind w:right="114" w:firstLine="720"/>
        <w:jc w:val="both"/>
        <w:rPr>
          <w:rFonts w:ascii="Times New Roman" w:hAnsi="Times New Roman" w:cs="Times New Roman"/>
          <w:bCs/>
          <w:sz w:val="24"/>
          <w:szCs w:val="24"/>
        </w:rPr>
      </w:pPr>
    </w:p>
    <w:p w:rsidR="0030495E" w:rsidRDefault="00C220D4" w:rsidP="002413E2">
      <w:pPr>
        <w:spacing w:after="0" w:line="240" w:lineRule="auto"/>
        <w:ind w:right="114" w:firstLine="720"/>
        <w:jc w:val="both"/>
        <w:rPr>
          <w:rFonts w:ascii="Times New Roman" w:hAnsi="Times New Roman" w:cs="Times New Roman"/>
          <w:b/>
          <w:bCs/>
          <w:sz w:val="24"/>
          <w:szCs w:val="24"/>
        </w:rPr>
      </w:pPr>
      <w:r w:rsidRPr="00E65666">
        <w:rPr>
          <w:rFonts w:ascii="Times New Roman" w:hAnsi="Times New Roman" w:cs="Times New Roman"/>
          <w:bCs/>
          <w:sz w:val="24"/>
          <w:szCs w:val="24"/>
        </w:rPr>
        <w:t>These findings indicate that competency development extends beyond technical expertise and encompasses interpersonal, organizational, and technological capabilities that contribute to instructional quality. Faculty members who continuously strengthen these competencies are better equipped to integrate industry-relevant practices into teaching, respond to changing educational demands, and prepare students for professional practice. This finding is consistent with previous studies emphasizing that continuous professional development and competency enhancement improve teaching effectiveness and graduate employability</w:t>
      </w:r>
      <w:r w:rsidRPr="00E65666">
        <w:rPr>
          <w:rFonts w:ascii="Times New Roman" w:hAnsi="Times New Roman" w:cs="Times New Roman"/>
          <w:b/>
          <w:bCs/>
          <w:sz w:val="24"/>
          <w:szCs w:val="24"/>
        </w:rPr>
        <w:t xml:space="preserve">. </w:t>
      </w:r>
    </w:p>
    <w:p w:rsidR="00BE032C" w:rsidRPr="00E65666" w:rsidRDefault="00BE032C" w:rsidP="002413E2">
      <w:pPr>
        <w:spacing w:after="0" w:line="240" w:lineRule="auto"/>
        <w:ind w:right="114" w:firstLine="720"/>
        <w:jc w:val="both"/>
        <w:rPr>
          <w:rFonts w:ascii="Times New Roman" w:hAnsi="Times New Roman" w:cs="Times New Roman"/>
          <w:b/>
          <w:bCs/>
          <w:sz w:val="24"/>
          <w:szCs w:val="24"/>
        </w:rPr>
      </w:pPr>
    </w:p>
    <w:p w:rsidR="0030495E" w:rsidRDefault="00F274CE" w:rsidP="002413E2">
      <w:pPr>
        <w:spacing w:after="0" w:line="240" w:lineRule="auto"/>
        <w:ind w:right="114"/>
        <w:jc w:val="both"/>
        <w:rPr>
          <w:rFonts w:ascii="Times New Roman" w:hAnsi="Times New Roman" w:cs="Times New Roman"/>
          <w:b/>
          <w:sz w:val="24"/>
          <w:szCs w:val="24"/>
        </w:rPr>
      </w:pPr>
      <w:r w:rsidRPr="00E65666">
        <w:rPr>
          <w:rFonts w:ascii="Times New Roman" w:hAnsi="Times New Roman" w:cs="Times New Roman"/>
          <w:sz w:val="24"/>
          <w:szCs w:val="24"/>
        </w:rPr>
        <w:t xml:space="preserve"> </w:t>
      </w:r>
      <w:r w:rsidR="0030495E" w:rsidRPr="00E65666">
        <w:rPr>
          <w:rFonts w:ascii="Times New Roman" w:hAnsi="Times New Roman" w:cs="Times New Roman"/>
          <w:b/>
          <w:sz w:val="24"/>
          <w:szCs w:val="24"/>
        </w:rPr>
        <w:t xml:space="preserve">Faculty Industry Exposure </w:t>
      </w:r>
    </w:p>
    <w:p w:rsidR="00BE032C" w:rsidRPr="00E65666" w:rsidRDefault="00BE032C" w:rsidP="002413E2">
      <w:pPr>
        <w:spacing w:after="0" w:line="240" w:lineRule="auto"/>
        <w:ind w:right="114"/>
        <w:jc w:val="both"/>
        <w:rPr>
          <w:rFonts w:ascii="Times New Roman" w:hAnsi="Times New Roman" w:cs="Times New Roman"/>
          <w:b/>
          <w:sz w:val="24"/>
          <w:szCs w:val="24"/>
        </w:rPr>
      </w:pPr>
    </w:p>
    <w:p w:rsidR="00F274CE" w:rsidRDefault="0030495E" w:rsidP="002413E2">
      <w:pPr>
        <w:spacing w:after="0" w:line="240" w:lineRule="auto"/>
        <w:ind w:right="114"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Faculty industry exposure was likewise assessed as </w:t>
      </w:r>
      <w:r w:rsidRPr="00B044EB">
        <w:rPr>
          <w:rFonts w:ascii="Times New Roman" w:hAnsi="Times New Roman" w:cs="Times New Roman"/>
          <w:bCs/>
          <w:sz w:val="24"/>
          <w:szCs w:val="24"/>
        </w:rPr>
        <w:t>Highly Evident</w:t>
      </w:r>
      <w:r w:rsidRPr="00B044EB">
        <w:rPr>
          <w:rFonts w:ascii="Times New Roman" w:hAnsi="Times New Roman" w:cs="Times New Roman"/>
          <w:sz w:val="24"/>
          <w:szCs w:val="24"/>
        </w:rPr>
        <w:t>,</w:t>
      </w:r>
      <w:r w:rsidRPr="00E65666">
        <w:rPr>
          <w:rFonts w:ascii="Times New Roman" w:hAnsi="Times New Roman" w:cs="Times New Roman"/>
          <w:sz w:val="24"/>
          <w:szCs w:val="24"/>
        </w:rPr>
        <w:t xml:space="preserve"> reflecting active participation in industry immersion, professional training, collaborative activities, networking initiatives, and the integration of workplace experiences into instructional practice. Respondents recognized that sustained engagement with industry contributes to curriculum relevance, instructional innovation, and the continuous enhancement of faculty competencies. The results demonstrate that meaningful industry exposure enables faculty members to align classroom instruction with current workplace practices. Regular interaction with industry partners provides opportunities to update professional knowledge, adopt emerging technologies, and incorporate authentic workplace experiences into teaching. Such collaboration strengthens the connection between higher education and industry while supporting the development of graduates who are better prepared for employment.</w:t>
      </w:r>
    </w:p>
    <w:p w:rsidR="00171064" w:rsidRDefault="00171064" w:rsidP="002413E2">
      <w:pPr>
        <w:spacing w:after="0" w:line="240" w:lineRule="auto"/>
        <w:ind w:right="114" w:firstLine="720"/>
        <w:jc w:val="both"/>
        <w:rPr>
          <w:rFonts w:ascii="Times New Roman" w:hAnsi="Times New Roman" w:cs="Times New Roman"/>
          <w:sz w:val="24"/>
          <w:szCs w:val="24"/>
        </w:rPr>
      </w:pPr>
    </w:p>
    <w:p w:rsidR="00171064" w:rsidRDefault="00171064" w:rsidP="002413E2">
      <w:pPr>
        <w:spacing w:after="0" w:line="240" w:lineRule="auto"/>
        <w:ind w:right="114" w:firstLine="720"/>
        <w:jc w:val="both"/>
        <w:rPr>
          <w:rFonts w:ascii="Times New Roman" w:hAnsi="Times New Roman" w:cs="Times New Roman"/>
          <w:sz w:val="24"/>
          <w:szCs w:val="24"/>
        </w:rPr>
      </w:pPr>
    </w:p>
    <w:p w:rsidR="00171064" w:rsidRDefault="00171064" w:rsidP="002413E2">
      <w:pPr>
        <w:spacing w:after="0" w:line="240" w:lineRule="auto"/>
        <w:ind w:right="114" w:firstLine="720"/>
        <w:jc w:val="both"/>
        <w:rPr>
          <w:rFonts w:ascii="Times New Roman" w:hAnsi="Times New Roman" w:cs="Times New Roman"/>
          <w:sz w:val="24"/>
          <w:szCs w:val="24"/>
        </w:rPr>
      </w:pPr>
    </w:p>
    <w:p w:rsidR="00BE032C" w:rsidRPr="00E65666" w:rsidRDefault="00BE032C" w:rsidP="002413E2">
      <w:pPr>
        <w:spacing w:after="0" w:line="240" w:lineRule="auto"/>
        <w:ind w:right="114" w:firstLine="720"/>
        <w:jc w:val="both"/>
        <w:rPr>
          <w:rFonts w:ascii="Times New Roman" w:hAnsi="Times New Roman" w:cs="Times New Roman"/>
          <w:sz w:val="24"/>
          <w:szCs w:val="24"/>
        </w:rPr>
      </w:pPr>
    </w:p>
    <w:p w:rsidR="00F274CE" w:rsidRDefault="00F274CE" w:rsidP="002413E2">
      <w:pPr>
        <w:spacing w:after="0" w:line="240" w:lineRule="auto"/>
        <w:ind w:right="114"/>
        <w:jc w:val="both"/>
        <w:rPr>
          <w:rFonts w:ascii="Times New Roman" w:hAnsi="Times New Roman" w:cs="Times New Roman"/>
          <w:b/>
          <w:bCs/>
          <w:sz w:val="24"/>
          <w:szCs w:val="24"/>
        </w:rPr>
      </w:pPr>
      <w:r w:rsidRPr="00E65666">
        <w:rPr>
          <w:rFonts w:ascii="Times New Roman" w:hAnsi="Times New Roman" w:cs="Times New Roman"/>
          <w:b/>
          <w:bCs/>
          <w:sz w:val="24"/>
          <w:szCs w:val="24"/>
        </w:rPr>
        <w:lastRenderedPageBreak/>
        <w:t>Difference in the Respondents' Assessment</w:t>
      </w:r>
    </w:p>
    <w:p w:rsidR="00BE032C" w:rsidRPr="00E65666" w:rsidRDefault="00BE032C" w:rsidP="002413E2">
      <w:pPr>
        <w:spacing w:after="0" w:line="240" w:lineRule="auto"/>
        <w:ind w:right="114"/>
        <w:jc w:val="both"/>
        <w:rPr>
          <w:rFonts w:ascii="Times New Roman" w:hAnsi="Times New Roman" w:cs="Times New Roman"/>
          <w:b/>
          <w:bCs/>
          <w:sz w:val="24"/>
          <w:szCs w:val="24"/>
        </w:rPr>
      </w:pPr>
    </w:p>
    <w:p w:rsidR="0030495E" w:rsidRPr="00E65666" w:rsidRDefault="0030495E" w:rsidP="002413E2">
      <w:pPr>
        <w:spacing w:after="0" w:line="240" w:lineRule="auto"/>
        <w:ind w:right="114"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The findings revealed no statistically significant differences in most workplace competency dimensions among academic heads, program chairs, faculty members, and industry partners. This indicates that the respondents generally shared similar perceptions regarding faculty competencies despite their different professional roles. However, a significant difference was observed in the assessment of problem-solving and decision-making, suggesting that administrative and instructional personnel may view these competencies from different operational perspectives. </w:t>
      </w:r>
    </w:p>
    <w:p w:rsidR="0030495E" w:rsidRDefault="0030495E" w:rsidP="002413E2">
      <w:pPr>
        <w:spacing w:after="0" w:line="240" w:lineRule="auto"/>
        <w:ind w:right="114" w:firstLine="720"/>
        <w:jc w:val="both"/>
        <w:rPr>
          <w:rFonts w:ascii="Times New Roman" w:hAnsi="Times New Roman" w:cs="Times New Roman"/>
          <w:sz w:val="24"/>
          <w:szCs w:val="24"/>
        </w:rPr>
      </w:pPr>
      <w:r w:rsidRPr="00E65666">
        <w:rPr>
          <w:rFonts w:ascii="Times New Roman" w:hAnsi="Times New Roman" w:cs="Times New Roman"/>
          <w:sz w:val="24"/>
          <w:szCs w:val="24"/>
        </w:rPr>
        <w:t>The consistency of the respondents' assessments reflects a common understanding of the competencies expected of faculty members within higher education. The isolated difference in problem-solving and decision-making may be attributed to differences in organizational responsibilities and the varying levels of involvement in academic and administrative decision-making processes.</w:t>
      </w:r>
    </w:p>
    <w:p w:rsidR="00BE032C" w:rsidRPr="00E65666" w:rsidRDefault="00BE032C" w:rsidP="002413E2">
      <w:pPr>
        <w:spacing w:after="0" w:line="240" w:lineRule="auto"/>
        <w:ind w:right="114" w:firstLine="720"/>
        <w:jc w:val="both"/>
        <w:rPr>
          <w:rFonts w:ascii="Times New Roman" w:hAnsi="Times New Roman" w:cs="Times New Roman"/>
          <w:sz w:val="24"/>
          <w:szCs w:val="24"/>
        </w:rPr>
      </w:pPr>
    </w:p>
    <w:p w:rsidR="00F274CE" w:rsidRDefault="00F274CE" w:rsidP="002413E2">
      <w:pPr>
        <w:spacing w:after="0" w:line="240" w:lineRule="auto"/>
        <w:ind w:right="114"/>
        <w:jc w:val="both"/>
        <w:rPr>
          <w:rFonts w:ascii="Times New Roman" w:hAnsi="Times New Roman" w:cs="Times New Roman"/>
          <w:b/>
          <w:bCs/>
          <w:sz w:val="24"/>
          <w:szCs w:val="24"/>
        </w:rPr>
      </w:pPr>
      <w:r w:rsidRPr="00E65666">
        <w:rPr>
          <w:rFonts w:ascii="Times New Roman" w:hAnsi="Times New Roman" w:cs="Times New Roman"/>
          <w:b/>
          <w:bCs/>
          <w:sz w:val="24"/>
          <w:szCs w:val="24"/>
        </w:rPr>
        <w:t xml:space="preserve">Relationship Between </w:t>
      </w:r>
      <w:r w:rsidR="002D2353">
        <w:rPr>
          <w:rFonts w:ascii="Times New Roman" w:hAnsi="Times New Roman" w:cs="Times New Roman"/>
          <w:b/>
          <w:bCs/>
          <w:sz w:val="24"/>
          <w:szCs w:val="24"/>
        </w:rPr>
        <w:t>Workplace Competencies</w:t>
      </w:r>
      <w:r w:rsidRPr="00E65666">
        <w:rPr>
          <w:rFonts w:ascii="Times New Roman" w:hAnsi="Times New Roman" w:cs="Times New Roman"/>
          <w:b/>
          <w:bCs/>
          <w:sz w:val="24"/>
          <w:szCs w:val="24"/>
        </w:rPr>
        <w:t xml:space="preserve"> and </w:t>
      </w:r>
      <w:r w:rsidR="002D2353">
        <w:rPr>
          <w:rFonts w:ascii="Times New Roman" w:hAnsi="Times New Roman" w:cs="Times New Roman"/>
          <w:b/>
          <w:bCs/>
          <w:sz w:val="24"/>
          <w:szCs w:val="24"/>
        </w:rPr>
        <w:t>Faculty Industry Exposure</w:t>
      </w:r>
    </w:p>
    <w:p w:rsidR="00BE032C" w:rsidRPr="00E65666" w:rsidRDefault="00BE032C" w:rsidP="002413E2">
      <w:pPr>
        <w:spacing w:after="0" w:line="240" w:lineRule="auto"/>
        <w:ind w:right="114"/>
        <w:jc w:val="both"/>
        <w:rPr>
          <w:rFonts w:ascii="Times New Roman" w:hAnsi="Times New Roman" w:cs="Times New Roman"/>
          <w:b/>
          <w:bCs/>
          <w:sz w:val="24"/>
          <w:szCs w:val="24"/>
        </w:rPr>
      </w:pPr>
    </w:p>
    <w:p w:rsidR="0030495E" w:rsidRDefault="00F274CE" w:rsidP="002413E2">
      <w:pPr>
        <w:spacing w:after="0" w:line="240" w:lineRule="auto"/>
        <w:ind w:right="114"/>
        <w:jc w:val="both"/>
        <w:rPr>
          <w:rFonts w:ascii="Times New Roman" w:hAnsi="Times New Roman" w:cs="Times New Roman"/>
          <w:sz w:val="24"/>
          <w:szCs w:val="24"/>
        </w:rPr>
      </w:pPr>
      <w:r w:rsidRPr="00E65666">
        <w:rPr>
          <w:rFonts w:ascii="Times New Roman" w:hAnsi="Times New Roman" w:cs="Times New Roman"/>
          <w:sz w:val="24"/>
          <w:szCs w:val="24"/>
        </w:rPr>
        <w:t xml:space="preserve">       </w:t>
      </w:r>
      <w:r w:rsidR="0030495E" w:rsidRPr="00E65666">
        <w:rPr>
          <w:rFonts w:ascii="Times New Roman" w:hAnsi="Times New Roman" w:cs="Times New Roman"/>
          <w:sz w:val="24"/>
          <w:szCs w:val="24"/>
        </w:rPr>
        <w:t xml:space="preserve">The study established statistically significant relationships between several dimensions of workplace competencies and faculty industry exposure. Stronger associations were observed in areas related to technical competence, socio-relational skills, client service, technology competence, and problem-solving, particularly when faculty members participated in sustained industry engagement, maintained professional networks, and received institutional support. </w:t>
      </w:r>
    </w:p>
    <w:p w:rsidR="00BE032C" w:rsidRPr="00E65666" w:rsidRDefault="00BE032C" w:rsidP="002413E2">
      <w:pPr>
        <w:spacing w:after="0" w:line="240" w:lineRule="auto"/>
        <w:ind w:right="114"/>
        <w:jc w:val="both"/>
        <w:rPr>
          <w:rFonts w:ascii="Times New Roman" w:hAnsi="Times New Roman" w:cs="Times New Roman"/>
          <w:sz w:val="24"/>
          <w:szCs w:val="24"/>
        </w:rPr>
      </w:pPr>
    </w:p>
    <w:p w:rsidR="0030495E" w:rsidRDefault="0030495E" w:rsidP="002413E2">
      <w:pPr>
        <w:spacing w:after="0" w:line="240" w:lineRule="auto"/>
        <w:ind w:right="114" w:firstLine="720"/>
        <w:jc w:val="both"/>
        <w:rPr>
          <w:rFonts w:ascii="Times New Roman" w:hAnsi="Times New Roman" w:cs="Times New Roman"/>
          <w:sz w:val="24"/>
          <w:szCs w:val="24"/>
        </w:rPr>
      </w:pPr>
      <w:r w:rsidRPr="00E65666">
        <w:rPr>
          <w:rFonts w:ascii="Times New Roman" w:hAnsi="Times New Roman" w:cs="Times New Roman"/>
          <w:sz w:val="24"/>
          <w:szCs w:val="24"/>
        </w:rPr>
        <w:t>These findings suggest that industry exposure contributes meaningfully to competency development by providing faculty members with opportunities to apply theoretical knowledge in authentic workplace settings. Rather than functioning as isolated professional activities, industry immersion, networking, and collaboration appear to reinforce instructional competence and strengthen educators' ability to deliver industry-responsive learning experiences. This underscores the importance of sustained industry-academe partnerships as a mechanism for improving instructional quality and institutional responsiveness.</w:t>
      </w:r>
    </w:p>
    <w:p w:rsidR="00BE032C" w:rsidRPr="00E65666" w:rsidRDefault="00BE032C" w:rsidP="002413E2">
      <w:pPr>
        <w:spacing w:after="0" w:line="240" w:lineRule="auto"/>
        <w:ind w:right="114" w:firstLine="720"/>
        <w:jc w:val="both"/>
        <w:rPr>
          <w:rFonts w:ascii="Times New Roman" w:hAnsi="Times New Roman" w:cs="Times New Roman"/>
          <w:sz w:val="24"/>
          <w:szCs w:val="24"/>
        </w:rPr>
      </w:pPr>
    </w:p>
    <w:p w:rsidR="00F274CE" w:rsidRDefault="00F274CE" w:rsidP="002413E2">
      <w:pPr>
        <w:spacing w:after="0" w:line="240" w:lineRule="auto"/>
        <w:ind w:right="114"/>
        <w:jc w:val="both"/>
        <w:rPr>
          <w:rFonts w:ascii="Times New Roman" w:hAnsi="Times New Roman" w:cs="Times New Roman"/>
          <w:b/>
          <w:bCs/>
          <w:sz w:val="24"/>
          <w:szCs w:val="24"/>
        </w:rPr>
      </w:pPr>
      <w:r w:rsidRPr="00E65666">
        <w:rPr>
          <w:rFonts w:ascii="Times New Roman" w:hAnsi="Times New Roman" w:cs="Times New Roman"/>
          <w:b/>
          <w:bCs/>
          <w:sz w:val="24"/>
          <w:szCs w:val="24"/>
        </w:rPr>
        <w:t>Problems Encountered</w:t>
      </w:r>
    </w:p>
    <w:p w:rsidR="00BE032C" w:rsidRPr="00E65666" w:rsidRDefault="00BE032C" w:rsidP="002413E2">
      <w:pPr>
        <w:spacing w:after="0" w:line="240" w:lineRule="auto"/>
        <w:ind w:right="114"/>
        <w:jc w:val="both"/>
        <w:rPr>
          <w:rFonts w:ascii="Times New Roman" w:hAnsi="Times New Roman" w:cs="Times New Roman"/>
          <w:b/>
          <w:bCs/>
          <w:sz w:val="24"/>
          <w:szCs w:val="24"/>
        </w:rPr>
      </w:pPr>
    </w:p>
    <w:p w:rsidR="0030495E" w:rsidRDefault="0030495E" w:rsidP="002413E2">
      <w:pPr>
        <w:spacing w:after="0" w:line="240" w:lineRule="auto"/>
        <w:ind w:right="114"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The respondents reported that problems related to workplace competencies and faculty industry exposure were generally </w:t>
      </w:r>
      <w:r w:rsidRPr="00B044EB">
        <w:rPr>
          <w:rFonts w:ascii="Times New Roman" w:hAnsi="Times New Roman" w:cs="Times New Roman"/>
          <w:bCs/>
          <w:sz w:val="24"/>
          <w:szCs w:val="24"/>
        </w:rPr>
        <w:t>Very Least Encountered</w:t>
      </w:r>
      <w:r w:rsidRPr="00E65666">
        <w:rPr>
          <w:rFonts w:ascii="Times New Roman" w:hAnsi="Times New Roman" w:cs="Times New Roman"/>
          <w:sz w:val="24"/>
          <w:szCs w:val="24"/>
        </w:rPr>
        <w:t>, indicating that existing faculty development initiatives and institutional practices effectively supported professional growth. Nevertheless, respondents identified areas requiring continued attention, including access to updated instructional resources, opportunities for industry engagement, and mechanisms that facilitate continuous professional development.</w:t>
      </w:r>
    </w:p>
    <w:p w:rsidR="00BE032C" w:rsidRPr="00E65666" w:rsidRDefault="00BE032C" w:rsidP="002413E2">
      <w:pPr>
        <w:spacing w:after="0" w:line="240" w:lineRule="auto"/>
        <w:ind w:right="114" w:firstLine="720"/>
        <w:jc w:val="both"/>
        <w:rPr>
          <w:rFonts w:ascii="Times New Roman" w:hAnsi="Times New Roman" w:cs="Times New Roman"/>
          <w:sz w:val="24"/>
          <w:szCs w:val="24"/>
        </w:rPr>
      </w:pPr>
    </w:p>
    <w:p w:rsidR="0030495E" w:rsidRDefault="0030495E" w:rsidP="002413E2">
      <w:pPr>
        <w:spacing w:after="0" w:line="240" w:lineRule="auto"/>
        <w:ind w:right="114" w:firstLine="720"/>
        <w:jc w:val="both"/>
        <w:rPr>
          <w:rFonts w:ascii="Times New Roman" w:hAnsi="Times New Roman" w:cs="Times New Roman"/>
          <w:sz w:val="24"/>
          <w:szCs w:val="24"/>
        </w:rPr>
      </w:pPr>
      <w:r w:rsidRPr="00E65666">
        <w:rPr>
          <w:rFonts w:ascii="Times New Roman" w:hAnsi="Times New Roman" w:cs="Times New Roman"/>
          <w:sz w:val="24"/>
          <w:szCs w:val="24"/>
        </w:rPr>
        <w:t>Although these concerns were reported at relatively low levels, addressing them proactively may help institutions strengthen faculty competencies and sustain meaningful collaboration with industry partners.</w:t>
      </w:r>
    </w:p>
    <w:p w:rsidR="00BE032C" w:rsidRPr="00E65666" w:rsidRDefault="00BE032C" w:rsidP="002413E2">
      <w:pPr>
        <w:spacing w:after="0" w:line="240" w:lineRule="auto"/>
        <w:ind w:right="114" w:firstLine="720"/>
        <w:jc w:val="both"/>
        <w:rPr>
          <w:rFonts w:ascii="Times New Roman" w:hAnsi="Times New Roman" w:cs="Times New Roman"/>
          <w:sz w:val="24"/>
          <w:szCs w:val="24"/>
        </w:rPr>
      </w:pPr>
    </w:p>
    <w:p w:rsidR="00F274CE" w:rsidRDefault="00F274CE" w:rsidP="002413E2">
      <w:pPr>
        <w:spacing w:after="0" w:line="240" w:lineRule="auto"/>
        <w:ind w:right="114"/>
        <w:jc w:val="both"/>
        <w:rPr>
          <w:rFonts w:ascii="Times New Roman" w:hAnsi="Times New Roman" w:cs="Times New Roman"/>
          <w:b/>
          <w:bCs/>
          <w:sz w:val="24"/>
          <w:szCs w:val="24"/>
        </w:rPr>
      </w:pPr>
      <w:r w:rsidRPr="00E65666">
        <w:rPr>
          <w:rFonts w:ascii="Times New Roman" w:hAnsi="Times New Roman" w:cs="Times New Roman"/>
          <w:b/>
          <w:bCs/>
          <w:sz w:val="24"/>
          <w:szCs w:val="24"/>
        </w:rPr>
        <w:t>Acceptability of the Strategic Enhancement Plan</w:t>
      </w:r>
    </w:p>
    <w:p w:rsidR="00BE032C" w:rsidRPr="00B044EB" w:rsidRDefault="00BE032C" w:rsidP="002413E2">
      <w:pPr>
        <w:spacing w:after="0" w:line="240" w:lineRule="auto"/>
        <w:ind w:right="114"/>
        <w:jc w:val="both"/>
        <w:rPr>
          <w:rFonts w:ascii="Times New Roman" w:hAnsi="Times New Roman" w:cs="Times New Roman"/>
          <w:bCs/>
          <w:sz w:val="24"/>
          <w:szCs w:val="24"/>
        </w:rPr>
      </w:pPr>
    </w:p>
    <w:p w:rsidR="0030495E" w:rsidRPr="00E65666" w:rsidRDefault="0030495E" w:rsidP="002413E2">
      <w:pPr>
        <w:spacing w:after="0" w:line="240" w:lineRule="auto"/>
        <w:ind w:right="114" w:firstLine="720"/>
        <w:jc w:val="both"/>
        <w:rPr>
          <w:rFonts w:ascii="Times New Roman" w:hAnsi="Times New Roman" w:cs="Times New Roman"/>
          <w:sz w:val="24"/>
          <w:szCs w:val="24"/>
        </w:rPr>
      </w:pPr>
      <w:r w:rsidRPr="00B044EB">
        <w:rPr>
          <w:rFonts w:ascii="Times New Roman" w:hAnsi="Times New Roman" w:cs="Times New Roman"/>
          <w:sz w:val="24"/>
          <w:szCs w:val="24"/>
        </w:rPr>
        <w:t xml:space="preserve">The proposed Institutional Sustainability Program obtained a </w:t>
      </w:r>
      <w:r w:rsidRPr="00B044EB">
        <w:rPr>
          <w:rFonts w:ascii="Times New Roman" w:hAnsi="Times New Roman" w:cs="Times New Roman"/>
          <w:bCs/>
          <w:sz w:val="24"/>
          <w:szCs w:val="24"/>
        </w:rPr>
        <w:t>Highly Acceptable</w:t>
      </w:r>
      <w:r w:rsidR="00B044EB">
        <w:rPr>
          <w:rFonts w:ascii="Times New Roman" w:hAnsi="Times New Roman" w:cs="Times New Roman"/>
          <w:b/>
          <w:bCs/>
          <w:sz w:val="24"/>
          <w:szCs w:val="24"/>
        </w:rPr>
        <w:t xml:space="preserve"> </w:t>
      </w:r>
      <w:r w:rsidRPr="00E65666">
        <w:rPr>
          <w:rFonts w:ascii="Times New Roman" w:hAnsi="Times New Roman" w:cs="Times New Roman"/>
          <w:sz w:val="24"/>
          <w:szCs w:val="24"/>
        </w:rPr>
        <w:t xml:space="preserve">rating, demonstrating strong support from the respondents. The program was perceived as relevant, practical, and capable of addressing the identified needs related to workplace competencies and faculty industry exposure. Respondents also recognized its potential to strengthen institutional policies, faculty development initiatives, and industry-academe collaboration. </w:t>
      </w:r>
    </w:p>
    <w:p w:rsidR="0030495E" w:rsidRDefault="0030495E" w:rsidP="002413E2">
      <w:pPr>
        <w:spacing w:after="0" w:line="240" w:lineRule="auto"/>
        <w:ind w:right="114" w:firstLine="720"/>
        <w:jc w:val="both"/>
        <w:rPr>
          <w:rFonts w:ascii="Times New Roman" w:hAnsi="Times New Roman" w:cs="Times New Roman"/>
          <w:sz w:val="24"/>
          <w:szCs w:val="24"/>
        </w:rPr>
      </w:pPr>
      <w:r w:rsidRPr="00E65666">
        <w:rPr>
          <w:rFonts w:ascii="Times New Roman" w:hAnsi="Times New Roman" w:cs="Times New Roman"/>
          <w:sz w:val="24"/>
          <w:szCs w:val="24"/>
        </w:rPr>
        <w:t>The high level of acceptability indicates that the proposed program provides a practical framework for supporting continuous professional development while promoting institutional sustainability. Through systematic faculty development, stronger industry partnerships, and competency-based initiatives, the program offers higher education institutions a strategic approach to improving instructional quality and preparing graduates for the changing demands of the workplace.</w:t>
      </w:r>
    </w:p>
    <w:p w:rsidR="00BE032C" w:rsidRPr="00E65666" w:rsidRDefault="00BE032C" w:rsidP="002413E2">
      <w:pPr>
        <w:spacing w:after="0" w:line="240" w:lineRule="auto"/>
        <w:ind w:right="114" w:firstLine="720"/>
        <w:jc w:val="both"/>
        <w:rPr>
          <w:rFonts w:ascii="Times New Roman" w:hAnsi="Times New Roman" w:cs="Times New Roman"/>
          <w:sz w:val="24"/>
          <w:szCs w:val="24"/>
        </w:rPr>
      </w:pPr>
    </w:p>
    <w:p w:rsidR="00F274CE" w:rsidRDefault="00F274CE" w:rsidP="002413E2">
      <w:pPr>
        <w:spacing w:after="0" w:line="240" w:lineRule="auto"/>
        <w:ind w:right="114"/>
        <w:jc w:val="both"/>
        <w:rPr>
          <w:rFonts w:ascii="Times New Roman" w:hAnsi="Times New Roman" w:cs="Times New Roman"/>
          <w:b/>
          <w:bCs/>
          <w:sz w:val="24"/>
          <w:szCs w:val="24"/>
        </w:rPr>
      </w:pPr>
      <w:r w:rsidRPr="00E65666">
        <w:rPr>
          <w:rFonts w:ascii="Times New Roman" w:hAnsi="Times New Roman" w:cs="Times New Roman"/>
          <w:b/>
          <w:bCs/>
          <w:sz w:val="24"/>
          <w:szCs w:val="24"/>
        </w:rPr>
        <w:t>Conclusion</w:t>
      </w:r>
    </w:p>
    <w:p w:rsidR="00BE032C" w:rsidRPr="00E65666" w:rsidRDefault="00BE032C" w:rsidP="002413E2">
      <w:pPr>
        <w:spacing w:after="0" w:line="240" w:lineRule="auto"/>
        <w:ind w:right="114"/>
        <w:jc w:val="both"/>
        <w:rPr>
          <w:rFonts w:ascii="Times New Roman" w:hAnsi="Times New Roman" w:cs="Times New Roman"/>
          <w:b/>
          <w:bCs/>
          <w:sz w:val="24"/>
          <w:szCs w:val="24"/>
        </w:rPr>
      </w:pPr>
    </w:p>
    <w:p w:rsidR="00BE032C" w:rsidRDefault="0030495E"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lastRenderedPageBreak/>
        <w:t>This study demonstrates that workplace competencies and faculty industry exposure are closely associated in supporting effective instruction and institutional development among selected Higher Education Institutions in Pasay City. Faculty members generally exhibited strong workplace competencies while maintaining meaningful engagement with industry, indicating that academic expertise complemented by professional experience contributes to more responsive and relevant teaching practices.</w:t>
      </w:r>
      <w:r w:rsidRPr="00E65666">
        <w:rPr>
          <w:rFonts w:ascii="Times New Roman" w:hAnsi="Times New Roman" w:cs="Times New Roman"/>
          <w:sz w:val="24"/>
          <w:szCs w:val="24"/>
        </w:rPr>
        <w:tab/>
        <w:t xml:space="preserve">The findings further suggest that sustained industry engagement provides valuable opportunities for faculty members to strengthen their technical, interpersonal, and professional competencies while enhancing curriculum relevance and preparing students for the expectations of the contemporary workplace. Although existing faculty development initiatives have contributed positively to competency enhancement, challenges related to institutional support, workload, resource availability, and monitoring systems continue to influence the sustainability of industry engagement activities. </w:t>
      </w:r>
      <w:r w:rsidRPr="00E65666">
        <w:rPr>
          <w:rFonts w:ascii="Times New Roman" w:hAnsi="Times New Roman" w:cs="Times New Roman"/>
          <w:sz w:val="24"/>
          <w:szCs w:val="24"/>
        </w:rPr>
        <w:tab/>
      </w:r>
      <w:r w:rsidRPr="00E65666">
        <w:rPr>
          <w:rFonts w:ascii="Times New Roman" w:hAnsi="Times New Roman" w:cs="Times New Roman"/>
          <w:sz w:val="24"/>
          <w:szCs w:val="24"/>
        </w:rPr>
        <w:tab/>
      </w:r>
    </w:p>
    <w:p w:rsidR="00BE032C" w:rsidRDefault="00BE032C" w:rsidP="002413E2">
      <w:pPr>
        <w:spacing w:after="0" w:line="240" w:lineRule="auto"/>
        <w:ind w:firstLine="720"/>
        <w:jc w:val="both"/>
        <w:rPr>
          <w:rFonts w:ascii="Times New Roman" w:hAnsi="Times New Roman" w:cs="Times New Roman"/>
          <w:sz w:val="24"/>
          <w:szCs w:val="24"/>
        </w:rPr>
      </w:pPr>
    </w:p>
    <w:p w:rsidR="0030495E" w:rsidRDefault="0030495E"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The proposed Institutional Sustainability Program offers a practical framework for strengthening faculty development through continuous professional learning and stronger industry-academe collaboration. By promoting long-term partnerships, institutional support, and competency-based professional development, higher education institutions can enhance instructional quality, improve graduate preparedness, and respond more effectively to the evolving demands of the hospitality industry and the broader workforce.</w:t>
      </w:r>
    </w:p>
    <w:p w:rsidR="00BE032C" w:rsidRPr="00E65666" w:rsidRDefault="00BE032C" w:rsidP="002413E2">
      <w:pPr>
        <w:spacing w:after="0" w:line="240" w:lineRule="auto"/>
        <w:ind w:firstLine="720"/>
        <w:jc w:val="both"/>
        <w:rPr>
          <w:rFonts w:ascii="Times New Roman" w:hAnsi="Times New Roman" w:cs="Times New Roman"/>
          <w:sz w:val="24"/>
          <w:szCs w:val="24"/>
        </w:rPr>
      </w:pPr>
    </w:p>
    <w:p w:rsidR="00F274CE" w:rsidRDefault="00F274CE" w:rsidP="002413E2">
      <w:pPr>
        <w:spacing w:after="0" w:line="240" w:lineRule="auto"/>
        <w:jc w:val="both"/>
        <w:rPr>
          <w:rFonts w:ascii="Times New Roman" w:hAnsi="Times New Roman" w:cs="Times New Roman"/>
          <w:b/>
          <w:bCs/>
          <w:sz w:val="24"/>
          <w:szCs w:val="24"/>
        </w:rPr>
      </w:pPr>
      <w:r w:rsidRPr="00E65666">
        <w:rPr>
          <w:rFonts w:ascii="Times New Roman" w:hAnsi="Times New Roman" w:cs="Times New Roman"/>
          <w:b/>
          <w:bCs/>
          <w:sz w:val="24"/>
          <w:szCs w:val="24"/>
        </w:rPr>
        <w:t>Recommendation</w:t>
      </w:r>
    </w:p>
    <w:p w:rsidR="00BE032C" w:rsidRPr="00E65666" w:rsidRDefault="00BE032C" w:rsidP="002413E2">
      <w:pPr>
        <w:spacing w:after="0" w:line="240" w:lineRule="auto"/>
        <w:jc w:val="both"/>
        <w:rPr>
          <w:rFonts w:ascii="Times New Roman" w:hAnsi="Times New Roman" w:cs="Times New Roman"/>
          <w:b/>
          <w:bCs/>
          <w:sz w:val="24"/>
          <w:szCs w:val="24"/>
        </w:rPr>
      </w:pPr>
    </w:p>
    <w:p w:rsidR="00BE032C" w:rsidRDefault="0030495E"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Based on the findings of the study, Higher Education Institutions are encouraged to strengthen faculty development initiatives by providing sustained opportunities for industry immersion, professional training, collaborative research, and partnerships with relevant industry organizations. These initiatives can help faculty members maintain current industry knowledge, enhance workplace competencies, and integrate practical experiences into classroom instruction.</w:t>
      </w:r>
    </w:p>
    <w:p w:rsidR="00226B0B" w:rsidRDefault="0030495E"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 </w:t>
      </w:r>
      <w:r w:rsidR="00226B0B">
        <w:rPr>
          <w:rFonts w:ascii="Times New Roman" w:hAnsi="Times New Roman" w:cs="Times New Roman"/>
          <w:sz w:val="24"/>
          <w:szCs w:val="24"/>
        </w:rPr>
        <w:tab/>
      </w:r>
    </w:p>
    <w:p w:rsidR="00226B0B" w:rsidRDefault="0030495E"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Academic administrators should promote stronger collaboration among academic leaders, faculty members, and industry partners through structured communication, curriculum consultation, and professional engagement activities. Establishing sustainable industry-academe partnerships may further improve curriculum relevance, instructional quality, and graduate preparedness for the evolving demands of the workplace. </w:t>
      </w:r>
    </w:p>
    <w:p w:rsidR="00BE032C" w:rsidRDefault="00BE032C" w:rsidP="002413E2">
      <w:pPr>
        <w:spacing w:after="0" w:line="240" w:lineRule="auto"/>
        <w:ind w:firstLine="720"/>
        <w:jc w:val="both"/>
        <w:rPr>
          <w:rFonts w:ascii="Times New Roman" w:hAnsi="Times New Roman" w:cs="Times New Roman"/>
          <w:sz w:val="24"/>
          <w:szCs w:val="24"/>
        </w:rPr>
      </w:pPr>
    </w:p>
    <w:p w:rsidR="00226B0B" w:rsidRDefault="0030495E"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 xml:space="preserve">Higher Education Institutions may consider adopting or adapting the proposed Institutional Sustainability Program as a framework for strengthening faculty competencies, expanding industry engagement, and supporting continuous institutional improvement. To ensure its long-term effectiveness, regular monitoring and evaluation mechanisms should be established to assess program outcomes and identify opportunities for continuous enhancement. </w:t>
      </w:r>
    </w:p>
    <w:p w:rsidR="00BE032C" w:rsidRDefault="00BE032C" w:rsidP="002413E2">
      <w:pPr>
        <w:spacing w:after="0" w:line="240" w:lineRule="auto"/>
        <w:ind w:firstLine="720"/>
        <w:jc w:val="both"/>
        <w:rPr>
          <w:rFonts w:ascii="Times New Roman" w:hAnsi="Times New Roman" w:cs="Times New Roman"/>
          <w:sz w:val="24"/>
          <w:szCs w:val="24"/>
        </w:rPr>
      </w:pPr>
    </w:p>
    <w:p w:rsidR="00F274CE" w:rsidRDefault="0030495E" w:rsidP="002413E2">
      <w:pPr>
        <w:spacing w:after="0" w:line="240" w:lineRule="auto"/>
        <w:ind w:firstLine="720"/>
        <w:jc w:val="both"/>
        <w:rPr>
          <w:rFonts w:ascii="Times New Roman" w:hAnsi="Times New Roman" w:cs="Times New Roman"/>
          <w:sz w:val="24"/>
          <w:szCs w:val="24"/>
        </w:rPr>
      </w:pPr>
      <w:r w:rsidRPr="00E65666">
        <w:rPr>
          <w:rFonts w:ascii="Times New Roman" w:hAnsi="Times New Roman" w:cs="Times New Roman"/>
          <w:sz w:val="24"/>
          <w:szCs w:val="24"/>
        </w:rPr>
        <w:t>Future studies may replicate this research in a broader range of Higher Education Institutions and academic disciplines using larger samples. Researchers may also examine additional variables, such as organizational culture, faculty engagement, instructional innovation, digital competencies, leadership practices, and institutional performance, to provide a more comprehensive understanding of the factors influencing workplace competencies and faculty industry exposure.</w:t>
      </w:r>
    </w:p>
    <w:p w:rsidR="00226B0B" w:rsidRDefault="00226B0B" w:rsidP="002413E2">
      <w:pPr>
        <w:spacing w:after="0" w:line="240" w:lineRule="auto"/>
        <w:ind w:firstLine="720"/>
        <w:jc w:val="both"/>
        <w:rPr>
          <w:rFonts w:ascii="Times New Roman" w:hAnsi="Times New Roman" w:cs="Times New Roman"/>
          <w:sz w:val="24"/>
          <w:szCs w:val="24"/>
        </w:rPr>
      </w:pPr>
      <w:bookmarkStart w:id="1" w:name="_GoBack"/>
      <w:bookmarkEnd w:id="1"/>
    </w:p>
    <w:p w:rsidR="00226B0B" w:rsidRPr="00E65666" w:rsidRDefault="00226B0B" w:rsidP="002413E2">
      <w:pPr>
        <w:spacing w:after="0" w:line="240" w:lineRule="auto"/>
        <w:ind w:firstLine="720"/>
        <w:jc w:val="both"/>
        <w:rPr>
          <w:rFonts w:ascii="Times New Roman" w:hAnsi="Times New Roman" w:cs="Times New Roman"/>
          <w:sz w:val="24"/>
          <w:szCs w:val="24"/>
        </w:rPr>
      </w:pPr>
    </w:p>
    <w:p w:rsidR="00F274CE" w:rsidRDefault="00F274CE" w:rsidP="002413E2">
      <w:pPr>
        <w:spacing w:after="0" w:line="240" w:lineRule="auto"/>
        <w:jc w:val="both"/>
        <w:rPr>
          <w:rFonts w:ascii="Times New Roman" w:hAnsi="Times New Roman" w:cs="Times New Roman"/>
          <w:b/>
          <w:bCs/>
          <w:sz w:val="24"/>
          <w:szCs w:val="24"/>
        </w:rPr>
      </w:pPr>
      <w:r w:rsidRPr="00E65666">
        <w:rPr>
          <w:rFonts w:ascii="Times New Roman" w:hAnsi="Times New Roman" w:cs="Times New Roman"/>
          <w:b/>
          <w:bCs/>
          <w:sz w:val="24"/>
          <w:szCs w:val="24"/>
        </w:rPr>
        <w:t>References</w:t>
      </w:r>
    </w:p>
    <w:p w:rsidR="00BE032C" w:rsidRPr="00E65666" w:rsidRDefault="00BE032C" w:rsidP="002413E2">
      <w:pPr>
        <w:spacing w:after="0" w:line="240" w:lineRule="auto"/>
        <w:jc w:val="both"/>
        <w:rPr>
          <w:rFonts w:ascii="Times New Roman" w:hAnsi="Times New Roman" w:cs="Times New Roman"/>
          <w:b/>
          <w:bCs/>
          <w:sz w:val="24"/>
          <w:szCs w:val="24"/>
        </w:rPr>
      </w:pPr>
    </w:p>
    <w:p w:rsidR="007F1E66" w:rsidRPr="00A523A2" w:rsidRDefault="007F1E66"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Akour</w:t>
      </w:r>
      <w:proofErr w:type="spellEnd"/>
      <w:r w:rsidRPr="00A523A2">
        <w:rPr>
          <w:rFonts w:ascii="Times New Roman" w:hAnsi="Times New Roman" w:cs="Times New Roman"/>
          <w:sz w:val="24"/>
          <w:szCs w:val="24"/>
        </w:rPr>
        <w:t xml:space="preserve">, M., </w:t>
      </w:r>
      <w:proofErr w:type="spellStart"/>
      <w:r w:rsidRPr="00A523A2">
        <w:rPr>
          <w:rFonts w:ascii="Times New Roman" w:hAnsi="Times New Roman" w:cs="Times New Roman"/>
          <w:sz w:val="24"/>
          <w:szCs w:val="24"/>
        </w:rPr>
        <w:t>Alenezi</w:t>
      </w:r>
      <w:proofErr w:type="spellEnd"/>
      <w:r w:rsidRPr="00A523A2">
        <w:rPr>
          <w:rFonts w:ascii="Times New Roman" w:hAnsi="Times New Roman" w:cs="Times New Roman"/>
          <w:sz w:val="24"/>
          <w:szCs w:val="24"/>
        </w:rPr>
        <w:t xml:space="preserve">, M., </w:t>
      </w:r>
      <w:proofErr w:type="spellStart"/>
      <w:r w:rsidRPr="00A523A2">
        <w:rPr>
          <w:rFonts w:ascii="Times New Roman" w:hAnsi="Times New Roman" w:cs="Times New Roman"/>
          <w:sz w:val="24"/>
          <w:szCs w:val="24"/>
        </w:rPr>
        <w:t>Alsghaier</w:t>
      </w:r>
      <w:proofErr w:type="spellEnd"/>
      <w:r w:rsidRPr="00A523A2">
        <w:rPr>
          <w:rFonts w:ascii="Times New Roman" w:hAnsi="Times New Roman" w:cs="Times New Roman"/>
          <w:sz w:val="24"/>
          <w:szCs w:val="24"/>
        </w:rPr>
        <w:t xml:space="preserve">, H., &amp; </w:t>
      </w:r>
      <w:proofErr w:type="spellStart"/>
      <w:r w:rsidRPr="00A523A2">
        <w:rPr>
          <w:rFonts w:ascii="Times New Roman" w:hAnsi="Times New Roman" w:cs="Times New Roman"/>
          <w:sz w:val="24"/>
          <w:szCs w:val="24"/>
        </w:rPr>
        <w:t>Aldiabat</w:t>
      </w:r>
      <w:proofErr w:type="spellEnd"/>
      <w:r w:rsidRPr="00A523A2">
        <w:rPr>
          <w:rFonts w:ascii="Times New Roman" w:hAnsi="Times New Roman" w:cs="Times New Roman"/>
          <w:sz w:val="24"/>
          <w:szCs w:val="24"/>
        </w:rPr>
        <w:t>, B. (2022). Higher education future in the era of digital transformation. Education Sciences, 12(11), 784. https://doi.org/10.3390/educsci12110784</w:t>
      </w:r>
    </w:p>
    <w:p w:rsidR="007F1E66" w:rsidRPr="00A523A2" w:rsidRDefault="007F1E66"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 xml:space="preserve">Bilbao, P. P., </w:t>
      </w:r>
      <w:proofErr w:type="spellStart"/>
      <w:r w:rsidRPr="00A523A2">
        <w:rPr>
          <w:rFonts w:ascii="Times New Roman" w:hAnsi="Times New Roman" w:cs="Times New Roman"/>
          <w:sz w:val="24"/>
          <w:szCs w:val="24"/>
        </w:rPr>
        <w:t>Corpuz</w:t>
      </w:r>
      <w:proofErr w:type="spellEnd"/>
      <w:r w:rsidRPr="00A523A2">
        <w:rPr>
          <w:rFonts w:ascii="Times New Roman" w:hAnsi="Times New Roman" w:cs="Times New Roman"/>
          <w:sz w:val="24"/>
          <w:szCs w:val="24"/>
        </w:rPr>
        <w:t xml:space="preserve">, B. B., </w:t>
      </w:r>
      <w:proofErr w:type="spellStart"/>
      <w:r w:rsidRPr="00A523A2">
        <w:rPr>
          <w:rFonts w:ascii="Times New Roman" w:hAnsi="Times New Roman" w:cs="Times New Roman"/>
          <w:sz w:val="24"/>
          <w:szCs w:val="24"/>
        </w:rPr>
        <w:t>Llagas</w:t>
      </w:r>
      <w:proofErr w:type="spellEnd"/>
      <w:r w:rsidRPr="00A523A2">
        <w:rPr>
          <w:rFonts w:ascii="Times New Roman" w:hAnsi="Times New Roman" w:cs="Times New Roman"/>
          <w:sz w:val="24"/>
          <w:szCs w:val="24"/>
        </w:rPr>
        <w:t xml:space="preserve">, A. T., &amp; </w:t>
      </w:r>
      <w:proofErr w:type="spellStart"/>
      <w:r w:rsidRPr="00A523A2">
        <w:rPr>
          <w:rFonts w:ascii="Times New Roman" w:hAnsi="Times New Roman" w:cs="Times New Roman"/>
          <w:sz w:val="24"/>
          <w:szCs w:val="24"/>
        </w:rPr>
        <w:t>Salandanan</w:t>
      </w:r>
      <w:proofErr w:type="spellEnd"/>
      <w:r w:rsidRPr="00A523A2">
        <w:rPr>
          <w:rFonts w:ascii="Times New Roman" w:hAnsi="Times New Roman" w:cs="Times New Roman"/>
          <w:sz w:val="24"/>
          <w:szCs w:val="24"/>
        </w:rPr>
        <w:t>, G. G. (2018). The teaching profession (4th ed.). Lorimar Publishing, Inc.</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Cseh</w:t>
      </w:r>
      <w:proofErr w:type="spellEnd"/>
      <w:r w:rsidRPr="00A523A2">
        <w:rPr>
          <w:rFonts w:ascii="Times New Roman" w:hAnsi="Times New Roman" w:cs="Times New Roman"/>
          <w:sz w:val="24"/>
          <w:szCs w:val="24"/>
        </w:rPr>
        <w:t xml:space="preserve">, M., </w:t>
      </w:r>
      <w:proofErr w:type="spellStart"/>
      <w:r w:rsidRPr="00A523A2">
        <w:rPr>
          <w:rFonts w:ascii="Times New Roman" w:hAnsi="Times New Roman" w:cs="Times New Roman"/>
          <w:sz w:val="24"/>
          <w:szCs w:val="24"/>
        </w:rPr>
        <w:t>Crocco</w:t>
      </w:r>
      <w:proofErr w:type="spellEnd"/>
      <w:r w:rsidRPr="00A523A2">
        <w:rPr>
          <w:rFonts w:ascii="Times New Roman" w:hAnsi="Times New Roman" w:cs="Times New Roman"/>
          <w:sz w:val="24"/>
          <w:szCs w:val="24"/>
        </w:rPr>
        <w:t xml:space="preserve">, O. S., Engel, L., &amp; </w:t>
      </w:r>
      <w:proofErr w:type="spellStart"/>
      <w:r w:rsidRPr="00A523A2">
        <w:rPr>
          <w:rFonts w:ascii="Times New Roman" w:hAnsi="Times New Roman" w:cs="Times New Roman"/>
          <w:sz w:val="24"/>
          <w:szCs w:val="24"/>
        </w:rPr>
        <w:t>Follman</w:t>
      </w:r>
      <w:proofErr w:type="spellEnd"/>
      <w:r w:rsidRPr="00A523A2">
        <w:rPr>
          <w:rFonts w:ascii="Times New Roman" w:hAnsi="Times New Roman" w:cs="Times New Roman"/>
          <w:sz w:val="24"/>
          <w:szCs w:val="24"/>
        </w:rPr>
        <w:t>, J. (2025). Preparing a globally competent workforce: A mixed methods study of an innovative co-curricular university program. Advances in Developing Human Resources, 27(1), 5–26. https://doi.org/10.1177/15234223241296186</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lastRenderedPageBreak/>
        <w:t>De Guzman, M. F., &amp; Choi, K. (2023). Industry-academe collaboration and graduate employability in Philippine higher education institutions. Philippine Social Science Journal, 6(2), 45–58.</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Dewantara</w:t>
      </w:r>
      <w:proofErr w:type="spellEnd"/>
      <w:r w:rsidRPr="00A523A2">
        <w:rPr>
          <w:rFonts w:ascii="Times New Roman" w:hAnsi="Times New Roman" w:cs="Times New Roman"/>
          <w:sz w:val="24"/>
          <w:szCs w:val="24"/>
        </w:rPr>
        <w:t>, M. H. (2025). Unlocking industry insights: Enhancing education through incorporating industry interviews in assessments. Journal of Hospitality and Tourism Education. Advance online publication. https://doi.org/10.1080/15313220.2025.2529270</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 xml:space="preserve">Future Skills </w:t>
      </w:r>
      <w:proofErr w:type="spellStart"/>
      <w:r w:rsidRPr="00A523A2">
        <w:rPr>
          <w:rFonts w:ascii="Times New Roman" w:hAnsi="Times New Roman" w:cs="Times New Roman"/>
          <w:sz w:val="24"/>
          <w:szCs w:val="24"/>
        </w:rPr>
        <w:t>Organisation</w:t>
      </w:r>
      <w:proofErr w:type="spellEnd"/>
      <w:r w:rsidRPr="00A523A2">
        <w:rPr>
          <w:rFonts w:ascii="Times New Roman" w:hAnsi="Times New Roman" w:cs="Times New Roman"/>
          <w:sz w:val="24"/>
          <w:szCs w:val="24"/>
        </w:rPr>
        <w:t>. (2023). Building a skilled workforce: Initial workforce plan. https://www.futureskillsorganisation.com.au/workforce-plans/initial-workforce-plan/</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Insorio</w:t>
      </w:r>
      <w:proofErr w:type="spellEnd"/>
      <w:r w:rsidRPr="00A523A2">
        <w:rPr>
          <w:rFonts w:ascii="Times New Roman" w:hAnsi="Times New Roman" w:cs="Times New Roman"/>
          <w:sz w:val="24"/>
          <w:szCs w:val="24"/>
        </w:rPr>
        <w:t>, A. O. (2024). Teachers’ research characteristics, competencies, motivation, and challenges: Basis for research manual. International Journal of Research in Education and Science, 10(4), 799–825. https://doi.org/10.46328/ijres.3529</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Jekabsone</w:t>
      </w:r>
      <w:proofErr w:type="spellEnd"/>
      <w:r w:rsidRPr="00A523A2">
        <w:rPr>
          <w:rFonts w:ascii="Times New Roman" w:hAnsi="Times New Roman" w:cs="Times New Roman"/>
          <w:sz w:val="24"/>
          <w:szCs w:val="24"/>
        </w:rPr>
        <w:t xml:space="preserve">, I., &amp; </w:t>
      </w:r>
      <w:proofErr w:type="spellStart"/>
      <w:r w:rsidRPr="00A523A2">
        <w:rPr>
          <w:rFonts w:ascii="Times New Roman" w:hAnsi="Times New Roman" w:cs="Times New Roman"/>
          <w:sz w:val="24"/>
          <w:szCs w:val="24"/>
        </w:rPr>
        <w:t>Anohina-Naumeca</w:t>
      </w:r>
      <w:proofErr w:type="spellEnd"/>
      <w:r w:rsidRPr="00A523A2">
        <w:rPr>
          <w:rFonts w:ascii="Times New Roman" w:hAnsi="Times New Roman" w:cs="Times New Roman"/>
          <w:sz w:val="24"/>
          <w:szCs w:val="24"/>
        </w:rPr>
        <w:t>, A. (2024). The role of universities in enabling open innovation through the development of digital competence of faculty. Journal of Open Innovation: Technology, Market, and Complexity, 10(3), 100409. https://doi.org/10.1016/j.joitmc.2024.100409</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Khasawneh</w:t>
      </w:r>
      <w:proofErr w:type="spellEnd"/>
      <w:r w:rsidRPr="00A523A2">
        <w:rPr>
          <w:rFonts w:ascii="Times New Roman" w:hAnsi="Times New Roman" w:cs="Times New Roman"/>
          <w:sz w:val="24"/>
          <w:szCs w:val="24"/>
        </w:rPr>
        <w:t>, S. A. (2011). Human capital planning in higher education institutions: A strategic human resource development initiative in Jordan. International Journal of Educational Management, 25(6), 534–544.</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Lopez-</w:t>
      </w:r>
      <w:proofErr w:type="spellStart"/>
      <w:r w:rsidRPr="00A523A2">
        <w:rPr>
          <w:rFonts w:ascii="Times New Roman" w:hAnsi="Times New Roman" w:cs="Times New Roman"/>
          <w:sz w:val="24"/>
          <w:szCs w:val="24"/>
        </w:rPr>
        <w:t>Fabellar</w:t>
      </w:r>
      <w:proofErr w:type="spellEnd"/>
      <w:r w:rsidRPr="00A523A2">
        <w:rPr>
          <w:rFonts w:ascii="Times New Roman" w:hAnsi="Times New Roman" w:cs="Times New Roman"/>
          <w:sz w:val="24"/>
          <w:szCs w:val="24"/>
        </w:rPr>
        <w:t>, M. (2023). SUCs-industry partnership and Bachelor of Industrial Technology (BIT) graduates’ competencies: Basis for curriculum enhancement. Psychology and Education: A Multidisciplinary Journal, 14(6), 736–741.</w:t>
      </w:r>
    </w:p>
    <w:p w:rsidR="007F1E66" w:rsidRPr="00A523A2" w:rsidRDefault="007F1E66"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 xml:space="preserve">Miranda, P. A. (2023). Aligning the K to 12 </w:t>
      </w:r>
      <w:proofErr w:type="gramStart"/>
      <w:r w:rsidRPr="00A523A2">
        <w:rPr>
          <w:rFonts w:ascii="Times New Roman" w:hAnsi="Times New Roman" w:cs="Times New Roman"/>
          <w:sz w:val="24"/>
          <w:szCs w:val="24"/>
        </w:rPr>
        <w:t>curriculum</w:t>
      </w:r>
      <w:proofErr w:type="gramEnd"/>
      <w:r w:rsidRPr="00A523A2">
        <w:rPr>
          <w:rFonts w:ascii="Times New Roman" w:hAnsi="Times New Roman" w:cs="Times New Roman"/>
          <w:sz w:val="24"/>
          <w:szCs w:val="24"/>
        </w:rPr>
        <w:t xml:space="preserve"> with industry expectations in relation to factors affecting senior high school strand choice. Policy Brief Series, 7(5), 1–5. Philippine Normal University Educational Policy Research and Development Center. https://www.pnuresearchportal.org/wp-content/uploads/2023/11/Policy-Brief-Volume-7-Issue-5-2023.pdf</w:t>
      </w:r>
    </w:p>
    <w:p w:rsidR="007F1E66" w:rsidRPr="00A523A2" w:rsidRDefault="007F1E66"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Muscanell</w:t>
      </w:r>
      <w:proofErr w:type="spellEnd"/>
      <w:r w:rsidRPr="00A523A2">
        <w:rPr>
          <w:rFonts w:ascii="Times New Roman" w:hAnsi="Times New Roman" w:cs="Times New Roman"/>
          <w:sz w:val="24"/>
          <w:szCs w:val="24"/>
        </w:rPr>
        <w:t>, N. (2024). The teaching and learning workforce in higher education, 2024. EDUCAUSE. https://library.educause.edu/resources/2024/2/the-</w:t>
      </w:r>
      <w:r w:rsidR="00E32E85" w:rsidRPr="00E32E85">
        <w:t xml:space="preserve"> </w:t>
      </w:r>
      <w:r w:rsidR="00E32E85" w:rsidRPr="00A523A2">
        <w:rPr>
          <w:rFonts w:ascii="Times New Roman" w:hAnsi="Times New Roman" w:cs="Times New Roman"/>
          <w:sz w:val="24"/>
          <w:szCs w:val="24"/>
        </w:rPr>
        <w:t>teaching-and-learning-workforce-in-higher-education-2024</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Oracion</w:t>
      </w:r>
      <w:proofErr w:type="spellEnd"/>
      <w:r w:rsidRPr="00A523A2">
        <w:rPr>
          <w:rFonts w:ascii="Times New Roman" w:hAnsi="Times New Roman" w:cs="Times New Roman"/>
          <w:sz w:val="24"/>
          <w:szCs w:val="24"/>
        </w:rPr>
        <w:t>, E. G., Naidu, N. V. R., &amp; Ng, J. F. J. (2023). Industry immersion and teaching effectiveness among higher education faculty members in the Philippines. Philippine Social Science Journal, 6(3), 52–64.</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Organisation</w:t>
      </w:r>
      <w:proofErr w:type="spellEnd"/>
      <w:r w:rsidRPr="00A523A2">
        <w:rPr>
          <w:rFonts w:ascii="Times New Roman" w:hAnsi="Times New Roman" w:cs="Times New Roman"/>
          <w:sz w:val="24"/>
          <w:szCs w:val="24"/>
        </w:rPr>
        <w:t xml:space="preserve"> for Economic Co-operation and Development. (2025). Aligning higher education to </w:t>
      </w:r>
      <w:proofErr w:type="spellStart"/>
      <w:r w:rsidRPr="00A523A2">
        <w:rPr>
          <w:rFonts w:ascii="Times New Roman" w:hAnsi="Times New Roman" w:cs="Times New Roman"/>
          <w:sz w:val="24"/>
          <w:szCs w:val="24"/>
        </w:rPr>
        <w:t>labour</w:t>
      </w:r>
      <w:proofErr w:type="spellEnd"/>
      <w:r w:rsidRPr="00A523A2">
        <w:rPr>
          <w:rFonts w:ascii="Times New Roman" w:hAnsi="Times New Roman" w:cs="Times New Roman"/>
          <w:sz w:val="24"/>
          <w:szCs w:val="24"/>
        </w:rPr>
        <w:t xml:space="preserve"> market needs: Towards an improved skills forecasting system. https://www.oecd.org/en/about/programmes/sg-reform/fostering-a-higher-education-better-adapted-to-the-labour-market-towards-an-improved-skills-forecasting-system.html</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 xml:space="preserve">Prudente, M. S., Garcia, J. A. S., </w:t>
      </w:r>
      <w:proofErr w:type="spellStart"/>
      <w:r w:rsidRPr="00A523A2">
        <w:rPr>
          <w:rFonts w:ascii="Times New Roman" w:hAnsi="Times New Roman" w:cs="Times New Roman"/>
          <w:sz w:val="24"/>
          <w:szCs w:val="24"/>
        </w:rPr>
        <w:t>Mistades</w:t>
      </w:r>
      <w:proofErr w:type="spellEnd"/>
      <w:r w:rsidRPr="00A523A2">
        <w:rPr>
          <w:rFonts w:ascii="Times New Roman" w:hAnsi="Times New Roman" w:cs="Times New Roman"/>
          <w:sz w:val="24"/>
          <w:szCs w:val="24"/>
        </w:rPr>
        <w:t xml:space="preserve">, V. M., </w:t>
      </w:r>
      <w:proofErr w:type="spellStart"/>
      <w:r w:rsidRPr="00A523A2">
        <w:rPr>
          <w:rFonts w:ascii="Times New Roman" w:hAnsi="Times New Roman" w:cs="Times New Roman"/>
          <w:sz w:val="24"/>
          <w:szCs w:val="24"/>
        </w:rPr>
        <w:t>Roleda</w:t>
      </w:r>
      <w:proofErr w:type="spellEnd"/>
      <w:r w:rsidRPr="00A523A2">
        <w:rPr>
          <w:rFonts w:ascii="Times New Roman" w:hAnsi="Times New Roman" w:cs="Times New Roman"/>
          <w:sz w:val="24"/>
          <w:szCs w:val="24"/>
        </w:rPr>
        <w:t xml:space="preserve">, L.S., &amp; </w:t>
      </w:r>
      <w:proofErr w:type="spellStart"/>
      <w:r w:rsidRPr="00A523A2">
        <w:rPr>
          <w:rFonts w:ascii="Times New Roman" w:hAnsi="Times New Roman" w:cs="Times New Roman"/>
          <w:sz w:val="24"/>
          <w:szCs w:val="24"/>
        </w:rPr>
        <w:t>Talaue</w:t>
      </w:r>
      <w:proofErr w:type="spellEnd"/>
      <w:r w:rsidRPr="00A523A2">
        <w:rPr>
          <w:rFonts w:ascii="Times New Roman" w:hAnsi="Times New Roman" w:cs="Times New Roman"/>
          <w:sz w:val="24"/>
          <w:szCs w:val="24"/>
        </w:rPr>
        <w:t>, F. T. (2024). Systematic review of professional development programs for teachers in the Philippines. Second Congressional Commission on Education (EDCOM II) and De La Salle University.</w:t>
      </w:r>
    </w:p>
    <w:p w:rsidR="007F1E66" w:rsidRPr="00A523A2" w:rsidRDefault="007F1E66"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Roble, D. M. L. (2021). Competency level, employers’ expectations and work immersion performance of senior high school technical-vocational and livelihood (TVL) students. Asian Journal on Perspectives in Education, 2(1), 43–63. https://doi.org/10.63529/ajpe.v2i1.7657</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proofErr w:type="spellStart"/>
      <w:r w:rsidRPr="00A523A2">
        <w:rPr>
          <w:rFonts w:ascii="Times New Roman" w:hAnsi="Times New Roman" w:cs="Times New Roman"/>
          <w:sz w:val="24"/>
          <w:szCs w:val="24"/>
        </w:rPr>
        <w:t>Sincharoenkul</w:t>
      </w:r>
      <w:proofErr w:type="spellEnd"/>
      <w:r w:rsidRPr="00A523A2">
        <w:rPr>
          <w:rFonts w:ascii="Times New Roman" w:hAnsi="Times New Roman" w:cs="Times New Roman"/>
          <w:sz w:val="24"/>
          <w:szCs w:val="24"/>
        </w:rPr>
        <w:t xml:space="preserve">, K., &amp; </w:t>
      </w:r>
      <w:proofErr w:type="spellStart"/>
      <w:r w:rsidRPr="00A523A2">
        <w:rPr>
          <w:rFonts w:ascii="Times New Roman" w:hAnsi="Times New Roman" w:cs="Times New Roman"/>
          <w:sz w:val="24"/>
          <w:szCs w:val="24"/>
        </w:rPr>
        <w:t>Witthayasirikul</w:t>
      </w:r>
      <w:proofErr w:type="spellEnd"/>
      <w:r w:rsidRPr="00A523A2">
        <w:rPr>
          <w:rFonts w:ascii="Times New Roman" w:hAnsi="Times New Roman" w:cs="Times New Roman"/>
          <w:sz w:val="24"/>
          <w:szCs w:val="24"/>
        </w:rPr>
        <w:t>, C. (2022). Can online learners obtain sufficient competencies in the hospitality and tourism industries? Frontiers in Education, 7, 996377. https://doi.org/10.3389/feduc.2022.996377</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Technical Education and Skills Development Authority. (2023). Industry partnerships and workforce development initiatives. https://www.tesda.gov.ph</w:t>
      </w:r>
    </w:p>
    <w:p w:rsidR="00E32E85" w:rsidRPr="00A523A2" w:rsidRDefault="00E32E85"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United Nations Educational, Scientific and Cultural Organization. (2021). Reimagining our futures together: A new social contract for education. UNESCO. https://unesdoc.unesco.org/ark:/48223/pf0000379707</w:t>
      </w:r>
    </w:p>
    <w:p w:rsidR="007F1E66" w:rsidRPr="00A523A2" w:rsidRDefault="007F1E66" w:rsidP="00A523A2">
      <w:pPr>
        <w:pStyle w:val="ListParagraph"/>
        <w:numPr>
          <w:ilvl w:val="0"/>
          <w:numId w:val="1"/>
        </w:numPr>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World Economic Forum. (2023). The future of jobs report 2023. https://www.weforum.org/reports/the-future-of-jobs-report-2023/</w:t>
      </w:r>
    </w:p>
    <w:p w:rsidR="007F1E66" w:rsidRDefault="007F1E66" w:rsidP="002413E2">
      <w:pPr>
        <w:spacing w:after="0" w:line="240" w:lineRule="auto"/>
        <w:jc w:val="both"/>
        <w:rPr>
          <w:rFonts w:ascii="Times New Roman" w:hAnsi="Times New Roman" w:cs="Times New Roman"/>
          <w:sz w:val="24"/>
          <w:szCs w:val="24"/>
        </w:rPr>
      </w:pPr>
    </w:p>
    <w:p w:rsidR="00D36B3D" w:rsidRPr="00E65666" w:rsidRDefault="00A523A2" w:rsidP="002413E2">
      <w:pPr>
        <w:spacing w:after="0" w:line="240" w:lineRule="auto"/>
        <w:jc w:val="both"/>
        <w:rPr>
          <w:rFonts w:ascii="Times New Roman" w:hAnsi="Times New Roman" w:cs="Times New Roman"/>
          <w:sz w:val="24"/>
          <w:szCs w:val="24"/>
        </w:rPr>
      </w:pPr>
    </w:p>
    <w:sectPr w:rsidR="00D36B3D" w:rsidRPr="00E65666" w:rsidSect="00DF6ADB">
      <w:pgSz w:w="11906" w:h="16838" w:code="9"/>
      <w:pgMar w:top="1080"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57767"/>
    <w:multiLevelType w:val="hybridMultilevel"/>
    <w:tmpl w:val="EDEA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CE"/>
    <w:rsid w:val="00002454"/>
    <w:rsid w:val="00136446"/>
    <w:rsid w:val="00171064"/>
    <w:rsid w:val="00226B0B"/>
    <w:rsid w:val="002413E2"/>
    <w:rsid w:val="00275ACF"/>
    <w:rsid w:val="002D2353"/>
    <w:rsid w:val="0030495E"/>
    <w:rsid w:val="003A049F"/>
    <w:rsid w:val="003A7E54"/>
    <w:rsid w:val="004151C9"/>
    <w:rsid w:val="005846BC"/>
    <w:rsid w:val="005F0CA0"/>
    <w:rsid w:val="00604318"/>
    <w:rsid w:val="007F1E66"/>
    <w:rsid w:val="00894574"/>
    <w:rsid w:val="00A523A2"/>
    <w:rsid w:val="00AB1CAF"/>
    <w:rsid w:val="00B044EB"/>
    <w:rsid w:val="00B569EA"/>
    <w:rsid w:val="00BE032C"/>
    <w:rsid w:val="00BE5E1B"/>
    <w:rsid w:val="00C220D4"/>
    <w:rsid w:val="00DA4161"/>
    <w:rsid w:val="00DF6ADB"/>
    <w:rsid w:val="00E32E85"/>
    <w:rsid w:val="00E65666"/>
    <w:rsid w:val="00EB4920"/>
    <w:rsid w:val="00F2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5839"/>
  <w15:chartTrackingRefBased/>
  <w15:docId w15:val="{50F62549-CBD6-46CA-A8D6-B6B25AF4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4C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q2pgselectionanchorcontainer">
    <w:name w:val="pdq2pg_selectionanchorcontainer"/>
    <w:basedOn w:val="Normal"/>
    <w:rsid w:val="00F274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74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4CE"/>
    <w:rPr>
      <w:b/>
      <w:bCs/>
    </w:rPr>
  </w:style>
  <w:style w:type="character" w:styleId="Hyperlink">
    <w:name w:val="Hyperlink"/>
    <w:basedOn w:val="DefaultParagraphFont"/>
    <w:uiPriority w:val="99"/>
    <w:unhideWhenUsed/>
    <w:rsid w:val="007F1E66"/>
    <w:rPr>
      <w:color w:val="0563C1" w:themeColor="hyperlink"/>
      <w:u w:val="single"/>
    </w:rPr>
  </w:style>
  <w:style w:type="character" w:styleId="UnresolvedMention">
    <w:name w:val="Unresolved Mention"/>
    <w:basedOn w:val="DefaultParagraphFont"/>
    <w:uiPriority w:val="99"/>
    <w:semiHidden/>
    <w:unhideWhenUsed/>
    <w:rsid w:val="007F1E66"/>
    <w:rPr>
      <w:color w:val="605E5C"/>
      <w:shd w:val="clear" w:color="auto" w:fill="E1DFDD"/>
    </w:rPr>
  </w:style>
  <w:style w:type="paragraph" w:styleId="ListParagraph">
    <w:name w:val="List Paragraph"/>
    <w:basedOn w:val="Normal"/>
    <w:uiPriority w:val="34"/>
    <w:qFormat/>
    <w:rsid w:val="00A52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2990">
      <w:bodyDiv w:val="1"/>
      <w:marLeft w:val="0"/>
      <w:marRight w:val="0"/>
      <w:marTop w:val="0"/>
      <w:marBottom w:val="0"/>
      <w:divBdr>
        <w:top w:val="none" w:sz="0" w:space="0" w:color="auto"/>
        <w:left w:val="none" w:sz="0" w:space="0" w:color="auto"/>
        <w:bottom w:val="none" w:sz="0" w:space="0" w:color="auto"/>
        <w:right w:val="none" w:sz="0" w:space="0" w:color="auto"/>
      </w:divBdr>
    </w:div>
    <w:div w:id="84425174">
      <w:bodyDiv w:val="1"/>
      <w:marLeft w:val="0"/>
      <w:marRight w:val="0"/>
      <w:marTop w:val="0"/>
      <w:marBottom w:val="0"/>
      <w:divBdr>
        <w:top w:val="none" w:sz="0" w:space="0" w:color="auto"/>
        <w:left w:val="none" w:sz="0" w:space="0" w:color="auto"/>
        <w:bottom w:val="none" w:sz="0" w:space="0" w:color="auto"/>
        <w:right w:val="none" w:sz="0" w:space="0" w:color="auto"/>
      </w:divBdr>
    </w:div>
    <w:div w:id="970672238">
      <w:bodyDiv w:val="1"/>
      <w:marLeft w:val="0"/>
      <w:marRight w:val="0"/>
      <w:marTop w:val="0"/>
      <w:marBottom w:val="0"/>
      <w:divBdr>
        <w:top w:val="none" w:sz="0" w:space="0" w:color="auto"/>
        <w:left w:val="none" w:sz="0" w:space="0" w:color="auto"/>
        <w:bottom w:val="none" w:sz="0" w:space="0" w:color="auto"/>
        <w:right w:val="none" w:sz="0" w:space="0" w:color="auto"/>
      </w:divBdr>
    </w:div>
    <w:div w:id="1011644313">
      <w:bodyDiv w:val="1"/>
      <w:marLeft w:val="0"/>
      <w:marRight w:val="0"/>
      <w:marTop w:val="0"/>
      <w:marBottom w:val="0"/>
      <w:divBdr>
        <w:top w:val="none" w:sz="0" w:space="0" w:color="auto"/>
        <w:left w:val="none" w:sz="0" w:space="0" w:color="auto"/>
        <w:bottom w:val="none" w:sz="0" w:space="0" w:color="auto"/>
        <w:right w:val="none" w:sz="0" w:space="0" w:color="auto"/>
      </w:divBdr>
    </w:div>
    <w:div w:id="1114130531">
      <w:bodyDiv w:val="1"/>
      <w:marLeft w:val="0"/>
      <w:marRight w:val="0"/>
      <w:marTop w:val="0"/>
      <w:marBottom w:val="0"/>
      <w:divBdr>
        <w:top w:val="none" w:sz="0" w:space="0" w:color="auto"/>
        <w:left w:val="none" w:sz="0" w:space="0" w:color="auto"/>
        <w:bottom w:val="none" w:sz="0" w:space="0" w:color="auto"/>
        <w:right w:val="none" w:sz="0" w:space="0" w:color="auto"/>
      </w:divBdr>
    </w:div>
    <w:div w:id="1153331995">
      <w:bodyDiv w:val="1"/>
      <w:marLeft w:val="0"/>
      <w:marRight w:val="0"/>
      <w:marTop w:val="0"/>
      <w:marBottom w:val="0"/>
      <w:divBdr>
        <w:top w:val="none" w:sz="0" w:space="0" w:color="auto"/>
        <w:left w:val="none" w:sz="0" w:space="0" w:color="auto"/>
        <w:bottom w:val="none" w:sz="0" w:space="0" w:color="auto"/>
        <w:right w:val="none" w:sz="0" w:space="0" w:color="auto"/>
      </w:divBdr>
    </w:div>
    <w:div w:id="16801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Jesalva, Marisol A.</dc:creator>
  <cp:keywords/>
  <dc:description/>
  <cp:lastModifiedBy>Jesalva, Marisol A.</cp:lastModifiedBy>
  <cp:revision>9</cp:revision>
  <dcterms:created xsi:type="dcterms:W3CDTF">2026-07-06T10:07:00Z</dcterms:created>
  <dcterms:modified xsi:type="dcterms:W3CDTF">2026-07-06T10:53:00Z</dcterms:modified>
</cp:coreProperties>
</file>