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CA83">
      <w:pPr>
        <w:jc w:val="both"/>
        <w:rPr>
          <w:rFonts w:ascii="Times New Roman" w:hAnsi="Times New Roman" w:cs="Times New Roman"/>
          <w:b/>
          <w:bCs/>
          <w:sz w:val="28"/>
          <w:szCs w:val="28"/>
        </w:rPr>
      </w:pPr>
    </w:p>
    <w:p w14:paraId="235B068E">
      <w:pPr>
        <w:jc w:val="both"/>
        <w:rPr>
          <w:rFonts w:hint="default" w:ascii="Times New Roman" w:hAnsi="Times New Roman" w:cs="Times New Roman"/>
          <w:b/>
          <w:bCs/>
          <w:sz w:val="28"/>
          <w:szCs w:val="28"/>
          <w:vertAlign w:val="superscript"/>
        </w:rPr>
      </w:pPr>
      <w:r>
        <w:rPr>
          <w:rFonts w:hint="default" w:ascii="Times New Roman" w:hAnsi="Times New Roman" w:cs="Times New Roman"/>
          <w:b/>
          <w:bCs/>
          <w:sz w:val="28"/>
          <w:szCs w:val="28"/>
        </w:rPr>
        <w:t>Olalekan Ismaila BOGE</w:t>
      </w:r>
    </w:p>
    <w:p w14:paraId="117D1A35">
      <w:pPr>
        <w:jc w:val="both"/>
        <w:rPr>
          <w:rFonts w:hint="default" w:ascii="Times New Roman" w:hAnsi="Times New Roman" w:eastAsia="Helvetica" w:cs="Times New Roman"/>
          <w:b/>
          <w:bCs/>
          <w:i w:val="0"/>
          <w:iCs w:val="0"/>
          <w:caps w:val="0"/>
          <w:color w:val="auto"/>
          <w:spacing w:val="0"/>
          <w:sz w:val="21"/>
          <w:szCs w:val="21"/>
          <w:shd w:val="clear" w:fill="FFFFFF"/>
          <w:lang w:val="en-US"/>
        </w:rPr>
      </w:pPr>
      <w:r>
        <w:rPr>
          <w:rFonts w:hint="default" w:ascii="Times New Roman" w:hAnsi="Times New Roman" w:cs="Times New Roman"/>
          <w:b/>
          <w:bCs/>
          <w:color w:val="auto"/>
          <w:sz w:val="28"/>
          <w:szCs w:val="28"/>
        </w:rPr>
        <w:t xml:space="preserve"> </w:t>
      </w:r>
      <w:r>
        <w:rPr>
          <w:rFonts w:hint="default" w:ascii="Times New Roman" w:hAnsi="Times New Roman" w:eastAsia="Helvetica" w:cs="Times New Roman"/>
          <w:b/>
          <w:bCs/>
          <w:i w:val="0"/>
          <w:iCs w:val="0"/>
          <w:caps w:val="0"/>
          <w:color w:val="auto"/>
          <w:spacing w:val="0"/>
          <w:sz w:val="28"/>
          <w:szCs w:val="28"/>
          <w:shd w:val="clear" w:fill="FFFFFF"/>
        </w:rPr>
        <w:fldChar w:fldCharType="begin"/>
      </w:r>
      <w:r>
        <w:rPr>
          <w:rFonts w:hint="default" w:ascii="Times New Roman" w:hAnsi="Times New Roman" w:eastAsia="Helvetica" w:cs="Times New Roman"/>
          <w:b/>
          <w:bCs/>
          <w:i w:val="0"/>
          <w:iCs w:val="0"/>
          <w:caps w:val="0"/>
          <w:color w:val="auto"/>
          <w:spacing w:val="0"/>
          <w:sz w:val="28"/>
          <w:szCs w:val="28"/>
          <w:shd w:val="clear" w:fill="FFFFFF"/>
        </w:rPr>
        <w:instrText xml:space="preserve"> HYPERLINK "mailto:lekbugplus@gmail.com" </w:instrText>
      </w:r>
      <w:r>
        <w:rPr>
          <w:rFonts w:hint="default" w:ascii="Times New Roman" w:hAnsi="Times New Roman" w:eastAsia="Helvetica" w:cs="Times New Roman"/>
          <w:b/>
          <w:bCs/>
          <w:i w:val="0"/>
          <w:iCs w:val="0"/>
          <w:caps w:val="0"/>
          <w:color w:val="auto"/>
          <w:spacing w:val="0"/>
          <w:sz w:val="28"/>
          <w:szCs w:val="28"/>
          <w:shd w:val="clear" w:fill="FFFFFF"/>
        </w:rPr>
        <w:fldChar w:fldCharType="separate"/>
      </w:r>
      <w:r>
        <w:rPr>
          <w:rStyle w:val="13"/>
          <w:rFonts w:hint="default" w:ascii="Times New Roman" w:hAnsi="Times New Roman" w:eastAsia="Helvetica" w:cs="Times New Roman"/>
          <w:b/>
          <w:bCs/>
          <w:i w:val="0"/>
          <w:iCs w:val="0"/>
          <w:caps w:val="0"/>
          <w:color w:val="auto"/>
          <w:spacing w:val="0"/>
          <w:sz w:val="28"/>
          <w:szCs w:val="28"/>
          <w:shd w:val="clear" w:fill="FFFFFF"/>
        </w:rPr>
        <w:t>lekbugplus@gmail.com</w:t>
      </w:r>
      <w:r>
        <w:rPr>
          <w:rFonts w:hint="default" w:ascii="Times New Roman" w:hAnsi="Times New Roman" w:eastAsia="Helvetica" w:cs="Times New Roman"/>
          <w:b/>
          <w:bCs/>
          <w:i w:val="0"/>
          <w:iCs w:val="0"/>
          <w:caps w:val="0"/>
          <w:color w:val="auto"/>
          <w:spacing w:val="0"/>
          <w:sz w:val="28"/>
          <w:szCs w:val="28"/>
          <w:shd w:val="clear" w:fill="FFFFFF"/>
        </w:rPr>
        <w:fldChar w:fldCharType="end"/>
      </w:r>
      <w:r>
        <w:rPr>
          <w:rFonts w:hint="default" w:ascii="Times New Roman" w:hAnsi="Times New Roman" w:eastAsia="Helvetica" w:cs="Times New Roman"/>
          <w:b/>
          <w:bCs/>
          <w:i w:val="0"/>
          <w:iCs w:val="0"/>
          <w:caps w:val="0"/>
          <w:color w:val="auto"/>
          <w:spacing w:val="0"/>
          <w:sz w:val="21"/>
          <w:szCs w:val="21"/>
          <w:shd w:val="clear" w:fill="FFFFFF"/>
          <w:lang w:val="en-US"/>
        </w:rPr>
        <w:t xml:space="preserve"> </w:t>
      </w:r>
    </w:p>
    <w:p w14:paraId="1FBD80D9">
      <w:pPr>
        <w:jc w:val="both"/>
        <w:rPr>
          <w:rStyle w:val="13"/>
          <w:rFonts w:hint="default" w:ascii="Times New Roman" w:hAnsi="Times New Roman" w:cs="Times New Roman"/>
          <w:b/>
          <w:bCs/>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"https://orcid.org/0009-0000-1534-8016" \t "_blank" </w:instrText>
      </w:r>
      <w:r>
        <w:rPr>
          <w:rFonts w:hint="default" w:ascii="Times New Roman" w:hAnsi="Times New Roman" w:cs="Times New Roman"/>
        </w:rPr>
        <w:fldChar w:fldCharType="separate"/>
      </w:r>
      <w:r>
        <w:rPr>
          <w:rStyle w:val="13"/>
          <w:rFonts w:hint="default" w:ascii="Times New Roman" w:hAnsi="Times New Roman" w:cs="Times New Roman"/>
          <w:b/>
          <w:bCs/>
          <w:sz w:val="28"/>
          <w:szCs w:val="28"/>
        </w:rPr>
        <w:t>https://orcid.org/0009-0000-1534-8016</w:t>
      </w:r>
      <w:r>
        <w:rPr>
          <w:rStyle w:val="13"/>
          <w:rFonts w:hint="default" w:ascii="Times New Roman" w:hAnsi="Times New Roman" w:cs="Times New Roman"/>
          <w:b/>
          <w:bCs/>
          <w:sz w:val="28"/>
          <w:szCs w:val="28"/>
        </w:rPr>
        <w:fldChar w:fldCharType="end"/>
      </w:r>
    </w:p>
    <w:p w14:paraId="3DCB2071">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Barakat Olajumole BALOGUN</w:t>
      </w:r>
    </w:p>
    <w:p w14:paraId="2ED61750">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barakatijummy35@mail.com</w:t>
      </w:r>
    </w:p>
    <w:p w14:paraId="03A64033">
      <w:pPr>
        <w:jc w:val="both"/>
        <w:rPr>
          <w:rStyle w:val="13"/>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"https://orcid.org/0009-0000-1534-8016" \t "_blank" </w:instrText>
      </w:r>
      <w:r>
        <w:rPr>
          <w:rFonts w:hint="default" w:ascii="Times New Roman" w:hAnsi="Times New Roman" w:cs="Times New Roman"/>
        </w:rPr>
        <w:fldChar w:fldCharType="separate"/>
      </w:r>
      <w:r>
        <w:rPr>
          <w:rStyle w:val="13"/>
          <w:rFonts w:hint="default" w:ascii="Times New Roman" w:hAnsi="Times New Roman" w:cs="Times New Roman"/>
          <w:b/>
          <w:bCs/>
          <w:sz w:val="28"/>
          <w:szCs w:val="28"/>
        </w:rPr>
        <w:t>https://orcid.org/0009-000</w:t>
      </w:r>
      <w:r>
        <w:rPr>
          <w:rStyle w:val="13"/>
          <w:rFonts w:hint="default" w:ascii="Times New Roman" w:hAnsi="Times New Roman" w:cs="Times New Roman"/>
          <w:b/>
          <w:bCs/>
          <w:sz w:val="28"/>
          <w:szCs w:val="28"/>
          <w:lang w:val="en-US"/>
        </w:rPr>
        <w:t>7</w:t>
      </w:r>
      <w:r>
        <w:rPr>
          <w:rStyle w:val="13"/>
          <w:rFonts w:hint="default" w:ascii="Times New Roman" w:hAnsi="Times New Roman" w:cs="Times New Roman"/>
          <w:b/>
          <w:bCs/>
          <w:sz w:val="28"/>
          <w:szCs w:val="28"/>
        </w:rPr>
        <w:t>-</w:t>
      </w:r>
      <w:r>
        <w:rPr>
          <w:rStyle w:val="13"/>
          <w:rFonts w:hint="default" w:ascii="Times New Roman" w:hAnsi="Times New Roman" w:cs="Times New Roman"/>
          <w:b/>
          <w:bCs/>
          <w:sz w:val="28"/>
          <w:szCs w:val="28"/>
          <w:lang w:val="en-US"/>
        </w:rPr>
        <w:t>363</w:t>
      </w:r>
      <w:r>
        <w:rPr>
          <w:rStyle w:val="13"/>
          <w:rFonts w:hint="default" w:ascii="Times New Roman" w:hAnsi="Times New Roman" w:cs="Times New Roman"/>
          <w:b/>
          <w:bCs/>
          <w:sz w:val="28"/>
          <w:szCs w:val="28"/>
        </w:rPr>
        <w:t>1-1</w:t>
      </w:r>
      <w:r>
        <w:rPr>
          <w:rStyle w:val="13"/>
          <w:rFonts w:hint="default" w:ascii="Times New Roman" w:hAnsi="Times New Roman" w:cs="Times New Roman"/>
          <w:b/>
          <w:bCs/>
          <w:sz w:val="28"/>
          <w:szCs w:val="28"/>
        </w:rPr>
        <w:fldChar w:fldCharType="end"/>
      </w:r>
      <w:r>
        <w:rPr>
          <w:rStyle w:val="13"/>
          <w:rFonts w:hint="default" w:ascii="Times New Roman" w:hAnsi="Times New Roman" w:cs="Times New Roman"/>
          <w:b/>
          <w:bCs/>
          <w:sz w:val="28"/>
          <w:szCs w:val="28"/>
          <w:lang w:val="en-US"/>
        </w:rPr>
        <w:t>280</w:t>
      </w:r>
    </w:p>
    <w:p w14:paraId="6FFE2779">
      <w:pPr>
        <w:jc w:val="both"/>
        <w:rPr>
          <w:rStyle w:val="13"/>
          <w:rFonts w:hint="default" w:ascii="Times New Roman" w:hAnsi="Times New Roman" w:cs="Times New Roman"/>
          <w:b/>
          <w:bCs/>
          <w:color w:val="auto"/>
          <w:sz w:val="28"/>
          <w:szCs w:val="28"/>
          <w:u w:val="none"/>
          <w:lang w:val="en-US"/>
        </w:rPr>
      </w:pPr>
      <w:r>
        <w:rPr>
          <w:rStyle w:val="13"/>
          <w:rFonts w:hint="default" w:ascii="Times New Roman" w:hAnsi="Times New Roman" w:cs="Times New Roman"/>
          <w:b/>
          <w:bCs/>
          <w:color w:val="auto"/>
          <w:sz w:val="28"/>
          <w:szCs w:val="28"/>
          <w:u w:val="none"/>
          <w:lang w:val="en-US"/>
        </w:rPr>
        <w:t>Kabiru Tope ANIMASHAUN</w:t>
      </w:r>
    </w:p>
    <w:p w14:paraId="7CC3340F">
      <w:pPr>
        <w:jc w:val="both"/>
        <w:rPr>
          <w:rStyle w:val="13"/>
          <w:rFonts w:hint="default" w:ascii="Times New Roman" w:hAnsi="Times New Roman" w:cs="Times New Roman"/>
          <w:b/>
          <w:bCs/>
          <w:color w:val="auto"/>
          <w:sz w:val="28"/>
          <w:szCs w:val="28"/>
          <w:u w:val="none"/>
          <w:lang w:val="en-US"/>
        </w:rPr>
      </w:pPr>
      <w:r>
        <w:rPr>
          <w:rStyle w:val="13"/>
          <w:rFonts w:hint="default" w:ascii="Times New Roman" w:hAnsi="Times New Roman" w:cs="Times New Roman"/>
          <w:b/>
          <w:bCs/>
          <w:color w:val="auto"/>
          <w:sz w:val="28"/>
          <w:szCs w:val="28"/>
          <w:u w:val="none"/>
          <w:lang w:val="en-US"/>
        </w:rPr>
        <w:fldChar w:fldCharType="begin"/>
      </w:r>
      <w:r>
        <w:rPr>
          <w:rStyle w:val="13"/>
          <w:rFonts w:hint="default" w:ascii="Times New Roman" w:hAnsi="Times New Roman" w:cs="Times New Roman"/>
          <w:b/>
          <w:bCs/>
          <w:color w:val="auto"/>
          <w:sz w:val="28"/>
          <w:szCs w:val="28"/>
          <w:u w:val="none"/>
          <w:lang w:val="en-US"/>
        </w:rPr>
        <w:instrText xml:space="preserve"> HYPERLINK "mailto:Kabiru.animashaun@yabatech.edu.ng" </w:instrText>
      </w:r>
      <w:r>
        <w:rPr>
          <w:rStyle w:val="13"/>
          <w:rFonts w:hint="default" w:ascii="Times New Roman" w:hAnsi="Times New Roman" w:cs="Times New Roman"/>
          <w:b/>
          <w:bCs/>
          <w:color w:val="auto"/>
          <w:sz w:val="28"/>
          <w:szCs w:val="28"/>
          <w:u w:val="none"/>
          <w:lang w:val="en-US"/>
        </w:rPr>
        <w:fldChar w:fldCharType="separate"/>
      </w:r>
      <w:r>
        <w:rPr>
          <w:rStyle w:val="13"/>
          <w:rFonts w:hint="default" w:ascii="Times New Roman" w:hAnsi="Times New Roman" w:cs="Times New Roman"/>
          <w:b/>
          <w:bCs/>
          <w:sz w:val="28"/>
          <w:szCs w:val="28"/>
          <w:lang w:val="en-US"/>
        </w:rPr>
        <w:t>kabiru.animashaun@yabatech.edu.ng</w:t>
      </w:r>
      <w:r>
        <w:rPr>
          <w:rStyle w:val="13"/>
          <w:rFonts w:hint="default" w:ascii="Times New Roman" w:hAnsi="Times New Roman" w:cs="Times New Roman"/>
          <w:b/>
          <w:bCs/>
          <w:color w:val="auto"/>
          <w:sz w:val="28"/>
          <w:szCs w:val="28"/>
          <w:u w:val="none"/>
          <w:lang w:val="en-US"/>
        </w:rPr>
        <w:fldChar w:fldCharType="end"/>
      </w:r>
    </w:p>
    <w:p w14:paraId="13DE177C">
      <w:pPr>
        <w:jc w:val="both"/>
        <w:rPr>
          <w:rStyle w:val="13"/>
          <w:rFonts w:hint="default" w:ascii="Times New Roman" w:hAnsi="Times New Roman" w:cs="Times New Roman"/>
          <w:b/>
          <w:bCs/>
          <w:sz w:val="28"/>
          <w:szCs w:val="28"/>
          <w:lang w:val="en-US"/>
        </w:rPr>
      </w:pPr>
      <w:r>
        <w:rPr>
          <w:rFonts w:hint="default" w:ascii="Times New Roman" w:hAnsi="Times New Roman" w:cs="Times New Roman"/>
        </w:rPr>
        <w:fldChar w:fldCharType="begin"/>
      </w:r>
      <w:r>
        <w:rPr>
          <w:rFonts w:hint="default" w:ascii="Times New Roman" w:hAnsi="Times New Roman" w:cs="Times New Roman"/>
        </w:rPr>
        <w:instrText xml:space="preserve"> HYPERLINK "https://orcid.org/0009-0000-1534-8016" \t "_blank" </w:instrText>
      </w:r>
      <w:r>
        <w:rPr>
          <w:rFonts w:hint="default" w:ascii="Times New Roman" w:hAnsi="Times New Roman" w:cs="Times New Roman"/>
        </w:rPr>
        <w:fldChar w:fldCharType="separate"/>
      </w:r>
      <w:r>
        <w:rPr>
          <w:rStyle w:val="13"/>
          <w:rFonts w:hint="default" w:ascii="Times New Roman" w:hAnsi="Times New Roman" w:cs="Times New Roman"/>
          <w:b/>
          <w:bCs/>
          <w:sz w:val="28"/>
          <w:szCs w:val="28"/>
        </w:rPr>
        <w:t>https://orcid.org/0009-000</w:t>
      </w:r>
      <w:r>
        <w:rPr>
          <w:rStyle w:val="13"/>
          <w:rFonts w:hint="default" w:ascii="Times New Roman" w:hAnsi="Times New Roman" w:cs="Times New Roman"/>
          <w:b/>
          <w:bCs/>
          <w:sz w:val="28"/>
          <w:szCs w:val="28"/>
          <w:lang w:val="en-US"/>
        </w:rPr>
        <w:t>4</w:t>
      </w:r>
      <w:r>
        <w:rPr>
          <w:rStyle w:val="13"/>
          <w:rFonts w:hint="default" w:ascii="Times New Roman" w:hAnsi="Times New Roman" w:cs="Times New Roman"/>
          <w:b/>
          <w:bCs/>
          <w:sz w:val="28"/>
          <w:szCs w:val="28"/>
        </w:rPr>
        <w:t>-</w:t>
      </w:r>
      <w:r>
        <w:rPr>
          <w:rStyle w:val="13"/>
          <w:rFonts w:hint="default" w:ascii="Times New Roman" w:hAnsi="Times New Roman" w:cs="Times New Roman"/>
          <w:b/>
          <w:bCs/>
          <w:sz w:val="28"/>
          <w:szCs w:val="28"/>
          <w:lang w:val="en-US"/>
        </w:rPr>
        <w:t>8220</w:t>
      </w:r>
      <w:r>
        <w:rPr>
          <w:rStyle w:val="13"/>
          <w:rFonts w:hint="default" w:ascii="Times New Roman" w:hAnsi="Times New Roman" w:cs="Times New Roman"/>
          <w:b/>
          <w:bCs/>
          <w:sz w:val="28"/>
          <w:szCs w:val="28"/>
        </w:rPr>
        <w:t>-</w:t>
      </w:r>
      <w:r>
        <w:rPr>
          <w:rStyle w:val="13"/>
          <w:rFonts w:hint="default" w:ascii="Times New Roman" w:hAnsi="Times New Roman" w:cs="Times New Roman"/>
          <w:b/>
          <w:bCs/>
          <w:sz w:val="28"/>
          <w:szCs w:val="28"/>
        </w:rPr>
        <w:fldChar w:fldCharType="end"/>
      </w:r>
      <w:r>
        <w:rPr>
          <w:rStyle w:val="13"/>
          <w:rFonts w:hint="default" w:ascii="Times New Roman" w:hAnsi="Times New Roman" w:cs="Times New Roman"/>
          <w:b/>
          <w:bCs/>
          <w:sz w:val="28"/>
          <w:szCs w:val="28"/>
          <w:lang w:val="en-US"/>
        </w:rPr>
        <w:t>6375</w:t>
      </w:r>
    </w:p>
    <w:p w14:paraId="7CBE975E">
      <w:pPr>
        <w:jc w:val="both"/>
        <w:rPr>
          <w:rStyle w:val="13"/>
          <w:rFonts w:hint="default" w:ascii="Times New Roman" w:hAnsi="Times New Roman" w:cs="Times New Roman"/>
          <w:b/>
          <w:bCs/>
          <w:color w:val="auto"/>
          <w:sz w:val="28"/>
          <w:szCs w:val="28"/>
          <w:u w:val="none"/>
          <w:lang w:val="en-US"/>
        </w:rPr>
      </w:pPr>
      <w:r>
        <w:rPr>
          <w:rStyle w:val="13"/>
          <w:rFonts w:hint="default" w:ascii="Times New Roman" w:hAnsi="Times New Roman" w:cs="Times New Roman"/>
          <w:b/>
          <w:bCs/>
          <w:color w:val="auto"/>
          <w:sz w:val="28"/>
          <w:szCs w:val="28"/>
          <w:u w:val="none"/>
          <w:lang w:val="en-US"/>
        </w:rPr>
        <w:t>Olayinka Odunayo</w:t>
      </w:r>
      <w:bookmarkStart w:id="9" w:name="_GoBack"/>
      <w:bookmarkEnd w:id="9"/>
      <w:r>
        <w:rPr>
          <w:rStyle w:val="13"/>
          <w:rFonts w:hint="default" w:ascii="Times New Roman" w:hAnsi="Times New Roman" w:cs="Times New Roman"/>
          <w:b/>
          <w:bCs/>
          <w:color w:val="auto"/>
          <w:sz w:val="28"/>
          <w:szCs w:val="28"/>
          <w:u w:val="none"/>
          <w:lang w:val="en-US"/>
        </w:rPr>
        <w:t xml:space="preserve"> AKINLADE</w:t>
      </w:r>
    </w:p>
    <w:p w14:paraId="7DE3AC0C">
      <w:pPr>
        <w:jc w:val="both"/>
        <w:rPr>
          <w:rStyle w:val="13"/>
          <w:rFonts w:hint="default" w:ascii="Times New Roman" w:hAnsi="Times New Roman" w:cs="Times New Roman"/>
          <w:b/>
          <w:bCs/>
          <w:sz w:val="28"/>
          <w:szCs w:val="28"/>
          <w:lang w:val="en-US"/>
        </w:rPr>
      </w:pPr>
    </w:p>
    <w:p w14:paraId="266E0D6D">
      <w:pPr>
        <w:jc w:val="both"/>
        <w:rPr>
          <w:rStyle w:val="13"/>
          <w:rFonts w:hint="default" w:ascii="Times New Roman" w:hAnsi="Times New Roman" w:cs="Times New Roman"/>
          <w:b/>
          <w:bCs/>
          <w:color w:val="auto"/>
          <w:sz w:val="28"/>
          <w:szCs w:val="28"/>
          <w:u w:val="none"/>
          <w:lang w:val="en-US"/>
        </w:rPr>
      </w:pPr>
    </w:p>
    <w:p w14:paraId="56AC9206">
      <w:pPr>
        <w:jc w:val="both"/>
        <w:rPr>
          <w:rStyle w:val="13"/>
          <w:rFonts w:hint="default" w:ascii="Times New Roman" w:hAnsi="Times New Roman" w:cs="Times New Roman"/>
          <w:b/>
          <w:bCs/>
          <w:color w:val="auto"/>
          <w:sz w:val="28"/>
          <w:szCs w:val="28"/>
          <w:u w:val="none"/>
          <w:lang w:val="en-US"/>
        </w:rPr>
      </w:pPr>
    </w:p>
    <w:p w14:paraId="1D3BD8CF">
      <w:pPr>
        <w:jc w:val="both"/>
        <w:rPr>
          <w:rStyle w:val="13"/>
          <w:rFonts w:hint="default" w:ascii="Times New Roman" w:hAnsi="Times New Roman" w:cs="Times New Roman"/>
          <w:b/>
          <w:bCs/>
          <w:color w:val="auto"/>
          <w:sz w:val="28"/>
          <w:szCs w:val="28"/>
          <w:u w:val="none"/>
          <w:lang w:val="en-US"/>
        </w:rPr>
      </w:pPr>
    </w:p>
    <w:p w14:paraId="25A2B940">
      <w:pPr>
        <w:jc w:val="both"/>
        <w:rPr>
          <w:rStyle w:val="13"/>
          <w:rFonts w:hint="default" w:ascii="Times New Roman" w:hAnsi="Times New Roman" w:cs="Times New Roman"/>
          <w:b/>
          <w:bCs/>
          <w:color w:val="auto"/>
          <w:sz w:val="28"/>
          <w:szCs w:val="28"/>
          <w:u w:val="none"/>
          <w:lang w:val="en-US"/>
        </w:rPr>
      </w:pPr>
    </w:p>
    <w:p w14:paraId="144F8E1F">
      <w:pPr>
        <w:jc w:val="both"/>
        <w:rPr>
          <w:rStyle w:val="13"/>
          <w:rFonts w:hint="default" w:ascii="Times New Roman" w:hAnsi="Times New Roman" w:cs="Times New Roman"/>
          <w:b/>
          <w:bCs/>
          <w:color w:val="auto"/>
          <w:sz w:val="28"/>
          <w:szCs w:val="28"/>
          <w:u w:val="none"/>
          <w:lang w:val="en-US"/>
        </w:rPr>
      </w:pPr>
    </w:p>
    <w:p w14:paraId="2C546195">
      <w:pPr>
        <w:jc w:val="both"/>
        <w:rPr>
          <w:rStyle w:val="13"/>
          <w:rFonts w:hint="default" w:ascii="Times New Roman" w:hAnsi="Times New Roman" w:cs="Times New Roman"/>
          <w:b/>
          <w:bCs/>
          <w:color w:val="auto"/>
          <w:sz w:val="28"/>
          <w:szCs w:val="28"/>
          <w:u w:val="none"/>
          <w:lang w:val="en-US"/>
        </w:rPr>
      </w:pPr>
    </w:p>
    <w:p w14:paraId="57791AAA">
      <w:pPr>
        <w:jc w:val="both"/>
        <w:rPr>
          <w:rStyle w:val="13"/>
          <w:rFonts w:hint="default" w:ascii="Times New Roman" w:hAnsi="Times New Roman" w:cs="Times New Roman"/>
          <w:b/>
          <w:bCs/>
          <w:color w:val="auto"/>
          <w:sz w:val="28"/>
          <w:szCs w:val="28"/>
          <w:u w:val="none"/>
          <w:lang w:val="en-US"/>
        </w:rPr>
      </w:pPr>
    </w:p>
    <w:p w14:paraId="0629F039">
      <w:pPr>
        <w:jc w:val="both"/>
        <w:rPr>
          <w:rStyle w:val="13"/>
          <w:rFonts w:hint="default" w:ascii="Times New Roman" w:hAnsi="Times New Roman" w:cs="Times New Roman"/>
          <w:b/>
          <w:bCs/>
          <w:color w:val="auto"/>
          <w:sz w:val="28"/>
          <w:szCs w:val="28"/>
          <w:u w:val="none"/>
          <w:lang w:val="en-US"/>
        </w:rPr>
      </w:pPr>
    </w:p>
    <w:p w14:paraId="4DBB5D09">
      <w:pPr>
        <w:jc w:val="both"/>
        <w:rPr>
          <w:rStyle w:val="13"/>
          <w:rFonts w:hint="default" w:ascii="Times New Roman" w:hAnsi="Times New Roman" w:cs="Times New Roman"/>
          <w:b/>
          <w:bCs/>
          <w:color w:val="auto"/>
          <w:sz w:val="28"/>
          <w:szCs w:val="28"/>
          <w:u w:val="none"/>
          <w:lang w:val="en-US"/>
        </w:rPr>
      </w:pPr>
    </w:p>
    <w:p w14:paraId="7A2A4B58">
      <w:pPr>
        <w:jc w:val="both"/>
        <w:rPr>
          <w:rStyle w:val="13"/>
          <w:rFonts w:hint="default" w:ascii="Times New Roman" w:hAnsi="Times New Roman" w:cs="Times New Roman"/>
          <w:b/>
          <w:bCs/>
          <w:color w:val="auto"/>
          <w:sz w:val="28"/>
          <w:szCs w:val="28"/>
          <w:u w:val="none"/>
          <w:lang w:val="en-US"/>
        </w:rPr>
      </w:pPr>
    </w:p>
    <w:p w14:paraId="31939430">
      <w:pPr>
        <w:jc w:val="both"/>
        <w:rPr>
          <w:rStyle w:val="13"/>
          <w:rFonts w:hint="default" w:ascii="Times New Roman" w:hAnsi="Times New Roman" w:cs="Times New Roman"/>
          <w:b/>
          <w:bCs/>
          <w:color w:val="auto"/>
          <w:sz w:val="28"/>
          <w:szCs w:val="28"/>
          <w:u w:val="none"/>
          <w:lang w:val="en-US"/>
        </w:rPr>
      </w:pPr>
    </w:p>
    <w:p w14:paraId="1759FCAD">
      <w:pPr>
        <w:jc w:val="both"/>
        <w:rPr>
          <w:rStyle w:val="13"/>
          <w:rFonts w:hint="default" w:ascii="Times New Roman" w:hAnsi="Times New Roman" w:cs="Times New Roman"/>
          <w:b/>
          <w:bCs/>
          <w:color w:val="auto"/>
          <w:sz w:val="28"/>
          <w:szCs w:val="28"/>
          <w:u w:val="none"/>
          <w:lang w:val="en-US"/>
        </w:rPr>
      </w:pPr>
    </w:p>
    <w:p w14:paraId="07062E62">
      <w:pPr>
        <w:jc w:val="both"/>
        <w:rPr>
          <w:rStyle w:val="13"/>
          <w:rFonts w:hint="default" w:ascii="Times New Roman" w:hAnsi="Times New Roman" w:cs="Times New Roman"/>
          <w:b/>
          <w:bCs/>
          <w:color w:val="auto"/>
          <w:sz w:val="28"/>
          <w:szCs w:val="28"/>
          <w:u w:val="none"/>
          <w:lang w:val="en-US"/>
        </w:rPr>
      </w:pPr>
    </w:p>
    <w:p w14:paraId="6B22E566">
      <w:pPr>
        <w:jc w:val="both"/>
        <w:rPr>
          <w:rStyle w:val="13"/>
          <w:rFonts w:hint="default" w:ascii="Times New Roman" w:hAnsi="Times New Roman" w:cs="Times New Roman"/>
          <w:b/>
          <w:bCs/>
          <w:color w:val="auto"/>
          <w:sz w:val="28"/>
          <w:szCs w:val="28"/>
          <w:u w:val="none"/>
          <w:lang w:val="en-US"/>
        </w:rPr>
      </w:pPr>
    </w:p>
    <w:p w14:paraId="49FE39DD">
      <w:pPr>
        <w:jc w:val="both"/>
        <w:rPr>
          <w:rFonts w:ascii="Times New Roman" w:hAnsi="Times New Roman" w:cs="Times New Roman"/>
          <w:b/>
          <w:bCs/>
          <w:sz w:val="28"/>
          <w:szCs w:val="28"/>
        </w:rPr>
      </w:pPr>
      <w:r>
        <w:rPr>
          <w:rFonts w:ascii="Times New Roman" w:hAnsi="Times New Roman" w:cs="Times New Roman"/>
          <w:b/>
          <w:bCs/>
          <w:sz w:val="28"/>
          <w:szCs w:val="28"/>
        </w:rPr>
        <w:t>DIGITAL ASSET TAXATION AND THE EXPANSION OF THE CAPITAL GAINS TAX REGIME IN NIGERIA</w:t>
      </w:r>
    </w:p>
    <w:p w14:paraId="38FEC241">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72E04D80">
      <w:pPr>
        <w:jc w:val="both"/>
        <w:rPr>
          <w:rFonts w:ascii="Times New Roman" w:hAnsi="Times New Roman" w:cs="Times New Roman"/>
          <w:sz w:val="28"/>
          <w:szCs w:val="28"/>
        </w:rPr>
      </w:pPr>
      <w:r>
        <w:rPr>
          <w:rFonts w:ascii="Times New Roman" w:hAnsi="Times New Roman" w:cs="Times New Roman"/>
          <w:sz w:val="28"/>
          <w:szCs w:val="28"/>
        </w:rPr>
        <w:t>The adoption of cryptocurrencies and virtual assets is reshaping the global financial landscape, leading to new regulatory challenges. In Nigeria, tax reforms have clarified that digital assets are subject to Capital Gains Tax (CGT). This paper explores the foundations of digital asset taxation, focusing on cryptocurrencies and their treatment under the CGT regime. It analyze</w:t>
      </w:r>
      <w:r>
        <w:rPr>
          <w:rFonts w:hint="default" w:ascii="Times New Roman" w:hAnsi="Times New Roman" w:cs="Times New Roman"/>
          <w:sz w:val="28"/>
          <w:szCs w:val="28"/>
          <w:lang w:val="en-US"/>
        </w:rPr>
        <w:t>s the</w:t>
      </w:r>
      <w:r>
        <w:rPr>
          <w:rFonts w:ascii="Times New Roman" w:hAnsi="Times New Roman" w:cs="Times New Roman"/>
          <w:sz w:val="28"/>
          <w:szCs w:val="28"/>
        </w:rPr>
        <w:t xml:space="preserve"> best practices </w:t>
      </w:r>
      <w:r>
        <w:rPr>
          <w:rFonts w:hint="default" w:ascii="Times New Roman" w:hAnsi="Times New Roman" w:cs="Times New Roman"/>
          <w:sz w:val="28"/>
          <w:szCs w:val="28"/>
          <w:lang w:val="en-US"/>
        </w:rPr>
        <w:t>in Nigeria</w:t>
      </w:r>
      <w:r>
        <w:rPr>
          <w:rFonts w:ascii="Times New Roman" w:hAnsi="Times New Roman" w:cs="Times New Roman"/>
          <w:sz w:val="28"/>
          <w:szCs w:val="28"/>
        </w:rPr>
        <w:t>, Nigeria’s tax framework, and challenges in valuation and compliance. The study concludes that taxing digital assets under CGT promotes equity, revenue generation, and alignment with international standards.</w:t>
      </w:r>
    </w:p>
    <w:p w14:paraId="6179DEE6">
      <w:pPr>
        <w:jc w:val="both"/>
        <w:rPr>
          <w:rFonts w:ascii="Times New Roman" w:hAnsi="Times New Roman" w:cs="Times New Roman"/>
          <w:sz w:val="28"/>
          <w:szCs w:val="28"/>
        </w:rPr>
      </w:pPr>
      <w:r>
        <w:rPr>
          <w:rFonts w:ascii="Times New Roman" w:hAnsi="Times New Roman" w:cs="Times New Roman"/>
          <w:b/>
          <w:bCs/>
          <w:sz w:val="28"/>
          <w:szCs w:val="28"/>
        </w:rPr>
        <w:t>Keywords:</w:t>
      </w:r>
      <w:r>
        <w:rPr>
          <w:rFonts w:ascii="Times New Roman" w:hAnsi="Times New Roman" w:cs="Times New Roman"/>
          <w:sz w:val="28"/>
          <w:szCs w:val="28"/>
        </w:rPr>
        <w:t xml:space="preserve"> Digital assets, Cryptocurrency, Capital gains tax, Tax reform, Nigeria</w:t>
      </w:r>
    </w:p>
    <w:p w14:paraId="695A4FF8">
      <w:pPr>
        <w:jc w:val="both"/>
        <w:rPr>
          <w:rFonts w:ascii="Times New Roman" w:hAnsi="Times New Roman" w:cs="Times New Roman"/>
          <w:sz w:val="28"/>
          <w:szCs w:val="28"/>
        </w:rPr>
      </w:pPr>
    </w:p>
    <w:p w14:paraId="7A7FA13E">
      <w:pPr>
        <w:jc w:val="both"/>
        <w:rPr>
          <w:rFonts w:ascii="Times New Roman" w:hAnsi="Times New Roman" w:cs="Times New Roman"/>
          <w:b/>
          <w:bCs/>
          <w:sz w:val="28"/>
          <w:szCs w:val="28"/>
        </w:rPr>
      </w:pPr>
    </w:p>
    <w:p w14:paraId="461B2512">
      <w:pPr>
        <w:jc w:val="both"/>
        <w:rPr>
          <w:rFonts w:ascii="Times New Roman" w:hAnsi="Times New Roman" w:cs="Times New Roman"/>
          <w:b/>
          <w:bCs/>
          <w:sz w:val="28"/>
          <w:szCs w:val="28"/>
        </w:rPr>
      </w:pPr>
    </w:p>
    <w:p w14:paraId="7DAD837B">
      <w:pPr>
        <w:jc w:val="both"/>
        <w:rPr>
          <w:rFonts w:ascii="Times New Roman" w:hAnsi="Times New Roman" w:cs="Times New Roman"/>
          <w:b/>
          <w:bCs/>
          <w:sz w:val="28"/>
          <w:szCs w:val="28"/>
        </w:rPr>
      </w:pPr>
    </w:p>
    <w:p w14:paraId="5D8C8294">
      <w:pPr>
        <w:jc w:val="both"/>
        <w:rPr>
          <w:rFonts w:ascii="Times New Roman" w:hAnsi="Times New Roman" w:cs="Times New Roman"/>
          <w:b/>
          <w:bCs/>
          <w:sz w:val="28"/>
          <w:szCs w:val="28"/>
        </w:rPr>
      </w:pPr>
    </w:p>
    <w:p w14:paraId="6CE9A8B4">
      <w:pPr>
        <w:jc w:val="both"/>
        <w:rPr>
          <w:rFonts w:ascii="Times New Roman" w:hAnsi="Times New Roman" w:cs="Times New Roman"/>
          <w:b/>
          <w:bCs/>
          <w:sz w:val="28"/>
          <w:szCs w:val="28"/>
        </w:rPr>
      </w:pPr>
    </w:p>
    <w:p w14:paraId="77FD7200">
      <w:pPr>
        <w:jc w:val="both"/>
        <w:rPr>
          <w:rFonts w:ascii="Times New Roman" w:hAnsi="Times New Roman" w:cs="Times New Roman"/>
          <w:b/>
          <w:bCs/>
          <w:sz w:val="28"/>
          <w:szCs w:val="28"/>
        </w:rPr>
      </w:pPr>
    </w:p>
    <w:p w14:paraId="43C6A066">
      <w:pPr>
        <w:jc w:val="both"/>
        <w:rPr>
          <w:rFonts w:ascii="Times New Roman" w:hAnsi="Times New Roman" w:cs="Times New Roman"/>
          <w:b/>
          <w:bCs/>
          <w:sz w:val="28"/>
          <w:szCs w:val="28"/>
        </w:rPr>
      </w:pPr>
    </w:p>
    <w:p w14:paraId="4790A657">
      <w:pPr>
        <w:jc w:val="both"/>
        <w:rPr>
          <w:rFonts w:ascii="Times New Roman" w:hAnsi="Times New Roman" w:cs="Times New Roman"/>
          <w:b/>
          <w:bCs/>
          <w:sz w:val="28"/>
          <w:szCs w:val="28"/>
        </w:rPr>
      </w:pPr>
    </w:p>
    <w:p w14:paraId="53C12B1D">
      <w:pPr>
        <w:jc w:val="both"/>
        <w:rPr>
          <w:rFonts w:ascii="Times New Roman" w:hAnsi="Times New Roman" w:cs="Times New Roman"/>
          <w:b/>
          <w:bCs/>
          <w:sz w:val="28"/>
          <w:szCs w:val="28"/>
        </w:rPr>
      </w:pPr>
    </w:p>
    <w:p w14:paraId="05B40D01">
      <w:pPr>
        <w:jc w:val="both"/>
        <w:rPr>
          <w:rFonts w:ascii="Times New Roman" w:hAnsi="Times New Roman" w:cs="Times New Roman"/>
          <w:b/>
          <w:bCs/>
          <w:sz w:val="28"/>
          <w:szCs w:val="28"/>
        </w:rPr>
      </w:pPr>
    </w:p>
    <w:p w14:paraId="39C77D0E">
      <w:pPr>
        <w:jc w:val="both"/>
        <w:rPr>
          <w:rFonts w:ascii="Times New Roman" w:hAnsi="Times New Roman" w:cs="Times New Roman"/>
          <w:b/>
          <w:bCs/>
          <w:sz w:val="28"/>
          <w:szCs w:val="28"/>
        </w:rPr>
      </w:pPr>
    </w:p>
    <w:p w14:paraId="1514AAFE">
      <w:pPr>
        <w:jc w:val="both"/>
        <w:rPr>
          <w:rFonts w:ascii="Times New Roman" w:hAnsi="Times New Roman" w:cs="Times New Roman"/>
          <w:b/>
          <w:bCs/>
          <w:sz w:val="28"/>
          <w:szCs w:val="28"/>
        </w:rPr>
      </w:pPr>
    </w:p>
    <w:p w14:paraId="1EE6CEED">
      <w:pPr>
        <w:jc w:val="both"/>
        <w:rPr>
          <w:rFonts w:ascii="Times New Roman" w:hAnsi="Times New Roman" w:cs="Times New Roman"/>
          <w:b/>
          <w:bCs/>
          <w:sz w:val="28"/>
          <w:szCs w:val="28"/>
        </w:rPr>
      </w:pPr>
    </w:p>
    <w:p w14:paraId="2F3912E7">
      <w:pPr>
        <w:jc w:val="both"/>
        <w:rPr>
          <w:rFonts w:ascii="Times New Roman" w:hAnsi="Times New Roman" w:cs="Times New Roman"/>
          <w:b/>
          <w:bCs/>
          <w:sz w:val="28"/>
          <w:szCs w:val="28"/>
        </w:rPr>
      </w:pPr>
    </w:p>
    <w:p w14:paraId="6F59B4A5">
      <w:pPr>
        <w:jc w:val="both"/>
        <w:rPr>
          <w:rFonts w:ascii="Times New Roman" w:hAnsi="Times New Roman" w:cs="Times New Roman"/>
          <w:b/>
          <w:bCs/>
          <w:sz w:val="28"/>
          <w:szCs w:val="28"/>
        </w:rPr>
      </w:pPr>
      <w:r>
        <w:rPr>
          <w:rFonts w:ascii="Times New Roman" w:hAnsi="Times New Roman" w:cs="Times New Roman"/>
          <w:b/>
          <w:bCs/>
          <w:sz w:val="28"/>
          <w:szCs w:val="28"/>
        </w:rPr>
        <w:t>1.0 Introduction</w:t>
      </w:r>
    </w:p>
    <w:p w14:paraId="0610CB67">
      <w:pPr>
        <w:jc w:val="both"/>
        <w:rPr>
          <w:rFonts w:ascii="Times New Roman" w:hAnsi="Times New Roman" w:cs="Times New Roman"/>
          <w:sz w:val="28"/>
          <w:szCs w:val="28"/>
        </w:rPr>
      </w:pPr>
      <w:r>
        <w:rPr>
          <w:rFonts w:ascii="Times New Roman" w:hAnsi="Times New Roman" w:cs="Times New Roman"/>
          <w:sz w:val="28"/>
          <w:szCs w:val="28"/>
        </w:rPr>
        <w:t>Rapid technological improvements have an impact on many parts of life, including home surroundings, education, transportation, and business. Financial technology, particularly digital assets, seeks to increase financial inclusion and give alternative solutions, provoking debate about their worth and utility (He, 2024). Furthermore, advances in information technology, such as big data, artificial intelligence, and blockchain, are reshaping economic and social landscapes by encouraging industrial innovation and boosting tax system efficiency. Modernizing tax authorities is critical for maintaining fiscal revenue, economic order, and social equality in the face of digital disruption (Pastor Sempere, 2025).</w:t>
      </w:r>
    </w:p>
    <w:p w14:paraId="2D4CB32C">
      <w:pPr>
        <w:jc w:val="both"/>
        <w:rPr>
          <w:rFonts w:ascii="Times New Roman" w:hAnsi="Times New Roman" w:cs="Times New Roman"/>
          <w:sz w:val="28"/>
          <w:szCs w:val="28"/>
        </w:rPr>
      </w:pPr>
      <w:r>
        <w:rPr>
          <w:rFonts w:ascii="Times New Roman" w:hAnsi="Times New Roman" w:cs="Times New Roman"/>
          <w:sz w:val="28"/>
          <w:szCs w:val="28"/>
        </w:rPr>
        <w:t>Digital assets, like as Bitcoin and Ethereum, are critical to the modern economy, influencing financial transactions and investments and being viewed as investment vehicles. However, imprecise taxation regulations have led to regulatory uncertainty and revenue losses for many tax systems (Gosselin et al., 2026). According to Krause (2025), the US digital asset business has grown significantly since 2012, with around 20% of American citizens owning cryptocurrencies by 2023. Bitcoin's value increased from $13.45 in 2012 to $108,135 in 2024. Despite this rise, digital asset exchanges have mainly evaded required tax reporting, resulting in uncertainty about asset taxation. The Internal Revenue Service (IRS) began addressing cryptocurrency taxation in 2014, but ambiguous guidelines have hampered tracking of taxable earnings.</w:t>
      </w:r>
    </w:p>
    <w:p w14:paraId="2D8DD0F1">
      <w:pPr>
        <w:jc w:val="both"/>
        <w:rPr>
          <w:rFonts w:ascii="Times New Roman" w:hAnsi="Times New Roman" w:cs="Times New Roman"/>
          <w:sz w:val="28"/>
          <w:szCs w:val="28"/>
        </w:rPr>
      </w:pPr>
      <w:r>
        <w:rPr>
          <w:rFonts w:ascii="Times New Roman" w:hAnsi="Times New Roman" w:cs="Times New Roman"/>
          <w:sz w:val="28"/>
          <w:szCs w:val="28"/>
        </w:rPr>
        <w:t>From an African perspective, the expansion of the digital economy challenges the adaptability of African tax systems. Large organizations increase their market share by establishing regional hubs, offering digital services developed from valuable algorithms in both Business-to-Business and Business-to-Customer markets across Africa (Cupido, 2025). Nigeria, as a major player in financial excellence, is embracing this change by utilizing its regulatory framework and commercial tradition to incorporate digital assets. The rise of technology and digital assets is significantly transforming tax-financial services, offering unique opportunities for innovation and efficiency (Schueffel &amp; Stuessi, 2025).</w:t>
      </w:r>
    </w:p>
    <w:p w14:paraId="7F21CDC7">
      <w:pPr>
        <w:jc w:val="both"/>
        <w:rPr>
          <w:rFonts w:ascii="Times New Roman" w:hAnsi="Times New Roman" w:cs="Times New Roman"/>
          <w:sz w:val="28"/>
          <w:szCs w:val="28"/>
        </w:rPr>
      </w:pPr>
      <w:r>
        <w:rPr>
          <w:rFonts w:ascii="Times New Roman" w:hAnsi="Times New Roman" w:cs="Times New Roman"/>
          <w:sz w:val="28"/>
          <w:szCs w:val="28"/>
        </w:rPr>
        <w:t xml:space="preserve">Revenue generation is critical for economic stability and growth in developing nations like Nigeria. It involves government collection of financial resources through taxation and other methods to fund public services such as infrastructure, healthcare, and education. The success of tax reform in improving revenue generation relies on factors like tax administration efficiency, taxpayer compliance, and the tax system's structure (Bielu &amp; Ikedinobi, 2026). Taxes are compulsory payments mandated by public authorities, enforceable by law, not payments for services. Their fundamental role is as a financial imposition by governments to achieve social objectives and provide public amenities (Musa, 2026). </w:t>
      </w:r>
      <w:bookmarkStart w:id="0" w:name="_Hlk221805809"/>
      <w:r>
        <w:rPr>
          <w:rFonts w:ascii="Times New Roman" w:hAnsi="Times New Roman" w:cs="Times New Roman"/>
          <w:sz w:val="28"/>
          <w:szCs w:val="28"/>
        </w:rPr>
        <w:t xml:space="preserve"> </w:t>
      </w:r>
      <w:bookmarkEnd w:id="0"/>
      <w:r>
        <w:rPr>
          <w:rFonts w:ascii="Times New Roman" w:hAnsi="Times New Roman" w:cs="Times New Roman"/>
          <w:sz w:val="28"/>
          <w:szCs w:val="28"/>
        </w:rPr>
        <w:t>In Nigeria, reforms have established that gains from cryptocurrency transactions are now subject to taxation by recognizing digital and virtual assets as chargeable assets, specifically incorporating them under the Capital Gains Tax (CGT) regime (Akinola, 2026).</w:t>
      </w:r>
    </w:p>
    <w:p w14:paraId="4424D8E3">
      <w:pPr>
        <w:jc w:val="both"/>
        <w:rPr>
          <w:rFonts w:ascii="Times New Roman" w:hAnsi="Times New Roman" w:cs="Times New Roman"/>
          <w:sz w:val="28"/>
          <w:szCs w:val="28"/>
        </w:rPr>
      </w:pPr>
      <w:r>
        <w:rPr>
          <w:rFonts w:ascii="Times New Roman" w:hAnsi="Times New Roman" w:cs="Times New Roman"/>
          <w:sz w:val="28"/>
          <w:szCs w:val="28"/>
        </w:rPr>
        <w:t>Capital Gains Tax (CGT) is a tax on the profit obtained from selling or disposing of assets, such as real estate or shares. It is calculated on the difference between the sale price and the original purchase price, applying only upon the sale of the asset (Pradhan, 2026).  Digital assets are included as chargeable assets in the Bill, with exceptions for gains from the disposal of shares in Nigerian companies if the total proceeds are under N150,000,000 and the chargeable gain is less than N10,000,000 within a 12-month period, or if shares are transferred between an Approved Borrower (Esuga &amp; Ayileka, 2025). As Nigeria's digital economy grows, understanding tax obligations for cryptocurrency participants is crucial. Regulatory clarity is improving as cryptocurrencies are recognized as securities under the ISA 2025, with VASPs, DAOPs, and Digital Asset Exchanges falling under SEC oversight starting June 2025 (Famodimu, 2025).</w:t>
      </w:r>
    </w:p>
    <w:p w14:paraId="2FF002B7">
      <w:pPr>
        <w:jc w:val="both"/>
        <w:rPr>
          <w:rFonts w:ascii="Times New Roman" w:hAnsi="Times New Roman" w:cs="Times New Roman"/>
          <w:b/>
          <w:bCs/>
          <w:sz w:val="28"/>
          <w:szCs w:val="28"/>
        </w:rPr>
      </w:pPr>
      <w:r>
        <w:rPr>
          <w:rFonts w:ascii="Times New Roman" w:hAnsi="Times New Roman" w:cs="Times New Roman"/>
          <w:b/>
          <w:bCs/>
          <w:sz w:val="28"/>
          <w:szCs w:val="28"/>
        </w:rPr>
        <w:t>2.0 Literature Review</w:t>
      </w:r>
    </w:p>
    <w:p w14:paraId="25A4E665">
      <w:pPr>
        <w:jc w:val="both"/>
        <w:rPr>
          <w:rFonts w:ascii="Times New Roman" w:hAnsi="Times New Roman" w:cs="Times New Roman"/>
          <w:b/>
          <w:bCs/>
          <w:sz w:val="28"/>
          <w:szCs w:val="28"/>
        </w:rPr>
      </w:pPr>
      <w:r>
        <w:rPr>
          <w:rFonts w:ascii="Times New Roman" w:hAnsi="Times New Roman" w:cs="Times New Roman"/>
          <w:b/>
          <w:bCs/>
          <w:sz w:val="28"/>
          <w:szCs w:val="28"/>
        </w:rPr>
        <w:t>2.1 Conceptual Review</w:t>
      </w:r>
    </w:p>
    <w:p w14:paraId="42278835">
      <w:pPr>
        <w:jc w:val="both"/>
        <w:rPr>
          <w:rFonts w:ascii="Times New Roman" w:hAnsi="Times New Roman" w:cs="Times New Roman"/>
          <w:b/>
          <w:bCs/>
          <w:sz w:val="28"/>
          <w:szCs w:val="28"/>
        </w:rPr>
      </w:pPr>
      <w:r>
        <w:rPr>
          <w:rFonts w:ascii="Times New Roman" w:hAnsi="Times New Roman" w:cs="Times New Roman"/>
          <w:b/>
          <w:bCs/>
          <w:sz w:val="28"/>
          <w:szCs w:val="28"/>
        </w:rPr>
        <w:t xml:space="preserve"> 2.1.1</w:t>
      </w:r>
      <w:r>
        <w:rPr>
          <w:rFonts w:ascii="Times New Roman" w:hAnsi="Times New Roman" w:cs="Times New Roman"/>
          <w:b/>
          <w:bCs/>
          <w:sz w:val="28"/>
          <w:szCs w:val="28"/>
        </w:rPr>
        <w:tab/>
      </w:r>
      <w:r>
        <w:rPr>
          <w:rFonts w:ascii="Times New Roman" w:hAnsi="Times New Roman" w:cs="Times New Roman"/>
          <w:b/>
          <w:bCs/>
          <w:sz w:val="28"/>
          <w:szCs w:val="28"/>
        </w:rPr>
        <w:t>Concept of Digital Assets</w:t>
      </w:r>
    </w:p>
    <w:p w14:paraId="17E84197">
      <w:pPr>
        <w:jc w:val="both"/>
        <w:rPr>
          <w:rFonts w:ascii="Times New Roman" w:hAnsi="Times New Roman" w:cs="Times New Roman"/>
          <w:sz w:val="28"/>
          <w:szCs w:val="28"/>
        </w:rPr>
      </w:pPr>
      <w:r>
        <w:rPr>
          <w:rFonts w:ascii="Times New Roman" w:hAnsi="Times New Roman" w:cs="Times New Roman"/>
          <w:sz w:val="28"/>
          <w:szCs w:val="28"/>
        </w:rPr>
        <w:t>Digital assets refer to any electronically created and stored content or data that possesses monetary or sentimental value, including cryptocurrencies, Non-Fungible Tokens (NFTs), digital files, online accounts, and virtual goods. Ownership of these assets can be established, and they are generally managed, transferred, and stored using digital devices or blockchain technology (Juhász, 2025). Rahman et al. (2025) note that digital assets have revolutionized various industries by facilitating direct transactions and rethinking digital ownership. This rapid advancements in technology have significantly influenced all spheres of life.  Notably, financial technology has introduced digital assets (DA), enhancing financial inclusion and providing alternative solutions. These digital assets include digital content and electronic representations of traditional assets (Pastor Sempere, 2025).</w:t>
      </w:r>
    </w:p>
    <w:p w14:paraId="1EEF3EE4">
      <w:pPr>
        <w:jc w:val="both"/>
        <w:rPr>
          <w:rFonts w:ascii="Times New Roman" w:hAnsi="Times New Roman" w:cs="Times New Roman"/>
          <w:sz w:val="28"/>
          <w:szCs w:val="28"/>
        </w:rPr>
      </w:pPr>
      <w:r>
        <w:rPr>
          <w:rFonts w:ascii="Times New Roman" w:hAnsi="Times New Roman" w:cs="Times New Roman"/>
          <w:sz w:val="28"/>
          <w:szCs w:val="28"/>
        </w:rPr>
        <w:t xml:space="preserve">Cryptocurrency is a digital currency secured by cryptography that operates on decentralized blockchain networks, enabling peer-to-peer transactions without the need for central authorities like banks. It allows users to buy, sell, or invest in digital assets, offering immunity to government manipulation (Dawood </w:t>
      </w:r>
      <w:r>
        <w:rPr>
          <w:rFonts w:ascii="Times New Roman" w:hAnsi="Times New Roman" w:cs="Times New Roman"/>
          <w:i/>
          <w:iCs/>
          <w:sz w:val="28"/>
          <w:szCs w:val="28"/>
        </w:rPr>
        <w:t>et al.,</w:t>
      </w:r>
      <w:r>
        <w:rPr>
          <w:rFonts w:ascii="Times New Roman" w:hAnsi="Times New Roman" w:cs="Times New Roman"/>
          <w:sz w:val="28"/>
          <w:szCs w:val="28"/>
        </w:rPr>
        <w:t xml:space="preserve"> 2026). Bitcoin a type of cryptocurrency, often called "digital gold," retains characteristics of physical gold as a reliable store of value, albeit with volatility and limited liquidity. It serves as an investment avenue where individuals buy, hold, or trade with the expectation of value appreciation. Additionally, Bitcoin allows for peer-to-peer transactions, providing a decentralized alternative to traditional currencies and facilitating secure global transactions without reliance on banking systems (Krause, 2026).  Jamshed et al. (2025) state that ethereum is native cryptocurrency, often referred to as “gas,” powers all transactions and smart contract executions, and also serves as an investment asset and store of value, similar to Bitcoin. Ethereum is a decentralized platform enabling the creation and execution of decentralized applications (dApps) and smart contracts, which automate agreements without intermediaries. </w:t>
      </w:r>
    </w:p>
    <w:p w14:paraId="57F32551">
      <w:pPr>
        <w:jc w:val="both"/>
        <w:rPr>
          <w:rFonts w:ascii="Times New Roman" w:hAnsi="Times New Roman" w:cs="Times New Roman"/>
          <w:sz w:val="28"/>
          <w:szCs w:val="28"/>
        </w:rPr>
      </w:pPr>
      <w:r>
        <w:rPr>
          <w:rFonts w:ascii="Times New Roman" w:hAnsi="Times New Roman" w:cs="Times New Roman"/>
          <w:sz w:val="28"/>
          <w:szCs w:val="28"/>
        </w:rPr>
        <w:t xml:space="preserve">NFTs are unique digital assets on a blockchain that verify authenticity and ownership through decentralized processes. They are associated with specific digital content, like art and music, allowing creators to monetize their work and collectors to own rare digital items (Spyrou et al., 2025).  Sereti et al. (2025) state that NFTs are unique digital assets stored on a blockchain, ensuring authenticity and ownership through decentralized verification.  Pisetta and Trippel (2025) opine that digital files are valuable electronic files, such as images, videos, audio, and documents, that are owned and stored by an organization or individual. They differ from generic files due to the presence of metadata, which enhances searchability, and they often include associated usage rights. Afzal (2026) notes that online accounts are essential digital assets, including social media profiles, crypto wallets, and banking accounts. Securing and planning for these accounts is vital, as they can be irretrievably lost if login credentials become inaccessible after death. While virtual goods are intangible digital assets traded in online games and social networks, including items like skins, currency, and collectibles. They are essential to the digital economy, enhancing user experience and enabling customizability and faster progression (Esanbayevich </w:t>
      </w:r>
      <w:r>
        <w:rPr>
          <w:rFonts w:ascii="Times New Roman" w:hAnsi="Times New Roman" w:cs="Times New Roman"/>
          <w:i/>
          <w:iCs/>
          <w:sz w:val="28"/>
          <w:szCs w:val="28"/>
        </w:rPr>
        <w:t>et al.</w:t>
      </w:r>
      <w:r>
        <w:rPr>
          <w:rFonts w:ascii="Times New Roman" w:hAnsi="Times New Roman" w:cs="Times New Roman"/>
          <w:sz w:val="28"/>
          <w:szCs w:val="28"/>
        </w:rPr>
        <w:t>, 2025).</w:t>
      </w:r>
    </w:p>
    <w:p w14:paraId="60CCAF6B">
      <w:pPr>
        <w:jc w:val="both"/>
        <w:rPr>
          <w:rFonts w:ascii="Times New Roman" w:hAnsi="Times New Roman" w:cs="Times New Roman"/>
          <w:sz w:val="28"/>
          <w:szCs w:val="28"/>
        </w:rPr>
      </w:pPr>
      <w:r>
        <w:rPr>
          <w:rFonts w:ascii="Times New Roman" w:hAnsi="Times New Roman" w:cs="Times New Roman"/>
          <w:b/>
          <w:bCs/>
          <w:sz w:val="28"/>
          <w:szCs w:val="28"/>
        </w:rPr>
        <w:t xml:space="preserve"> 2.1.2</w:t>
      </w:r>
      <w:r>
        <w:rPr>
          <w:rFonts w:ascii="Times New Roman" w:hAnsi="Times New Roman" w:cs="Times New Roman"/>
          <w:b/>
          <w:bCs/>
          <w:sz w:val="28"/>
          <w:szCs w:val="28"/>
        </w:rPr>
        <w:tab/>
      </w:r>
      <w:r>
        <w:rPr>
          <w:rFonts w:ascii="Times New Roman" w:hAnsi="Times New Roman" w:cs="Times New Roman"/>
          <w:b/>
          <w:bCs/>
          <w:sz w:val="28"/>
          <w:szCs w:val="28"/>
        </w:rPr>
        <w:t>Concept of Capital Gains</w:t>
      </w:r>
      <w:r>
        <w:rPr>
          <w:rFonts w:ascii="Times New Roman" w:hAnsi="Times New Roman" w:cs="Times New Roman"/>
          <w:sz w:val="28"/>
          <w:szCs w:val="28"/>
        </w:rPr>
        <w:t xml:space="preserve"> Tax</w:t>
      </w:r>
    </w:p>
    <w:p w14:paraId="6999289B">
      <w:pPr>
        <w:jc w:val="both"/>
        <w:rPr>
          <w:rFonts w:ascii="Times New Roman" w:hAnsi="Times New Roman" w:cs="Times New Roman"/>
          <w:sz w:val="28"/>
          <w:szCs w:val="28"/>
        </w:rPr>
      </w:pPr>
      <w:r>
        <w:rPr>
          <w:rFonts w:ascii="Times New Roman" w:hAnsi="Times New Roman" w:cs="Times New Roman"/>
          <w:sz w:val="28"/>
          <w:szCs w:val="28"/>
        </w:rPr>
        <w:t>Capital Gains Tax (CGT) is a tax on the profit gained from selling or disposing of appreciating assets like stocks, bonds, and real estate. It is assessed only upon sale and is determined by the difference between the sale price and the original purchase price (Krishnan, 2025; Whittenbury, 2025). CGT is imposed on profits to promote vertical equity, requiring higher payments from those with greater investment income (Anushiem et al., 2025). Maples and Minas (2025) suggest that it enhances government revenue for development, reduces market speculation, and ensures fairness by taxing wealth accumulation beyond regular income tax. Capital gains tax (CGT) is divided into short-term (assets held for 1 year or less) and long-term (assets held for over 1 year), with rates determined by the holding period and taxpayer's income. It also includes taxes on investment funds, inherited assets, and specific exemptions related to residential properties and business asset replacements (Pradhan, 2026).</w:t>
      </w:r>
      <w:bookmarkStart w:id="1" w:name="_Hlk222418828"/>
    </w:p>
    <w:p w14:paraId="0D9B8353">
      <w:pPr>
        <w:jc w:val="both"/>
        <w:rPr>
          <w:rFonts w:ascii="Times New Roman" w:hAnsi="Times New Roman" w:cs="Times New Roman"/>
          <w:sz w:val="28"/>
          <w:szCs w:val="28"/>
        </w:rPr>
      </w:pPr>
      <w:r>
        <w:rPr>
          <w:rFonts w:ascii="Times New Roman" w:hAnsi="Times New Roman" w:cs="Times New Roman"/>
          <w:sz w:val="28"/>
          <w:szCs w:val="28"/>
        </w:rPr>
        <w:t>Ikedinobi (2025) states that this tax applies to both residents and non-residents disposing of assets located in Nigeria or globally. The CGT Act in Nigeria imposes a 10% tax on the total gains realized by individuals from the disposal of chargeable assets by individuals, companies, or bodies corporate in the past, excluding charities and specific exempted entities, persons, disposal of assets and shares during a year of assessment (Kontagora &amp; Onyemaechi, 2025).</w:t>
      </w:r>
      <w:bookmarkEnd w:id="1"/>
      <w:r>
        <w:rPr>
          <w:rFonts w:ascii="Times New Roman" w:hAnsi="Times New Roman" w:cs="Times New Roman"/>
          <w:sz w:val="28"/>
          <w:szCs w:val="28"/>
        </w:rPr>
        <w:t xml:space="preserve"> Recently, CGT has significantly changed under the Nigeria Tax Act (NTA) 2025. The corporate CGT rate has increased from 10% to 30% (Jimmy, 2026). Exemptions include gains from the sale of shares in Nigerian companies if proceeds are under ₦150 million within 12 months and gains do not exceed ₦10 million (Sandey &amp; Chinwendu, 2025). The Nigeria Revenue Service (NRS) now administers CGT compliance for corporations and individuals, with gains calculated as the sale price minus acquisition cost, adjusted for allowable expenses. These reforms aim to improve tax compliance and the business environment (Bielu &amp; Ikedinobi, 2026).</w:t>
      </w:r>
    </w:p>
    <w:p w14:paraId="58FD75A2">
      <w:pPr>
        <w:jc w:val="both"/>
        <w:rPr>
          <w:rFonts w:ascii="Times New Roman" w:hAnsi="Times New Roman" w:cs="Times New Roman"/>
          <w:sz w:val="28"/>
          <w:szCs w:val="28"/>
        </w:rPr>
      </w:pPr>
      <w:r>
        <w:rPr>
          <w:rFonts w:ascii="Times New Roman" w:hAnsi="Times New Roman" w:cs="Times New Roman"/>
          <w:sz w:val="28"/>
          <w:szCs w:val="28"/>
        </w:rPr>
        <w:t>Přichystalová (2025) opines that digital assets, including cryptocurrencies, qualify for CGT if they are recognized as ownable and transferable. Cryptocurrencies exhibit characteristics such as scarcity, transferability, and the potential for value appreciation, aligning them with capital assets.</w:t>
      </w:r>
    </w:p>
    <w:p w14:paraId="106A0879">
      <w:pPr>
        <w:jc w:val="both"/>
        <w:rPr>
          <w:rFonts w:ascii="Times New Roman" w:hAnsi="Times New Roman" w:cs="Times New Roman"/>
          <w:sz w:val="28"/>
          <w:szCs w:val="28"/>
        </w:rPr>
      </w:pPr>
      <w:r>
        <w:rPr>
          <w:rFonts w:ascii="Times New Roman" w:hAnsi="Times New Roman" w:cs="Times New Roman"/>
          <w:sz w:val="28"/>
          <w:szCs w:val="28"/>
        </w:rPr>
        <w:t>Nigeria has updated its digital asset taxation, defining digital and virtual assets, like cryptocurrencies and tokens, as taxable assets. Gains from their disposal are now subject to CGT under Nigerian law, as per recent tax reforms (Monday, 2025). Cryptocurrencies are now classified as property by most tax authorities, which subjects their sale, exchange, or conversion to CGT principles. Taxable events include disposing of cryptocurrencies for fiat currency, exchanging between digital assets, or using them to purchase goods and services (Davenport &amp; Usrey, 2023). The reforms further provide that digital assets owned or controlled by Nigerian tax residents are taxable, regardless of whether the assets are held on offshore platforms. This broad scope strengthens Nigeria’s ability to tax gains derived from the digital economy (Erimwinorosee &amp; Parida, 2025). The inclusion of digital assets under CGT promotes tax equity by ensuring that taxpayers with similar economic gains face equivalent tax responsibilities, aligning traditional investments with emerging digital assets (de la Vega &amp; Jarrín, 2025).</w:t>
      </w:r>
    </w:p>
    <w:p w14:paraId="6EF1AA79">
      <w:pPr>
        <w:jc w:val="both"/>
        <w:rPr>
          <w:rFonts w:ascii="Times New Roman" w:hAnsi="Times New Roman" w:cs="Times New Roman"/>
          <w:sz w:val="28"/>
          <w:szCs w:val="28"/>
        </w:rPr>
      </w:pPr>
    </w:p>
    <w:p w14:paraId="3AA878E3">
      <w:pPr>
        <w:jc w:val="both"/>
        <w:rPr>
          <w:rFonts w:ascii="Times New Roman" w:hAnsi="Times New Roman" w:cs="Times New Roman"/>
          <w:b/>
          <w:bCs/>
          <w:sz w:val="28"/>
          <w:szCs w:val="28"/>
        </w:rPr>
      </w:pPr>
      <w:r>
        <w:rPr>
          <w:rFonts w:ascii="Times New Roman" w:hAnsi="Times New Roman" w:cs="Times New Roman"/>
          <w:b/>
          <w:bCs/>
          <w:sz w:val="28"/>
          <w:szCs w:val="28"/>
        </w:rPr>
        <w:t>4.3 Challenges of Administration and Enforcement of Digital Asset and CGT</w:t>
      </w:r>
    </w:p>
    <w:p w14:paraId="08266A84">
      <w:pPr>
        <w:jc w:val="both"/>
        <w:rPr>
          <w:rFonts w:ascii="Times New Roman" w:hAnsi="Times New Roman" w:cs="Times New Roman"/>
          <w:sz w:val="28"/>
          <w:szCs w:val="28"/>
        </w:rPr>
      </w:pPr>
      <w:r>
        <w:rPr>
          <w:rFonts w:ascii="Times New Roman" w:hAnsi="Times New Roman" w:cs="Times New Roman"/>
          <w:sz w:val="28"/>
          <w:szCs w:val="28"/>
        </w:rPr>
        <w:t>Despite the clarity of the legal framework, several challenges remain. Regulatory uncertainty in Nigeria regarding digital assets stems from inconsistent directives among regulatory bodies, notably between the Central Bank of Nigeria and the Securities and Exchange Commission, which complicates legal and tax-related transactions (Arop, 2023). Although the Finance Act 2023 and the Nigeria Tax Act 2025 recognize digital assets as taxable, practical guidelines for reporting gains remain undefined. Prior to 2026, a lack of a specific tax framework resulted in a reliance on broad interpretations of existing laws, causing under-reporting of transactions (Erimwinorosee &amp; Parida, 2025). Digital asset transactions pose challenges for tax authorities due to anonymity and pseudonymity, as these often occur through decentralized wallets or offshore exchanges without know your customer (KYC) documentation, making it hard to associate transactions with taxpayers. Additionally, Decentralized Finance (DeFi) platforms operate without central intermediaries, further complicating transaction tracing (Pradhan, 2026).</w:t>
      </w:r>
    </w:p>
    <w:p w14:paraId="53698671">
      <w:pPr>
        <w:pStyle w:val="34"/>
        <w:jc w:val="both"/>
        <w:rPr>
          <w:rFonts w:ascii="Times New Roman" w:hAnsi="Times New Roman" w:cs="Times New Roman"/>
          <w:sz w:val="28"/>
          <w:szCs w:val="28"/>
        </w:rPr>
      </w:pPr>
      <w:r>
        <w:rPr>
          <w:rFonts w:ascii="Times New Roman" w:hAnsi="Times New Roman" w:cs="Times New Roman"/>
          <w:sz w:val="28"/>
          <w:szCs w:val="28"/>
        </w:rPr>
        <w:t xml:space="preserve">Valuation of digital assets presents challenges due to extreme volatility, complicating market value estimations for CGT calculations (Vashisth et al., 2024). Additionally, asset swaps introduce complexities in determining realized gains. Furthermore, the deductibility of transaction fees for calculating chargeable gains remains poorly defined (Přichystalová, 2025). Jurisdictional and enforcement challenges in taxing digital assets arise from their cross-border nature, making it difficult to establish tax jurisdiction (de la Vega et al., 2024). Additionally, many exchanges lack reporting obligations, resulting in under-reporting of transactions to local tax authorities (Šipovac &amp; Logarušić, 2025). Another significant issue is the remittance currency, determining whether taxes should be paid in fiat currency or if digital assets can be accepted, which introduces storage and valuation risks for governments (Romano, 2026). </w:t>
      </w:r>
    </w:p>
    <w:p w14:paraId="41AC6CAA">
      <w:pPr>
        <w:pStyle w:val="34"/>
        <w:jc w:val="both"/>
        <w:rPr>
          <w:rFonts w:ascii="Times New Roman" w:hAnsi="Times New Roman" w:cs="Times New Roman"/>
          <w:sz w:val="28"/>
          <w:szCs w:val="28"/>
        </w:rPr>
      </w:pPr>
    </w:p>
    <w:p w14:paraId="7881A5FD">
      <w:pPr>
        <w:pStyle w:val="34"/>
        <w:jc w:val="both"/>
        <w:rPr>
          <w:rFonts w:ascii="Times New Roman" w:hAnsi="Times New Roman" w:cs="Times New Roman"/>
          <w:sz w:val="28"/>
          <w:szCs w:val="28"/>
        </w:rPr>
      </w:pPr>
      <w:r>
        <w:rPr>
          <w:rFonts w:ascii="Times New Roman" w:hAnsi="Times New Roman" w:cs="Times New Roman"/>
          <w:sz w:val="28"/>
          <w:szCs w:val="28"/>
        </w:rPr>
        <w:t>Tax authorities face significant challenges in auditing blockchain transactions due to a lack of digital expertise and advanced forensic tools (Ramazhamba &amp; Venter, 2026). Additionally, limited access to centralized data hampers their ability to identify individuals involved in peer-to-peer trading of digital assets (Zhu et al.,2024). Specific issues with the 2026 Nigeria Tax Act include the non-deductibility of losses, preventing traders from offsetting losses against gains and potentially leading to increased evasion (Katuka, 2026). Additionally, high tax thresholds, such as ₦800,000 for gains, may leave smaller traders untracked, creating a "hidden middle" (Umeh-Saboyo, 2025).</w:t>
      </w:r>
    </w:p>
    <w:p w14:paraId="340676E9">
      <w:pPr>
        <w:jc w:val="both"/>
        <w:rPr>
          <w:rFonts w:ascii="Times New Roman" w:hAnsi="Times New Roman" w:cs="Times New Roman"/>
          <w:sz w:val="28"/>
          <w:szCs w:val="28"/>
        </w:rPr>
      </w:pPr>
    </w:p>
    <w:p w14:paraId="15334FFA">
      <w:pPr>
        <w:jc w:val="both"/>
        <w:rPr>
          <w:rFonts w:ascii="Times New Roman" w:hAnsi="Times New Roman" w:cs="Times New Roman"/>
          <w:b/>
          <w:bCs/>
          <w:sz w:val="28"/>
          <w:szCs w:val="28"/>
        </w:rPr>
      </w:pPr>
      <w:r>
        <w:rPr>
          <w:rFonts w:ascii="Times New Roman" w:hAnsi="Times New Roman" w:cs="Times New Roman"/>
          <w:b/>
          <w:bCs/>
          <w:sz w:val="28"/>
          <w:szCs w:val="28"/>
        </w:rPr>
        <w:t>Policy Implications</w:t>
      </w:r>
    </w:p>
    <w:p w14:paraId="6E8C2B88">
      <w:pPr>
        <w:jc w:val="both"/>
        <w:rPr>
          <w:rFonts w:ascii="Times New Roman" w:hAnsi="Times New Roman" w:cs="Times New Roman"/>
          <w:sz w:val="28"/>
          <w:szCs w:val="28"/>
        </w:rPr>
      </w:pPr>
      <w:r>
        <w:rPr>
          <w:rFonts w:ascii="Times New Roman" w:hAnsi="Times New Roman" w:cs="Times New Roman"/>
          <w:sz w:val="28"/>
          <w:szCs w:val="28"/>
        </w:rPr>
        <w:t>The inclusion of digital assets under the CGT regime in Nigeria has important policy implications. It improves investor protection and legitimizes digital asset markets, fostering institutional involvement and reducing fraud. However, higher taxation may deter speculative trading and diminish market liquidity, necessitating a careful balance between revenue goals and the promotion of innovation and market growth.</w:t>
      </w:r>
    </w:p>
    <w:p w14:paraId="126EE82F">
      <w:pPr>
        <w:jc w:val="both"/>
        <w:rPr>
          <w:rFonts w:ascii="Times New Roman" w:hAnsi="Times New Roman" w:cs="Times New Roman"/>
          <w:sz w:val="28"/>
          <w:szCs w:val="28"/>
        </w:rPr>
      </w:pPr>
      <w:r>
        <w:rPr>
          <w:rFonts w:ascii="Times New Roman" w:hAnsi="Times New Roman" w:cs="Times New Roman"/>
          <w:sz w:val="28"/>
          <w:szCs w:val="28"/>
        </w:rPr>
        <w:t>The policy aims to prevent tax avoidance via offshore platforms, but enforcement may be challenged by limited access to foreign transaction data. This situation underscores the need for global cooperation in regulating digital assets and preventing illicit financial flows. Additionally, clear regulations can enhance investor confidence and attract legitimate investments while deterring fraud. Thus, a balanced approach is crucial for fostering innovation and maintaining fiscal discipline.</w:t>
      </w:r>
    </w:p>
    <w:p w14:paraId="071A5A73">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4804876">
      <w:pPr>
        <w:jc w:val="both"/>
        <w:rPr>
          <w:rFonts w:ascii="Times New Roman" w:hAnsi="Times New Roman" w:cs="Times New Roman"/>
          <w:sz w:val="28"/>
          <w:szCs w:val="28"/>
        </w:rPr>
      </w:pPr>
      <w:r>
        <w:rPr>
          <w:rFonts w:ascii="Times New Roman" w:hAnsi="Times New Roman" w:cs="Times New Roman"/>
          <w:sz w:val="28"/>
          <w:szCs w:val="28"/>
        </w:rPr>
        <w:t>The taxation of cryptocurrencies, tokens, and other virtual assets under the CGT regime marks a significant milestone in Nigeria’s tax reform agenda</w:t>
      </w:r>
      <w:r>
        <w:rPr>
          <w:rFonts w:hint="default" w:ascii="Times New Roman" w:hAnsi="Times New Roman" w:cs="Times New Roman"/>
          <w:sz w:val="28"/>
          <w:szCs w:val="28"/>
          <w:lang w:val="en-US"/>
        </w:rPr>
        <w:t xml:space="preserve"> promoting equity</w:t>
      </w:r>
      <w:r>
        <w:rPr>
          <w:rFonts w:ascii="Times New Roman" w:hAnsi="Times New Roman" w:cs="Times New Roman"/>
          <w:sz w:val="28"/>
          <w:szCs w:val="28"/>
        </w:rPr>
        <w:t>. By explicitly recognizing digital assets as chargeable assets</w:t>
      </w:r>
      <w:r>
        <w:rPr>
          <w:rFonts w:hint="default" w:ascii="Times New Roman" w:hAnsi="Times New Roman" w:cs="Times New Roman"/>
          <w:sz w:val="28"/>
          <w:szCs w:val="28"/>
          <w:lang w:val="en-US"/>
        </w:rPr>
        <w:t xml:space="preserve"> generating revenue</w:t>
      </w:r>
      <w:r>
        <w:rPr>
          <w:rFonts w:ascii="Times New Roman" w:hAnsi="Times New Roman" w:cs="Times New Roman"/>
          <w:sz w:val="28"/>
          <w:szCs w:val="28"/>
        </w:rPr>
        <w:t>, Nigeria aligns its tax system with global best practices and addresses the challenges posed by the digital economy. While implementation challenges persist, continuous regulatory refinement and administrative capacity building will ensure that digital asset taxation contributes meaningfully to national development</w:t>
      </w:r>
      <w:r>
        <w:rPr>
          <w:rFonts w:hint="default" w:ascii="Times New Roman" w:hAnsi="Times New Roman" w:cs="Times New Roman"/>
          <w:sz w:val="28"/>
          <w:szCs w:val="28"/>
          <w:lang w:val="en-US"/>
        </w:rPr>
        <w:t xml:space="preserve"> as well as </w:t>
      </w:r>
      <w:r>
        <w:rPr>
          <w:rFonts w:ascii="Times New Roman" w:hAnsi="Times New Roman" w:cs="Times New Roman"/>
          <w:sz w:val="28"/>
          <w:szCs w:val="28"/>
        </w:rPr>
        <w:t>international standards.</w:t>
      </w:r>
      <w:r>
        <w:rPr>
          <w:rFonts w:hint="default" w:ascii="Times New Roman" w:hAnsi="Times New Roman" w:cs="Times New Roman"/>
          <w:sz w:val="28"/>
          <w:szCs w:val="28"/>
          <w:lang w:val="en-US"/>
        </w:rPr>
        <w:t xml:space="preserve"> </w:t>
      </w:r>
      <w:r>
        <w:rPr>
          <w:rFonts w:ascii="Times New Roman" w:hAnsi="Times New Roman" w:cs="Times New Roman"/>
          <w:sz w:val="28"/>
          <w:szCs w:val="28"/>
        </w:rPr>
        <w:t>The study concludes that taxing digital assets under CGT promotes equity, revenue generation, and alignment with international standards.</w:t>
      </w:r>
    </w:p>
    <w:p w14:paraId="6A24AE58">
      <w:pPr>
        <w:jc w:val="both"/>
        <w:rPr>
          <w:rFonts w:hint="default" w:ascii="Times New Roman" w:hAnsi="Times New Roman" w:cs="Times New Roman"/>
          <w:sz w:val="28"/>
          <w:szCs w:val="28"/>
          <w:lang w:val="en-US"/>
        </w:rPr>
      </w:pPr>
    </w:p>
    <w:p w14:paraId="5D328C6B">
      <w:pPr>
        <w:jc w:val="both"/>
        <w:rPr>
          <w:rFonts w:ascii="Times New Roman" w:hAnsi="Times New Roman" w:cs="Times New Roman"/>
          <w:sz w:val="28"/>
          <w:szCs w:val="28"/>
        </w:rPr>
      </w:pPr>
    </w:p>
    <w:p w14:paraId="75E0BF79">
      <w:pPr>
        <w:jc w:val="both"/>
        <w:rPr>
          <w:rFonts w:ascii="Times New Roman" w:hAnsi="Times New Roman" w:cs="Times New Roman"/>
          <w:sz w:val="28"/>
          <w:szCs w:val="28"/>
        </w:rPr>
      </w:pPr>
    </w:p>
    <w:p w14:paraId="38E1FC97">
      <w:pPr>
        <w:jc w:val="both"/>
        <w:rPr>
          <w:rFonts w:ascii="Times New Roman" w:hAnsi="Times New Roman" w:cs="Times New Roman"/>
          <w:sz w:val="28"/>
          <w:szCs w:val="28"/>
        </w:rPr>
      </w:pPr>
    </w:p>
    <w:p w14:paraId="50753DC8">
      <w:pPr>
        <w:jc w:val="both"/>
        <w:rPr>
          <w:rFonts w:ascii="Times New Roman" w:hAnsi="Times New Roman" w:cs="Times New Roman"/>
          <w:sz w:val="28"/>
          <w:szCs w:val="28"/>
        </w:rPr>
      </w:pPr>
    </w:p>
    <w:p w14:paraId="0757B3FB">
      <w:pPr>
        <w:jc w:val="both"/>
        <w:rPr>
          <w:rFonts w:ascii="Times New Roman" w:hAnsi="Times New Roman" w:cs="Times New Roman"/>
          <w:sz w:val="28"/>
          <w:szCs w:val="28"/>
        </w:rPr>
      </w:pPr>
    </w:p>
    <w:p w14:paraId="2F90F1F7">
      <w:pPr>
        <w:jc w:val="both"/>
        <w:rPr>
          <w:rFonts w:ascii="Times New Roman" w:hAnsi="Times New Roman" w:cs="Times New Roman"/>
          <w:sz w:val="28"/>
          <w:szCs w:val="28"/>
        </w:rPr>
      </w:pPr>
    </w:p>
    <w:p w14:paraId="4BCF9685">
      <w:pPr>
        <w:jc w:val="both"/>
        <w:rPr>
          <w:rFonts w:ascii="Times New Roman" w:hAnsi="Times New Roman" w:cs="Times New Roman"/>
          <w:sz w:val="28"/>
          <w:szCs w:val="28"/>
        </w:rPr>
      </w:pPr>
    </w:p>
    <w:p w14:paraId="42F2D6EC">
      <w:pPr>
        <w:jc w:val="both"/>
        <w:rPr>
          <w:rFonts w:ascii="Times New Roman" w:hAnsi="Times New Roman" w:cs="Times New Roman"/>
          <w:sz w:val="28"/>
          <w:szCs w:val="28"/>
        </w:rPr>
      </w:pPr>
    </w:p>
    <w:p w14:paraId="7EB4A33D">
      <w:pPr>
        <w:jc w:val="both"/>
        <w:rPr>
          <w:rFonts w:ascii="Times New Roman" w:hAnsi="Times New Roman" w:cs="Times New Roman"/>
          <w:sz w:val="28"/>
          <w:szCs w:val="28"/>
        </w:rPr>
      </w:pPr>
    </w:p>
    <w:p w14:paraId="373E7DB7">
      <w:pPr>
        <w:jc w:val="both"/>
        <w:rPr>
          <w:rFonts w:ascii="Times New Roman" w:hAnsi="Times New Roman" w:cs="Times New Roman"/>
          <w:sz w:val="28"/>
          <w:szCs w:val="28"/>
        </w:rPr>
      </w:pPr>
    </w:p>
    <w:p w14:paraId="5B8E0978">
      <w:pPr>
        <w:jc w:val="both"/>
        <w:rPr>
          <w:rFonts w:ascii="Times New Roman" w:hAnsi="Times New Roman" w:cs="Times New Roman"/>
          <w:sz w:val="28"/>
          <w:szCs w:val="28"/>
        </w:rPr>
      </w:pPr>
    </w:p>
    <w:p w14:paraId="26E3F662">
      <w:pPr>
        <w:jc w:val="both"/>
        <w:rPr>
          <w:rFonts w:ascii="Times New Roman" w:hAnsi="Times New Roman" w:cs="Times New Roman"/>
          <w:sz w:val="28"/>
          <w:szCs w:val="28"/>
        </w:rPr>
      </w:pPr>
    </w:p>
    <w:p w14:paraId="6F072633">
      <w:pPr>
        <w:jc w:val="both"/>
        <w:rPr>
          <w:rFonts w:ascii="Times New Roman" w:hAnsi="Times New Roman" w:cs="Times New Roman"/>
          <w:sz w:val="28"/>
          <w:szCs w:val="28"/>
        </w:rPr>
      </w:pPr>
    </w:p>
    <w:p w14:paraId="6EA47052">
      <w:pPr>
        <w:jc w:val="both"/>
        <w:rPr>
          <w:rFonts w:ascii="Times New Roman" w:hAnsi="Times New Roman" w:cs="Times New Roman"/>
          <w:sz w:val="28"/>
          <w:szCs w:val="28"/>
        </w:rPr>
      </w:pPr>
      <w:r>
        <w:rPr>
          <w:rFonts w:ascii="Times New Roman" w:hAnsi="Times New Roman" w:cs="Times New Roman"/>
          <w:sz w:val="28"/>
          <w:szCs w:val="28"/>
        </w:rPr>
        <w:t>REFERENCES</w:t>
      </w:r>
    </w:p>
    <w:p w14:paraId="3575EAA2">
      <w:pPr>
        <w:pStyle w:val="34"/>
        <w:ind w:left="720" w:hanging="720"/>
        <w:rPr>
          <w:rFonts w:ascii="Times New Roman" w:hAnsi="Times New Roman" w:cs="Times New Roman"/>
        </w:rPr>
      </w:pPr>
      <w:bookmarkStart w:id="2" w:name="_Hlk221807313"/>
      <w:r>
        <w:rPr>
          <w:rFonts w:ascii="Times New Roman" w:hAnsi="Times New Roman" w:cs="Times New Roman"/>
        </w:rPr>
        <w:t>Afzal, J. (2026). Nomenclature of the digital economy and contemporary theory of digitalization. In </w:t>
      </w:r>
      <w:r>
        <w:rPr>
          <w:rFonts w:ascii="Times New Roman" w:hAnsi="Times New Roman" w:cs="Times New Roman"/>
          <w:i/>
          <w:iCs/>
        </w:rPr>
        <w:t>Exploring the New Horizons of International Law Concerning Globalization of Economy</w:t>
      </w:r>
      <w:r>
        <w:rPr>
          <w:rFonts w:ascii="Times New Roman" w:hAnsi="Times New Roman" w:cs="Times New Roman"/>
        </w:rPr>
        <w:t> (pp. 125-146). Singapore: Springer Nature Singapore.</w:t>
      </w:r>
    </w:p>
    <w:p w14:paraId="07B7119C">
      <w:pPr>
        <w:pStyle w:val="34"/>
        <w:ind w:left="720" w:hanging="720"/>
        <w:rPr>
          <w:rFonts w:ascii="Times New Roman" w:hAnsi="Times New Roman" w:cs="Times New Roman"/>
        </w:rPr>
      </w:pPr>
      <w:r>
        <w:rPr>
          <w:rFonts w:ascii="Times New Roman" w:hAnsi="Times New Roman" w:cs="Times New Roman"/>
        </w:rPr>
        <w:t>Akinola, O. B. (2026)</w:t>
      </w:r>
      <w:bookmarkEnd w:id="2"/>
      <w:r>
        <w:rPr>
          <w:rFonts w:ascii="Times New Roman" w:hAnsi="Times New Roman" w:cs="Times New Roman"/>
        </w:rPr>
        <w:t>. Comparative insights on the legal status of cryptocurrencies: lessons for Uganda. </w:t>
      </w:r>
      <w:r>
        <w:rPr>
          <w:rFonts w:ascii="Times New Roman" w:hAnsi="Times New Roman" w:cs="Times New Roman"/>
          <w:i/>
          <w:iCs/>
        </w:rPr>
        <w:t>The Nnamdi Azikiwe University Journal of Commercial and Property Law</w:t>
      </w:r>
      <w:r>
        <w:rPr>
          <w:rFonts w:ascii="Times New Roman" w:hAnsi="Times New Roman" w:cs="Times New Roman"/>
        </w:rPr>
        <w:t>, </w:t>
      </w:r>
      <w:r>
        <w:rPr>
          <w:rFonts w:ascii="Times New Roman" w:hAnsi="Times New Roman" w:cs="Times New Roman"/>
          <w:i/>
          <w:iCs/>
        </w:rPr>
        <w:t>13</w:t>
      </w:r>
      <w:r>
        <w:rPr>
          <w:rFonts w:ascii="Times New Roman" w:hAnsi="Times New Roman" w:cs="Times New Roman"/>
        </w:rPr>
        <w:t>(1), 140-149.</w:t>
      </w:r>
    </w:p>
    <w:p w14:paraId="152B4F76">
      <w:pPr>
        <w:pStyle w:val="34"/>
        <w:ind w:left="720" w:hanging="720"/>
        <w:rPr>
          <w:rFonts w:ascii="Times New Roman" w:hAnsi="Times New Roman" w:cs="Times New Roman"/>
        </w:rPr>
      </w:pPr>
      <w:r>
        <w:rPr>
          <w:rFonts w:ascii="Times New Roman" w:hAnsi="Times New Roman" w:cs="Times New Roman"/>
        </w:rPr>
        <w:t>Arop, J. (2023). The regulation of digital assets in Nigeria. </w:t>
      </w:r>
      <w:r>
        <w:rPr>
          <w:rFonts w:ascii="Times New Roman" w:hAnsi="Times New Roman" w:cs="Times New Roman"/>
          <w:i/>
          <w:iCs/>
        </w:rPr>
        <w:t>Available at SSRN 4655847</w:t>
      </w:r>
      <w:r>
        <w:rPr>
          <w:rFonts w:ascii="Times New Roman" w:hAnsi="Times New Roman" w:cs="Times New Roman"/>
        </w:rPr>
        <w:t>.</w:t>
      </w:r>
    </w:p>
    <w:p w14:paraId="399427C7">
      <w:pPr>
        <w:pStyle w:val="34"/>
        <w:ind w:left="720" w:hanging="720"/>
        <w:rPr>
          <w:rFonts w:ascii="Times New Roman" w:hAnsi="Times New Roman" w:cs="Times New Roman"/>
        </w:rPr>
      </w:pPr>
      <w:r>
        <w:rPr>
          <w:rFonts w:ascii="Times New Roman" w:hAnsi="Times New Roman" w:cs="Times New Roman"/>
        </w:rPr>
        <w:t>Anushiem, M. U., Anushiem, M. I., Nwachukwu, T. N., &amp; Bosah, M. N. (2025). An appraisal of the legal framework for taxation of companies’income in Nigeria. </w:t>
      </w:r>
      <w:r>
        <w:rPr>
          <w:rFonts w:ascii="Times New Roman" w:hAnsi="Times New Roman" w:cs="Times New Roman"/>
          <w:i/>
          <w:iCs/>
        </w:rPr>
        <w:t>Chukwuemeka Odumegwu Ojukwu University Journal of Commercial and Property Law</w:t>
      </w:r>
      <w:r>
        <w:rPr>
          <w:rFonts w:ascii="Times New Roman" w:hAnsi="Times New Roman" w:cs="Times New Roman"/>
        </w:rPr>
        <w:t>, </w:t>
      </w:r>
      <w:r>
        <w:rPr>
          <w:rFonts w:ascii="Times New Roman" w:hAnsi="Times New Roman" w:cs="Times New Roman"/>
          <w:i/>
          <w:iCs/>
        </w:rPr>
        <w:t>5</w:t>
      </w:r>
      <w:r>
        <w:rPr>
          <w:rFonts w:ascii="Times New Roman" w:hAnsi="Times New Roman" w:cs="Times New Roman"/>
        </w:rPr>
        <w:t>(2), 23-34.</w:t>
      </w:r>
    </w:p>
    <w:p w14:paraId="03C6C2D5">
      <w:pPr>
        <w:pStyle w:val="34"/>
        <w:ind w:left="720" w:hanging="720"/>
        <w:rPr>
          <w:rFonts w:ascii="Times New Roman" w:hAnsi="Times New Roman" w:cs="Times New Roman"/>
        </w:rPr>
      </w:pPr>
      <w:r>
        <w:rPr>
          <w:rFonts w:ascii="Times New Roman" w:hAnsi="Times New Roman" w:cs="Times New Roman"/>
        </w:rPr>
        <w:t>Bielu, K. J., &amp; Ikedinobi, E. (2026). Nigeria’s tax reform policy: a legal evaluation of its impact on revenue expansion and economic growth. </w:t>
      </w:r>
      <w:r>
        <w:rPr>
          <w:rFonts w:ascii="Times New Roman" w:hAnsi="Times New Roman" w:cs="Times New Roman"/>
          <w:i/>
          <w:iCs/>
        </w:rPr>
        <w:t>Nnamdi Azikiwe University Journal of Public Law</w:t>
      </w:r>
      <w:r>
        <w:rPr>
          <w:rFonts w:ascii="Times New Roman" w:hAnsi="Times New Roman" w:cs="Times New Roman"/>
        </w:rPr>
        <w:t>, </w:t>
      </w:r>
      <w:r>
        <w:rPr>
          <w:rFonts w:ascii="Times New Roman" w:hAnsi="Times New Roman" w:cs="Times New Roman"/>
          <w:i/>
          <w:iCs/>
        </w:rPr>
        <w:t>2</w:t>
      </w:r>
      <w:r>
        <w:rPr>
          <w:rFonts w:ascii="Times New Roman" w:hAnsi="Times New Roman" w:cs="Times New Roman"/>
        </w:rPr>
        <w:t>(2), 19-49.</w:t>
      </w:r>
    </w:p>
    <w:p w14:paraId="7B2D0811">
      <w:pPr>
        <w:pStyle w:val="34"/>
        <w:ind w:left="720" w:hanging="720"/>
        <w:rPr>
          <w:rFonts w:ascii="Times New Roman" w:hAnsi="Times New Roman" w:cs="Times New Roman"/>
        </w:rPr>
      </w:pPr>
      <w:r>
        <w:rPr>
          <w:rFonts w:ascii="Times New Roman" w:hAnsi="Times New Roman" w:cs="Times New Roman"/>
        </w:rPr>
        <w:t xml:space="preserve">Cupido, S. D. (2025). </w:t>
      </w:r>
      <w:r>
        <w:rPr>
          <w:rFonts w:ascii="Times New Roman" w:hAnsi="Times New Roman" w:cs="Times New Roman"/>
          <w:i/>
          <w:iCs/>
        </w:rPr>
        <w:t>An analysis of the digital services tax solutions presented in Africa and early-adopting developed countries to inform South Africa on the design features for taxing the digital economy</w:t>
      </w:r>
      <w:r>
        <w:rPr>
          <w:rFonts w:ascii="Times New Roman" w:hAnsi="Times New Roman" w:cs="Times New Roman"/>
        </w:rPr>
        <w:t xml:space="preserve"> (MSc Thesis, University of Cape Town, South African).</w:t>
      </w:r>
    </w:p>
    <w:p w14:paraId="099B7834">
      <w:pPr>
        <w:pStyle w:val="34"/>
        <w:ind w:left="720" w:hanging="720"/>
        <w:rPr>
          <w:rFonts w:ascii="Times New Roman" w:hAnsi="Times New Roman" w:cs="Times New Roman"/>
        </w:rPr>
      </w:pPr>
      <w:bookmarkStart w:id="3" w:name="_Hlk221810011"/>
      <w:r>
        <w:rPr>
          <w:rFonts w:ascii="Times New Roman" w:hAnsi="Times New Roman" w:cs="Times New Roman"/>
        </w:rPr>
        <w:t>Davenport, S. A., &amp; Usrey, S. C. (2023). Crypto assets: examining possible tax classifications. </w:t>
      </w:r>
      <w:r>
        <w:rPr>
          <w:rFonts w:ascii="Times New Roman" w:hAnsi="Times New Roman" w:cs="Times New Roman"/>
          <w:i/>
          <w:iCs/>
        </w:rPr>
        <w:t>Journal of Emerging Technologies in Accounting</w:t>
      </w:r>
      <w:r>
        <w:rPr>
          <w:rFonts w:ascii="Times New Roman" w:hAnsi="Times New Roman" w:cs="Times New Roman"/>
        </w:rPr>
        <w:t>, </w:t>
      </w:r>
      <w:r>
        <w:rPr>
          <w:rFonts w:ascii="Times New Roman" w:hAnsi="Times New Roman" w:cs="Times New Roman"/>
          <w:i/>
          <w:iCs/>
        </w:rPr>
        <w:t>20</w:t>
      </w:r>
      <w:r>
        <w:rPr>
          <w:rFonts w:ascii="Times New Roman" w:hAnsi="Times New Roman" w:cs="Times New Roman"/>
        </w:rPr>
        <w:t>(2), 55-70.</w:t>
      </w:r>
    </w:p>
    <w:p w14:paraId="2C5F1877">
      <w:pPr>
        <w:pStyle w:val="34"/>
        <w:ind w:left="720" w:hanging="720"/>
        <w:rPr>
          <w:rFonts w:ascii="Times New Roman" w:hAnsi="Times New Roman" w:cs="Times New Roman"/>
        </w:rPr>
      </w:pPr>
      <w:r>
        <w:rPr>
          <w:rFonts w:ascii="Times New Roman" w:hAnsi="Times New Roman" w:cs="Times New Roman"/>
        </w:rPr>
        <w:t>Dawood, M. D., Hussaini, S. S. U., ul Abeddin, M. Z., &amp; Hizli, B. H. (2026). Between decentralization and control: how cryptocurrency is redefining global financial architecture. </w:t>
      </w:r>
      <w:r>
        <w:rPr>
          <w:rFonts w:ascii="Times New Roman" w:hAnsi="Times New Roman" w:cs="Times New Roman"/>
          <w:i/>
          <w:iCs/>
        </w:rPr>
        <w:t>Involvement International Journal of Business</w:t>
      </w:r>
      <w:r>
        <w:rPr>
          <w:rFonts w:ascii="Times New Roman" w:hAnsi="Times New Roman" w:cs="Times New Roman"/>
        </w:rPr>
        <w:t>, </w:t>
      </w:r>
      <w:r>
        <w:rPr>
          <w:rFonts w:ascii="Times New Roman" w:hAnsi="Times New Roman" w:cs="Times New Roman"/>
          <w:i/>
          <w:iCs/>
        </w:rPr>
        <w:t>3</w:t>
      </w:r>
      <w:r>
        <w:rPr>
          <w:rFonts w:ascii="Times New Roman" w:hAnsi="Times New Roman" w:cs="Times New Roman"/>
        </w:rPr>
        <w:t>(1), 13-27.</w:t>
      </w:r>
    </w:p>
    <w:p w14:paraId="573A6233">
      <w:pPr>
        <w:pStyle w:val="34"/>
        <w:ind w:left="720" w:hanging="720"/>
        <w:rPr>
          <w:rFonts w:ascii="Times New Roman" w:hAnsi="Times New Roman" w:cs="Times New Roman"/>
        </w:rPr>
      </w:pPr>
      <w:bookmarkStart w:id="4" w:name="_Hlk223025612"/>
      <w:r>
        <w:rPr>
          <w:rFonts w:ascii="Times New Roman" w:hAnsi="Times New Roman" w:cs="Times New Roman"/>
        </w:rPr>
        <w:t>de la Vega, D. A. G., &amp; Jarrín, F. A. R. (2025). Taxation in the digital sector: challenges and opportunities for tax and economic law. </w:t>
      </w:r>
      <w:r>
        <w:rPr>
          <w:rFonts w:ascii="Times New Roman" w:hAnsi="Times New Roman" w:cs="Times New Roman"/>
          <w:i/>
          <w:iCs/>
        </w:rPr>
        <w:t>Revista Cálamo</w:t>
      </w:r>
      <w:r>
        <w:rPr>
          <w:rFonts w:ascii="Times New Roman" w:hAnsi="Times New Roman" w:cs="Times New Roman"/>
        </w:rPr>
        <w:t>, (23), 48-64.</w:t>
      </w:r>
    </w:p>
    <w:p w14:paraId="75D6179D">
      <w:pPr>
        <w:pStyle w:val="34"/>
        <w:ind w:left="720" w:hanging="720"/>
        <w:rPr>
          <w:rFonts w:ascii="Times New Roman" w:hAnsi="Times New Roman" w:cs="Times New Roman"/>
        </w:rPr>
      </w:pPr>
      <w:r>
        <w:rPr>
          <w:rFonts w:ascii="Times New Roman" w:hAnsi="Times New Roman" w:cs="Times New Roman"/>
        </w:rPr>
        <w:t>Erimwinorosee, O. A., &amp; Parida, A. D. (2025)</w:t>
      </w:r>
      <w:bookmarkEnd w:id="4"/>
      <w:r>
        <w:rPr>
          <w:rFonts w:ascii="Times New Roman" w:hAnsi="Times New Roman" w:cs="Times New Roman"/>
        </w:rPr>
        <w:t>. Regulatory framework for taxing the digital economy in Nigeria: challenges, compliance strategies, and reform prospects. </w:t>
      </w:r>
      <w:r>
        <w:rPr>
          <w:rFonts w:ascii="Times New Roman" w:hAnsi="Times New Roman" w:cs="Times New Roman"/>
          <w:i/>
          <w:iCs/>
        </w:rPr>
        <w:t>Law and Social Justice Review</w:t>
      </w:r>
      <w:r>
        <w:rPr>
          <w:rFonts w:ascii="Times New Roman" w:hAnsi="Times New Roman" w:cs="Times New Roman"/>
        </w:rPr>
        <w:t>, </w:t>
      </w:r>
      <w:r>
        <w:rPr>
          <w:rFonts w:ascii="Times New Roman" w:hAnsi="Times New Roman" w:cs="Times New Roman"/>
          <w:i/>
          <w:iCs/>
        </w:rPr>
        <w:t>6</w:t>
      </w:r>
      <w:r>
        <w:rPr>
          <w:rFonts w:ascii="Times New Roman" w:hAnsi="Times New Roman" w:cs="Times New Roman"/>
        </w:rPr>
        <w:t>(1), 36-42.</w:t>
      </w:r>
    </w:p>
    <w:p w14:paraId="3154E11D">
      <w:pPr>
        <w:pStyle w:val="34"/>
        <w:ind w:left="720" w:hanging="720"/>
        <w:rPr>
          <w:rFonts w:ascii="Times New Roman" w:hAnsi="Times New Roman" w:cs="Times New Roman"/>
        </w:rPr>
      </w:pPr>
      <w:r>
        <w:rPr>
          <w:rFonts w:ascii="Times New Roman" w:hAnsi="Times New Roman" w:cs="Times New Roman"/>
        </w:rPr>
        <w:t>Esanbayevich, I. A., Mishra, S., Kizi, G. N. A., &amp; Rakhmanovich, I. U. (2025). The economics of the metaverse: exploring the financial impact of virtual worlds and digital assets. In </w:t>
      </w:r>
      <w:r>
        <w:rPr>
          <w:rFonts w:ascii="Times New Roman" w:hAnsi="Times New Roman" w:cs="Times New Roman"/>
          <w:i/>
          <w:iCs/>
        </w:rPr>
        <w:t>AIP Conference Proceedings</w:t>
      </w:r>
      <w:r>
        <w:rPr>
          <w:rFonts w:ascii="Times New Roman" w:hAnsi="Times New Roman" w:cs="Times New Roman"/>
        </w:rPr>
        <w:t> (Vol. 3306, No. 1, p. 060043). AIP Publishing LLC.</w:t>
      </w:r>
    </w:p>
    <w:p w14:paraId="204CF1C6">
      <w:pPr>
        <w:pStyle w:val="34"/>
        <w:ind w:left="720" w:hanging="720"/>
        <w:rPr>
          <w:rFonts w:ascii="Times New Roman" w:hAnsi="Times New Roman" w:cs="Times New Roman"/>
        </w:rPr>
      </w:pPr>
      <w:r>
        <w:rPr>
          <w:rFonts w:ascii="Times New Roman" w:hAnsi="Times New Roman" w:cs="Times New Roman"/>
        </w:rPr>
        <w:t>Esuga, S. &amp; Ayileka, A. (2025, February 25)</w:t>
      </w:r>
      <w:bookmarkEnd w:id="3"/>
      <w:r>
        <w:rPr>
          <w:rFonts w:ascii="Times New Roman" w:hAnsi="Times New Roman" w:cs="Times New Roman"/>
        </w:rPr>
        <w:t xml:space="preserve">. The Nigeria Tax Bill 2024; taxation of digital assets in Nigeria. </w:t>
      </w:r>
      <w:r>
        <w:rPr>
          <w:rFonts w:ascii="Times New Roman" w:hAnsi="Times New Roman" w:cs="Times New Roman"/>
          <w:i/>
          <w:iCs/>
        </w:rPr>
        <w:t>Businessday:</w:t>
      </w:r>
      <w:r>
        <w:rPr>
          <w:rFonts w:ascii="Times New Roman" w:hAnsi="Times New Roman" w:cs="Times New Roman"/>
        </w:rPr>
        <w:t xml:space="preserve"> https://www.businessday.ng</w:t>
      </w:r>
    </w:p>
    <w:p w14:paraId="42E40369">
      <w:pPr>
        <w:pStyle w:val="34"/>
        <w:ind w:left="720" w:hanging="720"/>
        <w:rPr>
          <w:rFonts w:ascii="Times New Roman" w:hAnsi="Times New Roman" w:cs="Times New Roman"/>
        </w:rPr>
      </w:pPr>
      <w:r>
        <w:rPr>
          <w:rFonts w:ascii="Times New Roman" w:hAnsi="Times New Roman" w:cs="Times New Roman"/>
        </w:rPr>
        <w:t xml:space="preserve">Famodimu, J. (2025, April 7). Cryptocurrency transactions and tax implications in Nigeria. </w:t>
      </w:r>
      <w:r>
        <w:rPr>
          <w:rFonts w:ascii="Times New Roman" w:hAnsi="Times New Roman" w:cs="Times New Roman"/>
          <w:i/>
          <w:iCs/>
        </w:rPr>
        <w:t xml:space="preserve">linkedin.com: </w:t>
      </w:r>
      <w:r>
        <w:rPr>
          <w:rFonts w:ascii="Times New Roman" w:hAnsi="Times New Roman" w:cs="Times New Roman"/>
        </w:rPr>
        <w:t>https://www.linkedin.com/pulse/cryptocurrency-transactions-tax-implications-nigeria-jacob-famodimu-evwcf/</w:t>
      </w:r>
    </w:p>
    <w:p w14:paraId="40639BC0">
      <w:pPr>
        <w:pStyle w:val="34"/>
        <w:ind w:left="720" w:hanging="720"/>
        <w:rPr>
          <w:rFonts w:ascii="Times New Roman" w:hAnsi="Times New Roman" w:cs="Times New Roman"/>
        </w:rPr>
      </w:pPr>
      <w:r>
        <w:rPr>
          <w:rFonts w:ascii="Times New Roman" w:hAnsi="Times New Roman" w:cs="Times New Roman"/>
        </w:rPr>
        <w:t>Gosselin</w:t>
      </w:r>
      <w:bookmarkStart w:id="5" w:name="_Hlk221209877"/>
      <w:r>
        <w:rPr>
          <w:rFonts w:ascii="Times New Roman" w:hAnsi="Times New Roman" w:cs="Times New Roman"/>
        </w:rPr>
        <w:t>,</w:t>
      </w:r>
      <w:bookmarkEnd w:id="5"/>
      <w:r>
        <w:rPr>
          <w:rFonts w:ascii="Times New Roman" w:hAnsi="Times New Roman" w:cs="Times New Roman"/>
        </w:rPr>
        <w:t xml:space="preserve"> A. M., Lecompte, A., Côté, S., &amp; Phaneuf, K. (2026). Currencies, digital dollars, tax dilemmas: exploring the ties between cryptocurrencies and tax aggressiveness. </w:t>
      </w:r>
      <w:r>
        <w:rPr>
          <w:rFonts w:ascii="Times New Roman" w:hAnsi="Times New Roman" w:cs="Times New Roman"/>
          <w:i/>
          <w:iCs/>
        </w:rPr>
        <w:t>Journal of Accounting &amp; Organizational Change</w:t>
      </w:r>
      <w:r>
        <w:rPr>
          <w:rFonts w:ascii="Times New Roman" w:hAnsi="Times New Roman" w:cs="Times New Roman"/>
        </w:rPr>
        <w:t>, </w:t>
      </w:r>
      <w:r>
        <w:rPr>
          <w:rFonts w:ascii="Times New Roman" w:hAnsi="Times New Roman" w:cs="Times New Roman"/>
          <w:i/>
          <w:iCs/>
        </w:rPr>
        <w:t>22</w:t>
      </w:r>
      <w:r>
        <w:rPr>
          <w:rFonts w:ascii="Times New Roman" w:hAnsi="Times New Roman" w:cs="Times New Roman"/>
        </w:rPr>
        <w:t>(1), 45-63.</w:t>
      </w:r>
    </w:p>
    <w:p w14:paraId="485AEEF7">
      <w:pPr>
        <w:pStyle w:val="34"/>
        <w:ind w:left="720" w:hanging="720"/>
        <w:rPr>
          <w:rFonts w:ascii="Times New Roman" w:hAnsi="Times New Roman" w:cs="Times New Roman"/>
        </w:rPr>
      </w:pPr>
      <w:r>
        <w:rPr>
          <w:rFonts w:ascii="Times New Roman" w:hAnsi="Times New Roman" w:cs="Times New Roman"/>
        </w:rPr>
        <w:t xml:space="preserve">He, Y. (2024). Digital technology reshapes the tax collection and administration system: impacts, challenges and future prospects. </w:t>
      </w:r>
      <w:r>
        <w:rPr>
          <w:rFonts w:ascii="Times New Roman" w:hAnsi="Times New Roman" w:cs="Times New Roman"/>
          <w:i/>
          <w:iCs/>
        </w:rPr>
        <w:t>Scientific Journal of Economics and Management Research, 6</w:t>
      </w:r>
      <w:r>
        <w:rPr>
          <w:rFonts w:ascii="Times New Roman" w:hAnsi="Times New Roman" w:cs="Times New Roman"/>
        </w:rPr>
        <w:t>(9), 85-91.</w:t>
      </w:r>
      <w:bookmarkStart w:id="6" w:name="_Hlk221210009"/>
    </w:p>
    <w:p w14:paraId="638E47E1">
      <w:pPr>
        <w:pStyle w:val="34"/>
        <w:ind w:left="720" w:hanging="720"/>
        <w:rPr>
          <w:rFonts w:ascii="Times New Roman" w:hAnsi="Times New Roman" w:cs="Times New Roman"/>
        </w:rPr>
      </w:pPr>
      <w:r>
        <w:rPr>
          <w:rFonts w:ascii="Times New Roman" w:hAnsi="Times New Roman" w:cs="Times New Roman"/>
        </w:rPr>
        <w:t>Ikedinobi, E. (2025). The applicability of the rules of residence under the Nigerian tax regime. </w:t>
      </w:r>
      <w:r>
        <w:rPr>
          <w:rFonts w:ascii="Times New Roman" w:hAnsi="Times New Roman" w:cs="Times New Roman"/>
          <w:i/>
          <w:iCs/>
        </w:rPr>
        <w:t>Available at SSRN 5228438</w:t>
      </w:r>
      <w:r>
        <w:rPr>
          <w:rFonts w:ascii="Times New Roman" w:hAnsi="Times New Roman" w:cs="Times New Roman"/>
        </w:rPr>
        <w:t>.</w:t>
      </w:r>
    </w:p>
    <w:p w14:paraId="64686DE2">
      <w:pPr>
        <w:pStyle w:val="34"/>
        <w:ind w:left="720" w:hanging="720"/>
        <w:rPr>
          <w:rFonts w:ascii="Times New Roman" w:hAnsi="Times New Roman" w:cs="Times New Roman"/>
        </w:rPr>
      </w:pPr>
      <w:r>
        <w:rPr>
          <w:rFonts w:ascii="Times New Roman" w:hAnsi="Times New Roman" w:cs="Times New Roman"/>
        </w:rPr>
        <w:t>Jamshed, H., Waheed, U., Iqbal, S., Faheem, M., Ashraf, M. W., &amp; Mansoor, Y. (2025). Dynamic smart contracts framework on ethereum private blockchain for real estate management. </w:t>
      </w:r>
      <w:r>
        <w:rPr>
          <w:rFonts w:ascii="Times New Roman" w:hAnsi="Times New Roman" w:cs="Times New Roman"/>
          <w:i/>
          <w:iCs/>
        </w:rPr>
        <w:t>The Journal of Engineering</w:t>
      </w:r>
      <w:r>
        <w:rPr>
          <w:rFonts w:ascii="Times New Roman" w:hAnsi="Times New Roman" w:cs="Times New Roman"/>
        </w:rPr>
        <w:t>, </w:t>
      </w:r>
      <w:r>
        <w:rPr>
          <w:rFonts w:ascii="Times New Roman" w:hAnsi="Times New Roman" w:cs="Times New Roman"/>
          <w:i/>
          <w:iCs/>
        </w:rPr>
        <w:t>2025</w:t>
      </w:r>
      <w:r>
        <w:rPr>
          <w:rFonts w:ascii="Times New Roman" w:hAnsi="Times New Roman" w:cs="Times New Roman"/>
        </w:rPr>
        <w:t>(1), e70063.</w:t>
      </w:r>
    </w:p>
    <w:p w14:paraId="154C6D91">
      <w:pPr>
        <w:pStyle w:val="34"/>
        <w:ind w:left="720" w:hanging="720"/>
        <w:rPr>
          <w:rFonts w:ascii="Times New Roman" w:hAnsi="Times New Roman" w:cs="Times New Roman"/>
        </w:rPr>
      </w:pPr>
      <w:r>
        <w:rPr>
          <w:rFonts w:ascii="Times New Roman" w:hAnsi="Times New Roman" w:cs="Times New Roman"/>
        </w:rPr>
        <w:t>Juhász, Á. (2025). Digital assets and their assessment in private law with special regard on inheritance law provisions. </w:t>
      </w:r>
      <w:r>
        <w:rPr>
          <w:rFonts w:ascii="Times New Roman" w:hAnsi="Times New Roman" w:cs="Times New Roman"/>
          <w:i/>
          <w:iCs/>
        </w:rPr>
        <w:t>Revista De Derecho Privado</w:t>
      </w:r>
      <w:r>
        <w:rPr>
          <w:rFonts w:ascii="Times New Roman" w:hAnsi="Times New Roman" w:cs="Times New Roman"/>
        </w:rPr>
        <w:t>, (49), 113-147.</w:t>
      </w:r>
    </w:p>
    <w:p w14:paraId="30140DD2">
      <w:pPr>
        <w:pStyle w:val="34"/>
        <w:ind w:left="720" w:hanging="720"/>
        <w:rPr>
          <w:rFonts w:ascii="Times New Roman" w:hAnsi="Times New Roman" w:cs="Times New Roman"/>
        </w:rPr>
      </w:pPr>
      <w:r>
        <w:rPr>
          <w:rFonts w:ascii="Times New Roman" w:hAnsi="Times New Roman" w:cs="Times New Roman"/>
        </w:rPr>
        <w:t xml:space="preserve">Katuka, M.  (2026, January 15). Understanding the New Tax Law: Key Changes and Implications. </w:t>
      </w:r>
      <w:r>
        <w:rPr>
          <w:rFonts w:ascii="Times New Roman" w:hAnsi="Times New Roman" w:cs="Times New Roman"/>
          <w:i/>
          <w:iCs/>
        </w:rPr>
        <w:t>NALTF</w:t>
      </w:r>
      <w:r>
        <w:rPr>
          <w:rFonts w:ascii="Times New Roman" w:hAnsi="Times New Roman" w:cs="Times New Roman"/>
        </w:rPr>
        <w:t>: https://naltf.gov.ng/understanding-the-new-tax-law-key-changes-andimplications/#:~:text=The%202026%20reforms%20introduce%20immediate,for%20medium%20and%20large%20enterprises.</w:t>
      </w:r>
    </w:p>
    <w:p w14:paraId="0C630955">
      <w:pPr>
        <w:pStyle w:val="34"/>
        <w:ind w:left="720" w:hanging="720"/>
        <w:rPr>
          <w:rFonts w:ascii="Times New Roman" w:hAnsi="Times New Roman" w:cs="Times New Roman"/>
        </w:rPr>
      </w:pPr>
      <w:r>
        <w:rPr>
          <w:rFonts w:ascii="Times New Roman" w:hAnsi="Times New Roman" w:cs="Times New Roman"/>
        </w:rPr>
        <w:t>Kontagora, A. M., &amp; Onyemaechi, E. A. (2025). An examination of tax payers'involvement in the management of tax revenue generation under the companies income tax law in Nigeria. </w:t>
      </w:r>
      <w:r>
        <w:rPr>
          <w:rFonts w:ascii="Times New Roman" w:hAnsi="Times New Roman" w:cs="Times New Roman"/>
          <w:i/>
          <w:iCs/>
        </w:rPr>
        <w:t>Available at SSRN 5385944</w:t>
      </w:r>
      <w:r>
        <w:rPr>
          <w:rFonts w:ascii="Times New Roman" w:hAnsi="Times New Roman" w:cs="Times New Roman"/>
        </w:rPr>
        <w:t>.</w:t>
      </w:r>
    </w:p>
    <w:p w14:paraId="4E69C5C3">
      <w:pPr>
        <w:pStyle w:val="34"/>
        <w:ind w:left="720" w:hanging="720"/>
        <w:rPr>
          <w:rFonts w:ascii="Times New Roman" w:hAnsi="Times New Roman" w:cs="Times New Roman"/>
        </w:rPr>
      </w:pPr>
      <w:r>
        <w:rPr>
          <w:rFonts w:ascii="Times New Roman" w:hAnsi="Times New Roman" w:cs="Times New Roman"/>
        </w:rPr>
        <w:t>Krause, D. (2025)</w:t>
      </w:r>
      <w:bookmarkEnd w:id="6"/>
      <w:r>
        <w:rPr>
          <w:rFonts w:ascii="Times New Roman" w:hAnsi="Times New Roman" w:cs="Times New Roman"/>
        </w:rPr>
        <w:t xml:space="preserve">. Evaluating saylor's vision for digital assets: a critical analysis of strategic assumptions and systemic </w:t>
      </w:r>
      <w:r>
        <w:rPr>
          <w:rFonts w:ascii="Times New Roman" w:hAnsi="Times New Roman" w:cs="Times New Roman"/>
          <w:i/>
          <w:iCs/>
        </w:rPr>
        <w:t xml:space="preserve">Risks. Journal of Financial Compliance, 8 </w:t>
      </w:r>
      <w:r>
        <w:rPr>
          <w:rFonts w:ascii="Times New Roman" w:hAnsi="Times New Roman" w:cs="Times New Roman"/>
        </w:rPr>
        <w:t>(3), 257-270.</w:t>
      </w:r>
    </w:p>
    <w:p w14:paraId="4AD4B968">
      <w:pPr>
        <w:pStyle w:val="34"/>
        <w:ind w:left="720" w:hanging="720"/>
        <w:rPr>
          <w:rFonts w:ascii="Times New Roman" w:hAnsi="Times New Roman" w:cs="Times New Roman"/>
        </w:rPr>
      </w:pPr>
      <w:r>
        <w:rPr>
          <w:rFonts w:ascii="Times New Roman" w:hAnsi="Times New Roman" w:cs="Times New Roman"/>
        </w:rPr>
        <w:t>Krishnan, G. (2025). Residency status: CGT implications for assets. </w:t>
      </w:r>
      <w:r>
        <w:rPr>
          <w:rFonts w:ascii="Times New Roman" w:hAnsi="Times New Roman" w:cs="Times New Roman"/>
          <w:i/>
          <w:iCs/>
        </w:rPr>
        <w:t>Taxation in Australia</w:t>
      </w:r>
      <w:r>
        <w:rPr>
          <w:rFonts w:ascii="Times New Roman" w:hAnsi="Times New Roman" w:cs="Times New Roman"/>
        </w:rPr>
        <w:t>, </w:t>
      </w:r>
      <w:r>
        <w:rPr>
          <w:rFonts w:ascii="Times New Roman" w:hAnsi="Times New Roman" w:cs="Times New Roman"/>
          <w:i/>
          <w:iCs/>
        </w:rPr>
        <w:t>59</w:t>
      </w:r>
      <w:r>
        <w:rPr>
          <w:rFonts w:ascii="Times New Roman" w:hAnsi="Times New Roman" w:cs="Times New Roman"/>
        </w:rPr>
        <w:t>(8), 365-369.</w:t>
      </w:r>
    </w:p>
    <w:p w14:paraId="5DD9B660">
      <w:pPr>
        <w:pStyle w:val="34"/>
        <w:ind w:left="720" w:hanging="720"/>
        <w:rPr>
          <w:rFonts w:ascii="Times New Roman" w:hAnsi="Times New Roman" w:cs="Times New Roman"/>
        </w:rPr>
      </w:pPr>
      <w:r>
        <w:rPr>
          <w:rFonts w:ascii="Times New Roman" w:hAnsi="Times New Roman" w:cs="Times New Roman"/>
        </w:rPr>
        <w:t>Maples, A., &amp; Minas, J. (2025). CGT in New Zealand: the tax review and working groups from 2001 to 2019." Are we there yet?". In </w:t>
      </w:r>
      <w:r>
        <w:rPr>
          <w:rFonts w:ascii="Times New Roman" w:hAnsi="Times New Roman" w:cs="Times New Roman"/>
          <w:i/>
          <w:iCs/>
        </w:rPr>
        <w:t>Australian Tax Forum</w:t>
      </w:r>
      <w:r>
        <w:rPr>
          <w:rFonts w:ascii="Times New Roman" w:hAnsi="Times New Roman" w:cs="Times New Roman"/>
        </w:rPr>
        <w:t> (Vol. 40, No. 1, pp. 87-114). Sydney, NSW: Tax Institute.</w:t>
      </w:r>
    </w:p>
    <w:p w14:paraId="04367ACA">
      <w:pPr>
        <w:pStyle w:val="34"/>
        <w:ind w:left="720" w:hanging="720"/>
        <w:rPr>
          <w:rFonts w:ascii="Times New Roman" w:hAnsi="Times New Roman" w:cs="Times New Roman"/>
        </w:rPr>
      </w:pPr>
      <w:bookmarkStart w:id="7" w:name="_Hlk223023753"/>
      <w:r>
        <w:rPr>
          <w:rFonts w:ascii="Times New Roman" w:hAnsi="Times New Roman" w:cs="Times New Roman"/>
        </w:rPr>
        <w:t>Monday, C. (2025)</w:t>
      </w:r>
      <w:bookmarkEnd w:id="7"/>
      <w:r>
        <w:rPr>
          <w:rFonts w:ascii="Times New Roman" w:hAnsi="Times New Roman" w:cs="Times New Roman"/>
        </w:rPr>
        <w:t>. International tax implications of the Nigeria Tax Act 2025: A transformative paradigm for cross-border taxation and investment. </w:t>
      </w:r>
      <w:r>
        <w:rPr>
          <w:rFonts w:ascii="Times New Roman" w:hAnsi="Times New Roman" w:cs="Times New Roman"/>
          <w:i/>
          <w:iCs/>
        </w:rPr>
        <w:t>Available at SSRN 5596090</w:t>
      </w:r>
      <w:r>
        <w:rPr>
          <w:rFonts w:ascii="Times New Roman" w:hAnsi="Times New Roman" w:cs="Times New Roman"/>
        </w:rPr>
        <w:t>.</w:t>
      </w:r>
    </w:p>
    <w:p w14:paraId="391138CD">
      <w:pPr>
        <w:pStyle w:val="34"/>
        <w:ind w:left="720" w:hanging="720"/>
        <w:rPr>
          <w:rFonts w:ascii="Times New Roman" w:hAnsi="Times New Roman" w:cs="Times New Roman"/>
        </w:rPr>
      </w:pPr>
      <w:r>
        <w:rPr>
          <w:rFonts w:ascii="Times New Roman" w:hAnsi="Times New Roman" w:cs="Times New Roman"/>
        </w:rPr>
        <w:t>Musa, J. O. (2026). Introducing the tax basic social amenities (BSA) rebate: a novel mechanism for linking taxation to development in Nigeria. </w:t>
      </w:r>
      <w:r>
        <w:rPr>
          <w:rFonts w:ascii="Times New Roman" w:hAnsi="Times New Roman" w:cs="Times New Roman"/>
          <w:i/>
          <w:iCs/>
        </w:rPr>
        <w:t>African Journal of Law, Ethics and Education</w:t>
      </w:r>
      <w:r>
        <w:rPr>
          <w:rFonts w:ascii="Times New Roman" w:hAnsi="Times New Roman" w:cs="Times New Roman"/>
        </w:rPr>
        <w:t>, </w:t>
      </w:r>
      <w:r>
        <w:rPr>
          <w:rFonts w:ascii="Times New Roman" w:hAnsi="Times New Roman" w:cs="Times New Roman"/>
          <w:i/>
          <w:iCs/>
        </w:rPr>
        <w:t>8</w:t>
      </w:r>
      <w:r>
        <w:rPr>
          <w:rFonts w:ascii="Times New Roman" w:hAnsi="Times New Roman" w:cs="Times New Roman"/>
        </w:rPr>
        <w:t>(5), 212-225.</w:t>
      </w:r>
    </w:p>
    <w:p w14:paraId="64BCEAC2">
      <w:pPr>
        <w:pStyle w:val="34"/>
        <w:ind w:left="720" w:hanging="720"/>
        <w:rPr>
          <w:rFonts w:ascii="Times New Roman" w:hAnsi="Times New Roman" w:cs="Times New Roman"/>
          <w:i/>
          <w:iCs/>
        </w:rPr>
      </w:pPr>
      <w:r>
        <w:rPr>
          <w:rFonts w:ascii="Times New Roman" w:hAnsi="Times New Roman" w:cs="Times New Roman"/>
        </w:rPr>
        <w:t>Pastor Sempere, C. (2025)</w:t>
      </w:r>
      <w:r>
        <w:rPr>
          <w:rFonts w:ascii="Times New Roman" w:hAnsi="Times New Roman" w:cs="Times New Roman"/>
          <w:i/>
          <w:iCs/>
        </w:rPr>
        <w:t>. The legal framework for new digital assets, identities, and data spaces. Introduction. In Governance and Control of Data and Digital Economy in the European Single Market: Legal Framework for New Digital Assets, Identities and Data Spaces (pp. 3-21). Cham: Springer Nature Switzerland.</w:t>
      </w:r>
    </w:p>
    <w:p w14:paraId="3E870FF5">
      <w:pPr>
        <w:pStyle w:val="34"/>
        <w:ind w:left="720" w:hanging="720"/>
        <w:rPr>
          <w:rFonts w:ascii="Times New Roman" w:hAnsi="Times New Roman" w:cs="Times New Roman"/>
        </w:rPr>
      </w:pPr>
      <w:r>
        <w:rPr>
          <w:rFonts w:ascii="Times New Roman" w:hAnsi="Times New Roman" w:cs="Times New Roman"/>
        </w:rPr>
        <w:t xml:space="preserve">Pisetta, I., &amp; Trippel, T. (2025). Standard and practices for long-term digital archiving </w:t>
      </w:r>
      <w:r>
        <w:rPr>
          <w:rFonts w:ascii="Times New Roman" w:hAnsi="Times New Roman" w:cs="Times New Roman"/>
        </w:rPr>
        <w:br w:type="textWrapping"/>
      </w:r>
      <w:r>
        <w:rPr>
          <w:rFonts w:ascii="Times New Roman" w:hAnsi="Times New Roman" w:cs="Times New Roman"/>
          <w:i/>
          <w:iCs/>
        </w:rPr>
        <w:t>Harmonizing language data: Standards for Linguistic Resources, 4</w:t>
      </w:r>
      <w:r>
        <w:rPr>
          <w:rFonts w:ascii="Times New Roman" w:hAnsi="Times New Roman" w:cs="Times New Roman"/>
        </w:rPr>
        <w:t>, 201-228.</w:t>
      </w:r>
    </w:p>
    <w:p w14:paraId="5E7C1107">
      <w:pPr>
        <w:pStyle w:val="34"/>
        <w:ind w:left="720" w:hanging="720"/>
        <w:rPr>
          <w:rFonts w:ascii="Times New Roman" w:hAnsi="Times New Roman" w:cs="Times New Roman"/>
        </w:rPr>
      </w:pPr>
      <w:bookmarkStart w:id="8" w:name="_Hlk221807873"/>
      <w:r>
        <w:rPr>
          <w:rFonts w:ascii="Times New Roman" w:hAnsi="Times New Roman" w:cs="Times New Roman"/>
        </w:rPr>
        <w:t>Pradhan, R. (2026)</w:t>
      </w:r>
      <w:bookmarkEnd w:id="8"/>
      <w:r>
        <w:rPr>
          <w:rFonts w:ascii="Times New Roman" w:hAnsi="Times New Roman" w:cs="Times New Roman"/>
        </w:rPr>
        <w:t xml:space="preserve">. Cryptocurrency taxation in India: a comparative analysis with the US, the UK, and Singapore. </w:t>
      </w:r>
      <w:r>
        <w:rPr>
          <w:rFonts w:ascii="Times New Roman" w:hAnsi="Times New Roman" w:cs="Times New Roman"/>
          <w:i/>
          <w:iCs/>
        </w:rPr>
        <w:t>International Journal for Multidisciplinary Research (IJFMR), 8(</w:t>
      </w:r>
      <w:r>
        <w:rPr>
          <w:rFonts w:ascii="Times New Roman" w:hAnsi="Times New Roman" w:cs="Times New Roman"/>
        </w:rPr>
        <w:t>1), 1-10.</w:t>
      </w:r>
    </w:p>
    <w:p w14:paraId="58A63061">
      <w:pPr>
        <w:pStyle w:val="34"/>
        <w:ind w:left="720" w:hanging="720"/>
        <w:rPr>
          <w:rFonts w:ascii="Times New Roman" w:hAnsi="Times New Roman" w:cs="Times New Roman"/>
          <w:i/>
          <w:iCs/>
        </w:rPr>
      </w:pPr>
      <w:r>
        <w:rPr>
          <w:rFonts w:ascii="Times New Roman" w:hAnsi="Times New Roman" w:cs="Times New Roman"/>
        </w:rPr>
        <w:t>Rahman, J., Rahman, H., Islam, N., Tanchangya, T., Ridwan, M., &amp; Ali, M. (2025).</w:t>
      </w:r>
      <w:r>
        <w:rPr>
          <w:rFonts w:ascii="Times New Roman" w:hAnsi="Times New Roman" w:cs="Times New Roman"/>
          <w:i/>
          <w:iCs/>
        </w:rPr>
        <w:t xml:space="preserve"> </w:t>
      </w:r>
      <w:r>
        <w:rPr>
          <w:rFonts w:ascii="Times New Roman" w:hAnsi="Times New Roman" w:cs="Times New Roman"/>
        </w:rPr>
        <w:t>Regulatory landscape of blockchain assets: analyzing the drivers of NFT and cryptocurrency regulation.</w:t>
      </w:r>
      <w:r>
        <w:rPr>
          <w:rFonts w:ascii="Times New Roman" w:hAnsi="Times New Roman" w:cs="Times New Roman"/>
          <w:i/>
          <w:iCs/>
        </w:rPr>
        <w:t> Bench Council Transactions on Benchmarks, Standards and Evaluations, 100214.</w:t>
      </w:r>
    </w:p>
    <w:p w14:paraId="7A9AD639">
      <w:pPr>
        <w:pStyle w:val="34"/>
        <w:ind w:left="720" w:hanging="720"/>
        <w:rPr>
          <w:rFonts w:ascii="Times New Roman" w:hAnsi="Times New Roman" w:cs="Times New Roman"/>
        </w:rPr>
      </w:pPr>
      <w:r>
        <w:rPr>
          <w:rFonts w:ascii="Times New Roman" w:hAnsi="Times New Roman" w:cs="Times New Roman"/>
        </w:rPr>
        <w:t>Ramazhamba, P. T., &amp; Venter, H. (2026). Blockchain forensics and regulatory technology for crypto tax compliance: a state-of-the-art review and emerging directions in the South African context. </w:t>
      </w:r>
      <w:r>
        <w:rPr>
          <w:rFonts w:ascii="Times New Roman" w:hAnsi="Times New Roman" w:cs="Times New Roman"/>
          <w:i/>
          <w:iCs/>
        </w:rPr>
        <w:t>Applied Sciences</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(2), 1-22.</w:t>
      </w:r>
    </w:p>
    <w:p w14:paraId="21193282">
      <w:pPr>
        <w:pStyle w:val="34"/>
        <w:ind w:left="720" w:hanging="720"/>
        <w:rPr>
          <w:rFonts w:ascii="Times New Roman" w:hAnsi="Times New Roman" w:cs="Times New Roman"/>
        </w:rPr>
      </w:pPr>
      <w:r>
        <w:rPr>
          <w:rFonts w:ascii="Times New Roman" w:hAnsi="Times New Roman" w:cs="Times New Roman"/>
        </w:rPr>
        <w:t>Romano, D. (2026). </w:t>
      </w:r>
      <w:r>
        <w:rPr>
          <w:rFonts w:ascii="Times New Roman" w:hAnsi="Times New Roman" w:cs="Times New Roman"/>
          <w:i/>
          <w:iCs/>
        </w:rPr>
        <w:t>Central Bank digital currencies and the future of money-a new theoretical framework, comparative insights from global case studies, and the role of asset tokenisation</w:t>
      </w:r>
      <w:r>
        <w:rPr>
          <w:rFonts w:ascii="Times New Roman" w:hAnsi="Times New Roman" w:cs="Times New Roman"/>
        </w:rPr>
        <w:t> (Doctoral dissertation, City St George's, University of London).</w:t>
      </w:r>
    </w:p>
    <w:p w14:paraId="5EB36AFC">
      <w:pPr>
        <w:pStyle w:val="34"/>
        <w:ind w:left="720" w:hanging="720"/>
        <w:rPr>
          <w:rFonts w:ascii="Times New Roman" w:hAnsi="Times New Roman" w:cs="Times New Roman"/>
          <w:i/>
          <w:iCs/>
        </w:rPr>
      </w:pPr>
      <w:r>
        <w:rPr>
          <w:rFonts w:ascii="Times New Roman" w:hAnsi="Times New Roman" w:cs="Times New Roman"/>
        </w:rPr>
        <w:t>Schueffel, P., &amp; Stuessi, D. (2025). Beyond traditions: Swiss banking’s journey into digital assets and blockchain.</w:t>
      </w:r>
      <w:r>
        <w:rPr>
          <w:rFonts w:ascii="Times New Roman" w:hAnsi="Times New Roman" w:cs="Times New Roman"/>
          <w:i/>
          <w:iCs/>
        </w:rPr>
        <w:t> FinTech, 4(2), 1-22.</w:t>
      </w:r>
    </w:p>
    <w:p w14:paraId="241C2382">
      <w:pPr>
        <w:pStyle w:val="34"/>
        <w:ind w:left="720" w:hanging="720"/>
        <w:rPr>
          <w:rFonts w:ascii="Times New Roman" w:hAnsi="Times New Roman" w:cs="Times New Roman"/>
        </w:rPr>
      </w:pPr>
      <w:r>
        <w:rPr>
          <w:rFonts w:ascii="Times New Roman" w:hAnsi="Times New Roman" w:cs="Times New Roman"/>
        </w:rPr>
        <w:t>Sereti, Z., Mavrikos, E., Cholevas, C., &amp; Tsekouras, G. E. (2025). Green NFTs: technologies related to energy-efficient non-fungible tokens. </w:t>
      </w:r>
      <w:r>
        <w:rPr>
          <w:rFonts w:ascii="Times New Roman" w:hAnsi="Times New Roman" w:cs="Times New Roman"/>
          <w:i/>
          <w:iCs/>
        </w:rPr>
        <w:t>Information</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(4), 1-32.</w:t>
      </w:r>
    </w:p>
    <w:p w14:paraId="633D42F5">
      <w:pPr>
        <w:keepNext w:val="0"/>
        <w:keepLines w:val="0"/>
        <w:pageBreakBefore w:val="0"/>
        <w:widowControl/>
        <w:kinsoku/>
        <w:wordWrap/>
        <w:overflowPunct/>
        <w:topLinePunct w:val="0"/>
        <w:autoSpaceDE/>
        <w:autoSpaceDN/>
        <w:bidi w:val="0"/>
        <w:adjustRightInd/>
        <w:snapToGrid/>
        <w:spacing w:after="0" w:line="240" w:lineRule="auto"/>
        <w:ind w:left="720" w:hanging="720"/>
        <w:textAlignment w:val="auto"/>
        <w:rPr>
          <w:rFonts w:ascii="Times New Roman" w:hAnsi="Times New Roman" w:cs="Times New Roman"/>
        </w:rPr>
      </w:pPr>
      <w:r>
        <w:rPr>
          <w:rFonts w:ascii="Times New Roman" w:hAnsi="Times New Roman" w:cs="Times New Roman"/>
        </w:rPr>
        <w:t>Šipovac, V., &amp; Logarušić, D. (2025).Criminal law protection of the tax system: the challenges of digitalization shaping justice: how penal law and the judiciary address contemporary societal challenges. positive obligations of the state in criminal proceedings 133-147.</w:t>
      </w:r>
    </w:p>
    <w:p w14:paraId="7E130896">
      <w:pPr>
        <w:keepNext w:val="0"/>
        <w:keepLines w:val="0"/>
        <w:pageBreakBefore w:val="0"/>
        <w:widowControl/>
        <w:kinsoku/>
        <w:wordWrap/>
        <w:overflowPunct/>
        <w:topLinePunct w:val="0"/>
        <w:autoSpaceDE/>
        <w:autoSpaceDN/>
        <w:bidi w:val="0"/>
        <w:adjustRightInd/>
        <w:snapToGrid/>
        <w:spacing w:after="0" w:line="240" w:lineRule="auto"/>
        <w:ind w:left="720" w:hanging="720"/>
        <w:textAlignment w:val="auto"/>
        <w:rPr>
          <w:rFonts w:ascii="Times New Roman" w:hAnsi="Times New Roman" w:cs="Times New Roman"/>
        </w:rPr>
      </w:pPr>
      <w:r>
        <w:rPr>
          <w:rFonts w:ascii="Times New Roman" w:hAnsi="Times New Roman" w:cs="Times New Roman"/>
        </w:rPr>
        <w:t>Spyrou, O., Hurst, W., &amp; Krampe, C. (2025). Minting the future of art: a comprehensive overview of non-fungible tokens in the art metaverse. </w:t>
      </w:r>
      <w:r>
        <w:rPr>
          <w:rFonts w:ascii="Times New Roman" w:hAnsi="Times New Roman" w:cs="Times New Roman"/>
          <w:i/>
          <w:iCs/>
        </w:rPr>
        <w:t>Arts and the Market</w:t>
      </w:r>
      <w:r>
        <w:rPr>
          <w:rFonts w:ascii="Times New Roman" w:hAnsi="Times New Roman" w:cs="Times New Roman"/>
        </w:rPr>
        <w:t>, 15(2/3), 109-127</w:t>
      </w:r>
    </w:p>
    <w:p w14:paraId="3B3D6BB0">
      <w:pPr>
        <w:pStyle w:val="34"/>
        <w:keepNext w:val="0"/>
        <w:keepLines w:val="0"/>
        <w:pageBreakBefore w:val="0"/>
        <w:widowControl/>
        <w:kinsoku/>
        <w:wordWrap/>
        <w:overflowPunct/>
        <w:topLinePunct w:val="0"/>
        <w:autoSpaceDE/>
        <w:autoSpaceDN/>
        <w:bidi w:val="0"/>
        <w:adjustRightInd/>
        <w:snapToGrid/>
        <w:spacing w:after="0"/>
        <w:ind w:left="720" w:hanging="720"/>
        <w:textAlignment w:val="auto"/>
        <w:rPr>
          <w:rFonts w:ascii="Times New Roman" w:hAnsi="Times New Roman" w:cs="Times New Roman"/>
        </w:rPr>
      </w:pPr>
      <w:r>
        <w:rPr>
          <w:rFonts w:ascii="Times New Roman" w:hAnsi="Times New Roman" w:cs="Times New Roman"/>
        </w:rPr>
        <w:t xml:space="preserve">Umeh-Saboyo, C. (2025, 9 December). Expert warns: Nigeria’s new tax law could squeeze the middle class. </w:t>
      </w:r>
      <w:r>
        <w:rPr>
          <w:rFonts w:ascii="Times New Roman" w:hAnsi="Times New Roman" w:cs="Times New Roman"/>
          <w:i/>
          <w:iCs/>
        </w:rPr>
        <w:t>NIGERIAINFO.FM:</w:t>
      </w:r>
      <w:r>
        <w:rPr>
          <w:rFonts w:ascii="Times New Roman" w:hAnsi="Times New Roman" w:cs="Times New Roman"/>
        </w:rPr>
        <w:t xml:space="preserve"> https://www.nigeriainfo.fm/news/national/expert-warns-nigerias-new-tax-law-could-squeeze-the-middle-class/</w:t>
      </w:r>
    </w:p>
    <w:p w14:paraId="3E5908E4">
      <w:pPr>
        <w:pStyle w:val="34"/>
        <w:ind w:left="720" w:hanging="720"/>
        <w:rPr>
          <w:rFonts w:ascii="Times New Roman" w:hAnsi="Times New Roman" w:cs="Times New Roman"/>
        </w:rPr>
      </w:pPr>
      <w:r>
        <w:rPr>
          <w:rFonts w:ascii="Times New Roman" w:hAnsi="Times New Roman" w:cs="Times New Roman"/>
        </w:rPr>
        <w:t>Vashisth, A., Salako, K., &amp; Pinto, P. (2024). Digital assets valuation and financial reporting. In </w:t>
      </w:r>
      <w:r>
        <w:rPr>
          <w:rFonts w:ascii="Times New Roman" w:hAnsi="Times New Roman" w:cs="Times New Roman"/>
          <w:i/>
          <w:iCs/>
        </w:rPr>
        <w:t>Leveraging Blockchain Technology</w:t>
      </w:r>
      <w:r>
        <w:rPr>
          <w:rFonts w:ascii="Times New Roman" w:hAnsi="Times New Roman" w:cs="Times New Roman"/>
        </w:rPr>
        <w:t> (pp. 93-114). CRC Press.</w:t>
      </w:r>
    </w:p>
    <w:p w14:paraId="78B6F761">
      <w:pPr>
        <w:pStyle w:val="34"/>
        <w:ind w:left="720" w:hanging="720"/>
        <w:rPr>
          <w:rFonts w:ascii="Times New Roman" w:hAnsi="Times New Roman" w:cs="Times New Roman"/>
        </w:rPr>
      </w:pPr>
      <w:r>
        <w:rPr>
          <w:rFonts w:ascii="Times New Roman" w:hAnsi="Times New Roman" w:cs="Times New Roman"/>
        </w:rPr>
        <w:t>Zhu, K., Wu, F., Wang, F., Shen, T., Wu, H., Xue, B., &amp; Liu, Y. (2024). Blockchain-based digital asset circulation: A survey and future challenges. </w:t>
      </w:r>
      <w:r>
        <w:rPr>
          <w:rFonts w:ascii="Times New Roman" w:hAnsi="Times New Roman" w:cs="Times New Roman"/>
          <w:i/>
          <w:iCs/>
        </w:rPr>
        <w:t>Symmetry</w:t>
      </w:r>
      <w:r>
        <w:rPr>
          <w:rFonts w:ascii="Times New Roman" w:hAnsi="Times New Roman" w:cs="Times New Roman"/>
        </w:rPr>
        <w:t>, </w:t>
      </w:r>
      <w:r>
        <w:rPr>
          <w:rFonts w:ascii="Times New Roman" w:hAnsi="Times New Roman" w:cs="Times New Roman"/>
          <w:i/>
          <w:iCs/>
        </w:rPr>
        <w:t>16</w:t>
      </w:r>
      <w:r>
        <w:rPr>
          <w:rFonts w:ascii="Times New Roman" w:hAnsi="Times New Roman" w:cs="Times New Roman"/>
        </w:rPr>
        <w:t>(10), 1-40.</w:t>
      </w:r>
    </w:p>
    <w:p w14:paraId="1E3D3B4D">
      <w:pPr>
        <w:pStyle w:val="34"/>
        <w:ind w:left="720" w:hanging="720"/>
        <w:rPr>
          <w:rFonts w:ascii="Times New Roman" w:hAnsi="Times New Roman" w:cs="Times New Roman"/>
        </w:rPr>
      </w:pPr>
    </w:p>
    <w:p w14:paraId="761EAFFE">
      <w:pPr>
        <w:jc w:val="both"/>
        <w:rPr>
          <w:rFonts w:ascii="Times New Roman" w:hAnsi="Times New Roman" w:cs="Times New Roman"/>
          <w:sz w:val="28"/>
          <w:szCs w:val="28"/>
        </w:rPr>
      </w:pPr>
    </w:p>
    <w:p w14:paraId="03683E56">
      <w:pPr>
        <w:jc w:val="both"/>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PS-BoldM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09"/>
    <w:rsid w:val="00081E3B"/>
    <w:rsid w:val="000C70F3"/>
    <w:rsid w:val="000D7FAE"/>
    <w:rsid w:val="000F66E1"/>
    <w:rsid w:val="00105362"/>
    <w:rsid w:val="001211DE"/>
    <w:rsid w:val="00152A09"/>
    <w:rsid w:val="001746A8"/>
    <w:rsid w:val="001C00F9"/>
    <w:rsid w:val="001D19A7"/>
    <w:rsid w:val="001F590B"/>
    <w:rsid w:val="00241505"/>
    <w:rsid w:val="00245693"/>
    <w:rsid w:val="00270214"/>
    <w:rsid w:val="00277E10"/>
    <w:rsid w:val="00296670"/>
    <w:rsid w:val="00326AC7"/>
    <w:rsid w:val="0035031B"/>
    <w:rsid w:val="0039086F"/>
    <w:rsid w:val="003A2646"/>
    <w:rsid w:val="003A6C30"/>
    <w:rsid w:val="003C32A9"/>
    <w:rsid w:val="003C47E2"/>
    <w:rsid w:val="0040081A"/>
    <w:rsid w:val="004260B9"/>
    <w:rsid w:val="004266EE"/>
    <w:rsid w:val="0045245D"/>
    <w:rsid w:val="004546C0"/>
    <w:rsid w:val="004C7836"/>
    <w:rsid w:val="0053123B"/>
    <w:rsid w:val="005A5028"/>
    <w:rsid w:val="005B3302"/>
    <w:rsid w:val="005C5FC5"/>
    <w:rsid w:val="006570FF"/>
    <w:rsid w:val="006B2849"/>
    <w:rsid w:val="00701943"/>
    <w:rsid w:val="00761E14"/>
    <w:rsid w:val="007A768C"/>
    <w:rsid w:val="0080396C"/>
    <w:rsid w:val="00863DC8"/>
    <w:rsid w:val="008E4D69"/>
    <w:rsid w:val="008E53AA"/>
    <w:rsid w:val="008F4585"/>
    <w:rsid w:val="00920E17"/>
    <w:rsid w:val="009227F7"/>
    <w:rsid w:val="00941789"/>
    <w:rsid w:val="00953ADE"/>
    <w:rsid w:val="00A363DA"/>
    <w:rsid w:val="00A82A60"/>
    <w:rsid w:val="00AE1B50"/>
    <w:rsid w:val="00B10AF3"/>
    <w:rsid w:val="00B515C1"/>
    <w:rsid w:val="00BF158D"/>
    <w:rsid w:val="00BF2E66"/>
    <w:rsid w:val="00C32D66"/>
    <w:rsid w:val="00C34081"/>
    <w:rsid w:val="00CC3B4E"/>
    <w:rsid w:val="00CC45A1"/>
    <w:rsid w:val="00D01BFD"/>
    <w:rsid w:val="00D02492"/>
    <w:rsid w:val="00D247A3"/>
    <w:rsid w:val="00D57F2C"/>
    <w:rsid w:val="00DD761C"/>
    <w:rsid w:val="00DF3608"/>
    <w:rsid w:val="00E041DC"/>
    <w:rsid w:val="00E1419C"/>
    <w:rsid w:val="00E142D6"/>
    <w:rsid w:val="00E272C9"/>
    <w:rsid w:val="00E775C7"/>
    <w:rsid w:val="00EB6156"/>
    <w:rsid w:val="00EF2A75"/>
    <w:rsid w:val="00F02DDE"/>
    <w:rsid w:val="00F472EF"/>
    <w:rsid w:val="00FB2341"/>
    <w:rsid w:val="00FD3336"/>
    <w:rsid w:val="00FD5DE8"/>
    <w:rsid w:val="00FF5C02"/>
    <w:rsid w:val="0A374B2C"/>
    <w:rsid w:val="263101CB"/>
    <w:rsid w:val="2C4D3077"/>
    <w:rsid w:val="2FAA7528"/>
    <w:rsid w:val="3E617FE4"/>
    <w:rsid w:val="40BF2194"/>
    <w:rsid w:val="5E350543"/>
    <w:rsid w:val="6C615BF4"/>
    <w:rsid w:val="73F44EEA"/>
    <w:rsid w:val="7B062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paragraph" w:styleId="34">
    <w:name w:val="No Spacing"/>
    <w:qFormat/>
    <w:uiPriority w:val="1"/>
    <w:pPr>
      <w:spacing w:after="0" w:line="240" w:lineRule="auto"/>
    </w:pPr>
    <w:rPr>
      <w:rFonts w:asciiTheme="minorHAnsi" w:hAnsiTheme="minorHAnsi" w:eastAsiaTheme="minorHAnsi" w:cstheme="minorBidi"/>
      <w:kern w:val="2"/>
      <w:sz w:val="24"/>
      <w:szCs w:val="24"/>
      <w:lang w:val="en-US" w:eastAsia="en-US" w:bidi="ar-SA"/>
      <w14:ligatures w14:val="standardContextual"/>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3617</Words>
  <Characters>20623</Characters>
  <Lines>171</Lines>
  <Paragraphs>48</Paragraphs>
  <TotalTime>2</TotalTime>
  <ScaleCrop>false</ScaleCrop>
  <LinksUpToDate>false</LinksUpToDate>
  <CharactersWithSpaces>24192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2026-03-30T13:38:00Z</dcterms:created>
  <dc:creator>boge olalekan</dc:creator>
  <cp:lastModifiedBy>WPS_1757415845</cp:lastModifiedBy>
  <dcterms:modified xsi:type="dcterms:W3CDTF">2026-04-20T20:54:35Z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60E232F54BA84C1B98592966C2D4BB05_12</vt:lpwstr>
  </property>
</Properties>
</file>