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0BB" w:rsidRDefault="0075650C" w:rsidP="0075650C">
      <w:pPr>
        <w:pStyle w:val="Heading1"/>
        <w:jc w:val="center"/>
        <w:rPr>
          <w:rFonts w:ascii="Times New Roman" w:hAnsi="Times New Roman" w:cs="Times New Roman"/>
          <w:b/>
          <w:color w:val="000000" w:themeColor="text1"/>
          <w:sz w:val="28"/>
          <w:szCs w:val="28"/>
        </w:rPr>
      </w:pPr>
      <w:bookmarkStart w:id="0" w:name="X9fc04d518f9e625b7ad30f3fcdba8144d45befd"/>
      <w:r w:rsidRPr="00730ECD">
        <w:rPr>
          <w:rFonts w:ascii="Times New Roman" w:hAnsi="Times New Roman" w:cs="Times New Roman"/>
          <w:b/>
          <w:color w:val="000000" w:themeColor="text1"/>
          <w:sz w:val="28"/>
          <w:szCs w:val="28"/>
        </w:rPr>
        <w:t>Development and Validation of a Hydrotropic First-Derivative UV Spectrophotometric Method for Simultaneous Estimation of Sofosbuvir and Daclatasvir in Combined Tablet Dosage Forms</w:t>
      </w:r>
    </w:p>
    <w:p w:rsidR="003C71B9" w:rsidRDefault="003C71B9" w:rsidP="003C71B9">
      <w:pPr>
        <w:spacing w:after="0" w:line="360" w:lineRule="auto"/>
        <w:ind w:right="4"/>
        <w:jc w:val="center"/>
        <w:rPr>
          <w:rFonts w:ascii="Times New Roman" w:hAnsi="Times New Roman"/>
          <w:bCs/>
        </w:rPr>
      </w:pPr>
    </w:p>
    <w:p w:rsidR="003C71B9" w:rsidRPr="003C71B9" w:rsidRDefault="003C71B9" w:rsidP="003C71B9">
      <w:pPr>
        <w:spacing w:after="0" w:line="360" w:lineRule="auto"/>
        <w:ind w:right="4"/>
        <w:jc w:val="center"/>
        <w:rPr>
          <w:rFonts w:ascii="Times New Roman" w:eastAsia="Times New Roman" w:hAnsi="Times New Roman" w:cs="Times New Roman"/>
          <w:b/>
          <w:color w:val="C00000"/>
          <w:sz w:val="28"/>
          <w:szCs w:val="28"/>
        </w:rPr>
      </w:pPr>
      <w:proofErr w:type="spellStart"/>
      <w:r w:rsidRPr="000209E1">
        <w:rPr>
          <w:rFonts w:ascii="Times New Roman" w:hAnsi="Times New Roman"/>
          <w:bCs/>
        </w:rPr>
        <w:t/>
      </w:r>
      <w:proofErr w:type="spellEnd"/>
      <w:r w:rsidRPr="000209E1">
        <w:rPr>
          <w:rFonts w:ascii="Times New Roman" w:hAnsi="Times New Roman"/>
          <w:bCs/>
        </w:rPr>
        <w:t xml:space="preserve"/>
      </w:r>
      <w:proofErr w:type="spellStart"/>
      <w:r w:rsidRPr="000209E1">
        <w:rPr>
          <w:rFonts w:ascii="Times New Roman" w:hAnsi="Times New Roman"/>
          <w:bCs/>
        </w:rPr>
        <w:t/>
      </w:r>
      <w:proofErr w:type="spellEnd"/>
      <w:r w:rsidRPr="000209E1">
        <w:rPr>
          <w:rFonts w:ascii="Times New Roman" w:hAnsi="Times New Roman"/>
          <w:bCs/>
        </w:rPr>
        <w:t xml:space="preserve"/>
      </w:r>
      <w:proofErr w:type="spellStart"/>
      <w:r w:rsidRPr="000209E1">
        <w:rPr>
          <w:rFonts w:ascii="Times New Roman" w:hAnsi="Times New Roman"/>
          <w:bCs/>
        </w:rPr>
        <w:t/>
      </w:r>
      <w:proofErr w:type="spellEnd"/>
      <w:r w:rsidRPr="000209E1">
        <w:rPr>
          <w:rFonts w:ascii="Times New Roman" w:hAnsi="Times New Roman"/>
          <w:bCs/>
          <w:vertAlign w:val="superscript"/>
        </w:rPr>
        <w:t/>
      </w:r>
      <w:r>
        <w:rPr>
          <w:rFonts w:ascii="Times New Roman" w:hAnsi="Times New Roman"/>
          <w:bCs/>
        </w:rPr>
        <w:t xml:space="preserve"/>
      </w:r>
      <w:r w:rsidRPr="003C71B9">
        <w:rPr>
          <w:rFonts w:ascii="Times New Roman" w:eastAsia="Times New Roman" w:hAnsi="Times New Roman" w:cs="Times New Roman"/>
          <w:bCs/>
        </w:rPr>
        <w:t xml:space="preserve"/>
      </w:r>
      <w:proofErr w:type="spellStart"/>
      <w:r w:rsidRPr="003C71B9">
        <w:rPr>
          <w:rFonts w:ascii="Times New Roman" w:eastAsia="Times New Roman" w:hAnsi="Times New Roman" w:cs="Times New Roman"/>
          <w:bCs/>
        </w:rPr>
        <w:t/>
      </w:r>
      <w:proofErr w:type="spellEnd"/>
      <w:r w:rsidRPr="003C71B9">
        <w:rPr>
          <w:rFonts w:ascii="Times New Roman" w:eastAsia="Times New Roman" w:hAnsi="Times New Roman" w:cs="Times New Roman"/>
          <w:bCs/>
        </w:rPr>
        <w:t xml:space="preserve"/>
      </w:r>
      <w:proofErr w:type="spellStart"/>
      <w:proofErr w:type="gramStart"/>
      <w:r w:rsidRPr="003C71B9">
        <w:rPr>
          <w:rFonts w:ascii="Times New Roman" w:eastAsia="Times New Roman" w:hAnsi="Times New Roman" w:cs="Times New Roman"/>
          <w:bCs/>
        </w:rPr>
        <w:t/>
      </w:r>
      <w:proofErr w:type="spellEnd"/>
      <w:r w:rsidRPr="003C71B9">
        <w:rPr>
          <w:rFonts w:ascii="Times New Roman" w:eastAsia="Times New Roman" w:hAnsi="Times New Roman" w:cs="Times New Roman"/>
          <w:bCs/>
        </w:rPr>
        <w:t xml:space="preserve"/>
      </w:r>
      <w:proofErr w:type="gramEnd"/>
      <w:r w:rsidRPr="003C71B9">
        <w:rPr>
          <w:rFonts w:ascii="Times New Roman" w:eastAsia="Times New Roman" w:hAnsi="Times New Roman" w:cs="Times New Roman"/>
          <w:bCs/>
        </w:rPr>
        <w:t xml:space="preserve"/>
      </w:r>
      <w:proofErr w:type="spellStart"/>
      <w:r w:rsidRPr="003C71B9">
        <w:rPr>
          <w:rFonts w:ascii="Times New Roman" w:eastAsia="Times New Roman" w:hAnsi="Times New Roman" w:cs="Times New Roman"/>
          <w:bCs/>
        </w:rPr>
        <w:t/>
      </w:r>
      <w:proofErr w:type="spellEnd"/>
      <w:r w:rsidRPr="003C71B9">
        <w:rPr>
          <w:rFonts w:ascii="Times New Roman" w:eastAsia="Times New Roman" w:hAnsi="Times New Roman" w:cs="Times New Roman"/>
          <w:bCs/>
        </w:rPr>
        <w:t/>
      </w:r>
      <w:r w:rsidRPr="003C71B9">
        <w:rPr>
          <w:rFonts w:ascii="Times New Roman" w:eastAsia="Times New Roman" w:hAnsi="Times New Roman" w:cs="Times New Roman"/>
          <w:bCs/>
        </w:rPr>
        <w:tab/>
      </w:r>
      <w:r w:rsidRPr="003C71B9">
        <w:rPr>
          <w:rFonts w:ascii="Times New Roman" w:eastAsia="Times New Roman" w:hAnsi="Times New Roman" w:cs="Times New Roman"/>
          <w:bCs/>
        </w:rPr>
        <w:t xml:space="preserve"/>
      </w:r>
      <w:proofErr w:type="spellStart"/>
      <w:r w:rsidRPr="003C71B9">
        <w:rPr>
          <w:rFonts w:ascii="Times New Roman" w:eastAsia="Times New Roman" w:hAnsi="Times New Roman" w:cs="Times New Roman"/>
          <w:bCs/>
        </w:rPr>
        <w:t/>
      </w:r>
      <w:proofErr w:type="spellEnd"/>
      <w:r>
        <w:rPr>
          <w:rFonts w:ascii="Times New Roman" w:eastAsia="Times New Roman" w:hAnsi="Times New Roman" w:cs="Times New Roman"/>
          <w:b/>
          <w:bCs/>
          <w:color w:val="C00000"/>
          <w:sz w:val="28"/>
          <w:szCs w:val="28"/>
        </w:rPr>
        <w:t xml:space="preserve"/>
      </w:r>
    </w:p>
    <w:p w:rsidR="003C71B9" w:rsidRDefault="003C71B9" w:rsidP="003C71B9">
      <w:pPr>
        <w:spacing w:line="360" w:lineRule="auto"/>
        <w:jc w:val="center"/>
        <w:rPr>
          <w:rFonts w:ascii="Times New Roman" w:hAnsi="Times New Roman"/>
          <w:bCs/>
        </w:rPr>
      </w:pPr>
      <w:r>
        <w:rPr>
          <w:rFonts w:ascii="Times New Roman" w:hAnsi="Times New Roman"/>
          <w:bCs/>
        </w:rPr>
        <w:t/>
      </w:r>
      <w:r w:rsidRPr="000209E1">
        <w:rPr>
          <w:rFonts w:ascii="Times New Roman" w:hAnsi="Times New Roman"/>
          <w:bCs/>
        </w:rPr>
        <w:t xml:space="preserve"/>
      </w:r>
      <w:proofErr w:type="spellStart"/>
      <w:r w:rsidRPr="000209E1">
        <w:rPr>
          <w:rFonts w:ascii="Times New Roman" w:hAnsi="Times New Roman"/>
          <w:bCs/>
        </w:rPr>
        <w:t/>
      </w:r>
      <w:proofErr w:type="spellEnd"/>
      <w:r w:rsidRPr="000209E1">
        <w:rPr>
          <w:rFonts w:ascii="Times New Roman" w:hAnsi="Times New Roman"/>
          <w:bCs/>
        </w:rPr>
        <w:t xml:space="preserve"/>
      </w:r>
      <w:proofErr w:type="spellStart"/>
      <w:r w:rsidRPr="000209E1">
        <w:rPr>
          <w:rFonts w:ascii="Times New Roman" w:hAnsi="Times New Roman"/>
          <w:bCs/>
        </w:rPr>
        <w:t/>
      </w:r>
      <w:proofErr w:type="spellEnd"/>
      <w:r w:rsidRPr="000209E1">
        <w:rPr>
          <w:rFonts w:ascii="Times New Roman" w:hAnsi="Times New Roman"/>
          <w:bCs/>
        </w:rPr>
        <w:t xml:space="preserve"/>
      </w:r>
      <w:proofErr w:type="spellStart"/>
      <w:r w:rsidRPr="000209E1">
        <w:rPr>
          <w:rFonts w:ascii="Times New Roman" w:hAnsi="Times New Roman"/>
          <w:bCs/>
        </w:rPr>
        <w:t/>
      </w:r>
      <w:proofErr w:type="spellEnd"/>
      <w:r w:rsidRPr="000209E1">
        <w:rPr>
          <w:rFonts w:ascii="Times New Roman" w:hAnsi="Times New Roman"/>
          <w:bCs/>
        </w:rPr>
        <w:t/>
      </w:r>
    </w:p>
    <w:p w:rsidR="003C71B9" w:rsidRDefault="003C71B9" w:rsidP="003C71B9">
      <w:pPr>
        <w:spacing w:line="360" w:lineRule="auto"/>
        <w:rPr>
          <w:rFonts w:ascii="Times New Roman" w:hAnsi="Times New Roman"/>
          <w:b/>
        </w:rPr>
      </w:pPr>
    </w:p>
    <w:p w:rsidR="003C71B9" w:rsidRDefault="003C71B9" w:rsidP="003C71B9">
      <w:pPr>
        <w:spacing w:line="360" w:lineRule="auto"/>
        <w:rPr>
          <w:rFonts w:ascii="Times New Roman" w:hAnsi="Times New Roman"/>
          <w:b/>
        </w:rPr>
      </w:pPr>
    </w:p>
    <w:p w:rsidR="003C71B9" w:rsidRPr="00BC5A5A" w:rsidRDefault="003C71B9" w:rsidP="003C71B9">
      <w:pPr>
        <w:spacing w:line="360" w:lineRule="auto"/>
        <w:rPr>
          <w:rFonts w:ascii="Times New Roman" w:hAnsi="Times New Roman"/>
          <w:bCs/>
        </w:rPr>
      </w:pPr>
      <w:r w:rsidRPr="00BE4179">
        <w:rPr>
          <w:rFonts w:ascii="Times New Roman" w:hAnsi="Times New Roman"/>
          <w:b/>
        </w:rPr>
        <w:t/>
      </w:r>
      <w:r w:rsidRPr="00BE4179">
        <w:rPr>
          <w:rFonts w:ascii="Times New Roman" w:hAnsi="Times New Roman"/>
          <w:b/>
        </w:rPr>
        <w:br/>
      </w:r>
      <w:r>
        <w:rPr>
          <w:rFonts w:ascii="Times New Roman" w:hAnsi="Times New Roman"/>
          <w:bCs/>
        </w:rPr>
        <w:t xml:space="preserve"/>
      </w:r>
      <w:proofErr w:type="spellStart"/>
      <w:r w:rsidRPr="00BC5A5A">
        <w:rPr>
          <w:rFonts w:ascii="Times New Roman" w:hAnsi="Times New Roman"/>
          <w:bCs/>
        </w:rPr>
        <w:t/>
      </w:r>
      <w:proofErr w:type="spellEnd"/>
      <w:r w:rsidRPr="00BC5A5A">
        <w:rPr>
          <w:rFonts w:ascii="Times New Roman" w:hAnsi="Times New Roman"/>
          <w:bCs/>
        </w:rPr>
        <w:t xml:space="preserve"/>
      </w:r>
      <w:proofErr w:type="spellStart"/>
      <w:r w:rsidRPr="00BC5A5A">
        <w:rPr>
          <w:rFonts w:ascii="Times New Roman" w:hAnsi="Times New Roman"/>
          <w:bCs/>
        </w:rPr>
        <w:t/>
      </w:r>
      <w:proofErr w:type="spellEnd"/>
      <w:r w:rsidRPr="00BC5A5A">
        <w:rPr>
          <w:rFonts w:ascii="Times New Roman" w:hAnsi="Times New Roman"/>
          <w:bCs/>
        </w:rPr>
        <w:t xml:space="preserve"/>
      </w:r>
      <w:proofErr w:type="spellStart"/>
      <w:r w:rsidRPr="00BC5A5A">
        <w:rPr>
          <w:rFonts w:ascii="Times New Roman" w:hAnsi="Times New Roman"/>
          <w:bCs/>
        </w:rPr>
        <w:t/>
      </w:r>
      <w:proofErr w:type="spellEnd"/>
      <w:r w:rsidRPr="00BC5A5A">
        <w:rPr>
          <w:rFonts w:ascii="Times New Roman" w:hAnsi="Times New Roman"/>
          <w:bCs/>
        </w:rPr>
        <w:br/>
      </w:r>
      <w:proofErr w:type="spellStart"/>
      <w:r w:rsidRPr="00BC5A5A">
        <w:rPr>
          <w:rFonts w:ascii="Times New Roman" w:hAnsi="Times New Roman"/>
          <w:bCs/>
        </w:rPr>
        <w:t/>
      </w:r>
      <w:proofErr w:type="spellEnd"/>
      <w:r w:rsidRPr="00BC5A5A">
        <w:rPr>
          <w:rFonts w:ascii="Times New Roman" w:hAnsi="Times New Roman"/>
          <w:bCs/>
        </w:rPr>
        <w:t xml:space="preserve"/>
      </w:r>
      <w:proofErr w:type="spellStart"/>
      <w:r w:rsidRPr="00BC5A5A">
        <w:rPr>
          <w:rFonts w:ascii="Times New Roman" w:hAnsi="Times New Roman"/>
          <w:bCs/>
        </w:rPr>
        <w:t/>
      </w:r>
      <w:proofErr w:type="spellEnd"/>
      <w:r w:rsidRPr="00BC5A5A">
        <w:rPr>
          <w:rFonts w:ascii="Times New Roman" w:hAnsi="Times New Roman"/>
          <w:bCs/>
        </w:rPr>
        <w:t xml:space="preserve"/>
      </w:r>
      <w:r>
        <w:rPr>
          <w:rFonts w:ascii="Times New Roman" w:hAnsi="Times New Roman"/>
          <w:bCs/>
        </w:rPr>
        <w:t xml:space="preserve"/>
      </w:r>
      <w:r w:rsidRPr="00BC5A5A">
        <w:rPr>
          <w:rFonts w:ascii="Times New Roman" w:hAnsi="Times New Roman"/>
          <w:bCs/>
        </w:rPr>
        <w:t xml:space="preserve"/>
      </w:r>
      <w:proofErr w:type="spellStart"/>
      <w:r w:rsidRPr="00BC5A5A">
        <w:rPr>
          <w:rFonts w:ascii="Times New Roman" w:hAnsi="Times New Roman"/>
          <w:bCs/>
        </w:rPr>
        <w:t/>
      </w:r>
      <w:proofErr w:type="spellEnd"/>
      <w:r w:rsidRPr="00BC5A5A">
        <w:rPr>
          <w:rFonts w:ascii="Times New Roman" w:hAnsi="Times New Roman"/>
          <w:bCs/>
        </w:rPr>
        <w:t/>
      </w:r>
      <w:r w:rsidRPr="00BC5A5A">
        <w:rPr>
          <w:rFonts w:ascii="Times New Roman" w:hAnsi="Times New Roman"/>
          <w:bCs/>
        </w:rPr>
        <w:br/>
        <w:t xml:space="preserve"/>
      </w:r>
      <w:r>
        <w:rPr>
          <w:rFonts w:ascii="Times New Roman" w:hAnsi="Times New Roman"/>
          <w:bCs/>
        </w:rPr>
        <w:t/>
      </w:r>
      <w:r w:rsidRPr="00BC5A5A">
        <w:rPr>
          <w:rFonts w:ascii="Times New Roman" w:hAnsi="Times New Roman"/>
          <w:bCs/>
        </w:rPr>
        <w:br/>
        <w:t xml:space="preserve"/>
      </w:r>
      <w:r>
        <w:rPr>
          <w:rFonts w:ascii="Times New Roman" w:hAnsi="Times New Roman"/>
          <w:bCs/>
        </w:rPr>
        <w:t/>
      </w:r>
    </w:p>
    <w:p w:rsidR="003C71B9" w:rsidRPr="000209E1" w:rsidRDefault="003C71B9" w:rsidP="003C71B9">
      <w:pPr>
        <w:spacing w:line="360" w:lineRule="auto"/>
        <w:rPr>
          <w:rFonts w:ascii="Times New Roman" w:hAnsi="Times New Roman"/>
          <w:bCs/>
        </w:rPr>
      </w:pPr>
    </w:p>
    <w:p w:rsidR="0026697B" w:rsidRPr="0026697B" w:rsidRDefault="0026697B" w:rsidP="0026697B">
      <w:pPr>
        <w:pStyle w:val="BodyText"/>
      </w:pPr>
    </w:p>
    <w:p w:rsidR="008850BB" w:rsidRPr="00730ECD" w:rsidRDefault="0075650C">
      <w:pPr>
        <w:pStyle w:val="Heading2"/>
        <w:rPr>
          <w:rFonts w:ascii="Times New Roman" w:hAnsi="Times New Roman" w:cs="Times New Roman"/>
          <w:b/>
          <w:color w:val="000000" w:themeColor="text1"/>
          <w:sz w:val="28"/>
          <w:szCs w:val="28"/>
        </w:rPr>
      </w:pPr>
      <w:bookmarkStart w:id="1" w:name="abstract"/>
      <w:r w:rsidRPr="00730ECD">
        <w:rPr>
          <w:rFonts w:ascii="Times New Roman" w:hAnsi="Times New Roman" w:cs="Times New Roman"/>
          <w:b/>
          <w:color w:val="000000" w:themeColor="text1"/>
          <w:sz w:val="28"/>
          <w:szCs w:val="28"/>
        </w:rPr>
        <w:t>Abstract</w:t>
      </w:r>
    </w:p>
    <w:p w:rsidR="008850BB" w:rsidRPr="0075650C" w:rsidRDefault="0075650C" w:rsidP="0075650C">
      <w:pPr>
        <w:pStyle w:val="FirstParagraph"/>
        <w:spacing w:line="360" w:lineRule="auto"/>
        <w:jc w:val="both"/>
        <w:rPr>
          <w:rFonts w:ascii="Times New Roman" w:hAnsi="Times New Roman" w:cs="Times New Roman"/>
        </w:rPr>
      </w:pPr>
      <w:r w:rsidRPr="0075650C">
        <w:rPr>
          <w:rFonts w:ascii="Times New Roman" w:hAnsi="Times New Roman" w:cs="Times New Roman"/>
        </w:rPr>
        <w:t>A simple, precise, accurate, and economical first-derivative UV spectrophotometric method was developed and validated for the simultaneous estimation of Sofosbuvir and Daclatasvir in combined tablet dosage forms. The method employed 0.1 M sodium citrate as a hydrotropic solubilizing agent. Quantification was carried out using first-derivative spectroscopy at 246 nm for Sofosbuvir and 324 nm for Daclatasvir using the zero-crossing technique. Beer–Lambert’s law was obeyed over the concentration range of 5–30 µg/mL for Sofosbuvir and 2–12 µg/mL for Daclatasvir. The developed method was validated according to ICH guidelines with respect to linearity, accuracy, precision, and assay. The correlation coefficients were found to be 0.9992 and 0.9993 for Sofosbuvir and Daclatasvir, respectively. Recovery studies demonstrated accur</w:t>
      </w:r>
      <w:r w:rsidR="00D360AC">
        <w:rPr>
          <w:rFonts w:ascii="Times New Roman" w:hAnsi="Times New Roman" w:cs="Times New Roman"/>
        </w:rPr>
        <w:t xml:space="preserve">acy within 98–100 % for </w:t>
      </w:r>
      <w:proofErr w:type="spellStart"/>
      <w:r w:rsidR="00D360AC">
        <w:rPr>
          <w:rFonts w:ascii="Times New Roman" w:hAnsi="Times New Roman" w:cs="Times New Roman"/>
        </w:rPr>
        <w:t>Sofosbuvir</w:t>
      </w:r>
      <w:proofErr w:type="spellEnd"/>
      <w:r w:rsidR="00D360AC">
        <w:rPr>
          <w:rFonts w:ascii="Times New Roman" w:hAnsi="Times New Roman" w:cs="Times New Roman"/>
        </w:rPr>
        <w:t xml:space="preserve"> and 97–102 </w:t>
      </w:r>
      <w:r w:rsidRPr="0075650C">
        <w:rPr>
          <w:rFonts w:ascii="Times New Roman" w:hAnsi="Times New Roman" w:cs="Times New Roman"/>
        </w:rPr>
        <w:t xml:space="preserve">% for </w:t>
      </w:r>
      <w:proofErr w:type="spellStart"/>
      <w:r w:rsidRPr="0075650C">
        <w:rPr>
          <w:rFonts w:ascii="Times New Roman" w:hAnsi="Times New Roman" w:cs="Times New Roman"/>
        </w:rPr>
        <w:t>Daclatasvir</w:t>
      </w:r>
      <w:proofErr w:type="spellEnd"/>
      <w:r w:rsidRPr="0075650C">
        <w:rPr>
          <w:rFonts w:ascii="Times New Roman" w:hAnsi="Times New Roman" w:cs="Times New Roman"/>
        </w:rPr>
        <w:t xml:space="preserve">. The assay values </w:t>
      </w:r>
      <w:r w:rsidRPr="0075650C">
        <w:rPr>
          <w:rFonts w:ascii="Times New Roman" w:hAnsi="Times New Roman" w:cs="Times New Roman"/>
        </w:rPr>
        <w:lastRenderedPageBreak/>
        <w:t>obtained for th</w:t>
      </w:r>
      <w:r w:rsidR="000253B9">
        <w:rPr>
          <w:rFonts w:ascii="Times New Roman" w:hAnsi="Times New Roman" w:cs="Times New Roman"/>
        </w:rPr>
        <w:t xml:space="preserve">e marketed formulation were 99.87% for </w:t>
      </w:r>
      <w:proofErr w:type="spellStart"/>
      <w:r w:rsidR="000253B9">
        <w:rPr>
          <w:rFonts w:ascii="Times New Roman" w:hAnsi="Times New Roman" w:cs="Times New Roman"/>
        </w:rPr>
        <w:t>Sofosbuvir</w:t>
      </w:r>
      <w:proofErr w:type="spellEnd"/>
      <w:r w:rsidR="000253B9">
        <w:rPr>
          <w:rFonts w:ascii="Times New Roman" w:hAnsi="Times New Roman" w:cs="Times New Roman"/>
        </w:rPr>
        <w:t xml:space="preserve"> and 99.23 </w:t>
      </w:r>
      <w:r w:rsidRPr="0075650C">
        <w:rPr>
          <w:rFonts w:ascii="Times New Roman" w:hAnsi="Times New Roman" w:cs="Times New Roman"/>
        </w:rPr>
        <w:t xml:space="preserve">% for </w:t>
      </w:r>
      <w:proofErr w:type="spellStart"/>
      <w:r w:rsidRPr="0075650C">
        <w:rPr>
          <w:rFonts w:ascii="Times New Roman" w:hAnsi="Times New Roman" w:cs="Times New Roman"/>
        </w:rPr>
        <w:t>Daclatasvir</w:t>
      </w:r>
      <w:proofErr w:type="spellEnd"/>
      <w:r w:rsidRPr="0075650C">
        <w:rPr>
          <w:rFonts w:ascii="Times New Roman" w:hAnsi="Times New Roman" w:cs="Times New Roman"/>
        </w:rPr>
        <w:t>. The proposed method was found to be simple, reliable, precise, and suitable for routine quality control analysis of combined tablet formulations.</w:t>
      </w:r>
    </w:p>
    <w:p w:rsidR="008850BB" w:rsidRPr="0075650C" w:rsidRDefault="0075650C" w:rsidP="0075650C">
      <w:pPr>
        <w:pStyle w:val="BodyText"/>
        <w:spacing w:line="360" w:lineRule="auto"/>
        <w:rPr>
          <w:rFonts w:ascii="Times New Roman" w:hAnsi="Times New Roman" w:cs="Times New Roman"/>
        </w:rPr>
      </w:pPr>
      <w:r w:rsidRPr="0075650C">
        <w:rPr>
          <w:rFonts w:ascii="Times New Roman" w:hAnsi="Times New Roman" w:cs="Times New Roman"/>
          <w:b/>
          <w:bCs/>
        </w:rPr>
        <w:t>Keywords:</w:t>
      </w:r>
      <w:r w:rsidRPr="0075650C">
        <w:rPr>
          <w:rFonts w:ascii="Times New Roman" w:hAnsi="Times New Roman" w:cs="Times New Roman"/>
        </w:rPr>
        <w:t xml:space="preserve"> Sofosbuvir, Daclatasvir, Hydrotropy, First-Derivative Spectroscopy, Method Validation, UV Spectrophotometry.</w:t>
      </w:r>
    </w:p>
    <w:p w:rsidR="008850BB" w:rsidRPr="007249FB" w:rsidRDefault="0075650C">
      <w:pPr>
        <w:pStyle w:val="Heading2"/>
        <w:rPr>
          <w:rFonts w:ascii="Times New Roman" w:hAnsi="Times New Roman" w:cs="Times New Roman"/>
          <w:b/>
          <w:color w:val="000000" w:themeColor="text1"/>
          <w:sz w:val="28"/>
          <w:szCs w:val="28"/>
        </w:rPr>
      </w:pPr>
      <w:bookmarkStart w:id="2" w:name="introduction"/>
      <w:bookmarkEnd w:id="1"/>
      <w:r w:rsidRPr="007249FB">
        <w:rPr>
          <w:rFonts w:ascii="Times New Roman" w:hAnsi="Times New Roman" w:cs="Times New Roman"/>
          <w:b/>
          <w:color w:val="000000" w:themeColor="text1"/>
          <w:sz w:val="28"/>
          <w:szCs w:val="28"/>
        </w:rPr>
        <w:t>1. Introduction</w:t>
      </w:r>
    </w:p>
    <w:p w:rsidR="008850BB" w:rsidRPr="0075650C" w:rsidRDefault="0075650C" w:rsidP="0075650C">
      <w:pPr>
        <w:pStyle w:val="FirstParagraph"/>
        <w:spacing w:line="360" w:lineRule="auto"/>
        <w:jc w:val="both"/>
        <w:rPr>
          <w:rFonts w:ascii="Times New Roman" w:hAnsi="Times New Roman" w:cs="Times New Roman"/>
        </w:rPr>
      </w:pPr>
      <w:r w:rsidRPr="0075650C">
        <w:rPr>
          <w:rFonts w:ascii="Times New Roman" w:hAnsi="Times New Roman" w:cs="Times New Roman"/>
        </w:rPr>
        <w:t>Hepatitis C virus (HCV) infection remains a major global health concern. Sofosbuvir and Daclatasvir are direct-acting antiviral agents widely used in combination therapy for the treatment of chronic HCV infection. Sofosbuvir acts as an inhibitor of the NS5B RNA-dependent RNA polymerase, while Daclatasvir inhibits the NS5A protein essential for viral replication and assembly.</w:t>
      </w:r>
    </w:p>
    <w:p w:rsidR="008850BB" w:rsidRPr="0075650C" w:rsidRDefault="0075650C" w:rsidP="0075650C">
      <w:pPr>
        <w:pStyle w:val="BodyText"/>
        <w:spacing w:line="360" w:lineRule="auto"/>
        <w:jc w:val="both"/>
        <w:rPr>
          <w:rFonts w:ascii="Times New Roman" w:hAnsi="Times New Roman" w:cs="Times New Roman"/>
        </w:rPr>
      </w:pPr>
      <w:r w:rsidRPr="0075650C">
        <w:rPr>
          <w:rFonts w:ascii="Times New Roman" w:hAnsi="Times New Roman" w:cs="Times New Roman"/>
        </w:rPr>
        <w:t>Simultaneous estimation of these drugs in combined dosage forms is important for quality control and regulatory compliance. Conventional analytical techniques such as HPLC are accurate but require sophisticated instrumentation and higher operational costs. UV spectrophotometry, particularly derivative spectroscopic techniques, offers a simple and economical alternative</w:t>
      </w:r>
      <w:r w:rsidR="003C71B9">
        <w:rPr>
          <w:rFonts w:ascii="Times New Roman" w:hAnsi="Times New Roman" w:cs="Times New Roman"/>
        </w:rPr>
        <w:t xml:space="preserve"> (1-15)</w:t>
      </w:r>
      <w:r w:rsidRPr="0075650C">
        <w:rPr>
          <w:rFonts w:ascii="Times New Roman" w:hAnsi="Times New Roman" w:cs="Times New Roman"/>
        </w:rPr>
        <w:t>. Therefore, the present study aimed to develop and validate a first-derivative UV spectrophotometric method for simultaneous estimation of Sofosbuvir and Daclatasvir using sodium citrate as a hydrotropic solubilizing agent.</w:t>
      </w:r>
    </w:p>
    <w:p w:rsidR="008850BB" w:rsidRPr="007249FB" w:rsidRDefault="0075650C">
      <w:pPr>
        <w:pStyle w:val="Heading2"/>
        <w:rPr>
          <w:rFonts w:ascii="Times New Roman" w:hAnsi="Times New Roman" w:cs="Times New Roman"/>
          <w:b/>
          <w:color w:val="000000" w:themeColor="text1"/>
          <w:sz w:val="28"/>
          <w:szCs w:val="28"/>
        </w:rPr>
      </w:pPr>
      <w:bookmarkStart w:id="3" w:name="materials-and-methods"/>
      <w:bookmarkEnd w:id="2"/>
      <w:r w:rsidRPr="007249FB">
        <w:rPr>
          <w:rFonts w:ascii="Times New Roman" w:hAnsi="Times New Roman" w:cs="Times New Roman"/>
          <w:b/>
          <w:color w:val="000000" w:themeColor="text1"/>
          <w:sz w:val="28"/>
          <w:szCs w:val="28"/>
        </w:rPr>
        <w:t>2. Materials and Methods</w:t>
      </w:r>
    </w:p>
    <w:p w:rsidR="008850BB" w:rsidRPr="007249FB" w:rsidRDefault="0075650C">
      <w:pPr>
        <w:pStyle w:val="Heading3"/>
        <w:rPr>
          <w:rFonts w:ascii="Times New Roman" w:hAnsi="Times New Roman" w:cs="Times New Roman"/>
          <w:b/>
          <w:color w:val="000000" w:themeColor="text1"/>
          <w:sz w:val="24"/>
          <w:szCs w:val="24"/>
        </w:rPr>
      </w:pPr>
      <w:bookmarkStart w:id="4" w:name="materials"/>
      <w:r w:rsidRPr="007249FB">
        <w:rPr>
          <w:rFonts w:ascii="Times New Roman" w:hAnsi="Times New Roman" w:cs="Times New Roman"/>
          <w:b/>
          <w:color w:val="000000" w:themeColor="text1"/>
          <w:sz w:val="24"/>
          <w:szCs w:val="24"/>
        </w:rPr>
        <w:t>2.1 Materials</w:t>
      </w:r>
    </w:p>
    <w:p w:rsidR="008850BB" w:rsidRPr="0075650C" w:rsidRDefault="0075650C" w:rsidP="007249FB">
      <w:pPr>
        <w:pStyle w:val="FirstParagraph"/>
        <w:spacing w:line="360" w:lineRule="auto"/>
        <w:jc w:val="both"/>
        <w:rPr>
          <w:rFonts w:ascii="Times New Roman" w:hAnsi="Times New Roman" w:cs="Times New Roman"/>
        </w:rPr>
      </w:pPr>
      <w:r w:rsidRPr="0075650C">
        <w:rPr>
          <w:rFonts w:ascii="Times New Roman" w:hAnsi="Times New Roman" w:cs="Times New Roman"/>
        </w:rPr>
        <w:t>Sofosbuvir and Daclatasvir reference standards were obtained from Hetero Drugs Pvt. Ltd., Hyderabad. Sodium citrate and other analytical-grade reagents were used throughout the study.</w:t>
      </w:r>
    </w:p>
    <w:p w:rsidR="008850BB" w:rsidRPr="007249FB" w:rsidRDefault="0075650C">
      <w:pPr>
        <w:pStyle w:val="Heading3"/>
        <w:rPr>
          <w:rFonts w:ascii="Times New Roman" w:hAnsi="Times New Roman" w:cs="Times New Roman"/>
          <w:b/>
          <w:color w:val="000000" w:themeColor="text1"/>
          <w:sz w:val="24"/>
          <w:szCs w:val="24"/>
        </w:rPr>
      </w:pPr>
      <w:bookmarkStart w:id="5" w:name="instrumentation"/>
      <w:bookmarkEnd w:id="4"/>
      <w:r w:rsidRPr="007249FB">
        <w:rPr>
          <w:rFonts w:ascii="Times New Roman" w:hAnsi="Times New Roman" w:cs="Times New Roman"/>
          <w:b/>
          <w:color w:val="000000" w:themeColor="text1"/>
          <w:sz w:val="24"/>
          <w:szCs w:val="24"/>
        </w:rPr>
        <w:t>2.2 Instrumentation</w:t>
      </w:r>
    </w:p>
    <w:p w:rsidR="008850BB" w:rsidRPr="007249FB" w:rsidRDefault="0075650C" w:rsidP="007249FB">
      <w:pPr>
        <w:pStyle w:val="FirstParagraph"/>
        <w:spacing w:line="360" w:lineRule="auto"/>
        <w:jc w:val="both"/>
        <w:rPr>
          <w:rFonts w:ascii="Times New Roman" w:hAnsi="Times New Roman" w:cs="Times New Roman"/>
        </w:rPr>
      </w:pPr>
      <w:r w:rsidRPr="007249FB">
        <w:rPr>
          <w:rFonts w:ascii="Times New Roman" w:hAnsi="Times New Roman" w:cs="Times New Roman"/>
        </w:rPr>
        <w:t>The analytical work was carried out using a Shimadzu UV–1800 UV-Visible spectrophotometer equipped with 1 cm quartz cells. Additional instruments included a Shimadzu AUX 220D di</w:t>
      </w:r>
      <w:r w:rsidR="007249FB">
        <w:rPr>
          <w:rFonts w:ascii="Times New Roman" w:hAnsi="Times New Roman" w:cs="Times New Roman"/>
        </w:rPr>
        <w:t xml:space="preserve">gital balance, </w:t>
      </w:r>
      <w:proofErr w:type="spellStart"/>
      <w:r w:rsidR="007249FB">
        <w:rPr>
          <w:rFonts w:ascii="Times New Roman" w:hAnsi="Times New Roman" w:cs="Times New Roman"/>
        </w:rPr>
        <w:t>Elico</w:t>
      </w:r>
      <w:proofErr w:type="spellEnd"/>
      <w:r w:rsidR="007249FB">
        <w:rPr>
          <w:rFonts w:ascii="Times New Roman" w:hAnsi="Times New Roman" w:cs="Times New Roman"/>
        </w:rPr>
        <w:t xml:space="preserve"> pH meter, U</w:t>
      </w:r>
      <w:r w:rsidRPr="007249FB">
        <w:rPr>
          <w:rFonts w:ascii="Times New Roman" w:hAnsi="Times New Roman" w:cs="Times New Roman"/>
        </w:rPr>
        <w:t>ltrasonic cleaner, and FTIR spectrophotometer.</w:t>
      </w:r>
    </w:p>
    <w:p w:rsidR="008850BB" w:rsidRPr="007249FB" w:rsidRDefault="0075650C">
      <w:pPr>
        <w:pStyle w:val="Heading3"/>
        <w:rPr>
          <w:rFonts w:ascii="Times New Roman" w:hAnsi="Times New Roman" w:cs="Times New Roman"/>
          <w:b/>
          <w:color w:val="000000" w:themeColor="text1"/>
        </w:rPr>
      </w:pPr>
      <w:bookmarkStart w:id="6" w:name="preparation-of-standard-solutions"/>
      <w:bookmarkEnd w:id="5"/>
      <w:r w:rsidRPr="007249FB">
        <w:rPr>
          <w:rFonts w:ascii="Times New Roman" w:hAnsi="Times New Roman" w:cs="Times New Roman"/>
          <w:b/>
          <w:color w:val="000000" w:themeColor="text1"/>
        </w:rPr>
        <w:lastRenderedPageBreak/>
        <w:t>2.3 Preparation of Standard Solutions</w:t>
      </w:r>
    </w:p>
    <w:p w:rsidR="008850BB" w:rsidRPr="0075650C" w:rsidRDefault="0075650C" w:rsidP="007249FB">
      <w:pPr>
        <w:pStyle w:val="FirstParagraph"/>
        <w:spacing w:line="360" w:lineRule="auto"/>
        <w:jc w:val="both"/>
        <w:rPr>
          <w:rFonts w:ascii="Times New Roman" w:hAnsi="Times New Roman" w:cs="Times New Roman"/>
        </w:rPr>
      </w:pPr>
      <w:r w:rsidRPr="0075650C">
        <w:rPr>
          <w:rFonts w:ascii="Times New Roman" w:hAnsi="Times New Roman" w:cs="Times New Roman"/>
        </w:rPr>
        <w:t>A stock solution of Sofosbuvir was prepared by dissolving 10 mg of drug in 10 mL of 0.1 M sodium citrate to obtain a concentration of 1000 µg/mL. Similarly, a stock solution of Daclatasvir (1000 µg/mL) was prepared.</w:t>
      </w:r>
    </w:p>
    <w:p w:rsidR="008850BB" w:rsidRPr="0075650C" w:rsidRDefault="0075650C" w:rsidP="007249FB">
      <w:pPr>
        <w:pStyle w:val="BodyText"/>
        <w:spacing w:line="360" w:lineRule="auto"/>
        <w:jc w:val="both"/>
        <w:rPr>
          <w:rFonts w:ascii="Times New Roman" w:hAnsi="Times New Roman" w:cs="Times New Roman"/>
        </w:rPr>
      </w:pPr>
      <w:r w:rsidRPr="0075650C">
        <w:rPr>
          <w:rFonts w:ascii="Times New Roman" w:hAnsi="Times New Roman" w:cs="Times New Roman"/>
        </w:rPr>
        <w:t>Appropriate dilutions were made with 0.1 M sodium citrate to obtain working concentrations within the required analytical range.</w:t>
      </w:r>
    </w:p>
    <w:p w:rsidR="008850BB" w:rsidRPr="00802599" w:rsidRDefault="0075650C">
      <w:pPr>
        <w:pStyle w:val="Heading3"/>
        <w:rPr>
          <w:rFonts w:ascii="Times New Roman" w:hAnsi="Times New Roman" w:cs="Times New Roman"/>
          <w:b/>
          <w:color w:val="000000" w:themeColor="text1"/>
        </w:rPr>
      </w:pPr>
      <w:bookmarkStart w:id="7" w:name="determination-of-λmax"/>
      <w:bookmarkEnd w:id="6"/>
      <w:r w:rsidRPr="00802599">
        <w:rPr>
          <w:rFonts w:ascii="Times New Roman" w:hAnsi="Times New Roman" w:cs="Times New Roman"/>
          <w:b/>
          <w:color w:val="000000" w:themeColor="text1"/>
        </w:rPr>
        <w:t>2.4 Determination of λmax</w:t>
      </w:r>
    </w:p>
    <w:p w:rsidR="008850BB" w:rsidRDefault="0075650C" w:rsidP="00802599">
      <w:pPr>
        <w:pStyle w:val="FirstParagraph"/>
        <w:spacing w:line="360" w:lineRule="auto"/>
        <w:jc w:val="both"/>
        <w:rPr>
          <w:rFonts w:ascii="Times New Roman" w:hAnsi="Times New Roman" w:cs="Times New Roman"/>
        </w:rPr>
      </w:pPr>
      <w:r w:rsidRPr="0075650C">
        <w:rPr>
          <w:rFonts w:ascii="Times New Roman" w:hAnsi="Times New Roman" w:cs="Times New Roman"/>
        </w:rPr>
        <w:t>Standard solutions of Sofosbuvir and Daclatasvir were scanned between 200–400 nm against a reagent blank. The absorption maxima were found at 261 nm for Sofosbuvir and 302 nm for Daclatasvir. First-derivative spectra were generated and suitable zero-crossing wavelengths were selected for simultaneous estimation.</w:t>
      </w:r>
      <w:r w:rsidR="00352702">
        <w:rPr>
          <w:rFonts w:ascii="Times New Roman" w:hAnsi="Times New Roman" w:cs="Times New Roman"/>
        </w:rPr>
        <w:t xml:space="preserve"> (FIG-01)</w:t>
      </w:r>
    </w:p>
    <w:p w:rsidR="00352702" w:rsidRDefault="00352702" w:rsidP="00352702">
      <w:pPr>
        <w:pStyle w:val="BodyText"/>
      </w:pPr>
      <w:r w:rsidRPr="004E6A84">
        <w:rPr>
          <w:noProof/>
          <w:lang w:val="en-IN" w:eastAsia="en-IN"/>
        </w:rPr>
        <w:drawing>
          <wp:inline distT="0" distB="0" distL="0" distR="0" wp14:anchorId="507B7792" wp14:editId="2BA6FE92">
            <wp:extent cx="5943600" cy="2949322"/>
            <wp:effectExtent l="19050" t="19050" r="0" b="3810"/>
            <wp:docPr id="3" name="Picture 3" descr="I:\ \PARU\overlay of sof d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 \PARU\overlay of sof dac.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943600" cy="2949322"/>
                    </a:xfrm>
                    <a:prstGeom prst="rect">
                      <a:avLst/>
                    </a:prstGeom>
                    <a:noFill/>
                    <a:ln w="19050">
                      <a:solidFill>
                        <a:schemeClr val="tx1"/>
                      </a:solidFill>
                    </a:ln>
                  </pic:spPr>
                </pic:pic>
              </a:graphicData>
            </a:graphic>
          </wp:inline>
        </w:drawing>
      </w:r>
    </w:p>
    <w:p w:rsidR="00352702" w:rsidRDefault="00352702" w:rsidP="00352702">
      <w:pPr>
        <w:pStyle w:val="BodyText"/>
      </w:pPr>
    </w:p>
    <w:p w:rsidR="00352702" w:rsidRPr="00D360AC" w:rsidRDefault="00352702" w:rsidP="00352702">
      <w:pPr>
        <w:pStyle w:val="BodyTextIndent"/>
        <w:spacing w:line="360" w:lineRule="auto"/>
        <w:ind w:left="0"/>
        <w:jc w:val="both"/>
        <w:rPr>
          <w:rFonts w:ascii="Times New Roman" w:hAnsi="Times New Roman" w:cs="Times New Roman"/>
          <w:b/>
          <w:lang w:eastAsia="en-IN"/>
        </w:rPr>
      </w:pPr>
      <w:r w:rsidRPr="00D360AC">
        <w:rPr>
          <w:rFonts w:ascii="Times New Roman" w:hAnsi="Times New Roman" w:cs="Times New Roman"/>
          <w:b/>
        </w:rPr>
        <w:t>Fig</w:t>
      </w:r>
      <w:r w:rsidR="00D360AC" w:rsidRPr="00D360AC">
        <w:rPr>
          <w:rFonts w:ascii="Times New Roman" w:hAnsi="Times New Roman" w:cs="Times New Roman"/>
          <w:b/>
        </w:rPr>
        <w:t>-</w:t>
      </w:r>
      <w:r w:rsidRPr="00D360AC">
        <w:rPr>
          <w:rFonts w:ascii="Times New Roman" w:hAnsi="Times New Roman" w:cs="Times New Roman"/>
          <w:b/>
        </w:rPr>
        <w:t xml:space="preserve">:01- </w:t>
      </w:r>
      <w:r w:rsidRPr="00D360AC">
        <w:rPr>
          <w:rFonts w:ascii="Times New Roman" w:hAnsi="Times New Roman" w:cs="Times New Roman"/>
          <w:b/>
          <w:bCs/>
        </w:rPr>
        <w:t>overlain spectra and se</w:t>
      </w:r>
      <w:r w:rsidR="002F0580" w:rsidRPr="00D360AC">
        <w:rPr>
          <w:rFonts w:ascii="Times New Roman" w:hAnsi="Times New Roman" w:cs="Times New Roman"/>
          <w:b/>
          <w:bCs/>
        </w:rPr>
        <w:t>lection of wavelength of SOF-261 nm and DAC-302</w:t>
      </w:r>
      <w:r w:rsidRPr="00D360AC">
        <w:rPr>
          <w:rFonts w:ascii="Times New Roman" w:hAnsi="Times New Roman" w:cs="Times New Roman"/>
          <w:b/>
          <w:bCs/>
        </w:rPr>
        <w:t xml:space="preserve"> nm.</w:t>
      </w:r>
    </w:p>
    <w:p w:rsidR="00352702" w:rsidRPr="00352702" w:rsidRDefault="00352702" w:rsidP="00352702">
      <w:pPr>
        <w:pStyle w:val="BodyText"/>
      </w:pPr>
    </w:p>
    <w:p w:rsidR="008850BB" w:rsidRPr="00802599" w:rsidRDefault="0075650C">
      <w:pPr>
        <w:pStyle w:val="Heading3"/>
        <w:rPr>
          <w:rFonts w:ascii="Times New Roman" w:hAnsi="Times New Roman" w:cs="Times New Roman"/>
          <w:b/>
          <w:color w:val="000000" w:themeColor="text1"/>
        </w:rPr>
      </w:pPr>
      <w:bookmarkStart w:id="8" w:name="X8b176019515ae0e936728853ae2558de58db3d5"/>
      <w:bookmarkEnd w:id="7"/>
      <w:r w:rsidRPr="00802599">
        <w:rPr>
          <w:rFonts w:ascii="Times New Roman" w:hAnsi="Times New Roman" w:cs="Times New Roman"/>
          <w:b/>
          <w:color w:val="000000" w:themeColor="text1"/>
        </w:rPr>
        <w:t>2.5 First-Derivative Spectrophotometric Method</w:t>
      </w:r>
    </w:p>
    <w:p w:rsidR="00D360AC" w:rsidRDefault="0075650C" w:rsidP="00D360AC">
      <w:pPr>
        <w:pStyle w:val="FirstParagraph"/>
        <w:spacing w:line="360" w:lineRule="auto"/>
        <w:jc w:val="both"/>
        <w:rPr>
          <w:rFonts w:ascii="Times New Roman" w:hAnsi="Times New Roman" w:cs="Times New Roman"/>
        </w:rPr>
      </w:pPr>
      <w:r w:rsidRPr="0075650C">
        <w:rPr>
          <w:rFonts w:ascii="Times New Roman" w:hAnsi="Times New Roman" w:cs="Times New Roman"/>
        </w:rPr>
        <w:t xml:space="preserve">Aliquots of standard stock solutions were diluted to obtain concentrations of 5–30 µg/mL for Sofosbuvir and 2–12 µg/mL for Daclatasvir. The spectra were recorded and transformed into </w:t>
      </w:r>
      <w:r w:rsidRPr="0075650C">
        <w:rPr>
          <w:rFonts w:ascii="Times New Roman" w:hAnsi="Times New Roman" w:cs="Times New Roman"/>
        </w:rPr>
        <w:lastRenderedPageBreak/>
        <w:t>first-derivative mode. Quantification was pe</w:t>
      </w:r>
      <w:r w:rsidR="002F0580">
        <w:rPr>
          <w:rFonts w:ascii="Times New Roman" w:hAnsi="Times New Roman" w:cs="Times New Roman"/>
        </w:rPr>
        <w:t xml:space="preserve">rformed at 246 nm for </w:t>
      </w:r>
      <w:proofErr w:type="spellStart"/>
      <w:r w:rsidR="002F0580">
        <w:rPr>
          <w:rFonts w:ascii="Times New Roman" w:hAnsi="Times New Roman" w:cs="Times New Roman"/>
        </w:rPr>
        <w:t>sofosbuvir</w:t>
      </w:r>
      <w:proofErr w:type="spellEnd"/>
      <w:r w:rsidR="002F0580">
        <w:rPr>
          <w:rFonts w:ascii="Times New Roman" w:hAnsi="Times New Roman" w:cs="Times New Roman"/>
        </w:rPr>
        <w:t xml:space="preserve"> and 324 nm for </w:t>
      </w:r>
      <w:proofErr w:type="spellStart"/>
      <w:r w:rsidR="00D360AC">
        <w:rPr>
          <w:rFonts w:ascii="Times New Roman" w:hAnsi="Times New Roman" w:cs="Times New Roman"/>
        </w:rPr>
        <w:t>Daclatasvir</w:t>
      </w:r>
      <w:proofErr w:type="spellEnd"/>
      <w:r w:rsidR="00D360AC">
        <w:rPr>
          <w:rFonts w:ascii="Times New Roman" w:hAnsi="Times New Roman" w:cs="Times New Roman"/>
        </w:rPr>
        <w:t>. (FIG-02).</w:t>
      </w:r>
    </w:p>
    <w:p w:rsidR="00D360AC" w:rsidRPr="00802599" w:rsidRDefault="00D360AC" w:rsidP="00D360AC">
      <w:pPr>
        <w:pStyle w:val="Heading2"/>
        <w:rPr>
          <w:rFonts w:ascii="Times New Roman" w:hAnsi="Times New Roman" w:cs="Times New Roman"/>
          <w:b/>
          <w:color w:val="000000" w:themeColor="text1"/>
          <w:sz w:val="28"/>
          <w:szCs w:val="28"/>
        </w:rPr>
      </w:pPr>
      <w:r w:rsidRPr="00802599">
        <w:rPr>
          <w:rFonts w:ascii="Times New Roman" w:hAnsi="Times New Roman" w:cs="Times New Roman"/>
          <w:b/>
          <w:color w:val="000000" w:themeColor="text1"/>
          <w:sz w:val="28"/>
          <w:szCs w:val="28"/>
        </w:rPr>
        <w:t>3. Method Validation</w:t>
      </w:r>
    </w:p>
    <w:p w:rsidR="00D360AC" w:rsidRPr="0075650C" w:rsidRDefault="00D360AC" w:rsidP="00D360AC">
      <w:pPr>
        <w:pStyle w:val="FirstParagraph"/>
        <w:rPr>
          <w:rFonts w:ascii="Times New Roman" w:hAnsi="Times New Roman" w:cs="Times New Roman"/>
        </w:rPr>
      </w:pPr>
      <w:r w:rsidRPr="0075650C">
        <w:rPr>
          <w:rFonts w:ascii="Times New Roman" w:hAnsi="Times New Roman" w:cs="Times New Roman"/>
        </w:rPr>
        <w:t>The method was validated according to ICH guidelines for the following parameters:</w:t>
      </w:r>
      <w:r w:rsidR="003C71B9">
        <w:rPr>
          <w:rFonts w:ascii="Times New Roman" w:hAnsi="Times New Roman" w:cs="Times New Roman"/>
        </w:rPr>
        <w:t xml:space="preserve"> (16-20).</w:t>
      </w:r>
      <w:bookmarkStart w:id="9" w:name="_GoBack"/>
      <w:bookmarkEnd w:id="9"/>
    </w:p>
    <w:p w:rsidR="00D360AC" w:rsidRPr="00802599" w:rsidRDefault="00D360AC" w:rsidP="00D360AC">
      <w:pPr>
        <w:pStyle w:val="Heading3"/>
        <w:rPr>
          <w:rFonts w:ascii="Times New Roman" w:hAnsi="Times New Roman" w:cs="Times New Roman"/>
          <w:b/>
          <w:sz w:val="24"/>
          <w:szCs w:val="24"/>
        </w:rPr>
      </w:pPr>
      <w:bookmarkStart w:id="10" w:name="linearity"/>
      <w:r w:rsidRPr="00802599">
        <w:rPr>
          <w:rFonts w:ascii="Times New Roman" w:hAnsi="Times New Roman" w:cs="Times New Roman"/>
          <w:b/>
          <w:sz w:val="24"/>
          <w:szCs w:val="24"/>
        </w:rPr>
        <w:t>3.1 Linearity</w:t>
      </w:r>
    </w:p>
    <w:p w:rsidR="00D360AC" w:rsidRPr="0075650C" w:rsidRDefault="00D360AC" w:rsidP="00D360AC">
      <w:pPr>
        <w:pStyle w:val="FirstParagraph"/>
        <w:rPr>
          <w:rFonts w:ascii="Times New Roman" w:hAnsi="Times New Roman" w:cs="Times New Roman"/>
        </w:rPr>
      </w:pPr>
      <w:r w:rsidRPr="0075650C">
        <w:rPr>
          <w:rFonts w:ascii="Times New Roman" w:hAnsi="Times New Roman" w:cs="Times New Roman"/>
        </w:rPr>
        <w:t>The method exhibited excellent linearity over the concentration ranges of:</w:t>
      </w:r>
    </w:p>
    <w:p w:rsidR="00D360AC" w:rsidRPr="0075650C" w:rsidRDefault="00D360AC" w:rsidP="00D360AC">
      <w:pPr>
        <w:pStyle w:val="Compact"/>
        <w:numPr>
          <w:ilvl w:val="0"/>
          <w:numId w:val="2"/>
        </w:numPr>
        <w:rPr>
          <w:rFonts w:ascii="Times New Roman" w:hAnsi="Times New Roman" w:cs="Times New Roman"/>
        </w:rPr>
      </w:pPr>
      <w:proofErr w:type="spellStart"/>
      <w:r w:rsidRPr="0075650C">
        <w:rPr>
          <w:rFonts w:ascii="Times New Roman" w:hAnsi="Times New Roman" w:cs="Times New Roman"/>
        </w:rPr>
        <w:t>Sofosbuvir</w:t>
      </w:r>
      <w:proofErr w:type="spellEnd"/>
      <w:r w:rsidRPr="0075650C">
        <w:rPr>
          <w:rFonts w:ascii="Times New Roman" w:hAnsi="Times New Roman" w:cs="Times New Roman"/>
        </w:rPr>
        <w:t>: 5–30 µg/mL</w:t>
      </w:r>
    </w:p>
    <w:p w:rsidR="00D360AC" w:rsidRPr="0075650C" w:rsidRDefault="00D360AC" w:rsidP="00D360AC">
      <w:pPr>
        <w:pStyle w:val="Compact"/>
        <w:numPr>
          <w:ilvl w:val="0"/>
          <w:numId w:val="2"/>
        </w:numPr>
        <w:rPr>
          <w:rFonts w:ascii="Times New Roman" w:hAnsi="Times New Roman" w:cs="Times New Roman"/>
        </w:rPr>
      </w:pPr>
      <w:proofErr w:type="spellStart"/>
      <w:r w:rsidRPr="0075650C">
        <w:rPr>
          <w:rFonts w:ascii="Times New Roman" w:hAnsi="Times New Roman" w:cs="Times New Roman"/>
        </w:rPr>
        <w:t>Daclatasvir</w:t>
      </w:r>
      <w:proofErr w:type="spellEnd"/>
      <w:r w:rsidRPr="0075650C">
        <w:rPr>
          <w:rFonts w:ascii="Times New Roman" w:hAnsi="Times New Roman" w:cs="Times New Roman"/>
        </w:rPr>
        <w:t>: 2–12 µg/mL</w:t>
      </w:r>
    </w:p>
    <w:p w:rsidR="00D360AC" w:rsidRPr="0075650C" w:rsidRDefault="00D360AC" w:rsidP="00D360AC">
      <w:pPr>
        <w:pStyle w:val="FirstParagraph"/>
        <w:rPr>
          <w:rFonts w:ascii="Times New Roman" w:hAnsi="Times New Roman" w:cs="Times New Roman"/>
        </w:rPr>
      </w:pPr>
      <w:r w:rsidRPr="0075650C">
        <w:rPr>
          <w:rFonts w:ascii="Times New Roman" w:hAnsi="Times New Roman" w:cs="Times New Roman"/>
        </w:rPr>
        <w:t>Regression equations:</w:t>
      </w:r>
    </w:p>
    <w:p w:rsidR="00D360AC" w:rsidRPr="0075650C" w:rsidRDefault="00D360AC" w:rsidP="00D360AC">
      <w:pPr>
        <w:pStyle w:val="BodyText"/>
        <w:rPr>
          <w:rFonts w:ascii="Times New Roman" w:hAnsi="Times New Roman" w:cs="Times New Roman"/>
        </w:rPr>
      </w:pPr>
      <w:proofErr w:type="spellStart"/>
      <w:r w:rsidRPr="0075650C">
        <w:rPr>
          <w:rFonts w:ascii="Times New Roman" w:hAnsi="Times New Roman" w:cs="Times New Roman"/>
          <w:b/>
          <w:bCs/>
        </w:rPr>
        <w:t>Sofosbuvir</w:t>
      </w:r>
      <w:proofErr w:type="spellEnd"/>
      <w:r w:rsidRPr="0075650C">
        <w:rPr>
          <w:rFonts w:ascii="Times New Roman" w:hAnsi="Times New Roman" w:cs="Times New Roman"/>
          <w:b/>
          <w:bCs/>
        </w:rPr>
        <w:t>:</w:t>
      </w:r>
      <w:r w:rsidRPr="0075650C">
        <w:rPr>
          <w:rFonts w:ascii="Times New Roman" w:hAnsi="Times New Roman" w:cs="Times New Roman"/>
        </w:rPr>
        <w:t xml:space="preserve"> y = 0.000594x + 0.000185</w:t>
      </w:r>
      <w:r w:rsidRPr="0075650C">
        <w:rPr>
          <w:rFonts w:ascii="Times New Roman" w:hAnsi="Times New Roman" w:cs="Times New Roman"/>
        </w:rPr>
        <w:br/>
        <w:t>(r² = 0.9992)</w:t>
      </w:r>
    </w:p>
    <w:p w:rsidR="00D360AC" w:rsidRPr="0075650C" w:rsidRDefault="00D360AC" w:rsidP="00D360AC">
      <w:pPr>
        <w:pStyle w:val="BodyText"/>
        <w:rPr>
          <w:rFonts w:ascii="Times New Roman" w:hAnsi="Times New Roman" w:cs="Times New Roman"/>
        </w:rPr>
      </w:pPr>
      <w:proofErr w:type="spellStart"/>
      <w:r w:rsidRPr="0075650C">
        <w:rPr>
          <w:rFonts w:ascii="Times New Roman" w:hAnsi="Times New Roman" w:cs="Times New Roman"/>
          <w:b/>
          <w:bCs/>
        </w:rPr>
        <w:t>Daclatasvir</w:t>
      </w:r>
      <w:proofErr w:type="spellEnd"/>
      <w:r w:rsidRPr="0075650C">
        <w:rPr>
          <w:rFonts w:ascii="Times New Roman" w:hAnsi="Times New Roman" w:cs="Times New Roman"/>
          <w:b/>
          <w:bCs/>
        </w:rPr>
        <w:t>:</w:t>
      </w:r>
      <w:r w:rsidRPr="0075650C">
        <w:rPr>
          <w:rFonts w:ascii="Times New Roman" w:hAnsi="Times New Roman" w:cs="Times New Roman"/>
        </w:rPr>
        <w:t xml:space="preserve"> y = –0.0018x + 0.0020</w:t>
      </w:r>
      <w:r w:rsidRPr="0075650C">
        <w:rPr>
          <w:rFonts w:ascii="Times New Roman" w:hAnsi="Times New Roman" w:cs="Times New Roman"/>
        </w:rPr>
        <w:br/>
        <w:t>(r² = 0.9993)</w:t>
      </w:r>
    </w:p>
    <w:bookmarkEnd w:id="10"/>
    <w:p w:rsidR="00D360AC" w:rsidRPr="00D360AC" w:rsidRDefault="00D360AC" w:rsidP="00D360AC">
      <w:pPr>
        <w:pStyle w:val="BodyText"/>
      </w:pPr>
    </w:p>
    <w:p w:rsidR="004A5FA6" w:rsidRDefault="00D360AC" w:rsidP="004A5FA6">
      <w:pPr>
        <w:pStyle w:val="BodyText"/>
      </w:pPr>
      <w:r>
        <w:rPr>
          <w:noProof/>
          <w:lang w:val="en-IN" w:eastAsia="en-IN"/>
        </w:rPr>
        <w:drawing>
          <wp:inline distT="0" distB="0" distL="0" distR="0" wp14:anchorId="4080FB69" wp14:editId="2F39B2DA">
            <wp:extent cx="52578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2819400"/>
                    </a:xfrm>
                    <a:prstGeom prst="rect">
                      <a:avLst/>
                    </a:prstGeom>
                    <a:noFill/>
                    <a:ln>
                      <a:noFill/>
                    </a:ln>
                  </pic:spPr>
                </pic:pic>
              </a:graphicData>
            </a:graphic>
          </wp:inline>
        </w:drawing>
      </w:r>
    </w:p>
    <w:p w:rsidR="00D360AC" w:rsidRPr="00D360AC" w:rsidRDefault="00D360AC" w:rsidP="00D360AC">
      <w:pPr>
        <w:spacing w:line="360" w:lineRule="auto"/>
        <w:jc w:val="both"/>
        <w:rPr>
          <w:rFonts w:ascii="Times New Roman" w:hAnsi="Times New Roman"/>
          <w:b/>
          <w:bCs/>
          <w:iCs/>
        </w:rPr>
      </w:pPr>
      <w:r w:rsidRPr="00D360AC">
        <w:rPr>
          <w:rFonts w:ascii="Times New Roman" w:hAnsi="Times New Roman" w:cs="Times New Roman"/>
          <w:b/>
        </w:rPr>
        <w:t xml:space="preserve">Fig-02- </w:t>
      </w:r>
      <w:r w:rsidRPr="00D360AC">
        <w:rPr>
          <w:rFonts w:ascii="Times New Roman" w:hAnsi="Times New Roman"/>
          <w:b/>
          <w:bCs/>
          <w:iCs/>
        </w:rPr>
        <w:t xml:space="preserve">First derivative of </w:t>
      </w:r>
      <w:proofErr w:type="spellStart"/>
      <w:proofErr w:type="gramStart"/>
      <w:r w:rsidRPr="00D360AC">
        <w:rPr>
          <w:rFonts w:ascii="Times New Roman" w:hAnsi="Times New Roman"/>
          <w:b/>
          <w:bCs/>
          <w:iCs/>
        </w:rPr>
        <w:t>sof</w:t>
      </w:r>
      <w:proofErr w:type="spellEnd"/>
      <w:proofErr w:type="gramEnd"/>
      <w:r w:rsidRPr="00D360AC">
        <w:rPr>
          <w:rFonts w:ascii="Times New Roman" w:hAnsi="Times New Roman"/>
          <w:b/>
          <w:bCs/>
          <w:iCs/>
        </w:rPr>
        <w:t xml:space="preserve"> (5-30</w:t>
      </w:r>
      <w:r w:rsidRPr="00D360AC">
        <w:rPr>
          <w:rFonts w:ascii="Times New Roman" w:hAnsi="Times New Roman" w:cs="Times New Roman"/>
          <w:b/>
        </w:rPr>
        <w:t xml:space="preserve"> µ</w:t>
      </w:r>
      <w:r w:rsidRPr="00D360AC">
        <w:rPr>
          <w:rFonts w:ascii="Times New Roman" w:hAnsi="Times New Roman"/>
          <w:b/>
        </w:rPr>
        <w:t>g/mL)</w:t>
      </w:r>
      <w:r w:rsidRPr="00D360AC">
        <w:rPr>
          <w:rFonts w:ascii="Times New Roman" w:hAnsi="Times New Roman"/>
          <w:b/>
          <w:bCs/>
          <w:iCs/>
        </w:rPr>
        <w:t xml:space="preserve"> and </w:t>
      </w:r>
      <w:proofErr w:type="spellStart"/>
      <w:r w:rsidRPr="00D360AC">
        <w:rPr>
          <w:rFonts w:ascii="Times New Roman" w:hAnsi="Times New Roman"/>
          <w:b/>
          <w:bCs/>
          <w:iCs/>
        </w:rPr>
        <w:t>dac</w:t>
      </w:r>
      <w:proofErr w:type="spellEnd"/>
      <w:r w:rsidRPr="00D360AC">
        <w:rPr>
          <w:rFonts w:ascii="Times New Roman" w:hAnsi="Times New Roman"/>
          <w:b/>
          <w:bCs/>
          <w:iCs/>
        </w:rPr>
        <w:t xml:space="preserve"> (2-12 </w:t>
      </w:r>
      <w:r w:rsidRPr="00D360AC">
        <w:rPr>
          <w:rFonts w:ascii="Times New Roman" w:hAnsi="Times New Roman" w:cs="Times New Roman"/>
          <w:b/>
        </w:rPr>
        <w:t>µ</w:t>
      </w:r>
      <w:r w:rsidRPr="00D360AC">
        <w:rPr>
          <w:rFonts w:ascii="Times New Roman" w:hAnsi="Times New Roman"/>
          <w:b/>
        </w:rPr>
        <w:t>g/mL)</w:t>
      </w:r>
    </w:p>
    <w:p w:rsidR="00D360AC" w:rsidRPr="00D360AC" w:rsidRDefault="00D360AC" w:rsidP="004A5FA6">
      <w:pPr>
        <w:pStyle w:val="BodyText"/>
        <w:rPr>
          <w:rFonts w:ascii="Times New Roman" w:hAnsi="Times New Roman" w:cs="Times New Roman"/>
        </w:rPr>
      </w:pPr>
    </w:p>
    <w:p w:rsidR="008850BB" w:rsidRPr="00EE477C" w:rsidRDefault="0075650C">
      <w:pPr>
        <w:pStyle w:val="Heading3"/>
        <w:rPr>
          <w:rFonts w:ascii="Times New Roman" w:hAnsi="Times New Roman" w:cs="Times New Roman"/>
          <w:b/>
          <w:color w:val="000000" w:themeColor="text1"/>
          <w:sz w:val="24"/>
          <w:szCs w:val="24"/>
        </w:rPr>
      </w:pPr>
      <w:bookmarkStart w:id="11" w:name="accuracy"/>
      <w:bookmarkStart w:id="12" w:name="method-validation"/>
      <w:bookmarkEnd w:id="3"/>
      <w:bookmarkEnd w:id="8"/>
      <w:r w:rsidRPr="00EE477C">
        <w:rPr>
          <w:rFonts w:ascii="Times New Roman" w:hAnsi="Times New Roman" w:cs="Times New Roman"/>
          <w:b/>
          <w:color w:val="000000" w:themeColor="text1"/>
          <w:sz w:val="24"/>
          <w:szCs w:val="24"/>
        </w:rPr>
        <w:t>3.2 Accuracy</w:t>
      </w:r>
    </w:p>
    <w:p w:rsidR="008850BB" w:rsidRPr="0075650C" w:rsidRDefault="0075650C">
      <w:pPr>
        <w:pStyle w:val="FirstParagraph"/>
        <w:rPr>
          <w:rFonts w:ascii="Times New Roman" w:hAnsi="Times New Roman" w:cs="Times New Roman"/>
        </w:rPr>
      </w:pPr>
      <w:r w:rsidRPr="0075650C">
        <w:rPr>
          <w:rFonts w:ascii="Times New Roman" w:hAnsi="Times New Roman" w:cs="Times New Roman"/>
        </w:rPr>
        <w:t>Accuracy was evaluated by standard addition at 80%, 100%, and 120% levels.</w:t>
      </w:r>
    </w:p>
    <w:p w:rsidR="008850BB" w:rsidRPr="00EE477C" w:rsidRDefault="0075650C">
      <w:pPr>
        <w:pStyle w:val="Heading4"/>
        <w:rPr>
          <w:rFonts w:ascii="Times New Roman" w:hAnsi="Times New Roman" w:cs="Times New Roman"/>
          <w:color w:val="000000" w:themeColor="text1"/>
        </w:rPr>
      </w:pPr>
      <w:bookmarkStart w:id="13" w:name="sofosbuvir"/>
      <w:r w:rsidRPr="00EE477C">
        <w:rPr>
          <w:rFonts w:ascii="Times New Roman" w:hAnsi="Times New Roman" w:cs="Times New Roman"/>
          <w:color w:val="000000" w:themeColor="text1"/>
        </w:rPr>
        <w:lastRenderedPageBreak/>
        <w:t>Sofosbuvir</w:t>
      </w:r>
    </w:p>
    <w:tbl>
      <w:tblPr>
        <w:tblStyle w:val="Table"/>
        <w:tblW w:w="0" w:type="auto"/>
        <w:tblLook w:val="0020" w:firstRow="1" w:lastRow="0" w:firstColumn="0" w:lastColumn="0" w:noHBand="0" w:noVBand="0"/>
      </w:tblPr>
      <w:tblGrid>
        <w:gridCol w:w="2162"/>
        <w:gridCol w:w="1396"/>
      </w:tblGrid>
      <w:tr w:rsidR="008850BB" w:rsidRPr="0075650C" w:rsidTr="008850BB">
        <w:trPr>
          <w:cnfStyle w:val="100000000000" w:firstRow="1" w:lastRow="0" w:firstColumn="0" w:lastColumn="0" w:oddVBand="0" w:evenVBand="0" w:oddHBand="0" w:evenHBand="0" w:firstRowFirstColumn="0" w:firstRowLastColumn="0" w:lastRowFirstColumn="0" w:lastRowLastColumn="0"/>
          <w:tblHeader/>
        </w:trPr>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Recovery Level (%)</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 Recovery</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80</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98</w:t>
            </w:r>
            <w:r w:rsidR="0075650C" w:rsidRPr="0075650C">
              <w:rPr>
                <w:rFonts w:ascii="Times New Roman" w:hAnsi="Times New Roman" w:cs="Times New Roman"/>
              </w:rPr>
              <w:t>.50</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100</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100.22</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120</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100.19</w:t>
            </w:r>
          </w:p>
        </w:tc>
      </w:tr>
    </w:tbl>
    <w:p w:rsidR="008850BB" w:rsidRPr="00EE477C" w:rsidRDefault="0075650C">
      <w:pPr>
        <w:pStyle w:val="Heading4"/>
        <w:rPr>
          <w:rFonts w:ascii="Times New Roman" w:hAnsi="Times New Roman" w:cs="Times New Roman"/>
          <w:color w:val="000000" w:themeColor="text1"/>
        </w:rPr>
      </w:pPr>
      <w:bookmarkStart w:id="14" w:name="daclatasvir"/>
      <w:bookmarkEnd w:id="13"/>
      <w:r w:rsidRPr="00EE477C">
        <w:rPr>
          <w:rFonts w:ascii="Times New Roman" w:hAnsi="Times New Roman" w:cs="Times New Roman"/>
          <w:color w:val="000000" w:themeColor="text1"/>
        </w:rPr>
        <w:t>Daclatasvir</w:t>
      </w:r>
    </w:p>
    <w:tbl>
      <w:tblPr>
        <w:tblStyle w:val="Table"/>
        <w:tblW w:w="0" w:type="auto"/>
        <w:tblLook w:val="0020" w:firstRow="1" w:lastRow="0" w:firstColumn="0" w:lastColumn="0" w:noHBand="0" w:noVBand="0"/>
      </w:tblPr>
      <w:tblGrid>
        <w:gridCol w:w="2162"/>
        <w:gridCol w:w="1396"/>
      </w:tblGrid>
      <w:tr w:rsidR="008850BB" w:rsidRPr="0075650C" w:rsidTr="008850BB">
        <w:trPr>
          <w:cnfStyle w:val="100000000000" w:firstRow="1" w:lastRow="0" w:firstColumn="0" w:lastColumn="0" w:oddVBand="0" w:evenVBand="0" w:oddHBand="0" w:evenHBand="0" w:firstRowFirstColumn="0" w:firstRowLastColumn="0" w:lastRowFirstColumn="0" w:lastRowLastColumn="0"/>
          <w:tblHeader/>
        </w:trPr>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Recovery Level (%)</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 Recovery</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80</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97.15</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100</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101.18</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120</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102.25</w:t>
            </w:r>
          </w:p>
        </w:tc>
      </w:tr>
    </w:tbl>
    <w:p w:rsidR="008850BB" w:rsidRPr="0075650C" w:rsidRDefault="0075650C">
      <w:pPr>
        <w:pStyle w:val="BodyText"/>
        <w:rPr>
          <w:rFonts w:ascii="Times New Roman" w:hAnsi="Times New Roman" w:cs="Times New Roman"/>
        </w:rPr>
      </w:pPr>
      <w:r w:rsidRPr="0075650C">
        <w:rPr>
          <w:rFonts w:ascii="Times New Roman" w:hAnsi="Times New Roman" w:cs="Times New Roman"/>
        </w:rPr>
        <w:t>The recovery results confirmed the accuracy of the proposed method.</w:t>
      </w:r>
    </w:p>
    <w:p w:rsidR="008850BB" w:rsidRPr="00EE477C" w:rsidRDefault="0075650C">
      <w:pPr>
        <w:pStyle w:val="Heading3"/>
        <w:rPr>
          <w:rFonts w:ascii="Times New Roman" w:hAnsi="Times New Roman" w:cs="Times New Roman"/>
          <w:color w:val="000000" w:themeColor="text1"/>
          <w:sz w:val="24"/>
          <w:szCs w:val="24"/>
        </w:rPr>
      </w:pPr>
      <w:bookmarkStart w:id="15" w:name="precision"/>
      <w:bookmarkEnd w:id="11"/>
      <w:bookmarkEnd w:id="14"/>
      <w:r w:rsidRPr="00EE477C">
        <w:rPr>
          <w:rFonts w:ascii="Times New Roman" w:hAnsi="Times New Roman" w:cs="Times New Roman"/>
          <w:color w:val="000000" w:themeColor="text1"/>
          <w:sz w:val="24"/>
          <w:szCs w:val="24"/>
        </w:rPr>
        <w:t>3.3 Precision</w:t>
      </w:r>
    </w:p>
    <w:p w:rsidR="008850BB" w:rsidRPr="00EE477C" w:rsidRDefault="0075650C">
      <w:pPr>
        <w:pStyle w:val="Heading4"/>
        <w:rPr>
          <w:rFonts w:ascii="Times New Roman" w:hAnsi="Times New Roman" w:cs="Times New Roman"/>
          <w:color w:val="000000" w:themeColor="text1"/>
        </w:rPr>
      </w:pPr>
      <w:bookmarkStart w:id="16" w:name="intraday-precision"/>
      <w:r w:rsidRPr="00EE477C">
        <w:rPr>
          <w:rFonts w:ascii="Times New Roman" w:hAnsi="Times New Roman" w:cs="Times New Roman"/>
          <w:color w:val="000000" w:themeColor="text1"/>
        </w:rPr>
        <w:t>Intraday Precision</w:t>
      </w:r>
    </w:p>
    <w:tbl>
      <w:tblPr>
        <w:tblStyle w:val="Table"/>
        <w:tblW w:w="0" w:type="auto"/>
        <w:tblLook w:val="0020" w:firstRow="1" w:lastRow="0" w:firstColumn="0" w:lastColumn="0" w:noHBand="0" w:noVBand="0"/>
      </w:tblPr>
      <w:tblGrid>
        <w:gridCol w:w="1309"/>
        <w:gridCol w:w="2454"/>
        <w:gridCol w:w="883"/>
      </w:tblGrid>
      <w:tr w:rsidR="008850BB" w:rsidRPr="0075650C" w:rsidTr="008850BB">
        <w:trPr>
          <w:cnfStyle w:val="100000000000" w:firstRow="1" w:lastRow="0" w:firstColumn="0" w:lastColumn="0" w:oddVBand="0" w:evenVBand="0" w:oddHBand="0" w:evenHBand="0" w:firstRowFirstColumn="0" w:firstRowLastColumn="0" w:lastRowFirstColumn="0" w:lastRowLastColumn="0"/>
          <w:tblHeader/>
        </w:trPr>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Drug</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Concentration (µg/mL)</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%RSD</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Sofosbuvir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5</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0.542</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Sofosbuvir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15</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0.65</w:t>
            </w:r>
            <w:r w:rsidR="0075650C" w:rsidRPr="0075650C">
              <w:rPr>
                <w:rFonts w:ascii="Times New Roman" w:hAnsi="Times New Roman" w:cs="Times New Roman"/>
              </w:rPr>
              <w:t>4</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Sofosbuvir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25</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1.204</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Daclatasvir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2</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0.536</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Daclatasvir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6</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0.175</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Daclatasvir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12</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0.984</w:t>
            </w:r>
          </w:p>
        </w:tc>
      </w:tr>
    </w:tbl>
    <w:p w:rsidR="008850BB" w:rsidRPr="00EE477C" w:rsidRDefault="0075650C">
      <w:pPr>
        <w:pStyle w:val="Heading4"/>
        <w:rPr>
          <w:rFonts w:ascii="Times New Roman" w:hAnsi="Times New Roman" w:cs="Times New Roman"/>
          <w:b/>
          <w:color w:val="000000" w:themeColor="text1"/>
        </w:rPr>
      </w:pPr>
      <w:bookmarkStart w:id="17" w:name="interday-precision"/>
      <w:bookmarkEnd w:id="16"/>
      <w:r w:rsidRPr="00EE477C">
        <w:rPr>
          <w:rFonts w:ascii="Times New Roman" w:hAnsi="Times New Roman" w:cs="Times New Roman"/>
          <w:b/>
          <w:color w:val="000000" w:themeColor="text1"/>
        </w:rPr>
        <w:t>Interday Precision</w:t>
      </w:r>
    </w:p>
    <w:tbl>
      <w:tblPr>
        <w:tblStyle w:val="Table"/>
        <w:tblW w:w="0" w:type="auto"/>
        <w:tblLook w:val="0020" w:firstRow="1" w:lastRow="0" w:firstColumn="0" w:lastColumn="0" w:noHBand="0" w:noVBand="0"/>
      </w:tblPr>
      <w:tblGrid>
        <w:gridCol w:w="1309"/>
        <w:gridCol w:w="2454"/>
        <w:gridCol w:w="883"/>
      </w:tblGrid>
      <w:tr w:rsidR="008850BB" w:rsidRPr="0075650C" w:rsidTr="008850BB">
        <w:trPr>
          <w:cnfStyle w:val="100000000000" w:firstRow="1" w:lastRow="0" w:firstColumn="0" w:lastColumn="0" w:oddVBand="0" w:evenVBand="0" w:oddHBand="0" w:evenHBand="0" w:firstRowFirstColumn="0" w:firstRowLastColumn="0" w:lastRowFirstColumn="0" w:lastRowLastColumn="0"/>
          <w:tblHeader/>
        </w:trPr>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Drug</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Concentration (µg/mL)</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%RSD</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Sofosbuvir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5</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0.536</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Sofosbuvir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15</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0.724</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Sofosbuvir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25</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1.292</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Daclatasvir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2</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0.602</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Daclatasvir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6</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0.180</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Daclatasvir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12</w:t>
            </w:r>
          </w:p>
        </w:tc>
        <w:tc>
          <w:tcPr>
            <w:tcW w:w="0" w:type="auto"/>
          </w:tcPr>
          <w:p w:rsidR="008850BB" w:rsidRPr="0075650C" w:rsidRDefault="00C52BD1">
            <w:pPr>
              <w:pStyle w:val="Compact"/>
              <w:rPr>
                <w:rFonts w:ascii="Times New Roman" w:hAnsi="Times New Roman" w:cs="Times New Roman"/>
              </w:rPr>
            </w:pPr>
            <w:r>
              <w:rPr>
                <w:rFonts w:ascii="Times New Roman" w:hAnsi="Times New Roman" w:cs="Times New Roman"/>
              </w:rPr>
              <w:t>1.020</w:t>
            </w:r>
          </w:p>
        </w:tc>
      </w:tr>
    </w:tbl>
    <w:p w:rsidR="008850BB" w:rsidRPr="0075650C" w:rsidRDefault="0075650C">
      <w:pPr>
        <w:pStyle w:val="BodyText"/>
        <w:rPr>
          <w:rFonts w:ascii="Times New Roman" w:hAnsi="Times New Roman" w:cs="Times New Roman"/>
        </w:rPr>
      </w:pPr>
      <w:r w:rsidRPr="0075650C">
        <w:rPr>
          <w:rFonts w:ascii="Times New Roman" w:hAnsi="Times New Roman" w:cs="Times New Roman"/>
        </w:rPr>
        <w:t>All %RSD values were below 2%, indicating acceptable precision.</w:t>
      </w:r>
    </w:p>
    <w:p w:rsidR="008850BB" w:rsidRPr="00EE477C" w:rsidRDefault="0075650C">
      <w:pPr>
        <w:pStyle w:val="Heading3"/>
        <w:rPr>
          <w:rFonts w:ascii="Times New Roman" w:hAnsi="Times New Roman" w:cs="Times New Roman"/>
          <w:color w:val="000000" w:themeColor="text1"/>
          <w:sz w:val="24"/>
          <w:szCs w:val="24"/>
        </w:rPr>
      </w:pPr>
      <w:bookmarkStart w:id="18" w:name="assay-of-marketed-formulation"/>
      <w:bookmarkEnd w:id="15"/>
      <w:bookmarkEnd w:id="17"/>
      <w:r w:rsidRPr="00EE477C">
        <w:rPr>
          <w:rFonts w:ascii="Times New Roman" w:hAnsi="Times New Roman" w:cs="Times New Roman"/>
          <w:color w:val="000000" w:themeColor="text1"/>
          <w:sz w:val="24"/>
          <w:szCs w:val="24"/>
        </w:rPr>
        <w:t>3.4 Assay of Marketed Formulation</w:t>
      </w:r>
    </w:p>
    <w:p w:rsidR="008850BB" w:rsidRPr="0075650C" w:rsidRDefault="0075650C" w:rsidP="00EE477C">
      <w:pPr>
        <w:pStyle w:val="FirstParagraph"/>
        <w:spacing w:line="360" w:lineRule="auto"/>
        <w:rPr>
          <w:rFonts w:ascii="Times New Roman" w:hAnsi="Times New Roman" w:cs="Times New Roman"/>
        </w:rPr>
      </w:pPr>
      <w:r w:rsidRPr="0075650C">
        <w:rPr>
          <w:rFonts w:ascii="Times New Roman" w:hAnsi="Times New Roman" w:cs="Times New Roman"/>
        </w:rPr>
        <w:t>The developed method was applied to the analysis of a commercial tablet formulation containing 400 mg Sofosbuvir and 60 mg Daclatasvir.</w:t>
      </w:r>
    </w:p>
    <w:tbl>
      <w:tblPr>
        <w:tblStyle w:val="Table"/>
        <w:tblW w:w="0" w:type="auto"/>
        <w:tblLook w:val="0020" w:firstRow="1" w:lastRow="0" w:firstColumn="0" w:lastColumn="0" w:noHBand="0" w:noVBand="0"/>
      </w:tblPr>
      <w:tblGrid>
        <w:gridCol w:w="1309"/>
        <w:gridCol w:w="1409"/>
        <w:gridCol w:w="1677"/>
        <w:gridCol w:w="1063"/>
      </w:tblGrid>
      <w:tr w:rsidR="008850BB" w:rsidRPr="0075650C" w:rsidTr="008850BB">
        <w:trPr>
          <w:cnfStyle w:val="100000000000" w:firstRow="1" w:lastRow="0" w:firstColumn="0" w:lastColumn="0" w:oddVBand="0" w:evenVBand="0" w:oddHBand="0" w:evenHBand="0" w:firstRowFirstColumn="0" w:firstRowLastColumn="0" w:lastRowFirstColumn="0" w:lastRowLastColumn="0"/>
          <w:tblHeader/>
        </w:trPr>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Drug</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Label Claim</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Amount Found</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 Assay</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Sofosbuvir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400 mg</w:t>
            </w:r>
          </w:p>
        </w:tc>
        <w:tc>
          <w:tcPr>
            <w:tcW w:w="0" w:type="auto"/>
          </w:tcPr>
          <w:p w:rsidR="008850BB" w:rsidRPr="0075650C" w:rsidRDefault="00D360AC">
            <w:pPr>
              <w:pStyle w:val="Compact"/>
              <w:rPr>
                <w:rFonts w:ascii="Times New Roman" w:hAnsi="Times New Roman" w:cs="Times New Roman"/>
              </w:rPr>
            </w:pPr>
            <w:r>
              <w:rPr>
                <w:rFonts w:ascii="Times New Roman" w:hAnsi="Times New Roman" w:cs="Times New Roman"/>
              </w:rPr>
              <w:t>399.5</w:t>
            </w:r>
            <w:r w:rsidR="0075650C" w:rsidRPr="0075650C">
              <w:rPr>
                <w:rFonts w:ascii="Times New Roman" w:hAnsi="Times New Roman" w:cs="Times New Roman"/>
              </w:rPr>
              <w:t xml:space="preserve"> mg</w:t>
            </w:r>
          </w:p>
        </w:tc>
        <w:tc>
          <w:tcPr>
            <w:tcW w:w="0" w:type="auto"/>
          </w:tcPr>
          <w:p w:rsidR="008850BB" w:rsidRPr="0075650C" w:rsidRDefault="00D360AC">
            <w:pPr>
              <w:pStyle w:val="Compact"/>
              <w:rPr>
                <w:rFonts w:ascii="Times New Roman" w:hAnsi="Times New Roman" w:cs="Times New Roman"/>
              </w:rPr>
            </w:pPr>
            <w:r>
              <w:rPr>
                <w:rFonts w:ascii="Times New Roman" w:hAnsi="Times New Roman" w:cs="Times New Roman"/>
              </w:rPr>
              <w:t>99.87</w:t>
            </w:r>
          </w:p>
        </w:tc>
      </w:tr>
      <w:tr w:rsidR="008850BB" w:rsidRPr="0075650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lastRenderedPageBreak/>
              <w:t>Daclatasvir</w:t>
            </w:r>
          </w:p>
        </w:tc>
        <w:tc>
          <w:tcPr>
            <w:tcW w:w="0" w:type="auto"/>
          </w:tcPr>
          <w:p w:rsidR="008850BB" w:rsidRPr="0075650C" w:rsidRDefault="0075650C">
            <w:pPr>
              <w:pStyle w:val="Compact"/>
              <w:rPr>
                <w:rFonts w:ascii="Times New Roman" w:hAnsi="Times New Roman" w:cs="Times New Roman"/>
              </w:rPr>
            </w:pPr>
            <w:r w:rsidRPr="0075650C">
              <w:rPr>
                <w:rFonts w:ascii="Times New Roman" w:hAnsi="Times New Roman" w:cs="Times New Roman"/>
              </w:rPr>
              <w:t>60 mg</w:t>
            </w:r>
          </w:p>
        </w:tc>
        <w:tc>
          <w:tcPr>
            <w:tcW w:w="0" w:type="auto"/>
          </w:tcPr>
          <w:p w:rsidR="008850BB" w:rsidRPr="0075650C" w:rsidRDefault="00D360AC">
            <w:pPr>
              <w:pStyle w:val="Compact"/>
              <w:rPr>
                <w:rFonts w:ascii="Times New Roman" w:hAnsi="Times New Roman" w:cs="Times New Roman"/>
              </w:rPr>
            </w:pPr>
            <w:r>
              <w:rPr>
                <w:rFonts w:ascii="Times New Roman" w:hAnsi="Times New Roman" w:cs="Times New Roman"/>
              </w:rPr>
              <w:t>59.5</w:t>
            </w:r>
            <w:r w:rsidR="0075650C" w:rsidRPr="0075650C">
              <w:rPr>
                <w:rFonts w:ascii="Times New Roman" w:hAnsi="Times New Roman" w:cs="Times New Roman"/>
              </w:rPr>
              <w:t>4 mg</w:t>
            </w:r>
          </w:p>
        </w:tc>
        <w:tc>
          <w:tcPr>
            <w:tcW w:w="0" w:type="auto"/>
          </w:tcPr>
          <w:p w:rsidR="008850BB" w:rsidRPr="0075650C" w:rsidRDefault="00D360AC">
            <w:pPr>
              <w:pStyle w:val="Compact"/>
              <w:rPr>
                <w:rFonts w:ascii="Times New Roman" w:hAnsi="Times New Roman" w:cs="Times New Roman"/>
              </w:rPr>
            </w:pPr>
            <w:r>
              <w:rPr>
                <w:rFonts w:ascii="Times New Roman" w:hAnsi="Times New Roman" w:cs="Times New Roman"/>
              </w:rPr>
              <w:t>99.23</w:t>
            </w:r>
          </w:p>
        </w:tc>
      </w:tr>
    </w:tbl>
    <w:p w:rsidR="008850BB" w:rsidRPr="0075650C" w:rsidRDefault="0075650C">
      <w:pPr>
        <w:pStyle w:val="BodyText"/>
        <w:rPr>
          <w:rFonts w:ascii="Times New Roman" w:hAnsi="Times New Roman" w:cs="Times New Roman"/>
        </w:rPr>
      </w:pPr>
      <w:r w:rsidRPr="0075650C">
        <w:rPr>
          <w:rFonts w:ascii="Times New Roman" w:hAnsi="Times New Roman" w:cs="Times New Roman"/>
        </w:rPr>
        <w:t>The assay results demonstrated the suitability of the method for routine pharmaceutical analysis.</w:t>
      </w:r>
    </w:p>
    <w:p w:rsidR="008850BB" w:rsidRPr="00EE477C" w:rsidRDefault="0075650C">
      <w:pPr>
        <w:pStyle w:val="Heading2"/>
        <w:rPr>
          <w:rFonts w:ascii="Times New Roman" w:hAnsi="Times New Roman" w:cs="Times New Roman"/>
          <w:color w:val="000000" w:themeColor="text1"/>
          <w:sz w:val="28"/>
          <w:szCs w:val="28"/>
        </w:rPr>
      </w:pPr>
      <w:bookmarkStart w:id="19" w:name="results-and-discussion"/>
      <w:bookmarkEnd w:id="12"/>
      <w:bookmarkEnd w:id="18"/>
      <w:r w:rsidRPr="00EE477C">
        <w:rPr>
          <w:rFonts w:ascii="Times New Roman" w:hAnsi="Times New Roman" w:cs="Times New Roman"/>
          <w:color w:val="000000" w:themeColor="text1"/>
          <w:sz w:val="28"/>
          <w:szCs w:val="28"/>
        </w:rPr>
        <w:t>4. Results and Discussion</w:t>
      </w:r>
    </w:p>
    <w:p w:rsidR="008850BB" w:rsidRPr="0075650C" w:rsidRDefault="0075650C" w:rsidP="00EE477C">
      <w:pPr>
        <w:pStyle w:val="FirstParagraph"/>
        <w:spacing w:line="360" w:lineRule="auto"/>
        <w:jc w:val="both"/>
        <w:rPr>
          <w:rFonts w:ascii="Times New Roman" w:hAnsi="Times New Roman" w:cs="Times New Roman"/>
        </w:rPr>
      </w:pPr>
      <w:r w:rsidRPr="0075650C">
        <w:rPr>
          <w:rFonts w:ascii="Times New Roman" w:hAnsi="Times New Roman" w:cs="Times New Roman"/>
        </w:rPr>
        <w:t>The first-derivative spectrophotometric method successfully resolved the overlapping spectra of Sofosbuvir and Daclatasvir. Sodium citrate acted as an effective hydrotropic agent, improving drug solubility without interference in the UV region. The method exhibited excellent linearity, accuracy, precision, and assay performance. Validation results complied with ICH acceptance criteria, confirming the reliability of the analytical procedure.</w:t>
      </w:r>
    </w:p>
    <w:p w:rsidR="008850BB" w:rsidRPr="00EE477C" w:rsidRDefault="0075650C">
      <w:pPr>
        <w:pStyle w:val="Heading2"/>
        <w:rPr>
          <w:rFonts w:ascii="Times New Roman" w:hAnsi="Times New Roman" w:cs="Times New Roman"/>
          <w:color w:val="000000" w:themeColor="text1"/>
          <w:sz w:val="28"/>
          <w:szCs w:val="28"/>
        </w:rPr>
      </w:pPr>
      <w:bookmarkStart w:id="20" w:name="conclusion"/>
      <w:bookmarkEnd w:id="19"/>
      <w:r w:rsidRPr="00EE477C">
        <w:rPr>
          <w:rFonts w:ascii="Times New Roman" w:hAnsi="Times New Roman" w:cs="Times New Roman"/>
          <w:color w:val="000000" w:themeColor="text1"/>
          <w:sz w:val="28"/>
          <w:szCs w:val="28"/>
        </w:rPr>
        <w:t>5. Conclusion</w:t>
      </w:r>
    </w:p>
    <w:p w:rsidR="008850BB" w:rsidRPr="0075650C" w:rsidRDefault="0075650C" w:rsidP="00EE477C">
      <w:pPr>
        <w:pStyle w:val="FirstParagraph"/>
        <w:spacing w:line="360" w:lineRule="auto"/>
        <w:jc w:val="both"/>
        <w:rPr>
          <w:rFonts w:ascii="Times New Roman" w:hAnsi="Times New Roman" w:cs="Times New Roman"/>
        </w:rPr>
      </w:pPr>
      <w:r w:rsidRPr="0075650C">
        <w:rPr>
          <w:rFonts w:ascii="Times New Roman" w:hAnsi="Times New Roman" w:cs="Times New Roman"/>
        </w:rPr>
        <w:t>A simple, rapid, accurate, and cost-effective first-derivative UV spectrophotometric method was developed and validated for the simultaneous estimation of Sofosbuvir and Daclatasvir in combined tablet dosage forms using 0.1 M sodium citrate as a hydrotropic solvent. The method demonstrated satisfactory validation characteristics and can be successfully employed for routine quality control analysis in pharmaceutical industries and research laboratories.</w:t>
      </w:r>
    </w:p>
    <w:p w:rsidR="008850BB" w:rsidRPr="00EE477C" w:rsidRDefault="0075650C" w:rsidP="00EE477C">
      <w:pPr>
        <w:pStyle w:val="Heading2"/>
        <w:jc w:val="both"/>
        <w:rPr>
          <w:rFonts w:ascii="Times New Roman" w:hAnsi="Times New Roman" w:cs="Times New Roman"/>
          <w:color w:val="000000" w:themeColor="text1"/>
          <w:sz w:val="28"/>
          <w:szCs w:val="28"/>
        </w:rPr>
      </w:pPr>
      <w:bookmarkStart w:id="21" w:name="acknowledgements"/>
      <w:bookmarkEnd w:id="20"/>
      <w:r w:rsidRPr="00EE477C">
        <w:rPr>
          <w:rFonts w:ascii="Times New Roman" w:hAnsi="Times New Roman" w:cs="Times New Roman"/>
          <w:color w:val="000000" w:themeColor="text1"/>
          <w:sz w:val="28"/>
          <w:szCs w:val="28"/>
        </w:rPr>
        <w:t>Acknowledgements</w:t>
      </w:r>
    </w:p>
    <w:p w:rsidR="003C71B9" w:rsidRPr="002D4E56" w:rsidRDefault="003C71B9" w:rsidP="003C71B9">
      <w:pPr>
        <w:spacing w:after="0" w:line="360" w:lineRule="auto"/>
        <w:jc w:val="both"/>
        <w:rPr>
          <w:rFonts w:ascii="Times New Roman" w:eastAsia="Times New Roman" w:hAnsi="Times New Roman"/>
        </w:rPr>
      </w:pPr>
      <w:r w:rsidRPr="002D4E56">
        <w:rPr>
          <w:rFonts w:ascii="Times New Roman" w:eastAsia="Times New Roman" w:hAnsi="Times New Roman"/>
        </w:rPr>
        <w:t xml:space="preserve">The authors are thankful to the management and Principal Dr. M. Ganga </w:t>
      </w:r>
      <w:proofErr w:type="spellStart"/>
      <w:r w:rsidRPr="002D4E56">
        <w:rPr>
          <w:rFonts w:ascii="Times New Roman" w:eastAsia="Times New Roman" w:hAnsi="Times New Roman"/>
        </w:rPr>
        <w:t>Raju</w:t>
      </w:r>
      <w:proofErr w:type="spellEnd"/>
      <w:r w:rsidRPr="002D4E56">
        <w:rPr>
          <w:rFonts w:ascii="Times New Roman" w:eastAsia="Times New Roman" w:hAnsi="Times New Roman"/>
        </w:rPr>
        <w:t xml:space="preserve"> of </w:t>
      </w:r>
      <w:proofErr w:type="spellStart"/>
      <w:r w:rsidRPr="002D4E56">
        <w:rPr>
          <w:rFonts w:ascii="Times New Roman" w:eastAsia="Times New Roman" w:hAnsi="Times New Roman"/>
        </w:rPr>
        <w:t>Gokaraju</w:t>
      </w:r>
      <w:proofErr w:type="spellEnd"/>
      <w:r w:rsidRPr="002D4E56">
        <w:rPr>
          <w:rFonts w:ascii="Times New Roman" w:eastAsia="Times New Roman" w:hAnsi="Times New Roman"/>
        </w:rPr>
        <w:t xml:space="preserve"> </w:t>
      </w:r>
      <w:proofErr w:type="spellStart"/>
      <w:r w:rsidRPr="002D4E56">
        <w:rPr>
          <w:rFonts w:ascii="Times New Roman" w:eastAsia="Times New Roman" w:hAnsi="Times New Roman"/>
        </w:rPr>
        <w:t>Rangaraju</w:t>
      </w:r>
      <w:proofErr w:type="spellEnd"/>
      <w:r w:rsidRPr="002D4E56">
        <w:rPr>
          <w:rFonts w:ascii="Times New Roman" w:eastAsia="Times New Roman" w:hAnsi="Times New Roman"/>
        </w:rPr>
        <w:t xml:space="preserve"> College of Pharmacy for prov</w:t>
      </w:r>
      <w:r>
        <w:rPr>
          <w:rFonts w:ascii="Times New Roman" w:eastAsia="Times New Roman" w:hAnsi="Times New Roman"/>
        </w:rPr>
        <w:t>iding facilities for this research</w:t>
      </w:r>
      <w:r w:rsidRPr="002D4E56">
        <w:rPr>
          <w:rFonts w:ascii="Times New Roman" w:eastAsia="Times New Roman" w:hAnsi="Times New Roman"/>
        </w:rPr>
        <w:t xml:space="preserve"> work.</w:t>
      </w:r>
    </w:p>
    <w:p w:rsidR="003C71B9" w:rsidRPr="008E1722" w:rsidRDefault="003C71B9" w:rsidP="003C71B9">
      <w:pPr>
        <w:spacing w:line="360" w:lineRule="auto"/>
        <w:jc w:val="both"/>
        <w:rPr>
          <w:rFonts w:ascii="Times New Roman" w:hAnsi="Times New Roman"/>
          <w:b/>
          <w:bCs/>
          <w:lang w:val="en-IN"/>
        </w:rPr>
      </w:pPr>
    </w:p>
    <w:p w:rsidR="008850BB" w:rsidRPr="00D360AC" w:rsidRDefault="0075650C">
      <w:pPr>
        <w:pStyle w:val="Heading2"/>
        <w:rPr>
          <w:rFonts w:ascii="Times New Roman" w:hAnsi="Times New Roman" w:cs="Times New Roman"/>
          <w:b/>
          <w:sz w:val="28"/>
          <w:szCs w:val="28"/>
        </w:rPr>
      </w:pPr>
      <w:bookmarkStart w:id="22" w:name="references"/>
      <w:bookmarkEnd w:id="21"/>
      <w:r w:rsidRPr="00D360AC">
        <w:rPr>
          <w:rFonts w:ascii="Times New Roman" w:hAnsi="Times New Roman" w:cs="Times New Roman"/>
          <w:b/>
          <w:sz w:val="28"/>
          <w:szCs w:val="28"/>
        </w:rPr>
        <w:t>References</w:t>
      </w:r>
    </w:p>
    <w:bookmarkEnd w:id="0"/>
    <w:bookmarkEnd w:id="22"/>
    <w:p w:rsidR="00CF7FE0" w:rsidRPr="00CF7FE0" w:rsidRDefault="00CF7FE0" w:rsidP="00CF7FE0">
      <w:pPr>
        <w:numPr>
          <w:ilvl w:val="0"/>
          <w:numId w:val="4"/>
        </w:numPr>
        <w:shd w:val="clear" w:color="auto" w:fill="FFFFFF"/>
        <w:spacing w:after="0" w:line="360" w:lineRule="auto"/>
        <w:jc w:val="both"/>
        <w:rPr>
          <w:rFonts w:ascii="Times New Roman" w:hAnsi="Times New Roman" w:cs="Times New Roman"/>
        </w:rPr>
      </w:pPr>
      <w:r w:rsidRPr="00E3666B">
        <w:rPr>
          <w:rFonts w:ascii="Times New Roman" w:hAnsi="Times New Roman" w:cs="Times New Roman"/>
        </w:rPr>
        <w:t xml:space="preserve">Willard H. H., Merit L.L., Dean F.A., and Settle F.A., “Instrumental Methods of Analysis.”, </w:t>
      </w:r>
      <w:proofErr w:type="spellStart"/>
      <w:r w:rsidRPr="00E3666B">
        <w:rPr>
          <w:rFonts w:ascii="Times New Roman" w:hAnsi="Times New Roman" w:cs="Times New Roman"/>
        </w:rPr>
        <w:t>C.B.S.Publishers</w:t>
      </w:r>
      <w:proofErr w:type="spellEnd"/>
      <w:r w:rsidRPr="00E3666B">
        <w:rPr>
          <w:rFonts w:ascii="Times New Roman" w:hAnsi="Times New Roman" w:cs="Times New Roman"/>
        </w:rPr>
        <w:t>, New Delhi, 7</w:t>
      </w:r>
      <w:r w:rsidRPr="00E3666B">
        <w:rPr>
          <w:rFonts w:ascii="Times New Roman" w:hAnsi="Times New Roman" w:cs="Times New Roman"/>
          <w:vertAlign w:val="superscript"/>
        </w:rPr>
        <w:t>th</w:t>
      </w:r>
      <w:r w:rsidRPr="00E3666B">
        <w:rPr>
          <w:rFonts w:ascii="Times New Roman" w:hAnsi="Times New Roman" w:cs="Times New Roman"/>
        </w:rPr>
        <w:t xml:space="preserve"> edition , 2002, 580-613.</w:t>
      </w:r>
    </w:p>
    <w:p w:rsidR="00CF7FE0" w:rsidRPr="00CF7FE0" w:rsidRDefault="00CF7FE0" w:rsidP="00CF7FE0">
      <w:pPr>
        <w:numPr>
          <w:ilvl w:val="0"/>
          <w:numId w:val="4"/>
        </w:numPr>
        <w:shd w:val="clear" w:color="auto" w:fill="FFFFFF"/>
        <w:spacing w:after="0" w:line="360" w:lineRule="auto"/>
        <w:jc w:val="both"/>
        <w:rPr>
          <w:rFonts w:ascii="Times New Roman" w:hAnsi="Times New Roman" w:cs="Times New Roman"/>
        </w:rPr>
      </w:pPr>
      <w:r w:rsidRPr="00E3666B">
        <w:rPr>
          <w:rFonts w:ascii="Times New Roman" w:hAnsi="Times New Roman" w:cs="Times New Roman"/>
        </w:rPr>
        <w:t>ICH/CPMP guidelines Q2A</w:t>
      </w:r>
      <w:proofErr w:type="gramStart"/>
      <w:r w:rsidRPr="00E3666B">
        <w:rPr>
          <w:rFonts w:ascii="Times New Roman" w:hAnsi="Times New Roman" w:cs="Times New Roman"/>
        </w:rPr>
        <w:t>,Text</w:t>
      </w:r>
      <w:proofErr w:type="gramEnd"/>
      <w:r w:rsidRPr="00E3666B">
        <w:rPr>
          <w:rFonts w:ascii="Times New Roman" w:hAnsi="Times New Roman" w:cs="Times New Roman"/>
        </w:rPr>
        <w:t xml:space="preserve"> on Validation of </w:t>
      </w:r>
      <w:proofErr w:type="spellStart"/>
      <w:r w:rsidRPr="00E3666B">
        <w:rPr>
          <w:rFonts w:ascii="Times New Roman" w:hAnsi="Times New Roman" w:cs="Times New Roman"/>
        </w:rPr>
        <w:t>Analyticcal</w:t>
      </w:r>
      <w:proofErr w:type="spellEnd"/>
      <w:r w:rsidRPr="00E3666B">
        <w:rPr>
          <w:rFonts w:ascii="Times New Roman" w:hAnsi="Times New Roman" w:cs="Times New Roman"/>
        </w:rPr>
        <w:t xml:space="preserve"> Procedure,1994.</w:t>
      </w:r>
    </w:p>
    <w:p w:rsidR="00CF7FE0" w:rsidRPr="00CF7FE0" w:rsidRDefault="00CF7FE0" w:rsidP="00CF7FE0">
      <w:pPr>
        <w:numPr>
          <w:ilvl w:val="0"/>
          <w:numId w:val="4"/>
        </w:numPr>
        <w:shd w:val="clear" w:color="auto" w:fill="FFFFFF"/>
        <w:spacing w:after="0" w:line="360" w:lineRule="auto"/>
        <w:jc w:val="both"/>
        <w:rPr>
          <w:rFonts w:ascii="Times New Roman" w:eastAsia="ff4" w:hAnsi="Times New Roman" w:cs="Times New Roman"/>
          <w:color w:val="231F20"/>
          <w:shd w:val="clear" w:color="auto" w:fill="FFFFFF"/>
          <w:lang w:eastAsia="zh-CN" w:bidi="ar"/>
        </w:rPr>
      </w:pPr>
      <w:r w:rsidRPr="00E3666B">
        <w:rPr>
          <w:rFonts w:ascii="Times New Roman" w:eastAsia="ff4" w:hAnsi="Times New Roman" w:cs="Times New Roman"/>
          <w:color w:val="231F20"/>
          <w:shd w:val="clear" w:color="auto" w:fill="FFFFFF"/>
          <w:lang w:eastAsia="zh-CN" w:bidi="ar"/>
        </w:rPr>
        <w:t xml:space="preserve">Mohan </w:t>
      </w:r>
      <w:proofErr w:type="spellStart"/>
      <w:r w:rsidRPr="00E3666B">
        <w:rPr>
          <w:rFonts w:ascii="Times New Roman" w:eastAsia="ff4" w:hAnsi="Times New Roman" w:cs="Times New Roman"/>
          <w:color w:val="231F20"/>
          <w:shd w:val="clear" w:color="auto" w:fill="FFFFFF"/>
          <w:lang w:eastAsia="zh-CN" w:bidi="ar"/>
        </w:rPr>
        <w:t>Vikas</w:t>
      </w:r>
      <w:proofErr w:type="spellEnd"/>
      <w:r w:rsidRPr="00E3666B">
        <w:rPr>
          <w:rFonts w:ascii="Times New Roman" w:eastAsia="ff4" w:hAnsi="Times New Roman" w:cs="Times New Roman"/>
          <w:color w:val="231F20"/>
          <w:shd w:val="clear" w:color="auto" w:fill="FFFFFF"/>
          <w:lang w:eastAsia="zh-CN" w:bidi="ar"/>
        </w:rPr>
        <w:t xml:space="preserve">, </w:t>
      </w:r>
      <w:proofErr w:type="spellStart"/>
      <w:r w:rsidRPr="00E3666B">
        <w:rPr>
          <w:rFonts w:ascii="Times New Roman" w:eastAsia="ff4" w:hAnsi="Times New Roman" w:cs="Times New Roman"/>
          <w:color w:val="231F20"/>
          <w:shd w:val="clear" w:color="auto" w:fill="FFFFFF"/>
          <w:lang w:eastAsia="zh-CN" w:bidi="ar"/>
        </w:rPr>
        <w:t>Dr</w:t>
      </w:r>
      <w:proofErr w:type="spellEnd"/>
      <w:r w:rsidRPr="00E3666B">
        <w:rPr>
          <w:rFonts w:ascii="Times New Roman" w:eastAsia="ff4" w:hAnsi="Times New Roman" w:cs="Times New Roman"/>
          <w:color w:val="231F20"/>
          <w:shd w:val="clear" w:color="auto" w:fill="FFFFFF"/>
          <w:lang w:eastAsia="zh-CN" w:bidi="ar"/>
        </w:rPr>
        <w:t xml:space="preserve"> T. </w:t>
      </w:r>
      <w:proofErr w:type="spellStart"/>
      <w:r w:rsidRPr="00E3666B">
        <w:rPr>
          <w:rFonts w:ascii="Times New Roman" w:eastAsia="ff4" w:hAnsi="Times New Roman" w:cs="Times New Roman"/>
          <w:color w:val="231F20"/>
          <w:shd w:val="clear" w:color="auto" w:fill="FFFFFF"/>
          <w:lang w:eastAsia="zh-CN" w:bidi="ar"/>
        </w:rPr>
        <w:t>Satyanarayana</w:t>
      </w:r>
      <w:proofErr w:type="spellEnd"/>
      <w:r w:rsidRPr="00E3666B">
        <w:rPr>
          <w:rFonts w:ascii="Times New Roman" w:eastAsia="ff4" w:hAnsi="Times New Roman" w:cs="Times New Roman"/>
          <w:color w:val="231F20"/>
          <w:shd w:val="clear" w:color="auto" w:fill="FFFFFF"/>
          <w:lang w:eastAsia="zh-CN" w:bidi="ar"/>
        </w:rPr>
        <w:t xml:space="preserve">, D. </w:t>
      </w:r>
      <w:proofErr w:type="spellStart"/>
      <w:r w:rsidRPr="00E3666B">
        <w:rPr>
          <w:rFonts w:ascii="Times New Roman" w:eastAsia="ff4" w:hAnsi="Times New Roman" w:cs="Times New Roman"/>
          <w:color w:val="231F20"/>
          <w:shd w:val="clear" w:color="auto" w:fill="FFFFFF"/>
          <w:lang w:eastAsia="zh-CN" w:bidi="ar"/>
        </w:rPr>
        <w:t>Vinod</w:t>
      </w:r>
      <w:proofErr w:type="spellEnd"/>
      <w:r w:rsidRPr="00E3666B">
        <w:rPr>
          <w:rFonts w:ascii="Times New Roman" w:eastAsia="ff4" w:hAnsi="Times New Roman" w:cs="Times New Roman"/>
          <w:color w:val="231F20"/>
          <w:shd w:val="clear" w:color="auto" w:fill="FFFFFF"/>
          <w:lang w:eastAsia="zh-CN" w:bidi="ar"/>
        </w:rPr>
        <w:t xml:space="preserve"> Kumar, E. </w:t>
      </w:r>
      <w:proofErr w:type="spellStart"/>
      <w:r w:rsidRPr="00E3666B">
        <w:rPr>
          <w:rFonts w:ascii="Times New Roman" w:eastAsia="ff5" w:hAnsi="Times New Roman" w:cs="Times New Roman"/>
          <w:color w:val="231F20"/>
          <w:shd w:val="clear" w:color="auto" w:fill="FFFFFF"/>
          <w:lang w:eastAsia="zh-CN" w:bidi="ar"/>
        </w:rPr>
        <w:t>Mounika</w:t>
      </w:r>
      <w:proofErr w:type="spellEnd"/>
      <w:r w:rsidRPr="00E3666B">
        <w:rPr>
          <w:rFonts w:ascii="Times New Roman" w:eastAsia="ff5" w:hAnsi="Times New Roman" w:cs="Times New Roman"/>
          <w:color w:val="231F20"/>
          <w:shd w:val="clear" w:color="auto" w:fill="FFFFFF"/>
          <w:lang w:eastAsia="zh-CN" w:bidi="ar"/>
        </w:rPr>
        <w:t xml:space="preserve">, M. Sri </w:t>
      </w:r>
      <w:proofErr w:type="spellStart"/>
      <w:r w:rsidRPr="00E3666B">
        <w:rPr>
          <w:rFonts w:ascii="Times New Roman" w:eastAsia="ff5" w:hAnsi="Times New Roman" w:cs="Times New Roman"/>
          <w:color w:val="231F20"/>
          <w:shd w:val="clear" w:color="auto" w:fill="FFFFFF"/>
          <w:lang w:eastAsia="zh-CN" w:bidi="ar"/>
        </w:rPr>
        <w:t>Latha</w:t>
      </w:r>
      <w:proofErr w:type="spellEnd"/>
      <w:r w:rsidRPr="00E3666B">
        <w:rPr>
          <w:rFonts w:ascii="Times New Roman" w:eastAsia="ff5" w:hAnsi="Times New Roman" w:cs="Times New Roman"/>
          <w:color w:val="231F20"/>
          <w:shd w:val="clear" w:color="auto" w:fill="FFFFFF"/>
          <w:lang w:eastAsia="zh-CN" w:bidi="ar"/>
        </w:rPr>
        <w:t xml:space="preserve">, R. </w:t>
      </w:r>
      <w:proofErr w:type="spellStart"/>
      <w:r w:rsidRPr="00E3666B">
        <w:rPr>
          <w:rFonts w:ascii="Times New Roman" w:eastAsia="ff5" w:hAnsi="Times New Roman" w:cs="Times New Roman"/>
          <w:color w:val="231F20"/>
          <w:shd w:val="clear" w:color="auto" w:fill="FFFFFF"/>
          <w:lang w:eastAsia="zh-CN" w:bidi="ar"/>
        </w:rPr>
        <w:t>Anusha</w:t>
      </w:r>
      <w:proofErr w:type="spellEnd"/>
      <w:r w:rsidRPr="00E3666B">
        <w:rPr>
          <w:rFonts w:ascii="Times New Roman" w:eastAsia="ff5" w:hAnsi="Times New Roman" w:cs="Times New Roman"/>
          <w:color w:val="231F20"/>
          <w:shd w:val="clear" w:color="auto" w:fill="FFFFFF"/>
          <w:lang w:eastAsia="zh-CN" w:bidi="ar"/>
        </w:rPr>
        <w:t xml:space="preserve"> and Y. </w:t>
      </w:r>
      <w:proofErr w:type="spellStart"/>
      <w:r w:rsidRPr="00E3666B">
        <w:rPr>
          <w:rFonts w:ascii="Times New Roman" w:eastAsia="ff5" w:hAnsi="Times New Roman" w:cs="Times New Roman"/>
          <w:color w:val="231F20"/>
          <w:shd w:val="clear" w:color="auto" w:fill="FFFFFF"/>
          <w:lang w:eastAsia="zh-CN" w:bidi="ar"/>
        </w:rPr>
        <w:t>Sathish</w:t>
      </w:r>
      <w:proofErr w:type="spellEnd"/>
      <w:r w:rsidRPr="00E3666B">
        <w:rPr>
          <w:rFonts w:ascii="Times New Roman" w:eastAsia="ff5" w:hAnsi="Times New Roman" w:cs="Times New Roman"/>
          <w:color w:val="231F20"/>
          <w:shd w:val="clear" w:color="auto" w:fill="FFFFFF"/>
          <w:lang w:eastAsia="zh-CN" w:bidi="ar"/>
        </w:rPr>
        <w:t xml:space="preserve">, 2016. Development </w:t>
      </w:r>
      <w:r w:rsidRPr="00E3666B">
        <w:rPr>
          <w:rFonts w:ascii="Times New Roman" w:eastAsia="ff4" w:hAnsi="Times New Roman" w:cs="Times New Roman"/>
          <w:color w:val="231F20"/>
          <w:shd w:val="clear" w:color="auto" w:fill="FFFFFF"/>
          <w:lang w:eastAsia="zh-CN" w:bidi="ar"/>
        </w:rPr>
        <w:t xml:space="preserve">and Validation of New RP-HPLC Method for the Determination of </w:t>
      </w:r>
      <w:proofErr w:type="spellStart"/>
      <w:r w:rsidRPr="00E3666B">
        <w:rPr>
          <w:rFonts w:ascii="Times New Roman" w:eastAsia="ff4" w:hAnsi="Times New Roman" w:cs="Times New Roman"/>
          <w:color w:val="231F20"/>
          <w:shd w:val="clear" w:color="auto" w:fill="FFFFFF"/>
          <w:lang w:eastAsia="zh-CN" w:bidi="ar"/>
        </w:rPr>
        <w:t>Sofosbuvir</w:t>
      </w:r>
      <w:proofErr w:type="spellEnd"/>
      <w:r w:rsidRPr="00E3666B">
        <w:rPr>
          <w:rFonts w:ascii="Times New Roman" w:eastAsia="ff4" w:hAnsi="Times New Roman" w:cs="Times New Roman"/>
          <w:color w:val="231F20"/>
          <w:shd w:val="clear" w:color="auto" w:fill="FFFFFF"/>
          <w:lang w:eastAsia="zh-CN" w:bidi="ar"/>
        </w:rPr>
        <w:t xml:space="preserve"> in Pure Form. World Journal of Pharmacy and Pharmaceutical Sciences. 5, 775-781.</w:t>
      </w:r>
    </w:p>
    <w:p w:rsidR="00CF7FE0" w:rsidRPr="00CF7FE0" w:rsidRDefault="00CF7FE0" w:rsidP="00CF7FE0">
      <w:pPr>
        <w:numPr>
          <w:ilvl w:val="0"/>
          <w:numId w:val="4"/>
        </w:numPr>
        <w:shd w:val="clear" w:color="auto" w:fill="FFFFFF"/>
        <w:spacing w:after="0" w:line="360" w:lineRule="auto"/>
        <w:jc w:val="both"/>
        <w:rPr>
          <w:rFonts w:ascii="Times New Roman" w:eastAsia="ff8" w:hAnsi="Times New Roman" w:cs="Times New Roman"/>
          <w:color w:val="000000"/>
          <w:shd w:val="clear" w:color="auto" w:fill="FFFFFF"/>
          <w:lang w:eastAsia="zh-CN" w:bidi="ar"/>
        </w:rPr>
      </w:pPr>
      <w:proofErr w:type="spellStart"/>
      <w:r w:rsidRPr="00E3666B">
        <w:rPr>
          <w:rFonts w:ascii="Times New Roman" w:eastAsia="ff8" w:hAnsi="Times New Roman" w:cs="Times New Roman"/>
          <w:color w:val="000000"/>
          <w:shd w:val="clear" w:color="auto" w:fill="FFFFFF"/>
          <w:lang w:eastAsia="zh-CN" w:bidi="ar"/>
        </w:rPr>
        <w:lastRenderedPageBreak/>
        <w:t>Swathi.P</w:t>
      </w:r>
      <w:proofErr w:type="spellEnd"/>
      <w:r w:rsidRPr="00E3666B">
        <w:rPr>
          <w:rFonts w:ascii="Times New Roman" w:eastAsia="ff8" w:hAnsi="Times New Roman" w:cs="Times New Roman"/>
          <w:color w:val="000000"/>
          <w:shd w:val="clear" w:color="auto" w:fill="FFFFFF"/>
          <w:lang w:eastAsia="zh-CN" w:bidi="ar"/>
        </w:rPr>
        <w:t xml:space="preserve">, </w:t>
      </w:r>
      <w:proofErr w:type="spellStart"/>
      <w:r w:rsidRPr="00E3666B">
        <w:rPr>
          <w:rFonts w:ascii="Times New Roman" w:eastAsia="ff8" w:hAnsi="Times New Roman" w:cs="Times New Roman"/>
          <w:color w:val="000000"/>
          <w:shd w:val="clear" w:color="auto" w:fill="FFFFFF"/>
          <w:lang w:eastAsia="zh-CN" w:bidi="ar"/>
        </w:rPr>
        <w:t>Rajeswar</w:t>
      </w:r>
      <w:proofErr w:type="spellEnd"/>
      <w:r w:rsidRPr="00E3666B">
        <w:rPr>
          <w:rFonts w:ascii="Times New Roman" w:eastAsia="ff8" w:hAnsi="Times New Roman" w:cs="Times New Roman"/>
          <w:color w:val="000000"/>
          <w:shd w:val="clear" w:color="auto" w:fill="FFFFFF"/>
          <w:lang w:eastAsia="zh-CN" w:bidi="ar"/>
        </w:rPr>
        <w:t xml:space="preserve"> </w:t>
      </w:r>
      <w:proofErr w:type="spellStart"/>
      <w:r w:rsidRPr="00E3666B">
        <w:rPr>
          <w:rFonts w:ascii="Times New Roman" w:eastAsia="ff8" w:hAnsi="Times New Roman" w:cs="Times New Roman"/>
          <w:color w:val="000000"/>
          <w:shd w:val="clear" w:color="auto" w:fill="FFFFFF"/>
          <w:lang w:eastAsia="zh-CN" w:bidi="ar"/>
        </w:rPr>
        <w:t>Dutt.K</w:t>
      </w:r>
      <w:proofErr w:type="spellEnd"/>
      <w:r w:rsidRPr="00E3666B">
        <w:rPr>
          <w:rFonts w:ascii="Times New Roman" w:eastAsia="ff8" w:hAnsi="Times New Roman" w:cs="Times New Roman"/>
          <w:color w:val="000000"/>
          <w:shd w:val="clear" w:color="auto" w:fill="FFFFFF"/>
          <w:lang w:eastAsia="zh-CN" w:bidi="ar"/>
        </w:rPr>
        <w:t>, RP-HPLC Method Development</w:t>
      </w:r>
      <w:r>
        <w:rPr>
          <w:rFonts w:ascii="Times New Roman" w:eastAsia="ff8" w:hAnsi="Times New Roman" w:cs="Times New Roman"/>
          <w:color w:val="000000"/>
          <w:shd w:val="clear" w:color="auto" w:fill="FFFFFF"/>
          <w:lang w:eastAsia="zh-CN" w:bidi="ar"/>
        </w:rPr>
        <w:t xml:space="preserve"> </w:t>
      </w:r>
      <w:proofErr w:type="gramStart"/>
      <w:r>
        <w:rPr>
          <w:rFonts w:ascii="Times New Roman" w:eastAsia="ff8" w:hAnsi="Times New Roman" w:cs="Times New Roman"/>
          <w:color w:val="000000"/>
          <w:shd w:val="clear" w:color="auto" w:fill="FFFFFF"/>
          <w:lang w:eastAsia="zh-CN" w:bidi="ar"/>
        </w:rPr>
        <w:t>And</w:t>
      </w:r>
      <w:proofErr w:type="gramEnd"/>
      <w:r>
        <w:rPr>
          <w:rFonts w:ascii="Times New Roman" w:eastAsia="ff8" w:hAnsi="Times New Roman" w:cs="Times New Roman"/>
          <w:color w:val="000000"/>
          <w:shd w:val="clear" w:color="auto" w:fill="FFFFFF"/>
          <w:lang w:eastAsia="zh-CN" w:bidi="ar"/>
        </w:rPr>
        <w:t xml:space="preserve"> Validation For Estimation o</w:t>
      </w:r>
      <w:r w:rsidRPr="00E3666B">
        <w:rPr>
          <w:rFonts w:ascii="Times New Roman" w:eastAsia="ff8" w:hAnsi="Times New Roman" w:cs="Times New Roman"/>
          <w:color w:val="000000"/>
          <w:shd w:val="clear" w:color="auto" w:fill="FFFFFF"/>
          <w:lang w:eastAsia="zh-CN" w:bidi="ar"/>
        </w:rPr>
        <w:t xml:space="preserve">f </w:t>
      </w:r>
      <w:proofErr w:type="spellStart"/>
      <w:r w:rsidRPr="00E3666B">
        <w:rPr>
          <w:rFonts w:ascii="Times New Roman" w:eastAsia="ff8" w:hAnsi="Times New Roman" w:cs="Times New Roman"/>
          <w:color w:val="000000"/>
          <w:shd w:val="clear" w:color="auto" w:fill="FFFFFF"/>
          <w:lang w:eastAsia="zh-CN" w:bidi="ar"/>
        </w:rPr>
        <w:t>Sofosbuvir</w:t>
      </w:r>
      <w:proofErr w:type="spellEnd"/>
      <w:r w:rsidRPr="00E3666B">
        <w:rPr>
          <w:rFonts w:ascii="Times New Roman" w:eastAsia="ff8" w:hAnsi="Times New Roman" w:cs="Times New Roman"/>
          <w:color w:val="000000"/>
          <w:shd w:val="clear" w:color="auto" w:fill="FFFFFF"/>
          <w:lang w:eastAsia="zh-CN" w:bidi="ar"/>
        </w:rPr>
        <w:t xml:space="preserve"> In Pure And Tablet Dosage Form,</w:t>
      </w:r>
      <w:r>
        <w:rPr>
          <w:rFonts w:ascii="Times New Roman" w:eastAsia="ff8" w:hAnsi="Times New Roman" w:cs="Times New Roman"/>
          <w:color w:val="000000"/>
          <w:shd w:val="clear" w:color="auto" w:fill="FFFFFF"/>
          <w:lang w:eastAsia="zh-CN" w:bidi="ar"/>
        </w:rPr>
        <w:t xml:space="preserve"> </w:t>
      </w:r>
      <w:proofErr w:type="spellStart"/>
      <w:r>
        <w:rPr>
          <w:rFonts w:ascii="Times New Roman" w:eastAsia="ff8" w:hAnsi="Times New Roman" w:cs="Times New Roman"/>
          <w:color w:val="000000"/>
          <w:shd w:val="clear" w:color="auto" w:fill="FFFFFF"/>
          <w:lang w:eastAsia="zh-CN" w:bidi="ar"/>
        </w:rPr>
        <w:t>Innovat</w:t>
      </w:r>
      <w:proofErr w:type="spellEnd"/>
      <w:r>
        <w:rPr>
          <w:rFonts w:ascii="Times New Roman" w:eastAsia="ff8" w:hAnsi="Times New Roman" w:cs="Times New Roman"/>
          <w:color w:val="000000"/>
          <w:shd w:val="clear" w:color="auto" w:fill="FFFFFF"/>
          <w:lang w:eastAsia="zh-CN" w:bidi="ar"/>
        </w:rPr>
        <w:t xml:space="preserve"> International Journal o</w:t>
      </w:r>
      <w:r w:rsidRPr="00E3666B">
        <w:rPr>
          <w:rFonts w:ascii="Times New Roman" w:eastAsia="ff8" w:hAnsi="Times New Roman" w:cs="Times New Roman"/>
          <w:color w:val="000000"/>
          <w:shd w:val="clear" w:color="auto" w:fill="FFFFFF"/>
          <w:lang w:eastAsia="zh-CN" w:bidi="ar"/>
        </w:rPr>
        <w:t>f Medical &amp; Pharmaceutical Sciences, 2017; 2(4).</w:t>
      </w:r>
    </w:p>
    <w:p w:rsidR="00CF7FE0" w:rsidRPr="00CF7FE0" w:rsidRDefault="00CF7FE0" w:rsidP="00CF7FE0">
      <w:pPr>
        <w:numPr>
          <w:ilvl w:val="0"/>
          <w:numId w:val="4"/>
        </w:numPr>
        <w:shd w:val="clear" w:color="auto" w:fill="FFFFFF"/>
        <w:spacing w:after="0" w:line="360" w:lineRule="auto"/>
        <w:jc w:val="both"/>
        <w:rPr>
          <w:rFonts w:ascii="Times New Roman" w:eastAsia="ff8" w:hAnsi="Times New Roman" w:cs="Times New Roman"/>
          <w:color w:val="000000"/>
          <w:shd w:val="clear" w:color="auto" w:fill="FFFFFF"/>
          <w:lang w:eastAsia="zh-CN" w:bidi="ar"/>
        </w:rPr>
      </w:pPr>
      <w:proofErr w:type="spellStart"/>
      <w:r w:rsidRPr="00E3666B">
        <w:rPr>
          <w:rFonts w:ascii="Times New Roman" w:eastAsia="ff8" w:hAnsi="Times New Roman" w:cs="Times New Roman"/>
          <w:color w:val="000000"/>
          <w:shd w:val="clear" w:color="auto" w:fill="FFFFFF"/>
          <w:lang w:eastAsia="zh-CN" w:bidi="ar"/>
        </w:rPr>
        <w:t>Jeevana</w:t>
      </w:r>
      <w:proofErr w:type="spellEnd"/>
      <w:r w:rsidRPr="00E3666B">
        <w:rPr>
          <w:rFonts w:ascii="Times New Roman" w:eastAsia="ff8" w:hAnsi="Times New Roman" w:cs="Times New Roman"/>
          <w:color w:val="000000"/>
          <w:shd w:val="clear" w:color="auto" w:fill="FFFFFF"/>
          <w:lang w:eastAsia="zh-CN" w:bidi="ar"/>
        </w:rPr>
        <w:t xml:space="preserve"> </w:t>
      </w:r>
      <w:proofErr w:type="spellStart"/>
      <w:r w:rsidRPr="00E3666B">
        <w:rPr>
          <w:rFonts w:ascii="Times New Roman" w:eastAsia="ff8" w:hAnsi="Times New Roman" w:cs="Times New Roman"/>
          <w:color w:val="000000"/>
          <w:shd w:val="clear" w:color="auto" w:fill="FFFFFF"/>
          <w:lang w:eastAsia="zh-CN" w:bidi="ar"/>
        </w:rPr>
        <w:t>Jyothi</w:t>
      </w:r>
      <w:proofErr w:type="spellEnd"/>
      <w:r w:rsidRPr="00E3666B">
        <w:rPr>
          <w:rFonts w:ascii="Times New Roman" w:eastAsia="ff8" w:hAnsi="Times New Roman" w:cs="Times New Roman"/>
          <w:color w:val="000000"/>
          <w:shd w:val="clear" w:color="auto" w:fill="FFFFFF"/>
          <w:lang w:eastAsia="zh-CN" w:bidi="ar"/>
        </w:rPr>
        <w:t xml:space="preserve"> B *, </w:t>
      </w:r>
      <w:proofErr w:type="spellStart"/>
      <w:r w:rsidRPr="00E3666B">
        <w:rPr>
          <w:rFonts w:ascii="Times New Roman" w:eastAsia="ff8" w:hAnsi="Times New Roman" w:cs="Times New Roman"/>
          <w:color w:val="000000"/>
          <w:shd w:val="clear" w:color="auto" w:fill="FFFFFF"/>
          <w:lang w:eastAsia="zh-CN" w:bidi="ar"/>
        </w:rPr>
        <w:t>Padmaja</w:t>
      </w:r>
      <w:proofErr w:type="spellEnd"/>
      <w:r w:rsidRPr="00E3666B">
        <w:rPr>
          <w:rFonts w:ascii="Times New Roman" w:eastAsia="ff8" w:hAnsi="Times New Roman" w:cs="Times New Roman"/>
          <w:color w:val="000000"/>
          <w:shd w:val="clear" w:color="auto" w:fill="FFFFFF"/>
          <w:lang w:eastAsia="zh-CN" w:bidi="ar"/>
        </w:rPr>
        <w:t xml:space="preserve"> G, </w:t>
      </w:r>
      <w:proofErr w:type="spellStart"/>
      <w:r w:rsidRPr="00E3666B">
        <w:rPr>
          <w:rFonts w:ascii="Times New Roman" w:eastAsia="ff8" w:hAnsi="Times New Roman" w:cs="Times New Roman"/>
          <w:color w:val="000000"/>
          <w:shd w:val="clear" w:color="auto" w:fill="FFFFFF"/>
          <w:lang w:eastAsia="zh-CN" w:bidi="ar"/>
        </w:rPr>
        <w:t>Uv</w:t>
      </w:r>
      <w:proofErr w:type="spellEnd"/>
      <w:r w:rsidRPr="00E3666B">
        <w:rPr>
          <w:rFonts w:ascii="Times New Roman" w:eastAsia="ff8" w:hAnsi="Times New Roman" w:cs="Times New Roman"/>
          <w:color w:val="000000"/>
          <w:shd w:val="clear" w:color="auto" w:fill="FFFFFF"/>
          <w:lang w:eastAsia="zh-CN" w:bidi="ar"/>
        </w:rPr>
        <w:t xml:space="preserve"> Spectrophotometric Method For Estimation Of New Drug,  </w:t>
      </w:r>
      <w:proofErr w:type="spellStart"/>
      <w:r w:rsidRPr="00E3666B">
        <w:rPr>
          <w:rFonts w:ascii="Times New Roman" w:eastAsia="ff8" w:hAnsi="Times New Roman" w:cs="Times New Roman"/>
          <w:color w:val="000000"/>
          <w:shd w:val="clear" w:color="auto" w:fill="FFFFFF"/>
          <w:lang w:eastAsia="zh-CN" w:bidi="ar"/>
        </w:rPr>
        <w:t>Daclatasvir</w:t>
      </w:r>
      <w:proofErr w:type="spellEnd"/>
      <w:r w:rsidRPr="00E3666B">
        <w:rPr>
          <w:rFonts w:ascii="Times New Roman" w:eastAsia="ff8" w:hAnsi="Times New Roman" w:cs="Times New Roman"/>
          <w:color w:val="000000"/>
          <w:shd w:val="clear" w:color="auto" w:fill="FFFFFF"/>
          <w:lang w:eastAsia="zh-CN" w:bidi="ar"/>
        </w:rPr>
        <w:t xml:space="preserve"> </w:t>
      </w:r>
      <w:proofErr w:type="spellStart"/>
      <w:r w:rsidRPr="00E3666B">
        <w:rPr>
          <w:rFonts w:ascii="Times New Roman" w:eastAsia="ff8" w:hAnsi="Times New Roman" w:cs="Times New Roman"/>
          <w:color w:val="000000"/>
          <w:shd w:val="clear" w:color="auto" w:fill="FFFFFF"/>
          <w:lang w:eastAsia="zh-CN" w:bidi="ar"/>
        </w:rPr>
        <w:t>Dihydrochloride,International</w:t>
      </w:r>
      <w:proofErr w:type="spellEnd"/>
      <w:r w:rsidRPr="00E3666B">
        <w:rPr>
          <w:rFonts w:ascii="Times New Roman" w:eastAsia="ff8" w:hAnsi="Times New Roman" w:cs="Times New Roman"/>
          <w:color w:val="000000"/>
          <w:shd w:val="clear" w:color="auto" w:fill="FFFFFF"/>
          <w:lang w:eastAsia="zh-CN" w:bidi="ar"/>
        </w:rPr>
        <w:t xml:space="preserve"> Research Journal Of Pharmacy ,2016,volume7,issue-9.</w:t>
      </w:r>
    </w:p>
    <w:p w:rsidR="00CF7FE0" w:rsidRPr="00E3666B" w:rsidRDefault="00CF7FE0" w:rsidP="00CF7FE0">
      <w:pPr>
        <w:numPr>
          <w:ilvl w:val="0"/>
          <w:numId w:val="4"/>
        </w:numPr>
        <w:shd w:val="clear" w:color="auto" w:fill="FFFFFF"/>
        <w:spacing w:after="0" w:line="360" w:lineRule="auto"/>
        <w:jc w:val="both"/>
        <w:rPr>
          <w:rFonts w:ascii="Times New Roman" w:eastAsia="ff8" w:hAnsi="Times New Roman" w:cs="Times New Roman"/>
          <w:color w:val="000000"/>
          <w:shd w:val="clear" w:color="auto" w:fill="FFFFFF"/>
          <w:lang w:eastAsia="zh-CN" w:bidi="ar"/>
        </w:rPr>
      </w:pPr>
      <w:r w:rsidRPr="00E3666B">
        <w:rPr>
          <w:rFonts w:ascii="Times New Roman" w:eastAsia="ff8" w:hAnsi="Times New Roman" w:cs="Times New Roman"/>
          <w:color w:val="000000"/>
          <w:shd w:val="clear" w:color="auto" w:fill="FFFFFF"/>
          <w:lang w:eastAsia="zh-CN" w:bidi="ar"/>
        </w:rPr>
        <w:t xml:space="preserve">Ashok </w:t>
      </w:r>
      <w:proofErr w:type="spellStart"/>
      <w:r w:rsidRPr="00E3666B">
        <w:rPr>
          <w:rFonts w:ascii="Times New Roman" w:eastAsia="ff8" w:hAnsi="Times New Roman" w:cs="Times New Roman"/>
          <w:color w:val="000000"/>
          <w:shd w:val="clear" w:color="auto" w:fill="FFFFFF"/>
          <w:lang w:eastAsia="zh-CN" w:bidi="ar"/>
        </w:rPr>
        <w:t>Chakravarthy</w:t>
      </w:r>
      <w:proofErr w:type="spellEnd"/>
      <w:r w:rsidRPr="00E3666B">
        <w:rPr>
          <w:rFonts w:ascii="Times New Roman" w:eastAsia="ff8" w:hAnsi="Times New Roman" w:cs="Times New Roman"/>
          <w:color w:val="000000"/>
          <w:shd w:val="clear" w:color="auto" w:fill="FFFFFF"/>
          <w:lang w:eastAsia="zh-CN" w:bidi="ar"/>
        </w:rPr>
        <w:t xml:space="preserve">, Method Development And Validation Of Ultraviolet-visible Spectroscopic Method For The Estimation Of Hepatitis-c Drugs - </w:t>
      </w:r>
      <w:proofErr w:type="spellStart"/>
      <w:r w:rsidRPr="00E3666B">
        <w:rPr>
          <w:rFonts w:ascii="Times New Roman" w:eastAsia="ff8" w:hAnsi="Times New Roman" w:cs="Times New Roman"/>
          <w:color w:val="000000"/>
          <w:shd w:val="clear" w:color="auto" w:fill="FFFFFF"/>
          <w:lang w:eastAsia="zh-CN" w:bidi="ar"/>
        </w:rPr>
        <w:t>Daclatasvir</w:t>
      </w:r>
      <w:proofErr w:type="spellEnd"/>
      <w:r w:rsidRPr="00E3666B">
        <w:rPr>
          <w:rFonts w:ascii="Times New Roman" w:eastAsia="ff8" w:hAnsi="Times New Roman" w:cs="Times New Roman"/>
          <w:color w:val="000000"/>
          <w:shd w:val="clear" w:color="auto" w:fill="FFFFFF"/>
          <w:lang w:eastAsia="zh-CN" w:bidi="ar"/>
        </w:rPr>
        <w:t xml:space="preserve"> And </w:t>
      </w:r>
      <w:proofErr w:type="spellStart"/>
      <w:r w:rsidRPr="00E3666B">
        <w:rPr>
          <w:rFonts w:ascii="Times New Roman" w:eastAsia="ff8" w:hAnsi="Times New Roman" w:cs="Times New Roman"/>
          <w:color w:val="000000"/>
          <w:shd w:val="clear" w:color="auto" w:fill="FFFFFF"/>
          <w:lang w:eastAsia="zh-CN" w:bidi="ar"/>
        </w:rPr>
        <w:t>Sofosbuvir</w:t>
      </w:r>
      <w:proofErr w:type="spellEnd"/>
      <w:r w:rsidRPr="00E3666B">
        <w:rPr>
          <w:rFonts w:ascii="Times New Roman" w:eastAsia="ff8" w:hAnsi="Times New Roman" w:cs="Times New Roman"/>
          <w:color w:val="000000"/>
          <w:shd w:val="clear" w:color="auto" w:fill="FFFFFF"/>
          <w:lang w:eastAsia="zh-CN" w:bidi="ar"/>
        </w:rPr>
        <w:t xml:space="preserve"> In Active Pharmaceutical Ingredient </w:t>
      </w:r>
      <w:proofErr w:type="spellStart"/>
      <w:r w:rsidRPr="00E3666B">
        <w:rPr>
          <w:rFonts w:ascii="Times New Roman" w:eastAsia="ff8" w:hAnsi="Times New Roman" w:cs="Times New Roman"/>
          <w:color w:val="000000"/>
          <w:shd w:val="clear" w:color="auto" w:fill="FFFFFF"/>
          <w:lang w:eastAsia="zh-CN" w:bidi="ar"/>
        </w:rPr>
        <w:t>Form,Asian</w:t>
      </w:r>
      <w:proofErr w:type="spellEnd"/>
      <w:r w:rsidRPr="00E3666B">
        <w:rPr>
          <w:rFonts w:ascii="Times New Roman" w:eastAsia="ff8" w:hAnsi="Times New Roman" w:cs="Times New Roman"/>
          <w:color w:val="000000"/>
          <w:shd w:val="clear" w:color="auto" w:fill="FFFFFF"/>
          <w:lang w:eastAsia="zh-CN" w:bidi="ar"/>
        </w:rPr>
        <w:t xml:space="preserve"> journal of Pharmaceutical and Clinical Research,2016,volume 9,issue 3. </w:t>
      </w:r>
    </w:p>
    <w:p w:rsidR="00CF7FE0" w:rsidRPr="00E3666B" w:rsidRDefault="00CF7FE0" w:rsidP="00CF7FE0">
      <w:pPr>
        <w:shd w:val="clear" w:color="auto" w:fill="FFFFFF"/>
        <w:spacing w:line="360" w:lineRule="auto"/>
        <w:jc w:val="both"/>
        <w:rPr>
          <w:rFonts w:ascii="Times New Roman" w:eastAsia="ff8" w:hAnsi="Times New Roman" w:cs="Times New Roman"/>
          <w:color w:val="000000"/>
          <w:shd w:val="clear" w:color="auto" w:fill="FFFFFF"/>
          <w:lang w:eastAsia="zh-CN" w:bidi="ar"/>
        </w:rPr>
      </w:pPr>
    </w:p>
    <w:p w:rsidR="00CF7FE0" w:rsidRPr="00CF7FE0" w:rsidRDefault="00CF7FE0" w:rsidP="00CF7FE0">
      <w:pPr>
        <w:numPr>
          <w:ilvl w:val="0"/>
          <w:numId w:val="4"/>
        </w:numPr>
        <w:shd w:val="clear" w:color="auto" w:fill="FFFFFF"/>
        <w:spacing w:after="0" w:line="360" w:lineRule="auto"/>
        <w:jc w:val="both"/>
        <w:rPr>
          <w:rFonts w:ascii="Times New Roman" w:eastAsia="ff8" w:hAnsi="Times New Roman" w:cs="Times New Roman"/>
          <w:color w:val="000000"/>
          <w:shd w:val="clear" w:color="auto" w:fill="FFFFFF"/>
          <w:lang w:eastAsia="zh-CN" w:bidi="ar"/>
        </w:rPr>
      </w:pPr>
      <w:r w:rsidRPr="00E3666B">
        <w:rPr>
          <w:rFonts w:ascii="Times New Roman" w:eastAsia="ff8" w:hAnsi="Times New Roman" w:cs="Times New Roman"/>
          <w:color w:val="000000"/>
          <w:shd w:val="clear" w:color="auto" w:fill="FFFFFF"/>
          <w:lang w:eastAsia="zh-CN" w:bidi="ar"/>
        </w:rPr>
        <w:t xml:space="preserve">Amira S. </w:t>
      </w:r>
      <w:proofErr w:type="spellStart"/>
      <w:r w:rsidRPr="00E3666B">
        <w:rPr>
          <w:rFonts w:ascii="Times New Roman" w:eastAsia="ff8" w:hAnsi="Times New Roman" w:cs="Times New Roman"/>
          <w:color w:val="000000"/>
          <w:shd w:val="clear" w:color="auto" w:fill="FFFFFF"/>
          <w:lang w:eastAsia="zh-CN" w:bidi="ar"/>
        </w:rPr>
        <w:t>Eldin</w:t>
      </w:r>
      <w:proofErr w:type="spellEnd"/>
      <w:r w:rsidRPr="00E3666B">
        <w:rPr>
          <w:rFonts w:ascii="Times New Roman" w:eastAsia="ff8" w:hAnsi="Times New Roman" w:cs="Times New Roman"/>
          <w:color w:val="000000"/>
          <w:shd w:val="clear" w:color="auto" w:fill="FFFFFF"/>
          <w:lang w:eastAsia="zh-CN" w:bidi="ar"/>
        </w:rPr>
        <w:t xml:space="preserve">, The Development of A New Validated HPLC and Spectrophotometric Methods for the Simultaneous Determination of </w:t>
      </w:r>
      <w:proofErr w:type="spellStart"/>
      <w:r w:rsidRPr="00E3666B">
        <w:rPr>
          <w:rFonts w:ascii="Times New Roman" w:eastAsia="ff8" w:hAnsi="Times New Roman" w:cs="Times New Roman"/>
          <w:color w:val="000000"/>
          <w:shd w:val="clear" w:color="auto" w:fill="FFFFFF"/>
          <w:lang w:eastAsia="zh-CN" w:bidi="ar"/>
        </w:rPr>
        <w:t>Daclatasvir</w:t>
      </w:r>
      <w:proofErr w:type="spellEnd"/>
      <w:r w:rsidRPr="00E3666B">
        <w:rPr>
          <w:rFonts w:ascii="Times New Roman" w:eastAsia="ff8" w:hAnsi="Times New Roman" w:cs="Times New Roman"/>
          <w:color w:val="000000"/>
          <w:shd w:val="clear" w:color="auto" w:fill="FFFFFF"/>
          <w:lang w:eastAsia="zh-CN" w:bidi="ar"/>
        </w:rPr>
        <w:t xml:space="preserve"> and </w:t>
      </w:r>
      <w:proofErr w:type="spellStart"/>
      <w:r w:rsidRPr="00E3666B">
        <w:rPr>
          <w:rFonts w:ascii="Times New Roman" w:eastAsia="ff8" w:hAnsi="Times New Roman" w:cs="Times New Roman"/>
          <w:color w:val="000000"/>
          <w:shd w:val="clear" w:color="auto" w:fill="FFFFFF"/>
          <w:lang w:eastAsia="zh-CN" w:bidi="ar"/>
        </w:rPr>
        <w:t>Sofosbuvir</w:t>
      </w:r>
      <w:proofErr w:type="spellEnd"/>
      <w:r w:rsidRPr="00E3666B">
        <w:rPr>
          <w:rFonts w:ascii="Times New Roman" w:eastAsia="ff8" w:hAnsi="Times New Roman" w:cs="Times New Roman"/>
          <w:color w:val="000000"/>
          <w:shd w:val="clear" w:color="auto" w:fill="FFFFFF"/>
          <w:lang w:eastAsia="zh-CN" w:bidi="ar"/>
        </w:rPr>
        <w:t xml:space="preserve">: Antiviral drugs, Journal of Pharmacy </w:t>
      </w:r>
      <w:proofErr w:type="gramStart"/>
      <w:r w:rsidRPr="00E3666B">
        <w:rPr>
          <w:rFonts w:ascii="Times New Roman" w:eastAsia="ff8" w:hAnsi="Times New Roman" w:cs="Times New Roman"/>
          <w:color w:val="000000"/>
          <w:shd w:val="clear" w:color="auto" w:fill="FFFFFF"/>
          <w:lang w:eastAsia="zh-CN" w:bidi="ar"/>
        </w:rPr>
        <w:t>and  Pharmacology</w:t>
      </w:r>
      <w:proofErr w:type="gramEnd"/>
      <w:r w:rsidRPr="00E3666B">
        <w:rPr>
          <w:rFonts w:ascii="Times New Roman" w:eastAsia="ff8" w:hAnsi="Times New Roman" w:cs="Times New Roman"/>
          <w:color w:val="000000"/>
          <w:shd w:val="clear" w:color="auto" w:fill="FFFFFF"/>
          <w:lang w:eastAsia="zh-CN" w:bidi="ar"/>
        </w:rPr>
        <w:t xml:space="preserve"> Research 2017,volume 1,issue 1,page no:028-042.</w:t>
      </w:r>
    </w:p>
    <w:p w:rsidR="00CF7FE0" w:rsidRPr="00CF7FE0" w:rsidRDefault="00CF7FE0" w:rsidP="00CF7FE0">
      <w:pPr>
        <w:numPr>
          <w:ilvl w:val="0"/>
          <w:numId w:val="4"/>
        </w:numPr>
        <w:shd w:val="clear" w:color="auto" w:fill="FFFFFF"/>
        <w:spacing w:after="0" w:line="360" w:lineRule="auto"/>
        <w:jc w:val="both"/>
        <w:rPr>
          <w:rFonts w:ascii="Times New Roman" w:eastAsia="ff8" w:hAnsi="Times New Roman" w:cs="Times New Roman"/>
          <w:color w:val="000000"/>
          <w:shd w:val="clear" w:color="auto" w:fill="FFFFFF"/>
          <w:lang w:eastAsia="zh-CN" w:bidi="ar"/>
        </w:rPr>
      </w:pPr>
      <w:proofErr w:type="spellStart"/>
      <w:r w:rsidRPr="00E3666B">
        <w:rPr>
          <w:rFonts w:ascii="Times New Roman" w:eastAsia="ff8" w:hAnsi="Times New Roman" w:cs="Times New Roman"/>
          <w:color w:val="000000"/>
          <w:shd w:val="clear" w:color="auto" w:fill="FFFFFF"/>
          <w:lang w:eastAsia="zh-CN" w:bidi="ar"/>
        </w:rPr>
        <w:t>Khushbu</w:t>
      </w:r>
      <w:proofErr w:type="spellEnd"/>
      <w:r w:rsidRPr="00E3666B">
        <w:rPr>
          <w:rFonts w:ascii="Times New Roman" w:eastAsia="ff8" w:hAnsi="Times New Roman" w:cs="Times New Roman"/>
          <w:color w:val="000000"/>
          <w:shd w:val="clear" w:color="auto" w:fill="FFFFFF"/>
          <w:lang w:eastAsia="zh-CN" w:bidi="ar"/>
        </w:rPr>
        <w:t xml:space="preserve"> S. </w:t>
      </w:r>
      <w:proofErr w:type="spellStart"/>
      <w:r w:rsidRPr="00E3666B">
        <w:rPr>
          <w:rFonts w:ascii="Times New Roman" w:eastAsia="ff8" w:hAnsi="Times New Roman" w:cs="Times New Roman"/>
          <w:color w:val="000000"/>
          <w:shd w:val="clear" w:color="auto" w:fill="FFFFFF"/>
          <w:lang w:eastAsia="zh-CN" w:bidi="ar"/>
        </w:rPr>
        <w:t>Bhavsar</w:t>
      </w:r>
      <w:proofErr w:type="spellEnd"/>
      <w:r w:rsidRPr="00E3666B">
        <w:rPr>
          <w:rFonts w:ascii="Times New Roman" w:eastAsia="ff8" w:hAnsi="Times New Roman" w:cs="Times New Roman"/>
          <w:color w:val="000000"/>
          <w:shd w:val="clear" w:color="auto" w:fill="FFFFFF"/>
          <w:lang w:eastAsia="zh-CN" w:bidi="ar"/>
        </w:rPr>
        <w:t>, Development And Validation Of Stability Indicating RP- HPLC  Method For T</w:t>
      </w:r>
      <w:r>
        <w:rPr>
          <w:rFonts w:ascii="Times New Roman" w:eastAsia="ff8" w:hAnsi="Times New Roman" w:cs="Times New Roman"/>
          <w:color w:val="000000"/>
          <w:shd w:val="clear" w:color="auto" w:fill="FFFFFF"/>
          <w:lang w:eastAsia="zh-CN" w:bidi="ar"/>
        </w:rPr>
        <w:t>he Simultaneous Estimation of</w:t>
      </w:r>
      <w:r w:rsidRPr="00E3666B">
        <w:rPr>
          <w:rFonts w:ascii="Times New Roman" w:eastAsia="ff8" w:hAnsi="Times New Roman" w:cs="Times New Roman"/>
          <w:color w:val="000000"/>
          <w:shd w:val="clear" w:color="auto" w:fill="FFFFFF"/>
          <w:lang w:eastAsia="zh-CN" w:bidi="ar"/>
        </w:rPr>
        <w:t xml:space="preserve"> </w:t>
      </w:r>
      <w:proofErr w:type="spellStart"/>
      <w:r w:rsidRPr="00E3666B">
        <w:rPr>
          <w:rFonts w:ascii="Times New Roman" w:eastAsia="ff8" w:hAnsi="Times New Roman" w:cs="Times New Roman"/>
          <w:color w:val="000000"/>
          <w:shd w:val="clear" w:color="auto" w:fill="FFFFFF"/>
          <w:lang w:eastAsia="zh-CN" w:bidi="ar"/>
        </w:rPr>
        <w:t>sofosbuvir</w:t>
      </w:r>
      <w:proofErr w:type="spellEnd"/>
      <w:r w:rsidRPr="00E3666B">
        <w:rPr>
          <w:rFonts w:ascii="Times New Roman" w:eastAsia="ff8" w:hAnsi="Times New Roman" w:cs="Times New Roman"/>
          <w:color w:val="000000"/>
          <w:shd w:val="clear" w:color="auto" w:fill="FFFFFF"/>
          <w:lang w:eastAsia="zh-CN" w:bidi="ar"/>
        </w:rPr>
        <w:t xml:space="preserve"> and </w:t>
      </w:r>
      <w:proofErr w:type="spellStart"/>
      <w:r w:rsidRPr="00E3666B">
        <w:rPr>
          <w:rFonts w:ascii="Times New Roman" w:eastAsia="ff8" w:hAnsi="Times New Roman" w:cs="Times New Roman"/>
          <w:color w:val="000000"/>
          <w:shd w:val="clear" w:color="auto" w:fill="FFFFFF"/>
          <w:lang w:eastAsia="zh-CN" w:bidi="ar"/>
        </w:rPr>
        <w:t>Daclatasvir</w:t>
      </w:r>
      <w:proofErr w:type="spellEnd"/>
      <w:r w:rsidRPr="00E3666B">
        <w:rPr>
          <w:rFonts w:ascii="Times New Roman" w:eastAsia="ff8" w:hAnsi="Times New Roman" w:cs="Times New Roman"/>
          <w:color w:val="000000"/>
          <w:shd w:val="clear" w:color="auto" w:fill="FFFFFF"/>
          <w:lang w:eastAsia="zh-CN" w:bidi="ar"/>
        </w:rPr>
        <w:t xml:space="preserve"> </w:t>
      </w:r>
      <w:proofErr w:type="spellStart"/>
      <w:r w:rsidRPr="00E3666B">
        <w:rPr>
          <w:rFonts w:ascii="Times New Roman" w:eastAsia="ff8" w:hAnsi="Times New Roman" w:cs="Times New Roman"/>
          <w:color w:val="000000"/>
          <w:shd w:val="clear" w:color="auto" w:fill="FFFFFF"/>
          <w:lang w:eastAsia="zh-CN" w:bidi="ar"/>
        </w:rPr>
        <w:t>Dihydrochloride</w:t>
      </w:r>
      <w:proofErr w:type="spellEnd"/>
      <w:r w:rsidRPr="00E3666B">
        <w:rPr>
          <w:rFonts w:ascii="Times New Roman" w:eastAsia="ff8" w:hAnsi="Times New Roman" w:cs="Times New Roman"/>
          <w:color w:val="000000"/>
          <w:shd w:val="clear" w:color="auto" w:fill="FFFFFF"/>
          <w:lang w:eastAsia="zh-CN" w:bidi="ar"/>
        </w:rPr>
        <w:t xml:space="preserve"> In Solid Dosage </w:t>
      </w:r>
      <w:proofErr w:type="spellStart"/>
      <w:r w:rsidRPr="00E3666B">
        <w:rPr>
          <w:rFonts w:ascii="Times New Roman" w:eastAsia="ff8" w:hAnsi="Times New Roman" w:cs="Times New Roman"/>
          <w:color w:val="000000"/>
          <w:shd w:val="clear" w:color="auto" w:fill="FFFFFF"/>
          <w:lang w:eastAsia="zh-CN" w:bidi="ar"/>
        </w:rPr>
        <w:t>Form.World</w:t>
      </w:r>
      <w:proofErr w:type="spellEnd"/>
      <w:r w:rsidRPr="00E3666B">
        <w:rPr>
          <w:rFonts w:ascii="Times New Roman" w:eastAsia="ff8" w:hAnsi="Times New Roman" w:cs="Times New Roman"/>
          <w:color w:val="000000"/>
          <w:shd w:val="clear" w:color="auto" w:fill="FFFFFF"/>
          <w:lang w:eastAsia="zh-CN" w:bidi="ar"/>
        </w:rPr>
        <w:t xml:space="preserve"> Journal of Pharmacy And Pharmaceutical Sciences, 2018, </w:t>
      </w:r>
      <w:proofErr w:type="spellStart"/>
      <w:r w:rsidRPr="00E3666B">
        <w:rPr>
          <w:rFonts w:ascii="Times New Roman" w:eastAsia="ff8" w:hAnsi="Times New Roman" w:cs="Times New Roman"/>
          <w:color w:val="000000"/>
          <w:shd w:val="clear" w:color="auto" w:fill="FFFFFF"/>
          <w:lang w:eastAsia="zh-CN" w:bidi="ar"/>
        </w:rPr>
        <w:t>Vol</w:t>
      </w:r>
      <w:proofErr w:type="spellEnd"/>
      <w:r w:rsidRPr="00E3666B">
        <w:rPr>
          <w:rFonts w:ascii="Times New Roman" w:eastAsia="ff8" w:hAnsi="Times New Roman" w:cs="Times New Roman"/>
          <w:color w:val="000000"/>
          <w:shd w:val="clear" w:color="auto" w:fill="FFFFFF"/>
          <w:lang w:eastAsia="zh-CN" w:bidi="ar"/>
        </w:rPr>
        <w:t xml:space="preserve"> 7, Issue 3.</w:t>
      </w:r>
    </w:p>
    <w:p w:rsidR="00CF7FE0" w:rsidRPr="002A6B9A" w:rsidRDefault="00CF7FE0" w:rsidP="00CF7FE0">
      <w:pPr>
        <w:numPr>
          <w:ilvl w:val="0"/>
          <w:numId w:val="4"/>
        </w:numPr>
        <w:shd w:val="clear" w:color="auto" w:fill="FFFFFF"/>
        <w:spacing w:after="0" w:line="360" w:lineRule="auto"/>
        <w:jc w:val="both"/>
        <w:rPr>
          <w:rFonts w:ascii="Times New Roman" w:eastAsia="ff4" w:hAnsi="Times New Roman" w:cs="Times New Roman"/>
          <w:color w:val="231F20"/>
          <w:shd w:val="clear" w:color="auto" w:fill="FFFFFF"/>
          <w:lang w:eastAsia="zh-CN" w:bidi="ar"/>
        </w:rPr>
      </w:pPr>
      <w:proofErr w:type="spellStart"/>
      <w:r w:rsidRPr="00E3666B">
        <w:rPr>
          <w:rFonts w:ascii="Times New Roman" w:eastAsia="ff4" w:hAnsi="Times New Roman" w:cs="Times New Roman"/>
          <w:color w:val="231F20"/>
          <w:shd w:val="clear" w:color="auto" w:fill="FFFFFF"/>
          <w:lang w:eastAsia="zh-CN" w:bidi="ar"/>
        </w:rPr>
        <w:t>Ravikumar</w:t>
      </w:r>
      <w:proofErr w:type="spellEnd"/>
      <w:r w:rsidRPr="00E3666B">
        <w:rPr>
          <w:rFonts w:ascii="Times New Roman" w:eastAsia="ff4" w:hAnsi="Times New Roman" w:cs="Times New Roman"/>
          <w:color w:val="231F20"/>
          <w:shd w:val="clear" w:color="auto" w:fill="FFFFFF"/>
          <w:lang w:eastAsia="zh-CN" w:bidi="ar"/>
        </w:rPr>
        <w:t xml:space="preserve"> </w:t>
      </w:r>
      <w:proofErr w:type="spellStart"/>
      <w:r w:rsidRPr="00E3666B">
        <w:rPr>
          <w:rFonts w:ascii="Times New Roman" w:eastAsia="ff4" w:hAnsi="Times New Roman" w:cs="Times New Roman"/>
          <w:color w:val="231F20"/>
          <w:shd w:val="clear" w:color="auto" w:fill="FFFFFF"/>
          <w:lang w:eastAsia="zh-CN" w:bidi="ar"/>
        </w:rPr>
        <w:t>Vejendla</w:t>
      </w:r>
      <w:proofErr w:type="spellEnd"/>
      <w:r w:rsidRPr="00E3666B">
        <w:rPr>
          <w:rFonts w:ascii="Times New Roman" w:eastAsia="ff4" w:hAnsi="Times New Roman" w:cs="Times New Roman"/>
          <w:color w:val="231F20"/>
          <w:shd w:val="clear" w:color="auto" w:fill="FFFFFF"/>
          <w:lang w:eastAsia="zh-CN" w:bidi="ar"/>
        </w:rPr>
        <w:t xml:space="preserve">, C.V.S. </w:t>
      </w:r>
      <w:proofErr w:type="spellStart"/>
      <w:r w:rsidRPr="00E3666B">
        <w:rPr>
          <w:rFonts w:ascii="Times New Roman" w:eastAsia="ff4" w:hAnsi="Times New Roman" w:cs="Times New Roman"/>
          <w:color w:val="231F20"/>
          <w:shd w:val="clear" w:color="auto" w:fill="FFFFFF"/>
          <w:lang w:eastAsia="zh-CN" w:bidi="ar"/>
        </w:rPr>
        <w:t>Subramanyam</w:t>
      </w:r>
      <w:proofErr w:type="spellEnd"/>
      <w:r w:rsidRPr="00E3666B">
        <w:rPr>
          <w:rFonts w:ascii="Times New Roman" w:eastAsia="ff4" w:hAnsi="Times New Roman" w:cs="Times New Roman"/>
          <w:color w:val="231F20"/>
          <w:shd w:val="clear" w:color="auto" w:fill="FFFFFF"/>
          <w:lang w:eastAsia="zh-CN" w:bidi="ar"/>
        </w:rPr>
        <w:t xml:space="preserve">, G. </w:t>
      </w:r>
      <w:proofErr w:type="spellStart"/>
      <w:r w:rsidRPr="00E3666B">
        <w:rPr>
          <w:rFonts w:ascii="Times New Roman" w:eastAsia="ff4" w:hAnsi="Times New Roman" w:cs="Times New Roman"/>
          <w:color w:val="231F20"/>
          <w:shd w:val="clear" w:color="auto" w:fill="FFFFFF"/>
          <w:lang w:eastAsia="zh-CN" w:bidi="ar"/>
        </w:rPr>
        <w:t>Veerabhadram</w:t>
      </w:r>
      <w:proofErr w:type="spellEnd"/>
      <w:r w:rsidRPr="00E3666B">
        <w:rPr>
          <w:rFonts w:ascii="Times New Roman" w:eastAsia="ff4" w:hAnsi="Times New Roman" w:cs="Times New Roman"/>
          <w:color w:val="231F20"/>
          <w:shd w:val="clear" w:color="auto" w:fill="FFFFFF"/>
          <w:lang w:eastAsia="zh-CN" w:bidi="ar"/>
        </w:rPr>
        <w:t xml:space="preserve">, </w:t>
      </w:r>
      <w:r w:rsidRPr="00E3666B">
        <w:rPr>
          <w:rFonts w:ascii="Times New Roman" w:eastAsia="ff5" w:hAnsi="Times New Roman" w:cs="Times New Roman"/>
          <w:color w:val="231F20"/>
          <w:shd w:val="clear" w:color="auto" w:fill="FFFFFF"/>
          <w:lang w:eastAsia="zh-CN" w:bidi="ar"/>
        </w:rPr>
        <w:t xml:space="preserve">2016. Estimation and Validation of </w:t>
      </w:r>
      <w:proofErr w:type="spellStart"/>
      <w:r w:rsidRPr="00E3666B">
        <w:rPr>
          <w:rFonts w:ascii="Times New Roman" w:eastAsia="ff5" w:hAnsi="Times New Roman" w:cs="Times New Roman"/>
          <w:color w:val="231F20"/>
          <w:shd w:val="clear" w:color="auto" w:fill="FFFFFF"/>
          <w:lang w:eastAsia="zh-CN" w:bidi="ar"/>
        </w:rPr>
        <w:t>Sofosbuvir</w:t>
      </w:r>
      <w:proofErr w:type="spellEnd"/>
      <w:r w:rsidRPr="00E3666B">
        <w:rPr>
          <w:rFonts w:ascii="Times New Roman" w:eastAsia="ff5" w:hAnsi="Times New Roman" w:cs="Times New Roman"/>
          <w:color w:val="231F20"/>
          <w:shd w:val="clear" w:color="auto" w:fill="FFFFFF"/>
          <w:lang w:eastAsia="zh-CN" w:bidi="ar"/>
        </w:rPr>
        <w:t xml:space="preserve"> in Bulk and Tablet </w:t>
      </w:r>
      <w:r w:rsidRPr="00E3666B">
        <w:rPr>
          <w:rFonts w:ascii="Times New Roman" w:eastAsia="ff4" w:hAnsi="Times New Roman" w:cs="Times New Roman"/>
          <w:color w:val="231F20"/>
          <w:shd w:val="clear" w:color="auto" w:fill="FFFFFF"/>
          <w:lang w:eastAsia="zh-CN" w:bidi="ar"/>
        </w:rPr>
        <w:t xml:space="preserve">Dosage Form by RP-HPLC. </w:t>
      </w:r>
      <w:proofErr w:type="spellStart"/>
      <w:r w:rsidRPr="00E3666B">
        <w:rPr>
          <w:rFonts w:ascii="Times New Roman" w:eastAsia="ff4" w:hAnsi="Times New Roman" w:cs="Times New Roman"/>
          <w:color w:val="231F20"/>
          <w:shd w:val="clear" w:color="auto" w:fill="FFFFFF"/>
          <w:lang w:eastAsia="zh-CN" w:bidi="ar"/>
        </w:rPr>
        <w:t>Int</w:t>
      </w:r>
      <w:proofErr w:type="spellEnd"/>
      <w:r w:rsidRPr="00E3666B">
        <w:rPr>
          <w:rFonts w:ascii="Times New Roman" w:eastAsia="ff4" w:hAnsi="Times New Roman" w:cs="Times New Roman"/>
          <w:color w:val="231F20"/>
          <w:shd w:val="clear" w:color="auto" w:fill="FFFFFF"/>
          <w:lang w:eastAsia="zh-CN" w:bidi="ar"/>
        </w:rPr>
        <w:t xml:space="preserve"> J Pharm. 6, 121-127.</w:t>
      </w:r>
    </w:p>
    <w:p w:rsidR="00CF7FE0" w:rsidRPr="002A6B9A" w:rsidRDefault="00CF7FE0" w:rsidP="00CF7FE0">
      <w:pPr>
        <w:numPr>
          <w:ilvl w:val="0"/>
          <w:numId w:val="4"/>
        </w:numPr>
        <w:shd w:val="clear" w:color="auto" w:fill="FFFFFF"/>
        <w:spacing w:after="0" w:line="360" w:lineRule="auto"/>
        <w:jc w:val="both"/>
        <w:rPr>
          <w:rFonts w:ascii="Times New Roman" w:eastAsia="ff4" w:hAnsi="Times New Roman" w:cs="Times New Roman"/>
          <w:color w:val="231F20"/>
          <w:shd w:val="clear" w:color="auto" w:fill="FFFFFF"/>
          <w:lang w:eastAsia="zh-CN" w:bidi="ar"/>
        </w:rPr>
      </w:pPr>
      <w:r w:rsidRPr="00E3666B">
        <w:rPr>
          <w:rFonts w:ascii="Times New Roman" w:eastAsia="ff4" w:hAnsi="Times New Roman" w:cs="Times New Roman"/>
          <w:color w:val="231F20"/>
          <w:shd w:val="clear" w:color="auto" w:fill="FFFFFF"/>
          <w:lang w:eastAsia="zh-CN" w:bidi="ar"/>
        </w:rPr>
        <w:t xml:space="preserve">H.M. </w:t>
      </w:r>
      <w:proofErr w:type="spellStart"/>
      <w:r w:rsidRPr="00E3666B">
        <w:rPr>
          <w:rFonts w:ascii="Times New Roman" w:eastAsia="ff4" w:hAnsi="Times New Roman" w:cs="Times New Roman"/>
          <w:color w:val="231F20"/>
          <w:shd w:val="clear" w:color="auto" w:fill="FFFFFF"/>
          <w:lang w:eastAsia="zh-CN" w:bidi="ar"/>
        </w:rPr>
        <w:t>Lotfy</w:t>
      </w:r>
      <w:proofErr w:type="spellEnd"/>
      <w:r w:rsidRPr="00E3666B">
        <w:rPr>
          <w:rFonts w:ascii="Times New Roman" w:eastAsia="ff4" w:hAnsi="Times New Roman" w:cs="Times New Roman"/>
          <w:color w:val="231F20"/>
          <w:shd w:val="clear" w:color="auto" w:fill="FFFFFF"/>
          <w:lang w:eastAsia="zh-CN" w:bidi="ar"/>
        </w:rPr>
        <w:t>, M. Abdel-</w:t>
      </w:r>
      <w:proofErr w:type="spellStart"/>
      <w:r w:rsidRPr="00E3666B">
        <w:rPr>
          <w:rFonts w:ascii="Times New Roman" w:eastAsia="ff4" w:hAnsi="Times New Roman" w:cs="Times New Roman"/>
          <w:color w:val="231F20"/>
          <w:shd w:val="clear" w:color="auto" w:fill="FFFFFF"/>
          <w:lang w:eastAsia="zh-CN" w:bidi="ar"/>
        </w:rPr>
        <w:t>Monem</w:t>
      </w:r>
      <w:proofErr w:type="spellEnd"/>
      <w:r w:rsidRPr="00E3666B">
        <w:rPr>
          <w:rFonts w:ascii="Times New Roman" w:eastAsia="ff4" w:hAnsi="Times New Roman" w:cs="Times New Roman"/>
          <w:color w:val="231F20"/>
          <w:shd w:val="clear" w:color="auto" w:fill="FFFFFF"/>
          <w:lang w:eastAsia="zh-CN" w:bidi="ar"/>
        </w:rPr>
        <w:t xml:space="preserve"> </w:t>
      </w:r>
      <w:proofErr w:type="spellStart"/>
      <w:proofErr w:type="gramStart"/>
      <w:r w:rsidRPr="00E3666B">
        <w:rPr>
          <w:rFonts w:ascii="Times New Roman" w:eastAsia="ff4" w:hAnsi="Times New Roman" w:cs="Times New Roman"/>
          <w:color w:val="231F20"/>
          <w:shd w:val="clear" w:color="auto" w:fill="FFFFFF"/>
          <w:lang w:eastAsia="zh-CN" w:bidi="ar"/>
        </w:rPr>
        <w:t>Hagazy</w:t>
      </w:r>
      <w:proofErr w:type="spellEnd"/>
      <w:r w:rsidRPr="00E3666B">
        <w:rPr>
          <w:rFonts w:ascii="Times New Roman" w:eastAsia="ff4" w:hAnsi="Times New Roman" w:cs="Times New Roman"/>
          <w:color w:val="231F20"/>
          <w:shd w:val="clear" w:color="auto" w:fill="FFFFFF"/>
          <w:lang w:eastAsia="zh-CN" w:bidi="ar"/>
        </w:rPr>
        <w:t xml:space="preserve"> ,</w:t>
      </w:r>
      <w:proofErr w:type="gramEnd"/>
      <w:r w:rsidRPr="00E3666B">
        <w:rPr>
          <w:rFonts w:ascii="Times New Roman" w:eastAsia="ff4" w:hAnsi="Times New Roman" w:cs="Times New Roman"/>
          <w:color w:val="231F20"/>
          <w:shd w:val="clear" w:color="auto" w:fill="FFFFFF"/>
          <w:lang w:eastAsia="zh-CN" w:bidi="ar"/>
        </w:rPr>
        <w:t xml:space="preserve"> Comparative study of novel spectrophotometric methods manipulating ratio spectra: An application on pharmaceutical ternary mixture of omeprazole,     </w:t>
      </w:r>
      <w:proofErr w:type="spellStart"/>
      <w:r w:rsidRPr="00E3666B">
        <w:rPr>
          <w:rFonts w:ascii="Times New Roman" w:eastAsia="ff4" w:hAnsi="Times New Roman" w:cs="Times New Roman"/>
          <w:color w:val="231F20"/>
          <w:shd w:val="clear" w:color="auto" w:fill="FFFFFF"/>
          <w:lang w:eastAsia="zh-CN" w:bidi="ar"/>
        </w:rPr>
        <w:t>tinidazole</w:t>
      </w:r>
      <w:proofErr w:type="spellEnd"/>
      <w:r w:rsidRPr="00E3666B">
        <w:rPr>
          <w:rFonts w:ascii="Times New Roman" w:eastAsia="ff4" w:hAnsi="Times New Roman" w:cs="Times New Roman"/>
          <w:color w:val="231F20"/>
          <w:shd w:val="clear" w:color="auto" w:fill="FFFFFF"/>
          <w:lang w:eastAsia="zh-CN" w:bidi="ar"/>
        </w:rPr>
        <w:t xml:space="preserve"> and clarithromycin, </w:t>
      </w:r>
      <w:proofErr w:type="spellStart"/>
      <w:r w:rsidRPr="00E3666B">
        <w:rPr>
          <w:rFonts w:ascii="Times New Roman" w:eastAsia="ff4" w:hAnsi="Times New Roman" w:cs="Times New Roman"/>
          <w:color w:val="231F20"/>
          <w:shd w:val="clear" w:color="auto" w:fill="FFFFFF"/>
          <w:lang w:eastAsia="zh-CN" w:bidi="ar"/>
        </w:rPr>
        <w:t>Spectrochim</w:t>
      </w:r>
      <w:proofErr w:type="spellEnd"/>
      <w:r w:rsidRPr="00E3666B">
        <w:rPr>
          <w:rFonts w:ascii="Times New Roman" w:eastAsia="ff4" w:hAnsi="Times New Roman" w:cs="Times New Roman"/>
          <w:color w:val="231F20"/>
          <w:shd w:val="clear" w:color="auto" w:fill="FFFFFF"/>
          <w:lang w:eastAsia="zh-CN" w:bidi="ar"/>
        </w:rPr>
        <w:t>. Act A</w:t>
      </w:r>
      <w:proofErr w:type="gramStart"/>
      <w:r w:rsidRPr="00E3666B">
        <w:rPr>
          <w:rFonts w:ascii="Times New Roman" w:eastAsia="ff4" w:hAnsi="Times New Roman" w:cs="Times New Roman"/>
          <w:color w:val="231F20"/>
          <w:shd w:val="clear" w:color="auto" w:fill="FFFFFF"/>
          <w:lang w:eastAsia="zh-CN" w:bidi="ar"/>
        </w:rPr>
        <w:t>,96</w:t>
      </w:r>
      <w:proofErr w:type="gramEnd"/>
      <w:r w:rsidRPr="00E3666B">
        <w:rPr>
          <w:rFonts w:ascii="Times New Roman" w:eastAsia="ff4" w:hAnsi="Times New Roman" w:cs="Times New Roman"/>
          <w:color w:val="231F20"/>
          <w:shd w:val="clear" w:color="auto" w:fill="FFFFFF"/>
          <w:lang w:eastAsia="zh-CN" w:bidi="ar"/>
        </w:rPr>
        <w:t xml:space="preserve"> (2012) 259-270.</w:t>
      </w:r>
    </w:p>
    <w:p w:rsidR="00CF7FE0" w:rsidRPr="002A6B9A" w:rsidRDefault="00CF7FE0" w:rsidP="00CF7FE0">
      <w:pPr>
        <w:numPr>
          <w:ilvl w:val="0"/>
          <w:numId w:val="4"/>
        </w:numPr>
        <w:shd w:val="clear" w:color="auto" w:fill="FFFFFF"/>
        <w:spacing w:after="0" w:line="360" w:lineRule="auto"/>
        <w:jc w:val="both"/>
        <w:rPr>
          <w:rFonts w:ascii="Times New Roman" w:eastAsia="ff4" w:hAnsi="Times New Roman" w:cs="Times New Roman"/>
          <w:color w:val="231F20"/>
          <w:shd w:val="clear" w:color="auto" w:fill="FFFFFF"/>
          <w:lang w:eastAsia="zh-CN" w:bidi="ar"/>
        </w:rPr>
      </w:pPr>
      <w:proofErr w:type="spellStart"/>
      <w:r w:rsidRPr="008F79B8">
        <w:rPr>
          <w:rFonts w:ascii="Times New Roman" w:eastAsia="Times New Roman" w:hAnsi="Times New Roman" w:cs="Times New Roman"/>
          <w:color w:val="111111"/>
        </w:rPr>
        <w:t>Chakravarthy</w:t>
      </w:r>
      <w:proofErr w:type="spellEnd"/>
      <w:r w:rsidRPr="008F79B8">
        <w:rPr>
          <w:rFonts w:ascii="Times New Roman" w:eastAsia="Times New Roman" w:hAnsi="Times New Roman" w:cs="Times New Roman"/>
          <w:color w:val="111111"/>
        </w:rPr>
        <w:t xml:space="preserve"> AV, </w:t>
      </w:r>
      <w:proofErr w:type="spellStart"/>
      <w:r w:rsidRPr="008F79B8">
        <w:rPr>
          <w:rFonts w:ascii="Times New Roman" w:eastAsia="Times New Roman" w:hAnsi="Times New Roman" w:cs="Times New Roman"/>
          <w:color w:val="111111"/>
        </w:rPr>
        <w:t>Sailaja</w:t>
      </w:r>
      <w:proofErr w:type="spellEnd"/>
      <w:r w:rsidRPr="008F79B8">
        <w:rPr>
          <w:rFonts w:ascii="Times New Roman" w:eastAsia="Times New Roman" w:hAnsi="Times New Roman" w:cs="Times New Roman"/>
          <w:color w:val="111111"/>
        </w:rPr>
        <w:t xml:space="preserve"> B.B.V, Method development and validation of assay and dissolution methods for the estimation of </w:t>
      </w:r>
      <w:proofErr w:type="spellStart"/>
      <w:r w:rsidRPr="008F79B8">
        <w:rPr>
          <w:rFonts w:ascii="Times New Roman" w:eastAsia="Times New Roman" w:hAnsi="Times New Roman" w:cs="Times New Roman"/>
          <w:color w:val="111111"/>
        </w:rPr>
        <w:t>daclatasvir</w:t>
      </w:r>
      <w:proofErr w:type="spellEnd"/>
      <w:r w:rsidRPr="008F79B8">
        <w:rPr>
          <w:rFonts w:ascii="Times New Roman" w:eastAsia="Times New Roman" w:hAnsi="Times New Roman" w:cs="Times New Roman"/>
          <w:color w:val="111111"/>
        </w:rPr>
        <w:t xml:space="preserve"> in tablet dosage forms by reverse phase HPLC, European Journal of Pharmaceutical And Medical Research, 2016; 3(7): 356-364</w:t>
      </w:r>
    </w:p>
    <w:p w:rsidR="00CF7FE0" w:rsidRPr="002A6B9A" w:rsidRDefault="00CF7FE0" w:rsidP="00CF7FE0">
      <w:pPr>
        <w:numPr>
          <w:ilvl w:val="0"/>
          <w:numId w:val="4"/>
        </w:numPr>
        <w:shd w:val="clear" w:color="auto" w:fill="FFFFFF"/>
        <w:spacing w:after="0" w:line="360" w:lineRule="auto"/>
        <w:jc w:val="both"/>
        <w:rPr>
          <w:rFonts w:ascii="Times New Roman" w:eastAsia="ff4" w:hAnsi="Times New Roman" w:cs="Times New Roman"/>
          <w:color w:val="231F20"/>
          <w:shd w:val="clear" w:color="auto" w:fill="FFFFFF"/>
          <w:lang w:eastAsia="zh-CN" w:bidi="ar"/>
        </w:rPr>
      </w:pPr>
      <w:proofErr w:type="spellStart"/>
      <w:r w:rsidRPr="00E3666B">
        <w:rPr>
          <w:rFonts w:ascii="Times New Roman" w:eastAsia="ff4" w:hAnsi="Times New Roman" w:cs="Times New Roman"/>
          <w:color w:val="231F20"/>
          <w:shd w:val="clear" w:color="auto" w:fill="FFFFFF"/>
          <w:lang w:eastAsia="zh-CN" w:bidi="ar"/>
        </w:rPr>
        <w:t>Vikas</w:t>
      </w:r>
      <w:proofErr w:type="spellEnd"/>
      <w:r w:rsidRPr="00E3666B">
        <w:rPr>
          <w:rFonts w:ascii="Times New Roman" w:eastAsia="ff4" w:hAnsi="Times New Roman" w:cs="Times New Roman"/>
          <w:color w:val="231F20"/>
          <w:shd w:val="clear" w:color="auto" w:fill="FFFFFF"/>
          <w:lang w:eastAsia="zh-CN" w:bidi="ar"/>
        </w:rPr>
        <w:t xml:space="preserve"> K, </w:t>
      </w:r>
      <w:proofErr w:type="spellStart"/>
      <w:r w:rsidRPr="00E3666B">
        <w:rPr>
          <w:rFonts w:ascii="Times New Roman" w:eastAsia="ff4" w:hAnsi="Times New Roman" w:cs="Times New Roman"/>
          <w:color w:val="231F20"/>
          <w:shd w:val="clear" w:color="auto" w:fill="FFFFFF"/>
          <w:lang w:eastAsia="zh-CN" w:bidi="ar"/>
        </w:rPr>
        <w:t>Sachin</w:t>
      </w:r>
      <w:proofErr w:type="spellEnd"/>
      <w:r w:rsidRPr="00E3666B">
        <w:rPr>
          <w:rFonts w:ascii="Times New Roman" w:eastAsia="ff4" w:hAnsi="Times New Roman" w:cs="Times New Roman"/>
          <w:color w:val="231F20"/>
          <w:shd w:val="clear" w:color="auto" w:fill="FFFFFF"/>
          <w:lang w:eastAsia="zh-CN" w:bidi="ar"/>
        </w:rPr>
        <w:t xml:space="preserve"> G, </w:t>
      </w:r>
      <w:proofErr w:type="spellStart"/>
      <w:r w:rsidRPr="00E3666B">
        <w:rPr>
          <w:rFonts w:ascii="Times New Roman" w:eastAsia="ff4" w:hAnsi="Times New Roman" w:cs="Times New Roman"/>
          <w:color w:val="231F20"/>
          <w:shd w:val="clear" w:color="auto" w:fill="FFFFFF"/>
          <w:lang w:eastAsia="zh-CN" w:bidi="ar"/>
        </w:rPr>
        <w:t>Omprakash</w:t>
      </w:r>
      <w:proofErr w:type="spellEnd"/>
      <w:r w:rsidRPr="00E3666B">
        <w:rPr>
          <w:rFonts w:ascii="Times New Roman" w:eastAsia="ff4" w:hAnsi="Times New Roman" w:cs="Times New Roman"/>
          <w:color w:val="231F20"/>
          <w:shd w:val="clear" w:color="auto" w:fill="FFFFFF"/>
          <w:lang w:eastAsia="zh-CN" w:bidi="ar"/>
        </w:rPr>
        <w:t xml:space="preserve"> B, </w:t>
      </w:r>
      <w:proofErr w:type="gramStart"/>
      <w:r w:rsidRPr="00E3666B">
        <w:rPr>
          <w:rFonts w:ascii="Times New Roman" w:eastAsia="ff4" w:hAnsi="Times New Roman" w:cs="Times New Roman"/>
          <w:color w:val="231F20"/>
          <w:shd w:val="clear" w:color="auto" w:fill="FFFFFF"/>
          <w:lang w:eastAsia="zh-CN" w:bidi="ar"/>
        </w:rPr>
        <w:t>Development ,</w:t>
      </w:r>
      <w:proofErr w:type="gramEnd"/>
      <w:r w:rsidRPr="00E3666B">
        <w:rPr>
          <w:rFonts w:ascii="Times New Roman" w:eastAsia="ff4" w:hAnsi="Times New Roman" w:cs="Times New Roman"/>
          <w:color w:val="231F20"/>
          <w:shd w:val="clear" w:color="auto" w:fill="FFFFFF"/>
          <w:lang w:eastAsia="zh-CN" w:bidi="ar"/>
        </w:rPr>
        <w:t xml:space="preserve"> Validation and stability study of UV Spectrophotometric Method for Determination of </w:t>
      </w:r>
      <w:proofErr w:type="spellStart"/>
      <w:r w:rsidRPr="00E3666B">
        <w:rPr>
          <w:rFonts w:ascii="Times New Roman" w:eastAsia="ff4" w:hAnsi="Times New Roman" w:cs="Times New Roman"/>
          <w:color w:val="231F20"/>
          <w:shd w:val="clear" w:color="auto" w:fill="FFFFFF"/>
          <w:lang w:eastAsia="zh-CN" w:bidi="ar"/>
        </w:rPr>
        <w:t>Daclatasvir</w:t>
      </w:r>
      <w:proofErr w:type="spellEnd"/>
      <w:r w:rsidRPr="00E3666B">
        <w:rPr>
          <w:rFonts w:ascii="Times New Roman" w:eastAsia="ff4" w:hAnsi="Times New Roman" w:cs="Times New Roman"/>
          <w:color w:val="231F20"/>
          <w:shd w:val="clear" w:color="auto" w:fill="FFFFFF"/>
          <w:lang w:eastAsia="zh-CN" w:bidi="ar"/>
        </w:rPr>
        <w:t xml:space="preserve"> in bulk and Pharmaceutical Dosage </w:t>
      </w:r>
      <w:proofErr w:type="spellStart"/>
      <w:r w:rsidRPr="00E3666B">
        <w:rPr>
          <w:rFonts w:ascii="Times New Roman" w:eastAsia="ff4" w:hAnsi="Times New Roman" w:cs="Times New Roman"/>
          <w:color w:val="231F20"/>
          <w:shd w:val="clear" w:color="auto" w:fill="FFFFFF"/>
          <w:lang w:eastAsia="zh-CN" w:bidi="ar"/>
        </w:rPr>
        <w:t>forms,Int</w:t>
      </w:r>
      <w:proofErr w:type="spellEnd"/>
      <w:r w:rsidRPr="00E3666B">
        <w:rPr>
          <w:rFonts w:ascii="Times New Roman" w:eastAsia="ff4" w:hAnsi="Times New Roman" w:cs="Times New Roman"/>
          <w:color w:val="231F20"/>
          <w:shd w:val="clear" w:color="auto" w:fill="FFFFFF"/>
          <w:lang w:eastAsia="zh-CN" w:bidi="ar"/>
        </w:rPr>
        <w:t xml:space="preserve"> J </w:t>
      </w:r>
      <w:proofErr w:type="spellStart"/>
      <w:r w:rsidRPr="00E3666B">
        <w:rPr>
          <w:rFonts w:ascii="Times New Roman" w:eastAsia="ff4" w:hAnsi="Times New Roman" w:cs="Times New Roman"/>
          <w:color w:val="231F20"/>
          <w:shd w:val="clear" w:color="auto" w:fill="FFFFFF"/>
          <w:lang w:eastAsia="zh-CN" w:bidi="ar"/>
        </w:rPr>
        <w:t>Chem</w:t>
      </w:r>
      <w:proofErr w:type="spellEnd"/>
      <w:r w:rsidRPr="00E3666B">
        <w:rPr>
          <w:rFonts w:ascii="Times New Roman" w:eastAsia="ff4" w:hAnsi="Times New Roman" w:cs="Times New Roman"/>
          <w:color w:val="231F20"/>
          <w:shd w:val="clear" w:color="auto" w:fill="FFFFFF"/>
          <w:lang w:eastAsia="zh-CN" w:bidi="ar"/>
        </w:rPr>
        <w:t xml:space="preserve"> Tech Res 10 (2017): 281-287.</w:t>
      </w:r>
    </w:p>
    <w:p w:rsidR="00CF7FE0" w:rsidRPr="008F79B8" w:rsidRDefault="00CF7FE0" w:rsidP="00CF7FE0">
      <w:pPr>
        <w:numPr>
          <w:ilvl w:val="0"/>
          <w:numId w:val="4"/>
        </w:numPr>
        <w:pBdr>
          <w:bottom w:val="single" w:sz="6" w:space="21" w:color="DDDDDD"/>
        </w:pBdr>
        <w:shd w:val="clear" w:color="auto" w:fill="FFFFFF"/>
        <w:spacing w:before="100" w:beforeAutospacing="1" w:after="0" w:line="360" w:lineRule="auto"/>
        <w:jc w:val="both"/>
        <w:rPr>
          <w:rFonts w:ascii="Times New Roman" w:eastAsia="Times New Roman" w:hAnsi="Times New Roman" w:cs="Times New Roman"/>
          <w:color w:val="111111"/>
        </w:rPr>
      </w:pPr>
      <w:r w:rsidRPr="00E3666B">
        <w:rPr>
          <w:rFonts w:ascii="Times New Roman" w:hAnsi="Times New Roman" w:cs="Times New Roman"/>
          <w:color w:val="111111"/>
          <w:shd w:val="clear" w:color="auto" w:fill="FFFFFF"/>
        </w:rPr>
        <w:lastRenderedPageBreak/>
        <w:t xml:space="preserve">Mohammed A. Othman et al, Stability Indicating HPLC Method Development and Validation for Determination of </w:t>
      </w:r>
      <w:proofErr w:type="spellStart"/>
      <w:r w:rsidRPr="00E3666B">
        <w:rPr>
          <w:rFonts w:ascii="Times New Roman" w:hAnsi="Times New Roman" w:cs="Times New Roman"/>
          <w:color w:val="111111"/>
          <w:shd w:val="clear" w:color="auto" w:fill="FFFFFF"/>
        </w:rPr>
        <w:t>Daclatasvir</w:t>
      </w:r>
      <w:proofErr w:type="spellEnd"/>
      <w:r w:rsidRPr="00E3666B">
        <w:rPr>
          <w:rFonts w:ascii="Times New Roman" w:hAnsi="Times New Roman" w:cs="Times New Roman"/>
          <w:color w:val="111111"/>
          <w:shd w:val="clear" w:color="auto" w:fill="FFFFFF"/>
        </w:rPr>
        <w:t xml:space="preserve"> in Pure and Tablets Dosage Forms., Indo Am. J. P. </w:t>
      </w:r>
      <w:proofErr w:type="spellStart"/>
      <w:r w:rsidRPr="00E3666B">
        <w:rPr>
          <w:rFonts w:ascii="Times New Roman" w:hAnsi="Times New Roman" w:cs="Times New Roman"/>
          <w:color w:val="111111"/>
          <w:shd w:val="clear" w:color="auto" w:fill="FFFFFF"/>
        </w:rPr>
        <w:t>Sci</w:t>
      </w:r>
      <w:proofErr w:type="spellEnd"/>
      <w:r w:rsidRPr="00E3666B">
        <w:rPr>
          <w:rFonts w:ascii="Times New Roman" w:hAnsi="Times New Roman" w:cs="Times New Roman"/>
          <w:color w:val="111111"/>
          <w:shd w:val="clear" w:color="auto" w:fill="FFFFFF"/>
        </w:rPr>
        <w:t>, 2016; 3(12): 1565-1572.</w:t>
      </w:r>
    </w:p>
    <w:p w:rsidR="00CF7FE0" w:rsidRPr="00E3666B" w:rsidRDefault="00CF7FE0" w:rsidP="00CF7FE0">
      <w:pPr>
        <w:numPr>
          <w:ilvl w:val="0"/>
          <w:numId w:val="4"/>
        </w:numPr>
        <w:pBdr>
          <w:bottom w:val="single" w:sz="6" w:space="21" w:color="DDDDDD"/>
        </w:pBdr>
        <w:shd w:val="clear" w:color="auto" w:fill="FFFFFF"/>
        <w:spacing w:before="100" w:beforeAutospacing="1" w:after="0" w:line="360" w:lineRule="auto"/>
        <w:jc w:val="both"/>
        <w:rPr>
          <w:rFonts w:ascii="Times New Roman" w:eastAsia="Times New Roman" w:hAnsi="Times New Roman" w:cs="Times New Roman"/>
          <w:color w:val="111111"/>
        </w:rPr>
      </w:pPr>
      <w:proofErr w:type="spellStart"/>
      <w:proofErr w:type="gramStart"/>
      <w:r w:rsidRPr="00E3666B">
        <w:rPr>
          <w:rFonts w:ascii="Times New Roman" w:hAnsi="Times New Roman" w:cs="Times New Roman"/>
          <w:color w:val="111111"/>
          <w:shd w:val="clear" w:color="auto" w:fill="FFFFFF"/>
        </w:rPr>
        <w:t>Sreekanth</w:t>
      </w:r>
      <w:proofErr w:type="spellEnd"/>
      <w:r w:rsidRPr="00E3666B">
        <w:rPr>
          <w:rFonts w:ascii="Times New Roman" w:hAnsi="Times New Roman" w:cs="Times New Roman"/>
          <w:color w:val="111111"/>
          <w:shd w:val="clear" w:color="auto" w:fill="FFFFFF"/>
        </w:rPr>
        <w:t xml:space="preserve">  </w:t>
      </w:r>
      <w:proofErr w:type="spellStart"/>
      <w:r w:rsidRPr="00E3666B">
        <w:rPr>
          <w:rFonts w:ascii="Times New Roman" w:hAnsi="Times New Roman" w:cs="Times New Roman"/>
          <w:color w:val="111111"/>
          <w:shd w:val="clear" w:color="auto" w:fill="FFFFFF"/>
        </w:rPr>
        <w:t>Nadig</w:t>
      </w:r>
      <w:proofErr w:type="spellEnd"/>
      <w:proofErr w:type="gramEnd"/>
      <w:r w:rsidRPr="00E3666B">
        <w:rPr>
          <w:rFonts w:ascii="Times New Roman" w:hAnsi="Times New Roman" w:cs="Times New Roman"/>
          <w:color w:val="111111"/>
          <w:shd w:val="clear" w:color="auto" w:fill="FFFFFF"/>
        </w:rPr>
        <w:t xml:space="preserve"> and Jane T Jacob, Quantitative Estimation of </w:t>
      </w:r>
      <w:proofErr w:type="spellStart"/>
      <w:r w:rsidRPr="00E3666B">
        <w:rPr>
          <w:rFonts w:ascii="Times New Roman" w:hAnsi="Times New Roman" w:cs="Times New Roman"/>
          <w:color w:val="111111"/>
          <w:shd w:val="clear" w:color="auto" w:fill="FFFFFF"/>
        </w:rPr>
        <w:t>DaclatasvirIn</w:t>
      </w:r>
      <w:proofErr w:type="spellEnd"/>
      <w:r w:rsidRPr="00E3666B">
        <w:rPr>
          <w:rFonts w:ascii="Times New Roman" w:hAnsi="Times New Roman" w:cs="Times New Roman"/>
          <w:color w:val="111111"/>
          <w:shd w:val="clear" w:color="auto" w:fill="FFFFFF"/>
        </w:rPr>
        <w:t xml:space="preserve"> Drug Substances and Formulated Drug Product By UPLC, Der Pharmacia </w:t>
      </w:r>
      <w:proofErr w:type="spellStart"/>
      <w:r w:rsidRPr="00E3666B">
        <w:rPr>
          <w:rFonts w:ascii="Times New Roman" w:hAnsi="Times New Roman" w:cs="Times New Roman"/>
          <w:color w:val="111111"/>
          <w:shd w:val="clear" w:color="auto" w:fill="FFFFFF"/>
        </w:rPr>
        <w:t>Lettre</w:t>
      </w:r>
      <w:proofErr w:type="spellEnd"/>
      <w:r w:rsidRPr="00E3666B">
        <w:rPr>
          <w:rFonts w:ascii="Times New Roman" w:hAnsi="Times New Roman" w:cs="Times New Roman"/>
          <w:color w:val="111111"/>
          <w:shd w:val="clear" w:color="auto" w:fill="FFFFFF"/>
        </w:rPr>
        <w:t>, 2016; 8 (13): 280-284. 7.</w:t>
      </w:r>
    </w:p>
    <w:p w:rsidR="00CF7FE0" w:rsidRPr="008F79B8" w:rsidRDefault="00CF7FE0" w:rsidP="00CF7FE0">
      <w:pPr>
        <w:numPr>
          <w:ilvl w:val="0"/>
          <w:numId w:val="4"/>
        </w:numPr>
        <w:pBdr>
          <w:bottom w:val="single" w:sz="6" w:space="21" w:color="DDDDDD"/>
        </w:pBdr>
        <w:shd w:val="clear" w:color="auto" w:fill="FFFFFF"/>
        <w:spacing w:before="100" w:beforeAutospacing="1" w:after="419" w:line="360" w:lineRule="auto"/>
        <w:jc w:val="both"/>
        <w:rPr>
          <w:rFonts w:ascii="Times New Roman" w:eastAsia="Times New Roman" w:hAnsi="Times New Roman" w:cs="Times New Roman"/>
          <w:color w:val="111111"/>
        </w:rPr>
      </w:pPr>
      <w:proofErr w:type="spellStart"/>
      <w:r w:rsidRPr="00E3666B">
        <w:rPr>
          <w:rFonts w:ascii="Times New Roman" w:hAnsi="Times New Roman" w:cs="Times New Roman"/>
          <w:color w:val="111111"/>
        </w:rPr>
        <w:t>Mounika</w:t>
      </w:r>
      <w:proofErr w:type="spellEnd"/>
      <w:r w:rsidRPr="00E3666B">
        <w:rPr>
          <w:rFonts w:ascii="Times New Roman" w:hAnsi="Times New Roman" w:cs="Times New Roman"/>
          <w:color w:val="111111"/>
        </w:rPr>
        <w:t xml:space="preserve">, M. Sri </w:t>
      </w:r>
      <w:proofErr w:type="spellStart"/>
      <w:r w:rsidRPr="00E3666B">
        <w:rPr>
          <w:rFonts w:ascii="Times New Roman" w:hAnsi="Times New Roman" w:cs="Times New Roman"/>
          <w:color w:val="111111"/>
        </w:rPr>
        <w:t>Latha</w:t>
      </w:r>
      <w:proofErr w:type="spellEnd"/>
      <w:r w:rsidRPr="00E3666B">
        <w:rPr>
          <w:rFonts w:ascii="Times New Roman" w:hAnsi="Times New Roman" w:cs="Times New Roman"/>
          <w:color w:val="111111"/>
        </w:rPr>
        <w:t xml:space="preserve">, R. </w:t>
      </w:r>
      <w:proofErr w:type="spellStart"/>
      <w:r w:rsidRPr="00E3666B">
        <w:rPr>
          <w:rFonts w:ascii="Times New Roman" w:hAnsi="Times New Roman" w:cs="Times New Roman"/>
          <w:color w:val="111111"/>
        </w:rPr>
        <w:t>Anusha</w:t>
      </w:r>
      <w:proofErr w:type="spellEnd"/>
      <w:r w:rsidRPr="00E3666B">
        <w:rPr>
          <w:rFonts w:ascii="Times New Roman" w:hAnsi="Times New Roman" w:cs="Times New Roman"/>
          <w:color w:val="111111"/>
        </w:rPr>
        <w:t xml:space="preserve"> and Y. </w:t>
      </w:r>
      <w:proofErr w:type="spellStart"/>
      <w:r w:rsidRPr="00E3666B">
        <w:rPr>
          <w:rFonts w:ascii="Times New Roman" w:hAnsi="Times New Roman" w:cs="Times New Roman"/>
          <w:color w:val="111111"/>
        </w:rPr>
        <w:t>Sathish</w:t>
      </w:r>
      <w:proofErr w:type="spellEnd"/>
      <w:r w:rsidRPr="00E3666B">
        <w:rPr>
          <w:rFonts w:ascii="Times New Roman" w:hAnsi="Times New Roman" w:cs="Times New Roman"/>
          <w:color w:val="111111"/>
        </w:rPr>
        <w:t xml:space="preserve">, 2016. Development and Validation of New RP-HPLC Method for the Determination of </w:t>
      </w:r>
      <w:proofErr w:type="spellStart"/>
      <w:r w:rsidRPr="00E3666B">
        <w:rPr>
          <w:rFonts w:ascii="Times New Roman" w:hAnsi="Times New Roman" w:cs="Times New Roman"/>
          <w:color w:val="111111"/>
        </w:rPr>
        <w:t>Sofosbuvir</w:t>
      </w:r>
      <w:proofErr w:type="spellEnd"/>
      <w:r w:rsidRPr="00E3666B">
        <w:rPr>
          <w:rFonts w:ascii="Times New Roman" w:hAnsi="Times New Roman" w:cs="Times New Roman"/>
          <w:color w:val="111111"/>
        </w:rPr>
        <w:t xml:space="preserve"> in Pure Form. World Journal of Pharmacy and Pharmaceutical Sciences. 5, 775-781.</w:t>
      </w:r>
    </w:p>
    <w:p w:rsidR="00CF7FE0" w:rsidRPr="00CF7FE0" w:rsidRDefault="00CF7FE0" w:rsidP="00CF7FE0">
      <w:pPr>
        <w:numPr>
          <w:ilvl w:val="0"/>
          <w:numId w:val="4"/>
        </w:numPr>
        <w:shd w:val="clear" w:color="auto" w:fill="FFFFFF"/>
        <w:spacing w:after="0" w:line="360" w:lineRule="auto"/>
        <w:jc w:val="both"/>
        <w:rPr>
          <w:rFonts w:ascii="Times New Roman" w:eastAsia="ff4" w:hAnsi="Times New Roman" w:cs="Times New Roman"/>
          <w:color w:val="231F20"/>
          <w:shd w:val="clear" w:color="auto" w:fill="FFFFFF"/>
          <w:lang w:eastAsia="zh-CN" w:bidi="ar"/>
        </w:rPr>
      </w:pPr>
      <w:r w:rsidRPr="00E3666B">
        <w:rPr>
          <w:rFonts w:ascii="Times New Roman" w:hAnsi="Times New Roman" w:cs="Times New Roman"/>
          <w:color w:val="111111"/>
        </w:rPr>
        <w:t xml:space="preserve">Tamer </w:t>
      </w:r>
      <w:proofErr w:type="spellStart"/>
      <w:r w:rsidRPr="00E3666B">
        <w:rPr>
          <w:rFonts w:ascii="Times New Roman" w:hAnsi="Times New Roman" w:cs="Times New Roman"/>
          <w:color w:val="111111"/>
        </w:rPr>
        <w:t>Awad</w:t>
      </w:r>
      <w:proofErr w:type="spellEnd"/>
      <w:r w:rsidRPr="00E3666B">
        <w:rPr>
          <w:rFonts w:ascii="Times New Roman" w:hAnsi="Times New Roman" w:cs="Times New Roman"/>
          <w:color w:val="111111"/>
        </w:rPr>
        <w:t xml:space="preserve"> Ali, </w:t>
      </w:r>
      <w:proofErr w:type="spellStart"/>
      <w:r w:rsidRPr="00E3666B">
        <w:rPr>
          <w:rFonts w:ascii="Times New Roman" w:hAnsi="Times New Roman" w:cs="Times New Roman"/>
          <w:color w:val="111111"/>
        </w:rPr>
        <w:t>Gehad</w:t>
      </w:r>
      <w:proofErr w:type="spellEnd"/>
      <w:r w:rsidRPr="00E3666B">
        <w:rPr>
          <w:rFonts w:ascii="Times New Roman" w:hAnsi="Times New Roman" w:cs="Times New Roman"/>
          <w:color w:val="111111"/>
        </w:rPr>
        <w:t xml:space="preserve"> G. Mohamed, Ali A. </w:t>
      </w:r>
      <w:proofErr w:type="spellStart"/>
      <w:r w:rsidRPr="00E3666B">
        <w:rPr>
          <w:rFonts w:ascii="Times New Roman" w:hAnsi="Times New Roman" w:cs="Times New Roman"/>
          <w:color w:val="111111"/>
        </w:rPr>
        <w:t>Aglan</w:t>
      </w:r>
      <w:proofErr w:type="spellEnd"/>
      <w:r w:rsidRPr="00E3666B">
        <w:rPr>
          <w:rFonts w:ascii="Times New Roman" w:hAnsi="Times New Roman" w:cs="Times New Roman"/>
          <w:color w:val="111111"/>
        </w:rPr>
        <w:t xml:space="preserve">, </w:t>
      </w:r>
      <w:proofErr w:type="spellStart"/>
      <w:r w:rsidRPr="00E3666B">
        <w:rPr>
          <w:rFonts w:ascii="Times New Roman" w:hAnsi="Times New Roman" w:cs="Times New Roman"/>
          <w:color w:val="111111"/>
        </w:rPr>
        <w:t>Fakiha</w:t>
      </w:r>
      <w:proofErr w:type="spellEnd"/>
      <w:r w:rsidRPr="00E3666B">
        <w:rPr>
          <w:rFonts w:ascii="Times New Roman" w:hAnsi="Times New Roman" w:cs="Times New Roman"/>
          <w:color w:val="111111"/>
        </w:rPr>
        <w:t xml:space="preserve"> El-</w:t>
      </w:r>
      <w:proofErr w:type="spellStart"/>
      <w:r w:rsidRPr="00E3666B">
        <w:rPr>
          <w:rFonts w:ascii="Times New Roman" w:hAnsi="Times New Roman" w:cs="Times New Roman"/>
          <w:color w:val="111111"/>
        </w:rPr>
        <w:t>Taib</w:t>
      </w:r>
      <w:proofErr w:type="spellEnd"/>
      <w:r w:rsidRPr="00E3666B">
        <w:rPr>
          <w:rFonts w:ascii="Times New Roman" w:hAnsi="Times New Roman" w:cs="Times New Roman"/>
          <w:color w:val="111111"/>
        </w:rPr>
        <w:t xml:space="preserve"> </w:t>
      </w:r>
      <w:proofErr w:type="spellStart"/>
      <w:r w:rsidRPr="00E3666B">
        <w:rPr>
          <w:rFonts w:ascii="Times New Roman" w:hAnsi="Times New Roman" w:cs="Times New Roman"/>
          <w:color w:val="111111"/>
        </w:rPr>
        <w:t>Heaka</w:t>
      </w:r>
      <w:proofErr w:type="spellEnd"/>
      <w:r w:rsidRPr="00E3666B">
        <w:rPr>
          <w:rFonts w:ascii="Times New Roman" w:hAnsi="Times New Roman" w:cs="Times New Roman"/>
          <w:color w:val="111111"/>
        </w:rPr>
        <w:t xml:space="preserve">, 2015. Development and Validation of a Stability- Indicating RP-HPLC Method for the Determination of </w:t>
      </w:r>
      <w:proofErr w:type="spellStart"/>
      <w:r w:rsidRPr="00E3666B">
        <w:rPr>
          <w:rFonts w:ascii="Times New Roman" w:hAnsi="Times New Roman" w:cs="Times New Roman"/>
          <w:color w:val="111111"/>
        </w:rPr>
        <w:t>Sofosbuvir</w:t>
      </w:r>
      <w:proofErr w:type="spellEnd"/>
      <w:r w:rsidRPr="00E3666B">
        <w:rPr>
          <w:rFonts w:ascii="Times New Roman" w:hAnsi="Times New Roman" w:cs="Times New Roman"/>
          <w:color w:val="111111"/>
        </w:rPr>
        <w:t xml:space="preserve"> in Bulk and Pharmaceutical Dosage Forms. </w:t>
      </w:r>
      <w:proofErr w:type="spellStart"/>
      <w:r w:rsidRPr="00E3666B">
        <w:rPr>
          <w:rFonts w:ascii="Times New Roman" w:hAnsi="Times New Roman" w:cs="Times New Roman"/>
          <w:color w:val="111111"/>
        </w:rPr>
        <w:t>Euroanalysis</w:t>
      </w:r>
      <w:proofErr w:type="spellEnd"/>
      <w:r w:rsidRPr="00E3666B">
        <w:rPr>
          <w:rFonts w:ascii="Times New Roman" w:hAnsi="Times New Roman" w:cs="Times New Roman"/>
          <w:color w:val="111111"/>
        </w:rPr>
        <w:t>, 18th Edition</w:t>
      </w:r>
    </w:p>
    <w:p w:rsidR="00CF7FE0" w:rsidRPr="002A6B9A" w:rsidRDefault="00CF7FE0" w:rsidP="00CF7FE0">
      <w:pPr>
        <w:numPr>
          <w:ilvl w:val="0"/>
          <w:numId w:val="4"/>
        </w:numPr>
        <w:shd w:val="clear" w:color="auto" w:fill="FFFFFF"/>
        <w:spacing w:after="0" w:line="360" w:lineRule="auto"/>
        <w:jc w:val="both"/>
        <w:rPr>
          <w:rFonts w:ascii="Times New Roman" w:eastAsia="Times New Roman" w:hAnsi="Times New Roman" w:cs="Times New Roman"/>
          <w:color w:val="231F20"/>
        </w:rPr>
      </w:pPr>
      <w:proofErr w:type="spellStart"/>
      <w:r w:rsidRPr="00E3666B">
        <w:rPr>
          <w:rFonts w:ascii="Times New Roman" w:hAnsi="Times New Roman" w:cs="Times New Roman"/>
          <w:color w:val="212529"/>
          <w:shd w:val="clear" w:color="auto" w:fill="FFFFFF"/>
        </w:rPr>
        <w:t>Srinivasu</w:t>
      </w:r>
      <w:proofErr w:type="spellEnd"/>
      <w:r w:rsidRPr="00E3666B">
        <w:rPr>
          <w:rFonts w:ascii="Times New Roman" w:hAnsi="Times New Roman" w:cs="Times New Roman"/>
          <w:color w:val="212529"/>
          <w:shd w:val="clear" w:color="auto" w:fill="FFFFFF"/>
        </w:rPr>
        <w:t xml:space="preserve"> G, Kumar KN, </w:t>
      </w:r>
      <w:proofErr w:type="spellStart"/>
      <w:r w:rsidRPr="00E3666B">
        <w:rPr>
          <w:rFonts w:ascii="Times New Roman" w:hAnsi="Times New Roman" w:cs="Times New Roman"/>
          <w:color w:val="212529"/>
          <w:shd w:val="clear" w:color="auto" w:fill="FFFFFF"/>
        </w:rPr>
        <w:t>Thirupathi</w:t>
      </w:r>
      <w:proofErr w:type="spellEnd"/>
      <w:r w:rsidRPr="00E3666B">
        <w:rPr>
          <w:rFonts w:ascii="Times New Roman" w:hAnsi="Times New Roman" w:cs="Times New Roman"/>
          <w:color w:val="212529"/>
          <w:shd w:val="clear" w:color="auto" w:fill="FFFFFF"/>
        </w:rPr>
        <w:t xml:space="preserve"> C, </w:t>
      </w:r>
      <w:proofErr w:type="spellStart"/>
      <w:r w:rsidRPr="00E3666B">
        <w:rPr>
          <w:rFonts w:ascii="Times New Roman" w:hAnsi="Times New Roman" w:cs="Times New Roman"/>
          <w:color w:val="212529"/>
          <w:shd w:val="clear" w:color="auto" w:fill="FFFFFF"/>
        </w:rPr>
        <w:t>Narayana</w:t>
      </w:r>
      <w:proofErr w:type="spellEnd"/>
      <w:r w:rsidRPr="00E3666B">
        <w:rPr>
          <w:rFonts w:ascii="Times New Roman" w:hAnsi="Times New Roman" w:cs="Times New Roman"/>
          <w:color w:val="212529"/>
          <w:shd w:val="clear" w:color="auto" w:fill="FFFFFF"/>
        </w:rPr>
        <w:t xml:space="preserve"> CL, Murthy CP. Development and Validation of the Chiral HPLC Method for </w:t>
      </w:r>
      <w:proofErr w:type="spellStart"/>
      <w:r w:rsidRPr="00E3666B">
        <w:rPr>
          <w:rFonts w:ascii="Times New Roman" w:hAnsi="Times New Roman" w:cs="Times New Roman"/>
          <w:color w:val="212529"/>
          <w:shd w:val="clear" w:color="auto" w:fill="FFFFFF"/>
        </w:rPr>
        <w:t>Daclatasvir</w:t>
      </w:r>
      <w:proofErr w:type="spellEnd"/>
      <w:r w:rsidRPr="00E3666B">
        <w:rPr>
          <w:rFonts w:ascii="Times New Roman" w:hAnsi="Times New Roman" w:cs="Times New Roman"/>
          <w:color w:val="212529"/>
          <w:shd w:val="clear" w:color="auto" w:fill="FFFFFF"/>
        </w:rPr>
        <w:t xml:space="preserve"> in Gradient Elution Mode on Amylose-Based Immobilized Chiral Stationary Phase. Chromatographia79 (2016):1457-1467.</w:t>
      </w:r>
    </w:p>
    <w:p w:rsidR="00CF7FE0" w:rsidRPr="002A6B9A" w:rsidRDefault="00CF7FE0" w:rsidP="00CF7FE0">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212529"/>
        </w:rPr>
      </w:pPr>
      <w:proofErr w:type="spellStart"/>
      <w:r w:rsidRPr="006B5FDA">
        <w:rPr>
          <w:rFonts w:ascii="Times New Roman" w:eastAsia="Times New Roman" w:hAnsi="Times New Roman" w:cs="Times New Roman"/>
          <w:color w:val="212529"/>
        </w:rPr>
        <w:t>Nannetti</w:t>
      </w:r>
      <w:proofErr w:type="spellEnd"/>
      <w:r w:rsidRPr="006B5FDA">
        <w:rPr>
          <w:rFonts w:ascii="Times New Roman" w:eastAsia="Times New Roman" w:hAnsi="Times New Roman" w:cs="Times New Roman"/>
          <w:color w:val="212529"/>
        </w:rPr>
        <w:t xml:space="preserve"> G, </w:t>
      </w:r>
      <w:proofErr w:type="spellStart"/>
      <w:r w:rsidRPr="006B5FDA">
        <w:rPr>
          <w:rFonts w:ascii="Times New Roman" w:eastAsia="Times New Roman" w:hAnsi="Times New Roman" w:cs="Times New Roman"/>
          <w:color w:val="212529"/>
        </w:rPr>
        <w:t>Messa</w:t>
      </w:r>
      <w:proofErr w:type="spellEnd"/>
      <w:r w:rsidRPr="006B5FDA">
        <w:rPr>
          <w:rFonts w:ascii="Times New Roman" w:eastAsia="Times New Roman" w:hAnsi="Times New Roman" w:cs="Times New Roman"/>
          <w:color w:val="212529"/>
        </w:rPr>
        <w:t xml:space="preserve"> L, </w:t>
      </w:r>
      <w:proofErr w:type="spellStart"/>
      <w:r w:rsidRPr="006B5FDA">
        <w:rPr>
          <w:rFonts w:ascii="Times New Roman" w:eastAsia="Times New Roman" w:hAnsi="Times New Roman" w:cs="Times New Roman"/>
          <w:color w:val="212529"/>
        </w:rPr>
        <w:t>Celegato</w:t>
      </w:r>
      <w:proofErr w:type="spellEnd"/>
      <w:r w:rsidRPr="006B5FDA">
        <w:rPr>
          <w:rFonts w:ascii="Times New Roman" w:eastAsia="Times New Roman" w:hAnsi="Times New Roman" w:cs="Times New Roman"/>
          <w:color w:val="212529"/>
        </w:rPr>
        <w:t xml:space="preserve"> M, </w:t>
      </w:r>
      <w:proofErr w:type="spellStart"/>
      <w:r w:rsidRPr="006B5FDA">
        <w:rPr>
          <w:rFonts w:ascii="Times New Roman" w:eastAsia="Times New Roman" w:hAnsi="Times New Roman" w:cs="Times New Roman"/>
          <w:color w:val="212529"/>
        </w:rPr>
        <w:t>Pagni</w:t>
      </w:r>
      <w:proofErr w:type="spellEnd"/>
      <w:r w:rsidRPr="006B5FDA">
        <w:rPr>
          <w:rFonts w:ascii="Times New Roman" w:eastAsia="Times New Roman" w:hAnsi="Times New Roman" w:cs="Times New Roman"/>
          <w:color w:val="212529"/>
        </w:rPr>
        <w:t xml:space="preserve"> S, Basso M, </w:t>
      </w:r>
      <w:proofErr w:type="spellStart"/>
      <w:r w:rsidRPr="006B5FDA">
        <w:rPr>
          <w:rFonts w:ascii="Times New Roman" w:eastAsia="Times New Roman" w:hAnsi="Times New Roman" w:cs="Times New Roman"/>
          <w:color w:val="212529"/>
        </w:rPr>
        <w:t>Parisi</w:t>
      </w:r>
      <w:proofErr w:type="spellEnd"/>
      <w:r w:rsidRPr="006B5FDA">
        <w:rPr>
          <w:rFonts w:ascii="Times New Roman" w:eastAsia="Times New Roman" w:hAnsi="Times New Roman" w:cs="Times New Roman"/>
          <w:color w:val="212529"/>
        </w:rPr>
        <w:t xml:space="preserve"> SG. </w:t>
      </w:r>
      <w:proofErr w:type="gramStart"/>
      <w:r w:rsidRPr="006B5FDA">
        <w:rPr>
          <w:rFonts w:ascii="Times New Roman" w:eastAsia="Times New Roman" w:hAnsi="Times New Roman" w:cs="Times New Roman"/>
          <w:color w:val="212529"/>
        </w:rPr>
        <w:t>et</w:t>
      </w:r>
      <w:proofErr w:type="gramEnd"/>
      <w:r w:rsidRPr="006B5FDA">
        <w:rPr>
          <w:rFonts w:ascii="Times New Roman" w:eastAsia="Times New Roman" w:hAnsi="Times New Roman" w:cs="Times New Roman"/>
          <w:color w:val="212529"/>
        </w:rPr>
        <w:t xml:space="preserve"> al. Development and validation of a simple and robust HPLC method with UV detection for quantification of the hepatitis C virus inhibitor </w:t>
      </w:r>
      <w:proofErr w:type="spellStart"/>
      <w:r w:rsidRPr="006B5FDA">
        <w:rPr>
          <w:rFonts w:ascii="Times New Roman" w:eastAsia="Times New Roman" w:hAnsi="Times New Roman" w:cs="Times New Roman"/>
          <w:color w:val="212529"/>
        </w:rPr>
        <w:t>daclatasvir</w:t>
      </w:r>
      <w:proofErr w:type="spellEnd"/>
      <w:r w:rsidRPr="006B5FDA">
        <w:rPr>
          <w:rFonts w:ascii="Times New Roman" w:eastAsia="Times New Roman" w:hAnsi="Times New Roman" w:cs="Times New Roman"/>
          <w:color w:val="212529"/>
        </w:rPr>
        <w:t xml:space="preserve"> in human plasma. J Pharm Biomed Anal 134 (2017):275-281.</w:t>
      </w:r>
    </w:p>
    <w:p w:rsidR="00CF7FE0" w:rsidRPr="002A6B9A" w:rsidRDefault="00CF7FE0" w:rsidP="00CF7FE0">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212529"/>
        </w:rPr>
      </w:pPr>
      <w:r w:rsidRPr="00E3666B">
        <w:rPr>
          <w:rFonts w:ascii="Times New Roman" w:hAnsi="Times New Roman" w:cs="Times New Roman"/>
          <w:color w:val="212529"/>
        </w:rPr>
        <w:t xml:space="preserve"> </w:t>
      </w:r>
      <w:proofErr w:type="spellStart"/>
      <w:r w:rsidRPr="00E3666B">
        <w:rPr>
          <w:rFonts w:ascii="Times New Roman" w:eastAsia="Times New Roman" w:hAnsi="Times New Roman" w:cs="Times New Roman"/>
          <w:color w:val="212529"/>
        </w:rPr>
        <w:t>Sumathi</w:t>
      </w:r>
      <w:proofErr w:type="spellEnd"/>
      <w:r w:rsidRPr="00E3666B">
        <w:rPr>
          <w:rFonts w:ascii="Times New Roman" w:eastAsia="Times New Roman" w:hAnsi="Times New Roman" w:cs="Times New Roman"/>
          <w:color w:val="212529"/>
        </w:rPr>
        <w:t xml:space="preserve"> K, </w:t>
      </w:r>
      <w:proofErr w:type="spellStart"/>
      <w:r w:rsidRPr="00E3666B">
        <w:rPr>
          <w:rFonts w:ascii="Times New Roman" w:eastAsia="Times New Roman" w:hAnsi="Times New Roman" w:cs="Times New Roman"/>
          <w:color w:val="212529"/>
        </w:rPr>
        <w:t>Thamizhvanan</w:t>
      </w:r>
      <w:proofErr w:type="spellEnd"/>
      <w:r w:rsidRPr="00E3666B">
        <w:rPr>
          <w:rFonts w:ascii="Times New Roman" w:eastAsia="Times New Roman" w:hAnsi="Times New Roman" w:cs="Times New Roman"/>
          <w:color w:val="212529"/>
        </w:rPr>
        <w:t xml:space="preserve"> K, </w:t>
      </w:r>
      <w:proofErr w:type="spellStart"/>
      <w:r w:rsidRPr="00E3666B">
        <w:rPr>
          <w:rFonts w:ascii="Times New Roman" w:eastAsia="Times New Roman" w:hAnsi="Times New Roman" w:cs="Times New Roman"/>
          <w:color w:val="212529"/>
        </w:rPr>
        <w:t>Vijayraj</w:t>
      </w:r>
      <w:proofErr w:type="spellEnd"/>
      <w:r w:rsidRPr="00E3666B">
        <w:rPr>
          <w:rFonts w:ascii="Times New Roman" w:eastAsia="Times New Roman" w:hAnsi="Times New Roman" w:cs="Times New Roman"/>
          <w:color w:val="212529"/>
        </w:rPr>
        <w:t xml:space="preserve"> S. Development and validation of stability indicating RP-HPLC method for the estimation of </w:t>
      </w:r>
      <w:proofErr w:type="spellStart"/>
      <w:r w:rsidRPr="00E3666B">
        <w:rPr>
          <w:rFonts w:ascii="Times New Roman" w:eastAsia="Times New Roman" w:hAnsi="Times New Roman" w:cs="Times New Roman"/>
          <w:color w:val="212529"/>
        </w:rPr>
        <w:t>Daclatasvir</w:t>
      </w:r>
      <w:proofErr w:type="spellEnd"/>
      <w:r w:rsidRPr="00E3666B">
        <w:rPr>
          <w:rFonts w:ascii="Times New Roman" w:eastAsia="Times New Roman" w:hAnsi="Times New Roman" w:cs="Times New Roman"/>
          <w:color w:val="212529"/>
        </w:rPr>
        <w:t xml:space="preserve"> in bulk and formulation. Der Pharm Lett8 (2016):107-113.</w:t>
      </w:r>
    </w:p>
    <w:p w:rsidR="00CF7FE0" w:rsidRPr="00E3666B" w:rsidRDefault="00CF7FE0" w:rsidP="00CF7FE0">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212529"/>
        </w:rPr>
      </w:pPr>
      <w:proofErr w:type="spellStart"/>
      <w:r w:rsidRPr="00847B9F">
        <w:rPr>
          <w:rFonts w:ascii="Times New Roman" w:eastAsia="Times New Roman" w:hAnsi="Times New Roman" w:cs="Times New Roman"/>
          <w:color w:val="212529"/>
        </w:rPr>
        <w:t>Srinivasu</w:t>
      </w:r>
      <w:proofErr w:type="spellEnd"/>
      <w:r w:rsidRPr="00847B9F">
        <w:rPr>
          <w:rFonts w:ascii="Times New Roman" w:eastAsia="Times New Roman" w:hAnsi="Times New Roman" w:cs="Times New Roman"/>
          <w:color w:val="212529"/>
        </w:rPr>
        <w:t xml:space="preserve"> G, Kumar KN, </w:t>
      </w:r>
      <w:proofErr w:type="spellStart"/>
      <w:r w:rsidRPr="00847B9F">
        <w:rPr>
          <w:rFonts w:ascii="Times New Roman" w:eastAsia="Times New Roman" w:hAnsi="Times New Roman" w:cs="Times New Roman"/>
          <w:color w:val="212529"/>
        </w:rPr>
        <w:t>Thirupathi</w:t>
      </w:r>
      <w:proofErr w:type="spellEnd"/>
      <w:r w:rsidRPr="00847B9F">
        <w:rPr>
          <w:rFonts w:ascii="Times New Roman" w:eastAsia="Times New Roman" w:hAnsi="Times New Roman" w:cs="Times New Roman"/>
          <w:color w:val="212529"/>
        </w:rPr>
        <w:t xml:space="preserve"> C, </w:t>
      </w:r>
      <w:proofErr w:type="spellStart"/>
      <w:r w:rsidRPr="00847B9F">
        <w:rPr>
          <w:rFonts w:ascii="Times New Roman" w:eastAsia="Times New Roman" w:hAnsi="Times New Roman" w:cs="Times New Roman"/>
          <w:color w:val="212529"/>
        </w:rPr>
        <w:t>Narayana</w:t>
      </w:r>
      <w:proofErr w:type="spellEnd"/>
      <w:r w:rsidRPr="00847B9F">
        <w:rPr>
          <w:rFonts w:ascii="Times New Roman" w:eastAsia="Times New Roman" w:hAnsi="Times New Roman" w:cs="Times New Roman"/>
          <w:color w:val="212529"/>
        </w:rPr>
        <w:t xml:space="preserve"> CL, Murthy CP. Development and Validation of the Chiral HPLC Method for </w:t>
      </w:r>
      <w:proofErr w:type="spellStart"/>
      <w:r w:rsidRPr="00847B9F">
        <w:rPr>
          <w:rFonts w:ascii="Times New Roman" w:eastAsia="Times New Roman" w:hAnsi="Times New Roman" w:cs="Times New Roman"/>
          <w:color w:val="212529"/>
        </w:rPr>
        <w:t>Daclatasvir</w:t>
      </w:r>
      <w:proofErr w:type="spellEnd"/>
      <w:r w:rsidRPr="00847B9F">
        <w:rPr>
          <w:rFonts w:ascii="Times New Roman" w:eastAsia="Times New Roman" w:hAnsi="Times New Roman" w:cs="Times New Roman"/>
          <w:color w:val="212529"/>
        </w:rPr>
        <w:t xml:space="preserve"> in Gradient Elution Mode on Amylose-Based Immobilized Chiral Stationary Phase. Chromatographia79 (2016):1457-1467.</w:t>
      </w:r>
    </w:p>
    <w:p w:rsidR="00CF7FE0" w:rsidRPr="00E3666B" w:rsidRDefault="00CF7FE0" w:rsidP="00CF7FE0">
      <w:pPr>
        <w:pStyle w:val="ListParagraph"/>
        <w:spacing w:line="360" w:lineRule="auto"/>
        <w:jc w:val="both"/>
        <w:rPr>
          <w:rFonts w:ascii="Times New Roman" w:eastAsia="Times New Roman" w:hAnsi="Times New Roman" w:cs="Times New Roman"/>
          <w:color w:val="212529"/>
          <w:sz w:val="24"/>
          <w:szCs w:val="24"/>
        </w:rPr>
      </w:pPr>
    </w:p>
    <w:p w:rsidR="00352702" w:rsidRDefault="00352702" w:rsidP="00CF7FE0">
      <w:pPr>
        <w:pStyle w:val="Compact"/>
        <w:spacing w:line="360" w:lineRule="auto"/>
        <w:jc w:val="both"/>
        <w:rPr>
          <w:rFonts w:ascii="Times New Roman" w:hAnsi="Times New Roman" w:cs="Times New Roman"/>
        </w:rPr>
      </w:pPr>
    </w:p>
    <w:p w:rsidR="00352702" w:rsidRDefault="00352702" w:rsidP="00CF7FE0">
      <w:pPr>
        <w:pStyle w:val="Compact"/>
        <w:spacing w:line="360" w:lineRule="auto"/>
        <w:jc w:val="both"/>
        <w:rPr>
          <w:rFonts w:ascii="Times New Roman" w:hAnsi="Times New Roman" w:cs="Times New Roman"/>
        </w:rPr>
      </w:pPr>
    </w:p>
    <w:p w:rsidR="00352702" w:rsidRDefault="00352702" w:rsidP="00CF7FE0">
      <w:pPr>
        <w:pStyle w:val="Compact"/>
        <w:spacing w:line="360" w:lineRule="auto"/>
        <w:jc w:val="both"/>
        <w:rPr>
          <w:rFonts w:ascii="Times New Roman" w:hAnsi="Times New Roman" w:cs="Times New Roman"/>
        </w:rPr>
      </w:pPr>
    </w:p>
    <w:p w:rsidR="00352702" w:rsidRDefault="00352702" w:rsidP="00CF7FE0">
      <w:pPr>
        <w:pStyle w:val="Compact"/>
        <w:spacing w:line="360" w:lineRule="auto"/>
        <w:jc w:val="both"/>
        <w:rPr>
          <w:rFonts w:ascii="Times New Roman" w:hAnsi="Times New Roman" w:cs="Times New Roman"/>
        </w:rPr>
      </w:pPr>
    </w:p>
    <w:p w:rsidR="00352702" w:rsidRDefault="00352702" w:rsidP="00CF7FE0">
      <w:pPr>
        <w:pStyle w:val="Compact"/>
        <w:spacing w:line="360" w:lineRule="auto"/>
        <w:jc w:val="both"/>
        <w:rPr>
          <w:rFonts w:ascii="Times New Roman" w:hAnsi="Times New Roman" w:cs="Times New Roman"/>
        </w:rPr>
      </w:pPr>
    </w:p>
    <w:p w:rsidR="00352702" w:rsidRPr="0075650C" w:rsidRDefault="00352702" w:rsidP="00CF7FE0">
      <w:pPr>
        <w:pStyle w:val="Compact"/>
        <w:spacing w:line="360" w:lineRule="auto"/>
        <w:jc w:val="both"/>
        <w:rPr>
          <w:rFonts w:ascii="Times New Roman" w:hAnsi="Times New Roman" w:cs="Times New Roman"/>
        </w:rPr>
      </w:pPr>
    </w:p>
    <w:sectPr w:rsidR="00352702" w:rsidRPr="0075650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4">
    <w:altName w:val="Segoe Print"/>
    <w:charset w:val="00"/>
    <w:family w:val="auto"/>
    <w:pitch w:val="default"/>
    <w:sig w:usb0="00000000" w:usb1="00000000" w:usb2="00000000" w:usb3="00000000" w:csb0="00040001" w:csb1="00000000"/>
  </w:font>
  <w:font w:name="ff5">
    <w:altName w:val="Segoe Print"/>
    <w:charset w:val="00"/>
    <w:family w:val="auto"/>
    <w:pitch w:val="default"/>
    <w:sig w:usb0="00000000" w:usb1="00000000" w:usb2="00000000" w:usb3="00000000" w:csb0="00040001" w:csb1="00000000"/>
  </w:font>
  <w:font w:name="ff8">
    <w:altName w:val="Segoe Print"/>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1C6832F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7512D49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7B1EB0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032D1715"/>
    <w:multiLevelType w:val="multilevel"/>
    <w:tmpl w:val="58CC262A"/>
    <w:lvl w:ilvl="0">
      <w:start w:val="1"/>
      <w:numFmt w:val="decimal"/>
      <w:lvlText w:val="%1."/>
      <w:lvlJc w:val="left"/>
      <w:pPr>
        <w:tabs>
          <w:tab w:val="num" w:pos="425"/>
        </w:tabs>
        <w:ind w:left="425" w:hanging="42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8850BB"/>
    <w:rsid w:val="000253B9"/>
    <w:rsid w:val="00082CA1"/>
    <w:rsid w:val="0026697B"/>
    <w:rsid w:val="00285A45"/>
    <w:rsid w:val="002F0580"/>
    <w:rsid w:val="00312AE8"/>
    <w:rsid w:val="00352702"/>
    <w:rsid w:val="0037038E"/>
    <w:rsid w:val="003C71B9"/>
    <w:rsid w:val="004276C9"/>
    <w:rsid w:val="004A5FA6"/>
    <w:rsid w:val="007249FB"/>
    <w:rsid w:val="00730ECD"/>
    <w:rsid w:val="0075650C"/>
    <w:rsid w:val="00802599"/>
    <w:rsid w:val="008850BB"/>
    <w:rsid w:val="00C52BD1"/>
    <w:rsid w:val="00CF7FE0"/>
    <w:rsid w:val="00D360AC"/>
    <w:rsid w:val="00E164E4"/>
    <w:rsid w:val="00EE477C"/>
    <w:rsid w:val="00EF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54D0F-B7AF-4634-8969-A8501023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odyTextIndent">
    <w:name w:val="Body Text Indent"/>
    <w:basedOn w:val="Normal"/>
    <w:link w:val="BodyTextIndentChar"/>
    <w:semiHidden/>
    <w:unhideWhenUsed/>
    <w:rsid w:val="00352702"/>
    <w:pPr>
      <w:spacing w:after="120"/>
      <w:ind w:left="283"/>
    </w:pPr>
  </w:style>
  <w:style w:type="character" w:customStyle="1" w:styleId="BodyTextIndentChar">
    <w:name w:val="Body Text Indent Char"/>
    <w:basedOn w:val="DefaultParagraphFont"/>
    <w:link w:val="BodyTextIndent"/>
    <w:semiHidden/>
    <w:rsid w:val="00352702"/>
  </w:style>
  <w:style w:type="paragraph" w:styleId="ListParagraph">
    <w:name w:val="List Paragraph"/>
    <w:basedOn w:val="Normal"/>
    <w:uiPriority w:val="34"/>
    <w:qFormat/>
    <w:rsid w:val="00CF7FE0"/>
    <w:pPr>
      <w:spacing w:after="0"/>
      <w:ind w:left="720"/>
      <w:contextualSpacing/>
    </w:pPr>
    <w:rPr>
      <w:rFonts w:ascii="Calibri" w:eastAsia="Calibri" w:hAnsi="Calibri" w:cs="Arial"/>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LENOVO</cp:lastModifiedBy>
  <cp:revision>22</cp:revision>
  <dcterms:created xsi:type="dcterms:W3CDTF">2026-06-08T14:59:00Z</dcterms:created>
  <dcterms:modified xsi:type="dcterms:W3CDTF">2026-06-09T09:59:00Z</dcterms:modified>
</cp:coreProperties>
</file>