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0D3C" w14:textId="58C8A0C3" w:rsidR="00F11A3F" w:rsidRPr="002D359D" w:rsidRDefault="00F11A3F" w:rsidP="00F11A3F">
      <w:pPr>
        <w:pStyle w:val="NoSpacing"/>
        <w:jc w:val="center"/>
        <w:rPr>
          <w:rFonts w:ascii="Times New Roman" w:eastAsia="Bookman Old Style" w:hAnsi="Times New Roman"/>
          <w:b/>
          <w:color w:val="000000" w:themeColor="text1"/>
          <w:sz w:val="36"/>
          <w:szCs w:val="36"/>
          <w:lang w:val="en-PH" w:eastAsia="en-PH"/>
        </w:rPr>
      </w:pPr>
      <w:r w:rsidRPr="002D359D">
        <w:rPr>
          <w:rFonts w:ascii="Times New Roman" w:eastAsia="Bookman Old Style" w:hAnsi="Times New Roman"/>
          <w:b/>
          <w:color w:val="000000" w:themeColor="text1"/>
          <w:sz w:val="36"/>
          <w:szCs w:val="36"/>
          <w:lang w:val="en-PH" w:eastAsia="en-PH"/>
        </w:rPr>
        <w:t xml:space="preserve">Rolling the Dice on Learning: Utilizing the Bomber Board Game to </w:t>
      </w:r>
    </w:p>
    <w:p w14:paraId="5156A192" w14:textId="77777777" w:rsidR="00F11A3F" w:rsidRPr="002D359D" w:rsidRDefault="00F11A3F" w:rsidP="00F11A3F">
      <w:pPr>
        <w:pStyle w:val="NoSpacing"/>
        <w:jc w:val="center"/>
        <w:rPr>
          <w:rFonts w:ascii="Times New Roman" w:eastAsia="Bookman Old Style" w:hAnsi="Times New Roman"/>
          <w:b/>
          <w:color w:val="000000" w:themeColor="text1"/>
          <w:sz w:val="36"/>
          <w:szCs w:val="36"/>
          <w:lang w:val="en-PH" w:eastAsia="en-PH"/>
        </w:rPr>
      </w:pPr>
      <w:r w:rsidRPr="002D359D">
        <w:rPr>
          <w:rFonts w:ascii="Times New Roman" w:eastAsia="Bookman Old Style" w:hAnsi="Times New Roman"/>
          <w:b/>
          <w:color w:val="000000" w:themeColor="text1"/>
          <w:sz w:val="36"/>
          <w:szCs w:val="36"/>
          <w:lang w:val="en-PH" w:eastAsia="en-PH"/>
        </w:rPr>
        <w:t xml:space="preserve">Improve Mastery of Simple Interest Among HUMSS Grade 11 </w:t>
      </w:r>
    </w:p>
    <w:p w14:paraId="5195349C" w14:textId="2733213F" w:rsidR="00F11A3F" w:rsidRPr="002D359D" w:rsidRDefault="00F11A3F" w:rsidP="00F11A3F">
      <w:pPr>
        <w:pStyle w:val="NoSpacing"/>
        <w:jc w:val="center"/>
        <w:rPr>
          <w:rFonts w:ascii="Times New Roman" w:eastAsia="Bookman Old Style" w:hAnsi="Times New Roman"/>
          <w:b/>
          <w:color w:val="000000" w:themeColor="text1"/>
          <w:sz w:val="36"/>
          <w:szCs w:val="36"/>
          <w:lang w:val="en-PH" w:eastAsia="en-PH"/>
        </w:rPr>
      </w:pPr>
      <w:r w:rsidRPr="002D359D">
        <w:rPr>
          <w:rFonts w:ascii="Times New Roman" w:eastAsia="Bookman Old Style" w:hAnsi="Times New Roman"/>
          <w:b/>
          <w:color w:val="000000" w:themeColor="text1"/>
          <w:sz w:val="36"/>
          <w:szCs w:val="36"/>
          <w:lang w:val="en-PH" w:eastAsia="en-PH"/>
        </w:rPr>
        <w:t>students at Luis Y. Ferrer Jr. Senior High Schoo</w:t>
      </w:r>
      <w:r w:rsidRPr="002D359D">
        <w:rPr>
          <w:rFonts w:ascii="Times New Roman" w:eastAsia="Bookman Old Style" w:hAnsi="Times New Roman"/>
          <w:b/>
          <w:color w:val="000000" w:themeColor="text1"/>
          <w:sz w:val="36"/>
          <w:szCs w:val="36"/>
          <w:lang w:val="en-PH" w:eastAsia="en-PH"/>
        </w:rPr>
        <w:t>l</w:t>
      </w:r>
    </w:p>
    <w:p w14:paraId="3726B601" w14:textId="734D872F" w:rsidR="00CE116F" w:rsidRPr="002D359D" w:rsidRDefault="00F11A3F" w:rsidP="00F11A3F">
      <w:pPr>
        <w:pStyle w:val="NoSpacing"/>
        <w:jc w:val="center"/>
        <w:rPr>
          <w:rFonts w:ascii="Times New Roman" w:hAnsi="Times New Roman"/>
          <w:b/>
          <w:bCs/>
          <w:color w:val="000000" w:themeColor="text1"/>
          <w:sz w:val="24"/>
          <w:szCs w:val="24"/>
          <w:vertAlign w:val="superscript"/>
        </w:rPr>
      </w:pPr>
      <w:r w:rsidRPr="002D359D">
        <w:rPr>
          <w:rFonts w:ascii="Times New Roman" w:hAnsi="Times New Roman"/>
          <w:b/>
          <w:bCs/>
          <w:color w:val="000000" w:themeColor="text1"/>
          <w:sz w:val="24"/>
          <w:szCs w:val="24"/>
        </w:rPr>
        <w:t>Jeromeric R. Talla</w:t>
      </w:r>
      <w:r w:rsidR="00C3010D" w:rsidRPr="002D359D">
        <w:rPr>
          <w:rFonts w:ascii="Times New Roman" w:hAnsi="Times New Roman"/>
          <w:b/>
          <w:bCs/>
          <w:color w:val="000000" w:themeColor="text1"/>
          <w:sz w:val="24"/>
          <w:szCs w:val="24"/>
          <w:vertAlign w:val="superscript"/>
        </w:rPr>
        <w:t>1</w:t>
      </w:r>
    </w:p>
    <w:p w14:paraId="0494107A" w14:textId="1EF00D48" w:rsidR="00CE116F" w:rsidRPr="002D359D" w:rsidRDefault="00B858A0" w:rsidP="00E265C4">
      <w:pPr>
        <w:pStyle w:val="NoSpacing"/>
        <w:jc w:val="center"/>
        <w:rPr>
          <w:rFonts w:ascii="Times New Roman" w:hAnsi="Times New Roman"/>
          <w:color w:val="000000" w:themeColor="text1"/>
          <w:sz w:val="24"/>
          <w:szCs w:val="24"/>
        </w:rPr>
      </w:pPr>
      <w:r w:rsidRPr="002D359D">
        <w:rPr>
          <w:rFonts w:ascii="Times New Roman" w:hAnsi="Times New Roman"/>
          <w:color w:val="000000" w:themeColor="text1"/>
          <w:sz w:val="24"/>
          <w:szCs w:val="24"/>
        </w:rPr>
        <w:t>Luis Y. Ferrer Jr. Senior High School</w:t>
      </w:r>
      <w:r w:rsidR="00CE116F" w:rsidRPr="002D359D">
        <w:rPr>
          <w:rFonts w:ascii="Times New Roman" w:hAnsi="Times New Roman"/>
          <w:color w:val="000000" w:themeColor="text1"/>
          <w:sz w:val="24"/>
          <w:szCs w:val="24"/>
        </w:rPr>
        <w:t xml:space="preserve">, </w:t>
      </w:r>
      <w:r w:rsidR="00C3010D" w:rsidRPr="002D359D">
        <w:rPr>
          <w:rFonts w:ascii="Times New Roman" w:hAnsi="Times New Roman"/>
          <w:color w:val="000000" w:themeColor="text1"/>
          <w:sz w:val="24"/>
          <w:szCs w:val="24"/>
        </w:rPr>
        <w:t>Division of City of</w:t>
      </w:r>
      <w:r w:rsidRPr="002D359D">
        <w:rPr>
          <w:rFonts w:ascii="Times New Roman" w:hAnsi="Times New Roman"/>
          <w:color w:val="000000" w:themeColor="text1"/>
          <w:sz w:val="24"/>
          <w:szCs w:val="24"/>
        </w:rPr>
        <w:t xml:space="preserve"> General Trias</w:t>
      </w:r>
      <w:r w:rsidR="00C3010D" w:rsidRPr="002D359D">
        <w:rPr>
          <w:rFonts w:ascii="Times New Roman" w:hAnsi="Times New Roman"/>
          <w:color w:val="000000" w:themeColor="text1"/>
          <w:sz w:val="24"/>
          <w:szCs w:val="24"/>
        </w:rPr>
        <w:t>-Cavite, Philippines</w:t>
      </w:r>
    </w:p>
    <w:p w14:paraId="2906573A" w14:textId="77777777" w:rsidR="00E265C4" w:rsidRPr="002D359D" w:rsidRDefault="00E265C4" w:rsidP="00E265C4">
      <w:pPr>
        <w:pStyle w:val="NoSpacing"/>
        <w:jc w:val="center"/>
        <w:rPr>
          <w:rFonts w:ascii="Times New Roman" w:hAnsi="Times New Roman"/>
          <w:color w:val="000000" w:themeColor="text1"/>
          <w:sz w:val="24"/>
          <w:szCs w:val="24"/>
        </w:rPr>
      </w:pPr>
    </w:p>
    <w:p w14:paraId="3F48D084" w14:textId="60F33F91" w:rsidR="00CE116F" w:rsidRPr="002D359D" w:rsidRDefault="00E265C4" w:rsidP="00E265C4">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ABSTRACT</w:t>
      </w:r>
    </w:p>
    <w:p w14:paraId="1F345A19" w14:textId="77777777" w:rsidR="00F11A3F" w:rsidRPr="002D359D" w:rsidRDefault="00F11A3F" w:rsidP="00E265C4">
      <w:pPr>
        <w:pStyle w:val="NoSpacing"/>
        <w:jc w:val="both"/>
        <w:rPr>
          <w:rFonts w:ascii="Times New Roman" w:eastAsia="Bookman Old Style" w:hAnsi="Times New Roman"/>
          <w:bCs/>
          <w:color w:val="000000" w:themeColor="text1"/>
          <w:sz w:val="24"/>
          <w:szCs w:val="24"/>
          <w:lang w:val="en-PH" w:eastAsia="en-PH"/>
        </w:rPr>
      </w:pPr>
      <w:r w:rsidRPr="002D359D">
        <w:rPr>
          <w:rFonts w:ascii="Times New Roman" w:eastAsia="Bookman Old Style" w:hAnsi="Times New Roman"/>
          <w:bCs/>
          <w:color w:val="000000" w:themeColor="text1"/>
          <w:sz w:val="24"/>
          <w:szCs w:val="24"/>
          <w:lang w:val="en-PH" w:eastAsia="en-PH"/>
        </w:rPr>
        <w:t>Gamification in mathematics education are essential to engage students and deepen their understanding of mathematical concepts like a simple interest. The study was conducted to improve the mastery of simple interest by utilizing bomber board game. Specifically, to identify how the students performed in the pre-test and post-test before and after using the bomber board game in teaching simple interest. This action research used Quantitative - quasi-experimental method. The respondents of the study were selected through purposive sampling. The study is limited to HUMSS Grade 11 students at Luis Y. Ferrer Jr. Senior High School taking General Mathematics. Furthermore, weighted mean and t-test were used in analysis of data. The study revealed that utilizing bomber board game in teaching simple interest obtained the mean in pre-test (4.00) and the post-test (7.25). The increase of 3.25 points indicates that the students’ performance improved after the intervention, suggesting that the use of bomber board game was effective. The study revealed that there is a significant difference between the pre-test and post-test result of the students. Overall, the intervention or learning experience had a substantial and meaningful impact on the students' performance. This indicates that the improvement in scores after using the bomber board game in teaching simple interest is highly significant and not due to random chance.</w:t>
      </w:r>
    </w:p>
    <w:p w14:paraId="1A6E1ADF" w14:textId="666DD940" w:rsidR="00B858A0" w:rsidRPr="002D359D" w:rsidRDefault="00B858A0" w:rsidP="00E265C4">
      <w:pPr>
        <w:pStyle w:val="NoSpacing"/>
        <w:jc w:val="both"/>
        <w:rPr>
          <w:rFonts w:ascii="Times New Roman" w:hAnsi="Times New Roman"/>
          <w:b/>
          <w:bCs/>
          <w:color w:val="000000" w:themeColor="text1"/>
          <w:lang w:eastAsia="en-PH"/>
        </w:rPr>
      </w:pPr>
      <w:r w:rsidRPr="002D359D">
        <w:rPr>
          <w:rFonts w:ascii="Times New Roman" w:hAnsi="Times New Roman"/>
          <w:b/>
          <w:bCs/>
          <w:color w:val="000000" w:themeColor="text1"/>
          <w:lang w:eastAsia="en-PH"/>
        </w:rPr>
        <w:t>Keywords:</w:t>
      </w:r>
    </w:p>
    <w:p w14:paraId="41794B2D" w14:textId="5DBF813B" w:rsidR="00E265C4" w:rsidRPr="002D359D" w:rsidRDefault="00F11A3F" w:rsidP="00E265C4">
      <w:pPr>
        <w:pStyle w:val="NoSpacing"/>
        <w:rPr>
          <w:rFonts w:ascii="Times New Roman" w:hAnsi="Times New Roman"/>
          <w:b/>
          <w:bCs/>
          <w:color w:val="000000" w:themeColor="text1"/>
          <w:lang w:eastAsia="en-PH"/>
        </w:rPr>
      </w:pPr>
      <w:r w:rsidRPr="002D359D">
        <w:rPr>
          <w:rFonts w:ascii="Times New Roman" w:hAnsi="Times New Roman"/>
          <w:b/>
          <w:bCs/>
          <w:color w:val="000000" w:themeColor="text1"/>
          <w:lang w:eastAsia="en-PH"/>
        </w:rPr>
        <w:t>Gamification, Mathematics Education, Bomber Board, Mathematical Concepts, Simple Interest</w:t>
      </w:r>
    </w:p>
    <w:p w14:paraId="69DA4271" w14:textId="77777777" w:rsidR="00F11A3F" w:rsidRPr="002D359D" w:rsidRDefault="00F11A3F" w:rsidP="00E265C4">
      <w:pPr>
        <w:pStyle w:val="NoSpacing"/>
        <w:rPr>
          <w:rFonts w:ascii="Times New Roman" w:hAnsi="Times New Roman"/>
          <w:b/>
          <w:bCs/>
          <w:color w:val="000000" w:themeColor="text1"/>
          <w:lang w:eastAsia="en-PH"/>
        </w:rPr>
      </w:pPr>
    </w:p>
    <w:p w14:paraId="18157580" w14:textId="0A496561" w:rsidR="00F11A3F" w:rsidRPr="002D359D" w:rsidRDefault="00E265C4" w:rsidP="00F11A3F">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INTRODUCTION</w:t>
      </w:r>
    </w:p>
    <w:p w14:paraId="1AD911AB" w14:textId="77777777" w:rsidR="00F11A3F" w:rsidRPr="002D359D" w:rsidRDefault="00F11A3F" w:rsidP="00F11A3F">
      <w:pPr>
        <w:pStyle w:val="NoSpacing"/>
        <w:rPr>
          <w:rFonts w:ascii="Times New Roman" w:hAnsi="Times New Roman"/>
          <w:b/>
          <w:bCs/>
          <w:color w:val="000000" w:themeColor="text1"/>
          <w:sz w:val="28"/>
          <w:szCs w:val="28"/>
        </w:rPr>
      </w:pPr>
    </w:p>
    <w:p w14:paraId="712E9EFD" w14:textId="3C5EB368"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 xml:space="preserve">Innovative and captivating methods of teaching are very crucial in today's educational environment to capture students' attention and improve their learning outcomes. Even while they can be somewhat successful, traditional teaching approaches frequently fail to promote deep understanding, particularly in areas like mathematics that call on analytical abilities. One such subject that many students find difficult to completely understand is simple interest, a fundamental idea in mathematics and finance. </w:t>
      </w:r>
    </w:p>
    <w:p w14:paraId="24964061" w14:textId="2D6B9E9C"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The study of (Jayaraman et.al, 2020) measured financial literacy levels among high school students (N = 608) in India and found low levels of performance on standard measures of financial literacy.  These findings lend support for high school financial education which involves parents and stresses practical hands-on application, societal and macroeconomic impact, as a means of improving financial literacy.</w:t>
      </w:r>
    </w:p>
    <w:p w14:paraId="33309571" w14:textId="53E2D79A"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 xml:space="preserve">The study reveals that the financial literacy level among youth is low across most parts of the world that has become a cause of concern. (Garg &amp; Singh 2021) Also, it has been observed that various socio-economic and demographic factors such as age, gender, income, marital status and educational attainment influence the financial literacy level of youth and there exists an interrelationship between financial knowledge, financial attitude and financial behavior. </w:t>
      </w:r>
    </w:p>
    <w:p w14:paraId="69E1DF79" w14:textId="30FEDC85"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Financial literacy is mandated by the State according to Republic Act (RA) no. 10922 or “An Act Declaring the Second Week of November Every Year as Economic and Financial Literacy Week”; RA no. 10679 or “An Act Promoting Entrepreneurship and Financial Education among Filipino Youth.” The said laws promote financial awareness among the learners whose aptitudes and skills in the field of finance and entrepreneurship shall be encouraged and honed through education and specialized training programs. Simple interest is a foundational financial concept that helps individuals understand the cost of borrowing or the return on investment. Financial literacy enables people to apply this knowledge in personal financial planning, leading to better decisions when borrowing or saving. It helps individuals avoid common mistakes and manage their finances more effectively, whether by calculating interest on loans or understanding potential returns on savings. In the study of (</w:t>
      </w:r>
      <w:proofErr w:type="spellStart"/>
      <w:r w:rsidRPr="002D359D">
        <w:rPr>
          <w:rFonts w:ascii="Times New Roman" w:eastAsia="Bookman Old Style" w:hAnsi="Times New Roman"/>
          <w:color w:val="000000" w:themeColor="text1"/>
          <w:sz w:val="24"/>
          <w:szCs w:val="24"/>
          <w:lang w:val="en-PH" w:eastAsia="en-PH"/>
        </w:rPr>
        <w:t>Lalosa</w:t>
      </w:r>
      <w:proofErr w:type="spellEnd"/>
      <w:r w:rsidRPr="002D359D">
        <w:rPr>
          <w:rFonts w:ascii="Times New Roman" w:eastAsia="Bookman Old Style" w:hAnsi="Times New Roman"/>
          <w:color w:val="000000" w:themeColor="text1"/>
          <w:sz w:val="24"/>
          <w:szCs w:val="24"/>
          <w:lang w:val="en-PH" w:eastAsia="en-PH"/>
        </w:rPr>
        <w:t xml:space="preserve"> 2020) was found out that most of the respondents possess inadequate knowledge in terms of financial literacy </w:t>
      </w:r>
      <w:r w:rsidRPr="002D359D">
        <w:rPr>
          <w:rFonts w:ascii="Times New Roman" w:eastAsia="Bookman Old Style" w:hAnsi="Times New Roman"/>
          <w:color w:val="000000" w:themeColor="text1"/>
          <w:sz w:val="24"/>
          <w:szCs w:val="24"/>
          <w:lang w:val="en-PH" w:eastAsia="en-PH"/>
        </w:rPr>
        <w:lastRenderedPageBreak/>
        <w:t>even on the practical level of application for their day-to-day activities. This problem is evident among HUMSS students at Luis Y. Ferrer Jr. Senior High School in Grade 11, when conventional methods of instruction do not adequately interest students or promote topic mastery. DepEd Memo No. 160, S. 2012 emphasizes the importance of ensuring that students achieve a level of mastery in their learning, particularly regarding basic competencies.</w:t>
      </w:r>
    </w:p>
    <w:p w14:paraId="1947137B" w14:textId="4290E0F5"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Considering this variable in relation to the issue, there were studies that have linked and discovered the relationship between numeracy and financial literacy. This discovery has then paved a way for possible solutions as to how numeracy can be utilized to integrate financial education in response to the low level of financial literacy among students. (</w:t>
      </w:r>
      <w:proofErr w:type="spellStart"/>
      <w:r w:rsidRPr="002D359D">
        <w:rPr>
          <w:rFonts w:ascii="Times New Roman" w:eastAsia="Bookman Old Style" w:hAnsi="Times New Roman"/>
          <w:color w:val="000000" w:themeColor="text1"/>
          <w:sz w:val="24"/>
          <w:szCs w:val="24"/>
          <w:lang w:val="en-PH" w:eastAsia="en-PH"/>
        </w:rPr>
        <w:t>Indefonso</w:t>
      </w:r>
      <w:proofErr w:type="spellEnd"/>
      <w:r w:rsidRPr="002D359D">
        <w:rPr>
          <w:rFonts w:ascii="Times New Roman" w:eastAsia="Bookman Old Style" w:hAnsi="Times New Roman"/>
          <w:color w:val="000000" w:themeColor="text1"/>
          <w:sz w:val="24"/>
          <w:szCs w:val="24"/>
          <w:lang w:val="en-PH" w:eastAsia="en-PH"/>
        </w:rPr>
        <w:t xml:space="preserve"> and </w:t>
      </w:r>
      <w:proofErr w:type="spellStart"/>
      <w:r w:rsidRPr="002D359D">
        <w:rPr>
          <w:rFonts w:ascii="Times New Roman" w:eastAsia="Bookman Old Style" w:hAnsi="Times New Roman"/>
          <w:color w:val="000000" w:themeColor="text1"/>
          <w:sz w:val="24"/>
          <w:szCs w:val="24"/>
          <w:lang w:val="en-PH" w:eastAsia="en-PH"/>
        </w:rPr>
        <w:t>Yazon</w:t>
      </w:r>
      <w:proofErr w:type="spellEnd"/>
      <w:r w:rsidRPr="002D359D">
        <w:rPr>
          <w:rFonts w:ascii="Times New Roman" w:eastAsia="Bookman Old Style" w:hAnsi="Times New Roman"/>
          <w:color w:val="000000" w:themeColor="text1"/>
          <w:sz w:val="24"/>
          <w:szCs w:val="24"/>
          <w:lang w:val="en-PH" w:eastAsia="en-PH"/>
        </w:rPr>
        <w:t xml:space="preserve">, 2020) </w:t>
      </w:r>
    </w:p>
    <w:p w14:paraId="6C0A0D8C" w14:textId="701BCA1D"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Study of (Kimble 2020) analyze how the use of gamification could improve student achievement in math. This action research aims to address this learning gap by introducing the Bomber Board Game, a unique and interactive learning tool designed to foster engagement and comprehension of simple interest. By integrating game-based learning, students are encouraged to participate actively, work collaboratively, and apply theoretical knowledge in practical, real-world scenarios. The game’s competitive yet cooperative nature motivates learners to explore the concept of simple interest in a fun and accessible manner. Also, this research will determine the effectiveness of the Bomber Board Game in improving students' mastery of simple interest, making learning both enjoyable and impactful. Through this study, we hope to provide insights into the potential of game-based learning to enhance mathematical proficiency and student engagement.</w:t>
      </w:r>
    </w:p>
    <w:p w14:paraId="7F044515" w14:textId="77777777"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The study will be conducted to determine whether the integration of the bomber board game into the learning process can enhance students’ comprehension and retention of simple interest concepts of HUMSS Grade 11 students at Luis Y. Ferrer Jr. Senior High School. Specifically, the research seeks to address the following question:</w:t>
      </w:r>
    </w:p>
    <w:p w14:paraId="61DB3375" w14:textId="77777777"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1. What is the pre-test result of the HUMSS 11 students in simple interest?</w:t>
      </w:r>
    </w:p>
    <w:p w14:paraId="31520106" w14:textId="77777777"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2. How do students perform in the post test after using bomber board game in teaching simple interest?</w:t>
      </w:r>
    </w:p>
    <w:p w14:paraId="50CE8A64" w14:textId="77777777"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3. Is there a significant difference between pre-test and post-test?</w:t>
      </w:r>
    </w:p>
    <w:p w14:paraId="5E645B36" w14:textId="6E380D16" w:rsidR="00F11A3F" w:rsidRPr="002D359D" w:rsidRDefault="00F11A3F" w:rsidP="00F11A3F">
      <w:pPr>
        <w:pStyle w:val="NoSpacing"/>
        <w:spacing w:before="240" w:after="240"/>
        <w:rPr>
          <w:rFonts w:ascii="Times New Roman" w:eastAsia="Bookman Old Style" w:hAnsi="Times New Roman"/>
          <w:b/>
          <w:bCs/>
          <w:color w:val="000000" w:themeColor="text1"/>
          <w:sz w:val="28"/>
          <w:szCs w:val="28"/>
          <w:lang w:val="fil-PH"/>
        </w:rPr>
      </w:pPr>
      <w:r w:rsidRPr="002D359D">
        <w:rPr>
          <w:rFonts w:ascii="Times New Roman" w:eastAsia="Bookman Old Style" w:hAnsi="Times New Roman"/>
          <w:b/>
          <w:bCs/>
          <w:color w:val="000000" w:themeColor="text1"/>
          <w:sz w:val="28"/>
          <w:szCs w:val="28"/>
          <w:lang w:val="fil-PH"/>
        </w:rPr>
        <w:t>THEORETICAL FRAMEWORK</w:t>
      </w:r>
    </w:p>
    <w:p w14:paraId="4B0C14D6" w14:textId="0B48DD0B"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Jerome Bruner's theory (1966), which forms the basis of this study, highlights the critical role of the teacher, language, and the process of teaching in learning. Bruner argues that social interaction plays a pivotal role in effective learning, and students utilize various problem-solving methods that differ from one individual to another. He believes cognitive development occurs through the interaction of basic human abilities with cultural tools designed to enhance those abilities. These tools can be abstract, like the organization of language and knowledge within a culture, or tangible, such as computers and televisions.</w:t>
      </w:r>
    </w:p>
    <w:p w14:paraId="69B74CC0" w14:textId="18FB63E0"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Likewise, Bruner (1960) stated that the main point of school is not just to stuff the brain with facts rather it is about helping learners learn how to think and solve problems so they can use that skill in all sorts of situations. On the other hand, when reviewing gamification in education, Landers (2014) stands out as a significant theoretical contribution to scientific studies. This theory incorporates concepts such as self-determination theory, goal-setting theory (Locke, 1968; Locke &amp; Latham, 2002), and behavior reinforcement theory (Skinner, 1957). However, in terms of the theoretical underpinnings of gamification, serious games, and game-based learning, the findings reveal ongoing debates and a lack of comprehensive understanding regarding the theories used as a foundation for research in different contexts. Additionally, there are questions about how these theories explain the positive outcomes associated with gamification.</w:t>
      </w:r>
    </w:p>
    <w:p w14:paraId="4B84208D" w14:textId="77FD706A" w:rsidR="00287769" w:rsidRPr="002D359D" w:rsidRDefault="00C51568" w:rsidP="00F11A3F">
      <w:pPr>
        <w:pStyle w:val="NoSpacing"/>
        <w:spacing w:before="240" w:after="240"/>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M</w:t>
      </w:r>
      <w:r w:rsidR="00826976" w:rsidRPr="002D359D">
        <w:rPr>
          <w:rFonts w:ascii="Times New Roman" w:hAnsi="Times New Roman"/>
          <w:b/>
          <w:bCs/>
          <w:color w:val="000000" w:themeColor="text1"/>
          <w:sz w:val="28"/>
          <w:szCs w:val="28"/>
        </w:rPr>
        <w:t>ETHODOLOGY</w:t>
      </w:r>
    </w:p>
    <w:p w14:paraId="37DAC99F" w14:textId="77777777" w:rsidR="00826976" w:rsidRPr="002D359D" w:rsidRDefault="00826976" w:rsidP="00826976">
      <w:pPr>
        <w:spacing w:before="100" w:beforeAutospacing="1" w:after="100" w:afterAutospacing="1" w:line="240" w:lineRule="auto"/>
        <w:jc w:val="both"/>
        <w:rPr>
          <w:rFonts w:ascii="Times New Roman" w:eastAsia="Bookman Old Style" w:hAnsi="Times New Roman"/>
          <w:b/>
          <w:bCs/>
          <w:iCs/>
          <w:color w:val="000000" w:themeColor="text1"/>
          <w:sz w:val="24"/>
          <w:szCs w:val="24"/>
          <w:lang w:val="en-PH" w:eastAsia="en-PH"/>
        </w:rPr>
      </w:pPr>
      <w:r w:rsidRPr="002D359D">
        <w:rPr>
          <w:rFonts w:ascii="Times New Roman" w:eastAsia="Bookman Old Style" w:hAnsi="Times New Roman"/>
          <w:b/>
          <w:bCs/>
          <w:iCs/>
          <w:color w:val="000000" w:themeColor="text1"/>
          <w:sz w:val="24"/>
          <w:szCs w:val="24"/>
          <w:lang w:val="en-PH" w:eastAsia="en-PH"/>
        </w:rPr>
        <w:t>Study design</w:t>
      </w:r>
    </w:p>
    <w:p w14:paraId="72CC6621" w14:textId="77777777" w:rsidR="00F11A3F" w:rsidRPr="002D359D" w:rsidRDefault="00F11A3F" w:rsidP="00FF209F">
      <w:pPr>
        <w:spacing w:after="160" w:line="240" w:lineRule="auto"/>
        <w:rPr>
          <w:rFonts w:ascii="Times New Roman" w:eastAsia="Bookman Old Style" w:hAnsi="Times New Roman"/>
          <w:iCs/>
          <w:color w:val="000000" w:themeColor="text1"/>
          <w:sz w:val="24"/>
          <w:szCs w:val="24"/>
          <w:lang w:val="en-PH" w:eastAsia="en-PH"/>
        </w:rPr>
      </w:pPr>
      <w:r w:rsidRPr="002D359D">
        <w:rPr>
          <w:rFonts w:ascii="Times New Roman" w:eastAsia="Bookman Old Style" w:hAnsi="Times New Roman"/>
          <w:iCs/>
          <w:color w:val="000000" w:themeColor="text1"/>
          <w:sz w:val="24"/>
          <w:szCs w:val="24"/>
          <w:lang w:val="en-PH" w:eastAsia="en-PH"/>
        </w:rPr>
        <w:lastRenderedPageBreak/>
        <w:t xml:space="preserve">The research is basically quantitative in nature as it utilized quasi-experimental method. This method of research requires pre-test and post-test. Administering pre-test and post-test to the respondents will measure their initial and </w:t>
      </w:r>
      <w:proofErr w:type="gramStart"/>
      <w:r w:rsidRPr="002D359D">
        <w:rPr>
          <w:rFonts w:ascii="Times New Roman" w:eastAsia="Bookman Old Style" w:hAnsi="Times New Roman"/>
          <w:iCs/>
          <w:color w:val="000000" w:themeColor="text1"/>
          <w:sz w:val="24"/>
          <w:szCs w:val="24"/>
          <w:lang w:val="en-PH" w:eastAsia="en-PH"/>
        </w:rPr>
        <w:t>final results</w:t>
      </w:r>
      <w:proofErr w:type="gramEnd"/>
      <w:r w:rsidRPr="002D359D">
        <w:rPr>
          <w:rFonts w:ascii="Times New Roman" w:eastAsia="Bookman Old Style" w:hAnsi="Times New Roman"/>
          <w:iCs/>
          <w:color w:val="000000" w:themeColor="text1"/>
          <w:sz w:val="24"/>
          <w:szCs w:val="24"/>
          <w:lang w:val="en-PH" w:eastAsia="en-PH"/>
        </w:rPr>
        <w:t xml:space="preserve"> to see the changes with their Mathematics Performances. The results of which were compared to measure the effect of the intervention on the learners used by researchers.</w:t>
      </w:r>
    </w:p>
    <w:p w14:paraId="5892253C" w14:textId="5B7DB6B5" w:rsidR="00B67C10" w:rsidRPr="002D359D" w:rsidRDefault="00F11A3F" w:rsidP="00FF209F">
      <w:pPr>
        <w:spacing w:after="160" w:line="240" w:lineRule="auto"/>
        <w:rPr>
          <w:rFonts w:ascii="Times New Roman" w:eastAsia="Bookman Old Style" w:hAnsi="Times New Roman"/>
          <w:b/>
          <w:color w:val="000000" w:themeColor="text1"/>
          <w:sz w:val="24"/>
          <w:szCs w:val="24"/>
          <w:lang w:val="en-PH" w:eastAsia="en-PH"/>
        </w:rPr>
      </w:pPr>
      <w:r w:rsidRPr="002D359D">
        <w:rPr>
          <w:rFonts w:ascii="Times New Roman" w:eastAsia="Bookman Old Style" w:hAnsi="Times New Roman"/>
          <w:b/>
          <w:color w:val="000000" w:themeColor="text1"/>
          <w:sz w:val="24"/>
          <w:szCs w:val="24"/>
          <w:lang w:val="en-PH" w:eastAsia="en-PH"/>
        </w:rPr>
        <w:t>Respondents</w:t>
      </w:r>
      <w:r w:rsidR="00B67C10" w:rsidRPr="002D359D">
        <w:rPr>
          <w:rFonts w:ascii="Times New Roman" w:eastAsia="Bookman Old Style" w:hAnsi="Times New Roman"/>
          <w:b/>
          <w:color w:val="000000" w:themeColor="text1"/>
          <w:sz w:val="24"/>
          <w:szCs w:val="24"/>
          <w:lang w:val="en-PH" w:eastAsia="en-PH"/>
        </w:rPr>
        <w:t xml:space="preserve"> </w:t>
      </w:r>
      <w:r w:rsidR="00287769" w:rsidRPr="002D359D">
        <w:rPr>
          <w:rFonts w:ascii="Times New Roman" w:eastAsia="Bookman Old Style" w:hAnsi="Times New Roman"/>
          <w:b/>
          <w:color w:val="000000" w:themeColor="text1"/>
          <w:sz w:val="24"/>
          <w:szCs w:val="24"/>
          <w:lang w:val="en-PH" w:eastAsia="en-PH"/>
        </w:rPr>
        <w:t>of the Study</w:t>
      </w:r>
    </w:p>
    <w:p w14:paraId="534FFED4" w14:textId="77777777" w:rsidR="00F11A3F" w:rsidRPr="002D359D" w:rsidRDefault="00F11A3F" w:rsidP="00FF209F">
      <w:pPr>
        <w:spacing w:after="160" w:line="240" w:lineRule="auto"/>
        <w:rPr>
          <w:rFonts w:ascii="Times New Roman" w:eastAsia="Bookman Old Style" w:hAnsi="Times New Roman"/>
          <w:bCs/>
          <w:color w:val="000000" w:themeColor="text1"/>
          <w:sz w:val="24"/>
          <w:szCs w:val="24"/>
          <w:lang w:val="en-PH" w:eastAsia="en-PH"/>
        </w:rPr>
      </w:pPr>
      <w:r w:rsidRPr="002D359D">
        <w:rPr>
          <w:rFonts w:ascii="Times New Roman" w:eastAsia="Bookman Old Style" w:hAnsi="Times New Roman"/>
          <w:bCs/>
          <w:color w:val="000000" w:themeColor="text1"/>
          <w:sz w:val="24"/>
          <w:szCs w:val="24"/>
          <w:lang w:val="en-PH" w:eastAsia="en-PH"/>
        </w:rPr>
        <w:t>The respondents were HUMSS Grade 11 students enrolled in Luis Y. Ferrer Jr. Senior High School, a public school in General Trias City, who were identified with difficulties in understanding and mastering the concepts of simple interest.</w:t>
      </w:r>
    </w:p>
    <w:p w14:paraId="3AE068F5" w14:textId="05922988" w:rsidR="00B67C10" w:rsidRPr="002D359D" w:rsidRDefault="00B67C10" w:rsidP="00FF209F">
      <w:pPr>
        <w:spacing w:after="160" w:line="240" w:lineRule="auto"/>
        <w:rPr>
          <w:rFonts w:ascii="Times New Roman" w:eastAsia="Bookman Old Style" w:hAnsi="Times New Roman"/>
          <w:b/>
          <w:color w:val="000000" w:themeColor="text1"/>
          <w:sz w:val="24"/>
          <w:szCs w:val="24"/>
          <w:lang w:val="en-PH" w:eastAsia="en-PH"/>
        </w:rPr>
      </w:pPr>
      <w:r w:rsidRPr="002D359D">
        <w:rPr>
          <w:rFonts w:ascii="Times New Roman" w:eastAsia="Bookman Old Style" w:hAnsi="Times New Roman"/>
          <w:b/>
          <w:color w:val="000000" w:themeColor="text1"/>
          <w:sz w:val="24"/>
          <w:szCs w:val="24"/>
          <w:lang w:val="en-PH" w:eastAsia="en-PH"/>
        </w:rPr>
        <w:t xml:space="preserve">Data Gathering </w:t>
      </w:r>
      <w:r w:rsidR="00287769" w:rsidRPr="002D359D">
        <w:rPr>
          <w:rFonts w:ascii="Times New Roman" w:eastAsia="Bookman Old Style" w:hAnsi="Times New Roman"/>
          <w:b/>
          <w:color w:val="000000" w:themeColor="text1"/>
          <w:sz w:val="24"/>
          <w:szCs w:val="24"/>
          <w:lang w:val="en-PH" w:eastAsia="en-PH"/>
        </w:rPr>
        <w:t>Procedure</w:t>
      </w:r>
    </w:p>
    <w:p w14:paraId="63B84560" w14:textId="77777777" w:rsidR="00935C3C" w:rsidRPr="002D359D" w:rsidRDefault="00935C3C" w:rsidP="00FF209F">
      <w:pPr>
        <w:spacing w:after="160" w:line="240" w:lineRule="auto"/>
        <w:rPr>
          <w:rFonts w:ascii="Times New Roman" w:eastAsia="Bookman Old Style" w:hAnsi="Times New Roman"/>
          <w:bCs/>
          <w:color w:val="000000" w:themeColor="text1"/>
          <w:sz w:val="24"/>
          <w:szCs w:val="24"/>
          <w:lang w:val="en-PH" w:eastAsia="en-PH"/>
        </w:rPr>
      </w:pPr>
      <w:r w:rsidRPr="002D359D">
        <w:rPr>
          <w:rFonts w:ascii="Times New Roman" w:eastAsia="Bookman Old Style" w:hAnsi="Times New Roman"/>
          <w:bCs/>
          <w:color w:val="000000" w:themeColor="text1"/>
          <w:sz w:val="24"/>
          <w:szCs w:val="24"/>
          <w:lang w:val="en-PH" w:eastAsia="en-PH"/>
        </w:rPr>
        <w:t>The respondents to the research were purposely chosen. As a purposive sampling, the researchers identified these students from the population of Academic Track HUMSS Grade 11 students enrolled in Luis Y. Ferrer Jr. Senior High School. The researchers developed a validated test by the experts used in the pre-test and post-test.</w:t>
      </w:r>
    </w:p>
    <w:p w14:paraId="7109C0FA" w14:textId="77777777" w:rsidR="00935C3C" w:rsidRPr="002D359D" w:rsidRDefault="00935C3C" w:rsidP="00935C3C">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Research Instrument</w:t>
      </w:r>
    </w:p>
    <w:p w14:paraId="09E73CED" w14:textId="1E3D34ED" w:rsidR="00CE116F"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ab/>
      </w:r>
      <w:r w:rsidRPr="002D359D">
        <w:rPr>
          <w:rFonts w:ascii="Times New Roman" w:hAnsi="Times New Roman"/>
          <w:color w:val="000000" w:themeColor="text1"/>
          <w:sz w:val="24"/>
          <w:szCs w:val="24"/>
        </w:rPr>
        <w:tab/>
        <w:t>The research instrument consists of a pretest, a post-test and bomber board. For the first phase, the pre-test will be conducted. During the second phase utilization of bomber board in teaching for the mastery of simple interest. For the third and final phase, the post-test concerns the simple interest. The pre-test and post-test were validated by the experts.</w:t>
      </w:r>
    </w:p>
    <w:p w14:paraId="6579565A" w14:textId="77777777" w:rsidR="00935C3C" w:rsidRPr="002D359D" w:rsidRDefault="00935C3C" w:rsidP="00935C3C">
      <w:pPr>
        <w:pStyle w:val="NoSpacing"/>
        <w:rPr>
          <w:rFonts w:ascii="Times New Roman" w:hAnsi="Times New Roman"/>
          <w:color w:val="000000" w:themeColor="text1"/>
          <w:sz w:val="24"/>
          <w:szCs w:val="24"/>
        </w:rPr>
      </w:pPr>
    </w:p>
    <w:p w14:paraId="73315A93" w14:textId="77777777" w:rsidR="00935C3C" w:rsidRPr="002D359D" w:rsidRDefault="00935C3C" w:rsidP="00935C3C">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Statistical Treatment of the Study</w:t>
      </w:r>
    </w:p>
    <w:p w14:paraId="476CC179" w14:textId="305C7940"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The paired t-test will be used to analyze the pre-test and post-test data to evaluate the effectiveness of the intervention by determining significant differences in students' performance. Pallant (2020) highlights that the paired t-test is ideal for related groups, as it measures the </w:t>
      </w:r>
      <w:proofErr w:type="gramStart"/>
      <w:r w:rsidRPr="002D359D">
        <w:rPr>
          <w:rFonts w:ascii="Times New Roman" w:hAnsi="Times New Roman"/>
          <w:color w:val="000000" w:themeColor="text1"/>
          <w:sz w:val="24"/>
          <w:szCs w:val="24"/>
        </w:rPr>
        <w:t>mean</w:t>
      </w:r>
      <w:proofErr w:type="gramEnd"/>
      <w:r w:rsidRPr="002D359D">
        <w:rPr>
          <w:rFonts w:ascii="Times New Roman" w:hAnsi="Times New Roman"/>
          <w:color w:val="000000" w:themeColor="text1"/>
          <w:sz w:val="24"/>
          <w:szCs w:val="24"/>
        </w:rPr>
        <w:t xml:space="preserve"> difference between paired scores. The process includes recording pre-test and post-test scores, calculating differences, and verifying normality assumptions</w:t>
      </w:r>
      <w:proofErr w:type="gramStart"/>
      <w:r w:rsidRPr="002D359D">
        <w:rPr>
          <w:rFonts w:ascii="Times New Roman" w:hAnsi="Times New Roman"/>
          <w:color w:val="000000" w:themeColor="text1"/>
          <w:sz w:val="24"/>
          <w:szCs w:val="24"/>
        </w:rPr>
        <w:t>, the</w:t>
      </w:r>
      <w:proofErr w:type="gramEnd"/>
      <w:r w:rsidRPr="002D359D">
        <w:rPr>
          <w:rFonts w:ascii="Times New Roman" w:hAnsi="Times New Roman"/>
          <w:color w:val="000000" w:themeColor="text1"/>
          <w:sz w:val="24"/>
          <w:szCs w:val="24"/>
        </w:rPr>
        <w:t xml:space="preserve"> results will be tested at a 0.05 significance level to determine if the intervention had a statistically significant effect.       </w:t>
      </w:r>
    </w:p>
    <w:p w14:paraId="32471367" w14:textId="77777777"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Formula:</w:t>
      </w:r>
    </w:p>
    <w:p w14:paraId="6BC02517" w14:textId="7257CFBB" w:rsidR="00935C3C" w:rsidRPr="002D359D" w:rsidRDefault="00935C3C" w:rsidP="00935C3C">
      <w:pPr>
        <w:pStyle w:val="NoSpacing"/>
        <w:jc w:val="center"/>
        <w:rPr>
          <w:rFonts w:ascii="Times New Roman" w:hAnsi="Times New Roman"/>
          <w:color w:val="000000" w:themeColor="text1"/>
          <w:sz w:val="24"/>
          <w:szCs w:val="24"/>
        </w:rPr>
      </w:pPr>
      <w:r w:rsidRPr="002D359D">
        <w:rPr>
          <w:rFonts w:ascii="Arial" w:hAnsi="Arial" w:cs="Arial"/>
          <w:noProof/>
          <w:color w:val="000000" w:themeColor="text1"/>
          <w:sz w:val="24"/>
          <w:szCs w:val="24"/>
        </w:rPr>
        <w:drawing>
          <wp:inline distT="0" distB="0" distL="0" distR="0" wp14:anchorId="4E8F1F20" wp14:editId="63A9F7AC">
            <wp:extent cx="923925" cy="393405"/>
            <wp:effectExtent l="0" t="0" r="0" b="6985"/>
            <wp:docPr id="955445184" name="Picture 95544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29221" cy="395660"/>
                    </a:xfrm>
                    <a:prstGeom prst="rect">
                      <a:avLst/>
                    </a:prstGeom>
                  </pic:spPr>
                </pic:pic>
              </a:graphicData>
            </a:graphic>
          </wp:inline>
        </w:drawing>
      </w:r>
    </w:p>
    <w:p w14:paraId="455BD8EB" w14:textId="77777777"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 Where: </w:t>
      </w:r>
    </w:p>
    <w:p w14:paraId="6F9D890F" w14:textId="55D4C186"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    </w:t>
      </w:r>
      <w:r w:rsidRPr="002D359D">
        <w:rPr>
          <w:rFonts w:ascii="Times New Roman" w:hAnsi="Times New Roman"/>
          <w:color w:val="000000" w:themeColor="text1"/>
          <w:sz w:val="24"/>
          <w:szCs w:val="24"/>
        </w:rPr>
        <w:t xml:space="preserve"> </w:t>
      </w:r>
      <w:r w:rsidRPr="002D359D">
        <w:rPr>
          <w:rFonts w:ascii="Arial" w:hAnsi="Arial" w:cs="Arial"/>
          <w:noProof/>
          <w:color w:val="000000" w:themeColor="text1"/>
          <w:sz w:val="24"/>
          <w:szCs w:val="24"/>
        </w:rPr>
        <w:drawing>
          <wp:inline distT="0" distB="0" distL="0" distR="0" wp14:anchorId="51A07E4A" wp14:editId="1519CE41">
            <wp:extent cx="228632" cy="276264"/>
            <wp:effectExtent l="0" t="0" r="0" b="0"/>
            <wp:docPr id="1105332920" name="Picture 110533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32" cy="276264"/>
                    </a:xfrm>
                    <a:prstGeom prst="rect">
                      <a:avLst/>
                    </a:prstGeom>
                  </pic:spPr>
                </pic:pic>
              </a:graphicData>
            </a:graphic>
          </wp:inline>
        </w:drawing>
      </w:r>
      <w:r w:rsidRPr="002D359D">
        <w:rPr>
          <w:rFonts w:ascii="Times New Roman" w:hAnsi="Times New Roman"/>
          <w:color w:val="000000" w:themeColor="text1"/>
          <w:sz w:val="24"/>
          <w:szCs w:val="24"/>
        </w:rPr>
        <w:t>= Mean of the difference of pretest and post test</w:t>
      </w:r>
    </w:p>
    <w:p w14:paraId="099FEE8D" w14:textId="04F24821" w:rsidR="00935C3C" w:rsidRPr="002D359D" w:rsidRDefault="00935C3C" w:rsidP="00935C3C">
      <w:pPr>
        <w:pStyle w:val="NoSpacing"/>
        <w:ind w:left="360"/>
        <w:rPr>
          <w:rFonts w:ascii="Times New Roman" w:hAnsi="Times New Roman"/>
          <w:color w:val="000000" w:themeColor="text1"/>
          <w:sz w:val="24"/>
          <w:szCs w:val="24"/>
        </w:rPr>
      </w:pPr>
      <w:r w:rsidRPr="002D359D">
        <w:rPr>
          <w:rFonts w:ascii="Arial" w:hAnsi="Arial" w:cs="Arial"/>
          <w:noProof/>
          <w:color w:val="000000" w:themeColor="text1"/>
          <w:sz w:val="24"/>
          <w:szCs w:val="24"/>
        </w:rPr>
        <w:pict w14:anchorId="1B07D838">
          <v:shape id="Picture 568287445" o:spid="_x0000_i1025" type="#_x0000_t75" style="width:17.35pt;height:17.35pt;visibility:visible;mso-wrap-style:square" o:bullet="t">
            <v:imagedata r:id="rId9" o:title=""/>
          </v:shape>
        </w:pict>
      </w:r>
      <w:r w:rsidRPr="002D359D">
        <w:rPr>
          <w:rFonts w:ascii="Times New Roman" w:hAnsi="Times New Roman"/>
          <w:color w:val="000000" w:themeColor="text1"/>
          <w:sz w:val="24"/>
          <w:szCs w:val="24"/>
        </w:rPr>
        <w:t>= Standard deviation of the difference</w:t>
      </w:r>
    </w:p>
    <w:p w14:paraId="49F67DE3" w14:textId="4AF90DEC"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 </w:t>
      </w:r>
      <w:r w:rsidRPr="002D359D">
        <w:rPr>
          <w:rFonts w:ascii="Times New Roman" w:hAnsi="Times New Roman"/>
          <w:color w:val="000000" w:themeColor="text1"/>
          <w:sz w:val="24"/>
          <w:szCs w:val="24"/>
        </w:rPr>
        <w:t xml:space="preserve">     </w:t>
      </w:r>
      <w:r w:rsidRPr="002D359D">
        <w:rPr>
          <w:rFonts w:ascii="Times New Roman" w:hAnsi="Times New Roman"/>
          <w:color w:val="000000" w:themeColor="text1"/>
          <w:sz w:val="24"/>
          <w:szCs w:val="24"/>
        </w:rPr>
        <w:t>n = number of samples</w:t>
      </w:r>
    </w:p>
    <w:p w14:paraId="614D7984" w14:textId="77777777" w:rsidR="00935C3C" w:rsidRPr="002D359D" w:rsidRDefault="00935C3C" w:rsidP="00935C3C">
      <w:pPr>
        <w:pStyle w:val="NoSpacing"/>
        <w:rPr>
          <w:rFonts w:ascii="Times New Roman" w:hAnsi="Times New Roman"/>
          <w:color w:val="000000" w:themeColor="text1"/>
          <w:sz w:val="24"/>
          <w:szCs w:val="24"/>
        </w:rPr>
      </w:pPr>
    </w:p>
    <w:p w14:paraId="0718FDA8" w14:textId="4B20C4C9" w:rsidR="00CE116F" w:rsidRPr="002D359D" w:rsidRDefault="00175CDA" w:rsidP="00826976">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RESULTS AND DISCUSSION</w:t>
      </w:r>
    </w:p>
    <w:p w14:paraId="005049FA" w14:textId="77777777" w:rsidR="000302F2" w:rsidRPr="002D359D" w:rsidRDefault="000302F2" w:rsidP="00FF209F">
      <w:pPr>
        <w:pStyle w:val="NoSpacing"/>
        <w:rPr>
          <w:rFonts w:ascii="Times New Roman" w:hAnsi="Times New Roman"/>
          <w:b/>
          <w:bCs/>
          <w:color w:val="000000" w:themeColor="text1"/>
          <w:sz w:val="24"/>
          <w:szCs w:val="24"/>
        </w:rPr>
      </w:pPr>
    </w:p>
    <w:p w14:paraId="40FA18A1" w14:textId="77777777" w:rsidR="00935C3C"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 xml:space="preserve">What is the pre-test result of the HUMSS 11 students in simple interest? </w:t>
      </w:r>
    </w:p>
    <w:p w14:paraId="5F9C2947" w14:textId="77777777" w:rsidR="002D359D" w:rsidRPr="002D359D" w:rsidRDefault="002D359D" w:rsidP="002D359D">
      <w:pPr>
        <w:spacing w:after="0"/>
        <w:ind w:right="414"/>
        <w:jc w:val="both"/>
        <w:rPr>
          <w:rFonts w:ascii="Times New Roman" w:hAnsi="Times New Roman"/>
          <w:sz w:val="24"/>
          <w:szCs w:val="24"/>
        </w:rPr>
      </w:pPr>
      <w:r w:rsidRPr="002D359D">
        <w:rPr>
          <w:rFonts w:ascii="Times New Roman" w:eastAsia="Century Gothic" w:hAnsi="Times New Roman"/>
          <w:b/>
          <w:bCs/>
          <w:sz w:val="24"/>
          <w:szCs w:val="24"/>
          <w:lang w:val="en-PH"/>
        </w:rPr>
        <w:t>Table 1</w:t>
      </w:r>
    </w:p>
    <w:p w14:paraId="5130FE64" w14:textId="401577D6" w:rsidR="002D359D" w:rsidRPr="002D359D" w:rsidRDefault="002D359D" w:rsidP="002D359D">
      <w:pPr>
        <w:spacing w:after="0"/>
        <w:ind w:right="414"/>
        <w:jc w:val="both"/>
        <w:rPr>
          <w:rFonts w:ascii="Times New Roman" w:hAnsi="Times New Roman"/>
          <w:sz w:val="24"/>
          <w:szCs w:val="24"/>
        </w:rPr>
      </w:pPr>
      <w:r w:rsidRPr="002D359D">
        <w:rPr>
          <w:rFonts w:ascii="Times New Roman" w:eastAsia="Century Gothic" w:hAnsi="Times New Roman"/>
          <w:b/>
          <w:bCs/>
          <w:sz w:val="24"/>
          <w:szCs w:val="24"/>
          <w:lang w:val="en-PH"/>
        </w:rPr>
        <w:t>Student Respondents Mean Score in the Pretest Results.</w:t>
      </w:r>
    </w:p>
    <w:tbl>
      <w:tblPr>
        <w:tblStyle w:val="TableGrid"/>
        <w:tblW w:w="5000" w:type="pct"/>
        <w:tblLook w:val="04A0" w:firstRow="1" w:lastRow="0" w:firstColumn="1" w:lastColumn="0" w:noHBand="0" w:noVBand="1"/>
      </w:tblPr>
      <w:tblGrid>
        <w:gridCol w:w="3513"/>
        <w:gridCol w:w="3429"/>
        <w:gridCol w:w="3706"/>
      </w:tblGrid>
      <w:tr w:rsidR="002D359D" w:rsidRPr="002D359D" w14:paraId="09525DFE" w14:textId="77777777" w:rsidTr="002D359D">
        <w:trPr>
          <w:trHeight w:val="312"/>
        </w:trPr>
        <w:tc>
          <w:tcPr>
            <w:tcW w:w="1650" w:type="pct"/>
            <w:vAlign w:val="center"/>
          </w:tcPr>
          <w:p w14:paraId="1552C9C4" w14:textId="77777777"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Student Respondents</w:t>
            </w:r>
          </w:p>
        </w:tc>
        <w:tc>
          <w:tcPr>
            <w:tcW w:w="1610" w:type="pct"/>
            <w:vAlign w:val="center"/>
          </w:tcPr>
          <w:p w14:paraId="24131548" w14:textId="77777777"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Pre-Test Average</w:t>
            </w:r>
          </w:p>
        </w:tc>
        <w:tc>
          <w:tcPr>
            <w:tcW w:w="1741" w:type="pct"/>
            <w:vAlign w:val="center"/>
          </w:tcPr>
          <w:p w14:paraId="0B244406" w14:textId="77777777"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Mean Percentage Score</w:t>
            </w:r>
          </w:p>
        </w:tc>
      </w:tr>
      <w:tr w:rsidR="002D359D" w:rsidRPr="002D359D" w14:paraId="47BBB34C" w14:textId="77777777" w:rsidTr="002D359D">
        <w:trPr>
          <w:trHeight w:val="211"/>
        </w:trPr>
        <w:tc>
          <w:tcPr>
            <w:tcW w:w="1650" w:type="pct"/>
            <w:vAlign w:val="center"/>
          </w:tcPr>
          <w:p w14:paraId="37EC9B83" w14:textId="77777777"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sz w:val="24"/>
                <w:szCs w:val="24"/>
              </w:rPr>
              <w:t>HUMSS</w:t>
            </w:r>
          </w:p>
        </w:tc>
        <w:tc>
          <w:tcPr>
            <w:tcW w:w="1610" w:type="pct"/>
            <w:vAlign w:val="center"/>
          </w:tcPr>
          <w:p w14:paraId="0B16B9F3" w14:textId="77777777"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sz w:val="24"/>
                <w:szCs w:val="24"/>
              </w:rPr>
              <w:t>4.00</w:t>
            </w:r>
          </w:p>
        </w:tc>
        <w:tc>
          <w:tcPr>
            <w:tcW w:w="1741" w:type="pct"/>
            <w:vAlign w:val="center"/>
          </w:tcPr>
          <w:p w14:paraId="01E84C17" w14:textId="77777777" w:rsidR="002D359D" w:rsidRPr="002D359D" w:rsidRDefault="002D359D" w:rsidP="002D359D">
            <w:pPr>
              <w:spacing w:after="0"/>
              <w:ind w:left="567" w:right="414"/>
              <w:jc w:val="center"/>
              <w:rPr>
                <w:rFonts w:ascii="Times New Roman" w:eastAsia="Century Gothic" w:hAnsi="Times New Roman" w:cs="Times New Roman"/>
                <w:sz w:val="24"/>
                <w:szCs w:val="24"/>
              </w:rPr>
            </w:pPr>
            <w:r w:rsidRPr="002D359D">
              <w:rPr>
                <w:rFonts w:ascii="Times New Roman" w:eastAsia="Century Gothic" w:hAnsi="Times New Roman" w:cs="Times New Roman"/>
                <w:sz w:val="24"/>
                <w:szCs w:val="24"/>
              </w:rPr>
              <w:t>40%</w:t>
            </w:r>
          </w:p>
        </w:tc>
      </w:tr>
    </w:tbl>
    <w:p w14:paraId="04AFD616" w14:textId="77777777" w:rsidR="002D359D" w:rsidRDefault="002D359D" w:rsidP="00935C3C">
      <w:pPr>
        <w:spacing w:after="160" w:line="240" w:lineRule="auto"/>
        <w:jc w:val="both"/>
        <w:rPr>
          <w:rFonts w:ascii="Times New Roman" w:eastAsia="Bookman Old Style" w:hAnsi="Times New Roman"/>
          <w:color w:val="000000" w:themeColor="text1"/>
          <w:sz w:val="24"/>
          <w:szCs w:val="24"/>
          <w:lang w:val="en-US" w:eastAsia="zh-CN" w:bidi="ar"/>
        </w:rPr>
      </w:pPr>
    </w:p>
    <w:p w14:paraId="5619F06A" w14:textId="489A6B46"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The HUMSS group’s mean score of 4.00 in the pre-test, corresponding to a mean percentage score (MPS) of 40%, indicates that, on average, the students achieved 40% of the possible points in the pre-test. This suggests that the group had a relatively low level of knowledge or skill in the subject matter at the beginning of the study. The 40% MPS provides a clear indication of the need for improvement, and subsequent post-test results will help determine if there was significant progress after any interventions or learning activities.</w:t>
      </w:r>
    </w:p>
    <w:p w14:paraId="3C2903F3"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lastRenderedPageBreak/>
        <w:t>How do students perform in the post-test after using bomber board game in teaching simple interest?</w:t>
      </w:r>
    </w:p>
    <w:p w14:paraId="0C895B45" w14:textId="77777777" w:rsidR="00935C3C" w:rsidRPr="002D359D" w:rsidRDefault="00935C3C" w:rsidP="00935C3C">
      <w:pPr>
        <w:spacing w:after="160" w:line="240" w:lineRule="auto"/>
        <w:jc w:val="both"/>
        <w:rPr>
          <w:rFonts w:ascii="Times New Roman" w:eastAsia="Bookman Old Style" w:hAnsi="Times New Roman"/>
          <w:b/>
          <w:bCs/>
          <w:color w:val="000000" w:themeColor="text1"/>
          <w:sz w:val="24"/>
          <w:szCs w:val="24"/>
          <w:lang w:val="en-US" w:eastAsia="zh-CN" w:bidi="ar"/>
        </w:rPr>
      </w:pPr>
      <w:r w:rsidRPr="002D359D">
        <w:rPr>
          <w:rFonts w:ascii="Times New Roman" w:eastAsia="Bookman Old Style" w:hAnsi="Times New Roman"/>
          <w:b/>
          <w:bCs/>
          <w:color w:val="000000" w:themeColor="text1"/>
          <w:sz w:val="24"/>
          <w:szCs w:val="24"/>
          <w:lang w:val="en-US" w:eastAsia="zh-CN" w:bidi="ar"/>
        </w:rPr>
        <w:t>Table 2</w:t>
      </w:r>
    </w:p>
    <w:p w14:paraId="0C7F1F51" w14:textId="77777777" w:rsidR="00935C3C" w:rsidRPr="002D359D" w:rsidRDefault="00935C3C" w:rsidP="00935C3C">
      <w:pPr>
        <w:spacing w:after="160" w:line="240" w:lineRule="auto"/>
        <w:jc w:val="both"/>
        <w:rPr>
          <w:rFonts w:ascii="Times New Roman" w:eastAsia="Bookman Old Style" w:hAnsi="Times New Roman"/>
          <w:b/>
          <w:bCs/>
          <w:color w:val="000000" w:themeColor="text1"/>
          <w:sz w:val="24"/>
          <w:szCs w:val="24"/>
          <w:lang w:val="en-US" w:eastAsia="zh-CN" w:bidi="ar"/>
        </w:rPr>
      </w:pPr>
      <w:r w:rsidRPr="002D359D">
        <w:rPr>
          <w:rFonts w:ascii="Times New Roman" w:eastAsia="Bookman Old Style" w:hAnsi="Times New Roman"/>
          <w:b/>
          <w:bCs/>
          <w:color w:val="000000" w:themeColor="text1"/>
          <w:sz w:val="24"/>
          <w:szCs w:val="24"/>
          <w:lang w:val="en-US" w:eastAsia="zh-CN" w:bidi="ar"/>
        </w:rPr>
        <w:t>Student Respondents Mean Score in the Post test Results.</w:t>
      </w:r>
    </w:p>
    <w:tbl>
      <w:tblPr>
        <w:tblStyle w:val="TableGrid"/>
        <w:tblW w:w="5000" w:type="pct"/>
        <w:tblLook w:val="04A0" w:firstRow="1" w:lastRow="0" w:firstColumn="1" w:lastColumn="0" w:noHBand="0" w:noVBand="1"/>
      </w:tblPr>
      <w:tblGrid>
        <w:gridCol w:w="3513"/>
        <w:gridCol w:w="3427"/>
        <w:gridCol w:w="3708"/>
      </w:tblGrid>
      <w:tr w:rsidR="002D359D" w:rsidRPr="002D359D" w14:paraId="414F54D5" w14:textId="77777777" w:rsidTr="002D359D">
        <w:trPr>
          <w:trHeight w:val="376"/>
        </w:trPr>
        <w:tc>
          <w:tcPr>
            <w:tcW w:w="1650" w:type="pct"/>
            <w:vAlign w:val="center"/>
          </w:tcPr>
          <w:p w14:paraId="098DD38B" w14:textId="77777777"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Student Respondents</w:t>
            </w:r>
          </w:p>
        </w:tc>
        <w:tc>
          <w:tcPr>
            <w:tcW w:w="1609" w:type="pct"/>
            <w:vAlign w:val="center"/>
          </w:tcPr>
          <w:p w14:paraId="20F92F59" w14:textId="77777777"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Post Test Average</w:t>
            </w:r>
          </w:p>
        </w:tc>
        <w:tc>
          <w:tcPr>
            <w:tcW w:w="1741" w:type="pct"/>
            <w:vAlign w:val="center"/>
          </w:tcPr>
          <w:p w14:paraId="129A377C" w14:textId="77777777"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Mean Percentage Score</w:t>
            </w:r>
          </w:p>
        </w:tc>
      </w:tr>
      <w:tr w:rsidR="002D359D" w:rsidRPr="002D359D" w14:paraId="1517AF56" w14:textId="77777777" w:rsidTr="002D359D">
        <w:trPr>
          <w:trHeight w:val="283"/>
        </w:trPr>
        <w:tc>
          <w:tcPr>
            <w:tcW w:w="1650" w:type="pct"/>
            <w:vAlign w:val="center"/>
          </w:tcPr>
          <w:p w14:paraId="1B763F7B" w14:textId="77777777"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HUMSS</w:t>
            </w:r>
          </w:p>
        </w:tc>
        <w:tc>
          <w:tcPr>
            <w:tcW w:w="1609" w:type="pct"/>
            <w:vAlign w:val="center"/>
          </w:tcPr>
          <w:p w14:paraId="226E0BD5" w14:textId="77777777"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7.25</w:t>
            </w:r>
          </w:p>
        </w:tc>
        <w:tc>
          <w:tcPr>
            <w:tcW w:w="1741" w:type="pct"/>
            <w:vAlign w:val="center"/>
          </w:tcPr>
          <w:p w14:paraId="72C89C0E" w14:textId="77777777"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72.5%</w:t>
            </w:r>
          </w:p>
        </w:tc>
      </w:tr>
    </w:tbl>
    <w:p w14:paraId="282EF5DC" w14:textId="77777777" w:rsidR="002D359D" w:rsidRDefault="002D359D" w:rsidP="00935C3C">
      <w:pPr>
        <w:spacing w:after="160" w:line="240" w:lineRule="auto"/>
        <w:jc w:val="both"/>
        <w:rPr>
          <w:rFonts w:ascii="Times New Roman" w:eastAsia="Bookman Old Style" w:hAnsi="Times New Roman"/>
          <w:color w:val="000000" w:themeColor="text1"/>
          <w:sz w:val="24"/>
          <w:szCs w:val="24"/>
          <w:lang w:val="en-US" w:eastAsia="zh-CN" w:bidi="ar"/>
        </w:rPr>
      </w:pPr>
    </w:p>
    <w:p w14:paraId="702272ED" w14:textId="6C16224E"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The HUMSS group’s post-test average score of 7.25, with a mean percentage score (MPS) of 72.5%, indicates a notable improvement in performance compared to the pre-test. This suggests that after the learning interventions or study period, students were able to increase their understanding of the simple interest using the bomber board, as reflected by the higher percentage score. The MPS of 72.5% demonstrates that, they are on moving towards mastery, highlighting a positive outcome and suggesting effective learning or intervention.</w:t>
      </w:r>
    </w:p>
    <w:p w14:paraId="749FDDAA"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p>
    <w:p w14:paraId="3407AE6E"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Is there a significant difference between the pre-test and post-test?</w:t>
      </w:r>
    </w:p>
    <w:p w14:paraId="25BB8C8D"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Table 3</w:t>
      </w:r>
    </w:p>
    <w:p w14:paraId="270BC7DA"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Paired Sample T-Test Results Comparing Pre-test and Post test Scores</w:t>
      </w:r>
    </w:p>
    <w:p w14:paraId="09FECCBE"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Group</w:t>
      </w:r>
      <w:r w:rsidRPr="002D359D">
        <w:rPr>
          <w:rFonts w:ascii="Times New Roman" w:eastAsia="Bookman Old Style" w:hAnsi="Times New Roman"/>
          <w:color w:val="000000" w:themeColor="text1"/>
          <w:sz w:val="24"/>
          <w:szCs w:val="24"/>
          <w:lang w:val="en-US" w:eastAsia="zh-CN" w:bidi="ar"/>
        </w:rPr>
        <w:tab/>
        <w:t>Mean</w:t>
      </w:r>
      <w:r w:rsidRPr="002D359D">
        <w:rPr>
          <w:rFonts w:ascii="Times New Roman" w:eastAsia="Bookman Old Style" w:hAnsi="Times New Roman"/>
          <w:color w:val="000000" w:themeColor="text1"/>
          <w:sz w:val="24"/>
          <w:szCs w:val="24"/>
          <w:lang w:val="en-US" w:eastAsia="zh-CN" w:bidi="ar"/>
        </w:rPr>
        <w:tab/>
        <w:t>Standard Deviation</w:t>
      </w:r>
      <w:r w:rsidRPr="002D359D">
        <w:rPr>
          <w:rFonts w:ascii="Times New Roman" w:eastAsia="Bookman Old Style" w:hAnsi="Times New Roman"/>
          <w:color w:val="000000" w:themeColor="text1"/>
          <w:sz w:val="24"/>
          <w:szCs w:val="24"/>
          <w:lang w:val="en-US" w:eastAsia="zh-CN" w:bidi="ar"/>
        </w:rPr>
        <w:tab/>
        <w:t>t-value</w:t>
      </w:r>
      <w:r w:rsidRPr="002D359D">
        <w:rPr>
          <w:rFonts w:ascii="Times New Roman" w:eastAsia="Bookman Old Style" w:hAnsi="Times New Roman"/>
          <w:color w:val="000000" w:themeColor="text1"/>
          <w:sz w:val="24"/>
          <w:szCs w:val="24"/>
          <w:lang w:val="en-US" w:eastAsia="zh-CN" w:bidi="ar"/>
        </w:rPr>
        <w:tab/>
        <w:t>Degrees of freedom</w:t>
      </w:r>
      <w:r w:rsidRPr="002D359D">
        <w:rPr>
          <w:rFonts w:ascii="Times New Roman" w:eastAsia="Bookman Old Style" w:hAnsi="Times New Roman"/>
          <w:color w:val="000000" w:themeColor="text1"/>
          <w:sz w:val="24"/>
          <w:szCs w:val="24"/>
          <w:lang w:val="en-US" w:eastAsia="zh-CN" w:bidi="ar"/>
        </w:rPr>
        <w:tab/>
        <w:t>p-value</w:t>
      </w:r>
    </w:p>
    <w:p w14:paraId="0F0140A3"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Pretest Scores</w:t>
      </w:r>
      <w:r w:rsidRPr="002D359D">
        <w:rPr>
          <w:rFonts w:ascii="Times New Roman" w:eastAsia="Bookman Old Style" w:hAnsi="Times New Roman"/>
          <w:color w:val="000000" w:themeColor="text1"/>
          <w:sz w:val="24"/>
          <w:szCs w:val="24"/>
          <w:lang w:val="en-US" w:eastAsia="zh-CN" w:bidi="ar"/>
        </w:rPr>
        <w:tab/>
        <w:t>4.00</w:t>
      </w:r>
      <w:r w:rsidRPr="002D359D">
        <w:rPr>
          <w:rFonts w:ascii="Times New Roman" w:eastAsia="Bookman Old Style" w:hAnsi="Times New Roman"/>
          <w:color w:val="000000" w:themeColor="text1"/>
          <w:sz w:val="24"/>
          <w:szCs w:val="24"/>
          <w:lang w:val="en-US" w:eastAsia="zh-CN" w:bidi="ar"/>
        </w:rPr>
        <w:tab/>
        <w:t>1.32</w:t>
      </w: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39</w:t>
      </w:r>
      <w:r w:rsidRPr="002D359D">
        <w:rPr>
          <w:rFonts w:ascii="Times New Roman" w:eastAsia="Bookman Old Style" w:hAnsi="Times New Roman"/>
          <w:color w:val="000000" w:themeColor="text1"/>
          <w:sz w:val="24"/>
          <w:szCs w:val="24"/>
          <w:lang w:val="en-US" w:eastAsia="zh-CN" w:bidi="ar"/>
        </w:rPr>
        <w:tab/>
      </w:r>
    </w:p>
    <w:p w14:paraId="3E1955C0"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Post test Scores</w:t>
      </w:r>
      <w:r w:rsidRPr="002D359D">
        <w:rPr>
          <w:rFonts w:ascii="Times New Roman" w:eastAsia="Bookman Old Style" w:hAnsi="Times New Roman"/>
          <w:color w:val="000000" w:themeColor="text1"/>
          <w:sz w:val="24"/>
          <w:szCs w:val="24"/>
          <w:lang w:val="en-US" w:eastAsia="zh-CN" w:bidi="ar"/>
        </w:rPr>
        <w:tab/>
        <w:t>7.25</w:t>
      </w:r>
      <w:r w:rsidRPr="002D359D">
        <w:rPr>
          <w:rFonts w:ascii="Times New Roman" w:eastAsia="Bookman Old Style" w:hAnsi="Times New Roman"/>
          <w:color w:val="000000" w:themeColor="text1"/>
          <w:sz w:val="24"/>
          <w:szCs w:val="24"/>
          <w:lang w:val="en-US" w:eastAsia="zh-CN" w:bidi="ar"/>
        </w:rPr>
        <w:tab/>
        <w:t>1.10</w:t>
      </w:r>
      <w:r w:rsidRPr="002D359D">
        <w:rPr>
          <w:rFonts w:ascii="Times New Roman" w:eastAsia="Bookman Old Style" w:hAnsi="Times New Roman"/>
          <w:color w:val="000000" w:themeColor="text1"/>
          <w:sz w:val="24"/>
          <w:szCs w:val="24"/>
          <w:lang w:val="en-US" w:eastAsia="zh-CN" w:bidi="ar"/>
        </w:rPr>
        <w:tab/>
        <w:t>12.27</w:t>
      </w:r>
      <w:r w:rsidRPr="002D359D">
        <w:rPr>
          <w:rFonts w:ascii="Times New Roman" w:eastAsia="Bookman Old Style" w:hAnsi="Times New Roman"/>
          <w:color w:val="000000" w:themeColor="text1"/>
          <w:sz w:val="24"/>
          <w:szCs w:val="24"/>
          <w:lang w:val="en-US" w:eastAsia="zh-CN" w:bidi="ar"/>
        </w:rPr>
        <w:tab/>
        <w:t>39</w:t>
      </w:r>
      <w:r w:rsidRPr="002D359D">
        <w:rPr>
          <w:rFonts w:ascii="Times New Roman" w:eastAsia="Bookman Old Style" w:hAnsi="Times New Roman"/>
          <w:color w:val="000000" w:themeColor="text1"/>
          <w:sz w:val="24"/>
          <w:szCs w:val="24"/>
          <w:lang w:val="en-US" w:eastAsia="zh-CN" w:bidi="ar"/>
        </w:rPr>
        <w:tab/>
        <w:t>˂ 0.0001</w:t>
      </w:r>
    </w:p>
    <w:p w14:paraId="6CFB8ADA"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Level of Significance = 0.05</w:t>
      </w:r>
    </w:p>
    <w:p w14:paraId="090AC0D0"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 xml:space="preserve">The table shows a statistically significant improvement in the students' scores between the pre-test and post-test. The pre-test mean was 4.00 with a standard deviation of 1.32, while the post-test mean increased to 7.25, with a standard deviation of 1.10, indicating less variability. The t-value of 12.27 suggests a strong difference between the two sets of scores, and with 39 degrees of freedom, the result is highly reliable. The p-value of less than 0.0001 further confirms that the observed improvement is highly statistically significant, meaning the change is unlikely to have occurred by chance. </w:t>
      </w:r>
    </w:p>
    <w:p w14:paraId="7C93A986"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Discussion</w:t>
      </w:r>
    </w:p>
    <w:p w14:paraId="47DB8233"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t>The increase of 3.25 points indicates that the students’ performance improved after the intervention, suggesting that the use of bomber board game was effective. The pre-test score of 4.00 reflects a relatively low level of knowledge or skill, while the post-test score of 7.25 demonstrates notable progress. This improvement highlights the positive impact of the learning experience or instruction on the students’ abilities. Overall, the data suggests that the intervention successfully contributed to enhancing the students' performance. Overall, this data indicates that the intervention or learning experience had a substantial and meaningful impact on the students' performance. This indicates that the improvement in scores after using the bomber board game in teaching simple interest is highly significant and not due to random chance.</w:t>
      </w:r>
    </w:p>
    <w:p w14:paraId="4B1EB691"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 xml:space="preserve">According </w:t>
      </w:r>
      <w:proofErr w:type="gramStart"/>
      <w:r w:rsidRPr="002D359D">
        <w:rPr>
          <w:rFonts w:ascii="Times New Roman" w:eastAsia="Bookman Old Style" w:hAnsi="Times New Roman"/>
          <w:color w:val="000000" w:themeColor="text1"/>
          <w:sz w:val="24"/>
          <w:szCs w:val="24"/>
          <w:lang w:val="en-US" w:eastAsia="zh-CN" w:bidi="ar"/>
        </w:rPr>
        <w:t>to by</w:t>
      </w:r>
      <w:proofErr w:type="gramEnd"/>
      <w:r w:rsidRPr="002D359D">
        <w:rPr>
          <w:rFonts w:ascii="Times New Roman" w:eastAsia="Bookman Old Style" w:hAnsi="Times New Roman"/>
          <w:color w:val="000000" w:themeColor="text1"/>
          <w:sz w:val="24"/>
          <w:szCs w:val="24"/>
          <w:lang w:val="en-US" w:eastAsia="zh-CN" w:bidi="ar"/>
        </w:rPr>
        <w:t xml:space="preserve"> Zainuddin et al. (2020), gamification may enhance students’ motivation and engagement, improve academic performance, promote interaction and socialization, and offer opportunities for students to develop autonomous learning skills. Likewise in the study of Aguiar-Castillo et al. (2020) suggest that gamification can contribute to students’ pro-deep-learning approaches, and Putz et al. (2020) draw attention to the positive effect of gamification on knowledge retention. Bai et al. (2020) state their four reasons behind the students’ gamification preferences. In addition, one of the respondents </w:t>
      </w:r>
      <w:proofErr w:type="gramStart"/>
      <w:r w:rsidRPr="002D359D">
        <w:rPr>
          <w:rFonts w:ascii="Times New Roman" w:eastAsia="Bookman Old Style" w:hAnsi="Times New Roman"/>
          <w:color w:val="000000" w:themeColor="text1"/>
          <w:sz w:val="24"/>
          <w:szCs w:val="24"/>
          <w:lang w:val="en-US" w:eastAsia="zh-CN" w:bidi="ar"/>
        </w:rPr>
        <w:t>says</w:t>
      </w:r>
      <w:proofErr w:type="gramEnd"/>
      <w:r w:rsidRPr="002D359D">
        <w:rPr>
          <w:rFonts w:ascii="Times New Roman" w:eastAsia="Bookman Old Style" w:hAnsi="Times New Roman"/>
          <w:color w:val="000000" w:themeColor="text1"/>
          <w:sz w:val="24"/>
          <w:szCs w:val="24"/>
          <w:lang w:val="en-US" w:eastAsia="zh-CN" w:bidi="ar"/>
        </w:rPr>
        <w:t xml:space="preserve"> “enjoyable at mas </w:t>
      </w:r>
      <w:proofErr w:type="spellStart"/>
      <w:r w:rsidRPr="002D359D">
        <w:rPr>
          <w:rFonts w:ascii="Times New Roman" w:eastAsia="Bookman Old Style" w:hAnsi="Times New Roman"/>
          <w:color w:val="000000" w:themeColor="text1"/>
          <w:sz w:val="24"/>
          <w:szCs w:val="24"/>
          <w:lang w:val="en-US" w:eastAsia="zh-CN" w:bidi="ar"/>
        </w:rPr>
        <w:t>mabilis</w:t>
      </w:r>
      <w:proofErr w:type="spellEnd"/>
      <w:r w:rsidRPr="002D359D">
        <w:rPr>
          <w:rFonts w:ascii="Times New Roman" w:eastAsia="Bookman Old Style" w:hAnsi="Times New Roman"/>
          <w:color w:val="000000" w:themeColor="text1"/>
          <w:sz w:val="24"/>
          <w:szCs w:val="24"/>
          <w:lang w:val="en-US" w:eastAsia="zh-CN" w:bidi="ar"/>
        </w:rPr>
        <w:t xml:space="preserve"> </w:t>
      </w:r>
      <w:proofErr w:type="spellStart"/>
      <w:r w:rsidRPr="002D359D">
        <w:rPr>
          <w:rFonts w:ascii="Times New Roman" w:eastAsia="Bookman Old Style" w:hAnsi="Times New Roman"/>
          <w:color w:val="000000" w:themeColor="text1"/>
          <w:sz w:val="24"/>
          <w:szCs w:val="24"/>
          <w:lang w:val="en-US" w:eastAsia="zh-CN" w:bidi="ar"/>
        </w:rPr>
        <w:t>natandaan</w:t>
      </w:r>
      <w:proofErr w:type="spellEnd"/>
      <w:r w:rsidRPr="002D359D">
        <w:rPr>
          <w:rFonts w:ascii="Times New Roman" w:eastAsia="Bookman Old Style" w:hAnsi="Times New Roman"/>
          <w:color w:val="000000" w:themeColor="text1"/>
          <w:sz w:val="24"/>
          <w:szCs w:val="24"/>
          <w:lang w:val="en-US" w:eastAsia="zh-CN" w:bidi="ar"/>
        </w:rPr>
        <w:t xml:space="preserve"> ang </w:t>
      </w:r>
      <w:proofErr w:type="spellStart"/>
      <w:r w:rsidRPr="002D359D">
        <w:rPr>
          <w:rFonts w:ascii="Times New Roman" w:eastAsia="Bookman Old Style" w:hAnsi="Times New Roman"/>
          <w:color w:val="000000" w:themeColor="text1"/>
          <w:sz w:val="24"/>
          <w:szCs w:val="24"/>
          <w:lang w:val="en-US" w:eastAsia="zh-CN" w:bidi="ar"/>
        </w:rPr>
        <w:t>pagkuha</w:t>
      </w:r>
      <w:proofErr w:type="spellEnd"/>
      <w:r w:rsidRPr="002D359D">
        <w:rPr>
          <w:rFonts w:ascii="Times New Roman" w:eastAsia="Bookman Old Style" w:hAnsi="Times New Roman"/>
          <w:color w:val="000000" w:themeColor="text1"/>
          <w:sz w:val="24"/>
          <w:szCs w:val="24"/>
          <w:lang w:val="en-US" w:eastAsia="zh-CN" w:bidi="ar"/>
        </w:rPr>
        <w:t xml:space="preserve"> ng simple interest”. These include increasing enthusiasm, providing feedback about performance, meeting students’ recognition needs, and encouraging goal setting.</w:t>
      </w:r>
    </w:p>
    <w:p w14:paraId="5C22C0A5" w14:textId="77777777"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 xml:space="preserve">Furthermore, DepEd Memo No. 160, S. 2012 emphasizes the importance of ensuring that students achieve a level of mastery in their learning, particularly regarding basic competencies. According to </w:t>
      </w:r>
      <w:r w:rsidRPr="002D359D">
        <w:rPr>
          <w:rFonts w:ascii="Times New Roman" w:eastAsia="Bookman Old Style" w:hAnsi="Times New Roman"/>
          <w:color w:val="000000" w:themeColor="text1"/>
          <w:sz w:val="24"/>
          <w:szCs w:val="24"/>
          <w:lang w:val="en-US" w:eastAsia="zh-CN" w:bidi="ar"/>
        </w:rPr>
        <w:lastRenderedPageBreak/>
        <w:t xml:space="preserve">the mastery/achievement level from the results of the pre-test and </w:t>
      </w:r>
      <w:proofErr w:type="spellStart"/>
      <w:r w:rsidRPr="002D359D">
        <w:rPr>
          <w:rFonts w:ascii="Times New Roman" w:eastAsia="Bookman Old Style" w:hAnsi="Times New Roman"/>
          <w:color w:val="000000" w:themeColor="text1"/>
          <w:sz w:val="24"/>
          <w:szCs w:val="24"/>
          <w:lang w:val="en-US" w:eastAsia="zh-CN" w:bidi="ar"/>
        </w:rPr>
        <w:t>post test</w:t>
      </w:r>
      <w:proofErr w:type="spellEnd"/>
      <w:r w:rsidRPr="002D359D">
        <w:rPr>
          <w:rFonts w:ascii="Times New Roman" w:eastAsia="Bookman Old Style" w:hAnsi="Times New Roman"/>
          <w:color w:val="000000" w:themeColor="text1"/>
          <w:sz w:val="24"/>
          <w:szCs w:val="24"/>
          <w:lang w:val="en-US" w:eastAsia="zh-CN" w:bidi="ar"/>
        </w:rPr>
        <w:t xml:space="preserve"> the descriptive equivalent is moving towards mastery. The improvement in students' performance observed in this study aligns with the memo's objectives, as it reflects substantial progress in mastering the topic of simple interest, which is critical for their overall academic development. This reinforces the importance of innovative instructional strategies, such as gamification, to support students in achieving mastery in key learning areas.</w:t>
      </w:r>
    </w:p>
    <w:p w14:paraId="1F72B748" w14:textId="0C98C74E" w:rsidR="000302F2" w:rsidRPr="002D359D" w:rsidRDefault="005A6F71" w:rsidP="00935C3C">
      <w:pPr>
        <w:spacing w:after="160" w:line="240" w:lineRule="auto"/>
        <w:jc w:val="both"/>
        <w:rPr>
          <w:rFonts w:ascii="Times New Roman" w:eastAsia="SimSun" w:hAnsi="Times New Roman"/>
          <w:color w:val="000000" w:themeColor="text1"/>
          <w:sz w:val="28"/>
          <w:szCs w:val="28"/>
          <w:lang w:val="en-PH" w:eastAsia="zh-CN" w:bidi="ar"/>
        </w:rPr>
      </w:pPr>
      <w:r w:rsidRPr="002D359D">
        <w:rPr>
          <w:rFonts w:ascii="Times New Roman" w:eastAsia="Bookman Old Style" w:hAnsi="Times New Roman"/>
          <w:b/>
          <w:color w:val="000000" w:themeColor="text1"/>
          <w:sz w:val="28"/>
          <w:szCs w:val="28"/>
          <w:lang w:val="en-US" w:eastAsia="zh-CN" w:bidi="ar"/>
        </w:rPr>
        <w:t>CONCLUSION</w:t>
      </w:r>
    </w:p>
    <w:p w14:paraId="0ECBD500" w14:textId="260DC501" w:rsidR="00416357" w:rsidRPr="002D359D" w:rsidRDefault="00935C3C" w:rsidP="00935C3C">
      <w:pPr>
        <w:spacing w:after="160" w:line="240" w:lineRule="auto"/>
        <w:contextualSpacing/>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The average score of the students in the pre-test and post-test revealed a significant difference after using the bomber board game in teaching simple interest. It implies that using the bomber board game can enhance students' understanding and performance in simple interest. A large sample difference between the average in the pretest score and post test score is big enough to be statistically difference as reflected in the computed test statistics of 12.27 which is significantly higher than the critical value at the 0.05 level of significance. The null hypothesis is rejected due to the p-value of less than 0.0001, indicating that there is significant difference between the pre-test and post-test results of HUMSS grade 11 students before and after using the bomber board game in teaching simple interest.</w:t>
      </w:r>
    </w:p>
    <w:p w14:paraId="0867AE9B" w14:textId="77777777" w:rsidR="00935C3C" w:rsidRPr="002D359D" w:rsidRDefault="00935C3C" w:rsidP="00FF209F">
      <w:pPr>
        <w:spacing w:after="160" w:line="240" w:lineRule="auto"/>
        <w:rPr>
          <w:rFonts w:ascii="Times New Roman" w:eastAsia="Bookman Old Style" w:hAnsi="Times New Roman"/>
          <w:b/>
          <w:color w:val="000000" w:themeColor="text1"/>
          <w:sz w:val="28"/>
          <w:szCs w:val="28"/>
          <w:lang w:val="en-US" w:eastAsia="zh-CN" w:bidi="ar"/>
        </w:rPr>
      </w:pPr>
    </w:p>
    <w:p w14:paraId="3BEF6C76" w14:textId="27E7F326" w:rsidR="000302F2" w:rsidRPr="002D359D" w:rsidRDefault="005A6F71" w:rsidP="00FF209F">
      <w:pPr>
        <w:spacing w:after="160" w:line="240" w:lineRule="auto"/>
        <w:rPr>
          <w:rFonts w:ascii="Times New Roman" w:eastAsia="Bookman Old Style" w:hAnsi="Times New Roman"/>
          <w:b/>
          <w:color w:val="000000" w:themeColor="text1"/>
          <w:sz w:val="28"/>
          <w:szCs w:val="28"/>
          <w:lang w:val="en-PH" w:eastAsia="en-PH"/>
        </w:rPr>
      </w:pPr>
      <w:r w:rsidRPr="002D359D">
        <w:rPr>
          <w:rFonts w:ascii="Times New Roman" w:eastAsia="Bookman Old Style" w:hAnsi="Times New Roman"/>
          <w:b/>
          <w:color w:val="000000" w:themeColor="text1"/>
          <w:sz w:val="28"/>
          <w:szCs w:val="28"/>
          <w:lang w:val="en-US" w:eastAsia="zh-CN" w:bidi="ar"/>
        </w:rPr>
        <w:t>RECOMMENDATION</w:t>
      </w:r>
    </w:p>
    <w:p w14:paraId="14744745" w14:textId="0644398E" w:rsidR="002573FA" w:rsidRPr="002D359D" w:rsidRDefault="00935C3C" w:rsidP="002573FA">
      <w:pPr>
        <w:pBdr>
          <w:top w:val="none" w:sz="0" w:space="0" w:color="000000"/>
          <w:left w:val="none" w:sz="0" w:space="0" w:color="000000"/>
          <w:bottom w:val="none" w:sz="0" w:space="0" w:color="000000"/>
          <w:right w:val="none" w:sz="0" w:space="0" w:color="000000"/>
          <w:between w:val="none" w:sz="0" w:space="0" w:color="000000"/>
        </w:pBdr>
        <w:spacing w:after="160" w:line="240" w:lineRule="auto"/>
        <w:contextualSpacing/>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Teachers are encouraged to use teaching materials in the form of gamification, especially in subjects/topics where most of the students struggle. Curriculum developers may conduct training about the development of gamification and other related instructional materials in other mathematics subjects. The administrators should propose an action plan for the development and utilization of gamification in various subject areas of mathematics.</w:t>
      </w:r>
    </w:p>
    <w:p w14:paraId="600D793C" w14:textId="77777777" w:rsidR="00935C3C" w:rsidRPr="00A27F0E" w:rsidRDefault="00935C3C" w:rsidP="002573FA">
      <w:pPr>
        <w:pBdr>
          <w:top w:val="none" w:sz="0" w:space="0" w:color="000000"/>
          <w:left w:val="none" w:sz="0" w:space="0" w:color="000000"/>
          <w:bottom w:val="none" w:sz="0" w:space="0" w:color="000000"/>
          <w:right w:val="none" w:sz="0" w:space="0" w:color="000000"/>
          <w:between w:val="none" w:sz="0" w:space="0" w:color="000000"/>
        </w:pBdr>
        <w:spacing w:after="160" w:line="240" w:lineRule="auto"/>
        <w:contextualSpacing/>
        <w:jc w:val="both"/>
        <w:rPr>
          <w:rFonts w:ascii="Times New Roman" w:eastAsia="Times New Roman" w:hAnsi="Times New Roman"/>
          <w:color w:val="EE0000"/>
          <w:sz w:val="24"/>
          <w:szCs w:val="24"/>
          <w:lang w:val="en-PH" w:eastAsia="en-PH"/>
        </w:rPr>
      </w:pPr>
    </w:p>
    <w:p w14:paraId="713C8860" w14:textId="77777777" w:rsidR="002573FA" w:rsidRPr="00C6138D" w:rsidRDefault="002573FA" w:rsidP="002573FA">
      <w:pPr>
        <w:spacing w:line="240" w:lineRule="auto"/>
        <w:rPr>
          <w:rFonts w:ascii="Bookman Old Style" w:hAnsi="Bookman Old Style"/>
          <w:b/>
          <w:bCs/>
          <w:color w:val="000000" w:themeColor="text1"/>
          <w:sz w:val="28"/>
          <w:szCs w:val="28"/>
        </w:rPr>
      </w:pPr>
      <w:r w:rsidRPr="00C6138D">
        <w:rPr>
          <w:rFonts w:ascii="Bookman Old Style" w:hAnsi="Bookman Old Style"/>
          <w:b/>
          <w:bCs/>
          <w:color w:val="000000" w:themeColor="text1"/>
          <w:sz w:val="28"/>
          <w:szCs w:val="28"/>
        </w:rPr>
        <w:t>ACKNOWLEDGMENT</w:t>
      </w:r>
    </w:p>
    <w:p w14:paraId="2C96F32B" w14:textId="27BAA031" w:rsidR="002573FA" w:rsidRPr="00C6138D" w:rsidRDefault="00C6138D" w:rsidP="002573FA">
      <w:pPr>
        <w:spacing w:line="240" w:lineRule="auto"/>
        <w:jc w:val="both"/>
        <w:rPr>
          <w:rFonts w:ascii="Times New Roman" w:hAnsi="Times New Roman"/>
          <w:b/>
          <w:bCs/>
          <w:color w:val="000000" w:themeColor="text1"/>
          <w:sz w:val="24"/>
          <w:szCs w:val="24"/>
        </w:rPr>
      </w:pPr>
      <w:r w:rsidRPr="00C6138D">
        <w:rPr>
          <w:rFonts w:ascii="Times New Roman" w:hAnsi="Times New Roman"/>
          <w:color w:val="000000" w:themeColor="text1"/>
          <w:sz w:val="24"/>
          <w:szCs w:val="24"/>
        </w:rPr>
        <w:t>The researchers would like to extend their deepest gratitude to all the individuals and institutions who made the completion of this study possible. We would like to express our sincere appreciation to the Division of General Trias City for its administrative and logistical support, and to the Research Team of the Division of General Trias City for their patience, guidance, constructive criticism, and encouragement throughout the development of this study. We also extend our appreciation to the Mathematics Department teachers of Luis Y. Ferrer Jr. Senior High School for their valuable assistance during the conduct of this research. Our heartfelt thanks also go to the HUMSS Grade 11 students who participated in this study, whose cooperation, enthusiasm, and willingness to engage in the activities were essential in gathering the data needed. Above all, we offer our deepest gratitude to Almighty God for His wisdom, strength, and guidance in helping us overcome every challenge encountered throughout this research journey.</w:t>
      </w:r>
    </w:p>
    <w:p w14:paraId="3EE9A4B6" w14:textId="008EF824" w:rsidR="002573FA" w:rsidRPr="00C6138D" w:rsidRDefault="00C6138D" w:rsidP="002573FA">
      <w:pPr>
        <w:pStyle w:val="NoSpacing"/>
        <w:ind w:left="8640" w:firstLine="720"/>
        <w:jc w:val="center"/>
        <w:rPr>
          <w:rFonts w:ascii="Times New Roman" w:hAnsi="Times New Roman"/>
          <w:color w:val="000000" w:themeColor="text1"/>
          <w:sz w:val="24"/>
          <w:szCs w:val="24"/>
        </w:rPr>
      </w:pPr>
      <w:r w:rsidRPr="00C6138D">
        <w:rPr>
          <w:rFonts w:ascii="Times New Roman" w:hAnsi="Times New Roman"/>
          <w:color w:val="000000" w:themeColor="text1"/>
          <w:sz w:val="24"/>
          <w:szCs w:val="24"/>
        </w:rPr>
        <w:t>J.R.T.</w:t>
      </w:r>
    </w:p>
    <w:p w14:paraId="1CB2C632" w14:textId="77777777" w:rsidR="002573FA" w:rsidRPr="00A27F0E" w:rsidRDefault="002573FA" w:rsidP="009744A1">
      <w:pPr>
        <w:pStyle w:val="NoSpacing"/>
        <w:rPr>
          <w:rFonts w:ascii="Times New Roman" w:hAnsi="Times New Roman"/>
          <w:b/>
          <w:bCs/>
          <w:color w:val="EE0000"/>
          <w:sz w:val="28"/>
          <w:szCs w:val="28"/>
        </w:rPr>
      </w:pPr>
    </w:p>
    <w:p w14:paraId="74808BBC" w14:textId="736C4C29" w:rsidR="00CE116F" w:rsidRPr="002D359D" w:rsidRDefault="009744A1" w:rsidP="009744A1">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REFERENCES</w:t>
      </w:r>
    </w:p>
    <w:p w14:paraId="582D9952" w14:textId="77777777" w:rsidR="009744A1" w:rsidRPr="002D359D" w:rsidRDefault="009744A1" w:rsidP="009744A1">
      <w:pPr>
        <w:pStyle w:val="NoSpacing"/>
        <w:rPr>
          <w:rFonts w:ascii="Times New Roman" w:hAnsi="Times New Roman"/>
          <w:b/>
          <w:bCs/>
          <w:color w:val="000000" w:themeColor="text1"/>
          <w:sz w:val="28"/>
          <w:szCs w:val="28"/>
        </w:rPr>
      </w:pPr>
    </w:p>
    <w:p w14:paraId="7CC878E2" w14:textId="77777777"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Ronald R. Ramos - </w:t>
      </w:r>
      <w:proofErr w:type="spellStart"/>
      <w:r w:rsidRPr="002D359D">
        <w:rPr>
          <w:rFonts w:ascii="Times New Roman" w:hAnsi="Times New Roman"/>
          <w:color w:val="000000" w:themeColor="text1"/>
          <w:sz w:val="24"/>
          <w:szCs w:val="24"/>
          <w:lang w:eastAsia="en-PH"/>
        </w:rPr>
        <w:t>Bomberboard</w:t>
      </w:r>
      <w:proofErr w:type="spellEnd"/>
    </w:p>
    <w:p w14:paraId="31D283B8" w14:textId="1F4BD84D"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Aguiar-Castillo, L., et.al. (2021). “Gamification And Deep Learning </w:t>
      </w:r>
      <w:r w:rsidRPr="002D359D">
        <w:rPr>
          <w:rFonts w:ascii="Times New Roman" w:hAnsi="Times New Roman"/>
          <w:color w:val="000000" w:themeColor="text1"/>
          <w:sz w:val="24"/>
          <w:szCs w:val="24"/>
          <w:lang w:eastAsia="en-PH"/>
        </w:rPr>
        <w:tab/>
        <w:t xml:space="preserve">Approaches </w:t>
      </w:r>
      <w:proofErr w:type="gramStart"/>
      <w:r w:rsidRPr="002D359D">
        <w:rPr>
          <w:rFonts w:ascii="Times New Roman" w:hAnsi="Times New Roman"/>
          <w:color w:val="000000" w:themeColor="text1"/>
          <w:sz w:val="24"/>
          <w:szCs w:val="24"/>
          <w:lang w:eastAsia="en-PH"/>
        </w:rPr>
        <w:t>In</w:t>
      </w:r>
      <w:proofErr w:type="gramEnd"/>
      <w:r w:rsidRPr="002D359D">
        <w:rPr>
          <w:rFonts w:ascii="Times New Roman" w:hAnsi="Times New Roman"/>
          <w:color w:val="000000" w:themeColor="text1"/>
          <w:sz w:val="24"/>
          <w:szCs w:val="24"/>
          <w:lang w:eastAsia="en-PH"/>
        </w:rPr>
        <w:t xml:space="preserve"> Higher Education”. Journal of Hospitality, Leisure,</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Sport,</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and</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Tourism</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Education, 29,</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100290.</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https://doi.org/10.1016/j.jhlste.2020.100290 </w:t>
      </w:r>
    </w:p>
    <w:p w14:paraId="7413E901" w14:textId="4EC0C23D"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Allan Lalosa (2020) Contributing Factors of students Financial </w:t>
      </w:r>
      <w:proofErr w:type="spellStart"/>
      <w:r w:rsidRPr="002D359D">
        <w:rPr>
          <w:rFonts w:ascii="Times New Roman" w:hAnsi="Times New Roman"/>
          <w:color w:val="000000" w:themeColor="text1"/>
          <w:sz w:val="24"/>
          <w:szCs w:val="24"/>
          <w:lang w:eastAsia="en-PH"/>
        </w:rPr>
        <w:t>Litecary</w:t>
      </w:r>
      <w:proofErr w:type="spellEnd"/>
      <w:r w:rsidRPr="002D359D">
        <w:rPr>
          <w:rFonts w:ascii="Times New Roman" w:hAnsi="Times New Roman"/>
          <w:color w:val="000000" w:themeColor="text1"/>
          <w:sz w:val="24"/>
          <w:szCs w:val="24"/>
          <w:lang w:eastAsia="en-PH"/>
        </w:rPr>
        <w:t xml:space="preserve"> in a </w:t>
      </w:r>
      <w:r w:rsidRPr="002D359D">
        <w:rPr>
          <w:rFonts w:ascii="Times New Roman" w:hAnsi="Times New Roman"/>
          <w:color w:val="000000" w:themeColor="text1"/>
          <w:sz w:val="24"/>
          <w:szCs w:val="24"/>
          <w:lang w:eastAsia="en-PH"/>
        </w:rPr>
        <w:tab/>
        <w:t>State University in Eastern Philippines. Eastern Samar Philippines DOI:10.5281/zenodo.4s454545</w:t>
      </w:r>
    </w:p>
    <w:p w14:paraId="3ADED049" w14:textId="6A17FF3F"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Balladares, et.al. (2023) The Effects of Board Games </w:t>
      </w:r>
      <w:proofErr w:type="gramStart"/>
      <w:r w:rsidRPr="002D359D">
        <w:rPr>
          <w:rFonts w:ascii="Times New Roman" w:hAnsi="Times New Roman"/>
          <w:color w:val="000000" w:themeColor="text1"/>
          <w:sz w:val="24"/>
          <w:szCs w:val="24"/>
          <w:lang w:eastAsia="en-PH"/>
        </w:rPr>
        <w:t>On</w:t>
      </w:r>
      <w:proofErr w:type="gramEnd"/>
      <w:r w:rsidRPr="002D359D">
        <w:rPr>
          <w:rFonts w:ascii="Times New Roman" w:hAnsi="Times New Roman"/>
          <w:color w:val="000000" w:themeColor="text1"/>
          <w:sz w:val="24"/>
          <w:szCs w:val="24"/>
          <w:lang w:eastAsia="en-PH"/>
        </w:rPr>
        <w:t xml:space="preserve"> Math Skills </w:t>
      </w:r>
      <w:proofErr w:type="gramStart"/>
      <w:r w:rsidRPr="002D359D">
        <w:rPr>
          <w:rFonts w:ascii="Times New Roman" w:hAnsi="Times New Roman"/>
          <w:color w:val="000000" w:themeColor="text1"/>
          <w:sz w:val="24"/>
          <w:szCs w:val="24"/>
          <w:lang w:eastAsia="en-PH"/>
        </w:rPr>
        <w:t>In</w:t>
      </w:r>
      <w:proofErr w:type="gramEnd"/>
      <w:r w:rsidRPr="002D359D">
        <w:rPr>
          <w:rFonts w:ascii="Times New Roman" w:hAnsi="Times New Roman"/>
          <w:color w:val="000000" w:themeColor="text1"/>
          <w:sz w:val="24"/>
          <w:szCs w:val="24"/>
          <w:lang w:eastAsia="en-PH"/>
        </w:rPr>
        <w:t xml:space="preserve"> </w:t>
      </w:r>
      <w:proofErr w:type="gramStart"/>
      <w:r w:rsidRPr="002D359D">
        <w:rPr>
          <w:rFonts w:ascii="Times New Roman" w:hAnsi="Times New Roman"/>
          <w:color w:val="000000" w:themeColor="text1"/>
          <w:sz w:val="24"/>
          <w:szCs w:val="24"/>
          <w:lang w:eastAsia="en-PH"/>
        </w:rPr>
        <w:t>Children</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Attending</w:t>
      </w:r>
      <w:proofErr w:type="gramEnd"/>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Prekindergarten </w:t>
      </w:r>
      <w:proofErr w:type="gramStart"/>
      <w:r w:rsidRPr="002D359D">
        <w:rPr>
          <w:rFonts w:ascii="Times New Roman" w:hAnsi="Times New Roman"/>
          <w:color w:val="000000" w:themeColor="text1"/>
          <w:sz w:val="24"/>
          <w:szCs w:val="24"/>
          <w:lang w:eastAsia="en-PH"/>
        </w:rPr>
        <w:t>And</w:t>
      </w:r>
      <w:proofErr w:type="gramEnd"/>
      <w:r w:rsidRPr="002D359D">
        <w:rPr>
          <w:rFonts w:ascii="Times New Roman" w:hAnsi="Times New Roman"/>
          <w:color w:val="000000" w:themeColor="text1"/>
          <w:sz w:val="24"/>
          <w:szCs w:val="24"/>
          <w:lang w:eastAsia="en-PH"/>
        </w:rPr>
        <w:t xml:space="preserve"> Kindergarten: A Systematic Review</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https://doi.org/10.1080/09575146.2023.2218598</w:t>
      </w:r>
    </w:p>
    <w:p w14:paraId="10E9635A" w14:textId="7D6C756A"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Bai, S. et.al. (2020). “Does Gamification Improve Student Learning </w:t>
      </w:r>
      <w:r w:rsidRPr="002D359D">
        <w:rPr>
          <w:rFonts w:ascii="Times New Roman" w:hAnsi="Times New Roman"/>
          <w:color w:val="000000" w:themeColor="text1"/>
          <w:sz w:val="24"/>
          <w:szCs w:val="24"/>
          <w:lang w:eastAsia="en-PH"/>
        </w:rPr>
        <w:tab/>
        <w:t xml:space="preserve">Outcome? Evidence From </w:t>
      </w:r>
      <w:proofErr w:type="gramStart"/>
      <w:r w:rsidRPr="002D359D">
        <w:rPr>
          <w:rFonts w:ascii="Times New Roman" w:hAnsi="Times New Roman"/>
          <w:color w:val="000000" w:themeColor="text1"/>
          <w:sz w:val="24"/>
          <w:szCs w:val="24"/>
          <w:lang w:eastAsia="en-PH"/>
        </w:rPr>
        <w:t>A</w:t>
      </w:r>
      <w:proofErr w:type="gramEnd"/>
      <w:r w:rsidRPr="002D359D">
        <w:rPr>
          <w:rFonts w:ascii="Times New Roman" w:hAnsi="Times New Roman"/>
          <w:color w:val="000000" w:themeColor="text1"/>
          <w:sz w:val="24"/>
          <w:szCs w:val="24"/>
          <w:lang w:eastAsia="en-PH"/>
        </w:rPr>
        <w:t xml:space="preserve"> Meta-Analysis </w:t>
      </w:r>
      <w:proofErr w:type="gramStart"/>
      <w:r w:rsidRPr="002D359D">
        <w:rPr>
          <w:rFonts w:ascii="Times New Roman" w:hAnsi="Times New Roman"/>
          <w:color w:val="000000" w:themeColor="text1"/>
          <w:sz w:val="24"/>
          <w:szCs w:val="24"/>
          <w:lang w:eastAsia="en-PH"/>
        </w:rPr>
        <w:t>And</w:t>
      </w:r>
      <w:proofErr w:type="gramEnd"/>
      <w:r w:rsidRPr="002D359D">
        <w:rPr>
          <w:rFonts w:ascii="Times New Roman" w:hAnsi="Times New Roman"/>
          <w:color w:val="000000" w:themeColor="text1"/>
          <w:sz w:val="24"/>
          <w:szCs w:val="24"/>
          <w:lang w:eastAsia="en-PH"/>
        </w:rPr>
        <w:t xml:space="preserve"> Synthesis </w:t>
      </w:r>
      <w:proofErr w:type="gramStart"/>
      <w:r w:rsidRPr="002D359D">
        <w:rPr>
          <w:rFonts w:ascii="Times New Roman" w:hAnsi="Times New Roman"/>
          <w:color w:val="000000" w:themeColor="text1"/>
          <w:sz w:val="24"/>
          <w:szCs w:val="24"/>
          <w:lang w:eastAsia="en-PH"/>
        </w:rPr>
        <w:t>Of</w:t>
      </w:r>
      <w:proofErr w:type="gramEnd"/>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ab/>
        <w:t xml:space="preserve">Qualitative Data </w:t>
      </w:r>
      <w:proofErr w:type="gramStart"/>
      <w:r w:rsidRPr="002D359D">
        <w:rPr>
          <w:rFonts w:ascii="Times New Roman" w:hAnsi="Times New Roman"/>
          <w:color w:val="000000" w:themeColor="text1"/>
          <w:sz w:val="24"/>
          <w:szCs w:val="24"/>
          <w:lang w:eastAsia="en-PH"/>
        </w:rPr>
        <w:t>In</w:t>
      </w:r>
      <w:proofErr w:type="gramEnd"/>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ab/>
      </w:r>
      <w:r w:rsidRPr="002D359D">
        <w:rPr>
          <w:rFonts w:ascii="Times New Roman" w:hAnsi="Times New Roman"/>
          <w:color w:val="000000" w:themeColor="text1"/>
          <w:sz w:val="24"/>
          <w:szCs w:val="24"/>
          <w:lang w:eastAsia="en-PH"/>
        </w:rPr>
        <w:tab/>
      </w:r>
      <w:r w:rsidRPr="002D359D">
        <w:rPr>
          <w:rFonts w:ascii="Times New Roman" w:hAnsi="Times New Roman"/>
          <w:color w:val="000000" w:themeColor="text1"/>
          <w:sz w:val="24"/>
          <w:szCs w:val="24"/>
          <w:lang w:eastAsia="en-PH"/>
        </w:rPr>
        <w:tab/>
      </w:r>
      <w:r w:rsidRPr="002D359D">
        <w:rPr>
          <w:rFonts w:ascii="Times New Roman" w:hAnsi="Times New Roman"/>
          <w:color w:val="000000" w:themeColor="text1"/>
          <w:sz w:val="24"/>
          <w:szCs w:val="24"/>
          <w:lang w:eastAsia="en-PH"/>
        </w:rPr>
        <w:tab/>
        <w:t xml:space="preserve">Educational Contexts”. Educational Research </w:t>
      </w:r>
      <w:r w:rsidRPr="002D359D">
        <w:rPr>
          <w:rFonts w:ascii="Times New Roman" w:hAnsi="Times New Roman"/>
          <w:color w:val="000000" w:themeColor="text1"/>
          <w:sz w:val="24"/>
          <w:szCs w:val="24"/>
          <w:lang w:eastAsia="en-PH"/>
        </w:rPr>
        <w:tab/>
        <w:t xml:space="preserve">Review, 30, 100322. https://doi.org/10.1016/j.edurev.2020.100322 </w:t>
      </w:r>
    </w:p>
    <w:p w14:paraId="64953D93" w14:textId="38EEB7A2"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Bruner, J. (1960). The Process of Education. Cambridge, MA: Harvard University Press</w:t>
      </w:r>
    </w:p>
    <w:p w14:paraId="4C680DFD" w14:textId="5EE07B5B"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lastRenderedPageBreak/>
        <w:t xml:space="preserve">Bruner, J. (1966). Toward a Theory of Instruction. Cambridge, MA: Harvard </w:t>
      </w:r>
      <w:r w:rsidRPr="002D359D">
        <w:rPr>
          <w:rFonts w:ascii="Times New Roman" w:hAnsi="Times New Roman"/>
          <w:color w:val="000000" w:themeColor="text1"/>
          <w:sz w:val="24"/>
          <w:szCs w:val="24"/>
          <w:lang w:eastAsia="en-PH"/>
        </w:rPr>
        <w:tab/>
        <w:t>University Press</w:t>
      </w:r>
    </w:p>
    <w:p w14:paraId="4EED77BA" w14:textId="77777777"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DepEd Memo No. 160, S. 2012</w:t>
      </w:r>
    </w:p>
    <w:p w14:paraId="1A3788F4" w14:textId="0C6DE640"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proofErr w:type="spellStart"/>
      <w:r w:rsidRPr="002D359D">
        <w:rPr>
          <w:rFonts w:ascii="Times New Roman" w:hAnsi="Times New Roman"/>
          <w:color w:val="000000" w:themeColor="text1"/>
          <w:sz w:val="24"/>
          <w:szCs w:val="24"/>
          <w:lang w:eastAsia="en-PH"/>
        </w:rPr>
        <w:t>Indefenso</w:t>
      </w:r>
      <w:proofErr w:type="spellEnd"/>
      <w:r w:rsidRPr="002D359D">
        <w:rPr>
          <w:rFonts w:ascii="Times New Roman" w:hAnsi="Times New Roman"/>
          <w:color w:val="000000" w:themeColor="text1"/>
          <w:sz w:val="24"/>
          <w:szCs w:val="24"/>
          <w:lang w:eastAsia="en-PH"/>
        </w:rPr>
        <w:t xml:space="preserve">, E. E., &amp; </w:t>
      </w:r>
      <w:proofErr w:type="spellStart"/>
      <w:r w:rsidRPr="002D359D">
        <w:rPr>
          <w:rFonts w:ascii="Times New Roman" w:hAnsi="Times New Roman"/>
          <w:color w:val="000000" w:themeColor="text1"/>
          <w:sz w:val="24"/>
          <w:szCs w:val="24"/>
          <w:lang w:eastAsia="en-PH"/>
        </w:rPr>
        <w:t>Yazon</w:t>
      </w:r>
      <w:proofErr w:type="spellEnd"/>
      <w:r w:rsidRPr="002D359D">
        <w:rPr>
          <w:rFonts w:ascii="Times New Roman" w:hAnsi="Times New Roman"/>
          <w:color w:val="000000" w:themeColor="text1"/>
          <w:sz w:val="24"/>
          <w:szCs w:val="24"/>
          <w:lang w:eastAsia="en-PH"/>
        </w:rPr>
        <w:t>, A. D. (2020). Numeracy Level, Mathematics Problem</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Skills, and</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Financial Literacy. Universal Journal </w:t>
      </w:r>
      <w:proofErr w:type="gramStart"/>
      <w:r w:rsidRPr="002D359D">
        <w:rPr>
          <w:rFonts w:ascii="Times New Roman" w:hAnsi="Times New Roman"/>
          <w:color w:val="000000" w:themeColor="text1"/>
          <w:sz w:val="24"/>
          <w:szCs w:val="24"/>
          <w:lang w:eastAsia="en-PH"/>
        </w:rPr>
        <w:t xml:space="preserve">of </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Educational</w:t>
      </w:r>
      <w:proofErr w:type="gramEnd"/>
      <w:r w:rsidRPr="002D359D">
        <w:rPr>
          <w:rFonts w:ascii="Times New Roman" w:hAnsi="Times New Roman"/>
          <w:color w:val="000000" w:themeColor="text1"/>
          <w:sz w:val="24"/>
          <w:szCs w:val="24"/>
          <w:lang w:eastAsia="en-PH"/>
        </w:rPr>
        <w:t xml:space="preserve"> Research, 8(10), </w:t>
      </w:r>
      <w:r w:rsidRPr="002D359D">
        <w:rPr>
          <w:rFonts w:ascii="Times New Roman" w:hAnsi="Times New Roman"/>
          <w:color w:val="000000" w:themeColor="text1"/>
          <w:sz w:val="24"/>
          <w:szCs w:val="24"/>
          <w:lang w:eastAsia="en-PH"/>
        </w:rPr>
        <w:t>4</w:t>
      </w:r>
      <w:r w:rsidRPr="002D359D">
        <w:rPr>
          <w:rFonts w:ascii="Times New Roman" w:hAnsi="Times New Roman"/>
          <w:color w:val="000000" w:themeColor="text1"/>
          <w:sz w:val="24"/>
          <w:szCs w:val="24"/>
          <w:lang w:eastAsia="en-PH"/>
        </w:rPr>
        <w:t>393-4399.</w:t>
      </w:r>
    </w:p>
    <w:p w14:paraId="5F8DADC3" w14:textId="5EC7B2C1"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Jayaraman, J.D. et.al, (2020) Financial Literacy Among High School Students:</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Evidence from India https://doi.org/10.1177/2047173418809712</w:t>
      </w:r>
    </w:p>
    <w:p w14:paraId="595009B9" w14:textId="1B934416"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Locke, E.A.  &amp; Latham, G.P. (2002). Building A Practically Useful Theory </w:t>
      </w:r>
      <w:proofErr w:type="gramStart"/>
      <w:r w:rsidRPr="002D359D">
        <w:rPr>
          <w:rFonts w:ascii="Times New Roman" w:hAnsi="Times New Roman"/>
          <w:color w:val="000000" w:themeColor="text1"/>
          <w:sz w:val="24"/>
          <w:szCs w:val="24"/>
          <w:lang w:eastAsia="en-PH"/>
        </w:rPr>
        <w:t>Of</w:t>
      </w:r>
      <w:proofErr w:type="gramEnd"/>
      <w:r w:rsidRPr="002D359D">
        <w:rPr>
          <w:rFonts w:ascii="Times New Roman" w:hAnsi="Times New Roman"/>
          <w:color w:val="000000" w:themeColor="text1"/>
          <w:sz w:val="24"/>
          <w:szCs w:val="24"/>
          <w:lang w:eastAsia="en-PH"/>
        </w:rPr>
        <w:t xml:space="preserve"> Goal</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Setting </w:t>
      </w:r>
      <w:proofErr w:type="gramStart"/>
      <w:r w:rsidRPr="002D359D">
        <w:rPr>
          <w:rFonts w:ascii="Times New Roman" w:hAnsi="Times New Roman"/>
          <w:color w:val="000000" w:themeColor="text1"/>
          <w:sz w:val="24"/>
          <w:szCs w:val="24"/>
          <w:lang w:eastAsia="en-PH"/>
        </w:rPr>
        <w:t>And</w:t>
      </w:r>
      <w:proofErr w:type="gramEnd"/>
      <w:r w:rsidRPr="002D359D">
        <w:rPr>
          <w:rFonts w:ascii="Times New Roman" w:hAnsi="Times New Roman"/>
          <w:color w:val="000000" w:themeColor="text1"/>
          <w:sz w:val="24"/>
          <w:szCs w:val="24"/>
          <w:lang w:eastAsia="en-PH"/>
        </w:rPr>
        <w:t xml:space="preserve"> Task Motivation</w:t>
      </w:r>
    </w:p>
    <w:p w14:paraId="6E91F005" w14:textId="78A7D3A0"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Locke, E.A. (1968). Toward a Theory of Task Motivation and Incentives https://doi.org/10.1016/0030-5073(68)90004-4</w:t>
      </w:r>
    </w:p>
    <w:p w14:paraId="6FB1ECA5" w14:textId="6B782500"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Mendiola, Albert C. and </w:t>
      </w:r>
      <w:proofErr w:type="spellStart"/>
      <w:r w:rsidRPr="002D359D">
        <w:rPr>
          <w:rFonts w:ascii="Times New Roman" w:hAnsi="Times New Roman"/>
          <w:color w:val="000000" w:themeColor="text1"/>
          <w:sz w:val="24"/>
          <w:szCs w:val="24"/>
          <w:lang w:eastAsia="en-PH"/>
        </w:rPr>
        <w:t>Estonanto</w:t>
      </w:r>
      <w:proofErr w:type="spellEnd"/>
      <w:r w:rsidRPr="002D359D">
        <w:rPr>
          <w:rFonts w:ascii="Times New Roman" w:hAnsi="Times New Roman"/>
          <w:color w:val="000000" w:themeColor="text1"/>
          <w:sz w:val="24"/>
          <w:szCs w:val="24"/>
          <w:lang w:eastAsia="en-PH"/>
        </w:rPr>
        <w:t xml:space="preserve">, Aldrin John J. (2022) “Utilization of </w:t>
      </w:r>
      <w:r w:rsidRPr="002D359D">
        <w:rPr>
          <w:rFonts w:ascii="Times New Roman" w:hAnsi="Times New Roman"/>
          <w:color w:val="000000" w:themeColor="text1"/>
          <w:sz w:val="24"/>
          <w:szCs w:val="24"/>
          <w:lang w:eastAsia="en-PH"/>
        </w:rPr>
        <w:tab/>
        <w:t>Instructional</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Materials Developed by the Mathematics Teachers in the Province of Sorsogon,</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Philippines” Volume 10 – Issue 3, ISSN: 23212454</w:t>
      </w:r>
    </w:p>
    <w:p w14:paraId="17D06776" w14:textId="3D886373"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Pallant, J. (2020). SPSS Survival Manual: A </w:t>
      </w:r>
      <w:proofErr w:type="gramStart"/>
      <w:r w:rsidRPr="002D359D">
        <w:rPr>
          <w:rFonts w:ascii="Times New Roman" w:hAnsi="Times New Roman"/>
          <w:color w:val="000000" w:themeColor="text1"/>
          <w:sz w:val="24"/>
          <w:szCs w:val="24"/>
          <w:lang w:eastAsia="en-PH"/>
        </w:rPr>
        <w:t>Step by Step</w:t>
      </w:r>
      <w:proofErr w:type="gramEnd"/>
      <w:r w:rsidRPr="002D359D">
        <w:rPr>
          <w:rFonts w:ascii="Times New Roman" w:hAnsi="Times New Roman"/>
          <w:color w:val="000000" w:themeColor="text1"/>
          <w:sz w:val="24"/>
          <w:szCs w:val="24"/>
          <w:lang w:eastAsia="en-PH"/>
        </w:rPr>
        <w:t xml:space="preserve"> Guide to Data Analysis Using IBM SPSS. London: McGraw-Hill, Open University </w:t>
      </w:r>
      <w:r w:rsidRPr="002D359D">
        <w:rPr>
          <w:rFonts w:ascii="Times New Roman" w:hAnsi="Times New Roman"/>
          <w:color w:val="000000" w:themeColor="text1"/>
          <w:sz w:val="24"/>
          <w:szCs w:val="24"/>
          <w:lang w:eastAsia="en-PH"/>
        </w:rPr>
        <w:tab/>
        <w:t>Press.</w:t>
      </w:r>
    </w:p>
    <w:p w14:paraId="311DD48A" w14:textId="4A1C1C83"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Pehlivan, et.al. (2023) “The Effect of Gamification on Math Achievement, Motivation,</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and Learning Strategies in Flipped Classrooms”. Vol. 11 Is. 4 ISSN: 2202-9478</w:t>
      </w:r>
    </w:p>
    <w:p w14:paraId="606F6E39" w14:textId="25960681"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Putz, L. M. et.al., (2020). “Can gamification help to improve education? Findings from a longitudinal study”. Computers in Human Behavior, 110, 106392. https://doi.org/10.1016/j.chb.2020.106392 </w:t>
      </w:r>
    </w:p>
    <w:p w14:paraId="2DE47479" w14:textId="7F51704D"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Silver, A.M. et.al. (2024) The benefits of math activities depend on the skills </w:t>
      </w:r>
      <w:r w:rsidRPr="002D359D">
        <w:rPr>
          <w:rFonts w:ascii="Times New Roman" w:hAnsi="Times New Roman"/>
          <w:color w:val="000000" w:themeColor="text1"/>
          <w:sz w:val="24"/>
          <w:szCs w:val="24"/>
          <w:lang w:eastAsia="en-PH"/>
        </w:rPr>
        <w:tab/>
        <w:t xml:space="preserve">children bring </w:t>
      </w:r>
      <w:r w:rsidRPr="002D359D">
        <w:rPr>
          <w:rFonts w:ascii="Times New Roman" w:hAnsi="Times New Roman"/>
          <w:color w:val="000000" w:themeColor="text1"/>
          <w:sz w:val="24"/>
          <w:szCs w:val="24"/>
          <w:lang w:eastAsia="en-PH"/>
        </w:rPr>
        <w:tab/>
        <w:t>to the table. Developmental Psychology, 60(2), 376 388</w:t>
      </w:r>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https://doi.org/10.1037/dev0001637</w:t>
      </w:r>
    </w:p>
    <w:p w14:paraId="305511C9" w14:textId="0CC5D3DA"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Skinner B.F. (1957) Verbal Behavior DOI: https://doi.org/10.1017/CBO9781107415324.004</w:t>
      </w:r>
    </w:p>
    <w:p w14:paraId="4A981EF7" w14:textId="5A27A544"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Suyantano, et.al. (2021) “The Impact of Financial Socialization and Financial </w:t>
      </w:r>
      <w:r w:rsidRPr="002D359D">
        <w:rPr>
          <w:rFonts w:ascii="Times New Roman" w:hAnsi="Times New Roman"/>
          <w:color w:val="000000" w:themeColor="text1"/>
          <w:sz w:val="24"/>
          <w:szCs w:val="24"/>
          <w:lang w:eastAsia="en-PH"/>
        </w:rPr>
        <w:tab/>
        <w:t>Literacy</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on</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Financial Behaviors: An Empirical Study in Indonesia”. </w:t>
      </w:r>
      <w:r w:rsidRPr="002D359D">
        <w:rPr>
          <w:rFonts w:ascii="Times New Roman" w:hAnsi="Times New Roman"/>
          <w:color w:val="000000" w:themeColor="text1"/>
          <w:sz w:val="24"/>
          <w:szCs w:val="24"/>
          <w:lang w:eastAsia="en-PH"/>
        </w:rPr>
        <w:tab/>
        <w:t>Journal of Asian Finance, Economics and Business Vol. 8 No. 7 (2021) 0169–0180</w:t>
      </w:r>
    </w:p>
    <w:p w14:paraId="48E8C67E" w14:textId="022295D3"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Tamisha Kimble (2020). The Impact of Gamification on the Mathematics Achievement of Elementary Student. Kennesaw State University Fall 12-1-2020 </w:t>
      </w:r>
    </w:p>
    <w:p w14:paraId="2513A4AB" w14:textId="6E180F51"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Garg &amp; Singh (2021) Financial Literacy Among Youth. International Journal </w:t>
      </w:r>
      <w:proofErr w:type="gramStart"/>
      <w:r w:rsidRPr="002D359D">
        <w:rPr>
          <w:rFonts w:ascii="Times New Roman" w:hAnsi="Times New Roman"/>
          <w:color w:val="000000" w:themeColor="text1"/>
          <w:sz w:val="24"/>
          <w:szCs w:val="24"/>
          <w:lang w:eastAsia="en-PH"/>
        </w:rPr>
        <w:t xml:space="preserve">of </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Social</w:t>
      </w:r>
      <w:proofErr w:type="gramEnd"/>
      <w:r w:rsidRPr="002D359D">
        <w:rPr>
          <w:rFonts w:ascii="Times New Roman" w:hAnsi="Times New Roman"/>
          <w:color w:val="000000" w:themeColor="text1"/>
          <w:sz w:val="24"/>
          <w:szCs w:val="24"/>
          <w:lang w:eastAsia="en-PH"/>
        </w:rPr>
        <w:t xml:space="preserve"> Economics. Vol. 45 No. 1, pp. 173-186. </w:t>
      </w:r>
    </w:p>
    <w:p w14:paraId="2579555D" w14:textId="1C46A31B" w:rsidR="00935C3C" w:rsidRPr="002D359D" w:rsidRDefault="00935C3C" w:rsidP="002D359D">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Yeban, F.I. &amp; Florendo, J.A. (2020). “PISA Financial Literacy Framework vis-à-vis</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the Kto12 Mathematics and Social Studies Curricula.” In M.U. Balagtas </w:t>
      </w:r>
      <w:r w:rsidRPr="002D359D">
        <w:rPr>
          <w:rFonts w:ascii="Times New Roman" w:hAnsi="Times New Roman"/>
          <w:color w:val="000000" w:themeColor="text1"/>
          <w:sz w:val="24"/>
          <w:szCs w:val="24"/>
          <w:lang w:eastAsia="en-PH"/>
        </w:rPr>
        <w:tab/>
        <w:t xml:space="preserve">&amp; MA.C. Montealegre (Eds), Challenges of </w:t>
      </w:r>
      <w:r w:rsidRPr="002D359D">
        <w:rPr>
          <w:rFonts w:ascii="Times New Roman" w:hAnsi="Times New Roman"/>
          <w:color w:val="000000" w:themeColor="text1"/>
          <w:sz w:val="24"/>
          <w:szCs w:val="24"/>
          <w:lang w:eastAsia="en-PH"/>
        </w:rPr>
        <w:tab/>
        <w:t>PISA:</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The</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PNU Report (pp.228-261). Philippine Normal University and Rex Institute for Student Excellence, Inc.</w:t>
      </w:r>
    </w:p>
    <w:p w14:paraId="58F9D857" w14:textId="6C3F9DF1" w:rsidR="00175CDA"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Zainuddin, Z., et.al. (2020). “The Impact </w:t>
      </w:r>
      <w:proofErr w:type="gramStart"/>
      <w:r w:rsidRPr="002D359D">
        <w:rPr>
          <w:rFonts w:ascii="Times New Roman" w:hAnsi="Times New Roman"/>
          <w:color w:val="000000" w:themeColor="text1"/>
          <w:sz w:val="24"/>
          <w:szCs w:val="24"/>
          <w:lang w:eastAsia="en-PH"/>
        </w:rPr>
        <w:t>Of</w:t>
      </w:r>
      <w:proofErr w:type="gramEnd"/>
      <w:r w:rsidRPr="002D359D">
        <w:rPr>
          <w:rFonts w:ascii="Times New Roman" w:hAnsi="Times New Roman"/>
          <w:color w:val="000000" w:themeColor="text1"/>
          <w:sz w:val="24"/>
          <w:szCs w:val="24"/>
          <w:lang w:eastAsia="en-PH"/>
        </w:rPr>
        <w:t xml:space="preserve"> Gamification </w:t>
      </w:r>
      <w:proofErr w:type="gramStart"/>
      <w:r w:rsidRPr="002D359D">
        <w:rPr>
          <w:rFonts w:ascii="Times New Roman" w:hAnsi="Times New Roman"/>
          <w:color w:val="000000" w:themeColor="text1"/>
          <w:sz w:val="24"/>
          <w:szCs w:val="24"/>
          <w:lang w:eastAsia="en-PH"/>
        </w:rPr>
        <w:t>On</w:t>
      </w:r>
      <w:proofErr w:type="gramEnd"/>
      <w:r w:rsidRPr="002D359D">
        <w:rPr>
          <w:rFonts w:ascii="Times New Roman" w:hAnsi="Times New Roman"/>
          <w:color w:val="000000" w:themeColor="text1"/>
          <w:sz w:val="24"/>
          <w:szCs w:val="24"/>
          <w:lang w:eastAsia="en-PH"/>
        </w:rPr>
        <w:t xml:space="preserve"> Learning </w:t>
      </w:r>
      <w:proofErr w:type="gramStart"/>
      <w:r w:rsidRPr="002D359D">
        <w:rPr>
          <w:rFonts w:ascii="Times New Roman" w:hAnsi="Times New Roman"/>
          <w:color w:val="000000" w:themeColor="text1"/>
          <w:sz w:val="24"/>
          <w:szCs w:val="24"/>
          <w:lang w:eastAsia="en-PH"/>
        </w:rPr>
        <w:t>And</w:t>
      </w:r>
      <w:proofErr w:type="gramEnd"/>
      <w:r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ab/>
        <w:t xml:space="preserve">Instruction: A Systematic Review </w:t>
      </w:r>
      <w:proofErr w:type="gramStart"/>
      <w:r w:rsidRPr="002D359D">
        <w:rPr>
          <w:rFonts w:ascii="Times New Roman" w:hAnsi="Times New Roman"/>
          <w:color w:val="000000" w:themeColor="text1"/>
          <w:sz w:val="24"/>
          <w:szCs w:val="24"/>
          <w:lang w:eastAsia="en-PH"/>
        </w:rPr>
        <w:t>Of</w:t>
      </w:r>
      <w:proofErr w:type="gramEnd"/>
      <w:r w:rsidRPr="002D359D">
        <w:rPr>
          <w:rFonts w:ascii="Times New Roman" w:hAnsi="Times New Roman"/>
          <w:color w:val="000000" w:themeColor="text1"/>
          <w:sz w:val="24"/>
          <w:szCs w:val="24"/>
          <w:lang w:eastAsia="en-PH"/>
        </w:rPr>
        <w:t xml:space="preserve"> Empirical Evidence”. Educational Research Review, 30 100326.</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https://doi.org/10.1016/j.edurev.2020.100326</w:t>
      </w:r>
    </w:p>
    <w:sectPr w:rsidR="00175CDA" w:rsidRPr="002D359D" w:rsidSect="00C3010D">
      <w:pgSz w:w="11906" w:h="16838" w:code="9"/>
      <w:pgMar w:top="1077" w:right="624" w:bottom="624" w:left="62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E86F" w14:textId="77777777" w:rsidR="001B7AEC" w:rsidRDefault="001B7AEC" w:rsidP="00175CDA">
      <w:pPr>
        <w:spacing w:after="0" w:line="240" w:lineRule="auto"/>
      </w:pPr>
      <w:r>
        <w:separator/>
      </w:r>
    </w:p>
  </w:endnote>
  <w:endnote w:type="continuationSeparator" w:id="0">
    <w:p w14:paraId="511D48A7" w14:textId="77777777" w:rsidR="001B7AEC" w:rsidRDefault="001B7AEC" w:rsidP="0017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02A8" w14:textId="77777777" w:rsidR="001B7AEC" w:rsidRDefault="001B7AEC" w:rsidP="00175CDA">
      <w:pPr>
        <w:spacing w:after="0" w:line="240" w:lineRule="auto"/>
      </w:pPr>
      <w:r>
        <w:separator/>
      </w:r>
    </w:p>
  </w:footnote>
  <w:footnote w:type="continuationSeparator" w:id="0">
    <w:p w14:paraId="1C9E03D1" w14:textId="77777777" w:rsidR="001B7AEC" w:rsidRDefault="001B7AEC" w:rsidP="00175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8287445" o:spid="_x0000_i1025" type="#_x0000_t75" style="width:17.35pt;height:17.35pt;visibility:visible;mso-wrap-style:square" o:bullet="t">
        <v:imagedata r:id="rId1" o:title=""/>
      </v:shape>
    </w:pict>
  </w:numPicBullet>
  <w:abstractNum w:abstractNumId="0" w15:restartNumberingAfterBreak="0">
    <w:nsid w:val="85A66810"/>
    <w:multiLevelType w:val="multilevel"/>
    <w:tmpl w:val="F790D184"/>
    <w:lvl w:ilvl="0">
      <w:start w:val="1"/>
      <w:numFmt w:val="decimal"/>
      <w:suff w:val="space"/>
      <w:lvlText w:val="%1."/>
      <w:lvlJc w:val="left"/>
      <w:pPr>
        <w:ind w:left="0" w:firstLine="0"/>
      </w:pPr>
      <w:rPr>
        <w:rFonts w:ascii="Bookman Old Style" w:eastAsia="Bookman Old Style" w:hAnsi="Bookman Old Style" w:cs="Bookman Old Style"/>
        <w:color w:val="auto"/>
        <w:sz w:val="24"/>
        <w:szCs w:val="24"/>
      </w:rPr>
    </w:lvl>
    <w:lvl w:ilvl="1">
      <w:start w:val="1"/>
      <w:numFmt w:val="decimal"/>
      <w:lvlText w:val="%2."/>
      <w:lvlJc w:val="left"/>
      <w:pPr>
        <w:tabs>
          <w:tab w:val="left" w:pos="1440"/>
        </w:tabs>
        <w:ind w:left="1440" w:hanging="360"/>
      </w:pPr>
      <w:rPr>
        <w:rFonts w:ascii="Times New Roman" w:eastAsia="MS Mincho" w:hAnsi="Times New Roman"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715AB16"/>
    <w:multiLevelType w:val="multilevel"/>
    <w:tmpl w:val="DCE02748"/>
    <w:lvl w:ilvl="0">
      <w:start w:val="1"/>
      <w:numFmt w:val="decimal"/>
      <w:lvlText w:val="%1."/>
      <w:lvlJc w:val="left"/>
      <w:pPr>
        <w:ind w:left="360" w:hanging="360"/>
      </w:pPr>
      <w:rPr>
        <w:rFonts w:ascii="Times New Roman" w:eastAsia="Bookman Old Style" w:hAnsi="Times New Roman" w:cs="Times New Roma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DF748C6"/>
    <w:multiLevelType w:val="hybridMultilevel"/>
    <w:tmpl w:val="28BE5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35510B9"/>
    <w:multiLevelType w:val="hybridMultilevel"/>
    <w:tmpl w:val="998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8545C"/>
    <w:multiLevelType w:val="hybridMultilevel"/>
    <w:tmpl w:val="20C807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475F4C9E"/>
    <w:multiLevelType w:val="hybridMultilevel"/>
    <w:tmpl w:val="2E6E8F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B4B3FB5"/>
    <w:multiLevelType w:val="hybridMultilevel"/>
    <w:tmpl w:val="734C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5791C"/>
    <w:multiLevelType w:val="hybridMultilevel"/>
    <w:tmpl w:val="E3D2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74309"/>
    <w:multiLevelType w:val="hybridMultilevel"/>
    <w:tmpl w:val="C6148752"/>
    <w:lvl w:ilvl="0" w:tplc="F40ADF16">
      <w:start w:val="1"/>
      <w:numFmt w:val="bullet"/>
      <w:lvlText w:val=""/>
      <w:lvlPicBulletId w:val="0"/>
      <w:lvlJc w:val="left"/>
      <w:pPr>
        <w:tabs>
          <w:tab w:val="num" w:pos="720"/>
        </w:tabs>
        <w:ind w:left="720" w:hanging="360"/>
      </w:pPr>
      <w:rPr>
        <w:rFonts w:ascii="Symbol" w:hAnsi="Symbol" w:hint="default"/>
      </w:rPr>
    </w:lvl>
    <w:lvl w:ilvl="1" w:tplc="F3B64864" w:tentative="1">
      <w:start w:val="1"/>
      <w:numFmt w:val="bullet"/>
      <w:lvlText w:val=""/>
      <w:lvlJc w:val="left"/>
      <w:pPr>
        <w:tabs>
          <w:tab w:val="num" w:pos="1440"/>
        </w:tabs>
        <w:ind w:left="1440" w:hanging="360"/>
      </w:pPr>
      <w:rPr>
        <w:rFonts w:ascii="Symbol" w:hAnsi="Symbol" w:hint="default"/>
      </w:rPr>
    </w:lvl>
    <w:lvl w:ilvl="2" w:tplc="93F0E140" w:tentative="1">
      <w:start w:val="1"/>
      <w:numFmt w:val="bullet"/>
      <w:lvlText w:val=""/>
      <w:lvlJc w:val="left"/>
      <w:pPr>
        <w:tabs>
          <w:tab w:val="num" w:pos="2160"/>
        </w:tabs>
        <w:ind w:left="2160" w:hanging="360"/>
      </w:pPr>
      <w:rPr>
        <w:rFonts w:ascii="Symbol" w:hAnsi="Symbol" w:hint="default"/>
      </w:rPr>
    </w:lvl>
    <w:lvl w:ilvl="3" w:tplc="F060488A" w:tentative="1">
      <w:start w:val="1"/>
      <w:numFmt w:val="bullet"/>
      <w:lvlText w:val=""/>
      <w:lvlJc w:val="left"/>
      <w:pPr>
        <w:tabs>
          <w:tab w:val="num" w:pos="2880"/>
        </w:tabs>
        <w:ind w:left="2880" w:hanging="360"/>
      </w:pPr>
      <w:rPr>
        <w:rFonts w:ascii="Symbol" w:hAnsi="Symbol" w:hint="default"/>
      </w:rPr>
    </w:lvl>
    <w:lvl w:ilvl="4" w:tplc="69E048EC" w:tentative="1">
      <w:start w:val="1"/>
      <w:numFmt w:val="bullet"/>
      <w:lvlText w:val=""/>
      <w:lvlJc w:val="left"/>
      <w:pPr>
        <w:tabs>
          <w:tab w:val="num" w:pos="3600"/>
        </w:tabs>
        <w:ind w:left="3600" w:hanging="360"/>
      </w:pPr>
      <w:rPr>
        <w:rFonts w:ascii="Symbol" w:hAnsi="Symbol" w:hint="default"/>
      </w:rPr>
    </w:lvl>
    <w:lvl w:ilvl="5" w:tplc="08D04DC6" w:tentative="1">
      <w:start w:val="1"/>
      <w:numFmt w:val="bullet"/>
      <w:lvlText w:val=""/>
      <w:lvlJc w:val="left"/>
      <w:pPr>
        <w:tabs>
          <w:tab w:val="num" w:pos="4320"/>
        </w:tabs>
        <w:ind w:left="4320" w:hanging="360"/>
      </w:pPr>
      <w:rPr>
        <w:rFonts w:ascii="Symbol" w:hAnsi="Symbol" w:hint="default"/>
      </w:rPr>
    </w:lvl>
    <w:lvl w:ilvl="6" w:tplc="3DE047FC" w:tentative="1">
      <w:start w:val="1"/>
      <w:numFmt w:val="bullet"/>
      <w:lvlText w:val=""/>
      <w:lvlJc w:val="left"/>
      <w:pPr>
        <w:tabs>
          <w:tab w:val="num" w:pos="5040"/>
        </w:tabs>
        <w:ind w:left="5040" w:hanging="360"/>
      </w:pPr>
      <w:rPr>
        <w:rFonts w:ascii="Symbol" w:hAnsi="Symbol" w:hint="default"/>
      </w:rPr>
    </w:lvl>
    <w:lvl w:ilvl="7" w:tplc="192859FE" w:tentative="1">
      <w:start w:val="1"/>
      <w:numFmt w:val="bullet"/>
      <w:lvlText w:val=""/>
      <w:lvlJc w:val="left"/>
      <w:pPr>
        <w:tabs>
          <w:tab w:val="num" w:pos="5760"/>
        </w:tabs>
        <w:ind w:left="5760" w:hanging="360"/>
      </w:pPr>
      <w:rPr>
        <w:rFonts w:ascii="Symbol" w:hAnsi="Symbol" w:hint="default"/>
      </w:rPr>
    </w:lvl>
    <w:lvl w:ilvl="8" w:tplc="CD80472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68A0343"/>
    <w:multiLevelType w:val="hybridMultilevel"/>
    <w:tmpl w:val="B3B26AFE"/>
    <w:lvl w:ilvl="0" w:tplc="7D80FB1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1222561">
    <w:abstractNumId w:val="3"/>
  </w:num>
  <w:num w:numId="2" w16cid:durableId="1491679515">
    <w:abstractNumId w:val="7"/>
  </w:num>
  <w:num w:numId="3" w16cid:durableId="1938908408">
    <w:abstractNumId w:val="6"/>
  </w:num>
  <w:num w:numId="4" w16cid:durableId="1015156959">
    <w:abstractNumId w:val="9"/>
  </w:num>
  <w:num w:numId="5" w16cid:durableId="1656836328">
    <w:abstractNumId w:val="5"/>
  </w:num>
  <w:num w:numId="6" w16cid:durableId="174735937">
    <w:abstractNumId w:val="2"/>
  </w:num>
  <w:num w:numId="7" w16cid:durableId="2067484011">
    <w:abstractNumId w:val="1"/>
  </w:num>
  <w:num w:numId="8" w16cid:durableId="443505801">
    <w:abstractNumId w:val="0"/>
  </w:num>
  <w:num w:numId="9" w16cid:durableId="1146433750">
    <w:abstractNumId w:val="4"/>
  </w:num>
  <w:num w:numId="10" w16cid:durableId="963732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6F"/>
    <w:rsid w:val="000302F2"/>
    <w:rsid w:val="00096E86"/>
    <w:rsid w:val="00133688"/>
    <w:rsid w:val="001739B0"/>
    <w:rsid w:val="00175CDA"/>
    <w:rsid w:val="001B7AEC"/>
    <w:rsid w:val="00207429"/>
    <w:rsid w:val="002573FA"/>
    <w:rsid w:val="00287769"/>
    <w:rsid w:val="002D359D"/>
    <w:rsid w:val="002E25B5"/>
    <w:rsid w:val="00360B23"/>
    <w:rsid w:val="00416357"/>
    <w:rsid w:val="00452901"/>
    <w:rsid w:val="00470F3A"/>
    <w:rsid w:val="00480E17"/>
    <w:rsid w:val="00482B96"/>
    <w:rsid w:val="004B5D09"/>
    <w:rsid w:val="004F5F3F"/>
    <w:rsid w:val="005A6F71"/>
    <w:rsid w:val="00742A53"/>
    <w:rsid w:val="007671BB"/>
    <w:rsid w:val="00800A4D"/>
    <w:rsid w:val="00826976"/>
    <w:rsid w:val="008278AF"/>
    <w:rsid w:val="008E7419"/>
    <w:rsid w:val="00903478"/>
    <w:rsid w:val="00935C3C"/>
    <w:rsid w:val="009744A1"/>
    <w:rsid w:val="00A27F0E"/>
    <w:rsid w:val="00B67C10"/>
    <w:rsid w:val="00B858A0"/>
    <w:rsid w:val="00C3010D"/>
    <w:rsid w:val="00C51568"/>
    <w:rsid w:val="00C6138D"/>
    <w:rsid w:val="00CE116F"/>
    <w:rsid w:val="00D60BB7"/>
    <w:rsid w:val="00E265C4"/>
    <w:rsid w:val="00EB7953"/>
    <w:rsid w:val="00EC2947"/>
    <w:rsid w:val="00F11A3F"/>
    <w:rsid w:val="00F4413B"/>
    <w:rsid w:val="00FF209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55AB"/>
  <w15:chartTrackingRefBased/>
  <w15:docId w15:val="{A6A90C59-D39F-424D-94A2-AA6E38E7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6F"/>
    <w:pPr>
      <w:spacing w:after="200" w:line="276" w:lineRule="auto"/>
    </w:pPr>
    <w:rPr>
      <w:rFonts w:ascii="Calibri" w:eastAsia="Calibri" w:hAnsi="Calibri"/>
      <w:sz w:val="22"/>
      <w:szCs w:val="22"/>
      <w:lang w:val="fil-PH"/>
    </w:rPr>
  </w:style>
  <w:style w:type="paragraph" w:styleId="Heading1">
    <w:name w:val="heading 1"/>
    <w:basedOn w:val="Normal"/>
    <w:next w:val="Normal"/>
    <w:link w:val="Heading1Char"/>
    <w:uiPriority w:val="9"/>
    <w:qFormat/>
    <w:rsid w:val="00CE116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E116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E116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E116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E116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E116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E116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E116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E116F"/>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116F"/>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E116F"/>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E116F"/>
    <w:rPr>
      <w:rFonts w:eastAsia="Times New Roman" w:cs="Times New Roman"/>
      <w:color w:val="0F4761"/>
      <w:sz w:val="28"/>
      <w:szCs w:val="28"/>
    </w:rPr>
  </w:style>
  <w:style w:type="character" w:customStyle="1" w:styleId="Heading4Char">
    <w:name w:val="Heading 4 Char"/>
    <w:link w:val="Heading4"/>
    <w:uiPriority w:val="9"/>
    <w:semiHidden/>
    <w:rsid w:val="00CE116F"/>
    <w:rPr>
      <w:rFonts w:eastAsia="Times New Roman" w:cs="Times New Roman"/>
      <w:i/>
      <w:iCs/>
      <w:color w:val="0F4761"/>
    </w:rPr>
  </w:style>
  <w:style w:type="character" w:customStyle="1" w:styleId="Heading5Char">
    <w:name w:val="Heading 5 Char"/>
    <w:link w:val="Heading5"/>
    <w:uiPriority w:val="9"/>
    <w:semiHidden/>
    <w:rsid w:val="00CE116F"/>
    <w:rPr>
      <w:rFonts w:eastAsia="Times New Roman" w:cs="Times New Roman"/>
      <w:color w:val="0F4761"/>
    </w:rPr>
  </w:style>
  <w:style w:type="character" w:customStyle="1" w:styleId="Heading6Char">
    <w:name w:val="Heading 6 Char"/>
    <w:link w:val="Heading6"/>
    <w:uiPriority w:val="9"/>
    <w:semiHidden/>
    <w:rsid w:val="00CE116F"/>
    <w:rPr>
      <w:rFonts w:eastAsia="Times New Roman" w:cs="Times New Roman"/>
      <w:i/>
      <w:iCs/>
      <w:color w:val="595959"/>
    </w:rPr>
  </w:style>
  <w:style w:type="character" w:customStyle="1" w:styleId="Heading7Char">
    <w:name w:val="Heading 7 Char"/>
    <w:link w:val="Heading7"/>
    <w:uiPriority w:val="9"/>
    <w:semiHidden/>
    <w:rsid w:val="00CE116F"/>
    <w:rPr>
      <w:rFonts w:eastAsia="Times New Roman" w:cs="Times New Roman"/>
      <w:color w:val="595959"/>
    </w:rPr>
  </w:style>
  <w:style w:type="character" w:customStyle="1" w:styleId="Heading8Char">
    <w:name w:val="Heading 8 Char"/>
    <w:link w:val="Heading8"/>
    <w:uiPriority w:val="9"/>
    <w:semiHidden/>
    <w:rsid w:val="00CE116F"/>
    <w:rPr>
      <w:rFonts w:eastAsia="Times New Roman" w:cs="Times New Roman"/>
      <w:i/>
      <w:iCs/>
      <w:color w:val="272727"/>
    </w:rPr>
  </w:style>
  <w:style w:type="character" w:customStyle="1" w:styleId="Heading9Char">
    <w:name w:val="Heading 9 Char"/>
    <w:link w:val="Heading9"/>
    <w:uiPriority w:val="9"/>
    <w:semiHidden/>
    <w:rsid w:val="00CE116F"/>
    <w:rPr>
      <w:rFonts w:eastAsia="Times New Roman" w:cs="Times New Roman"/>
      <w:color w:val="272727"/>
    </w:rPr>
  </w:style>
  <w:style w:type="paragraph" w:styleId="Title">
    <w:name w:val="Title"/>
    <w:basedOn w:val="Normal"/>
    <w:next w:val="Normal"/>
    <w:link w:val="TitleChar"/>
    <w:uiPriority w:val="10"/>
    <w:qFormat/>
    <w:rsid w:val="00CE116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E116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E116F"/>
    <w:pPr>
      <w:numPr>
        <w:ilvl w:val="1"/>
      </w:numPr>
    </w:pPr>
    <w:rPr>
      <w:rFonts w:eastAsia="Times New Roman"/>
      <w:color w:val="595959"/>
      <w:spacing w:val="15"/>
      <w:sz w:val="28"/>
      <w:szCs w:val="28"/>
    </w:rPr>
  </w:style>
  <w:style w:type="character" w:customStyle="1" w:styleId="SubtitleChar">
    <w:name w:val="Subtitle Char"/>
    <w:link w:val="Subtitle"/>
    <w:uiPriority w:val="11"/>
    <w:rsid w:val="00CE116F"/>
    <w:rPr>
      <w:rFonts w:eastAsia="Times New Roman" w:cs="Times New Roman"/>
      <w:color w:val="595959"/>
      <w:spacing w:val="15"/>
      <w:sz w:val="28"/>
      <w:szCs w:val="28"/>
    </w:rPr>
  </w:style>
  <w:style w:type="paragraph" w:styleId="Quote">
    <w:name w:val="Quote"/>
    <w:basedOn w:val="Normal"/>
    <w:next w:val="Normal"/>
    <w:link w:val="QuoteChar"/>
    <w:uiPriority w:val="29"/>
    <w:qFormat/>
    <w:rsid w:val="00CE116F"/>
    <w:pPr>
      <w:spacing w:before="160"/>
      <w:jc w:val="center"/>
    </w:pPr>
    <w:rPr>
      <w:i/>
      <w:iCs/>
      <w:color w:val="404040"/>
    </w:rPr>
  </w:style>
  <w:style w:type="character" w:customStyle="1" w:styleId="QuoteChar">
    <w:name w:val="Quote Char"/>
    <w:link w:val="Quote"/>
    <w:uiPriority w:val="29"/>
    <w:rsid w:val="00CE116F"/>
    <w:rPr>
      <w:i/>
      <w:iCs/>
      <w:color w:val="404040"/>
    </w:rPr>
  </w:style>
  <w:style w:type="paragraph" w:styleId="ListParagraph">
    <w:name w:val="List Paragraph"/>
    <w:basedOn w:val="Normal"/>
    <w:uiPriority w:val="34"/>
    <w:qFormat/>
    <w:rsid w:val="00CE116F"/>
    <w:pPr>
      <w:ind w:left="720"/>
      <w:contextualSpacing/>
    </w:pPr>
  </w:style>
  <w:style w:type="character" w:styleId="IntenseEmphasis">
    <w:name w:val="Intense Emphasis"/>
    <w:uiPriority w:val="21"/>
    <w:qFormat/>
    <w:rsid w:val="00CE116F"/>
    <w:rPr>
      <w:i/>
      <w:iCs/>
      <w:color w:val="0F4761"/>
    </w:rPr>
  </w:style>
  <w:style w:type="paragraph" w:styleId="IntenseQuote">
    <w:name w:val="Intense Quote"/>
    <w:basedOn w:val="Normal"/>
    <w:next w:val="Normal"/>
    <w:link w:val="IntenseQuoteChar"/>
    <w:uiPriority w:val="30"/>
    <w:qFormat/>
    <w:rsid w:val="00CE116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E116F"/>
    <w:rPr>
      <w:i/>
      <w:iCs/>
      <w:color w:val="0F4761"/>
    </w:rPr>
  </w:style>
  <w:style w:type="character" w:styleId="IntenseReference">
    <w:name w:val="Intense Reference"/>
    <w:uiPriority w:val="32"/>
    <w:qFormat/>
    <w:rsid w:val="00CE116F"/>
    <w:rPr>
      <w:b/>
      <w:bCs/>
      <w:smallCaps/>
      <w:color w:val="0F4761"/>
      <w:spacing w:val="5"/>
    </w:rPr>
  </w:style>
  <w:style w:type="paragraph" w:styleId="NoSpacing">
    <w:name w:val="No Spacing"/>
    <w:uiPriority w:val="1"/>
    <w:qFormat/>
    <w:rsid w:val="00CE116F"/>
    <w:rPr>
      <w:sz w:val="22"/>
      <w:szCs w:val="22"/>
      <w:lang w:val="en-US"/>
    </w:rPr>
  </w:style>
  <w:style w:type="table" w:customStyle="1" w:styleId="Style12">
    <w:name w:val="_Style 12"/>
    <w:qFormat/>
    <w:rsid w:val="00480E17"/>
    <w:rPr>
      <w:rFonts w:ascii="Times New Roman" w:eastAsia="SimSun" w:hAnsi="Times New Roman"/>
      <w:color w:val="000000"/>
      <w:lang w:eastAsia="en-PH"/>
    </w:rPr>
    <w:tblPr>
      <w:tblCellMar>
        <w:top w:w="0" w:type="dxa"/>
        <w:left w:w="108" w:type="dxa"/>
        <w:bottom w:w="0" w:type="dxa"/>
        <w:right w:w="108" w:type="dxa"/>
      </w:tblCellMar>
    </w:tblPr>
    <w:tcPr>
      <w:shd w:val="clear" w:color="auto" w:fill="D9E2F3"/>
    </w:tcPr>
  </w:style>
  <w:style w:type="paragraph" w:styleId="Header">
    <w:name w:val="header"/>
    <w:basedOn w:val="Normal"/>
    <w:link w:val="HeaderChar"/>
    <w:uiPriority w:val="99"/>
    <w:unhideWhenUsed/>
    <w:rsid w:val="0017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DA"/>
    <w:rPr>
      <w:rFonts w:ascii="Calibri" w:eastAsia="Calibri" w:hAnsi="Calibri"/>
      <w:sz w:val="22"/>
      <w:szCs w:val="22"/>
      <w:lang w:val="fil-PH"/>
    </w:rPr>
  </w:style>
  <w:style w:type="paragraph" w:styleId="Footer">
    <w:name w:val="footer"/>
    <w:basedOn w:val="Normal"/>
    <w:link w:val="FooterChar"/>
    <w:uiPriority w:val="99"/>
    <w:unhideWhenUsed/>
    <w:rsid w:val="00175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DA"/>
    <w:rPr>
      <w:rFonts w:ascii="Calibri" w:eastAsia="Calibri" w:hAnsi="Calibri"/>
      <w:sz w:val="22"/>
      <w:szCs w:val="22"/>
      <w:lang w:val="fil-PH"/>
    </w:rPr>
  </w:style>
  <w:style w:type="character" w:styleId="Hyperlink">
    <w:name w:val="Hyperlink"/>
    <w:basedOn w:val="DefaultParagraphFont"/>
    <w:uiPriority w:val="99"/>
    <w:unhideWhenUsed/>
    <w:rsid w:val="009744A1"/>
    <w:rPr>
      <w:color w:val="467886" w:themeColor="hyperlink"/>
      <w:u w:val="single"/>
    </w:rPr>
  </w:style>
  <w:style w:type="character" w:styleId="UnresolvedMention">
    <w:name w:val="Unresolved Mention"/>
    <w:basedOn w:val="DefaultParagraphFont"/>
    <w:uiPriority w:val="99"/>
    <w:semiHidden/>
    <w:unhideWhenUsed/>
    <w:rsid w:val="009744A1"/>
    <w:rPr>
      <w:color w:val="605E5C"/>
      <w:shd w:val="clear" w:color="auto" w:fill="E1DFDD"/>
    </w:rPr>
  </w:style>
  <w:style w:type="paragraph" w:styleId="NormalWeb">
    <w:name w:val="Normal (Web)"/>
    <w:basedOn w:val="Normal"/>
    <w:uiPriority w:val="99"/>
    <w:unhideWhenUsed/>
    <w:qFormat/>
    <w:rsid w:val="002573FA"/>
    <w:pPr>
      <w:spacing w:before="100" w:beforeAutospacing="1" w:after="100" w:afterAutospacing="1" w:line="240" w:lineRule="auto"/>
    </w:pPr>
    <w:rPr>
      <w:rFonts w:ascii="Times New Roman" w:eastAsia="Times New Roman" w:hAnsi="Times New Roman"/>
      <w:sz w:val="24"/>
      <w:szCs w:val="24"/>
      <w:lang w:val="en-PH" w:eastAsia="en-PH"/>
    </w:rPr>
  </w:style>
  <w:style w:type="table" w:styleId="TableGrid">
    <w:name w:val="Table Grid"/>
    <w:basedOn w:val="TableNormal"/>
    <w:uiPriority w:val="39"/>
    <w:qFormat/>
    <w:rsid w:val="002D359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 Garcia</dc:creator>
  <cp:keywords/>
  <dc:description/>
  <cp:lastModifiedBy>Jeromeric Talla</cp:lastModifiedBy>
  <cp:revision>9</cp:revision>
  <dcterms:created xsi:type="dcterms:W3CDTF">2026-04-06T09:48:00Z</dcterms:created>
  <dcterms:modified xsi:type="dcterms:W3CDTF">2026-05-13T03:22:00Z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1006f141-433a-4e9a-a933-988fdbeb6363</vt:lpwstr>
  </property>
</Properties>
</file>